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6"/>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276"/>
        <w:jc w:val="left"/>
        <w:rPr>
          <w:rFonts w:ascii="Arial" w:hAnsi="Arial" w:cs="Arial"/>
          <w:b/>
          <w:sz w:val="56"/>
          <w:szCs w:val="18"/>
        </w:rPr>
      </w:pPr>
      <w:r>
        <w:rPr>
          <w:rFonts w:ascii="Arial" w:hAnsi="Arial" w:cs="Arial"/>
          <w:b/>
          <w:sz w:val="56"/>
          <w:szCs w:val="18"/>
        </w:rPr>
      </w:r>
      <w:r/>
    </w:p>
    <w:p>
      <w:pPr>
        <w:pStyle w:val="1276"/>
        <w:jc w:val="center"/>
        <w:spacing w:line="360" w:lineRule="auto"/>
        <w:rPr>
          <w:rFonts w:hint="eastAsia" w:ascii="Arial" w:hAnsi="Arial" w:eastAsia="宋体" w:cs="Arial"/>
          <w:b/>
          <w:sz w:val="56"/>
          <w:szCs w:val="18"/>
          <w:lang w:eastAsia="zh-CN"/>
        </w:rPr>
      </w:pPr>
      <w:r>
        <w:rPr>
          <w:rFonts w:hint="eastAsia" w:ascii="Arial" w:hAnsi="Arial" w:cs="Arial"/>
          <w:b/>
          <w:sz w:val="56"/>
          <w:szCs w:val="18"/>
          <w:lang w:eastAsia="zh-CN"/>
        </w:rPr>
        <w:t xml:space="preserve">南京市体育运动学校</w:t>
      </w:r>
      <w:r>
        <w:rPr>
          <w:rFonts w:hint="eastAsia" w:ascii="Arial" w:hAnsi="Arial" w:eastAsia="宋体" w:cs="Arial"/>
          <w:b/>
          <w:sz w:val="56"/>
          <w:szCs w:val="18"/>
          <w:lang w:eastAsia="zh-CN"/>
        </w:rPr>
      </w:r>
      <w:r/>
    </w:p>
    <w:p>
      <w:pPr>
        <w:pStyle w:val="1276"/>
        <w:jc w:val="center"/>
        <w:spacing w:line="360" w:lineRule="auto"/>
        <w:rPr>
          <w:rFonts w:hint="eastAsia" w:ascii="Arial" w:hAnsi="Arial" w:eastAsia="宋体" w:cs="Arial"/>
          <w:b/>
          <w:sz w:val="56"/>
          <w:szCs w:val="18"/>
          <w:lang w:eastAsia="zh-CN"/>
        </w:rPr>
      </w:pPr>
      <w:r>
        <w:rPr>
          <w:rFonts w:hint="eastAsia" w:ascii="Arial" w:hAnsi="Arial" w:cs="Arial"/>
          <w:b/>
          <w:sz w:val="56"/>
          <w:szCs w:val="18"/>
          <w:lang w:eastAsia="zh-CN"/>
        </w:rPr>
        <w:t xml:space="preserve">食材采购项目</w:t>
      </w:r>
      <w:r>
        <w:rPr>
          <w:rFonts w:hint="eastAsia" w:ascii="Arial" w:hAnsi="Arial" w:eastAsia="宋体" w:cs="Arial"/>
          <w:b/>
          <w:sz w:val="56"/>
          <w:szCs w:val="18"/>
          <w:lang w:eastAsia="zh-CN"/>
        </w:rPr>
      </w:r>
      <w:r/>
    </w:p>
    <w:p>
      <w:pPr>
        <w:pStyle w:val="1276"/>
        <w:jc w:val="center"/>
        <w:spacing w:line="360" w:lineRule="auto"/>
        <w:rPr>
          <w:rFonts w:ascii="Arial" w:hAnsi="Arial" w:cs="Arial"/>
          <w:sz w:val="72"/>
        </w:rPr>
      </w:pPr>
      <w:r>
        <w:rPr>
          <w:rFonts w:ascii="Arial" w:hAnsi="Arial" w:cs="Arial"/>
          <w:sz w:val="72"/>
        </w:rPr>
      </w:r>
      <w:r/>
    </w:p>
    <w:p>
      <w:pPr>
        <w:pStyle w:val="1276"/>
        <w:jc w:val="center"/>
        <w:spacing w:line="360" w:lineRule="auto"/>
        <w:rPr>
          <w:rFonts w:ascii="Arial" w:hAnsi="Arial" w:cs="Arial"/>
          <w:b/>
          <w:sz w:val="96"/>
          <w:szCs w:val="96"/>
        </w:rPr>
      </w:pPr>
      <w:r>
        <w:rPr>
          <w:rFonts w:ascii="Arial" w:hAnsi="Arial" w:cs="Arial"/>
          <w:b/>
          <w:sz w:val="96"/>
          <w:szCs w:val="96"/>
        </w:rPr>
        <w:t xml:space="preserve">招 标 文 件</w:t>
      </w:r>
      <w:r>
        <w:rPr>
          <w:rFonts w:ascii="Arial" w:hAnsi="Arial" w:cs="Arial"/>
          <w:b/>
          <w:sz w:val="96"/>
          <w:szCs w:val="96"/>
        </w:rPr>
      </w:r>
      <w:r/>
    </w:p>
    <w:p>
      <w:pPr>
        <w:pStyle w:val="1276"/>
        <w:jc w:val="center"/>
        <w:spacing w:line="360" w:lineRule="auto"/>
        <w:rPr>
          <w:rFonts w:hint="eastAsia" w:ascii="Arial" w:hAnsi="Arial" w:eastAsia="宋体" w:cs="Arial"/>
          <w:sz w:val="36"/>
          <w:lang w:eastAsia="zh-CN"/>
        </w:rPr>
      </w:pPr>
      <w:r>
        <w:rPr>
          <w:rFonts w:ascii="Arial" w:hAnsi="Arial" w:cs="Arial"/>
          <w:b/>
          <w:sz w:val="36"/>
        </w:rPr>
        <w:t xml:space="preserve">招标编号：</w:t>
      </w:r>
      <w:r>
        <w:rPr>
          <w:rFonts w:hint="eastAsia" w:ascii="Arial" w:hAnsi="Arial" w:cs="Arial"/>
          <w:sz w:val="36"/>
          <w:highlight w:val="none"/>
          <w:lang w:eastAsia="zh-CN"/>
        </w:rPr>
        <w:t xml:space="preserve">JSZC-320100-SMDY-G2026-0085</w:t>
      </w:r>
      <w:r>
        <w:rPr>
          <w:rFonts w:hint="eastAsia" w:ascii="Arial" w:hAnsi="Arial" w:eastAsia="宋体" w:cs="Arial"/>
          <w:sz w:val="36"/>
          <w:lang w:eastAsia="zh-CN"/>
        </w:rPr>
      </w:r>
      <w:r/>
    </w:p>
    <w:p>
      <w:pPr>
        <w:pStyle w:val="1276"/>
        <w:jc w:val="center"/>
        <w:spacing w:line="360" w:lineRule="auto"/>
        <w:rPr>
          <w:rFonts w:ascii="Arial" w:hAnsi="Arial" w:cs="Arial"/>
          <w:sz w:val="36"/>
          <w:highlight w:val="none"/>
        </w:rPr>
      </w:pPr>
      <w:r>
        <w:rPr>
          <w:rFonts w:hint="eastAsia" w:ascii="Arial" w:hAnsi="Arial" w:cs="Arial"/>
          <w:sz w:val="36"/>
          <w:highlight w:val="none"/>
        </w:rPr>
        <w:t xml:space="preserve">（</w:t>
      </w:r>
      <w:r>
        <w:rPr>
          <w:rFonts w:hint="eastAsia" w:ascii="Arial" w:hAnsi="Arial" w:cs="Arial"/>
          <w:sz w:val="36"/>
          <w:highlight w:val="none"/>
          <w:lang w:eastAsia="zh-CN"/>
        </w:rPr>
        <w:t xml:space="preserve">2640SUMEC/ZWGG2126</w:t>
      </w:r>
      <w:r>
        <w:rPr>
          <w:rFonts w:hint="eastAsia" w:ascii="Arial" w:hAnsi="Arial" w:cs="Arial"/>
          <w:sz w:val="36"/>
          <w:highlight w:val="none"/>
        </w:rPr>
        <w:t xml:space="preserve">）</w:t>
      </w:r>
      <w:r>
        <w:rPr>
          <w:rFonts w:ascii="Arial" w:hAnsi="Arial" w:cs="Arial"/>
          <w:sz w:val="36"/>
          <w:highlight w:val="none"/>
        </w:rPr>
      </w:r>
      <w:r/>
    </w:p>
    <w:p>
      <w:pPr>
        <w:pStyle w:val="1276"/>
        <w:jc w:val="center"/>
        <w:spacing w:line="440" w:lineRule="exact"/>
        <w:rPr>
          <w:rFonts w:ascii="Arial" w:hAnsi="Arial" w:cs="Arial"/>
          <w:b/>
          <w:sz w:val="36"/>
          <w:highlight w:val="none"/>
        </w:rPr>
      </w:pPr>
      <w:r>
        <w:rPr>
          <w:rFonts w:ascii="Arial" w:hAnsi="Arial" w:cs="Arial"/>
          <w:b/>
          <w:sz w:val="36"/>
          <w:highlight w:val="none"/>
        </w:rPr>
      </w:r>
      <w:r/>
    </w:p>
    <w:p>
      <w:pPr>
        <w:pStyle w:val="1276"/>
        <w:jc w:val="center"/>
        <w:spacing w:line="440" w:lineRule="exact"/>
        <w:rPr>
          <w:rFonts w:ascii="Arial" w:hAnsi="Arial" w:cs="Arial"/>
          <w:b/>
          <w:sz w:val="52"/>
        </w:rPr>
      </w:pPr>
      <w:r>
        <w:rPr>
          <w:rFonts w:ascii="Arial" w:hAnsi="Arial" w:cs="Arial"/>
          <w:b/>
          <w:sz w:val="52"/>
        </w:rPr>
      </w:r>
      <w:r/>
    </w:p>
    <w:p>
      <w:pPr>
        <w:pStyle w:val="1276"/>
        <w:jc w:val="center"/>
        <w:spacing w:line="440" w:lineRule="exact"/>
        <w:rPr>
          <w:rFonts w:ascii="Arial" w:hAnsi="Arial" w:cs="Arial"/>
          <w:b/>
          <w:sz w:val="52"/>
        </w:rPr>
      </w:pPr>
      <w:r>
        <w:rPr>
          <w:rFonts w:ascii="Arial" w:hAnsi="Arial" w:cs="Arial"/>
          <w:b/>
          <w:sz w:val="52"/>
        </w:rPr>
      </w:r>
      <w:r/>
    </w:p>
    <w:p>
      <w:pPr>
        <w:pStyle w:val="1276"/>
        <w:spacing w:line="440" w:lineRule="exact"/>
        <w:rPr>
          <w:rFonts w:ascii="Arial" w:hAnsi="Arial" w:cs="Arial"/>
          <w:b/>
          <w:sz w:val="32"/>
        </w:rPr>
      </w:pPr>
      <w:r>
        <w:rPr>
          <w:rFonts w:ascii="Arial" w:hAnsi="Arial" w:cs="Arial"/>
          <w:b/>
          <w:sz w:val="32"/>
        </w:rPr>
      </w:r>
      <w:r/>
    </w:p>
    <w:p>
      <w:pPr>
        <w:pStyle w:val="1276"/>
        <w:jc w:val="center"/>
        <w:spacing w:line="440" w:lineRule="exact"/>
        <w:rPr>
          <w:rFonts w:ascii="Arial" w:hAnsi="Arial" w:cs="Arial"/>
          <w:b/>
          <w:sz w:val="32"/>
        </w:rPr>
      </w:pPr>
      <w:r>
        <w:rPr>
          <w:rFonts w:ascii="Arial" w:hAnsi="Arial" w:cs="Arial"/>
          <w:b/>
          <w:sz w:val="32"/>
        </w:rPr>
      </w:r>
      <w:r/>
    </w:p>
    <w:p>
      <w:pPr>
        <w:pStyle w:val="1276"/>
        <w:spacing w:line="360" w:lineRule="auto"/>
        <w:rPr>
          <w:rFonts w:ascii="Arial" w:hAnsi="Arial" w:cs="Arial"/>
          <w:szCs w:val="21"/>
        </w:rPr>
      </w:pPr>
      <w:r>
        <w:rPr>
          <w:rFonts w:ascii="Arial" w:hAnsi="Arial" w:cs="Arial"/>
          <w:szCs w:val="21"/>
        </w:rPr>
      </w:r>
      <w:r/>
    </w:p>
    <w:p>
      <w:pPr>
        <w:pStyle w:val="1349"/>
        <w:ind w:firstLine="321"/>
        <w:rPr>
          <w:rFonts w:ascii="Arial" w:hAnsi="Arial" w:cs="Arial"/>
          <w:b/>
          <w:sz w:val="32"/>
        </w:rPr>
      </w:pPr>
      <w:r>
        <w:rPr>
          <w:rFonts w:ascii="Arial" w:hAnsi="Arial" w:cs="Arial"/>
          <w:b/>
          <w:sz w:val="32"/>
        </w:rPr>
      </w:r>
      <w:r/>
    </w:p>
    <w:p>
      <w:pPr>
        <w:pStyle w:val="1276"/>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276"/>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9</w:t>
      </w:r>
      <w:r>
        <w:rPr>
          <w:rFonts w:ascii="Arial" w:hAnsi="Arial" w:cs="Arial"/>
          <w:b/>
          <w:sz w:val="32"/>
        </w:rPr>
        <w:t xml:space="preserve">月</w:t>
      </w:r>
      <w:r>
        <w:rPr>
          <w:rFonts w:ascii="Arial" w:hAnsi="Arial" w:cs="Arial"/>
          <w:b/>
          <w:sz w:val="32"/>
        </w:rPr>
      </w:r>
      <w:r/>
    </w:p>
    <w:p>
      <w:pPr>
        <w:pStyle w:val="1276"/>
        <w:jc w:val="center"/>
        <w:spacing w:line="440" w:lineRule="exact"/>
        <w:rPr>
          <w:rFonts w:ascii="Arial" w:hAnsi="Arial" w:cs="Arial"/>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cs="Arial"/>
          <w:b/>
          <w:sz w:val="32"/>
        </w:rPr>
      </w:r>
      <w:r/>
    </w:p>
    <w:p>
      <w:pPr>
        <w:pStyle w:val="1276"/>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331"/>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_Toc25878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_Toc25878 \h </w:instrText>
      </w:r>
      <w:r>
        <w:fldChar w:fldCharType="separate"/>
      </w:r>
      <w:r>
        <w:t xml:space="preserve">1</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_Toc27810 </w:instrText>
      </w:r>
      <w:r>
        <w:rPr>
          <w:rFonts w:ascii="Arial" w:hAnsi="Arial" w:cs="Arial"/>
          <w:bCs/>
        </w:rPr>
        <w:fldChar w:fldCharType="separate"/>
      </w:r>
      <w:r>
        <w:rPr>
          <w:rFonts w:eastAsia="宋体" w:cs="Arial"/>
          <w:bCs w:val="0"/>
          <w:szCs w:val="21"/>
        </w:rPr>
        <w:t xml:space="preserve">一、项目基本情况</w:t>
      </w:r>
      <w:r>
        <w:tab/>
      </w:r>
      <w:r>
        <w:fldChar w:fldCharType="begin"/>
      </w:r>
      <w:r>
        <w:instrText xml:space="preserve"> PAGEREF _Toc27810 \h </w:instrText>
      </w:r>
      <w:r>
        <w:fldChar w:fldCharType="separate"/>
      </w:r>
      <w:r>
        <w:t xml:space="preserve">1</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_Toc28147 </w:instrText>
      </w:r>
      <w:r>
        <w:rPr>
          <w:rFonts w:ascii="Arial" w:hAnsi="Arial" w:cs="Arial"/>
          <w:bCs/>
        </w:rPr>
        <w:fldChar w:fldCharType="separate"/>
      </w:r>
      <w:r>
        <w:rPr>
          <w:rFonts w:hint="eastAsia" w:ascii="宋体" w:hAnsi="宋体" w:eastAsia="宋体" w:cs="宋体"/>
          <w:szCs w:val="21"/>
        </w:rPr>
        <w:t xml:space="preserve">二、 申请人的资格要求</w:t>
      </w:r>
      <w:r>
        <w:tab/>
      </w:r>
      <w:r>
        <w:fldChar w:fldCharType="begin"/>
      </w:r>
      <w:r>
        <w:instrText xml:space="preserve"> PAGEREF _Toc28147 \h </w:instrText>
      </w:r>
      <w:r>
        <w:fldChar w:fldCharType="separate"/>
      </w:r>
      <w:r>
        <w:t xml:space="preserve">1</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_Toc23461 </w:instrText>
      </w:r>
      <w:r>
        <w:rPr>
          <w:rFonts w:ascii="Arial" w:hAnsi="Arial" w:cs="Arial"/>
          <w:bCs/>
        </w:rPr>
        <w:fldChar w:fldCharType="separate"/>
      </w:r>
      <w:r>
        <w:rPr>
          <w:rFonts w:hint="eastAsia" w:ascii="宋体" w:hAnsi="宋体" w:eastAsia="宋体" w:cs="宋体"/>
          <w:szCs w:val="21"/>
        </w:rPr>
        <w:t xml:space="preserve">三、获取招标文件</w:t>
      </w:r>
      <w:r>
        <w:tab/>
      </w:r>
      <w:r>
        <w:fldChar w:fldCharType="begin"/>
      </w:r>
      <w:r>
        <w:instrText xml:space="preserve"> PAGEREF _Toc23461 \h </w:instrText>
      </w:r>
      <w:r>
        <w:fldChar w:fldCharType="separate"/>
      </w:r>
      <w:r>
        <w:t xml:space="preserve">3</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_Toc24063 </w:instrText>
      </w:r>
      <w:r>
        <w:rPr>
          <w:rFonts w:ascii="Arial" w:hAnsi="Arial"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_Toc24063 \h </w:instrText>
      </w:r>
      <w:r>
        <w:fldChar w:fldCharType="separate"/>
      </w:r>
      <w:r>
        <w:t xml:space="preserve">3</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_Toc30462 </w:instrText>
      </w:r>
      <w:r>
        <w:rPr>
          <w:rFonts w:ascii="Arial" w:hAnsi="Arial" w:cs="Arial"/>
          <w:bCs/>
        </w:rPr>
        <w:fldChar w:fldCharType="separate"/>
      </w:r>
      <w:r>
        <w:rPr>
          <w:rFonts w:eastAsia="宋体" w:cs="Arial"/>
          <w:szCs w:val="21"/>
        </w:rPr>
        <w:t xml:space="preserve">五、公告期限</w:t>
      </w:r>
      <w:r>
        <w:tab/>
      </w:r>
      <w:r>
        <w:fldChar w:fldCharType="begin"/>
      </w:r>
      <w:r>
        <w:instrText xml:space="preserve"> PAGEREF _Toc30462 \h </w:instrText>
      </w:r>
      <w:r>
        <w:fldChar w:fldCharType="separate"/>
      </w:r>
      <w:r>
        <w:t xml:space="preserve">3</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_Toc8972 </w:instrText>
      </w:r>
      <w:r>
        <w:rPr>
          <w:rFonts w:ascii="Arial" w:hAnsi="Arial" w:cs="Arial"/>
          <w:bCs/>
        </w:rPr>
        <w:fldChar w:fldCharType="separate"/>
      </w:r>
      <w:r>
        <w:rPr>
          <w:rFonts w:eastAsia="宋体" w:cs="Arial"/>
          <w:szCs w:val="21"/>
        </w:rPr>
        <w:t xml:space="preserve">六、其他补充事宜</w:t>
      </w:r>
      <w:r>
        <w:tab/>
      </w:r>
      <w:r>
        <w:fldChar w:fldCharType="begin"/>
      </w:r>
      <w:r>
        <w:instrText xml:space="preserve"> PAGEREF _Toc8972 \h </w:instrText>
      </w:r>
      <w:r>
        <w:fldChar w:fldCharType="separate"/>
      </w:r>
      <w:r>
        <w:t xml:space="preserve">3</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_Toc29742 </w:instrText>
      </w:r>
      <w:r>
        <w:rPr>
          <w:rFonts w:ascii="Arial" w:hAnsi="Arial" w:cs="Arial"/>
          <w:bCs/>
        </w:rPr>
        <w:fldChar w:fldCharType="separate"/>
      </w:r>
      <w:r>
        <w:rPr>
          <w:rFonts w:eastAsia="宋体" w:cs="Arial"/>
          <w:szCs w:val="21"/>
        </w:rPr>
        <w:t xml:space="preserve">七、联系方式</w:t>
      </w:r>
      <w:r>
        <w:tab/>
      </w:r>
      <w:r>
        <w:fldChar w:fldCharType="begin"/>
      </w:r>
      <w:r>
        <w:instrText xml:space="preserve"> PAGEREF _Toc29742 \h </w:instrText>
      </w:r>
      <w:r>
        <w:fldChar w:fldCharType="separate"/>
      </w:r>
      <w:r>
        <w:t xml:space="preserve">5</w:t>
      </w:r>
      <w:r>
        <w:fldChar w:fldCharType="end"/>
      </w:r>
      <w:r>
        <w:rPr>
          <w:rFonts w:ascii="Arial" w:hAnsi="Arial" w:cs="Arial"/>
          <w:bCs/>
        </w:rPr>
        <w:fldChar w:fldCharType="end"/>
      </w:r>
      <w:r/>
    </w:p>
    <w:p>
      <w:pPr>
        <w:pStyle w:val="1331"/>
        <w:tabs>
          <w:tab w:val="right" w:pos="9638" w:leader="dot"/>
        </w:tabs>
      </w:pPr>
      <w:r>
        <w:rPr>
          <w:rFonts w:ascii="Arial" w:hAnsi="Arial" w:cs="Arial"/>
          <w:bCs/>
        </w:rPr>
        <w:fldChar w:fldCharType="begin"/>
      </w:r>
      <w:r>
        <w:rPr>
          <w:rFonts w:ascii="Arial" w:hAnsi="Arial" w:cs="Arial"/>
          <w:bCs/>
        </w:rPr>
        <w:instrText xml:space="preserve"> HYPERLINK \l _Toc4499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_Toc4499 \h </w:instrText>
      </w:r>
      <w:r>
        <w:fldChar w:fldCharType="separate"/>
      </w:r>
      <w:r>
        <w:t xml:space="preserve">6</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_Toc5364 </w:instrText>
      </w:r>
      <w:r>
        <w:rPr>
          <w:rFonts w:ascii="Arial" w:hAnsi="Arial" w:cs="Arial"/>
          <w:bCs/>
        </w:rPr>
        <w:fldChar w:fldCharType="separate"/>
      </w:r>
      <w:r>
        <w:rPr>
          <w:rFonts w:ascii="Arial" w:hAnsi="Arial" w:cs="Arial"/>
          <w:bCs/>
        </w:rPr>
        <w:t xml:space="preserve"> </w:t>
      </w:r>
      <w:r>
        <w:rPr>
          <w:rFonts w:hint="eastAsia" w:ascii="Arial" w:hAnsi="Arial" w:cs="Arial"/>
          <w:bCs/>
        </w:rPr>
        <w:t xml:space="preserve">一</w:t>
      </w:r>
      <w:r>
        <w:rPr>
          <w:rFonts w:ascii="Arial" w:hAnsi="Arial" w:cs="Arial"/>
          <w:bCs/>
        </w:rPr>
        <w:t xml:space="preserve">、</w:t>
      </w:r>
      <w:r>
        <w:rPr>
          <w:rFonts w:hint="eastAsia" w:ascii="Arial" w:hAnsi="Arial" w:cs="Arial"/>
          <w:bCs/>
        </w:rPr>
        <w:t xml:space="preserve">总则</w:t>
      </w:r>
      <w:r>
        <w:tab/>
      </w:r>
      <w:r>
        <w:fldChar w:fldCharType="begin"/>
      </w:r>
      <w:r>
        <w:instrText xml:space="preserve"> PAGEREF _Toc5364 \h </w:instrText>
      </w:r>
      <w:r>
        <w:fldChar w:fldCharType="separate"/>
      </w:r>
      <w:r>
        <w:t xml:space="preserve">9</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_Toc3667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_Toc3667 \h </w:instrText>
      </w:r>
      <w:r>
        <w:fldChar w:fldCharType="separate"/>
      </w:r>
      <w:r>
        <w:t xml:space="preserve">9</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_Toc5410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_Toc5410 \h </w:instrText>
      </w:r>
      <w:r>
        <w:fldChar w:fldCharType="separate"/>
      </w:r>
      <w:r>
        <w:t xml:space="preserve">9</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_Toc28571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_Toc28571 \h </w:instrText>
      </w:r>
      <w:r>
        <w:fldChar w:fldCharType="separate"/>
      </w:r>
      <w:r>
        <w:t xml:space="preserve">9</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_Toc31858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_Toc31858 \h </w:instrText>
      </w:r>
      <w:r>
        <w:fldChar w:fldCharType="separate"/>
      </w:r>
      <w:r>
        <w:t xml:space="preserve">11</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_Toc1629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_Toc1629 \h </w:instrText>
      </w:r>
      <w:r>
        <w:fldChar w:fldCharType="separate"/>
      </w:r>
      <w:r>
        <w:t xml:space="preserve">11</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_Toc1975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_Toc1975 \h </w:instrText>
      </w:r>
      <w:r>
        <w:fldChar w:fldCharType="separate"/>
      </w:r>
      <w:r>
        <w:t xml:space="preserve">11</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_Toc11509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_Toc11509 \h </w:instrText>
      </w:r>
      <w:r>
        <w:fldChar w:fldCharType="separate"/>
      </w:r>
      <w:r>
        <w:t xml:space="preserve">11</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_Toc2502 </w:instrText>
      </w:r>
      <w:r>
        <w:rPr>
          <w:rFonts w:ascii="Arial" w:hAnsi="Arial" w:cs="Arial"/>
          <w:bCs/>
        </w:rPr>
        <w:fldChar w:fldCharType="separate"/>
      </w:r>
      <w:r>
        <w:rPr>
          <w:rFonts w:hint="eastAsia" w:ascii="宋体" w:hAnsi="宋体" w:eastAsia="宋体" w:cs="宋体"/>
          <w:bCs/>
          <w:szCs w:val="21"/>
        </w:rPr>
        <w:t xml:space="preserve">（二）招标文件的澄清、补充或修改</w:t>
      </w:r>
      <w:r>
        <w:tab/>
      </w:r>
      <w:r>
        <w:fldChar w:fldCharType="begin"/>
      </w:r>
      <w:r>
        <w:instrText xml:space="preserve"> PAGEREF _Toc2502 \h </w:instrText>
      </w:r>
      <w:r>
        <w:fldChar w:fldCharType="separate"/>
      </w:r>
      <w:r>
        <w:t xml:space="preserve">11</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_Toc6376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_Toc6376 \h </w:instrText>
      </w:r>
      <w:r>
        <w:fldChar w:fldCharType="separate"/>
      </w:r>
      <w:r>
        <w:t xml:space="preserve">12</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_Toc16497 </w:instrText>
      </w:r>
      <w:r>
        <w:rPr>
          <w:rFonts w:ascii="Arial" w:hAnsi="Arial" w:cs="Arial"/>
          <w:bCs/>
        </w:rPr>
        <w:fldChar w:fldCharType="separate"/>
      </w:r>
      <w:r>
        <w:rPr>
          <w:rFonts w:ascii="Arial" w:hAnsi="Arial" w:eastAsia="宋体" w:cs="Arial"/>
          <w:bCs/>
          <w:szCs w:val="21"/>
        </w:rPr>
        <w:t xml:space="preserve">（一）投标文件的语言、计量单位、货币</w:t>
      </w:r>
      <w:r>
        <w:tab/>
      </w:r>
      <w:r>
        <w:fldChar w:fldCharType="begin"/>
      </w:r>
      <w:r>
        <w:instrText xml:space="preserve"> PAGEREF _Toc16497 \h </w:instrText>
      </w:r>
      <w:r>
        <w:fldChar w:fldCharType="separate"/>
      </w:r>
      <w:r>
        <w:t xml:space="preserve">12</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_Toc14842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_Toc14842 \h </w:instrText>
      </w:r>
      <w:r>
        <w:fldChar w:fldCharType="separate"/>
      </w:r>
      <w:r>
        <w:t xml:space="preserve">12</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_Toc28710 </w:instrText>
      </w:r>
      <w:r>
        <w:rPr>
          <w:rFonts w:ascii="Arial" w:hAnsi="Arial" w:cs="Arial"/>
          <w:bCs/>
        </w:rPr>
        <w:fldChar w:fldCharType="separate"/>
      </w:r>
      <w:r>
        <w:rPr>
          <w:rFonts w:ascii="Arial" w:hAnsi="Arial" w:eastAsia="宋体" w:cs="Arial"/>
          <w:bCs/>
          <w:szCs w:val="21"/>
        </w:rPr>
        <w:t xml:space="preserve">（三）投标文件的组成</w:t>
      </w:r>
      <w:r>
        <w:tab/>
      </w:r>
      <w:r>
        <w:fldChar w:fldCharType="begin"/>
      </w:r>
      <w:r>
        <w:instrText xml:space="preserve"> PAGEREF _Toc28710 \h </w:instrText>
      </w:r>
      <w:r>
        <w:fldChar w:fldCharType="separate"/>
      </w:r>
      <w:r>
        <w:t xml:space="preserve">13</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_Toc19389 </w:instrText>
      </w:r>
      <w:r>
        <w:rPr>
          <w:rFonts w:ascii="Arial" w:hAnsi="Arial" w:cs="Arial"/>
          <w:bCs/>
        </w:rPr>
        <w:fldChar w:fldCharType="separate"/>
      </w:r>
      <w:r>
        <w:rPr>
          <w:rFonts w:ascii="Arial" w:hAnsi="Arial" w:eastAsia="宋体" w:cs="Arial"/>
          <w:bCs/>
          <w:szCs w:val="21"/>
        </w:rPr>
        <w:t xml:space="preserve">（四）投标保证金</w:t>
      </w:r>
      <w:r>
        <w:rPr>
          <w:rFonts w:hint="eastAsia" w:ascii="Arial" w:hAnsi="Arial" w:eastAsia="宋体" w:cs="Arial"/>
          <w:bCs/>
          <w:szCs w:val="21"/>
        </w:rPr>
        <w:t xml:space="preserve">（如有）</w:t>
      </w:r>
      <w:r>
        <w:tab/>
      </w:r>
      <w:r>
        <w:fldChar w:fldCharType="begin"/>
      </w:r>
      <w:r>
        <w:instrText xml:space="preserve"> PAGEREF _Toc19389 \h </w:instrText>
      </w:r>
      <w:r>
        <w:fldChar w:fldCharType="separate"/>
      </w:r>
      <w:r>
        <w:t xml:space="preserve">14</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_Toc19285 </w:instrText>
      </w:r>
      <w:r>
        <w:rPr>
          <w:rFonts w:ascii="Arial" w:hAnsi="Arial" w:cs="Arial"/>
          <w:bCs/>
        </w:rPr>
        <w:fldChar w:fldCharType="separate"/>
      </w:r>
      <w:r>
        <w:rPr>
          <w:rFonts w:ascii="Arial" w:hAnsi="Arial" w:eastAsia="宋体" w:cs="Arial"/>
          <w:bCs/>
          <w:szCs w:val="21"/>
        </w:rPr>
        <w:t xml:space="preserve">（五）投标文件的有效期</w:t>
      </w:r>
      <w:r>
        <w:tab/>
      </w:r>
      <w:r>
        <w:fldChar w:fldCharType="begin"/>
      </w:r>
      <w:r>
        <w:instrText xml:space="preserve"> PAGEREF _Toc19285 \h </w:instrText>
      </w:r>
      <w:r>
        <w:fldChar w:fldCharType="separate"/>
      </w:r>
      <w:r>
        <w:t xml:space="preserve">14</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_Toc12131 </w:instrText>
      </w:r>
      <w:r>
        <w:rPr>
          <w:rFonts w:ascii="Arial" w:hAnsi="Arial" w:cs="Arial"/>
          <w:bCs/>
        </w:rPr>
        <w:fldChar w:fldCharType="separate"/>
      </w:r>
      <w:r>
        <w:rPr>
          <w:rFonts w:ascii="Arial" w:hAnsi="Arial" w:eastAsia="宋体" w:cs="Arial"/>
          <w:bCs/>
          <w:szCs w:val="21"/>
        </w:rPr>
        <w:t xml:space="preserve">（六）投标文件的签署及其形式</w:t>
      </w:r>
      <w:r>
        <w:tab/>
      </w:r>
      <w:r>
        <w:fldChar w:fldCharType="begin"/>
      </w:r>
      <w:r>
        <w:instrText xml:space="preserve"> PAGEREF _Toc12131 \h </w:instrText>
      </w:r>
      <w:r>
        <w:fldChar w:fldCharType="separate"/>
      </w:r>
      <w:r>
        <w:t xml:space="preserve">14</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_Toc19685 </w:instrText>
      </w:r>
      <w:r>
        <w:rPr>
          <w:rFonts w:ascii="Arial" w:hAnsi="Arial" w:cs="Arial"/>
          <w:bCs/>
        </w:rPr>
        <w:fldChar w:fldCharType="separate"/>
      </w:r>
      <w:r>
        <w:rPr>
          <w:rFonts w:ascii="Arial" w:hAnsi="Arial" w:cs="Arial"/>
          <w:bCs/>
        </w:rPr>
        <w:t xml:space="preserve">四、</w:t>
      </w:r>
      <w:r>
        <w:rPr>
          <w:rFonts w:hint="eastAsia" w:ascii="Arial" w:hAnsi="Arial" w:cs="Arial"/>
          <w:bCs/>
        </w:rPr>
        <w:t xml:space="preserve">投标文件的递交</w:t>
      </w:r>
      <w:r>
        <w:tab/>
      </w:r>
      <w:r>
        <w:fldChar w:fldCharType="begin"/>
      </w:r>
      <w:r>
        <w:instrText xml:space="preserve"> PAGEREF _Toc19685 \h </w:instrText>
      </w:r>
      <w:r>
        <w:fldChar w:fldCharType="separate"/>
      </w:r>
      <w:r>
        <w:t xml:space="preserve">14</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_Toc204 </w:instrText>
      </w:r>
      <w:r>
        <w:rPr>
          <w:rFonts w:ascii="Arial" w:hAnsi="Arial" w:cs="Arial"/>
          <w:bCs/>
        </w:rPr>
        <w:fldChar w:fldCharType="separate"/>
      </w:r>
      <w:r>
        <w:rPr>
          <w:rFonts w:ascii="Arial" w:hAnsi="Arial" w:eastAsia="宋体" w:cs="Arial"/>
          <w:bCs/>
          <w:szCs w:val="21"/>
        </w:rPr>
        <w:t xml:space="preserve">（一）</w:t>
      </w:r>
      <w:r>
        <w:rPr>
          <w:rFonts w:hint="eastAsia" w:ascii="Arial" w:hAnsi="Arial" w:eastAsia="宋体" w:cs="Arial"/>
          <w:bCs/>
          <w:szCs w:val="21"/>
        </w:rPr>
        <w:t xml:space="preserve">投标文件的递交</w:t>
      </w:r>
      <w:r>
        <w:tab/>
      </w:r>
      <w:r>
        <w:fldChar w:fldCharType="begin"/>
      </w:r>
      <w:r>
        <w:instrText xml:space="preserve"> PAGEREF _Toc204 \h </w:instrText>
      </w:r>
      <w:r>
        <w:fldChar w:fldCharType="separate"/>
      </w:r>
      <w:r>
        <w:t xml:space="preserve">14</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_Toc17279 </w:instrText>
      </w:r>
      <w:r>
        <w:rPr>
          <w:rFonts w:ascii="Arial" w:hAnsi="Arial" w:cs="Arial"/>
          <w:bCs/>
        </w:rPr>
        <w:fldChar w:fldCharType="separate"/>
      </w:r>
      <w:r>
        <w:rPr>
          <w:rFonts w:ascii="Arial" w:hAnsi="Arial" w:eastAsia="宋体" w:cs="Arial"/>
          <w:bCs/>
          <w:szCs w:val="21"/>
        </w:rPr>
        <w:t xml:space="preserve">（二）投标的截止日期</w:t>
      </w:r>
      <w:r>
        <w:tab/>
      </w:r>
      <w:r>
        <w:fldChar w:fldCharType="begin"/>
      </w:r>
      <w:r>
        <w:instrText xml:space="preserve"> PAGEREF _Toc17279 \h </w:instrText>
      </w:r>
      <w:r>
        <w:fldChar w:fldCharType="separate"/>
      </w:r>
      <w:r>
        <w:t xml:space="preserve">15</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_Toc5405 </w:instrText>
      </w:r>
      <w:r>
        <w:rPr>
          <w:rFonts w:ascii="Arial" w:hAnsi="Arial" w:cs="Arial"/>
          <w:bCs/>
        </w:rPr>
        <w:fldChar w:fldCharType="separate"/>
      </w:r>
      <w:r>
        <w:rPr>
          <w:rFonts w:ascii="Arial" w:hAnsi="Arial" w:eastAsia="宋体" w:cs="Arial"/>
          <w:bCs/>
          <w:szCs w:val="21"/>
        </w:rPr>
        <w:t xml:space="preserve">（三）迟交的投标文件</w:t>
      </w:r>
      <w:r>
        <w:tab/>
      </w:r>
      <w:r>
        <w:fldChar w:fldCharType="begin"/>
      </w:r>
      <w:r>
        <w:instrText xml:space="preserve"> PAGEREF _Toc5405 \h </w:instrText>
      </w:r>
      <w:r>
        <w:fldChar w:fldCharType="separate"/>
      </w:r>
      <w:r>
        <w:t xml:space="preserve">15</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_Toc29777 </w:instrText>
      </w:r>
      <w:r>
        <w:rPr>
          <w:rFonts w:ascii="Arial" w:hAnsi="Arial" w:cs="Arial"/>
          <w:bCs/>
        </w:rPr>
        <w:fldChar w:fldCharType="separate"/>
      </w:r>
      <w:r>
        <w:rPr>
          <w:rFonts w:ascii="Arial" w:hAnsi="Arial" w:eastAsia="宋体" w:cs="Arial"/>
          <w:bCs/>
          <w:szCs w:val="21"/>
        </w:rPr>
        <w:t xml:space="preserve">（四）投标文件的修改或撤回</w:t>
      </w:r>
      <w:r>
        <w:tab/>
      </w:r>
      <w:r>
        <w:fldChar w:fldCharType="begin"/>
      </w:r>
      <w:r>
        <w:instrText xml:space="preserve"> PAGEREF _Toc29777 \h </w:instrText>
      </w:r>
      <w:r>
        <w:fldChar w:fldCharType="separate"/>
      </w:r>
      <w:r>
        <w:t xml:space="preserve">15</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_Toc14080 </w:instrText>
      </w:r>
      <w:r>
        <w:rPr>
          <w:rFonts w:ascii="Arial" w:hAnsi="Arial" w:cs="Arial"/>
          <w:bCs/>
        </w:rPr>
        <w:fldChar w:fldCharType="separate"/>
      </w:r>
      <w:r>
        <w:rPr>
          <w:rFonts w:ascii="Arial" w:hAnsi="Arial" w:cs="Arial"/>
          <w:bCs/>
        </w:rPr>
        <w:t xml:space="preserve">五、开标与评标</w:t>
      </w:r>
      <w:r>
        <w:tab/>
      </w:r>
      <w:r>
        <w:fldChar w:fldCharType="begin"/>
      </w:r>
      <w:r>
        <w:instrText xml:space="preserve"> PAGEREF _Toc14080 \h </w:instrText>
      </w:r>
      <w:r>
        <w:fldChar w:fldCharType="separate"/>
      </w:r>
      <w:r>
        <w:t xml:space="preserve">15</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_Toc30913 </w:instrText>
      </w:r>
      <w:r>
        <w:rPr>
          <w:rFonts w:ascii="Arial" w:hAnsi="Arial" w:cs="Arial"/>
          <w:bCs/>
        </w:rPr>
        <w:fldChar w:fldCharType="separate"/>
      </w:r>
      <w:r>
        <w:rPr>
          <w:rFonts w:ascii="Arial" w:hAnsi="Arial" w:eastAsia="宋体" w:cs="Arial"/>
          <w:bCs/>
          <w:szCs w:val="21"/>
        </w:rPr>
        <w:t xml:space="preserve">（一）开标</w:t>
      </w:r>
      <w:r>
        <w:tab/>
      </w:r>
      <w:r>
        <w:fldChar w:fldCharType="begin"/>
      </w:r>
      <w:r>
        <w:instrText xml:space="preserve"> PAGEREF _Toc30913 \h </w:instrText>
      </w:r>
      <w:r>
        <w:fldChar w:fldCharType="separate"/>
      </w:r>
      <w:r>
        <w:t xml:space="preserve">15</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_Toc22016 </w:instrText>
      </w:r>
      <w:r>
        <w:rPr>
          <w:rFonts w:ascii="Arial" w:hAnsi="Arial" w:cs="Arial"/>
          <w:bCs/>
        </w:rPr>
        <w:fldChar w:fldCharType="separate"/>
      </w:r>
      <w:r>
        <w:rPr>
          <w:rFonts w:ascii="Arial" w:hAnsi="Arial" w:eastAsia="宋体" w:cs="Arial"/>
          <w:bCs/>
          <w:szCs w:val="21"/>
        </w:rPr>
        <w:t xml:space="preserve">（二）评标组织</w:t>
      </w:r>
      <w:r>
        <w:tab/>
      </w:r>
      <w:r>
        <w:fldChar w:fldCharType="begin"/>
      </w:r>
      <w:r>
        <w:instrText xml:space="preserve"> PAGEREF _Toc22016 \h </w:instrText>
      </w:r>
      <w:r>
        <w:fldChar w:fldCharType="separate"/>
      </w:r>
      <w:r>
        <w:t xml:space="preserve">16</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_Toc22253 </w:instrText>
      </w:r>
      <w:r>
        <w:rPr>
          <w:rFonts w:ascii="Arial" w:hAnsi="Arial" w:cs="Arial"/>
          <w:bCs/>
        </w:rPr>
        <w:fldChar w:fldCharType="separate"/>
      </w:r>
      <w:r>
        <w:rPr>
          <w:rFonts w:ascii="Arial" w:hAnsi="Arial" w:eastAsia="宋体" w:cs="Arial"/>
          <w:bCs/>
          <w:szCs w:val="21"/>
        </w:rPr>
        <w:t xml:space="preserve">（三）对投标文件的资格性审查和符合性审查</w:t>
      </w:r>
      <w:r>
        <w:tab/>
      </w:r>
      <w:r>
        <w:fldChar w:fldCharType="begin"/>
      </w:r>
      <w:r>
        <w:instrText xml:space="preserve"> PAGEREF _Toc22253 \h </w:instrText>
      </w:r>
      <w:r>
        <w:fldChar w:fldCharType="separate"/>
      </w:r>
      <w:r>
        <w:t xml:space="preserve">16</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_Toc18841 </w:instrText>
      </w:r>
      <w:r>
        <w:rPr>
          <w:rFonts w:ascii="Arial" w:hAnsi="Arial" w:cs="Arial"/>
          <w:bCs/>
        </w:rPr>
        <w:fldChar w:fldCharType="separate"/>
      </w:r>
      <w:r>
        <w:rPr>
          <w:rFonts w:hint="eastAsia" w:ascii="宋体" w:hAnsi="宋体" w:eastAsia="宋体" w:cs="宋体"/>
          <w:bCs/>
          <w:szCs w:val="21"/>
        </w:rPr>
        <w:t xml:space="preserve">（四）投标文件的澄清</w:t>
      </w:r>
      <w:r>
        <w:tab/>
      </w:r>
      <w:r>
        <w:fldChar w:fldCharType="begin"/>
      </w:r>
      <w:r>
        <w:instrText xml:space="preserve"> PAGEREF _Toc18841 \h </w:instrText>
      </w:r>
      <w:r>
        <w:fldChar w:fldCharType="separate"/>
      </w:r>
      <w:r>
        <w:t xml:space="preserve">18</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_Toc3574 </w:instrText>
      </w:r>
      <w:r>
        <w:rPr>
          <w:rFonts w:ascii="Arial" w:hAnsi="Arial" w:cs="Arial"/>
          <w:bCs/>
        </w:rPr>
        <w:fldChar w:fldCharType="separate"/>
      </w:r>
      <w:r>
        <w:rPr>
          <w:rFonts w:hint="eastAsia" w:ascii="宋体" w:hAnsi="宋体" w:eastAsia="宋体" w:cs="宋体"/>
          <w:bCs/>
          <w:szCs w:val="21"/>
        </w:rPr>
        <w:t xml:space="preserve">（五）对投标文件的详细评审</w:t>
      </w:r>
      <w:r>
        <w:tab/>
      </w:r>
      <w:r>
        <w:fldChar w:fldCharType="begin"/>
      </w:r>
      <w:r>
        <w:instrText xml:space="preserve"> PAGEREF _Toc3574 \h </w:instrText>
      </w:r>
      <w:r>
        <w:fldChar w:fldCharType="separate"/>
      </w:r>
      <w:r>
        <w:t xml:space="preserve">18</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_Toc9996 </w:instrText>
      </w:r>
      <w:r>
        <w:rPr>
          <w:rFonts w:ascii="Arial" w:hAnsi="Arial" w:cs="Arial"/>
          <w:bCs/>
        </w:rPr>
        <w:fldChar w:fldCharType="separate"/>
      </w:r>
      <w:r>
        <w:rPr>
          <w:rFonts w:hint="eastAsia" w:ascii="宋体" w:hAnsi="宋体" w:eastAsia="宋体" w:cs="宋体"/>
          <w:bCs/>
          <w:szCs w:val="21"/>
        </w:rPr>
        <w:t xml:space="preserve">（六）评标过程的保密与公正</w:t>
      </w:r>
      <w:r>
        <w:tab/>
      </w:r>
      <w:r>
        <w:fldChar w:fldCharType="begin"/>
      </w:r>
      <w:r>
        <w:instrText xml:space="preserve"> PAGEREF _Toc9996 \h </w:instrText>
      </w:r>
      <w:r>
        <w:fldChar w:fldCharType="separate"/>
      </w:r>
      <w:r>
        <w:t xml:space="preserve">19</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_Toc20340 </w:instrText>
      </w:r>
      <w:r>
        <w:rPr>
          <w:rFonts w:ascii="Arial" w:hAnsi="Arial" w:cs="Arial"/>
          <w:bCs/>
        </w:rPr>
        <w:fldChar w:fldCharType="separate"/>
      </w:r>
      <w:r>
        <w:rPr>
          <w:rFonts w:hint="eastAsia" w:ascii="宋体" w:hAnsi="宋体" w:eastAsia="宋体" w:cs="宋体"/>
          <w:bCs/>
          <w:szCs w:val="21"/>
        </w:rPr>
        <w:t xml:space="preserve">（七）无效投标条款和废标条款</w:t>
      </w:r>
      <w:r>
        <w:tab/>
      </w:r>
      <w:r>
        <w:fldChar w:fldCharType="begin"/>
      </w:r>
      <w:r>
        <w:instrText xml:space="preserve"> PAGEREF _Toc20340 \h </w:instrText>
      </w:r>
      <w:r>
        <w:fldChar w:fldCharType="separate"/>
      </w:r>
      <w:r>
        <w:t xml:space="preserve">19</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_Toc1005 </w:instrText>
      </w:r>
      <w:r>
        <w:rPr>
          <w:rFonts w:ascii="Arial" w:hAnsi="Arial" w:cs="Arial"/>
          <w:bCs/>
        </w:rPr>
        <w:fldChar w:fldCharType="separate"/>
      </w:r>
      <w:r>
        <w:rPr>
          <w:rFonts w:hint="eastAsia" w:ascii="宋体" w:hAnsi="宋体" w:eastAsia="宋体" w:cs="宋体"/>
          <w:bCs/>
          <w:szCs w:val="21"/>
        </w:rPr>
        <w:t xml:space="preserve">（八）投标截止时间结束参加投标的供应商不足三家的处理</w:t>
      </w:r>
      <w:r>
        <w:tab/>
      </w:r>
      <w:r>
        <w:fldChar w:fldCharType="begin"/>
      </w:r>
      <w:r>
        <w:instrText xml:space="preserve"> PAGEREF _Toc1005 \h </w:instrText>
      </w:r>
      <w:r>
        <w:fldChar w:fldCharType="separate"/>
      </w:r>
      <w:r>
        <w:t xml:space="preserve">20</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_Toc864 </w:instrText>
      </w:r>
      <w:r>
        <w:rPr>
          <w:rFonts w:ascii="Arial" w:hAnsi="Arial" w:cs="Arial"/>
          <w:bCs/>
        </w:rPr>
        <w:fldChar w:fldCharType="separate"/>
      </w:r>
      <w:r>
        <w:rPr>
          <w:rFonts w:ascii="Arial" w:hAnsi="Arial" w:cs="Arial"/>
          <w:bCs/>
        </w:rPr>
        <w:t xml:space="preserve">六、授标</w:t>
      </w:r>
      <w:r>
        <w:tab/>
      </w:r>
      <w:r>
        <w:fldChar w:fldCharType="begin"/>
      </w:r>
      <w:r>
        <w:instrText xml:space="preserve"> PAGEREF _Toc864 \h </w:instrText>
      </w:r>
      <w:r>
        <w:fldChar w:fldCharType="separate"/>
      </w:r>
      <w:r>
        <w:t xml:space="preserve">20</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_Toc31903 </w:instrText>
      </w:r>
      <w:r>
        <w:rPr>
          <w:rFonts w:ascii="Arial" w:hAnsi="Arial" w:cs="Arial"/>
          <w:bCs/>
        </w:rPr>
        <w:fldChar w:fldCharType="separate"/>
      </w:r>
      <w:r>
        <w:rPr>
          <w:rFonts w:ascii="Arial" w:hAnsi="Arial" w:eastAsia="宋体" w:cs="Arial"/>
          <w:bCs/>
          <w:szCs w:val="21"/>
        </w:rPr>
        <w:t xml:space="preserve">（一）确定中标供应商</w:t>
      </w:r>
      <w:r>
        <w:tab/>
      </w:r>
      <w:r>
        <w:fldChar w:fldCharType="begin"/>
      </w:r>
      <w:r>
        <w:instrText xml:space="preserve"> PAGEREF _Toc31903 \h </w:instrText>
      </w:r>
      <w:r>
        <w:fldChar w:fldCharType="separate"/>
      </w:r>
      <w:r>
        <w:t xml:space="preserve">20</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_Toc32653 </w:instrText>
      </w:r>
      <w:r>
        <w:rPr>
          <w:rFonts w:ascii="Arial" w:hAnsi="Arial" w:cs="Arial"/>
          <w:bCs/>
        </w:rPr>
        <w:fldChar w:fldCharType="separate"/>
      </w:r>
      <w:r>
        <w:rPr>
          <w:rFonts w:ascii="Arial" w:hAnsi="Arial" w:eastAsia="宋体" w:cs="Arial"/>
          <w:bCs/>
          <w:szCs w:val="21"/>
        </w:rPr>
        <w:t xml:space="preserve">（二）中标的通知</w:t>
      </w:r>
      <w:r>
        <w:tab/>
      </w:r>
      <w:r>
        <w:fldChar w:fldCharType="begin"/>
      </w:r>
      <w:r>
        <w:instrText xml:space="preserve"> PAGEREF _Toc32653 \h </w:instrText>
      </w:r>
      <w:r>
        <w:fldChar w:fldCharType="separate"/>
      </w:r>
      <w:r>
        <w:t xml:space="preserve">20</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_Toc27248 </w:instrText>
      </w:r>
      <w:r>
        <w:rPr>
          <w:rFonts w:ascii="Arial" w:hAnsi="Arial" w:cs="Arial"/>
          <w:bCs/>
        </w:rPr>
        <w:fldChar w:fldCharType="separate"/>
      </w:r>
      <w:r>
        <w:rPr>
          <w:rFonts w:ascii="Arial" w:hAnsi="Arial" w:eastAsia="宋体" w:cs="Arial"/>
          <w:bCs/>
          <w:szCs w:val="21"/>
        </w:rPr>
        <w:t xml:space="preserve">（三）签订合同</w:t>
      </w:r>
      <w:r>
        <w:tab/>
      </w:r>
      <w:r>
        <w:fldChar w:fldCharType="begin"/>
      </w:r>
      <w:r>
        <w:instrText xml:space="preserve"> PAGEREF _Toc27248 \h </w:instrText>
      </w:r>
      <w:r>
        <w:fldChar w:fldCharType="separate"/>
      </w:r>
      <w:r>
        <w:t xml:space="preserve">21</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_Toc20405 </w:instrText>
      </w:r>
      <w:r>
        <w:rPr>
          <w:rFonts w:ascii="Arial" w:hAnsi="Arial" w:cs="Arial"/>
          <w:bCs/>
        </w:rPr>
        <w:fldChar w:fldCharType="separate"/>
      </w:r>
      <w:r>
        <w:rPr>
          <w:rFonts w:ascii="Arial" w:hAnsi="Arial" w:eastAsia="宋体" w:cs="Arial"/>
          <w:bCs/>
          <w:szCs w:val="21"/>
        </w:rPr>
        <w:t xml:space="preserve">（四）招标代理服务费</w:t>
      </w:r>
      <w:r>
        <w:tab/>
      </w:r>
      <w:r>
        <w:fldChar w:fldCharType="begin"/>
      </w:r>
      <w:r>
        <w:instrText xml:space="preserve"> PAGEREF _Toc20405 \h </w:instrText>
      </w:r>
      <w:r>
        <w:fldChar w:fldCharType="separate"/>
      </w:r>
      <w:r>
        <w:t xml:space="preserve">21</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_Toc27468 </w:instrText>
      </w:r>
      <w:r>
        <w:rPr>
          <w:rFonts w:ascii="Arial" w:hAnsi="Arial" w:cs="Arial"/>
          <w:bCs/>
        </w:rPr>
        <w:fldChar w:fldCharType="separate"/>
      </w:r>
      <w:r>
        <w:rPr>
          <w:rFonts w:ascii="Arial" w:hAnsi="Arial" w:cs="Arial"/>
          <w:bCs/>
        </w:rPr>
        <w:t xml:space="preserve">七、质疑</w:t>
      </w:r>
      <w:r>
        <w:tab/>
      </w:r>
      <w:r>
        <w:fldChar w:fldCharType="begin"/>
      </w:r>
      <w:r>
        <w:instrText xml:space="preserve"> PAGEREF _Toc27468 \h </w:instrText>
      </w:r>
      <w:r>
        <w:fldChar w:fldCharType="separate"/>
      </w:r>
      <w:r>
        <w:t xml:space="preserve">21</w:t>
      </w:r>
      <w:r>
        <w:fldChar w:fldCharType="end"/>
      </w:r>
      <w:r>
        <w:rPr>
          <w:rFonts w:ascii="Arial" w:hAnsi="Arial" w:cs="Arial"/>
          <w:bCs/>
        </w:rPr>
        <w:fldChar w:fldCharType="end"/>
      </w:r>
      <w:r/>
    </w:p>
    <w:p>
      <w:pPr>
        <w:pStyle w:val="1331"/>
        <w:tabs>
          <w:tab w:val="right" w:pos="9638" w:leader="dot"/>
        </w:tabs>
      </w:pPr>
      <w:r>
        <w:rPr>
          <w:rFonts w:ascii="Arial" w:hAnsi="Arial" w:cs="Arial"/>
          <w:bCs/>
        </w:rPr>
        <w:fldChar w:fldCharType="begin"/>
      </w:r>
      <w:r>
        <w:rPr>
          <w:rFonts w:ascii="Arial" w:hAnsi="Arial" w:cs="Arial"/>
          <w:bCs/>
        </w:rPr>
        <w:instrText xml:space="preserve"> HYPERLINK \l _Toc16066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_Toc16066 \h </w:instrText>
      </w:r>
      <w:r>
        <w:fldChar w:fldCharType="separate"/>
      </w:r>
      <w:r>
        <w:t xml:space="preserve">23</w:t>
      </w:r>
      <w:r>
        <w:fldChar w:fldCharType="end"/>
      </w:r>
      <w:r>
        <w:rPr>
          <w:rFonts w:ascii="Arial" w:hAnsi="Arial" w:cs="Arial"/>
          <w:bCs/>
        </w:rPr>
        <w:fldChar w:fldCharType="end"/>
      </w:r>
      <w:r/>
    </w:p>
    <w:p>
      <w:pPr>
        <w:pStyle w:val="1331"/>
        <w:tabs>
          <w:tab w:val="right" w:pos="9638" w:leader="dot"/>
        </w:tabs>
      </w:pPr>
      <w:r>
        <w:rPr>
          <w:rFonts w:ascii="Arial" w:hAnsi="Arial" w:cs="Arial"/>
          <w:bCs/>
        </w:rPr>
        <w:fldChar w:fldCharType="begin"/>
      </w:r>
      <w:r>
        <w:rPr>
          <w:rFonts w:ascii="Arial" w:hAnsi="Arial" w:cs="Arial"/>
          <w:bCs/>
        </w:rPr>
        <w:instrText xml:space="preserve"> HYPERLINK \l _Toc16064 </w:instrText>
      </w:r>
      <w:r>
        <w:rPr>
          <w:rFonts w:ascii="Arial" w:hAnsi="Arial" w:cs="Arial"/>
          <w:bCs/>
        </w:rPr>
        <w:fldChar w:fldCharType="separate"/>
      </w:r>
      <w:r>
        <w:rPr>
          <w:rFonts w:ascii="Arial" w:hAnsi="Arial" w:cs="Arial"/>
          <w:szCs w:val="28"/>
        </w:rPr>
        <w:t xml:space="preserve">第四章 招标技术规格及要求</w:t>
      </w:r>
      <w:r>
        <w:tab/>
      </w:r>
      <w:r>
        <w:fldChar w:fldCharType="begin"/>
      </w:r>
      <w:r>
        <w:instrText xml:space="preserve"> PAGEREF _Toc16064 \h </w:instrText>
      </w:r>
      <w:r>
        <w:fldChar w:fldCharType="separate"/>
      </w:r>
      <w:r>
        <w:t xml:space="preserve">28</w:t>
      </w:r>
      <w:r>
        <w:fldChar w:fldCharType="end"/>
      </w:r>
      <w:r>
        <w:rPr>
          <w:rFonts w:ascii="Arial" w:hAnsi="Arial" w:cs="Arial"/>
          <w:bCs/>
        </w:rPr>
        <w:fldChar w:fldCharType="end"/>
      </w:r>
      <w:r/>
    </w:p>
    <w:p>
      <w:pPr>
        <w:pStyle w:val="1331"/>
        <w:tabs>
          <w:tab w:val="right" w:pos="9638" w:leader="dot"/>
        </w:tabs>
      </w:pPr>
      <w:r>
        <w:rPr>
          <w:rFonts w:ascii="Arial" w:hAnsi="Arial" w:cs="Arial"/>
          <w:bCs/>
        </w:rPr>
        <w:fldChar w:fldCharType="begin"/>
      </w:r>
      <w:r>
        <w:rPr>
          <w:rFonts w:ascii="Arial" w:hAnsi="Arial" w:cs="Arial"/>
          <w:bCs/>
        </w:rPr>
        <w:instrText xml:space="preserve"> HYPERLINK \l _Toc6870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_Toc6870 \h </w:instrText>
      </w:r>
      <w:r>
        <w:fldChar w:fldCharType="separate"/>
      </w:r>
      <w:r>
        <w:t xml:space="preserve">58</w:t>
      </w:r>
      <w:r>
        <w:fldChar w:fldCharType="end"/>
      </w:r>
      <w:r>
        <w:rPr>
          <w:rFonts w:ascii="Arial" w:hAnsi="Arial" w:cs="Arial"/>
          <w:bCs/>
        </w:rPr>
        <w:fldChar w:fldCharType="end"/>
      </w:r>
      <w:r/>
    </w:p>
    <w:p>
      <w:pPr>
        <w:pStyle w:val="1331"/>
        <w:tabs>
          <w:tab w:val="right" w:pos="9638" w:leader="dot"/>
        </w:tabs>
      </w:pPr>
      <w:r>
        <w:rPr>
          <w:rFonts w:ascii="Arial" w:hAnsi="Arial" w:cs="Arial"/>
          <w:bCs/>
        </w:rPr>
        <w:fldChar w:fldCharType="begin"/>
      </w:r>
      <w:r>
        <w:rPr>
          <w:rFonts w:ascii="Arial" w:hAnsi="Arial" w:cs="Arial"/>
          <w:bCs/>
        </w:rPr>
        <w:instrText xml:space="preserve"> HYPERLINK \l _Toc19605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_Toc19605 \h </w:instrText>
      </w:r>
      <w:r>
        <w:fldChar w:fldCharType="separate"/>
      </w:r>
      <w:r>
        <w:t xml:space="preserve">65</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_Toc15457 </w:instrText>
      </w:r>
      <w:r>
        <w:rPr>
          <w:rFonts w:ascii="Arial" w:hAnsi="Arial" w:cs="Arial"/>
          <w:bCs/>
        </w:rPr>
        <w:fldChar w:fldCharType="separate"/>
      </w:r>
      <w:r>
        <w:rPr>
          <w:rFonts w:eastAsia="宋体" w:cs="Arial"/>
          <w:szCs w:val="24"/>
        </w:rPr>
        <w:t xml:space="preserve">资格审查索引表</w:t>
      </w:r>
      <w:r>
        <w:tab/>
      </w:r>
      <w:r>
        <w:fldChar w:fldCharType="begin"/>
      </w:r>
      <w:r>
        <w:instrText xml:space="preserve"> PAGEREF _Toc15457 \h </w:instrText>
      </w:r>
      <w:r>
        <w:fldChar w:fldCharType="separate"/>
      </w:r>
      <w:r>
        <w:t xml:space="preserve">66</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_Toc24213 </w:instrText>
      </w:r>
      <w:r>
        <w:rPr>
          <w:rFonts w:ascii="Arial" w:hAnsi="Arial" w:cs="Arial"/>
          <w:bCs/>
        </w:rPr>
        <w:fldChar w:fldCharType="separate"/>
      </w:r>
      <w:r>
        <w:rPr>
          <w:rFonts w:eastAsia="宋体" w:cs="Arial"/>
          <w:szCs w:val="24"/>
        </w:rPr>
        <w:t xml:space="preserve">评审索引表</w:t>
      </w:r>
      <w:r>
        <w:tab/>
      </w:r>
      <w:r>
        <w:fldChar w:fldCharType="begin"/>
      </w:r>
      <w:r>
        <w:instrText xml:space="preserve"> PAGEREF _Toc24213 \h </w:instrText>
      </w:r>
      <w:r>
        <w:fldChar w:fldCharType="separate"/>
      </w:r>
      <w:r>
        <w:t xml:space="preserve">67</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_Toc24869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_Toc24869 \h </w:instrText>
      </w:r>
      <w:r>
        <w:fldChar w:fldCharType="separate"/>
      </w:r>
      <w:r>
        <w:t xml:space="preserve">68</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_Toc9249 </w:instrText>
      </w:r>
      <w:r>
        <w:rPr>
          <w:rFonts w:ascii="Arial" w:hAnsi="Arial" w:cs="Arial"/>
          <w:bCs/>
        </w:rPr>
        <w:fldChar w:fldCharType="separate"/>
      </w:r>
      <w:r>
        <w:rPr>
          <w:rFonts w:ascii="Arial" w:hAnsi="Arial" w:cs="Arial"/>
          <w:bCs/>
          <w:szCs w:val="22"/>
          <w:highlight w:val="none"/>
        </w:rPr>
        <w:t xml:space="preserve">附件二 开标一览表</w:t>
      </w:r>
      <w:r>
        <w:tab/>
      </w:r>
      <w:r>
        <w:fldChar w:fldCharType="begin"/>
      </w:r>
      <w:r>
        <w:instrText xml:space="preserve"> PAGEREF _Toc9249 \h </w:instrText>
      </w:r>
      <w:r>
        <w:fldChar w:fldCharType="separate"/>
      </w:r>
      <w:r>
        <w:t xml:space="preserve">69</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_Toc10391 </w:instrText>
      </w:r>
      <w:r>
        <w:rPr>
          <w:rFonts w:ascii="Arial" w:hAnsi="Arial" w:cs="Arial"/>
          <w:bCs/>
        </w:rPr>
        <w:fldChar w:fldCharType="separate"/>
      </w:r>
      <w:r>
        <w:rPr>
          <w:rFonts w:ascii="Arial" w:hAnsi="Arial" w:cs="Arial"/>
          <w:bCs/>
          <w:szCs w:val="22"/>
        </w:rPr>
        <w:t xml:space="preserve">附件三 分项报价表</w:t>
      </w:r>
      <w:r>
        <w:tab/>
      </w:r>
      <w:r>
        <w:fldChar w:fldCharType="begin"/>
      </w:r>
      <w:r>
        <w:instrText xml:space="preserve"> PAGEREF _Toc10391 \h </w:instrText>
      </w:r>
      <w:r>
        <w:fldChar w:fldCharType="separate"/>
      </w:r>
      <w:r>
        <w:t xml:space="preserve">70</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_Toc27303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_Toc27303 \h </w:instrText>
      </w:r>
      <w:r>
        <w:fldChar w:fldCharType="separate"/>
      </w:r>
      <w:r>
        <w:t xml:space="preserve">71</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_Toc20242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_Toc20242 \h </w:instrText>
      </w:r>
      <w:r>
        <w:fldChar w:fldCharType="separate"/>
      </w:r>
      <w:r>
        <w:t xml:space="preserve">72</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_Toc5933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_Toc5933 \h </w:instrText>
      </w:r>
      <w:r>
        <w:fldChar w:fldCharType="separate"/>
      </w:r>
      <w:r>
        <w:t xml:space="preserve">73</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_Toc16181 </w:instrText>
      </w:r>
      <w:r>
        <w:rPr>
          <w:rFonts w:ascii="Arial" w:hAnsi="Arial" w:cs="Arial"/>
          <w:bCs/>
        </w:rPr>
        <w:fldChar w:fldCharType="separate"/>
      </w:r>
      <w:r>
        <w:rPr>
          <w:rFonts w:hint="eastAsia" w:ascii="Arial" w:hAnsi="Arial" w:eastAsia="宋体" w:cs="Arial"/>
          <w:bCs/>
          <w:szCs w:val="21"/>
          <w:lang w:eastAsia="zh-CN"/>
        </w:rPr>
        <w:t xml:space="preserve">（</w:t>
      </w:r>
      <w:r>
        <w:rPr>
          <w:rFonts w:hint="eastAsia" w:ascii="Arial" w:hAnsi="Arial" w:eastAsia="宋体" w:cs="Arial"/>
          <w:bCs/>
          <w:szCs w:val="21"/>
          <w:lang w:val="en-US" w:eastAsia="zh-CN"/>
        </w:rPr>
        <w:t xml:space="preserve">一</w:t>
      </w:r>
      <w:r>
        <w:rPr>
          <w:rFonts w:hint="eastAsia" w:ascii="Arial" w:hAnsi="Arial" w:eastAsia="宋体" w:cs="Arial"/>
          <w:bCs/>
          <w:szCs w:val="21"/>
          <w:lang w:eastAsia="zh-CN"/>
        </w:rPr>
        <w:t xml:space="preserve">）</w:t>
      </w:r>
      <w:r>
        <w:rPr>
          <w:rFonts w:ascii="Arial" w:hAnsi="Arial" w:eastAsia="宋体" w:cs="Arial"/>
          <w:bCs/>
          <w:szCs w:val="21"/>
        </w:rPr>
        <w:t xml:space="preserve">中小企业声明函（货物）</w:t>
      </w:r>
      <w:r>
        <w:tab/>
      </w:r>
      <w:r>
        <w:fldChar w:fldCharType="begin"/>
      </w:r>
      <w:r>
        <w:instrText xml:space="preserve"> PAGEREF _Toc16181 \h </w:instrText>
      </w:r>
      <w:r>
        <w:fldChar w:fldCharType="separate"/>
      </w:r>
      <w:r>
        <w:t xml:space="preserve">73</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_Toc25796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_Toc25796 \h </w:instrText>
      </w:r>
      <w:r>
        <w:fldChar w:fldCharType="separate"/>
      </w:r>
      <w:r>
        <w:t xml:space="preserve">75</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_Toc32527 </w:instrText>
      </w:r>
      <w:r>
        <w:rPr>
          <w:rFonts w:ascii="Arial" w:hAnsi="Arial" w:cs="Arial"/>
          <w:bCs/>
        </w:rPr>
        <w:fldChar w:fldCharType="separate"/>
      </w:r>
      <w:r>
        <w:rPr>
          <w:rFonts w:hint="eastAsia"/>
          <w:bCs/>
          <w:szCs w:val="21"/>
        </w:rPr>
        <w:t xml:space="preserve">（三）采购本国产品的支持政策</w:t>
      </w:r>
      <w:r>
        <w:tab/>
      </w:r>
      <w:r>
        <w:fldChar w:fldCharType="begin"/>
      </w:r>
      <w:r>
        <w:instrText xml:space="preserve"> PAGEREF _Toc32527 \h </w:instrText>
      </w:r>
      <w:r>
        <w:fldChar w:fldCharType="separate"/>
      </w:r>
      <w:r>
        <w:t xml:space="preserve">76</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_Toc24525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_Toc24525 \h </w:instrText>
      </w:r>
      <w:r>
        <w:fldChar w:fldCharType="separate"/>
      </w:r>
      <w:r>
        <w:t xml:space="preserve">78</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_Toc25549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_Toc25549 \h </w:instrText>
      </w:r>
      <w:r>
        <w:fldChar w:fldCharType="separate"/>
      </w:r>
      <w:r>
        <w:t xml:space="preserve">82</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_Toc19404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_Toc19404 \h </w:instrText>
      </w:r>
      <w:r>
        <w:fldChar w:fldCharType="separate"/>
      </w:r>
      <w:r>
        <w:t xml:space="preserve">82</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_Toc6913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_Toc6913 \h </w:instrText>
      </w:r>
      <w:r>
        <w:fldChar w:fldCharType="separate"/>
      </w:r>
      <w:r>
        <w:t xml:space="preserve">83</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_Toc11832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_Toc11832 \h </w:instrText>
      </w:r>
      <w:r>
        <w:fldChar w:fldCharType="separate"/>
      </w:r>
      <w:r>
        <w:t xml:space="preserve">84</w:t>
      </w:r>
      <w:r>
        <w:fldChar w:fldCharType="end"/>
      </w:r>
      <w:r>
        <w:rPr>
          <w:rFonts w:ascii="Arial" w:hAnsi="Arial" w:cs="Arial"/>
          <w:bCs/>
        </w:rPr>
        <w:fldChar w:fldCharType="end"/>
      </w:r>
      <w:r/>
    </w:p>
    <w:p>
      <w:pPr>
        <w:pStyle w:val="1331"/>
        <w:ind w:firstLine="840"/>
        <w:tabs>
          <w:tab w:val="right" w:pos="9638" w:leader="dot"/>
        </w:tabs>
      </w:pPr>
      <w:r>
        <w:rPr>
          <w:rFonts w:ascii="Arial" w:hAnsi="Arial" w:cs="Arial"/>
          <w:bCs/>
        </w:rPr>
        <w:fldChar w:fldCharType="begin"/>
      </w:r>
      <w:r>
        <w:rPr>
          <w:rFonts w:ascii="Arial" w:hAnsi="Arial" w:cs="Arial"/>
          <w:bCs/>
        </w:rPr>
        <w:instrText xml:space="preserve"> HYPERLINK \l _Toc28350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_Toc28350 \h </w:instrText>
      </w:r>
      <w:r>
        <w:fldChar w:fldCharType="separate"/>
      </w:r>
      <w:r>
        <w:t xml:space="preserve">85</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_Toc2207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_Toc2207 \h </w:instrText>
      </w:r>
      <w:r>
        <w:fldChar w:fldCharType="separate"/>
      </w:r>
      <w:r>
        <w:t xml:space="preserve">86</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_Toc2770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_Toc2770 \h </w:instrText>
      </w:r>
      <w:r>
        <w:fldChar w:fldCharType="separate"/>
      </w:r>
      <w:r>
        <w:t xml:space="preserve">87</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_Toc11810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_Toc11810 \h </w:instrText>
      </w:r>
      <w:r>
        <w:fldChar w:fldCharType="separate"/>
      </w:r>
      <w:r>
        <w:t xml:space="preserve">88</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_Toc14888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_Toc14888 \h </w:instrText>
      </w:r>
      <w:r>
        <w:fldChar w:fldCharType="separate"/>
      </w:r>
      <w:r>
        <w:t xml:space="preserve">89</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_Toc6441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_Toc6441 \h </w:instrText>
      </w:r>
      <w:r>
        <w:fldChar w:fldCharType="separate"/>
      </w:r>
      <w:r>
        <w:t xml:space="preserve">90</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_Toc1053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_Toc1053 \h </w:instrText>
      </w:r>
      <w:r>
        <w:fldChar w:fldCharType="separate"/>
      </w:r>
      <w:r>
        <w:t xml:space="preserve">91</w:t>
      </w:r>
      <w:r>
        <w:fldChar w:fldCharType="end"/>
      </w:r>
      <w:r>
        <w:rPr>
          <w:rFonts w:ascii="Arial" w:hAnsi="Arial" w:cs="Arial"/>
          <w:bCs/>
        </w:rPr>
        <w:fldChar w:fldCharType="end"/>
      </w:r>
      <w:r/>
    </w:p>
    <w:p>
      <w:pPr>
        <w:pStyle w:val="1315"/>
        <w:tabs>
          <w:tab w:val="right" w:pos="9638" w:leader="dot"/>
        </w:tabs>
      </w:pPr>
      <w:r>
        <w:rPr>
          <w:rFonts w:ascii="Arial" w:hAnsi="Arial" w:cs="Arial"/>
          <w:bCs/>
        </w:rPr>
        <w:fldChar w:fldCharType="begin"/>
      </w:r>
      <w:r>
        <w:rPr>
          <w:rFonts w:ascii="Arial" w:hAnsi="Arial" w:cs="Arial"/>
          <w:bCs/>
        </w:rPr>
        <w:instrText xml:space="preserve"> HYPERLINK \l _Toc14281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_Toc14281 \h </w:instrText>
      </w:r>
      <w:r>
        <w:fldChar w:fldCharType="separate"/>
      </w:r>
      <w:r>
        <w:t xml:space="preserve">92</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_Toc23009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_Toc23009 \h </w:instrText>
      </w:r>
      <w:r>
        <w:fldChar w:fldCharType="separate"/>
      </w:r>
      <w:r>
        <w:t xml:space="preserve">93</w:t>
      </w:r>
      <w:r>
        <w:fldChar w:fldCharType="end"/>
      </w:r>
      <w:r>
        <w:rPr>
          <w:rFonts w:ascii="Arial" w:hAnsi="Arial" w:cs="Arial"/>
          <w:bCs/>
        </w:rPr>
        <w:fldChar w:fldCharType="end"/>
      </w:r>
      <w:r/>
    </w:p>
    <w:p>
      <w:pPr>
        <w:pStyle w:val="1340"/>
        <w:tabs>
          <w:tab w:val="right" w:pos="9638" w:leader="dot"/>
        </w:tabs>
      </w:pPr>
      <w:r>
        <w:rPr>
          <w:rFonts w:ascii="Arial" w:hAnsi="Arial" w:cs="Arial"/>
          <w:bCs/>
        </w:rPr>
        <w:fldChar w:fldCharType="begin"/>
      </w:r>
      <w:r>
        <w:rPr>
          <w:rFonts w:ascii="Arial" w:hAnsi="Arial" w:cs="Arial"/>
          <w:bCs/>
        </w:rPr>
        <w:instrText xml:space="preserve"> HYPERLINK \l _Toc11319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_Toc11319 \h </w:instrText>
      </w:r>
      <w:r>
        <w:fldChar w:fldCharType="separate"/>
      </w:r>
      <w:r>
        <w:t xml:space="preserve">94</w:t>
      </w:r>
      <w:r>
        <w:fldChar w:fldCharType="end"/>
      </w:r>
      <w:r>
        <w:rPr>
          <w:rFonts w:ascii="Arial" w:hAnsi="Arial" w:cs="Arial"/>
          <w:bCs/>
        </w:rPr>
        <w:fldChar w:fldCharType="end"/>
      </w:r>
      <w:r/>
    </w:p>
    <w:p>
      <w:pPr>
        <w:pStyle w:val="1276"/>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340"/>
        <w:tabs>
          <w:tab w:val="right" w:pos="9638" w:leader="dot"/>
        </w:tabs>
      </w:pPr>
      <w:r/>
      <w:bookmarkStart w:id="0" w:name="_Toc9986"/>
      <w:r/>
      <w:bookmarkStart w:id="1" w:name="_Toc1"/>
      <w:r>
        <w:rPr>
          <w:rFonts w:hint="eastAsia" w:ascii="Arial" w:hAnsi="Arial" w:cs="Arial"/>
          <w:bCs/>
        </w:rPr>
        <w:t xml:space="preserve"> </w:t>
      </w:r>
      <w:r/>
    </w:p>
    <w:p>
      <w:pPr>
        <w:pStyle w:val="1276"/>
        <w:jc w:val="center"/>
        <w:spacing w:line="440" w:lineRule="exact"/>
        <w:rPr>
          <w:rFonts w:ascii="Arial" w:hAnsi="Arial" w:cs="Arial"/>
          <w:b/>
          <w:sz w:val="28"/>
          <w:szCs w:val="28"/>
        </w:rPr>
      </w:pPr>
      <w:r>
        <w:rPr>
          <w:rFonts w:ascii="Arial" w:hAnsi="Arial" w:cs="Arial"/>
          <w:b/>
          <w:sz w:val="28"/>
          <w:szCs w:val="28"/>
        </w:rPr>
      </w:r>
      <w:r/>
    </w:p>
    <w:p>
      <w:pPr>
        <w:pStyle w:val="1276"/>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276"/>
        <w:jc w:val="center"/>
        <w:spacing w:line="360" w:lineRule="auto"/>
        <w:rPr>
          <w:rFonts w:ascii="Arial" w:hAnsi="Arial" w:cs="Arial"/>
          <w:b/>
          <w:sz w:val="28"/>
          <w:szCs w:val="28"/>
        </w:rPr>
        <w:outlineLvl w:val="0"/>
      </w:pPr>
      <w:r/>
      <w:bookmarkStart w:id="2" w:name="_Toc21317"/>
      <w:r/>
      <w:bookmarkStart w:id="3" w:name="_Toc24346"/>
      <w:r/>
      <w:bookmarkStart w:id="4" w:name="_Toc23521"/>
      <w:r/>
      <w:bookmarkStart w:id="5" w:name="_Toc17066"/>
      <w:r/>
      <w:bookmarkStart w:id="6" w:name="_Toc16870"/>
      <w:r/>
      <w:bookmarkStart w:id="7" w:name="_Toc25878"/>
      <w:r>
        <w:rPr>
          <w:rFonts w:ascii="Arial" w:hAnsi="Arial" w:cs="Arial"/>
          <w:b/>
          <w:sz w:val="28"/>
          <w:szCs w:val="28"/>
        </w:rPr>
        <w:t xml:space="preserve">第一章 招标公告</w:t>
      </w:r>
      <w:bookmarkEnd w:id="0"/>
      <w:r/>
      <w:bookmarkEnd w:id="1"/>
      <w:r/>
      <w:bookmarkEnd w:id="2"/>
      <w:r/>
      <w:bookmarkEnd w:id="3"/>
      <w:r/>
      <w:bookmarkEnd w:id="4"/>
      <w:r/>
      <w:bookmarkEnd w:id="5"/>
      <w:r/>
      <w:bookmarkEnd w:id="6"/>
      <w:r/>
      <w:bookmarkEnd w:id="7"/>
      <w:r>
        <w:rPr>
          <w:rFonts w:ascii="Arial" w:hAnsi="Arial" w:cs="Arial"/>
          <w:b/>
          <w:sz w:val="28"/>
          <w:szCs w:val="28"/>
        </w:rPr>
      </w:r>
      <w:r/>
    </w:p>
    <w:p>
      <w:pPr>
        <w:pStyle w:val="1276"/>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276"/>
        <w:ind w:firstLine="420"/>
        <w:spacing w:line="360" w:lineRule="auto"/>
        <w:rPr>
          <w:rFonts w:hint="eastAsia" w:ascii="宋体" w:hAnsi="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南京市体育运动学校2026年食堂食材供应及配送采购</w:t>
      </w:r>
      <w:r>
        <w:rPr>
          <w:rFonts w:hint="eastAsia" w:ascii="宋体" w:hAnsi="宋体" w:cs="宋体"/>
          <w:szCs w:val="21"/>
        </w:rPr>
        <w:t xml:space="preserve">招标项目的潜在投标人应在“江苏政府采购网”自行免费下载招标文件，并于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10</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u w:val="single"/>
        </w:rPr>
      </w:r>
      <w:r/>
    </w:p>
    <w:p>
      <w:pPr>
        <w:pStyle w:val="1278"/>
        <w:spacing w:before="0" w:after="0" w:line="360" w:lineRule="auto"/>
        <w:rPr>
          <w:rFonts w:eastAsia="宋体" w:cs="Arial"/>
          <w:bCs w:val="0"/>
          <w:sz w:val="21"/>
          <w:szCs w:val="21"/>
        </w:rPr>
      </w:pPr>
      <w:r/>
      <w:bookmarkStart w:id="8" w:name="_Toc35393621"/>
      <w:r/>
      <w:bookmarkStart w:id="9" w:name="_Toc20264"/>
      <w:r/>
      <w:bookmarkStart w:id="10" w:name="_Toc27810"/>
      <w:r/>
      <w:bookmarkStart w:id="11" w:name="_Toc18950"/>
      <w:r/>
      <w:bookmarkStart w:id="12" w:name="_Toc30075"/>
      <w:r/>
      <w:bookmarkStart w:id="13" w:name="_Toc28359002"/>
      <w:r/>
      <w:bookmarkStart w:id="14" w:name="_Toc28359079"/>
      <w:r/>
      <w:bookmarkStart w:id="15" w:name="_Toc25006"/>
      <w:r/>
      <w:bookmarkStart w:id="16" w:name="_Toc35393790"/>
      <w:r/>
      <w:bookmarkStart w:id="17" w:name="_Toc12594"/>
      <w:r/>
      <w:bookmarkStart w:id="18" w:name="_Hlk24379207"/>
      <w:r>
        <w:rPr>
          <w:rFonts w:eastAsia="宋体" w:cs="Arial"/>
          <w:bCs w:val="0"/>
          <w:sz w:val="21"/>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rFonts w:eastAsia="宋体" w:cs="Arial"/>
          <w:bCs w:val="0"/>
          <w:sz w:val="21"/>
          <w:szCs w:val="21"/>
        </w:rPr>
      </w:r>
      <w:r/>
    </w:p>
    <w:p>
      <w:pPr>
        <w:pStyle w:val="1276"/>
        <w:ind w:firstLine="420"/>
        <w:spacing w:line="360" w:lineRule="auto"/>
        <w:rPr>
          <w:rFonts w:hint="eastAsia" w:ascii="宋体" w:hAnsi="宋体" w:cs="宋体"/>
          <w:szCs w:val="21"/>
          <w:highlight w:val="none"/>
        </w:rPr>
      </w:pPr>
      <w:r/>
      <w:bookmarkEnd w:id="18"/>
      <w:r>
        <w:rPr>
          <w:rFonts w:hint="eastAsia" w:ascii="宋体" w:hAnsi="宋体" w:cs="宋体"/>
          <w:szCs w:val="21"/>
        </w:rPr>
        <w:t xml:space="preserve">1、项目编号</w:t>
      </w:r>
      <w:r>
        <w:rPr>
          <w:rFonts w:hint="eastAsia" w:ascii="宋体" w:hAnsi="宋体" w:cs="宋体"/>
          <w:szCs w:val="21"/>
          <w:highlight w:val="none"/>
        </w:rPr>
        <w:t xml:space="preserve">：</w:t>
      </w:r>
      <w:r>
        <w:rPr>
          <w:rFonts w:hint="eastAsia" w:ascii="宋体" w:hAnsi="宋体" w:cs="宋体"/>
          <w:szCs w:val="21"/>
          <w:highlight w:val="none"/>
          <w:lang w:eastAsia="zh-CN"/>
        </w:rPr>
        <w:t xml:space="preserve">JSZC-320100-SMDY-G2026-0085</w:t>
      </w:r>
      <w:r>
        <w:rPr>
          <w:rFonts w:hint="eastAsia" w:ascii="宋体" w:hAnsi="宋体" w:cs="宋体"/>
          <w:szCs w:val="21"/>
          <w:highlight w:val="none"/>
        </w:rPr>
        <w:t xml:space="preserve">（</w:t>
      </w:r>
      <w:r>
        <w:rPr>
          <w:rFonts w:hint="eastAsia" w:ascii="宋体" w:hAnsi="宋体" w:cs="宋体"/>
          <w:szCs w:val="21"/>
          <w:highlight w:val="none"/>
          <w:lang w:eastAsia="zh-CN"/>
        </w:rPr>
        <w:t xml:space="preserve">2640SUMEC/ZWGG2126</w:t>
      </w:r>
      <w:r>
        <w:rPr>
          <w:rFonts w:hint="eastAsia" w:ascii="宋体" w:hAnsi="宋体" w:cs="宋体"/>
          <w:szCs w:val="21"/>
          <w:highlight w:val="none"/>
        </w:rPr>
        <w:t xml:space="preserve">）</w:t>
      </w:r>
      <w:r>
        <w:rPr>
          <w:rFonts w:hint="eastAsia" w:ascii="宋体" w:hAnsi="宋体" w:cs="宋体"/>
          <w:szCs w:val="21"/>
          <w:highlight w:val="none"/>
        </w:rPr>
      </w:r>
      <w:r/>
    </w:p>
    <w:p>
      <w:pPr>
        <w:pStyle w:val="1276"/>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南京市体育运动学校2026年食堂食材供应及配送采购</w:t>
      </w:r>
      <w:r>
        <w:rPr>
          <w:rFonts w:hint="eastAsia" w:ascii="宋体" w:hAnsi="宋体" w:eastAsia="宋体" w:cs="宋体"/>
          <w:szCs w:val="21"/>
          <w:highlight w:val="none"/>
          <w:lang w:eastAsia="zh-CN"/>
        </w:rPr>
      </w:r>
      <w:r/>
    </w:p>
    <w:p>
      <w:pPr>
        <w:pStyle w:val="1276"/>
        <w:ind w:firstLine="420"/>
        <w:spacing w:line="360" w:lineRule="auto"/>
        <w:rPr>
          <w:rFonts w:hint="eastAsia" w:ascii="宋体" w:hAnsi="宋体" w:cs="宋体"/>
          <w:szCs w:val="21"/>
        </w:rPr>
      </w:pPr>
      <w:r>
        <w:rPr>
          <w:rFonts w:hint="eastAsia" w:ascii="宋体" w:hAnsi="宋体" w:cs="宋体"/>
          <w:szCs w:val="21"/>
          <w:highlight w:val="none"/>
        </w:rPr>
        <w:t xml:space="preserve">3、预算金额：</w:t>
      </w:r>
      <w:r>
        <w:rPr>
          <w:rFonts w:hint="eastAsia" w:ascii="宋体" w:hAnsi="宋体" w:cs="宋体"/>
          <w:szCs w:val="21"/>
          <w:highlight w:val="none"/>
          <w:lang w:val="en-US" w:eastAsia="zh-CN"/>
        </w:rPr>
        <w:t xml:space="preserve">39</w:t>
      </w:r>
      <w:r>
        <w:rPr>
          <w:rFonts w:hint="eastAsia" w:ascii="宋体" w:hAnsi="宋体" w:cs="宋体"/>
          <w:szCs w:val="21"/>
          <w:highlight w:val="none"/>
        </w:rPr>
        <w:t xml:space="preserve">0万元，报价超过对应</w:t>
      </w:r>
      <w:r>
        <w:rPr>
          <w:rFonts w:hint="eastAsia" w:ascii="宋体" w:hAnsi="宋体" w:cs="宋体"/>
          <w:szCs w:val="21"/>
        </w:rPr>
        <w:t xml:space="preserve">的预算金额作无效投标处理。</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tbl>
      <w:tblPr>
        <w:tblW w:w="4727" w:type="pct"/>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3553"/>
        <w:gridCol w:w="3154"/>
        <w:gridCol w:w="1719"/>
      </w:tblGrid>
      <w:tr>
        <w:trPr>
          <w:trHeight w:val="624"/>
        </w:trPr>
        <w:tc>
          <w:tcPr>
            <w:tcW w:w="478" w:type="dxa"/>
            <w:vAlign w:val="center"/>
            <w:textDirection w:val="lrTb"/>
            <w:noWrap w:val="false"/>
          </w:tcPr>
          <w:p>
            <w:pPr>
              <w:pStyle w:val="1276"/>
              <w:jc w:val="center"/>
              <w:spacing w:line="360" w:lineRule="auto"/>
              <w:rPr>
                <w:rFonts w:ascii="宋体" w:hAnsi="宋体" w:cs="宋体"/>
                <w:b/>
                <w:bCs/>
                <w:szCs w:val="21"/>
              </w:rPr>
            </w:pPr>
            <w:r>
              <w:rPr>
                <w:rFonts w:hint="eastAsia" w:ascii="宋体" w:hAnsi="宋体" w:cs="宋体"/>
                <w:b/>
                <w:bCs/>
                <w:szCs w:val="21"/>
              </w:rPr>
              <w:t xml:space="preserve">包号</w:t>
            </w:r>
            <w:r>
              <w:rPr>
                <w:rFonts w:ascii="宋体" w:hAnsi="宋体" w:cs="宋体"/>
                <w:b/>
                <w:bCs/>
                <w:szCs w:val="21"/>
              </w:rPr>
            </w:r>
            <w:r/>
          </w:p>
        </w:tc>
        <w:tc>
          <w:tcPr>
            <w:tcW w:w="1906" w:type="dxa"/>
            <w:vAlign w:val="center"/>
            <w:textDirection w:val="lrTb"/>
            <w:noWrap w:val="false"/>
          </w:tcPr>
          <w:p>
            <w:pPr>
              <w:pStyle w:val="1276"/>
              <w:jc w:val="center"/>
              <w:spacing w:line="360" w:lineRule="auto"/>
              <w:rPr>
                <w:rFonts w:ascii="宋体" w:hAnsi="宋体" w:cs="宋体"/>
                <w:b/>
                <w:bCs/>
                <w:szCs w:val="21"/>
              </w:rPr>
            </w:pPr>
            <w:r>
              <w:rPr>
                <w:rFonts w:hint="eastAsia" w:ascii="宋体" w:hAnsi="宋体" w:cs="宋体"/>
                <w:b/>
                <w:bCs/>
                <w:szCs w:val="21"/>
              </w:rPr>
              <w:t xml:space="preserve">包名称</w:t>
            </w:r>
            <w:r>
              <w:rPr>
                <w:rFonts w:ascii="宋体" w:hAnsi="宋体" w:cs="宋体"/>
                <w:b/>
                <w:bCs/>
                <w:szCs w:val="21"/>
              </w:rPr>
            </w:r>
            <w:r/>
          </w:p>
        </w:tc>
        <w:tc>
          <w:tcPr>
            <w:tcW w:w="1692" w:type="dxa"/>
            <w:vAlign w:val="center"/>
            <w:textDirection w:val="lrTb"/>
            <w:noWrap w:val="false"/>
          </w:tcPr>
          <w:p>
            <w:pPr>
              <w:pStyle w:val="1276"/>
              <w:jc w:val="center"/>
              <w:spacing w:line="360" w:lineRule="auto"/>
              <w:rPr>
                <w:rFonts w:ascii="宋体" w:hAnsi="宋体" w:cs="宋体"/>
                <w:b/>
                <w:bCs/>
                <w:szCs w:val="21"/>
              </w:rPr>
            </w:pPr>
            <w:r>
              <w:rPr>
                <w:rFonts w:hint="eastAsia" w:ascii="宋体" w:hAnsi="宋体" w:cs="宋体"/>
                <w:b/>
                <w:bCs/>
                <w:szCs w:val="21"/>
              </w:rPr>
              <w:t xml:space="preserve">合同履行期限</w:t>
            </w:r>
            <w:r>
              <w:rPr>
                <w:rFonts w:ascii="宋体" w:hAnsi="宋体" w:cs="宋体"/>
                <w:b/>
                <w:bCs/>
                <w:szCs w:val="21"/>
              </w:rPr>
            </w:r>
            <w:r/>
          </w:p>
        </w:tc>
        <w:tc>
          <w:tcPr>
            <w:tcW w:w="922" w:type="dxa"/>
            <w:vAlign w:val="center"/>
            <w:textDirection w:val="lrTb"/>
            <w:noWrap w:val="false"/>
          </w:tcPr>
          <w:p>
            <w:pPr>
              <w:pStyle w:val="1276"/>
              <w:jc w:val="center"/>
              <w:spacing w:line="360" w:lineRule="auto"/>
              <w:rPr>
                <w:rFonts w:ascii="宋体" w:hAnsi="宋体" w:cs="宋体"/>
                <w:b/>
                <w:bCs/>
                <w:szCs w:val="21"/>
              </w:rPr>
            </w:pPr>
            <w:r>
              <w:rPr>
                <w:rFonts w:hint="eastAsia" w:ascii="宋体" w:hAnsi="宋体" w:cs="宋体"/>
                <w:b/>
                <w:bCs/>
                <w:szCs w:val="21"/>
              </w:rPr>
              <w:t xml:space="preserve">预算金额</w:t>
            </w:r>
            <w:r>
              <w:rPr>
                <w:rFonts w:ascii="宋体" w:hAnsi="宋体" w:cs="宋体"/>
                <w:b/>
                <w:bCs/>
                <w:szCs w:val="21"/>
              </w:rPr>
            </w:r>
            <w:r/>
          </w:p>
          <w:p>
            <w:pPr>
              <w:pStyle w:val="1276"/>
              <w:jc w:val="center"/>
              <w:spacing w:line="360" w:lineRule="auto"/>
              <w:rPr>
                <w:rFonts w:ascii="宋体" w:hAnsi="宋体" w:cs="宋体"/>
                <w:b/>
                <w:bCs/>
                <w:szCs w:val="21"/>
              </w:rPr>
            </w:pPr>
            <w:r>
              <w:rPr>
                <w:rFonts w:hint="eastAsia" w:ascii="宋体" w:hAnsi="宋体" w:cs="宋体"/>
                <w:b/>
                <w:bCs/>
                <w:szCs w:val="21"/>
              </w:rPr>
              <w:t xml:space="preserve">（万元）</w:t>
            </w:r>
            <w:r>
              <w:rPr>
                <w:rFonts w:ascii="宋体" w:hAnsi="宋体" w:cs="宋体"/>
                <w:b/>
                <w:bCs/>
                <w:szCs w:val="21"/>
              </w:rPr>
            </w:r>
            <w:r/>
          </w:p>
        </w:tc>
      </w:tr>
      <w:tr>
        <w:trPr>
          <w:trHeight w:val="624"/>
        </w:trPr>
        <w:tc>
          <w:tcPr>
            <w:tcW w:w="478"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06"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肉类</w:t>
            </w:r>
            <w:r>
              <w:rPr>
                <w:rFonts w:ascii="宋体" w:hAnsi="宋体" w:eastAsia="宋体" w:cs="宋体"/>
                <w:szCs w:val="21"/>
                <w:lang w:val="en-US" w:eastAsia="zh-CN"/>
              </w:rPr>
            </w:r>
            <w:r/>
          </w:p>
        </w:tc>
        <w:tc>
          <w:tcPr>
            <w:tcW w:w="1692" w:type="dxa"/>
            <w:vAlign w:val="center"/>
            <w:vMerge w:val="restart"/>
            <w:textDirection w:val="lrTb"/>
            <w:noWrap w:val="false"/>
          </w:tcPr>
          <w:p>
            <w:pPr>
              <w:pStyle w:val="1276"/>
              <w:jc w:val="center"/>
              <w:spacing w:line="360" w:lineRule="auto"/>
              <w:rPr>
                <w:rFonts w:ascii="宋体" w:hAnsi="宋体" w:eastAsia="宋体" w:cs="宋体"/>
                <w:szCs w:val="21"/>
                <w:lang w:val="en-US" w:eastAsia="zh-CN"/>
              </w:rPr>
            </w:pPr>
            <w:r>
              <w:rPr>
                <w:rFonts w:hint="eastAsia"/>
                <w:lang w:val="en-US" w:eastAsia="zh-CN"/>
              </w:rPr>
              <w:t xml:space="preserve">合同签订后1年</w:t>
            </w:r>
            <w:r>
              <w:rPr>
                <w:rFonts w:ascii="宋体" w:hAnsi="宋体" w:eastAsia="宋体" w:cs="宋体"/>
                <w:szCs w:val="21"/>
                <w:lang w:val="en-US" w:eastAsia="zh-CN"/>
              </w:rPr>
            </w:r>
            <w:r/>
          </w:p>
        </w:tc>
        <w:tc>
          <w:tcPr>
            <w:tcW w:w="922"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lang w:val="en-US" w:eastAsia="zh-CN"/>
              </w:rPr>
              <w:t xml:space="preserve">95</w:t>
            </w:r>
            <w:r>
              <w:rPr>
                <w:rFonts w:hint="eastAsia" w:ascii="宋体" w:hAnsi="宋体" w:cs="宋体"/>
                <w:szCs w:val="21"/>
              </w:rPr>
              <w:t xml:space="preserve">.00</w:t>
            </w:r>
            <w:r>
              <w:rPr>
                <w:rFonts w:ascii="宋体" w:hAnsi="宋体" w:cs="宋体"/>
                <w:szCs w:val="21"/>
              </w:rPr>
            </w:r>
            <w:r/>
          </w:p>
        </w:tc>
      </w:tr>
      <w:tr>
        <w:trPr>
          <w:trHeight w:val="624"/>
        </w:trPr>
        <w:tc>
          <w:tcPr>
            <w:tcW w:w="478"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06"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bCs/>
                <w:szCs w:val="22"/>
                <w:lang w:val="en-US" w:eastAsia="zh-CN"/>
              </w:rPr>
              <w:t xml:space="preserve">冷冻类</w:t>
            </w:r>
            <w:r>
              <w:rPr>
                <w:rFonts w:ascii="宋体" w:hAnsi="宋体" w:eastAsia="宋体" w:cs="宋体"/>
                <w:szCs w:val="21"/>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lang w:val="en-US" w:eastAsia="zh-CN"/>
              </w:rPr>
              <w:t xml:space="preserve">30</w:t>
            </w:r>
            <w:r>
              <w:rPr>
                <w:rFonts w:hint="eastAsia" w:ascii="宋体" w:hAnsi="宋体" w:cs="宋体"/>
                <w:szCs w:val="21"/>
              </w:rPr>
              <w:t xml:space="preserve">.00</w:t>
            </w:r>
            <w:r>
              <w:rPr>
                <w:rFonts w:ascii="宋体" w:hAnsi="宋体" w:cs="宋体"/>
                <w:szCs w:val="21"/>
              </w:rPr>
            </w:r>
            <w:r/>
          </w:p>
        </w:tc>
      </w:tr>
      <w:tr>
        <w:trPr>
          <w:trHeight w:val="624"/>
        </w:trPr>
        <w:tc>
          <w:tcPr>
            <w:tcW w:w="478"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06"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水产类</w:t>
            </w:r>
            <w:r>
              <w:rPr>
                <w:rFonts w:ascii="宋体" w:hAnsi="宋体" w:eastAsia="宋体" w:cs="宋体"/>
                <w:szCs w:val="21"/>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40.00</w:t>
            </w:r>
            <w:r>
              <w:rPr>
                <w:rFonts w:ascii="宋体" w:hAnsi="宋体" w:cs="宋体"/>
                <w:szCs w:val="21"/>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ascii="宋体" w:hAnsi="宋体" w:eastAsia="宋体" w:cs="宋体"/>
                <w:bCs/>
                <w:szCs w:val="22"/>
                <w:lang w:val="en-US" w:eastAsia="zh-CN"/>
              </w:rPr>
            </w:pPr>
            <w:r>
              <w:rPr>
                <w:rFonts w:hint="eastAsia" w:ascii="宋体" w:hAnsi="宋体" w:cs="宋体"/>
                <w:bCs/>
                <w:szCs w:val="22"/>
                <w:lang w:val="en-US" w:eastAsia="zh-CN"/>
              </w:rPr>
              <w:t xml:space="preserve">蔬菜禽蛋豆制品类</w:t>
            </w:r>
            <w:r>
              <w:rPr>
                <w:rFonts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70</w:t>
            </w:r>
            <w:r>
              <w:rPr>
                <w:rFonts w:hint="eastAsia" w:ascii="宋体" w:hAnsi="宋体" w:cs="宋体"/>
                <w:szCs w:val="21"/>
              </w:rPr>
              <w:t xml:space="preserve">.00</w:t>
            </w:r>
            <w:r>
              <w:rPr>
                <w:rFonts w:ascii="宋体" w:hAnsi="宋体" w:eastAsia="宋体" w:cs="宋体"/>
                <w:szCs w:val="21"/>
                <w:lang w:val="en-US" w:eastAsia="zh-CN"/>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5</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hint="eastAsia" w:ascii="宋体" w:hAnsi="宋体" w:eastAsia="宋体" w:cs="宋体"/>
                <w:bCs/>
                <w:szCs w:val="22"/>
                <w:lang w:val="en-US" w:eastAsia="zh-CN"/>
              </w:rPr>
            </w:pPr>
            <w:r>
              <w:rPr>
                <w:rFonts w:hint="eastAsia" w:ascii="宋体" w:hAnsi="宋体" w:cs="宋体"/>
                <w:bCs/>
                <w:szCs w:val="22"/>
                <w:lang w:val="en-US" w:eastAsia="zh-CN"/>
              </w:rPr>
              <w:t xml:space="preserve">水果类</w:t>
            </w:r>
            <w:r>
              <w:rPr>
                <w:rFonts w:hint="eastAsia"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35</w:t>
            </w:r>
            <w:r>
              <w:rPr>
                <w:rFonts w:hint="eastAsia" w:ascii="宋体" w:hAnsi="宋体" w:cs="宋体"/>
                <w:szCs w:val="21"/>
              </w:rPr>
              <w:t xml:space="preserve">.00</w:t>
            </w:r>
            <w:r>
              <w:rPr>
                <w:rFonts w:ascii="宋体" w:hAnsi="宋体" w:eastAsia="宋体" w:cs="宋体"/>
                <w:szCs w:val="21"/>
                <w:lang w:val="en-US" w:eastAsia="zh-CN"/>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hint="eastAsia" w:ascii="宋体" w:hAnsi="宋体" w:eastAsia="宋体" w:cs="宋体"/>
                <w:bCs/>
                <w:szCs w:val="22"/>
                <w:lang w:val="en-US" w:eastAsia="zh-CN"/>
              </w:rPr>
            </w:pPr>
            <w:r>
              <w:rPr>
                <w:rFonts w:hint="eastAsia" w:ascii="宋体" w:hAnsi="宋体" w:cs="宋体"/>
                <w:bCs/>
                <w:szCs w:val="22"/>
                <w:lang w:val="en-US" w:eastAsia="zh-CN"/>
              </w:rPr>
              <w:t xml:space="preserve">奶制品类</w:t>
            </w:r>
            <w:r>
              <w:rPr>
                <w:rFonts w:hint="eastAsia"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50</w:t>
            </w:r>
            <w:r>
              <w:rPr>
                <w:rFonts w:hint="eastAsia" w:ascii="宋体" w:hAnsi="宋体" w:cs="宋体"/>
                <w:szCs w:val="21"/>
              </w:rPr>
              <w:t xml:space="preserve">.00</w:t>
            </w:r>
            <w:r>
              <w:rPr>
                <w:rFonts w:ascii="宋体" w:hAnsi="宋体" w:eastAsia="宋体" w:cs="宋体"/>
                <w:szCs w:val="21"/>
                <w:lang w:val="en-US" w:eastAsia="zh-CN"/>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ascii="宋体" w:hAnsi="宋体" w:eastAsia="宋体" w:cs="宋体"/>
                <w:bCs/>
                <w:szCs w:val="22"/>
                <w:lang w:val="en-US" w:eastAsia="zh-CN"/>
              </w:rPr>
            </w:pPr>
            <w:r>
              <w:rPr>
                <w:rFonts w:hint="eastAsia" w:ascii="宋体" w:hAnsi="宋体" w:cs="宋体"/>
                <w:bCs/>
                <w:szCs w:val="22"/>
                <w:lang w:val="en-US" w:eastAsia="zh-CN"/>
              </w:rPr>
              <w:t xml:space="preserve">干货调料米面油类</w:t>
            </w:r>
            <w:r>
              <w:rPr>
                <w:rFonts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50</w:t>
            </w:r>
            <w:r>
              <w:rPr>
                <w:rFonts w:hint="eastAsia" w:ascii="宋体" w:hAnsi="宋体" w:cs="宋体"/>
                <w:szCs w:val="21"/>
              </w:rPr>
              <w:t xml:space="preserve">.00</w:t>
            </w:r>
            <w:r>
              <w:rPr>
                <w:rFonts w:ascii="宋体" w:hAnsi="宋体" w:eastAsia="宋体" w:cs="宋体"/>
                <w:szCs w:val="21"/>
                <w:lang w:val="en-US" w:eastAsia="zh-CN"/>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ascii="宋体" w:hAnsi="宋体" w:eastAsia="宋体" w:cs="宋体"/>
                <w:bCs/>
                <w:szCs w:val="22"/>
                <w:lang w:val="en-US" w:eastAsia="zh-CN"/>
              </w:rPr>
            </w:pPr>
            <w:r>
              <w:rPr>
                <w:rFonts w:hint="eastAsia" w:ascii="宋体" w:hAnsi="宋体" w:cs="宋体"/>
                <w:bCs/>
                <w:szCs w:val="22"/>
                <w:lang w:val="en-US" w:eastAsia="zh-CN"/>
              </w:rPr>
              <w:t xml:space="preserve">面包、面点、熟食类</w:t>
            </w:r>
            <w:r>
              <w:rPr>
                <w:rFonts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20</w:t>
            </w:r>
            <w:r>
              <w:rPr>
                <w:rFonts w:hint="eastAsia" w:ascii="宋体" w:hAnsi="宋体" w:cs="宋体"/>
                <w:szCs w:val="21"/>
              </w:rPr>
              <w:t xml:space="preserve">.00</w:t>
            </w:r>
            <w:r>
              <w:rPr>
                <w:rFonts w:ascii="宋体" w:hAnsi="宋体" w:eastAsia="宋体" w:cs="宋体"/>
                <w:szCs w:val="21"/>
                <w:lang w:val="en-US" w:eastAsia="zh-CN"/>
              </w:rPr>
            </w:r>
            <w:r/>
          </w:p>
        </w:tc>
      </w:tr>
    </w:tbl>
    <w:p>
      <w:pPr>
        <w:pStyle w:val="1276"/>
        <w:ind w:firstLine="420"/>
        <w:spacing w:line="360" w:lineRule="auto"/>
        <w:rPr>
          <w:rFonts w:ascii="宋体" w:hAnsi="宋体" w:eastAsia="宋体" w:cs="宋体"/>
          <w:szCs w:val="21"/>
          <w:lang w:val="en-US" w:eastAsia="zh-CN"/>
        </w:rPr>
      </w:pPr>
      <w:r>
        <w:rPr>
          <w:rFonts w:hint="eastAsia" w:ascii="宋体" w:hAnsi="宋体" w:cs="宋体"/>
          <w:szCs w:val="21"/>
        </w:rPr>
        <w:t xml:space="preserve">5、合同履行期限（交货期）：</w:t>
      </w:r>
      <w:r>
        <w:rPr>
          <w:rFonts w:hint="eastAsia" w:ascii="宋体" w:hAnsi="宋体" w:cs="宋体"/>
          <w:szCs w:val="21"/>
          <w:lang w:val="en-US" w:eastAsia="zh-CN"/>
        </w:rPr>
        <w:t xml:space="preserve">详见采购需求</w:t>
      </w:r>
      <w:r>
        <w:rPr>
          <w:rFonts w:ascii="宋体" w:hAnsi="宋体" w:eastAsia="宋体" w:cs="宋体"/>
          <w:szCs w:val="21"/>
          <w:lang w:val="en-US" w:eastAsia="zh-CN"/>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6、本项目（是/否）接受联合体投标：否。</w:t>
      </w:r>
      <w:r>
        <w:rPr>
          <w:rFonts w:hint="eastAsia" w:ascii="宋体" w:hAnsi="宋体" w:cs="宋体"/>
          <w:szCs w:val="21"/>
        </w:rPr>
      </w:r>
      <w:r/>
    </w:p>
    <w:p>
      <w:pPr>
        <w:pStyle w:val="1278"/>
        <w:numPr>
          <w:ilvl w:val="0"/>
          <w:numId w:val="1"/>
        </w:numPr>
        <w:spacing w:before="0" w:after="0" w:line="360" w:lineRule="auto"/>
        <w:rPr>
          <w:rFonts w:hint="eastAsia" w:ascii="宋体" w:hAnsi="宋体" w:eastAsia="宋体" w:cs="宋体"/>
          <w:sz w:val="21"/>
          <w:szCs w:val="21"/>
        </w:rPr>
      </w:pPr>
      <w:r/>
      <w:bookmarkStart w:id="19" w:name="_Toc5728"/>
      <w:r/>
      <w:bookmarkStart w:id="20" w:name="_Toc28147"/>
      <w:r/>
      <w:bookmarkStart w:id="21" w:name="_Toc35393791"/>
      <w:r/>
      <w:bookmarkStart w:id="22" w:name="_Toc13867"/>
      <w:r/>
      <w:bookmarkStart w:id="23" w:name="_Toc11805"/>
      <w:r/>
      <w:bookmarkStart w:id="24" w:name="_Toc35393622"/>
      <w:r/>
      <w:bookmarkStart w:id="25" w:name="_Toc18310"/>
      <w:r/>
      <w:bookmarkStart w:id="26" w:name="_Toc28359080"/>
      <w:r/>
      <w:bookmarkStart w:id="27" w:name="_Toc23582"/>
      <w:r/>
      <w:bookmarkStart w:id="28" w:name="_Toc28359003"/>
      <w:r>
        <w:rPr>
          <w:rFonts w:hint="eastAsia" w:ascii="宋体" w:hAnsi="宋体" w:eastAsia="宋体" w:cs="宋体"/>
          <w:sz w:val="21"/>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sz w:val="21"/>
          <w:szCs w:val="21"/>
        </w:rPr>
      </w:r>
      <w:r/>
    </w:p>
    <w:p>
      <w:pPr>
        <w:pStyle w:val="1276"/>
        <w:ind w:firstLine="422"/>
        <w:spacing w:line="360" w:lineRule="auto"/>
        <w:rPr>
          <w:rFonts w:hint="eastAsia" w:ascii="宋体" w:hAnsi="宋体" w:cs="宋体"/>
          <w:b/>
          <w:bCs/>
          <w:szCs w:val="15"/>
        </w:rPr>
      </w:pPr>
      <w:r/>
      <w:bookmarkStart w:id="29" w:name="_Toc25714"/>
      <w:r/>
      <w:bookmarkStart w:id="30" w:name="_Toc28359004"/>
      <w:r/>
      <w:bookmarkStart w:id="31" w:name="_Toc28359081"/>
      <w:r>
        <w:rPr>
          <w:rFonts w:hint="eastAsia" w:ascii="宋体" w:hAnsi="宋体" w:cs="宋体"/>
          <w:b/>
          <w:bCs/>
          <w:szCs w:val="15"/>
        </w:rPr>
        <w:t xml:space="preserve">1、满足《中华人民共和国政府采购法》第二十二条规定，</w:t>
      </w:r>
      <w:r>
        <w:rPr>
          <w:rFonts w:hint="eastAsia" w:ascii="宋体" w:hAnsi="宋体" w:cs="宋体"/>
          <w:b/>
          <w:bCs/>
          <w:szCs w:val="15"/>
        </w:rPr>
        <w:t xml:space="preserve">包括但不限于：</w:t>
      </w:r>
      <w:bookmarkEnd w:id="29"/>
      <w:r>
        <w:rPr>
          <w:rFonts w:hint="eastAsia" w:ascii="宋体" w:hAnsi="宋体" w:cs="宋体"/>
          <w:b/>
          <w:bCs/>
          <w:szCs w:val="15"/>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w:t>
      </w:r>
      <w:r>
        <w:rPr>
          <w:rFonts w:hint="eastAsia" w:ascii="宋体" w:hAnsi="宋体" w:cs="宋体"/>
          <w:szCs w:val="21"/>
          <w:lang w:val="en-US" w:eastAsia="zh-CN"/>
        </w:rPr>
        <w:t xml:space="preserve">上一</w:t>
      </w:r>
      <w:r>
        <w:rPr>
          <w:rFonts w:hint="eastAsia" w:ascii="宋体" w:hAnsi="宋体" w:cs="宋体"/>
          <w:szCs w:val="21"/>
        </w:rPr>
        <w:t xml:space="preserve">度经审计的财务报告复印件加盖公章；</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（6）有依法缴纳税收的良好记录，提供距开标时间六个月内任意一个月份的纳税（企业代缴的个人所得税除外）凭据复印件加盖公章（依法免税的应提供相应文件说明）；</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（7）有依法缴纳社会保障资金的良好记录，提供距开标时间六个月内任意一个月份的依法缴纳社会保障资金的凭据复印件加盖公章；</w:t>
      </w:r>
      <w:r>
        <w:rPr>
          <w:rFonts w:hint="eastAsia" w:ascii="宋体" w:hAnsi="宋体" w:cs="宋体"/>
          <w:szCs w:val="21"/>
        </w:rPr>
      </w:r>
      <w:r/>
    </w:p>
    <w:p>
      <w:pPr>
        <w:pStyle w:val="1276"/>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276"/>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276"/>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276"/>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276"/>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276"/>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276"/>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276"/>
        <w:ind w:firstLine="422"/>
        <w:spacing w:line="360" w:lineRule="auto"/>
        <w:rPr>
          <w:rFonts w:hint="eastAsia" w:ascii="宋体" w:hAnsi="宋体" w:cs="宋体"/>
          <w:szCs w:val="21"/>
        </w:rPr>
      </w:pPr>
      <w:r>
        <w:rPr>
          <w:rFonts w:hint="eastAsia" w:ascii="宋体" w:hAnsi="宋体" w:cs="宋体"/>
          <w:b/>
          <w:bCs/>
          <w:szCs w:val="21"/>
        </w:rPr>
        <w:t xml:space="preserve">2、落实政府采购政策需满足的资格要求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276"/>
        <w:ind w:firstLine="422"/>
        <w:spacing w:line="360" w:lineRule="auto"/>
        <w:rPr>
          <w:rFonts w:hint="eastAsia" w:ascii="宋体" w:hAnsi="宋体" w:cs="宋体"/>
          <w:b/>
          <w:bCs/>
          <w:szCs w:val="21"/>
        </w:rPr>
      </w:pPr>
      <w:r>
        <w:rPr>
          <w:rFonts w:hint="eastAsia" w:ascii="宋体" w:hAnsi="宋体" w:cs="宋体"/>
          <w:b/>
          <w:bCs/>
          <w:szCs w:val="21"/>
        </w:rPr>
        <w:t xml:space="preserve">3、本项目的特定资格要求：</w:t>
      </w:r>
      <w:r>
        <w:rPr>
          <w:rFonts w:hint="eastAsia" w:ascii="宋体" w:hAnsi="宋体" w:cs="宋体"/>
          <w:b/>
          <w:bCs/>
          <w:szCs w:val="21"/>
        </w:rPr>
      </w:r>
      <w:r/>
    </w:p>
    <w:p>
      <w:pPr>
        <w:pStyle w:val="1276"/>
        <w:ind w:firstLine="422"/>
        <w:spacing w:line="360" w:lineRule="auto"/>
        <w:rPr>
          <w:rFonts w:ascii="宋体" w:hAnsi="宋体"/>
          <w:b/>
          <w:bCs w:val="0"/>
          <w:szCs w:val="21"/>
        </w:rPr>
      </w:pPr>
      <w:r>
        <w:rPr>
          <w:rFonts w:hint="eastAsia" w:ascii="宋体" w:hAnsi="宋体"/>
          <w:b/>
          <w:bCs w:val="0"/>
          <w:szCs w:val="21"/>
        </w:rPr>
        <w:t xml:space="preserve">（1）</w:t>
      </w:r>
      <w:r>
        <w:rPr>
          <w:rFonts w:ascii="Times New Roman" w:hAnsi="Times New Roman" w:eastAsia="宋体" w:cs="Times New Roman"/>
          <w:b/>
          <w:bCs/>
          <w:szCs w:val="21"/>
          <w:lang w:eastAsia="zh-CN"/>
        </w:rPr>
        <w:t xml:space="preserve">供应商</w:t>
      </w:r>
      <w:r>
        <w:rPr>
          <w:rFonts w:ascii="Times New Roman" w:hAnsi="Times New Roman" w:eastAsia="宋体" w:cs="Times New Roman"/>
          <w:b/>
          <w:bCs/>
          <w:szCs w:val="21"/>
        </w:rPr>
        <w:t xml:space="preserve">具有有效期内的《食品经营（生产）许可证》或食品经营者备案信息采集表（仅销售预包装）</w:t>
      </w:r>
      <w:r>
        <w:rPr>
          <w:rFonts w:ascii="Times New Roman" w:hAnsi="Times New Roman" w:eastAsia="宋体" w:cs="Times New Roman"/>
          <w:b/>
          <w:bCs/>
          <w:szCs w:val="21"/>
          <w:lang w:eastAsia="zh-CN"/>
        </w:rPr>
        <w:t xml:space="preserve">。</w:t>
      </w:r>
      <w:r>
        <w:rPr>
          <w:rFonts w:ascii="宋体" w:hAnsi="宋体"/>
          <w:b/>
          <w:bCs w:val="0"/>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（3）中标后不允许转包、分包。</w:t>
      </w:r>
      <w:r>
        <w:rPr>
          <w:rFonts w:hint="eastAsia" w:ascii="宋体" w:hAnsi="宋体" w:cs="宋体"/>
          <w:szCs w:val="21"/>
        </w:rPr>
      </w:r>
      <w:r/>
    </w:p>
    <w:p>
      <w:pPr>
        <w:pStyle w:val="1276"/>
        <w:ind w:firstLine="420"/>
        <w:spacing w:line="360" w:lineRule="auto"/>
        <w:widowControl/>
        <w:rPr>
          <w:rFonts w:hint="eastAsia" w:ascii="宋体" w:hAnsi="宋体" w:cs="宋体"/>
          <w:color w:val="000000"/>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color w:val="000000"/>
        </w:rPr>
        <w:t xml:space="preserve">拒绝下述投标人参加本次采购活动的情形：</w:t>
      </w:r>
      <w:r>
        <w:rPr>
          <w:rFonts w:hint="eastAsia" w:ascii="宋体" w:hAnsi="宋体" w:cs="宋体"/>
          <w:color w:val="000000"/>
        </w:rPr>
      </w:r>
      <w:r/>
    </w:p>
    <w:p>
      <w:pPr>
        <w:pStyle w:val="1276"/>
        <w:ind w:firstLine="420"/>
        <w:spacing w:line="360" w:lineRule="auto"/>
        <w:widowControl/>
        <w:rPr>
          <w:rFonts w:hint="eastAsia" w:ascii="宋体" w:hAnsi="宋体" w:cs="宋体"/>
          <w:color w:val="000000"/>
        </w:rPr>
      </w:pPr>
      <w:r>
        <w:rPr>
          <w:rFonts w:hint="eastAsia" w:ascii="宋体" w:hAnsi="宋体" w:cs="宋体"/>
          <w:szCs w:val="21"/>
        </w:rPr>
        <w:t xml:space="preserve">①</w:t>
      </w:r>
      <w:r>
        <w:rPr>
          <w:rFonts w:hint="eastAsia" w:ascii="宋体" w:hAnsi="宋体" w:cs="宋体"/>
          <w:color w:val="000000"/>
        </w:rPr>
        <w:t xml:space="preserve">投标人单位负责人为同一人或者存在直接控股、管理关系的不同投标人，不得参加同一合同项下的政府采购活动。</w:t>
      </w:r>
      <w:r>
        <w:rPr>
          <w:rFonts w:hint="eastAsia" w:ascii="宋体" w:hAnsi="宋体" w:cs="宋体"/>
          <w:color w:val="000000"/>
        </w:rPr>
      </w:r>
      <w:r/>
    </w:p>
    <w:p>
      <w:pPr>
        <w:pStyle w:val="1276"/>
        <w:ind w:firstLine="420"/>
        <w:spacing w:line="360" w:lineRule="auto"/>
        <w:widowControl/>
        <w:rPr>
          <w:rFonts w:hint="eastAsia" w:ascii="宋体" w:hAnsi="宋体" w:cs="宋体"/>
          <w:color w:val="000000"/>
        </w:rPr>
      </w:pPr>
      <w:r>
        <w:rPr>
          <w:rFonts w:hint="eastAsia" w:ascii="宋体" w:hAnsi="宋体" w:cs="宋体"/>
          <w:color w:val="000000"/>
          <w:szCs w:val="21"/>
        </w:rPr>
        <w:t xml:space="preserve">②</w:t>
      </w:r>
      <w:r>
        <w:rPr>
          <w:rFonts w:hint="eastAsia" w:ascii="宋体" w:hAnsi="宋体" w:cs="宋体"/>
          <w:color w:val="000000"/>
        </w:rPr>
        <w:t xml:space="preserve">凡为采购项目提供整体设计、规范编制或者项目管理、监理、检测等服务的投标人，不得再参加本项目的采购活动。</w:t>
      </w:r>
      <w:r>
        <w:rPr>
          <w:rFonts w:hint="eastAsia" w:ascii="宋体" w:hAnsi="宋体" w:cs="宋体"/>
          <w:color w:val="000000"/>
        </w:rPr>
      </w:r>
      <w:r/>
    </w:p>
    <w:p>
      <w:pPr>
        <w:pStyle w:val="1276"/>
        <w:ind w:firstLine="420"/>
        <w:spacing w:line="360" w:lineRule="auto"/>
        <w:widowControl/>
        <w:rPr>
          <w:rFonts w:hint="eastAsia" w:ascii="宋体" w:hAnsi="宋体" w:cs="宋体"/>
          <w:szCs w:val="21"/>
        </w:rPr>
      </w:pPr>
      <w:r>
        <w:rPr>
          <w:rFonts w:hint="eastAsia" w:ascii="宋体" w:hAnsi="宋体" w:cs="宋体"/>
          <w:color w:val="000000"/>
          <w:szCs w:val="21"/>
        </w:rPr>
        <w:t xml:space="preserve">③</w:t>
      </w:r>
      <w:r>
        <w:rPr>
          <w:rFonts w:hint="eastAsia" w:ascii="宋体" w:hAnsi="宋体" w:cs="宋体"/>
          <w:color w:val="000000"/>
        </w:rPr>
        <w:t xml:space="preserve">拒绝列入失信被执行人、重大税收违法案件当事人名单、政府采购严重违法失信行为记录名单的投标人参与政府采购活动。</w:t>
      </w:r>
      <w:r>
        <w:rPr>
          <w:rFonts w:hint="eastAsia" w:ascii="宋体" w:hAnsi="宋体" w:cs="宋体"/>
          <w:bCs/>
          <w:color w:val="000000"/>
        </w:rPr>
        <w:t xml:space="preserve">采购代理机构在评标时</w:t>
      </w:r>
      <w:r>
        <w:rPr>
          <w:rFonts w:hint="eastAsia" w:ascii="宋体" w:hAnsi="宋体" w:cs="宋体"/>
          <w:color w:val="000000"/>
        </w:rPr>
        <w:t xml:space="preserve">通过“信用中国”网站(www.creditchina.gov.cn)、中国政府采购网(www.ccgp.gov.cn)等渠道查询投标人</w:t>
      </w:r>
      <w:r>
        <w:rPr>
          <w:rFonts w:hint="eastAsia" w:ascii="宋体" w:hAnsi="宋体" w:cs="宋体"/>
        </w:rPr>
        <w:t xml:space="preserve">在</w:t>
      </w:r>
      <w:r>
        <w:rPr>
          <w:rFonts w:ascii="Times New Roman" w:hAnsi="Times New Roman" w:eastAsia="宋体" w:cs="Times New Roman"/>
          <w:szCs w:val="21"/>
        </w:rPr>
        <w:t xml:space="preserve">提交投标文件截止时间之前</w:t>
      </w:r>
      <w:r>
        <w:rPr>
          <w:rFonts w:hint="eastAsia" w:ascii="宋体" w:hAnsi="宋体" w:cs="宋体"/>
        </w:rPr>
        <w:t xml:space="preserve">的信用记录并保存。</w:t>
      </w:r>
      <w:r>
        <w:rPr>
          <w:rFonts w:hint="eastAsia" w:ascii="宋体" w:hAnsi="宋体" w:cs="宋体"/>
          <w:szCs w:val="21"/>
        </w:rPr>
      </w:r>
      <w:r/>
    </w:p>
    <w:p>
      <w:pPr>
        <w:pStyle w:val="1278"/>
        <w:spacing w:before="0" w:after="0" w:line="360" w:lineRule="auto"/>
        <w:rPr>
          <w:rFonts w:hint="eastAsia" w:ascii="宋体" w:hAnsi="宋体" w:eastAsia="宋体" w:cs="宋体"/>
          <w:sz w:val="21"/>
          <w:szCs w:val="21"/>
        </w:rPr>
      </w:pPr>
      <w:r/>
      <w:bookmarkStart w:id="32" w:name="_Toc35393792"/>
      <w:r/>
      <w:bookmarkStart w:id="33" w:name="_Toc23882"/>
      <w:r/>
      <w:bookmarkStart w:id="34" w:name="_Toc23461"/>
      <w:r/>
      <w:bookmarkStart w:id="35" w:name="_Toc35393623"/>
      <w:r/>
      <w:bookmarkStart w:id="36" w:name="_Toc17864"/>
      <w:r/>
      <w:bookmarkStart w:id="37" w:name="_Toc28917"/>
      <w:r/>
      <w:bookmarkStart w:id="38" w:name="_Toc25779"/>
      <w:r/>
      <w:bookmarkStart w:id="39" w:name="_Toc4604"/>
      <w:r>
        <w:rPr>
          <w:rFonts w:hint="eastAsia" w:ascii="宋体" w:hAnsi="宋体" w:eastAsia="宋体" w:cs="宋体"/>
          <w:sz w:val="21"/>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rFonts w:hint="eastAsia" w:ascii="宋体" w:hAnsi="宋体" w:eastAsia="宋体" w:cs="宋体"/>
          <w:sz w:val="21"/>
          <w:szCs w:val="21"/>
        </w:rPr>
      </w:r>
      <w:r/>
    </w:p>
    <w:p>
      <w:pPr>
        <w:pStyle w:val="1276"/>
        <w:ind w:firstLine="420"/>
        <w:spacing w:line="460" w:lineRule="exact"/>
        <w:rPr>
          <w:szCs w:val="21"/>
        </w:rPr>
      </w:pPr>
      <w:r/>
      <w:bookmarkStart w:id="40" w:name="_Toc28359082"/>
      <w:r/>
      <w:bookmarkStart w:id="41" w:name="_Toc28359005"/>
      <w:r/>
      <w:bookmarkStart w:id="42" w:name="_Toc10556"/>
      <w:r/>
      <w:bookmarkStart w:id="43" w:name="_Toc20266"/>
      <w:r/>
      <w:bookmarkStart w:id="44" w:name="_Toc35393793"/>
      <w:r/>
      <w:bookmarkStart w:id="45" w:name="_Toc517"/>
      <w:r/>
      <w:bookmarkStart w:id="46" w:name="_Toc35393624"/>
      <w:r/>
      <w:bookmarkStart w:id="47" w:name="_Toc3988"/>
      <w:r>
        <w:rPr>
          <w:szCs w:val="21"/>
        </w:rPr>
        <w:t xml:space="preserve">时间：</w:t>
      </w:r>
      <w:r>
        <w:rPr>
          <w:rFonts w:hint="eastAsia"/>
          <w:szCs w:val="21"/>
        </w:rPr>
        <w:t xml:space="preserve">自招标文件公告发布之日起5个工作日</w:t>
      </w:r>
      <w:r>
        <w:rPr>
          <w:szCs w:val="21"/>
        </w:rPr>
      </w:r>
      <w:r/>
    </w:p>
    <w:p>
      <w:pPr>
        <w:pStyle w:val="1276"/>
        <w:ind w:firstLine="420"/>
        <w:spacing w:line="460" w:lineRule="exact"/>
        <w:rPr>
          <w:rFonts w:hint="eastAsia"/>
          <w:szCs w:val="21"/>
        </w:rPr>
      </w:pPr>
      <w:r>
        <w:rPr>
          <w:rFonts w:hint="eastAsia"/>
          <w:szCs w:val="21"/>
        </w:rPr>
        <w:t xml:space="preserve">地点：“苏采云”系统内免费下载（投标人必须在苏采云系统中获取采购文件，方能参与政府采购项目）</w:t>
      </w:r>
      <w:r>
        <w:rPr>
          <w:rFonts w:hint="eastAsia"/>
          <w:szCs w:val="21"/>
        </w:rPr>
      </w:r>
      <w:r/>
    </w:p>
    <w:p>
      <w:pPr>
        <w:pStyle w:val="1276"/>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276"/>
        <w:ind w:firstLine="420"/>
        <w:spacing w:line="460" w:lineRule="exact"/>
        <w:rPr>
          <w:rFonts w:hint="eastAsia"/>
          <w:szCs w:val="21"/>
        </w:rPr>
      </w:pPr>
      <w:r>
        <w:rPr>
          <w:rFonts w:hint="eastAsia"/>
          <w:szCs w:val="21"/>
        </w:rPr>
        <w:t xml:space="preserve">售价：0元。</w:t>
      </w:r>
      <w:r>
        <w:rPr>
          <w:rFonts w:hint="eastAsia"/>
          <w:szCs w:val="21"/>
        </w:rPr>
      </w:r>
      <w:r/>
    </w:p>
    <w:p>
      <w:pPr>
        <w:pStyle w:val="1278"/>
        <w:spacing w:before="0" w:after="0" w:line="360" w:lineRule="auto"/>
        <w:rPr>
          <w:rFonts w:hint="eastAsia" w:ascii="宋体" w:hAnsi="宋体" w:eastAsia="宋体" w:cs="宋体"/>
          <w:sz w:val="21"/>
          <w:szCs w:val="21"/>
        </w:rPr>
      </w:pPr>
      <w:r/>
      <w:bookmarkStart w:id="48" w:name="_Toc24063"/>
      <w:r/>
      <w:bookmarkStart w:id="49" w:name="_Toc20199"/>
      <w:r>
        <w:rPr>
          <w:rFonts w:hint="eastAsia" w:ascii="宋体" w:hAnsi="宋体" w:eastAsia="宋体" w:cs="宋体"/>
          <w:sz w:val="21"/>
          <w:szCs w:val="21"/>
        </w:rPr>
        <w:t xml:space="preserve">四、提交投标文件</w:t>
      </w:r>
      <w:bookmarkEnd w:id="40"/>
      <w:r/>
      <w:bookmarkEnd w:id="41"/>
      <w:r>
        <w:rPr>
          <w:rFonts w:hint="eastAsia" w:ascii="宋体" w:hAnsi="宋体" w:eastAsia="宋体" w:cs="宋体"/>
          <w:sz w:val="21"/>
          <w:szCs w:val="21"/>
        </w:rPr>
        <w:t xml:space="preserve">截止时间、开标时间和地点</w:t>
      </w:r>
      <w:bookmarkEnd w:id="42"/>
      <w:r/>
      <w:bookmarkEnd w:id="43"/>
      <w:r/>
      <w:bookmarkEnd w:id="44"/>
      <w:r/>
      <w:bookmarkEnd w:id="45"/>
      <w:r/>
      <w:bookmarkEnd w:id="46"/>
      <w:r/>
      <w:bookmarkEnd w:id="47"/>
      <w:r/>
      <w:bookmarkEnd w:id="48"/>
      <w:r/>
      <w:bookmarkEnd w:id="49"/>
      <w:r>
        <w:rPr>
          <w:rFonts w:hint="eastAsia" w:ascii="宋体" w:hAnsi="宋体" w:eastAsia="宋体" w:cs="宋体"/>
          <w:sz w:val="21"/>
          <w:szCs w:val="21"/>
        </w:rPr>
      </w:r>
      <w:r/>
    </w:p>
    <w:p>
      <w:pPr>
        <w:pStyle w:val="1276"/>
        <w:ind w:firstLine="420"/>
        <w:spacing w:line="360" w:lineRule="auto"/>
        <w:rPr>
          <w:rFonts w:hint="eastAsia" w:ascii="宋体" w:hAnsi="宋体" w:cs="宋体"/>
        </w:rPr>
      </w:pPr>
      <w:r/>
      <w:bookmarkStart w:id="50" w:name="_Toc28359007"/>
      <w:r/>
      <w:bookmarkStart w:id="51" w:name="_Toc35393794"/>
      <w:r/>
      <w:bookmarkStart w:id="52" w:name="_Toc28359084"/>
      <w:r/>
      <w:bookmarkStart w:id="53" w:name="_Toc35393625"/>
      <w:r>
        <w:rPr>
          <w:rFonts w:hint="eastAsia" w:ascii="宋体" w:hAnsi="宋体" w:cs="宋体"/>
        </w:rPr>
        <w:t xml:space="preserve">提交投标文件截止时间、开标时间：</w:t>
      </w:r>
      <w:r>
        <w:rPr>
          <w:rFonts w:hint="eastAsia" w:ascii="宋体" w:hAnsi="宋体" w:cs="宋体"/>
          <w:highlight w:val="none"/>
        </w:rPr>
        <w:t xml:space="preserve">2026年</w:t>
      </w:r>
      <w:r>
        <w:rPr>
          <w:rFonts w:hint="eastAsia" w:ascii="宋体" w:hAnsi="宋体" w:cs="宋体"/>
          <w:highlight w:val="none"/>
          <w:lang w:val="en-US" w:eastAsia="zh-CN"/>
        </w:rPr>
        <w:t xml:space="preserve">10</w:t>
      </w:r>
      <w:r>
        <w:rPr>
          <w:rFonts w:hint="eastAsia" w:ascii="宋体" w:hAnsi="宋体" w:cs="宋体"/>
          <w:highlight w:val="none"/>
        </w:rPr>
        <w:t xml:space="preserve">月</w:t>
      </w:r>
      <w:r>
        <w:rPr>
          <w:rFonts w:hint="eastAsia" w:ascii="宋体" w:hAnsi="宋体" w:cs="宋体"/>
          <w:highlight w:val="none"/>
          <w:lang w:val="en-US" w:eastAsia="zh-CN"/>
        </w:rPr>
        <w:t xml:space="preserve">12</w:t>
      </w:r>
      <w:r>
        <w:rPr>
          <w:rFonts w:hint="eastAsia" w:ascii="宋体" w:hAnsi="宋体" w:cs="宋体"/>
          <w:highlight w:val="none"/>
        </w:rPr>
        <w:t xml:space="preserve">日</w:t>
      </w:r>
      <w:r>
        <w:rPr>
          <w:rFonts w:hint="eastAsia" w:ascii="宋体" w:hAnsi="宋体" w:cs="宋体"/>
          <w:highlight w:val="none"/>
          <w:lang w:val="en-US" w:eastAsia="zh-CN"/>
        </w:rPr>
        <w:t xml:space="preserve">9</w:t>
      </w:r>
      <w:r>
        <w:rPr>
          <w:rFonts w:hint="eastAsia" w:ascii="宋体" w:hAnsi="宋体" w:cs="宋体"/>
          <w:highlight w:val="none"/>
        </w:rPr>
        <w:t xml:space="preserve">点</w:t>
      </w:r>
      <w:r>
        <w:rPr>
          <w:rFonts w:hint="eastAsia" w:ascii="宋体" w:hAnsi="宋体" w:cs="宋体"/>
          <w:highlight w:val="none"/>
          <w:lang w:val="en-US" w:eastAsia="zh-CN"/>
        </w:rPr>
        <w:t xml:space="preserve">30分</w:t>
      </w:r>
      <w:r>
        <w:rPr>
          <w:rFonts w:hint="eastAsia" w:ascii="宋体" w:hAnsi="宋体" w:cs="宋体"/>
        </w:rPr>
        <w:t xml:space="preserve">（北京时间）</w:t>
      </w:r>
      <w:r>
        <w:rPr>
          <w:rFonts w:hint="eastAsia" w:ascii="宋体" w:hAnsi="宋体" w:cs="宋体"/>
        </w:rPr>
      </w:r>
      <w:r/>
    </w:p>
    <w:p>
      <w:pPr>
        <w:pStyle w:val="1276"/>
        <w:ind w:firstLine="420"/>
        <w:spacing w:line="360" w:lineRule="auto"/>
        <w:rPr>
          <w:rFonts w:hint="eastAsia" w:ascii="宋体" w:hAnsi="宋体" w:cs="宋体"/>
          <w:b/>
        </w:rPr>
      </w:pPr>
      <w:r>
        <w:rPr>
          <w:rFonts w:hint="eastAsia" w:ascii="宋体" w:hAnsi="宋体" w:cs="宋体"/>
          <w:bCs/>
        </w:rPr>
        <w:t xml:space="preserve">地点：“苏采云”系统（网址： http://jszfcg.jsczt.cn/）“开标大厅”</w:t>
      </w:r>
      <w:r>
        <w:rPr>
          <w:rFonts w:hint="eastAsia" w:ascii="宋体" w:hAnsi="宋体" w:cs="宋体"/>
          <w:b/>
        </w:rPr>
      </w:r>
      <w:r/>
    </w:p>
    <w:p>
      <w:pPr>
        <w:pStyle w:val="1278"/>
        <w:spacing w:before="0" w:after="0" w:line="360" w:lineRule="auto"/>
        <w:rPr>
          <w:rFonts w:eastAsia="宋体" w:cs="Arial"/>
          <w:sz w:val="21"/>
          <w:szCs w:val="21"/>
        </w:rPr>
      </w:pPr>
      <w:r/>
      <w:bookmarkStart w:id="54" w:name="_Toc27082"/>
      <w:r/>
      <w:bookmarkStart w:id="55" w:name="_Toc4824"/>
      <w:r/>
      <w:bookmarkStart w:id="56" w:name="_Toc30462"/>
      <w:r/>
      <w:bookmarkStart w:id="57" w:name="_Toc3388"/>
      <w:r/>
      <w:bookmarkStart w:id="58" w:name="_Toc5732"/>
      <w:r/>
      <w:bookmarkStart w:id="59" w:name="_Toc24342"/>
      <w:r>
        <w:rPr>
          <w:rFonts w:eastAsia="宋体" w:cs="Arial"/>
          <w:sz w:val="21"/>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rFonts w:eastAsia="宋体" w:cs="Arial"/>
          <w:sz w:val="21"/>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278"/>
        <w:spacing w:before="0" w:after="0" w:line="360" w:lineRule="auto"/>
        <w:rPr>
          <w:rFonts w:eastAsia="宋体" w:cs="Arial"/>
          <w:sz w:val="21"/>
          <w:szCs w:val="21"/>
        </w:rPr>
      </w:pPr>
      <w:r/>
      <w:bookmarkStart w:id="60" w:name="_Toc24040"/>
      <w:r/>
      <w:bookmarkStart w:id="61" w:name="_Toc2831"/>
      <w:r/>
      <w:bookmarkStart w:id="62" w:name="_Toc21402"/>
      <w:r/>
      <w:bookmarkStart w:id="63" w:name="_Toc35393795"/>
      <w:r/>
      <w:bookmarkStart w:id="64" w:name="_Toc35393626"/>
      <w:r/>
      <w:bookmarkStart w:id="65" w:name="_Toc30915"/>
      <w:r/>
      <w:bookmarkStart w:id="66" w:name="_Toc8972"/>
      <w:r/>
      <w:bookmarkStart w:id="67" w:name="_Toc3800"/>
      <w:r>
        <w:rPr>
          <w:rFonts w:eastAsia="宋体" w:cs="Arial"/>
          <w:sz w:val="21"/>
          <w:szCs w:val="21"/>
        </w:rPr>
        <w:t xml:space="preserve">六、其他补充事宜</w:t>
      </w:r>
      <w:bookmarkEnd w:id="60"/>
      <w:r/>
      <w:bookmarkEnd w:id="61"/>
      <w:r/>
      <w:bookmarkEnd w:id="62"/>
      <w:r/>
      <w:bookmarkEnd w:id="63"/>
      <w:r/>
      <w:bookmarkEnd w:id="64"/>
      <w:r/>
      <w:bookmarkEnd w:id="65"/>
      <w:r/>
      <w:bookmarkEnd w:id="66"/>
      <w:r/>
      <w:bookmarkEnd w:id="67"/>
      <w:r>
        <w:rPr>
          <w:rFonts w:eastAsia="宋体" w:cs="Arial"/>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bookmarkStart w:id="68" w:name="_Toc35393627"/>
      <w:r/>
      <w:bookmarkStart w:id="69" w:name="_Toc28359008"/>
      <w:r/>
      <w:bookmarkStart w:id="70" w:name="_Toc35393796"/>
      <w:r/>
      <w:bookmarkStart w:id="71" w:name="_Toc28359085"/>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344"/>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、供应商诚信档案管理</w:t>
      </w:r>
      <w:r>
        <w:rPr>
          <w:rFonts w:hint="eastAsia" w:ascii="宋体" w:hAnsi="宋体" w:eastAsia="宋体" w:cs="宋体"/>
          <w:color w:val="000000"/>
          <w:sz w:val="21"/>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 供应商申请网上注册的，应当按以下程序进行： </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 （1）登陆“南京公共采购信息”网站，点击“政府采购供应商诚信档案”图标，在弹出的用户登录界面，点击“新用户注册”；</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s="宋体"/>
          <w:szCs w:val="21"/>
        </w:rPr>
      </w:r>
      <w:r/>
    </w:p>
    <w:p>
      <w:pPr>
        <w:pStyle w:val="1276"/>
        <w:ind w:firstLine="420"/>
        <w:spacing w:line="360" w:lineRule="auto"/>
        <w:rPr>
          <w:rFonts w:ascii="Arial" w:hAnsi="Arial" w:cs="Arial"/>
          <w:szCs w:val="21"/>
        </w:rPr>
      </w:pPr>
      <w:r>
        <w:rPr>
          <w:rFonts w:hint="eastAsia" w:ascii="宋体" w:hAnsi="宋体" w:cs="宋体"/>
          <w:szCs w:val="21"/>
        </w:rPr>
        <w:t xml:space="preserve">南京市政府采购供应商诚信档案管理系统客服电话：025-52718366；供应商可就用户注册与打印“南京市政府采购供应商信用记录表”等事宜进行咨询。</w:t>
      </w:r>
      <w:r>
        <w:rPr>
          <w:rFonts w:ascii="Arial" w:hAnsi="Arial" w:cs="Arial"/>
          <w:szCs w:val="21"/>
        </w:rPr>
      </w:r>
      <w:r/>
    </w:p>
    <w:p>
      <w:pPr>
        <w:pStyle w:val="1278"/>
        <w:spacing w:before="0" w:after="0" w:line="360" w:lineRule="auto"/>
        <w:rPr>
          <w:rFonts w:eastAsia="宋体" w:cs="Arial"/>
          <w:sz w:val="21"/>
          <w:szCs w:val="21"/>
        </w:rPr>
      </w:pPr>
      <w:r/>
      <w:bookmarkStart w:id="72" w:name="_Toc9042"/>
      <w:r/>
      <w:bookmarkStart w:id="73" w:name="_Toc22233"/>
      <w:r/>
      <w:bookmarkStart w:id="74" w:name="_Toc10546"/>
      <w:r/>
      <w:bookmarkStart w:id="75" w:name="_Toc28135"/>
      <w:r/>
      <w:bookmarkStart w:id="76" w:name="_Toc9926"/>
      <w:r/>
      <w:bookmarkStart w:id="77" w:name="_Toc29742"/>
      <w:r/>
      <w:bookmarkStart w:id="78" w:name="_Toc17648"/>
      <w:r>
        <w:rPr>
          <w:rFonts w:eastAsia="宋体" w:cs="Arial"/>
          <w:sz w:val="21"/>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rFonts w:eastAsia="宋体" w:cs="Arial"/>
          <w:sz w:val="21"/>
          <w:szCs w:val="21"/>
        </w:rPr>
      </w:r>
      <w:r/>
    </w:p>
    <w:p>
      <w:pPr>
        <w:pStyle w:val="1545"/>
        <w:ind w:firstLine="210"/>
        <w:spacing w:line="360" w:lineRule="auto"/>
        <w:rPr>
          <w:rFonts w:hint="eastAsia" w:ascii="宋体" w:hAnsi="宋体" w:eastAsia="宋体" w:cs="宋体"/>
          <w:szCs w:val="21"/>
          <w:lang w:eastAsia="zh-CN"/>
        </w:rPr>
      </w:pPr>
      <w:r/>
      <w:bookmarkStart w:id="79" w:name="_Toc28359009"/>
      <w:r/>
      <w:bookmarkStart w:id="80" w:name="_Toc28359086"/>
      <w:r>
        <w:rPr>
          <w:rFonts w:hint="eastAsia" w:ascii="宋体" w:hAnsi="宋体" w:cs="宋体"/>
          <w:szCs w:val="21"/>
        </w:rPr>
        <w:t xml:space="preserve">1、采购人：</w:t>
      </w:r>
      <w:r>
        <w:rPr>
          <w:rFonts w:hint="eastAsia" w:ascii="宋体" w:hAnsi="宋体" w:cs="宋体"/>
          <w:szCs w:val="21"/>
          <w:lang w:eastAsia="zh-CN"/>
        </w:rPr>
        <w:t xml:space="preserve">南京市体育运动学校</w:t>
      </w:r>
      <w:r>
        <w:rPr>
          <w:rFonts w:hint="eastAsia" w:ascii="宋体" w:hAnsi="宋体" w:eastAsia="宋体" w:cs="宋体"/>
          <w:szCs w:val="21"/>
          <w:lang w:eastAsia="zh-CN"/>
        </w:rPr>
      </w:r>
      <w:r/>
    </w:p>
    <w:p>
      <w:pPr>
        <w:pStyle w:val="1276"/>
        <w:ind w:left="0" w:right="0" w:firstLine="210"/>
        <w:keepLines w:val="0"/>
        <w:keepNext w:val="0"/>
        <w:pageBreakBefore w:val="0"/>
        <w:spacing w:line="360" w:lineRule="auto"/>
        <w:rPr>
          <w:rFonts w:ascii="Times New Roman" w:hAnsi="Times New Roman" w:eastAsia="宋体" w:cs="Times New Roman"/>
          <w:szCs w:val="21"/>
          <w:lang w:val="en-US" w:eastAsia="zh-CN"/>
        </w:rPr>
      </w:pPr>
      <w:r>
        <w:rPr>
          <w:rFonts w:ascii="Times New Roman" w:hAnsi="Times New Roman" w:eastAsia="宋体" w:cs="Times New Roman"/>
          <w:szCs w:val="21"/>
        </w:rPr>
        <w:t xml:space="preserve">地址：南京市秦淮区公园路42号</w:t>
      </w:r>
      <w:r>
        <w:rPr>
          <w:rFonts w:ascii="Times New Roman" w:hAnsi="Times New Roman" w:eastAsia="宋体" w:cs="Times New Roman"/>
          <w:szCs w:val="21"/>
          <w:lang w:val="en-US" w:eastAsia="zh-CN"/>
        </w:rPr>
      </w:r>
      <w:r/>
    </w:p>
    <w:p>
      <w:pPr>
        <w:pStyle w:val="1276"/>
        <w:ind w:left="0" w:right="0" w:firstLine="210"/>
        <w:keepLines w:val="0"/>
        <w:keepNext w:val="0"/>
        <w:pageBreakBefore w:val="0"/>
        <w:spacing w:line="360" w:lineRule="auto"/>
        <w:rPr>
          <w:rFonts w:ascii="Times New Roman" w:hAnsi="Times New Roman" w:eastAsia="宋体" w:cs="Times New Roman"/>
          <w:szCs w:val="21"/>
          <w:lang w:val="en-US" w:eastAsia="zh-CN"/>
        </w:rPr>
      </w:pPr>
      <w:r>
        <w:rPr>
          <w:rFonts w:ascii="Times New Roman" w:hAnsi="Times New Roman" w:eastAsia="宋体" w:cs="Times New Roman"/>
          <w:szCs w:val="21"/>
        </w:rPr>
        <w:t xml:space="preserve">联系方式：</w:t>
      </w:r>
      <w:r>
        <w:rPr>
          <w:rFonts w:hint="eastAsia" w:hAnsi="宋体" w:cs="宋体"/>
          <w:sz w:val="21"/>
          <w:szCs w:val="21"/>
          <w:lang w:val="en-US"/>
        </w:rPr>
        <w:t xml:space="preserve">李老师025-85011011  </w:t>
      </w:r>
      <w:r>
        <w:rPr>
          <w:rFonts w:ascii="Times New Roman" w:hAnsi="Times New Roman" w:eastAsia="宋体" w:cs="Times New Roman"/>
          <w:szCs w:val="21"/>
          <w:lang w:val="en-US" w:eastAsia="zh-CN"/>
        </w:rPr>
      </w:r>
      <w:r/>
    </w:p>
    <w:p>
      <w:pPr>
        <w:pStyle w:val="1276"/>
        <w:ind w:firstLine="21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79"/>
      <w:r/>
      <w:bookmarkEnd w:id="80"/>
      <w:r>
        <w:rPr>
          <w:rFonts w:hint="eastAsia" w:ascii="宋体" w:hAnsi="宋体" w:cs="宋体"/>
          <w:szCs w:val="21"/>
        </w:rPr>
      </w:r>
      <w:r/>
    </w:p>
    <w:p>
      <w:pPr>
        <w:pStyle w:val="1276"/>
        <w:ind w:firstLine="210"/>
        <w:spacing w:line="360" w:lineRule="auto"/>
        <w:rPr>
          <w:rFonts w:hint="eastAsia" w:ascii="宋体" w:hAnsi="宋体" w:cs="宋体"/>
          <w:szCs w:val="21"/>
        </w:rPr>
      </w:pPr>
      <w:r>
        <w:rPr>
          <w:rFonts w:hint="eastAsia" w:ascii="宋体" w:hAnsi="宋体" w:cs="宋体"/>
          <w:szCs w:val="21"/>
        </w:rPr>
        <w:t xml:space="preserve">名称：江苏苏美达仪器设备有限公司</w:t>
      </w:r>
      <w:r>
        <w:rPr>
          <w:rFonts w:hint="eastAsia" w:ascii="宋体" w:hAnsi="宋体" w:cs="宋体"/>
          <w:szCs w:val="21"/>
        </w:rPr>
      </w:r>
      <w:r/>
    </w:p>
    <w:p>
      <w:pPr>
        <w:pStyle w:val="1276"/>
        <w:ind w:firstLine="21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276"/>
        <w:ind w:firstLine="210"/>
        <w:spacing w:line="360" w:lineRule="auto"/>
        <w:rPr>
          <w:rFonts w:hint="eastAsia" w:ascii="宋体" w:hAnsi="宋体" w:cs="宋体"/>
          <w:szCs w:val="21"/>
        </w:rPr>
      </w:pPr>
      <w:r>
        <w:rPr>
          <w:rFonts w:hint="eastAsia" w:ascii="宋体" w:hAnsi="宋体" w:cs="宋体"/>
          <w:szCs w:val="21"/>
        </w:rPr>
        <w:t xml:space="preserve">联系方式：</w:t>
      </w:r>
      <w:bookmarkStart w:id="81" w:name="_Toc28359010"/>
      <w:r/>
      <w:bookmarkStart w:id="82" w:name="_Toc28359087"/>
      <w:r>
        <w:rPr>
          <w:rFonts w:hint="eastAsia" w:ascii="宋体" w:hAnsi="宋体" w:cs="宋体"/>
          <w:szCs w:val="21"/>
        </w:rPr>
        <w:t xml:space="preserve">李婧怡025-84532580（</w:t>
      </w:r>
      <w:r>
        <w:rPr>
          <w:rFonts w:hint="eastAsia" w:ascii="宋体" w:hAnsi="宋体" w:cs="宋体"/>
          <w:b/>
          <w:bCs/>
          <w:szCs w:val="21"/>
        </w:rPr>
        <w:t xml:space="preserve">文件发售）</w:t>
      </w:r>
      <w:r>
        <w:rPr>
          <w:rFonts w:hint="eastAsia" w:ascii="宋体" w:hAnsi="宋体" w:cs="宋体"/>
          <w:szCs w:val="21"/>
        </w:rPr>
        <w:t xml:space="preserve">、</w:t>
      </w:r>
      <w:r>
        <w:rPr>
          <w:rFonts w:hint="eastAsia" w:ascii="宋体" w:hAnsi="宋体" w:cs="宋体"/>
          <w:color w:val="000000"/>
          <w:szCs w:val="21"/>
        </w:rPr>
        <w:t xml:space="preserve">谭一凡025-84532547</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杨慧025-84532526</w:t>
      </w:r>
      <w:r>
        <w:rPr>
          <w:rFonts w:hint="eastAsia" w:ascii="宋体" w:hAnsi="宋体" w:cs="宋体"/>
          <w:color w:val="000000"/>
          <w:szCs w:val="21"/>
        </w:rPr>
        <w:t xml:space="preserve">（</w:t>
      </w:r>
      <w:r>
        <w:rPr>
          <w:rFonts w:hint="eastAsia" w:ascii="宋体" w:hAnsi="宋体" w:cs="宋体"/>
          <w:b/>
          <w:bCs/>
          <w:szCs w:val="21"/>
        </w:rPr>
        <w:t xml:space="preserve">技术咨询）</w:t>
      </w:r>
      <w:r>
        <w:rPr>
          <w:rFonts w:hint="eastAsia" w:ascii="宋体" w:hAnsi="宋体" w:cs="宋体"/>
          <w:szCs w:val="21"/>
        </w:rPr>
      </w:r>
      <w:r/>
    </w:p>
    <w:p>
      <w:pPr>
        <w:pStyle w:val="1276"/>
        <w:ind w:firstLine="210"/>
        <w:spacing w:line="360" w:lineRule="auto"/>
        <w:rPr>
          <w:rFonts w:hint="eastAsia" w:ascii="宋体" w:hAnsi="宋体" w:cs="宋体"/>
          <w:szCs w:val="21"/>
          <w:u w:val="single"/>
        </w:rPr>
      </w:pPr>
      <w:r>
        <w:rPr>
          <w:rFonts w:hint="eastAsia" w:ascii="宋体" w:hAnsi="宋体" w:cs="宋体"/>
          <w:szCs w:val="21"/>
        </w:rPr>
        <w:t xml:space="preserve">3、项目联系方式</w:t>
      </w:r>
      <w:bookmarkEnd w:id="81"/>
      <w:r/>
      <w:bookmarkEnd w:id="82"/>
      <w:r>
        <w:rPr>
          <w:rFonts w:hint="eastAsia" w:ascii="宋体" w:hAnsi="宋体" w:cs="宋体"/>
          <w:szCs w:val="21"/>
          <w:u w:val="single"/>
        </w:rPr>
      </w:r>
      <w:r/>
    </w:p>
    <w:p>
      <w:pPr>
        <w:pStyle w:val="1316"/>
        <w:ind w:firstLine="210"/>
        <w:spacing w:line="360" w:lineRule="auto"/>
        <w:rPr>
          <w:rFonts w:hAnsi="宋体" w:cs="宋体"/>
          <w:color w:val="000000"/>
          <w:szCs w:val="21"/>
        </w:rPr>
      </w:pPr>
      <w:r>
        <w:rPr>
          <w:rFonts w:hint="eastAsia" w:hAnsi="宋体" w:cs="宋体"/>
          <w:szCs w:val="21"/>
        </w:rPr>
        <w:t xml:space="preserve">项目联系人：</w:t>
      </w:r>
      <w:r>
        <w:rPr>
          <w:rFonts w:hint="eastAsia" w:hAnsi="宋体" w:cs="宋体"/>
          <w:color w:val="000000"/>
          <w:szCs w:val="21"/>
        </w:rPr>
        <w:t xml:space="preserve">谭一凡</w:t>
      </w:r>
      <w:r>
        <w:rPr>
          <w:rFonts w:hAnsi="宋体" w:cs="宋体"/>
          <w:color w:val="000000"/>
          <w:szCs w:val="21"/>
        </w:rPr>
      </w:r>
      <w:r/>
    </w:p>
    <w:p>
      <w:pPr>
        <w:pStyle w:val="1316"/>
        <w:ind w:firstLine="210"/>
        <w:spacing w:line="360" w:lineRule="auto"/>
        <w:rPr>
          <w:rFonts w:hint="eastAsia" w:hAnsi="宋体" w:cs="宋体"/>
        </w:rPr>
      </w:pPr>
      <w:r>
        <w:rPr>
          <w:rFonts w:hint="eastAsia" w:hAnsi="宋体" w:cs="宋体"/>
          <w:szCs w:val="21"/>
        </w:rPr>
        <w:t xml:space="preserve">联系方式：025-84532547</w:t>
      </w:r>
      <w:r>
        <w:rPr>
          <w:rFonts w:hint="eastAsia" w:hAnsi="宋体" w:cs="宋体"/>
        </w:rPr>
      </w:r>
      <w:r/>
    </w:p>
    <w:p>
      <w:pPr>
        <w:pStyle w:val="1276"/>
        <w:jc w:val="center"/>
        <w:spacing w:line="360" w:lineRule="auto"/>
        <w:rPr>
          <w:rFonts w:hint="eastAsia" w:ascii="宋体" w:hAnsi="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rPr>
      </w:r>
      <w:r/>
    </w:p>
    <w:p>
      <w:pPr>
        <w:pStyle w:val="1276"/>
        <w:jc w:val="center"/>
        <w:spacing w:line="440" w:lineRule="exact"/>
        <w:rPr>
          <w:rFonts w:ascii="Arial" w:hAnsi="Arial" w:cs="Arial"/>
          <w:b/>
          <w:sz w:val="28"/>
          <w:szCs w:val="28"/>
        </w:rPr>
        <w:outlineLvl w:val="0"/>
      </w:pPr>
      <w:r/>
      <w:bookmarkStart w:id="83" w:name="_Toc31583"/>
      <w:r/>
      <w:bookmarkStart w:id="84" w:name="_Toc26314"/>
      <w:r/>
      <w:bookmarkStart w:id="85" w:name="_Toc21017"/>
      <w:r/>
      <w:bookmarkStart w:id="86" w:name="_Toc28996"/>
      <w:r/>
      <w:bookmarkStart w:id="87" w:name="_Toc25694"/>
      <w:r/>
      <w:bookmarkStart w:id="88" w:name="_Toc17365"/>
      <w:r/>
      <w:bookmarkStart w:id="89" w:name="_Toc4499"/>
      <w:r/>
      <w:bookmarkStart w:id="90" w:name="_Toc519"/>
      <w:r>
        <w:rPr>
          <w:rFonts w:ascii="Arial" w:hAnsi="Arial" w:cs="Arial"/>
          <w:b/>
          <w:sz w:val="28"/>
          <w:szCs w:val="28"/>
        </w:rPr>
        <w:t xml:space="preserve">第二章 投标人须知</w:t>
      </w:r>
      <w:bookmarkEnd w:id="83"/>
      <w:r/>
      <w:bookmarkEnd w:id="84"/>
      <w:r/>
      <w:bookmarkEnd w:id="85"/>
      <w:r/>
      <w:bookmarkEnd w:id="86"/>
      <w:r/>
      <w:bookmarkEnd w:id="87"/>
      <w:r/>
      <w:bookmarkEnd w:id="88"/>
      <w:r/>
      <w:bookmarkEnd w:id="89"/>
      <w:r/>
      <w:bookmarkEnd w:id="90"/>
      <w:r>
        <w:rPr>
          <w:rFonts w:ascii="Arial" w:hAnsi="Arial" w:cs="Arial"/>
          <w:b/>
          <w:sz w:val="28"/>
          <w:szCs w:val="28"/>
        </w:rPr>
      </w:r>
      <w:r/>
    </w:p>
    <w:p>
      <w:pPr>
        <w:pStyle w:val="1276"/>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276"/>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8881" w:type="dxa"/>
            <w:vAlign w:val="center"/>
            <w:textDirection w:val="lrTb"/>
            <w:noWrap w:val="false"/>
          </w:tcPr>
          <w:p>
            <w:pPr>
              <w:pStyle w:val="1276"/>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66" w:type="dxa"/>
            <w:vAlign w:val="center"/>
            <w:textDirection w:val="lrTb"/>
            <w:noWrap w:val="false"/>
          </w:tcPr>
          <w:p>
            <w:pPr>
              <w:pStyle w:val="1276"/>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8881" w:type="dxa"/>
            <w:vAlign w:val="center"/>
            <w:textDirection w:val="lrTb"/>
            <w:noWrap w:val="false"/>
          </w:tcPr>
          <w:p>
            <w:pPr>
              <w:pStyle w:val="1344"/>
              <w:spacing w:before="0" w:beforeAutospacing="0" w:after="0" w:afterAutospacing="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lang w:eastAsia="zh-CN"/>
              </w:rPr>
              <w:t xml:space="preserve">南京市体育运动学校</w:t>
            </w:r>
            <w:r>
              <w:rPr>
                <w:rFonts w:hint="eastAsia" w:ascii="宋体" w:hAnsi="宋体" w:eastAsia="宋体" w:cs="宋体"/>
                <w:color w:val="000000"/>
                <w:sz w:val="21"/>
                <w:szCs w:val="21"/>
                <w:lang w:eastAsia="zh-CN"/>
              </w:rPr>
            </w:r>
            <w:r/>
          </w:p>
          <w:p>
            <w:pPr>
              <w:pStyle w:val="1344"/>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地址：南京市秦淮区公园路42号</w:t>
            </w:r>
            <w:r>
              <w:rPr>
                <w:rFonts w:hint="eastAsia" w:ascii="宋体" w:hAnsi="宋体" w:eastAsia="宋体" w:cs="宋体"/>
                <w:sz w:val="21"/>
                <w:szCs w:val="21"/>
              </w:rPr>
            </w:r>
            <w:r/>
          </w:p>
          <w:p>
            <w:pPr>
              <w:pStyle w:val="1344"/>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联系方式：李老师025-85011011  </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276"/>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8881" w:type="dxa"/>
            <w:vAlign w:val="center"/>
            <w:textDirection w:val="lrTb"/>
            <w:noWrap w:val="false"/>
          </w:tcPr>
          <w:p>
            <w:pPr>
              <w:pStyle w:val="1276"/>
              <w:jc w:val="left"/>
              <w:spacing w:line="360" w:lineRule="auto"/>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业务咨询联系人：谭一凡025-84532547</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杨慧025-84532526</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66" w:type="dxa"/>
            <w:vAlign w:val="center"/>
            <w:textDirection w:val="lrTb"/>
            <w:noWrap w:val="false"/>
          </w:tcPr>
          <w:p>
            <w:pPr>
              <w:pStyle w:val="1276"/>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881" w:type="dxa"/>
            <w:vAlign w:val="center"/>
            <w:textDirection w:val="lrTb"/>
            <w:noWrap w:val="false"/>
          </w:tcPr>
          <w:p>
            <w:pPr>
              <w:pStyle w:val="1276"/>
              <w:jc w:val="left"/>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南京市体育运动学校2026年食堂食材供应及配送采购</w:t>
            </w:r>
            <w:r>
              <w:rPr>
                <w:rFonts w:hint="eastAsia" w:ascii="宋体" w:hAnsi="宋体" w:eastAsia="宋体" w:cs="宋体"/>
                <w:szCs w:val="21"/>
                <w:lang w:eastAsia="zh-CN"/>
              </w:rPr>
            </w:r>
            <w:r/>
          </w:p>
          <w:p>
            <w:pPr>
              <w:pStyle w:val="1276"/>
              <w:jc w:val="left"/>
              <w:spacing w:line="360" w:lineRule="auto"/>
              <w:rPr>
                <w:rFonts w:hint="eastAsia" w:ascii="宋体" w:hAnsi="宋体" w:cs="宋体"/>
                <w:szCs w:val="21"/>
              </w:rPr>
            </w:pPr>
            <w:r>
              <w:rPr>
                <w:rFonts w:hint="eastAsia" w:ascii="宋体" w:hAnsi="宋体" w:cs="宋体"/>
                <w:szCs w:val="21"/>
              </w:rPr>
              <w:t xml:space="preserve">项目编</w:t>
            </w:r>
            <w:r>
              <w:rPr>
                <w:rFonts w:hint="eastAsia" w:ascii="宋体" w:hAnsi="宋体" w:cs="宋体"/>
                <w:szCs w:val="21"/>
                <w:highlight w:val="none"/>
              </w:rPr>
              <w:t xml:space="preserve">号：</w:t>
            </w:r>
            <w:r>
              <w:rPr>
                <w:rFonts w:hint="eastAsia" w:ascii="宋体" w:hAnsi="宋体" w:cs="宋体"/>
                <w:szCs w:val="21"/>
                <w:highlight w:val="none"/>
                <w:lang w:eastAsia="zh-CN"/>
              </w:rPr>
              <w:t xml:space="preserve">JSZC-320100-SMDY-G2026-0085</w:t>
            </w:r>
            <w:r>
              <w:rPr>
                <w:rFonts w:hint="eastAsia" w:ascii="宋体" w:hAnsi="宋体" w:cs="宋体"/>
                <w:szCs w:val="21"/>
                <w:highlight w:val="none"/>
              </w:rPr>
              <w:t xml:space="preserve">（</w:t>
            </w:r>
            <w:r>
              <w:rPr>
                <w:rFonts w:hint="eastAsia" w:ascii="宋体" w:hAnsi="宋体" w:cs="宋体"/>
                <w:szCs w:val="21"/>
                <w:highlight w:val="none"/>
                <w:lang w:eastAsia="zh-CN"/>
              </w:rPr>
              <w:t xml:space="preserve">2640SUMEC/ZWGG2126</w:t>
            </w:r>
            <w:r>
              <w:rPr>
                <w:rFonts w:hint="eastAsia" w:ascii="宋体" w:hAnsi="宋体" w:cs="宋体"/>
                <w:szCs w:val="21"/>
                <w:highlight w:val="none"/>
              </w:rPr>
              <w:t xml:space="preserve">）</w:t>
            </w:r>
            <w:r>
              <w:rPr>
                <w:rFonts w:hint="eastAsia" w:ascii="宋体" w:hAnsi="宋体" w:cs="宋体"/>
                <w:szCs w:val="21"/>
              </w:rPr>
            </w:r>
            <w:r/>
          </w:p>
        </w:tc>
      </w:tr>
      <w:tr>
        <w:trPr>
          <w:trHeight w:val="240"/>
        </w:trPr>
        <w:tc>
          <w:tcPr>
            <w:tcW w:w="866" w:type="dxa"/>
            <w:vAlign w:val="center"/>
            <w:textDirection w:val="lrTb"/>
            <w:noWrap w:val="false"/>
          </w:tcPr>
          <w:p>
            <w:pPr>
              <w:pStyle w:val="1276"/>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8881" w:type="dxa"/>
            <w:vAlign w:val="center"/>
            <w:textDirection w:val="lrTb"/>
            <w:noWrap w:val="false"/>
          </w:tcPr>
          <w:p>
            <w:pPr>
              <w:pStyle w:val="1276"/>
              <w:jc w:val="left"/>
              <w:spacing w:line="360" w:lineRule="auto"/>
              <w:rPr>
                <w:rFonts w:hint="eastAsia" w:ascii="宋体" w:hAnsi="宋体" w:cs="宋体"/>
                <w:szCs w:val="21"/>
              </w:rPr>
            </w:pPr>
            <w:r>
              <w:rPr>
                <w:rFonts w:hint="eastAsia" w:ascii="宋体" w:hAnsi="宋体" w:cs="宋体"/>
                <w:szCs w:val="21"/>
              </w:rPr>
              <w:t xml:space="preserve">采购方式：</w:t>
            </w:r>
            <w:r>
              <w:rPr>
                <w:rFonts w:hint="eastAsia" w:ascii="宋体" w:hAnsi="宋体" w:cs="宋体"/>
                <w:b/>
                <w:bCs/>
                <w:szCs w:val="21"/>
              </w:rPr>
              <w:t xml:space="preserve">公开招标</w:t>
            </w:r>
            <w:r>
              <w:rPr>
                <w:rFonts w:hint="eastAsia" w:ascii="宋体" w:hAnsi="宋体" w:cs="宋体"/>
                <w:szCs w:val="21"/>
              </w:rPr>
            </w:r>
            <w:r/>
          </w:p>
        </w:tc>
      </w:tr>
      <w:tr>
        <w:trPr>
          <w:trHeight w:val="240"/>
        </w:trPr>
        <w:tc>
          <w:tcPr>
            <w:tcW w:w="866" w:type="dxa"/>
            <w:vAlign w:val="center"/>
            <w:textDirection w:val="lrTb"/>
            <w:noWrap w:val="false"/>
          </w:tcPr>
          <w:p>
            <w:pPr>
              <w:pStyle w:val="1276"/>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881" w:type="dxa"/>
            <w:vAlign w:val="center"/>
            <w:textDirection w:val="lrTb"/>
            <w:noWrap w:val="false"/>
          </w:tcPr>
          <w:p>
            <w:pPr>
              <w:pStyle w:val="1276"/>
              <w:jc w:val="left"/>
              <w:spacing w:line="360" w:lineRule="auto"/>
              <w:rPr>
                <w:rFonts w:hint="eastAsia"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：开标之日起90天</w:t>
            </w:r>
            <w:r>
              <w:rPr>
                <w:rFonts w:hint="eastAsia" w:ascii="宋体" w:hAnsi="宋体" w:cs="宋体"/>
                <w:szCs w:val="21"/>
              </w:rPr>
            </w:r>
            <w:r/>
          </w:p>
        </w:tc>
      </w:tr>
      <w:tr>
        <w:trPr>
          <w:trHeight w:val="90"/>
        </w:trPr>
        <w:tc>
          <w:tcPr>
            <w:tcW w:w="866" w:type="dxa"/>
            <w:vAlign w:val="center"/>
            <w:textDirection w:val="lrTb"/>
            <w:noWrap w:val="false"/>
          </w:tcPr>
          <w:p>
            <w:pPr>
              <w:pStyle w:val="1276"/>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8881" w:type="dxa"/>
            <w:vAlign w:val="center"/>
            <w:textDirection w:val="lrTb"/>
            <w:noWrap w:val="false"/>
          </w:tcPr>
          <w:p>
            <w:pPr>
              <w:pStyle w:val="1276"/>
              <w:jc w:val="left"/>
              <w:spacing w:line="360" w:lineRule="auto"/>
              <w:rPr>
                <w:rFonts w:hint="eastAsia" w:ascii="宋体" w:hAnsi="宋体" w:cs="宋体"/>
                <w:szCs w:val="21"/>
              </w:rPr>
            </w:pPr>
            <w:r>
              <w:rPr>
                <w:rFonts w:hint="eastAsia" w:ascii="宋体" w:hAnsi="宋体" w:cs="宋体"/>
                <w:b/>
                <w:bCs/>
                <w:szCs w:val="21"/>
              </w:rPr>
              <w:t xml:space="preserve">投标保证金：本项目不收取</w:t>
            </w:r>
            <w:r>
              <w:rPr>
                <w:rFonts w:hint="eastAsia" w:ascii="宋体" w:hAnsi="宋体" w:cs="宋体"/>
                <w:szCs w:val="21"/>
              </w:rPr>
            </w:r>
            <w:r/>
          </w:p>
        </w:tc>
      </w:tr>
      <w:tr>
        <w:trPr>
          <w:trHeight w:val="621"/>
        </w:trPr>
        <w:tc>
          <w:tcPr>
            <w:tcW w:w="866" w:type="dxa"/>
            <w:vAlign w:val="center"/>
            <w:textDirection w:val="lrTb"/>
            <w:noWrap w:val="false"/>
          </w:tcPr>
          <w:p>
            <w:pPr>
              <w:pStyle w:val="1276"/>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8881" w:type="dxa"/>
            <w:vAlign w:val="center"/>
            <w:textDirection w:val="lrTb"/>
            <w:noWrap w:val="false"/>
          </w:tcPr>
          <w:p>
            <w:pPr>
              <w:pStyle w:val="1276"/>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r>
      <w:tr>
        <w:trPr>
          <w:trHeight w:val="559"/>
        </w:trPr>
        <w:tc>
          <w:tcPr>
            <w:tcW w:w="866" w:type="dxa"/>
            <w:vAlign w:val="center"/>
            <w:textDirection w:val="lrTb"/>
            <w:noWrap w:val="false"/>
          </w:tcPr>
          <w:p>
            <w:pPr>
              <w:pStyle w:val="1276"/>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8881" w:type="dxa"/>
            <w:vAlign w:val="center"/>
            <w:textDirection w:val="lrTb"/>
            <w:noWrap w:val="false"/>
          </w:tcPr>
          <w:p>
            <w:pPr>
              <w:pStyle w:val="1276"/>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递交投标文件截止时间：</w:t>
            </w:r>
            <w:r>
              <w:rPr>
                <w:rFonts w:hint="eastAsia" w:ascii="宋体" w:hAnsi="宋体" w:cs="宋体"/>
                <w:szCs w:val="21"/>
              </w:rPr>
              <w:t xml:space="preserve">详见招标公告</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t xml:space="preserve">同投标文件接收截止时间</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同投标文件接收地点</w:t>
            </w:r>
            <w:r>
              <w:rPr>
                <w:rFonts w:hint="eastAsia" w:ascii="宋体" w:hAnsi="宋体" w:cs="宋体"/>
                <w:szCs w:val="21"/>
              </w:rPr>
            </w:r>
            <w:r/>
          </w:p>
        </w:tc>
      </w:tr>
      <w:tr>
        <w:trPr>
          <w:trHeight w:val="90"/>
        </w:trPr>
        <w:tc>
          <w:tcPr>
            <w:tcW w:w="866" w:type="dxa"/>
            <w:vAlign w:val="center"/>
            <w:textDirection w:val="lrTb"/>
            <w:noWrap w:val="false"/>
          </w:tcPr>
          <w:p>
            <w:pPr>
              <w:pStyle w:val="1276"/>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8881" w:type="dxa"/>
            <w:vAlign w:val="center"/>
            <w:textDirection w:val="lrTb"/>
            <w:noWrap w:val="false"/>
          </w:tcPr>
          <w:p>
            <w:pPr>
              <w:pStyle w:val="1276"/>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304"/>
              <w:keepLines w:val="0"/>
              <w:keepNext w:val="0"/>
              <w:pageBreakBefore w:val="0"/>
              <w:spacing w:line="360" w:lineRule="auto"/>
              <w:widowControl w:val="off"/>
              <w:rPr>
                <w:rFonts w:hint="eastAsia"/>
              </w:rPr>
            </w:pPr>
            <w:r>
              <w:rPr>
                <w:rFonts w:hint="eastAsia"/>
              </w:rPr>
              <w:t xml:space="preserve">所有投标响应均以人民币报价。供应商的投标响应报价应遵守“中华人民共和国价格法”。该报价为到采购人现场并完成整个项目的全部费用，含一切可能发生的费用。</w:t>
            </w:r>
            <w:r>
              <w:rPr>
                <w:rFonts w:hint="eastAsia"/>
              </w:rPr>
            </w:r>
            <w:r/>
          </w:p>
          <w:p>
            <w:pPr>
              <w:pStyle w:val="1304"/>
              <w:keepLines w:val="0"/>
              <w:keepNext w:val="0"/>
              <w:pageBreakBefore w:val="0"/>
              <w:spacing w:line="360" w:lineRule="auto"/>
              <w:widowControl w:val="off"/>
            </w:pPr>
            <w:r>
              <w:rPr>
                <w:rFonts w:hint="eastAsia"/>
              </w:rPr>
              <w:t xml:space="preserve">注：投标人报价为最终报价，如因国家政策调整，增加的税费由投标人自行承担。采购人不再支付报价以外的任何费用。</w:t>
            </w:r>
            <w:r/>
          </w:p>
          <w:p>
            <w:pPr>
              <w:pStyle w:val="1349"/>
              <w:ind w:firstLine="0"/>
              <w:keepLines w:val="0"/>
              <w:keepNext w:val="0"/>
              <w:pageBreakBefore w:val="0"/>
              <w:spacing w:line="360" w:lineRule="auto"/>
              <w:widowControl w:val="off"/>
              <w:rPr>
                <w:rFonts w:cs="宋体"/>
                <w:sz w:val="21"/>
                <w:szCs w:val="21"/>
              </w:rPr>
            </w:pPr>
            <w:r>
              <w:rPr>
                <w:sz w:val="21"/>
              </w:rPr>
              <w:t xml:space="preserve">报价时应充分考虑所有可能影响到报价的因素，一旦评审结束最终成交，如发生漏、缺、少项，都将被认为是成交供应商的报价让利行为，损失自负。</w:t>
            </w:r>
            <w:r>
              <w:rPr>
                <w:rFonts w:cs="宋体"/>
                <w:sz w:val="21"/>
                <w:szCs w:val="21"/>
              </w:rPr>
            </w:r>
            <w:r/>
          </w:p>
        </w:tc>
      </w:tr>
      <w:tr>
        <w:trPr>
          <w:trHeight w:val="431"/>
        </w:trPr>
        <w:tc>
          <w:tcPr>
            <w:tcW w:w="866" w:type="dxa"/>
            <w:vAlign w:val="center"/>
            <w:textDirection w:val="lrTb"/>
            <w:noWrap w:val="false"/>
          </w:tcPr>
          <w:p>
            <w:pPr>
              <w:pStyle w:val="1276"/>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881" w:type="dxa"/>
            <w:vAlign w:val="center"/>
            <w:textDirection w:val="lrTb"/>
            <w:noWrap w:val="false"/>
          </w:tcPr>
          <w:p>
            <w:pPr>
              <w:pStyle w:val="1276"/>
              <w:jc w:val="left"/>
              <w:spacing w:line="360" w:lineRule="auto"/>
              <w:rPr>
                <w:rFonts w:hint="eastAsia" w:ascii="宋体" w:hAnsi="宋体" w:cs="宋体"/>
                <w:szCs w:val="21"/>
              </w:rPr>
            </w:pPr>
            <w:r>
              <w:rPr>
                <w:rFonts w:hint="eastAsia" w:ascii="宋体" w:hAnsi="宋体" w:cs="宋体"/>
                <w:szCs w:val="21"/>
              </w:rPr>
              <w:t xml:space="preserve">现场勘查要求：</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szCs w:val="21"/>
              </w:rPr>
            </w:r>
            <w:r/>
          </w:p>
        </w:tc>
      </w:tr>
      <w:tr>
        <w:trPr>
          <w:trHeight w:val="939"/>
        </w:trPr>
        <w:tc>
          <w:tcPr>
            <w:tcW w:w="866" w:type="dxa"/>
            <w:vAlign w:val="center"/>
            <w:textDirection w:val="lrTb"/>
            <w:noWrap w:val="false"/>
          </w:tcPr>
          <w:p>
            <w:pPr>
              <w:pStyle w:val="1276"/>
              <w:jc w:val="center"/>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r>
            <w:r/>
          </w:p>
        </w:tc>
        <w:tc>
          <w:tcPr>
            <w:tcW w:w="8881" w:type="dxa"/>
            <w:vAlign w:val="center"/>
            <w:textDirection w:val="lrTb"/>
            <w:noWrap w:val="false"/>
          </w:tcPr>
          <w:p>
            <w:pPr>
              <w:pStyle w:val="1349"/>
              <w:ind w:firstLine="0"/>
              <w:rPr>
                <w:rFonts w:cs="宋体"/>
                <w:b/>
                <w:bCs/>
                <w:sz w:val="21"/>
                <w:szCs w:val="21"/>
              </w:rPr>
            </w:pPr>
            <w:r>
              <w:rPr>
                <w:rFonts w:cs="宋体"/>
                <w:b/>
                <w:bCs/>
                <w:sz w:val="21"/>
                <w:szCs w:val="21"/>
              </w:rPr>
              <w:t xml:space="preserve">信用信息：</w:t>
            </w:r>
            <w:r>
              <w:rPr>
                <w:rFonts w:cs="宋体"/>
                <w:b/>
                <w:bCs/>
                <w:sz w:val="21"/>
                <w:szCs w:val="21"/>
              </w:rPr>
            </w:r>
            <w:r/>
          </w:p>
          <w:p>
            <w:pPr>
              <w:pStyle w:val="1349"/>
              <w:ind w:firstLine="0"/>
              <w:rPr>
                <w:rFonts w:cs="宋体"/>
                <w:sz w:val="21"/>
                <w:szCs w:val="21"/>
              </w:rPr>
            </w:pPr>
            <w:r>
              <w:rPr>
                <w:rFonts w:cs="宋体"/>
                <w:sz w:val="21"/>
                <w:szCs w:val="21"/>
              </w:rPr>
              <w:t xml:space="preserve">1）信用信息查询渠道：“信用中国”网站(www.creditchina.gov.cn)、中国政府采购网(www.ccgp.gov.cn)等。</w:t>
            </w:r>
            <w:r>
              <w:rPr>
                <w:rFonts w:cs="宋体"/>
                <w:sz w:val="21"/>
                <w:szCs w:val="21"/>
              </w:rPr>
            </w:r>
            <w:r/>
          </w:p>
          <w:p>
            <w:pPr>
              <w:pStyle w:val="1349"/>
              <w:ind w:firstLine="0"/>
              <w:rPr>
                <w:rFonts w:cs="宋体"/>
                <w:sz w:val="21"/>
                <w:szCs w:val="21"/>
              </w:rPr>
            </w:pPr>
            <w:r>
              <w:rPr>
                <w:rFonts w:cs="宋体"/>
                <w:sz w:val="21"/>
                <w:szCs w:val="21"/>
              </w:rPr>
              <w:t xml:space="preserve">2）信用信息查询截止时点：</w:t>
            </w:r>
            <w:r>
              <w:rPr>
                <w:rFonts w:hint="eastAsia" w:cs="宋体"/>
                <w:sz w:val="21"/>
                <w:szCs w:val="21"/>
              </w:rPr>
              <w:t xml:space="preserve">提交投标文件截止时间之前</w:t>
            </w:r>
            <w:r>
              <w:rPr>
                <w:rFonts w:cs="宋体"/>
                <w:b/>
                <w:bCs/>
                <w:sz w:val="21"/>
                <w:szCs w:val="21"/>
              </w:rPr>
              <w:t xml:space="preserve">。</w:t>
            </w:r>
            <w:r>
              <w:rPr>
                <w:rFonts w:cs="宋体"/>
                <w:sz w:val="21"/>
                <w:szCs w:val="21"/>
              </w:rPr>
            </w:r>
            <w:r/>
          </w:p>
          <w:p>
            <w:pPr>
              <w:pStyle w:val="1349"/>
              <w:ind w:firstLine="0"/>
              <w:rPr>
                <w:rFonts w:cs="宋体"/>
                <w:sz w:val="21"/>
                <w:szCs w:val="21"/>
              </w:rPr>
            </w:pPr>
            <w:r>
              <w:rPr>
                <w:rFonts w:cs="宋体"/>
                <w:sz w:val="21"/>
                <w:szCs w:val="21"/>
              </w:rPr>
              <w:t xml:space="preserve">3）信用信息查询记录和证据留存的具体方式：信用信息查询记录将以网站截图打印稿形式与其他采购文件一并保存。</w:t>
            </w:r>
            <w:r>
              <w:rPr>
                <w:rFonts w:cs="宋体"/>
                <w:sz w:val="21"/>
                <w:szCs w:val="21"/>
              </w:rPr>
            </w:r>
            <w:r/>
          </w:p>
          <w:p>
            <w:pPr>
              <w:pStyle w:val="1349"/>
              <w:ind w:firstLine="0"/>
              <w:rPr>
                <w:rFonts w:cs="宋体"/>
                <w:b/>
                <w:bCs/>
                <w:sz w:val="21"/>
                <w:szCs w:val="21"/>
              </w:rPr>
            </w:pPr>
            <w:r>
              <w:rPr>
                <w:rFonts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cs="宋体"/>
                <w:b/>
                <w:bCs/>
                <w:sz w:val="21"/>
                <w:szCs w:val="21"/>
              </w:rPr>
            </w:r>
            <w:r/>
          </w:p>
        </w:tc>
      </w:tr>
      <w:tr>
        <w:trPr>
          <w:trHeight w:val="567"/>
        </w:trPr>
        <w:tc>
          <w:tcPr>
            <w:tcW w:w="866" w:type="dxa"/>
            <w:vAlign w:val="center"/>
            <w:textDirection w:val="lrTb"/>
            <w:noWrap w:val="false"/>
          </w:tcPr>
          <w:p>
            <w:pPr>
              <w:pStyle w:val="1276"/>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8881" w:type="dxa"/>
            <w:vAlign w:val="center"/>
            <w:textDirection w:val="lrTb"/>
            <w:noWrap w:val="false"/>
          </w:tcPr>
          <w:p>
            <w:pPr>
              <w:pStyle w:val="1276"/>
              <w:jc w:val="left"/>
              <w:spacing w:line="360" w:lineRule="auto"/>
              <w:rPr>
                <w:rFonts w:hint="eastAsia" w:ascii="宋体" w:hAnsi="宋体" w:eastAsia="宋体" w:cs="宋体"/>
                <w:szCs w:val="21"/>
                <w:lang w:eastAsia="zh-CN"/>
              </w:rPr>
            </w:pPr>
            <w:r>
              <w:rPr>
                <w:rFonts w:hint="eastAsia" w:ascii="宋体" w:hAnsi="宋体" w:cs="宋体"/>
                <w:b/>
                <w:bCs/>
                <w:szCs w:val="21"/>
              </w:rPr>
              <w:t xml:space="preserve">采购标的对应中小企业划分标准所属行业：</w:t>
            </w:r>
            <w:r>
              <w:rPr>
                <w:rFonts w:ascii="Times New Roman" w:hAnsi="Times New Roman" w:cs="Times New Roman"/>
                <w:b/>
                <w:bCs/>
                <w:color w:val="000000"/>
                <w:szCs w:val="21"/>
              </w:rPr>
              <w:t xml:space="preserve">批发业</w:t>
            </w:r>
            <w:r>
              <w:rPr>
                <w:rFonts w:hint="eastAsia" w:ascii="宋体" w:hAnsi="宋体" w:eastAsia="宋体" w:cs="宋体"/>
                <w:szCs w:val="21"/>
                <w:lang w:eastAsia="zh-CN"/>
              </w:rPr>
            </w:r>
            <w:r/>
          </w:p>
        </w:tc>
      </w:tr>
      <w:tr>
        <w:trPr>
          <w:trHeight w:val="567"/>
        </w:trPr>
        <w:tc>
          <w:tcPr>
            <w:tcW w:w="866"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8881" w:type="dxa"/>
            <w:vAlign w:val="center"/>
            <w:textDirection w:val="lrTb"/>
            <w:noWrap w:val="false"/>
          </w:tcPr>
          <w:p>
            <w:pPr>
              <w:pStyle w:val="1276"/>
              <w:jc w:val="left"/>
              <w:spacing w:line="360" w:lineRule="auto"/>
              <w:rPr>
                <w:rFonts w:hint="eastAsia" w:ascii="宋体" w:hAnsi="宋体" w:cs="宋体"/>
                <w:b/>
                <w:bCs/>
                <w:szCs w:val="21"/>
              </w:rPr>
            </w:pPr>
            <w:r>
              <w:rPr>
                <w:rFonts w:hint="eastAsia" w:ascii="宋体" w:hAnsi="宋体" w:cs="宋体"/>
                <w:b/>
                <w:bCs/>
                <w:szCs w:val="21"/>
              </w:rPr>
              <w:t xml:space="preserve">本项目核心产品:</w:t>
            </w:r>
            <w:r>
              <w:rPr>
                <w:rFonts w:hint="eastAsia" w:ascii="宋体" w:hAnsi="宋体" w:cs="宋体"/>
                <w:b/>
                <w:bCs/>
                <w:szCs w:val="21"/>
              </w:rPr>
            </w:r>
            <w:r/>
          </w:p>
          <w:p>
            <w:pPr>
              <w:pStyle w:val="1276"/>
              <w:jc w:val="left"/>
              <w:spacing w:line="360" w:lineRule="auto"/>
              <w:rPr>
                <w:rFonts w:hint="eastAsia" w:ascii="宋体" w:hAnsi="宋体" w:cs="宋体"/>
                <w:b/>
                <w:bCs/>
                <w:szCs w:val="21"/>
              </w:rPr>
            </w:pPr>
            <w:r>
              <w:rPr>
                <w:rFonts w:hint="eastAsia" w:ascii="宋体" w:hAnsi="宋体" w:cs="宋体"/>
                <w:b/>
                <w:bCs/>
                <w:szCs w:val="21"/>
              </w:rPr>
              <w:t xml:space="preserve">本项目为单一整体采购项目，故不设置核心产品。</w:t>
            </w:r>
            <w:r>
              <w:rPr>
                <w:rFonts w:hint="eastAsia" w:ascii="宋体" w:hAnsi="宋体" w:cs="宋体"/>
                <w:b/>
                <w:bCs/>
                <w:szCs w:val="21"/>
              </w:rPr>
            </w:r>
            <w:r/>
          </w:p>
          <w:p>
            <w:pPr>
              <w:pStyle w:val="1276"/>
              <w:jc w:val="left"/>
              <w:spacing w:line="360" w:lineRule="auto"/>
              <w:rPr>
                <w:rFonts w:hint="eastAsia" w:ascii="宋体" w:hAnsi="宋体" w:cs="宋体"/>
                <w:b/>
                <w:bCs/>
                <w:szCs w:val="21"/>
              </w:rPr>
            </w:pPr>
            <w:r>
              <w:rPr>
                <w:rFonts w:hint="eastAsia" w:ascii="宋体" w:hAnsi="宋体" w:cs="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939"/>
        </w:trPr>
        <w:tc>
          <w:tcPr>
            <w:tcW w:w="866" w:type="dxa"/>
            <w:vAlign w:val="center"/>
            <w:textDirection w:val="lrTb"/>
            <w:noWrap w:val="false"/>
          </w:tcPr>
          <w:p>
            <w:pPr>
              <w:pStyle w:val="1276"/>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tcW w:w="8881" w:type="dxa"/>
            <w:vAlign w:val="center"/>
            <w:textDirection w:val="lrTb"/>
            <w:noWrap w:val="false"/>
          </w:tcPr>
          <w:p>
            <w:pPr>
              <w:pStyle w:val="1276"/>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br w:type="textWrapping" w:clear="all"/>
            </w:r>
            <w:r>
              <w:rPr>
                <w:rFonts w:hint="eastAsia" w:ascii="宋体" w:hAnsi="宋体" w:cs="宋体"/>
                <w:szCs w:val="21"/>
              </w:rPr>
              <w:t xml:space="preserve">招标代理服务费采用差额定率累进计费方式。合同签订后一周内，中标人按照“国家计委关于印发《招标代理服务收费管理暂行办法》的通知《招标代理服务收费管理暂行办法》（计价格[2002]1980号）”中规定收费标准</w:t>
            </w:r>
            <w:r>
              <w:rPr>
                <w:rFonts w:hint="eastAsia" w:ascii="宋体" w:hAnsi="宋体" w:cs="宋体"/>
                <w:b/>
                <w:bCs/>
                <w:szCs w:val="21"/>
                <w:lang w:val="en-US" w:eastAsia="zh-CN"/>
              </w:rPr>
              <w:t xml:space="preserve">的70%</w:t>
            </w:r>
            <w:r>
              <w:rPr>
                <w:rFonts w:hint="eastAsia" w:ascii="宋体" w:hAnsi="宋体" w:cs="宋体"/>
                <w:szCs w:val="21"/>
              </w:rPr>
              <w:t xml:space="preserve">支付，招标代理服务费一次付清</w:t>
            </w:r>
            <w:r>
              <w:rPr>
                <w:rFonts w:hint="eastAsia" w:ascii="宋体" w:hAnsi="宋体" w:cs="宋体"/>
                <w:bCs/>
                <w:szCs w:val="21"/>
              </w:rPr>
              <w:t xml:space="preserve">。</w:t>
            </w:r>
            <w:r>
              <w:rPr>
                <w:rFonts w:hint="eastAsia" w:ascii="宋体" w:hAnsi="宋体" w:cs="宋体"/>
                <w:szCs w:val="21"/>
              </w:rPr>
              <w:br w:type="textWrapping" w:clear="all"/>
            </w:r>
            <w:r>
              <w:rPr>
                <w:rFonts w:hint="eastAsia" w:ascii="宋体" w:hAnsi="宋体" w:cs="宋体"/>
                <w:szCs w:val="21"/>
              </w:rPr>
              <w:t xml:space="preserve">收款信息：</w:t>
            </w:r>
            <w:r>
              <w:rPr>
                <w:rFonts w:hint="eastAsia" w:ascii="宋体" w:hAnsi="宋体" w:cs="宋体"/>
                <w:szCs w:val="21"/>
              </w:rPr>
            </w:r>
            <w:r/>
          </w:p>
          <w:p>
            <w:pPr>
              <w:pStyle w:val="1276"/>
              <w:jc w:val="left"/>
              <w:spacing w:line="360" w:lineRule="auto"/>
              <w:rPr>
                <w:rFonts w:hint="eastAsia" w:ascii="宋体" w:hAnsi="宋体" w:cs="宋体"/>
                <w:szCs w:val="21"/>
              </w:rPr>
            </w:pPr>
            <w:r>
              <w:rPr>
                <w:rFonts w:hint="eastAsia" w:ascii="宋体" w:hAnsi="宋体" w:cs="宋体"/>
                <w:szCs w:val="21"/>
              </w:rPr>
              <w:t xml:space="preserve">户名：江苏苏美达仪器设备有限公司</w:t>
            </w:r>
            <w:r>
              <w:rPr>
                <w:rFonts w:hint="eastAsia" w:ascii="宋体" w:hAnsi="宋体" w:cs="宋体"/>
                <w:szCs w:val="21"/>
              </w:rPr>
            </w:r>
            <w:r/>
          </w:p>
          <w:p>
            <w:pPr>
              <w:pStyle w:val="1276"/>
              <w:jc w:val="left"/>
              <w:spacing w:line="360" w:lineRule="auto"/>
              <w:rPr>
                <w:rFonts w:hint="eastAsia" w:ascii="宋体" w:hAnsi="宋体" w:cs="宋体"/>
                <w:color w:val="000000"/>
                <w:szCs w:val="21"/>
              </w:rPr>
            </w:pPr>
            <w:r>
              <w:rPr>
                <w:rFonts w:hint="eastAsia" w:ascii="宋体" w:hAnsi="宋体" w:cs="宋体"/>
                <w:color w:val="000000"/>
                <w:szCs w:val="21"/>
              </w:rPr>
              <w:t xml:space="preserve">开户银行：农行南京广州路支行</w:t>
            </w:r>
            <w:r>
              <w:rPr>
                <w:rFonts w:hint="eastAsia" w:ascii="宋体" w:hAnsi="宋体" w:cs="宋体"/>
                <w:color w:val="000000"/>
                <w:szCs w:val="21"/>
              </w:rPr>
            </w:r>
            <w:r/>
          </w:p>
          <w:p>
            <w:pPr>
              <w:pStyle w:val="1276"/>
              <w:jc w:val="left"/>
              <w:spacing w:line="360" w:lineRule="auto"/>
              <w:rPr>
                <w:rFonts w:hint="eastAsia" w:ascii="宋体" w:hAnsi="宋体" w:cs="宋体"/>
                <w:color w:val="000000"/>
                <w:szCs w:val="21"/>
              </w:rPr>
            </w:pPr>
            <w:r>
              <w:rPr>
                <w:rFonts w:hint="eastAsia" w:ascii="宋体" w:hAnsi="宋体" w:cs="宋体"/>
                <w:color w:val="000000"/>
                <w:szCs w:val="21"/>
              </w:rPr>
              <w:t xml:space="preserve">账户：10100301040003106</w:t>
            </w:r>
            <w:r>
              <w:rPr>
                <w:rFonts w:hint="eastAsia" w:ascii="宋体" w:hAnsi="宋体" w:cs="宋体"/>
                <w:color w:val="000000"/>
                <w:szCs w:val="21"/>
              </w:rPr>
            </w:r>
            <w:r/>
          </w:p>
        </w:tc>
      </w:tr>
      <w:tr>
        <w:trPr>
          <w:trHeight w:val="939"/>
        </w:trPr>
        <w:tc>
          <w:tcPr>
            <w:tcW w:w="866" w:type="dxa"/>
            <w:vAlign w:val="center"/>
            <w:textDirection w:val="lrTb"/>
            <w:noWrap w:val="false"/>
          </w:tcPr>
          <w:p>
            <w:pPr>
              <w:pStyle w:val="1276"/>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c>
          <w:tcPr>
            <w:tcW w:w="8881" w:type="dxa"/>
            <w:vAlign w:val="center"/>
            <w:textDirection w:val="lrTb"/>
            <w:noWrap w:val="false"/>
          </w:tcPr>
          <w:p>
            <w:pPr>
              <w:pStyle w:val="1276"/>
              <w:keepLines/>
              <w:spacing w:line="440" w:lineRule="exact"/>
              <w:rPr>
                <w:rFonts w:hint="eastAsia"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rPr>
                <w:rFonts w:hint="eastAsia" w:ascii="宋体" w:hAnsi="宋体" w:cs="宋体"/>
                <w:bCs/>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rPr>
                <w:rFonts w:hint="eastAsia" w:ascii="宋体" w:hAnsi="宋体" w:cs="宋体"/>
                <w:bCs/>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276"/>
              <w:ind w:firstLine="210"/>
              <w:keepLines/>
              <w:spacing w:line="44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276"/>
              <w:ind w:firstLine="210"/>
              <w:keepLines/>
              <w:spacing w:line="440" w:lineRule="exact"/>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276"/>
              <w:ind w:firstLine="210"/>
              <w:keepLines/>
              <w:spacing w:line="44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276"/>
              <w:ind w:firstLine="210"/>
              <w:keepLines/>
              <w:spacing w:line="440" w:lineRule="exact"/>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276"/>
              <w:ind w:firstLine="210"/>
              <w:keepLines/>
              <w:spacing w:line="440" w:lineRule="exact"/>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276"/>
              <w:ind w:firstLine="210"/>
              <w:keepLines/>
              <w:spacing w:line="440" w:lineRule="exact"/>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276"/>
              <w:ind w:firstLine="210"/>
              <w:keepLines/>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276"/>
              <w:keepLines/>
              <w:spacing w:line="44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276"/>
              <w:keepLines/>
              <w:spacing w:line="440" w:lineRule="exact"/>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276"/>
              <w:jc w:val="left"/>
              <w:spacing w:line="360" w:lineRule="auto"/>
              <w:rPr>
                <w:rFonts w:hint="eastAsia" w:ascii="宋体" w:hAnsi="宋体" w:cs="宋体"/>
                <w:color w:val="000000"/>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color w:val="000000"/>
                <w:szCs w:val="21"/>
              </w:rPr>
            </w:r>
            <w:r/>
          </w:p>
        </w:tc>
      </w:tr>
      <w:tr>
        <w:trPr>
          <w:trHeight w:val="939"/>
        </w:trPr>
        <w:tc>
          <w:tcPr>
            <w:tcW w:w="866" w:type="dxa"/>
            <w:vAlign w:val="center"/>
            <w:textDirection w:val="lrTb"/>
            <w:noWrap w:val="false"/>
          </w:tcPr>
          <w:p>
            <w:pPr>
              <w:pStyle w:val="1276"/>
              <w:jc w:val="center"/>
              <w:keepLines/>
              <w:spacing w:line="440" w:lineRule="exact"/>
              <w:rPr>
                <w:rFonts w:hint="eastAsia" w:ascii="宋体" w:hAnsi="宋体" w:cs="宋体"/>
                <w:bCs/>
                <w:szCs w:val="21"/>
              </w:rPr>
            </w:pPr>
            <w:r>
              <w:rPr>
                <w:rFonts w:hint="eastAsia" w:ascii="宋体" w:hAnsi="宋体" w:cs="宋体"/>
                <w:bCs/>
                <w:szCs w:val="21"/>
              </w:rPr>
              <w:t xml:space="preserve">16</w:t>
            </w:r>
            <w:r>
              <w:rPr>
                <w:rFonts w:hint="eastAsia" w:ascii="宋体" w:hAnsi="宋体" w:cs="宋体"/>
                <w:bCs/>
                <w:szCs w:val="21"/>
              </w:rPr>
            </w:r>
            <w:r/>
          </w:p>
        </w:tc>
        <w:tc>
          <w:tcPr>
            <w:tcW w:w="8881" w:type="dxa"/>
            <w:vAlign w:val="center"/>
            <w:textDirection w:val="lrTb"/>
            <w:noWrap w:val="false"/>
          </w:tcPr>
          <w:p>
            <w:pPr>
              <w:pStyle w:val="1276"/>
              <w:keepLines/>
              <w:spacing w:line="440" w:lineRule="exact"/>
              <w:rPr>
                <w:rFonts w:hint="eastAsia" w:ascii="宋体" w:hAnsi="宋体" w:cs="宋体"/>
                <w:bCs/>
                <w:szCs w:val="21"/>
              </w:rPr>
            </w:pPr>
            <w:r>
              <w:rPr>
                <w:rFonts w:hint="eastAsia" w:ascii="宋体" w:hAnsi="宋体" w:cs="宋体"/>
                <w:b/>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bl>
    <w:p>
      <w:pPr>
        <w:pStyle w:val="1276"/>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76"/>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76"/>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76"/>
        <w:spacing w:line="360" w:lineRule="auto"/>
        <w:rPr>
          <w:rFonts w:ascii="Arial" w:hAnsi="Arial" w:cs="Arial"/>
          <w:b/>
          <w:bCs/>
          <w:color w:val="000000"/>
          <w:sz w:val="24"/>
        </w:rPr>
        <w:outlineLvl w:val="2"/>
      </w:pPr>
      <w:r/>
      <w:bookmarkStart w:id="91" w:name="_Toc5364"/>
      <w:r/>
      <w:bookmarkStart w:id="92" w:name="_Toc12674"/>
      <w:r>
        <w:rPr>
          <w:rFonts w:ascii="Arial" w:hAnsi="Arial" w:cs="Arial"/>
          <w:b/>
          <w:bCs/>
          <w:color w:val="000000"/>
          <w:sz w:val="24"/>
        </w:rPr>
        <w:t xml:space="preserve"> </w:t>
      </w:r>
      <w:bookmarkStart w:id="93" w:name="_Toc19726"/>
      <w:r/>
      <w:bookmarkStart w:id="94" w:name="_Toc19894"/>
      <w:r>
        <w:rPr>
          <w:rFonts w:hint="eastAsia" w:ascii="Arial" w:hAnsi="Arial" w:cs="Arial"/>
          <w:b/>
          <w:bCs/>
          <w:color w:val="000000"/>
          <w:sz w:val="24"/>
        </w:rPr>
        <w:t xml:space="preserve">一</w:t>
      </w:r>
      <w:r>
        <w:rPr>
          <w:rFonts w:ascii="Arial" w:hAnsi="Arial" w:cs="Arial"/>
          <w:b/>
          <w:bCs/>
          <w:color w:val="000000"/>
          <w:sz w:val="24"/>
        </w:rPr>
        <w:t xml:space="preserve">、</w:t>
      </w:r>
      <w:r>
        <w:rPr>
          <w:rFonts w:hint="eastAsia" w:ascii="Arial" w:hAnsi="Arial" w:cs="Arial"/>
          <w:b/>
          <w:bCs/>
          <w:color w:val="000000"/>
          <w:sz w:val="24"/>
        </w:rPr>
        <w:t xml:space="preserve">总则</w:t>
      </w:r>
      <w:bookmarkEnd w:id="91"/>
      <w:r/>
      <w:bookmarkEnd w:id="92"/>
      <w:r/>
      <w:bookmarkEnd w:id="93"/>
      <w:r/>
      <w:bookmarkEnd w:id="94"/>
      <w:r>
        <w:rPr>
          <w:rFonts w:ascii="Arial" w:hAnsi="Arial" w:cs="Arial"/>
          <w:b/>
          <w:bCs/>
          <w:color w:val="000000"/>
          <w:sz w:val="24"/>
        </w:rPr>
      </w:r>
      <w:r/>
    </w:p>
    <w:p>
      <w:pPr>
        <w:pStyle w:val="1276"/>
        <w:ind w:firstLine="420"/>
        <w:spacing w:line="360" w:lineRule="auto"/>
        <w:rPr>
          <w:rFonts w:ascii="Arial" w:hAnsi="Arial" w:cs="Arial"/>
          <w:b/>
          <w:szCs w:val="21"/>
          <w:lang w:val="zh-CN"/>
        </w:rPr>
        <w:outlineLvl w:val="2"/>
      </w:pPr>
      <w:r/>
      <w:bookmarkStart w:id="95" w:name="_Toc10220"/>
      <w:r/>
      <w:bookmarkStart w:id="96" w:name="_Toc32205"/>
      <w:r/>
      <w:bookmarkStart w:id="97" w:name="_Toc3951"/>
      <w:r/>
      <w:bookmarkStart w:id="98" w:name="_Toc5219"/>
      <w:r/>
      <w:bookmarkStart w:id="99" w:name="_Toc3667"/>
      <w:r/>
      <w:bookmarkStart w:id="100" w:name="_Toc10426"/>
      <w:r/>
      <w:bookmarkStart w:id="101" w:name="_Toc11727"/>
      <w:r/>
      <w:bookmarkStart w:id="102" w:name="_Toc30139"/>
      <w:r/>
      <w:bookmarkStart w:id="103" w:name="_Toc513029204"/>
      <w:r/>
      <w:bookmarkStart w:id="104" w:name="_Toc24947"/>
      <w:r/>
      <w:bookmarkStart w:id="105" w:name="_Toc458694821"/>
      <w:r/>
      <w:bookmarkStart w:id="106" w:name="_Toc16938520"/>
      <w:r/>
      <w:bookmarkStart w:id="107" w:name="_Toc20823276"/>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95"/>
      <w:r/>
      <w:bookmarkEnd w:id="96"/>
      <w:r/>
      <w:bookmarkEnd w:id="97"/>
      <w:r/>
      <w:bookmarkEnd w:id="98"/>
      <w:r/>
      <w:bookmarkEnd w:id="99"/>
      <w:r/>
      <w:bookmarkEnd w:id="100"/>
      <w:r/>
      <w:bookmarkEnd w:id="101"/>
      <w:r/>
      <w:bookmarkEnd w:id="102"/>
      <w:r>
        <w:rPr>
          <w:rFonts w:ascii="Arial" w:hAnsi="Arial" w:cs="Arial"/>
          <w:b/>
          <w:szCs w:val="21"/>
          <w:lang w:val="zh-CN"/>
        </w:rPr>
      </w:r>
      <w:r/>
    </w:p>
    <w:p>
      <w:pPr>
        <w:pStyle w:val="1276"/>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276"/>
        <w:ind w:firstLine="420"/>
        <w:spacing w:line="360" w:lineRule="auto"/>
        <w:rPr>
          <w:rFonts w:ascii="Arial" w:hAnsi="Arial" w:cs="Arial"/>
          <w:b/>
          <w:szCs w:val="21"/>
          <w:lang w:val="zh-CN"/>
        </w:rPr>
        <w:outlineLvl w:val="2"/>
      </w:pPr>
      <w:r/>
      <w:bookmarkStart w:id="108" w:name="_Toc7507"/>
      <w:r/>
      <w:bookmarkStart w:id="109" w:name="_Toc649"/>
      <w:r/>
      <w:bookmarkStart w:id="110" w:name="_Toc9517"/>
      <w:r/>
      <w:bookmarkStart w:id="111" w:name="_Toc10869"/>
      <w:r/>
      <w:bookmarkStart w:id="112" w:name="_Toc5410"/>
      <w:r/>
      <w:bookmarkStart w:id="113" w:name="_Toc5743"/>
      <w:r/>
      <w:bookmarkStart w:id="114" w:name="_Toc10994"/>
      <w:r/>
      <w:bookmarkStart w:id="115" w:name="_Toc6911"/>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108"/>
      <w:r/>
      <w:bookmarkEnd w:id="109"/>
      <w:r/>
      <w:bookmarkEnd w:id="110"/>
      <w:r/>
      <w:bookmarkEnd w:id="111"/>
      <w:r/>
      <w:bookmarkEnd w:id="112"/>
      <w:r/>
      <w:bookmarkEnd w:id="113"/>
      <w:r/>
      <w:bookmarkEnd w:id="114"/>
      <w:r/>
      <w:bookmarkEnd w:id="115"/>
      <w:r>
        <w:rPr>
          <w:rFonts w:ascii="Arial" w:hAnsi="Arial" w:cs="Arial"/>
          <w:b/>
          <w:szCs w:val="21"/>
          <w:lang w:val="zh-CN"/>
        </w:rPr>
      </w:r>
      <w:r/>
    </w:p>
    <w:p>
      <w:pPr>
        <w:pStyle w:val="1276"/>
        <w:ind w:firstLine="420"/>
        <w:spacing w:line="360" w:lineRule="auto"/>
        <w:rPr>
          <w:rFonts w:hint="eastAsia" w:ascii="宋体" w:hAnsi="宋体" w:cs="宋体"/>
          <w:bCs/>
          <w:color w:val="000000"/>
        </w:rPr>
      </w:pPr>
      <w:r/>
      <w:bookmarkEnd w:id="103"/>
      <w:r/>
      <w:bookmarkEnd w:id="104"/>
      <w:r/>
      <w:bookmarkEnd w:id="105"/>
      <w:r/>
      <w:bookmarkEnd w:id="106"/>
      <w:r/>
      <w:bookmarkEnd w:id="107"/>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本文件</w:t>
      </w:r>
      <w:r>
        <w:rPr>
          <w:rFonts w:hint="eastAsia" w:ascii="宋体" w:hAnsi="宋体" w:cs="宋体"/>
          <w:bCs/>
          <w:color w:val="000000"/>
        </w:rPr>
        <w:t xml:space="preserve">中采购代理机构为 </w:t>
      </w:r>
      <w:r>
        <w:rPr>
          <w:rFonts w:hint="eastAsia" w:ascii="宋体" w:hAnsi="宋体" w:cs="宋体"/>
          <w:b/>
          <w:color w:val="000000"/>
          <w:u w:val="single"/>
        </w:rPr>
        <w:t xml:space="preserve">江苏苏美达仪器设备有限公司</w:t>
      </w:r>
      <w:r>
        <w:rPr>
          <w:rFonts w:hint="eastAsia" w:ascii="宋体" w:hAnsi="宋体" w:cs="宋体"/>
          <w:bCs/>
          <w:color w:val="000000"/>
        </w:rPr>
        <w:t xml:space="preserve">；采购人为</w:t>
      </w:r>
      <w:r>
        <w:rPr>
          <w:rFonts w:hint="eastAsia" w:ascii="宋体" w:hAnsi="宋体" w:cs="宋体"/>
          <w:b/>
          <w:color w:val="000000"/>
          <w:u w:val="single"/>
          <w:lang w:eastAsia="zh-CN"/>
        </w:rPr>
        <w:t xml:space="preserve">南京市体育运动学校</w:t>
      </w:r>
      <w:r>
        <w:rPr>
          <w:rFonts w:hint="eastAsia" w:ascii="宋体" w:hAnsi="宋体" w:cs="宋体"/>
          <w:bCs/>
          <w:color w:val="000000"/>
        </w:rPr>
        <w:t xml:space="preserve">；投标人（亦称供应商）系指参加投标竞争并满足招标文件资格要求规定的法人、其他组织或者自然人。</w:t>
      </w:r>
      <w:r>
        <w:rPr>
          <w:rFonts w:hint="eastAsia" w:ascii="宋体" w:hAnsi="宋体" w:cs="宋体"/>
          <w:bCs/>
          <w:color w:val="000000"/>
        </w:rPr>
      </w:r>
      <w:r/>
    </w:p>
    <w:p>
      <w:pPr>
        <w:pStyle w:val="1276"/>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“货物和服务”指本文件中所述产品及相关货物和服务。</w:t>
      </w:r>
      <w:r>
        <w:rPr>
          <w:rFonts w:hint="eastAsia" w:ascii="宋体" w:hAnsi="宋体" w:cs="宋体"/>
          <w:bCs/>
        </w:rPr>
      </w:r>
      <w:r/>
    </w:p>
    <w:p>
      <w:pPr>
        <w:pStyle w:val="1276"/>
        <w:ind w:firstLine="420"/>
        <w:spacing w:line="360" w:lineRule="auto"/>
        <w:rPr>
          <w:rFonts w:ascii="Arial" w:hAnsi="Arial" w:cs="Arial"/>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“用户或使用单位”指使用</w:t>
      </w:r>
      <w:r>
        <w:rPr>
          <w:rFonts w:hint="eastAsia" w:ascii="宋体" w:hAnsi="宋体" w:cs="宋体"/>
          <w:szCs w:val="21"/>
          <w:lang w:val="zh-CN"/>
        </w:rPr>
        <w:t xml:space="preserve">货物、服务的</w:t>
      </w:r>
      <w:r>
        <w:rPr>
          <w:rFonts w:hint="eastAsia" w:ascii="宋体" w:hAnsi="宋体" w:cs="宋体"/>
          <w:bCs/>
        </w:rPr>
        <w:t xml:space="preserve">单位。</w:t>
      </w:r>
      <w:r>
        <w:rPr>
          <w:rFonts w:ascii="Arial" w:hAnsi="Arial" w:cs="Arial"/>
          <w:bCs/>
        </w:rPr>
      </w:r>
      <w:r/>
    </w:p>
    <w:p>
      <w:pPr>
        <w:pStyle w:val="1276"/>
        <w:ind w:firstLine="422"/>
        <w:spacing w:line="360" w:lineRule="auto"/>
        <w:rPr>
          <w:rFonts w:ascii="Arial" w:hAnsi="Arial" w:cs="Arial"/>
          <w:bCs/>
        </w:rPr>
        <w:outlineLvl w:val="2"/>
      </w:pPr>
      <w:r/>
      <w:bookmarkStart w:id="116" w:name="_Toc19857"/>
      <w:r/>
      <w:bookmarkStart w:id="117" w:name="_Toc3436"/>
      <w:r/>
      <w:bookmarkStart w:id="118" w:name="_Toc24287"/>
      <w:r/>
      <w:bookmarkStart w:id="119" w:name="_Toc25119"/>
      <w:r/>
      <w:bookmarkStart w:id="120" w:name="_Toc28571"/>
      <w:r/>
      <w:bookmarkStart w:id="121" w:name="_Toc22570"/>
      <w:r>
        <w:rPr>
          <w:rFonts w:ascii="Arial" w:hAnsi="Arial" w:cs="Arial"/>
          <w:b/>
        </w:rPr>
        <w:t xml:space="preserve">（三）政策功能</w:t>
      </w:r>
      <w:bookmarkEnd w:id="116"/>
      <w:r/>
      <w:bookmarkEnd w:id="117"/>
      <w:r/>
      <w:bookmarkEnd w:id="118"/>
      <w:r/>
      <w:bookmarkEnd w:id="119"/>
      <w:r/>
      <w:bookmarkEnd w:id="120"/>
      <w:r/>
      <w:bookmarkEnd w:id="121"/>
      <w:r>
        <w:rPr>
          <w:rFonts w:ascii="Arial" w:hAnsi="Arial" w:cs="Arial"/>
          <w:bCs/>
        </w:rPr>
      </w:r>
      <w:r/>
    </w:p>
    <w:p>
      <w:pPr>
        <w:pStyle w:val="1276"/>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促进中小企业发展政策</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节能产品、环境标志产品政策</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（1）政府采购节能产品、环境标志产品实施品目清单管理。</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（2）拟采购产品属于节能产品、环境标志产品品目清单规定必须强制采购的，实行强制采购。</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为推进社会诚信体系建设，根据财政部等政策要求，在政府采购活动中查询、使用信用记录，推进政府采购领域联合惩戒工作。</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rPr>
      </w:r>
      <w:r/>
    </w:p>
    <w:p>
      <w:pPr>
        <w:pStyle w:val="1276"/>
        <w:ind w:firstLine="420"/>
        <w:spacing w:line="360" w:lineRule="auto"/>
        <w:rPr>
          <w:rFonts w:hint="eastAsia" w:ascii="宋体" w:hAnsi="宋体" w:cs="宋体"/>
          <w:szCs w:val="21"/>
          <w:lang w:val="zh-CN"/>
        </w:rPr>
      </w:pPr>
      <w:r/>
      <w:bookmarkStart w:id="122" w:name="_Toc1972"/>
      <w:r/>
      <w:bookmarkStart w:id="123" w:name="_Toc21421"/>
      <w:r>
        <w:rPr>
          <w:rFonts w:hint="eastAsia" w:ascii="宋体" w:hAnsi="宋体" w:cs="宋体"/>
          <w:szCs w:val="21"/>
        </w:rPr>
        <w:t xml:space="preserve">7、</w:t>
      </w:r>
      <w:r>
        <w:rPr>
          <w:rFonts w:hint="eastAsia" w:ascii="宋体" w:hAnsi="宋体" w:cs="宋体"/>
          <w:szCs w:val="21"/>
          <w:lang w:val="zh-CN"/>
        </w:rPr>
        <w:t xml:space="preserve">采购本国产品的支持政策</w:t>
      </w: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本项目不适用</w:t>
      </w:r>
      <w:r>
        <w:rPr>
          <w:rFonts w:ascii="Times New Roman" w:hAnsi="Times New Roman" w:cs="Times New Roman"/>
          <w:bCs/>
          <w:szCs w:val="21"/>
          <w:lang w:eastAsia="zh-CN"/>
        </w:rPr>
        <w:t xml:space="preserve">）</w:t>
      </w:r>
      <w:r>
        <w:rPr>
          <w:rFonts w:hint="eastAsia" w:ascii="宋体" w:hAnsi="宋体" w:cs="宋体"/>
          <w:szCs w:val="21"/>
          <w:lang w:val="zh-CN"/>
        </w:rPr>
        <w:t xml:space="preserve">：</w:t>
      </w:r>
      <w:bookmarkEnd w:id="122"/>
      <w:r/>
      <w:bookmarkEnd w:id="123"/>
      <w:r>
        <w:rPr>
          <w:rFonts w:hint="eastAsia" w:ascii="宋体" w:hAnsi="宋体" w:cs="宋体"/>
          <w:szCs w:val="21"/>
          <w:lang w:val="zh-CN"/>
        </w:rPr>
      </w:r>
      <w:r/>
    </w:p>
    <w:p>
      <w:pPr>
        <w:pStyle w:val="1276"/>
        <w:ind w:firstLine="420"/>
        <w:spacing w:line="360" w:lineRule="auto"/>
        <w:rPr>
          <w:rFonts w:hint="eastAsia" w:ascii="宋体" w:hAnsi="宋体" w:cs="宋体"/>
          <w:szCs w:val="21"/>
          <w:lang w:val="zh-CN"/>
        </w:rPr>
      </w:pPr>
      <w:r/>
      <w:bookmarkStart w:id="124" w:name="_Toc30765"/>
      <w:r/>
      <w:bookmarkStart w:id="12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rFonts w:hint="eastAsia" w:ascii="宋体" w:hAnsi="宋体" w:cs="宋体"/>
          <w:szCs w:val="21"/>
          <w:lang w:val="zh-CN"/>
        </w:rPr>
      </w:r>
      <w:r/>
    </w:p>
    <w:p>
      <w:pPr>
        <w:pStyle w:val="1276"/>
        <w:ind w:firstLine="420"/>
        <w:spacing w:line="360" w:lineRule="auto"/>
        <w:rPr>
          <w:rFonts w:hint="eastAsia" w:ascii="宋体" w:hAnsi="宋体" w:cs="宋体"/>
          <w:szCs w:val="21"/>
          <w:lang w:val="zh-CN"/>
        </w:rPr>
      </w:pPr>
      <w:r/>
      <w:bookmarkStart w:id="126" w:name="_Toc22036"/>
      <w:r/>
      <w:bookmarkStart w:id="12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rFonts w:hint="eastAsia" w:ascii="宋体" w:hAnsi="宋体" w:cs="宋体"/>
          <w:szCs w:val="21"/>
          <w:lang w:val="zh-CN"/>
        </w:rPr>
      </w:r>
      <w:r/>
    </w:p>
    <w:p>
      <w:pPr>
        <w:pStyle w:val="1276"/>
        <w:ind w:firstLine="420"/>
        <w:spacing w:line="360" w:lineRule="auto"/>
        <w:rPr>
          <w:rFonts w:hint="eastAsia" w:ascii="宋体" w:hAnsi="宋体" w:cs="宋体"/>
          <w:szCs w:val="21"/>
          <w:lang w:val="zh-CN"/>
        </w:rPr>
      </w:pPr>
      <w:r/>
      <w:bookmarkStart w:id="128" w:name="_Toc29291"/>
      <w:r/>
      <w:bookmarkStart w:id="12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rFonts w:hint="eastAsia" w:ascii="宋体" w:hAnsi="宋体" w:cs="宋体"/>
          <w:szCs w:val="21"/>
          <w:lang w:val="zh-CN"/>
        </w:rPr>
      </w:r>
      <w:r/>
    </w:p>
    <w:p>
      <w:pPr>
        <w:pStyle w:val="1276"/>
        <w:ind w:firstLine="420"/>
        <w:spacing w:line="360" w:lineRule="auto"/>
        <w:rPr>
          <w:rFonts w:hint="eastAsia" w:ascii="宋体" w:hAnsi="宋体" w:cs="宋体"/>
          <w:szCs w:val="21"/>
          <w:lang w:val="zh-CN"/>
        </w:rPr>
      </w:pPr>
      <w:r/>
      <w:bookmarkStart w:id="130" w:name="_Toc11993"/>
      <w:r/>
      <w:bookmarkStart w:id="131" w:name="_Toc2242"/>
      <w:r/>
      <w:bookmarkStart w:id="132" w:name="_Toc14793"/>
      <w:r/>
      <w:bookmarkStart w:id="133" w:name="_Toc12930"/>
      <w:r/>
      <w:bookmarkStart w:id="134" w:name="_Toc14680"/>
      <w:r/>
      <w:bookmarkStart w:id="135" w:name="_Toc28481"/>
      <w:r>
        <w:rPr>
          <w:rFonts w:hint="eastAsia" w:ascii="宋体" w:hAnsi="宋体" w:cs="宋体"/>
          <w:szCs w:val="21"/>
          <w:lang w:val="zh-CN"/>
        </w:rPr>
        <w:t xml:space="preserve">具体内容详见第三章 评标标准。</w:t>
      </w:r>
      <w:bookmarkEnd w:id="130"/>
      <w:r/>
      <w:bookmarkEnd w:id="131"/>
      <w:r/>
      <w:bookmarkEnd w:id="132"/>
      <w:r/>
      <w:bookmarkEnd w:id="133"/>
      <w:r/>
      <w:bookmarkEnd w:id="134"/>
      <w:r/>
      <w:bookmarkEnd w:id="135"/>
      <w:r>
        <w:rPr>
          <w:rFonts w:hint="eastAsia" w:ascii="宋体" w:hAnsi="宋体" w:cs="宋体"/>
          <w:szCs w:val="21"/>
          <w:lang w:val="zh-CN"/>
        </w:rPr>
      </w:r>
      <w:r/>
    </w:p>
    <w:p>
      <w:pPr>
        <w:pStyle w:val="1276"/>
        <w:ind w:firstLine="420"/>
        <w:spacing w:line="360" w:lineRule="auto"/>
        <w:rPr>
          <w:rFonts w:ascii="Arial" w:hAnsi="Arial" w:cs="Arial"/>
          <w:b/>
          <w:szCs w:val="21"/>
          <w:lang w:val="zh-CN"/>
        </w:rPr>
        <w:outlineLvl w:val="2"/>
      </w:pPr>
      <w:r/>
      <w:bookmarkStart w:id="136" w:name="_Toc513029207"/>
      <w:r/>
      <w:bookmarkStart w:id="137" w:name="_Toc16938523"/>
      <w:r/>
      <w:bookmarkStart w:id="138" w:name="_Toc4759"/>
      <w:r/>
      <w:bookmarkStart w:id="139" w:name="_Toc20823279"/>
      <w:r/>
      <w:bookmarkStart w:id="140" w:name="_Toc27955"/>
      <w:r/>
      <w:bookmarkStart w:id="141" w:name="_Toc462564067"/>
      <w:r/>
      <w:bookmarkStart w:id="142" w:name="_Toc17711"/>
      <w:r/>
      <w:bookmarkStart w:id="143" w:name="_Toc18088"/>
      <w:r/>
      <w:bookmarkStart w:id="144" w:name="_Toc9112"/>
      <w:r/>
      <w:bookmarkStart w:id="145" w:name="_Toc32339"/>
      <w:r/>
      <w:bookmarkStart w:id="146" w:name="_Toc31858"/>
      <w:r/>
      <w:bookmarkStart w:id="147" w:name="_Toc21358"/>
      <w:r/>
      <w:bookmarkStart w:id="148" w:name="_Toc13991"/>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Arial" w:hAnsi="Arial" w:cs="Arial"/>
          <w:b/>
          <w:szCs w:val="21"/>
          <w:lang w:val="zh-CN"/>
        </w:rPr>
      </w:r>
      <w:r/>
    </w:p>
    <w:p>
      <w:pPr>
        <w:pStyle w:val="1276"/>
        <w:ind w:firstLine="420"/>
        <w:spacing w:line="360" w:lineRule="auto"/>
        <w:rPr>
          <w:rFonts w:ascii="Arial" w:hAnsi="Arial" w:cs="Arial"/>
          <w:szCs w:val="21"/>
        </w:rPr>
      </w:pPr>
      <w:r/>
      <w:bookmarkStart w:id="149" w:name="_Toc6801"/>
      <w:r/>
      <w:bookmarkStart w:id="150" w:name="_Toc15326"/>
      <w:r>
        <w:rPr>
          <w:rFonts w:ascii="Arial" w:hAnsi="Arial" w:cs="Arial"/>
          <w:szCs w:val="21"/>
        </w:rPr>
        <w:t xml:space="preserve">供应商应自行承担所有与参加投标有关的费用，无论采购结果如何，代理机构和采购人在任何情况下均无义务和责任承担这些费用。</w:t>
      </w:r>
      <w:bookmarkEnd w:id="149"/>
      <w:r/>
      <w:bookmarkEnd w:id="150"/>
      <w:r>
        <w:rPr>
          <w:rFonts w:ascii="Arial" w:hAnsi="Arial" w:cs="Arial"/>
          <w:szCs w:val="21"/>
        </w:rPr>
      </w:r>
      <w:r/>
    </w:p>
    <w:p>
      <w:pPr>
        <w:pStyle w:val="1276"/>
        <w:ind w:firstLine="420"/>
        <w:spacing w:line="360" w:lineRule="auto"/>
        <w:rPr>
          <w:rFonts w:ascii="Arial" w:hAnsi="Arial" w:cs="Arial"/>
          <w:b/>
          <w:szCs w:val="21"/>
          <w:lang w:val="zh-CN"/>
        </w:rPr>
        <w:outlineLvl w:val="2"/>
      </w:pPr>
      <w:r/>
      <w:bookmarkStart w:id="151" w:name="_Toc344"/>
      <w:r/>
      <w:bookmarkStart w:id="152" w:name="_Toc31095"/>
      <w:r/>
      <w:bookmarkStart w:id="153" w:name="_Toc18076"/>
      <w:r/>
      <w:bookmarkStart w:id="154" w:name="_Toc17688"/>
      <w:r/>
      <w:bookmarkStart w:id="155" w:name="_Toc1629"/>
      <w:r/>
      <w:bookmarkStart w:id="156" w:name="_Toc15887"/>
      <w:r/>
      <w:bookmarkStart w:id="157" w:name="_Toc9948"/>
      <w:r/>
      <w:bookmarkStart w:id="158" w:name="_Toc20613"/>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51"/>
      <w:r/>
      <w:bookmarkEnd w:id="152"/>
      <w:r/>
      <w:bookmarkEnd w:id="153"/>
      <w:r/>
      <w:bookmarkEnd w:id="154"/>
      <w:r/>
      <w:bookmarkEnd w:id="155"/>
      <w:r/>
      <w:bookmarkEnd w:id="156"/>
      <w:r/>
      <w:bookmarkEnd w:id="157"/>
      <w:r/>
      <w:bookmarkEnd w:id="158"/>
      <w:r>
        <w:rPr>
          <w:rFonts w:ascii="Arial" w:hAnsi="Arial" w:cs="Arial"/>
          <w:b/>
          <w:szCs w:val="21"/>
          <w:lang w:val="zh-CN"/>
        </w:rPr>
      </w:r>
      <w:r/>
    </w:p>
    <w:p>
      <w:pPr>
        <w:pStyle w:val="1276"/>
        <w:ind w:firstLine="420"/>
        <w:spacing w:line="360" w:lineRule="auto"/>
        <w:rPr>
          <w:rFonts w:ascii="Arial" w:hAnsi="Arial" w:cs="Arial"/>
          <w:color w:val="000000"/>
          <w:szCs w:val="21"/>
        </w:rPr>
      </w:pPr>
      <w:r/>
      <w:bookmarkStart w:id="159" w:name="_Toc26210"/>
      <w:r/>
      <w:bookmarkStart w:id="160" w:name="_Toc1909"/>
      <w:r>
        <w:rPr>
          <w:rFonts w:ascii="Arial" w:hAnsi="Arial" w:cs="Arial"/>
          <w:color w:val="000000"/>
          <w:szCs w:val="21"/>
        </w:rPr>
        <w:t xml:space="preserve">供应商一旦参加本项目采购活动，即被认为接受了本招标文件的规定和约束。</w:t>
      </w:r>
      <w:bookmarkEnd w:id="159"/>
      <w:r/>
      <w:bookmarkEnd w:id="160"/>
      <w:r>
        <w:rPr>
          <w:rFonts w:ascii="Arial" w:hAnsi="Arial" w:cs="Arial"/>
          <w:color w:val="000000"/>
          <w:szCs w:val="21"/>
        </w:rPr>
      </w:r>
      <w:r/>
    </w:p>
    <w:p>
      <w:pPr>
        <w:pStyle w:val="1276"/>
        <w:spacing w:line="360" w:lineRule="auto"/>
        <w:rPr>
          <w:rFonts w:ascii="Arial" w:hAnsi="Arial" w:cs="Arial"/>
          <w:b/>
          <w:bCs/>
          <w:color w:val="000000"/>
          <w:sz w:val="24"/>
        </w:rPr>
        <w:outlineLvl w:val="2"/>
      </w:pPr>
      <w:r/>
      <w:bookmarkStart w:id="161" w:name="_Toc5178"/>
      <w:r/>
      <w:bookmarkStart w:id="162" w:name="_Toc15035"/>
      <w:r/>
      <w:bookmarkStart w:id="163" w:name="_Toc21992"/>
      <w:r/>
      <w:bookmarkStart w:id="164" w:name="_Toc15606"/>
      <w:r/>
      <w:bookmarkStart w:id="165" w:name="_Toc15119"/>
      <w:r/>
      <w:bookmarkStart w:id="166" w:name="_Toc1975"/>
      <w:r/>
      <w:bookmarkStart w:id="167" w:name="_Toc513029209"/>
      <w:r/>
      <w:bookmarkStart w:id="168" w:name="_Toc16938525"/>
      <w:r/>
      <w:bookmarkStart w:id="169" w:name="_Toc120614215"/>
      <w:r/>
      <w:bookmarkStart w:id="170" w:name="_Toc28902"/>
      <w:r/>
      <w:bookmarkStart w:id="171" w:name="_Toc28082"/>
      <w:r/>
      <w:bookmarkStart w:id="172" w:name="_Toc20823281"/>
      <w:r>
        <w:rPr>
          <w:rFonts w:ascii="Arial" w:hAnsi="Arial" w:cs="Arial"/>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Arial" w:hAnsi="Arial" w:cs="Arial"/>
          <w:b/>
          <w:bCs/>
          <w:color w:val="000000"/>
          <w:sz w:val="24"/>
        </w:rPr>
      </w:r>
      <w:r/>
    </w:p>
    <w:p>
      <w:pPr>
        <w:pStyle w:val="1276"/>
        <w:ind w:firstLine="420"/>
        <w:spacing w:line="360" w:lineRule="auto"/>
        <w:rPr>
          <w:rFonts w:ascii="Arial" w:hAnsi="Arial" w:cs="Arial"/>
          <w:b/>
          <w:szCs w:val="21"/>
          <w:lang w:val="zh-CN"/>
        </w:rPr>
        <w:outlineLvl w:val="2"/>
      </w:pPr>
      <w:r/>
      <w:bookmarkStart w:id="173" w:name="_Toc27919"/>
      <w:r/>
      <w:bookmarkStart w:id="174" w:name="_Toc513029210"/>
      <w:r/>
      <w:bookmarkStart w:id="175" w:name="_Toc16938526"/>
      <w:r/>
      <w:bookmarkStart w:id="176" w:name="_Toc22099"/>
      <w:r/>
      <w:bookmarkStart w:id="177" w:name="_Toc20823282"/>
      <w:r/>
      <w:bookmarkStart w:id="178" w:name="_Toc31631"/>
      <w:r/>
      <w:bookmarkStart w:id="179" w:name="_Toc17869"/>
      <w:r/>
      <w:bookmarkStart w:id="180" w:name="_Toc927"/>
      <w:r/>
      <w:bookmarkStart w:id="181" w:name="_Toc16370"/>
      <w:r/>
      <w:bookmarkStart w:id="182" w:name="_Toc11509"/>
      <w:r/>
      <w:bookmarkStart w:id="183" w:name="_Toc31925"/>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rFonts w:ascii="Arial" w:hAnsi="Arial" w:cs="Arial"/>
          <w:b/>
          <w:szCs w:val="21"/>
          <w:lang w:val="zh-CN"/>
        </w:rPr>
      </w:r>
      <w:r/>
    </w:p>
    <w:p>
      <w:pPr>
        <w:pStyle w:val="1276"/>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招标文件由以下部分组成：</w:t>
      </w:r>
      <w:r>
        <w:rPr>
          <w:rFonts w:hint="eastAsia" w:ascii="宋体" w:hAnsi="宋体" w:cs="宋体"/>
          <w:color w:val="000000"/>
          <w:szCs w:val="21"/>
        </w:rPr>
      </w:r>
      <w:r/>
    </w:p>
    <w:p>
      <w:pPr>
        <w:pStyle w:val="1276"/>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276"/>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276"/>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276"/>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276"/>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276"/>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276"/>
        <w:ind w:firstLine="422"/>
        <w:spacing w:line="440" w:lineRule="exact"/>
        <w:rPr>
          <w:rFonts w:hint="eastAsia"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276"/>
        <w:ind w:firstLine="420"/>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276"/>
        <w:ind w:firstLine="420"/>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供应商被视为充分熟悉本招标项目的各种情况以及与履行合同有关的一切其他情况。</w:t>
      </w:r>
      <w:r>
        <w:rPr>
          <w:rFonts w:hint="eastAsia" w:ascii="宋体" w:hAnsi="宋体" w:cs="宋体"/>
          <w:color w:val="000000"/>
          <w:szCs w:val="21"/>
        </w:rPr>
      </w:r>
      <w:r/>
    </w:p>
    <w:p>
      <w:pPr>
        <w:pStyle w:val="1279"/>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84" w:name="_Toc14415"/>
      <w:r/>
      <w:bookmarkStart w:id="185" w:name="_Toc10448"/>
      <w:r/>
      <w:bookmarkStart w:id="186" w:name="_Toc7449"/>
      <w:r/>
      <w:bookmarkStart w:id="187" w:name="_Toc32718"/>
      <w:r/>
      <w:bookmarkStart w:id="188" w:name="_Toc24360"/>
      <w:r/>
      <w:bookmarkStart w:id="189" w:name="_Toc15040"/>
      <w:r/>
      <w:bookmarkStart w:id="190" w:name="_Toc11738"/>
      <w:r/>
      <w:bookmarkStart w:id="191" w:name="_Toc2502"/>
      <w:r>
        <w:rPr>
          <w:rFonts w:hint="eastAsia" w:ascii="宋体" w:hAnsi="宋体" w:eastAsia="宋体" w:cs="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276"/>
        <w:ind w:firstLine="441"/>
        <w:spacing w:line="440" w:lineRule="exact"/>
        <w:rPr>
          <w:rFonts w:hint="eastAsia" w:ascii="宋体" w:hAnsi="宋体" w:cs="宋体"/>
        </w:rPr>
      </w:pPr>
      <w:r/>
      <w:bookmarkStart w:id="192" w:name="_Toc29128"/>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276"/>
        <w:ind w:firstLine="441"/>
        <w:spacing w:line="440" w:lineRule="exact"/>
        <w:rPr>
          <w:rFonts w:hint="eastAsia" w:ascii="宋体" w:hAnsi="宋体" w:cs="宋体"/>
        </w:rPr>
      </w:pP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276"/>
        <w:ind w:firstLine="441"/>
        <w:spacing w:line="440" w:lineRule="exact"/>
        <w:rPr>
          <w:rFonts w:hint="eastAsia" w:ascii="宋体" w:hAnsi="宋体" w:cs="宋体"/>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276"/>
        <w:ind w:firstLine="441"/>
        <w:spacing w:line="440" w:lineRule="exact"/>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当招标文件与以上澄清或修改公告的内容相互矛盾时，以采购代理机构最后发出的澄清或修改为准。 </w:t>
      </w:r>
      <w:r>
        <w:rPr>
          <w:rFonts w:hint="eastAsia" w:ascii="宋体" w:hAnsi="宋体" w:cs="宋体"/>
          <w:bCs/>
        </w:rPr>
      </w:r>
      <w:r/>
    </w:p>
    <w:p>
      <w:pPr>
        <w:pStyle w:val="1276"/>
        <w:ind w:firstLine="441"/>
        <w:spacing w:line="440" w:lineRule="exact"/>
        <w:rPr>
          <w:rFonts w:hint="eastAsia" w:ascii="宋体" w:hAnsi="宋体" w:cs="宋体"/>
        </w:rPr>
      </w:pP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w:t>
      </w:r>
      <w:r>
        <w:rPr>
          <w:rFonts w:hint="eastAsia" w:ascii="宋体" w:hAnsi="宋体" w:cs="宋体"/>
          <w:szCs w:val="21"/>
        </w:rPr>
        <w:t xml:space="preserve">第2</w:t>
      </w:r>
      <w:r>
        <w:rPr>
          <w:rFonts w:hint="eastAsia" w:ascii="宋体" w:hAnsi="宋体" w:cs="宋体"/>
        </w:rPr>
        <w:t xml:space="preserve">条规定的方式通知供应商。</w:t>
      </w:r>
      <w:r>
        <w:rPr>
          <w:rFonts w:hint="eastAsia" w:ascii="宋体" w:hAnsi="宋体" w:cs="宋体"/>
        </w:rPr>
      </w:r>
      <w:r/>
    </w:p>
    <w:p>
      <w:pPr>
        <w:pStyle w:val="1276"/>
        <w:spacing w:line="360" w:lineRule="auto"/>
        <w:rPr>
          <w:rFonts w:ascii="Arial" w:hAnsi="Arial" w:cs="Arial"/>
          <w:b/>
          <w:bCs/>
          <w:sz w:val="24"/>
        </w:rPr>
        <w:outlineLvl w:val="2"/>
      </w:pPr>
      <w:r/>
      <w:bookmarkStart w:id="193" w:name="_Toc12095"/>
      <w:r/>
      <w:bookmarkStart w:id="194" w:name="_Toc18008"/>
      <w:r/>
      <w:bookmarkStart w:id="195" w:name="_Toc27458"/>
      <w:r/>
      <w:bookmarkStart w:id="196" w:name="_Toc6376"/>
      <w:r/>
      <w:bookmarkStart w:id="197" w:name="_Toc26883"/>
      <w:r/>
      <w:bookmarkStart w:id="198" w:name="_Toc13303"/>
      <w:r/>
      <w:bookmarkStart w:id="199" w:name="_Toc23368"/>
      <w:r>
        <w:rPr>
          <w:rFonts w:ascii="Arial" w:hAnsi="Arial" w:cs="Arial"/>
          <w:b/>
          <w:bCs/>
          <w:sz w:val="24"/>
        </w:rPr>
        <w:t xml:space="preserve">三、投标文件的编制</w:t>
      </w:r>
      <w:bookmarkEnd w:id="192"/>
      <w:r/>
      <w:bookmarkEnd w:id="193"/>
      <w:r/>
      <w:bookmarkEnd w:id="194"/>
      <w:r/>
      <w:bookmarkEnd w:id="195"/>
      <w:r/>
      <w:bookmarkEnd w:id="196"/>
      <w:r/>
      <w:bookmarkEnd w:id="197"/>
      <w:r/>
      <w:bookmarkEnd w:id="198"/>
      <w:r/>
      <w:bookmarkEnd w:id="199"/>
      <w:r>
        <w:rPr>
          <w:rFonts w:ascii="Arial" w:hAnsi="Arial" w:cs="Arial"/>
          <w:b/>
          <w:bCs/>
          <w:sz w:val="24"/>
        </w:rPr>
      </w:r>
      <w:r/>
    </w:p>
    <w:p>
      <w:pPr>
        <w:pStyle w:val="1279"/>
        <w:ind w:left="0" w:firstLine="422"/>
        <w:jc w:val="both"/>
        <w:spacing w:line="440" w:lineRule="exact"/>
        <w:tabs>
          <w:tab w:val="left" w:pos="480" w:leader="none"/>
        </w:tabs>
        <w:rPr>
          <w:rFonts w:ascii="Arial" w:hAnsi="Arial" w:eastAsia="宋体" w:cs="Arial"/>
          <w:b/>
          <w:bCs/>
          <w:sz w:val="21"/>
          <w:szCs w:val="21"/>
        </w:rPr>
      </w:pPr>
      <w:r/>
      <w:bookmarkStart w:id="200" w:name="_Toc19307"/>
      <w:r/>
      <w:bookmarkStart w:id="201" w:name="_Toc18883"/>
      <w:r/>
      <w:bookmarkStart w:id="202" w:name="_Toc10713"/>
      <w:r/>
      <w:bookmarkStart w:id="203" w:name="_Toc17513"/>
      <w:r/>
      <w:bookmarkStart w:id="204" w:name="_Toc16497"/>
      <w:r/>
      <w:bookmarkStart w:id="205" w:name="_Toc15917"/>
      <w:r/>
      <w:bookmarkStart w:id="206" w:name="_Toc22320"/>
      <w:r>
        <w:rPr>
          <w:rFonts w:ascii="Arial" w:hAnsi="Arial" w:eastAsia="宋体" w:cs="Arial"/>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Arial" w:hAnsi="Arial" w:eastAsia="宋体" w:cs="Arial"/>
          <w:b/>
          <w:bCs/>
          <w:sz w:val="21"/>
          <w:szCs w:val="21"/>
        </w:rPr>
      </w:r>
      <w:r/>
    </w:p>
    <w:p>
      <w:pPr>
        <w:pStyle w:val="1276"/>
        <w:ind w:firstLine="441"/>
        <w:spacing w:line="440" w:lineRule="exact"/>
        <w:rPr>
          <w:rFonts w:hint="eastAsia" w:ascii="宋体" w:hAnsi="宋体" w:cs="宋体"/>
        </w:rPr>
      </w:pP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cs="宋体"/>
        </w:rPr>
      </w:r>
      <w:r/>
    </w:p>
    <w:p>
      <w:pPr>
        <w:pStyle w:val="1276"/>
        <w:ind w:firstLine="441"/>
        <w:spacing w:line="440" w:lineRule="exact"/>
        <w:rPr>
          <w:rFonts w:hint="eastAsia" w:ascii="宋体" w:hAnsi="宋体" w:cs="宋体"/>
        </w:rPr>
      </w:pP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cs="宋体"/>
        </w:rPr>
      </w:r>
      <w:r/>
    </w:p>
    <w:p>
      <w:pPr>
        <w:pStyle w:val="1276"/>
        <w:ind w:firstLine="441"/>
        <w:spacing w:line="440" w:lineRule="exact"/>
        <w:rPr>
          <w:rFonts w:hint="eastAsia" w:ascii="宋体" w:hAnsi="宋体" w:cs="宋体"/>
        </w:rPr>
      </w:pPr>
      <w:r/>
      <w:bookmarkStart w:id="207" w:name="_Toc19298"/>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除招标文件中有特殊要求外，招标文件中所使用的计量单位应为国家法定计量单位。</w:t>
      </w:r>
      <w:r>
        <w:rPr>
          <w:rFonts w:hint="eastAsia" w:ascii="宋体" w:hAnsi="宋体" w:cs="宋体"/>
        </w:rPr>
      </w:r>
      <w:r/>
    </w:p>
    <w:p>
      <w:pPr>
        <w:pStyle w:val="1276"/>
        <w:ind w:firstLine="441"/>
        <w:spacing w:line="440" w:lineRule="exact"/>
        <w:rPr>
          <w:rFonts w:hint="eastAsia" w:ascii="宋体" w:hAnsi="宋体" w:cs="宋体"/>
        </w:rPr>
      </w:pPr>
      <w:r>
        <w:rPr>
          <w:rFonts w:hint="eastAsia" w:ascii="宋体" w:hAnsi="宋体" w:cs="宋体"/>
        </w:rPr>
        <w:t xml:space="preserve">4</w:t>
      </w:r>
      <w:r>
        <w:rPr>
          <w:rFonts w:hint="eastAsia" w:ascii="宋体" w:hAnsi="宋体" w:cs="宋体"/>
          <w:lang w:val="zh-CN"/>
        </w:rPr>
        <w:t xml:space="preserve">、</w:t>
      </w:r>
      <w:r>
        <w:rPr>
          <w:rFonts w:hint="eastAsia" w:ascii="宋体" w:hAnsi="宋体" w:cs="宋体"/>
        </w:rPr>
        <w:t xml:space="preserve">本招标文件所表述的时间均为北京时间。</w:t>
      </w:r>
      <w:r>
        <w:rPr>
          <w:rFonts w:hint="eastAsia" w:ascii="宋体" w:hAnsi="宋体" w:cs="宋体"/>
        </w:rPr>
      </w:r>
      <w:r/>
    </w:p>
    <w:p>
      <w:pPr>
        <w:pStyle w:val="1276"/>
        <w:ind w:firstLine="441"/>
        <w:spacing w:line="440" w:lineRule="exact"/>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所有投标响应报价具体详见投标人须知前附表。</w:t>
      </w:r>
      <w:r>
        <w:rPr>
          <w:rFonts w:hint="eastAsia" w:ascii="宋体" w:hAnsi="宋体" w:cs="宋体"/>
        </w:rPr>
      </w:r>
      <w:r/>
    </w:p>
    <w:p>
      <w:pPr>
        <w:pStyle w:val="1276"/>
        <w:ind w:firstLine="420"/>
        <w:spacing w:line="360" w:lineRule="auto"/>
        <w:rPr>
          <w:rFonts w:ascii="Arial" w:hAnsi="Arial" w:cs="Arial"/>
          <w:b/>
          <w:szCs w:val="21"/>
          <w:lang w:val="zh-CN"/>
        </w:rPr>
        <w:outlineLvl w:val="2"/>
      </w:pPr>
      <w:r/>
      <w:bookmarkStart w:id="208" w:name="_Toc25762"/>
      <w:r/>
      <w:bookmarkStart w:id="209" w:name="_Toc6539"/>
      <w:r/>
      <w:bookmarkStart w:id="210" w:name="_Toc30894"/>
      <w:r/>
      <w:bookmarkStart w:id="211" w:name="_Toc14842"/>
      <w:r/>
      <w:bookmarkStart w:id="212" w:name="_Toc16422"/>
      <w:r/>
      <w:bookmarkStart w:id="213" w:name="_Toc325"/>
      <w:r/>
      <w:bookmarkStart w:id="214" w:name="_Toc31846"/>
      <w:r/>
      <w:bookmarkStart w:id="215" w:name="_Toc31000"/>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rFonts w:ascii="Arial" w:hAnsi="Arial" w:cs="Arial"/>
          <w:b/>
          <w:szCs w:val="21"/>
          <w:lang w:val="zh-CN"/>
        </w:rPr>
      </w:r>
      <w:r/>
    </w:p>
    <w:p>
      <w:pPr>
        <w:pStyle w:val="1276"/>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276"/>
        <w:ind w:firstLine="420"/>
        <w:spacing w:line="360" w:lineRule="auto"/>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276"/>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rPr>
      </w:r>
      <w:r/>
    </w:p>
    <w:p>
      <w:pPr>
        <w:pStyle w:val="1276"/>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rPr>
        <w:t xml:space="preserve">联合体各方之间应当签订联合体协议，明确约定联合体各方承担的工作和相应的责任，并将联合体协议连同响应文件一并提交。</w:t>
      </w:r>
      <w:r>
        <w:rPr>
          <w:rFonts w:hint="eastAsia" w:ascii="宋体" w:hAnsi="宋体" w:cs="宋体"/>
        </w:rPr>
      </w:r>
      <w:r/>
    </w:p>
    <w:p>
      <w:pPr>
        <w:pStyle w:val="1276"/>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以联合体形式参加政府采购活动的，联合体各方不得再单独参加或者与其他供应商另外组成联合体参加同一合同项下的政府采购活动。</w:t>
      </w:r>
      <w:r>
        <w:rPr>
          <w:rFonts w:hint="eastAsia" w:ascii="宋体" w:hAnsi="宋体" w:cs="宋体"/>
        </w:rPr>
      </w:r>
      <w:r/>
    </w:p>
    <w:p>
      <w:pPr>
        <w:pStyle w:val="1279"/>
        <w:ind w:left="0" w:firstLine="422"/>
        <w:jc w:val="both"/>
        <w:spacing w:line="360" w:lineRule="auto"/>
        <w:tabs>
          <w:tab w:val="left" w:pos="480" w:leader="none"/>
        </w:tabs>
        <w:rPr>
          <w:rFonts w:ascii="Arial" w:hAnsi="Arial" w:eastAsia="宋体" w:cs="Arial"/>
          <w:color w:val="000000"/>
          <w:sz w:val="21"/>
          <w:szCs w:val="21"/>
        </w:rPr>
      </w:pPr>
      <w:r/>
      <w:bookmarkEnd w:id="207"/>
      <w:r/>
      <w:bookmarkStart w:id="216" w:name="_Toc22790"/>
      <w:r/>
      <w:bookmarkStart w:id="217" w:name="_Toc28710"/>
      <w:r/>
      <w:bookmarkStart w:id="218" w:name="_Toc6080"/>
      <w:r/>
      <w:bookmarkStart w:id="219" w:name="_Toc13746"/>
      <w:r/>
      <w:bookmarkStart w:id="220" w:name="_Toc17587"/>
      <w:r/>
      <w:bookmarkStart w:id="221" w:name="_Toc8406"/>
      <w:r/>
      <w:bookmarkStart w:id="222" w:name="_Toc23063"/>
      <w:r/>
      <w:bookmarkStart w:id="223" w:name="_Toc30634"/>
      <w:r>
        <w:rPr>
          <w:rFonts w:ascii="Arial" w:hAnsi="Arial" w:eastAsia="宋体" w:cs="Arial"/>
          <w:b/>
          <w:bCs/>
          <w:color w:val="000000"/>
          <w:sz w:val="21"/>
          <w:szCs w:val="21"/>
        </w:rPr>
        <w:t xml:space="preserve">（三）投标文件的</w:t>
      </w:r>
      <w:bookmarkEnd w:id="216"/>
      <w:r>
        <w:rPr>
          <w:rFonts w:ascii="Arial" w:hAnsi="Arial" w:eastAsia="宋体" w:cs="Arial"/>
          <w:b/>
          <w:bCs/>
          <w:color w:val="000000"/>
          <w:sz w:val="21"/>
          <w:szCs w:val="21"/>
        </w:rPr>
        <w:t xml:space="preserve">组成</w:t>
      </w:r>
      <w:bookmarkEnd w:id="217"/>
      <w:r/>
      <w:bookmarkEnd w:id="218"/>
      <w:r/>
      <w:bookmarkEnd w:id="219"/>
      <w:r/>
      <w:bookmarkEnd w:id="220"/>
      <w:r/>
      <w:bookmarkEnd w:id="221"/>
      <w:r/>
      <w:bookmarkEnd w:id="222"/>
      <w:r/>
      <w:bookmarkEnd w:id="223"/>
      <w:r>
        <w:rPr>
          <w:rFonts w:ascii="Arial" w:hAnsi="Arial" w:eastAsia="宋体" w:cs="Arial"/>
          <w:color w:val="000000"/>
          <w:sz w:val="21"/>
          <w:szCs w:val="21"/>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投标文件由商务、技术、价格及其他部分组成，应包括但不限于下列文件，其中加※项目不得有缺失或无效：</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    （1）※投标函（投标申请及声明）</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    （2）※开标一览表 </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    （3）分项报价表</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    （4）《商务条款偏离表》</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    （5）※《技术条款偏离表》</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（6）政府采购政策</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（7）供应商基本情况表</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（8）※资格证明文件</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（9）供应商认为需要提供的其他资料</w:t>
      </w:r>
      <w:r>
        <w:rPr>
          <w:rFonts w:hint="eastAsia" w:ascii="宋体" w:hAnsi="宋体" w:cs="宋体"/>
          <w:color w:val="000000"/>
        </w:rPr>
      </w:r>
      <w:r/>
    </w:p>
    <w:p>
      <w:pPr>
        <w:pStyle w:val="1276"/>
        <w:ind w:firstLine="420"/>
        <w:spacing w:line="360" w:lineRule="auto"/>
        <w:rPr>
          <w:rFonts w:hint="eastAsia" w:ascii="宋体" w:hAnsi="宋体" w:cs="宋体"/>
          <w:color w:val="000000"/>
        </w:rPr>
      </w:pPr>
      <w:r/>
      <w:bookmarkStart w:id="224" w:name="_Toc32484"/>
      <w:r/>
      <w:bookmarkStart w:id="225" w:name="_Toc12595"/>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投标文件的商务部分：是证明供应商有资格参加投标和中标后有能力履行合同的文件，这些文件应能满足招标的要求。</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lang w:val="zh-CN"/>
        </w:rPr>
        <w:t xml:space="preserve">、</w:t>
      </w:r>
      <w:r>
        <w:rPr>
          <w:rFonts w:hint="eastAsia" w:ascii="宋体" w:hAnsi="宋体" w:cs="宋体"/>
          <w:color w:val="000000"/>
        </w:rPr>
        <w:t xml:space="preserve">投标文件的价格部分：</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（1）价格文件是对投标价格构成的说明，招标文件如没有特别说明的话，对每一项产品/服务仅接受一个价格。</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lang w:val="zh-CN"/>
        </w:rPr>
        <w:t xml:space="preserve">、</w:t>
      </w:r>
      <w:r>
        <w:rPr>
          <w:rFonts w:hint="eastAsia" w:ascii="宋体" w:hAnsi="宋体" w:cs="宋体"/>
          <w:color w:val="000000"/>
        </w:rPr>
        <w:t xml:space="preserve">投标文件的其他部分：其他文件由供应商根据编制投标文件需要提供的其他相关文件。</w:t>
      </w:r>
      <w:r>
        <w:rPr>
          <w:rFonts w:hint="eastAsia" w:ascii="宋体" w:hAnsi="宋体" w:cs="宋体"/>
          <w:color w:val="000000"/>
        </w:rPr>
      </w:r>
      <w:r/>
    </w:p>
    <w:p>
      <w:pPr>
        <w:pStyle w:val="1279"/>
        <w:ind w:left="0" w:firstLine="422"/>
        <w:jc w:val="both"/>
        <w:spacing w:line="360" w:lineRule="auto"/>
        <w:tabs>
          <w:tab w:val="left" w:pos="480" w:leader="none"/>
        </w:tabs>
        <w:rPr>
          <w:rFonts w:hint="eastAsia" w:ascii="Arial" w:hAnsi="Arial" w:eastAsia="宋体" w:cs="Arial"/>
          <w:b/>
          <w:bCs/>
          <w:color w:val="000000"/>
          <w:sz w:val="21"/>
          <w:szCs w:val="21"/>
        </w:rPr>
      </w:pPr>
      <w:r/>
      <w:bookmarkStart w:id="226" w:name="_Toc27221"/>
      <w:r/>
      <w:bookmarkStart w:id="227" w:name="_Toc11052"/>
      <w:r/>
      <w:bookmarkStart w:id="228" w:name="_Toc12375"/>
      <w:r/>
      <w:bookmarkStart w:id="229" w:name="_Toc26292"/>
      <w:r/>
      <w:bookmarkStart w:id="230" w:name="_Toc19389"/>
      <w:r/>
      <w:bookmarkStart w:id="231" w:name="_Toc22752"/>
      <w:r>
        <w:rPr>
          <w:rFonts w:ascii="Arial" w:hAnsi="Arial" w:eastAsia="宋体" w:cs="Arial"/>
          <w:b/>
          <w:bCs/>
          <w:color w:val="000000"/>
          <w:sz w:val="21"/>
          <w:szCs w:val="21"/>
        </w:rPr>
        <w:t xml:space="preserve">（四）投标保证金</w:t>
      </w:r>
      <w:bookmarkEnd w:id="224"/>
      <w:r/>
      <w:bookmarkEnd w:id="225"/>
      <w:r/>
      <w:bookmarkEnd w:id="226"/>
      <w:r/>
      <w:bookmarkEnd w:id="227"/>
      <w:r/>
      <w:bookmarkEnd w:id="228"/>
      <w:r/>
      <w:bookmarkEnd w:id="229"/>
      <w:r>
        <w:rPr>
          <w:rFonts w:hint="eastAsia" w:ascii="Arial" w:hAnsi="Arial" w:eastAsia="宋体" w:cs="Arial"/>
          <w:b/>
          <w:bCs/>
          <w:color w:val="000000"/>
          <w:sz w:val="21"/>
          <w:szCs w:val="21"/>
        </w:rPr>
        <w:t xml:space="preserve">（如有）</w:t>
      </w:r>
      <w:bookmarkEnd w:id="230"/>
      <w:r/>
      <w:bookmarkEnd w:id="231"/>
      <w:r>
        <w:rPr>
          <w:rFonts w:hint="eastAsia" w:ascii="Arial" w:hAnsi="Arial" w:eastAsia="宋体" w:cs="Arial"/>
          <w:b/>
          <w:bCs/>
          <w:color w:val="000000"/>
          <w:sz w:val="21"/>
          <w:szCs w:val="21"/>
        </w:rPr>
      </w:r>
      <w:r/>
    </w:p>
    <w:p>
      <w:pPr>
        <w:pStyle w:val="1276"/>
        <w:ind w:firstLine="420"/>
        <w:spacing w:line="360" w:lineRule="auto"/>
        <w:rPr>
          <w:rFonts w:hint="eastAsia" w:ascii="宋体" w:hAnsi="宋体" w:cs="宋体"/>
          <w:color w:val="000000"/>
        </w:rPr>
      </w:pPr>
      <w:r/>
      <w:bookmarkStart w:id="232" w:name="_Toc31206"/>
      <w:r/>
      <w:bookmarkStart w:id="233" w:name="_Toc17428"/>
      <w:r/>
      <w:bookmarkStart w:id="234" w:name="_Toc9817"/>
      <w:r/>
      <w:bookmarkStart w:id="235" w:name="_Toc108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中标供应商的保证金将按要求缴纳招标代理服务费后在采购合同签订后五个工作日内退还。</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发生下列情况之一，保证金将被没收：</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（1）中标供应商在中标后无正当理由不与采购人签订合同的；</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投标有效期内撤回其投标的；</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（3）提供虚假材料谋取成交的；</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（4）采取不正当手段诋毁、排挤其他供应商的；</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（5）与采购人、采购代理机构或者其他供应商恶意串通的；</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（6）中标供应商在中标后将中标项目转让给他人，或者在投标文件中未说明，且未经采购人同意，将中标项目分包给他人的；</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（7）中标供应商在中标后拒绝履行合同义务的。</w:t>
      </w:r>
      <w:r>
        <w:rPr>
          <w:rFonts w:hint="eastAsia" w:ascii="宋体" w:hAnsi="宋体" w:cs="宋体"/>
          <w:color w:val="000000"/>
        </w:rPr>
      </w:r>
      <w:r/>
    </w:p>
    <w:p>
      <w:pPr>
        <w:pStyle w:val="1279"/>
        <w:ind w:left="0" w:firstLine="422"/>
        <w:jc w:val="both"/>
        <w:spacing w:line="440" w:lineRule="exact"/>
        <w:tabs>
          <w:tab w:val="left" w:pos="480" w:leader="none"/>
        </w:tabs>
        <w:rPr>
          <w:rFonts w:ascii="Arial" w:hAnsi="Arial" w:eastAsia="宋体" w:cs="Arial"/>
          <w:b/>
          <w:bCs/>
          <w:color w:val="000000"/>
          <w:sz w:val="21"/>
          <w:szCs w:val="21"/>
        </w:rPr>
      </w:pPr>
      <w:r/>
      <w:bookmarkEnd w:id="232"/>
      <w:r/>
      <w:bookmarkEnd w:id="233"/>
      <w:r/>
      <w:bookmarkEnd w:id="234"/>
      <w:r/>
      <w:bookmarkEnd w:id="235"/>
      <w:r/>
      <w:bookmarkStart w:id="236" w:name="_Toc1404"/>
      <w:r/>
      <w:bookmarkStart w:id="237" w:name="_Toc27966"/>
      <w:r/>
      <w:bookmarkStart w:id="238" w:name="_Toc29865"/>
      <w:r/>
      <w:bookmarkStart w:id="239" w:name="_Toc25777"/>
      <w:r/>
      <w:bookmarkStart w:id="240" w:name="_Toc19285"/>
      <w:r/>
      <w:bookmarkStart w:id="241" w:name="_Toc7728"/>
      <w:r/>
      <w:bookmarkStart w:id="242" w:name="_Toc22922"/>
      <w:r/>
      <w:bookmarkStart w:id="243" w:name="_Toc13594"/>
      <w:r/>
      <w:bookmarkStart w:id="244" w:name="_Toc6811"/>
      <w:r/>
      <w:bookmarkStart w:id="245" w:name="_Toc18186"/>
      <w:r/>
      <w:bookmarkStart w:id="246" w:name="_Toc30425"/>
      <w:r>
        <w:rPr>
          <w:rFonts w:ascii="Arial" w:hAnsi="Arial" w:eastAsia="宋体" w:cs="Arial"/>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Arial" w:hAnsi="Arial" w:eastAsia="宋体" w:cs="Arial"/>
          <w:b/>
          <w:bCs/>
          <w:color w:val="000000"/>
          <w:sz w:val="21"/>
          <w:szCs w:val="21"/>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自开标之日起90天内，投标文件应保持有效，有效期短于此规定的投标文件将视为无效。</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color w:val="000000"/>
        </w:rPr>
      </w:r>
      <w:r/>
    </w:p>
    <w:p>
      <w:pPr>
        <w:pStyle w:val="1279"/>
        <w:ind w:left="0" w:firstLine="422"/>
        <w:jc w:val="both"/>
        <w:spacing w:line="440" w:lineRule="exact"/>
        <w:tabs>
          <w:tab w:val="left" w:pos="480" w:leader="none"/>
        </w:tabs>
        <w:rPr>
          <w:rFonts w:ascii="Arial" w:hAnsi="Arial" w:eastAsia="宋体" w:cs="Arial"/>
          <w:b/>
          <w:bCs/>
          <w:color w:val="000000"/>
          <w:sz w:val="21"/>
          <w:szCs w:val="21"/>
        </w:rPr>
      </w:pPr>
      <w:r/>
      <w:bookmarkEnd w:id="243"/>
      <w:r/>
      <w:bookmarkEnd w:id="244"/>
      <w:r/>
      <w:bookmarkEnd w:id="245"/>
      <w:r/>
      <w:bookmarkEnd w:id="246"/>
      <w:r/>
      <w:bookmarkStart w:id="247" w:name="_Toc31027"/>
      <w:r/>
      <w:bookmarkStart w:id="248" w:name="_Toc12131"/>
      <w:r/>
      <w:bookmarkStart w:id="249" w:name="_Toc12908"/>
      <w:r/>
      <w:bookmarkStart w:id="250" w:name="_Toc29182"/>
      <w:r/>
      <w:bookmarkStart w:id="251" w:name="_Toc13788"/>
      <w:r/>
      <w:bookmarkStart w:id="252" w:name="_Toc16492"/>
      <w:r/>
      <w:bookmarkStart w:id="253" w:name="_Toc6501"/>
      <w:r/>
      <w:bookmarkStart w:id="254" w:name="_Toc27455"/>
      <w:r/>
      <w:bookmarkStart w:id="255" w:name="_Toc22591"/>
      <w:r/>
      <w:bookmarkStart w:id="256" w:name="_Toc3725"/>
      <w:r/>
      <w:bookmarkStart w:id="257" w:name="_Toc3258"/>
      <w:r>
        <w:rPr>
          <w:rFonts w:ascii="Arial" w:hAnsi="Arial" w:eastAsia="宋体" w:cs="Arial"/>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Arial" w:hAnsi="Arial" w:eastAsia="宋体" w:cs="Arial"/>
          <w:b/>
          <w:bCs/>
          <w:color w:val="000000"/>
          <w:sz w:val="21"/>
          <w:szCs w:val="21"/>
        </w:rPr>
      </w:r>
      <w:r/>
    </w:p>
    <w:p>
      <w:pPr>
        <w:pStyle w:val="1276"/>
        <w:ind w:firstLine="420"/>
        <w:spacing w:line="440" w:lineRule="exact"/>
        <w:rPr>
          <w:rFonts w:hint="eastAsia"/>
          <w:bCs/>
          <w:szCs w:val="21"/>
        </w:rPr>
      </w:pPr>
      <w:r/>
      <w:bookmarkStart w:id="258" w:name="_Toc26357"/>
      <w:r/>
      <w:bookmarkStart w:id="259" w:name="_Toc30487"/>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276"/>
        <w:ind w:firstLine="420"/>
        <w:spacing w:line="440" w:lineRule="exact"/>
        <w:rPr>
          <w:bCs/>
          <w:szCs w:val="21"/>
        </w:rPr>
      </w:pP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276"/>
        <w:ind w:firstLine="420"/>
        <w:spacing w:line="440" w:lineRule="exact"/>
        <w:shd w:val="clear" w:color="auto" w:fill="ffffff"/>
        <w:widowControl/>
        <w:rPr>
          <w:szCs w:val="21"/>
        </w:rPr>
      </w:pP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276"/>
        <w:spacing w:line="360" w:lineRule="auto"/>
        <w:rPr>
          <w:rFonts w:ascii="Arial" w:hAnsi="Arial" w:cs="Arial"/>
          <w:b/>
          <w:bCs/>
          <w:sz w:val="24"/>
        </w:rPr>
        <w:outlineLvl w:val="2"/>
      </w:pPr>
      <w:r/>
      <w:bookmarkStart w:id="260" w:name="_Toc5089"/>
      <w:r/>
      <w:bookmarkStart w:id="261" w:name="_Toc19685"/>
      <w:r>
        <w:rPr>
          <w:rFonts w:ascii="Arial" w:hAnsi="Arial" w:cs="Arial"/>
          <w:b/>
          <w:bCs/>
          <w:sz w:val="24"/>
        </w:rPr>
        <w:t xml:space="preserve">四、</w:t>
      </w:r>
      <w:bookmarkEnd w:id="254"/>
      <w:r/>
      <w:bookmarkEnd w:id="255"/>
      <w:r/>
      <w:bookmarkEnd w:id="256"/>
      <w:r/>
      <w:bookmarkEnd w:id="257"/>
      <w:r/>
      <w:bookmarkEnd w:id="258"/>
      <w:r/>
      <w:bookmarkEnd w:id="259"/>
      <w:r>
        <w:rPr>
          <w:rFonts w:hint="eastAsia" w:ascii="Arial" w:hAnsi="Arial" w:cs="Arial"/>
          <w:b/>
          <w:bCs/>
          <w:sz w:val="24"/>
        </w:rPr>
        <w:t xml:space="preserve">投标文件的递交</w:t>
      </w:r>
      <w:bookmarkEnd w:id="260"/>
      <w:r/>
      <w:bookmarkEnd w:id="261"/>
      <w:r>
        <w:rPr>
          <w:rFonts w:ascii="Arial" w:hAnsi="Arial" w:cs="Arial"/>
          <w:b/>
          <w:bCs/>
          <w:sz w:val="24"/>
        </w:rPr>
      </w:r>
      <w:r/>
    </w:p>
    <w:p>
      <w:pPr>
        <w:pStyle w:val="1279"/>
        <w:ind w:left="0" w:firstLine="422"/>
        <w:jc w:val="both"/>
        <w:spacing w:line="440" w:lineRule="exact"/>
        <w:tabs>
          <w:tab w:val="left" w:pos="480" w:leader="none"/>
        </w:tabs>
        <w:rPr>
          <w:rFonts w:ascii="Arial" w:hAnsi="Arial" w:eastAsia="宋体" w:cs="Arial"/>
          <w:b/>
          <w:bCs/>
          <w:color w:val="000000"/>
          <w:sz w:val="21"/>
          <w:szCs w:val="21"/>
        </w:rPr>
      </w:pPr>
      <w:r/>
      <w:bookmarkStart w:id="262" w:name="_Toc7330"/>
      <w:r/>
      <w:bookmarkStart w:id="263" w:name="_Toc14201"/>
      <w:r/>
      <w:bookmarkStart w:id="264" w:name="_Toc14785"/>
      <w:r/>
      <w:bookmarkStart w:id="265" w:name="_Toc11996"/>
      <w:r/>
      <w:bookmarkStart w:id="266" w:name="_Toc23659"/>
      <w:r/>
      <w:bookmarkStart w:id="267" w:name="_Toc25845"/>
      <w:r/>
      <w:bookmarkStart w:id="268" w:name="_Toc24534"/>
      <w:r/>
      <w:bookmarkStart w:id="269" w:name="_Toc204"/>
      <w:r/>
      <w:bookmarkStart w:id="270" w:name="_Toc30963"/>
      <w:r/>
      <w:bookmarkStart w:id="271" w:name="_Toc22663"/>
      <w:r/>
      <w:bookmarkStart w:id="272" w:name="_Toc14747"/>
      <w:r/>
      <w:bookmarkStart w:id="273" w:name="_Toc10626"/>
      <w:r/>
      <w:bookmarkStart w:id="274" w:name="_Toc21766"/>
      <w:r>
        <w:rPr>
          <w:rFonts w:ascii="Arial" w:hAnsi="Arial" w:eastAsia="宋体" w:cs="Arial"/>
          <w:b/>
          <w:bCs/>
          <w:color w:val="000000"/>
          <w:sz w:val="21"/>
          <w:szCs w:val="21"/>
        </w:rPr>
        <w:t xml:space="preserve">（一）</w:t>
      </w:r>
      <w:bookmarkEnd w:id="262"/>
      <w:r/>
      <w:bookmarkEnd w:id="263"/>
      <w:r/>
      <w:bookmarkEnd w:id="264"/>
      <w:r/>
      <w:bookmarkEnd w:id="265"/>
      <w:r/>
      <w:bookmarkEnd w:id="266"/>
      <w:r/>
      <w:bookmarkEnd w:id="267"/>
      <w:r/>
      <w:bookmarkEnd w:id="268"/>
      <w:r>
        <w:rPr>
          <w:rFonts w:hint="eastAsia" w:ascii="Arial" w:hAnsi="Arial" w:eastAsia="宋体" w:cs="Arial"/>
          <w:b/>
          <w:bCs/>
          <w:color w:val="000000"/>
          <w:sz w:val="21"/>
          <w:szCs w:val="21"/>
        </w:rPr>
        <w:t xml:space="preserve">投标文件的递交</w:t>
      </w:r>
      <w:bookmarkEnd w:id="269"/>
      <w:r/>
      <w:bookmarkEnd w:id="270"/>
      <w:r>
        <w:rPr>
          <w:rFonts w:ascii="Arial" w:hAnsi="Arial" w:eastAsia="宋体" w:cs="Arial"/>
          <w:b/>
          <w:bCs/>
          <w:color w:val="000000"/>
          <w:sz w:val="21"/>
          <w:szCs w:val="21"/>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、电子投标文件的递交：投标人应当按照《操作手册》规定，在投标截止时间前制作并上传电子投标文件。</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rPr>
      </w:r>
      <w:r/>
    </w:p>
    <w:p>
      <w:pPr>
        <w:pStyle w:val="1279"/>
        <w:ind w:left="0" w:firstLine="422"/>
        <w:jc w:val="both"/>
        <w:spacing w:line="360" w:lineRule="auto"/>
        <w:tabs>
          <w:tab w:val="left" w:pos="480" w:leader="none"/>
        </w:tabs>
        <w:rPr>
          <w:rFonts w:ascii="Arial" w:hAnsi="Arial" w:eastAsia="宋体" w:cs="Arial"/>
          <w:b/>
          <w:bCs/>
          <w:color w:val="000000"/>
          <w:sz w:val="21"/>
          <w:szCs w:val="21"/>
        </w:rPr>
      </w:pPr>
      <w:r/>
      <w:bookmarkEnd w:id="271"/>
      <w:r/>
      <w:bookmarkEnd w:id="272"/>
      <w:r/>
      <w:bookmarkEnd w:id="273"/>
      <w:r/>
      <w:bookmarkEnd w:id="274"/>
      <w:r/>
      <w:bookmarkStart w:id="275" w:name="_Toc17279"/>
      <w:r/>
      <w:bookmarkStart w:id="276" w:name="_Toc31220"/>
      <w:r/>
      <w:bookmarkStart w:id="277" w:name="_Toc14936"/>
      <w:r/>
      <w:bookmarkStart w:id="278" w:name="_Toc3945"/>
      <w:r/>
      <w:bookmarkStart w:id="279" w:name="_Toc16798"/>
      <w:r/>
      <w:bookmarkStart w:id="280" w:name="_Toc5201"/>
      <w:r/>
      <w:bookmarkStart w:id="281" w:name="_Toc31015"/>
      <w:r/>
      <w:bookmarkStart w:id="282" w:name="_Toc6170"/>
      <w:r/>
      <w:bookmarkStart w:id="283" w:name="_Toc10963"/>
      <w:r/>
      <w:bookmarkStart w:id="284" w:name="_Toc9671"/>
      <w:r/>
      <w:bookmarkStart w:id="285" w:name="_Toc30434"/>
      <w:r/>
      <w:bookmarkStart w:id="286" w:name="_Toc6201"/>
      <w:r/>
      <w:bookmarkStart w:id="287" w:name="_Toc14422"/>
      <w:r>
        <w:rPr>
          <w:rFonts w:ascii="Arial" w:hAnsi="Arial" w:eastAsia="宋体" w:cs="Arial"/>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Arial" w:hAnsi="Arial" w:eastAsia="宋体" w:cs="Arial"/>
          <w:b/>
          <w:bCs/>
          <w:color w:val="000000"/>
          <w:sz w:val="21"/>
          <w:szCs w:val="21"/>
        </w:rPr>
      </w:r>
      <w:r/>
    </w:p>
    <w:p>
      <w:pPr>
        <w:pStyle w:val="1276"/>
        <w:ind w:firstLine="420"/>
        <w:spacing w:line="360" w:lineRule="auto"/>
        <w:tabs>
          <w:tab w:val="left" w:pos="480" w:leader="none"/>
        </w:tabs>
        <w:rPr>
          <w:rFonts w:hint="eastAsia" w:ascii="宋体" w:hAnsi="宋体" w:cs="宋体"/>
          <w:szCs w:val="21"/>
        </w:rPr>
      </w:pPr>
      <w:r/>
      <w:bookmarkStart w:id="288" w:name="_Toc32673"/>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rPr>
      </w:r>
      <w:r/>
    </w:p>
    <w:p>
      <w:pPr>
        <w:pStyle w:val="1279"/>
        <w:ind w:left="0" w:firstLine="422"/>
        <w:jc w:val="both"/>
        <w:spacing w:line="360" w:lineRule="auto"/>
        <w:tabs>
          <w:tab w:val="left" w:pos="480" w:leader="none"/>
        </w:tabs>
        <w:rPr>
          <w:rFonts w:ascii="Arial" w:hAnsi="Arial" w:eastAsia="宋体" w:cs="Arial"/>
          <w:b/>
          <w:bCs/>
          <w:color w:val="000000"/>
          <w:sz w:val="21"/>
          <w:szCs w:val="21"/>
        </w:rPr>
      </w:pPr>
      <w:r/>
      <w:bookmarkEnd w:id="282"/>
      <w:r/>
      <w:bookmarkEnd w:id="283"/>
      <w:r/>
      <w:bookmarkEnd w:id="284"/>
      <w:r/>
      <w:bookmarkEnd w:id="285"/>
      <w:r/>
      <w:bookmarkEnd w:id="286"/>
      <w:r/>
      <w:bookmarkEnd w:id="287"/>
      <w:r/>
      <w:bookmarkEnd w:id="288"/>
      <w:r/>
      <w:bookmarkStart w:id="289" w:name="_Toc26469"/>
      <w:r/>
      <w:bookmarkStart w:id="290" w:name="_Toc21906"/>
      <w:r/>
      <w:bookmarkStart w:id="291" w:name="_Toc9744"/>
      <w:r/>
      <w:bookmarkStart w:id="292" w:name="_Toc32107"/>
      <w:r/>
      <w:bookmarkStart w:id="293" w:name="_Toc439"/>
      <w:r/>
      <w:bookmarkStart w:id="294" w:name="_Toc7948"/>
      <w:r/>
      <w:bookmarkStart w:id="295" w:name="_Toc5405"/>
      <w:r/>
      <w:bookmarkStart w:id="296" w:name="_Toc32211"/>
      <w:r/>
      <w:bookmarkStart w:id="297" w:name="_Toc5217"/>
      <w:r/>
      <w:bookmarkStart w:id="298" w:name="_Toc30055"/>
      <w:r/>
      <w:bookmarkStart w:id="299" w:name="_Toc27692"/>
      <w:r/>
      <w:bookmarkStart w:id="300" w:name="_Toc3512"/>
      <w:r/>
      <w:bookmarkStart w:id="301" w:name="_Toc16938545"/>
      <w:r/>
      <w:bookmarkStart w:id="302" w:name="_Toc24233"/>
      <w:r/>
      <w:bookmarkStart w:id="303" w:name="_Toc120614218"/>
      <w:r/>
      <w:bookmarkStart w:id="304" w:name="_Toc513029229"/>
      <w:r/>
      <w:bookmarkStart w:id="305" w:name="_Toc20823301"/>
      <w:r>
        <w:rPr>
          <w:rFonts w:ascii="Arial" w:hAnsi="Arial" w:eastAsia="宋体" w:cs="Arial"/>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Arial" w:hAnsi="Arial" w:eastAsia="宋体" w:cs="Arial"/>
          <w:b/>
          <w:bCs/>
          <w:color w:val="000000"/>
          <w:sz w:val="21"/>
          <w:szCs w:val="21"/>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在投标截止时间以后递交的投标文件，采购代理机构拒绝接收。</w:t>
      </w:r>
      <w:r>
        <w:rPr>
          <w:rFonts w:hint="eastAsia" w:ascii="宋体" w:hAnsi="宋体" w:cs="宋体"/>
          <w:color w:val="000000"/>
        </w:rPr>
      </w:r>
      <w:r/>
    </w:p>
    <w:p>
      <w:pPr>
        <w:pStyle w:val="1279"/>
        <w:ind w:left="0" w:firstLine="422"/>
        <w:jc w:val="both"/>
        <w:spacing w:line="360" w:lineRule="auto"/>
        <w:tabs>
          <w:tab w:val="left" w:pos="480" w:leader="none"/>
        </w:tabs>
        <w:rPr>
          <w:rFonts w:ascii="Arial" w:hAnsi="Arial" w:eastAsia="宋体" w:cs="Arial"/>
          <w:b/>
          <w:bCs/>
          <w:color w:val="000000"/>
          <w:sz w:val="21"/>
          <w:szCs w:val="21"/>
        </w:rPr>
      </w:pPr>
      <w:r/>
      <w:bookmarkEnd w:id="296"/>
      <w:r/>
      <w:bookmarkEnd w:id="297"/>
      <w:r/>
      <w:bookmarkEnd w:id="298"/>
      <w:r/>
      <w:bookmarkEnd w:id="299"/>
      <w:r/>
      <w:bookmarkEnd w:id="300"/>
      <w:r/>
      <w:bookmarkStart w:id="306" w:name="_Toc22977"/>
      <w:r/>
      <w:bookmarkStart w:id="307" w:name="_Toc20552"/>
      <w:r/>
      <w:bookmarkStart w:id="308" w:name="_Toc29777"/>
      <w:r/>
      <w:bookmarkStart w:id="309" w:name="_Toc20768"/>
      <w:r/>
      <w:bookmarkStart w:id="310" w:name="_Toc13023"/>
      <w:r/>
      <w:bookmarkStart w:id="311" w:name="_Toc14516"/>
      <w:r/>
      <w:bookmarkStart w:id="312" w:name="_Toc8458"/>
      <w:r/>
      <w:bookmarkStart w:id="313" w:name="_Toc3576"/>
      <w:r/>
      <w:bookmarkStart w:id="314" w:name="_Toc23324"/>
      <w:r/>
      <w:bookmarkStart w:id="315" w:name="_Toc7027"/>
      <w:r>
        <w:rPr>
          <w:rFonts w:ascii="Arial" w:hAnsi="Arial" w:eastAsia="宋体" w:cs="Arial"/>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Arial" w:hAnsi="Arial" w:eastAsia="宋体" w:cs="Arial"/>
          <w:b/>
          <w:bCs/>
          <w:color w:val="000000"/>
          <w:sz w:val="21"/>
          <w:szCs w:val="21"/>
        </w:rPr>
      </w:r>
      <w:r/>
    </w:p>
    <w:p>
      <w:pPr>
        <w:pStyle w:val="1276"/>
        <w:ind w:firstLine="420"/>
        <w:spacing w:line="360" w:lineRule="auto"/>
        <w:tabs>
          <w:tab w:val="left" w:pos="480" w:leader="none"/>
        </w:tabs>
        <w:rPr>
          <w:rFonts w:hint="eastAsia" w:ascii="宋体" w:hAnsi="宋体" w:cs="宋体"/>
          <w:szCs w:val="21"/>
        </w:rPr>
      </w:pPr>
      <w:r/>
      <w:bookmarkStart w:id="316" w:name="_Toc31653"/>
      <w:r/>
      <w:bookmarkStart w:id="317" w:name="_Toc8508"/>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 投标文件的撤回</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2、投标文件的修改</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276"/>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3、 在投标截止时间至招标文件中规定的投标有效期满之间的这段时间内，投标人不得撤回其投标。</w:t>
      </w:r>
      <w:r>
        <w:rPr>
          <w:rFonts w:hint="eastAsia" w:ascii="宋体" w:hAnsi="宋体" w:cs="宋体"/>
          <w:szCs w:val="21"/>
        </w:rPr>
      </w:r>
      <w:r/>
    </w:p>
    <w:p>
      <w:pPr>
        <w:pStyle w:val="1276"/>
        <w:spacing w:line="360" w:lineRule="auto"/>
        <w:rPr>
          <w:rFonts w:ascii="Arial" w:hAnsi="Arial" w:cs="Arial"/>
          <w:b/>
          <w:bCs/>
          <w:sz w:val="24"/>
        </w:rPr>
        <w:outlineLvl w:val="2"/>
      </w:pPr>
      <w:r/>
      <w:bookmarkStart w:id="318" w:name="_Toc11729"/>
      <w:r/>
      <w:bookmarkStart w:id="319" w:name="_Toc14080"/>
      <w:r>
        <w:rPr>
          <w:rFonts w:ascii="Arial" w:hAnsi="Arial" w:cs="Arial"/>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rFonts w:ascii="Arial" w:hAnsi="Arial" w:cs="Arial"/>
          <w:b/>
          <w:bCs/>
          <w:sz w:val="24"/>
        </w:rPr>
      </w:r>
      <w:r/>
    </w:p>
    <w:p>
      <w:pPr>
        <w:pStyle w:val="1279"/>
        <w:ind w:left="0" w:firstLine="422"/>
        <w:jc w:val="both"/>
        <w:spacing w:line="440" w:lineRule="exact"/>
        <w:tabs>
          <w:tab w:val="left" w:pos="480" w:leader="none"/>
        </w:tabs>
        <w:rPr>
          <w:rFonts w:ascii="Arial" w:hAnsi="Arial" w:eastAsia="宋体" w:cs="Arial"/>
          <w:b/>
          <w:bCs/>
          <w:color w:val="000000"/>
          <w:sz w:val="21"/>
          <w:szCs w:val="21"/>
        </w:rPr>
      </w:pPr>
      <w:r/>
      <w:bookmarkStart w:id="320" w:name="_Toc15345"/>
      <w:r/>
      <w:bookmarkStart w:id="321" w:name="_Toc25670"/>
      <w:r/>
      <w:bookmarkStart w:id="322" w:name="_Toc15604"/>
      <w:r/>
      <w:bookmarkStart w:id="323" w:name="_Toc30913"/>
      <w:r/>
      <w:bookmarkStart w:id="324" w:name="_Toc6153"/>
      <w:r/>
      <w:bookmarkStart w:id="325" w:name="_Toc10544"/>
      <w:r/>
      <w:bookmarkStart w:id="326" w:name="_Toc201"/>
      <w:r/>
      <w:bookmarkStart w:id="327" w:name="_Toc17155"/>
      <w:r/>
      <w:bookmarkStart w:id="328" w:name="_Toc13829"/>
      <w:r/>
      <w:bookmarkStart w:id="329" w:name="_Toc30856"/>
      <w:r/>
      <w:bookmarkStart w:id="330" w:name="_Toc3679"/>
      <w:r/>
      <w:bookmarkStart w:id="331" w:name="OLE_LINK7"/>
      <w:r/>
      <w:bookmarkStart w:id="332" w:name="OLE_LINK3"/>
      <w:r/>
      <w:bookmarkStart w:id="333" w:name="_Toc6944"/>
      <w:r/>
      <w:bookmarkStart w:id="334" w:name="_Toc18343"/>
      <w:r/>
      <w:bookmarkStart w:id="335" w:name="_Toc29284"/>
      <w:r/>
      <w:bookmarkStart w:id="336" w:name="_Toc4699"/>
      <w:r/>
      <w:bookmarkStart w:id="337" w:name="_Toc16938547"/>
      <w:r/>
      <w:bookmarkStart w:id="338" w:name="_Toc20823303"/>
      <w:r/>
      <w:bookmarkStart w:id="339" w:name="_Toc11498"/>
      <w:r/>
      <w:bookmarkStart w:id="340" w:name="_Toc513029231"/>
      <w:r>
        <w:rPr>
          <w:rFonts w:ascii="Arial" w:hAnsi="Arial" w:eastAsia="宋体" w:cs="Arial"/>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Arial" w:hAnsi="Arial" w:eastAsia="宋体" w:cs="Arial"/>
          <w:b/>
          <w:bCs/>
          <w:color w:val="000000"/>
          <w:sz w:val="21"/>
          <w:szCs w:val="21"/>
        </w:rPr>
      </w:r>
      <w:r/>
    </w:p>
    <w:p>
      <w:pPr>
        <w:pStyle w:val="1276"/>
        <w:ind w:firstLine="420"/>
        <w:spacing w:line="360" w:lineRule="auto"/>
        <w:rPr>
          <w:rFonts w:hint="eastAsia" w:ascii="宋体" w:hAnsi="宋体" w:cs="宋体"/>
          <w:color w:val="000000"/>
        </w:rPr>
      </w:pPr>
      <w:r/>
      <w:bookmarkEnd w:id="331"/>
      <w:r/>
      <w:bookmarkEnd w:id="3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cs="宋体"/>
          <w:color w:val="000000"/>
        </w:rPr>
      </w:r>
      <w:r/>
    </w:p>
    <w:p>
      <w:pPr>
        <w:pStyle w:val="1279"/>
        <w:ind w:left="0" w:firstLine="422"/>
        <w:jc w:val="both"/>
        <w:spacing w:line="360" w:lineRule="auto"/>
        <w:tabs>
          <w:tab w:val="left" w:pos="480" w:leader="none"/>
        </w:tabs>
        <w:rPr>
          <w:rFonts w:ascii="Arial" w:hAnsi="Arial" w:eastAsia="宋体" w:cs="Arial"/>
          <w:b/>
          <w:bCs/>
          <w:color w:val="000000"/>
          <w:sz w:val="21"/>
          <w:szCs w:val="21"/>
        </w:rPr>
      </w:pPr>
      <w:r/>
      <w:bookmarkEnd w:id="333"/>
      <w:r/>
      <w:bookmarkEnd w:id="334"/>
      <w:r/>
      <w:bookmarkEnd w:id="335"/>
      <w:r/>
      <w:bookmarkEnd w:id="336"/>
      <w:r/>
      <w:bookmarkEnd w:id="337"/>
      <w:r/>
      <w:bookmarkEnd w:id="338"/>
      <w:r/>
      <w:bookmarkEnd w:id="339"/>
      <w:r/>
      <w:bookmarkEnd w:id="340"/>
      <w:r/>
      <w:bookmarkStart w:id="341" w:name="_Toc9194"/>
      <w:r/>
      <w:bookmarkStart w:id="342" w:name="_Toc11395"/>
      <w:r/>
      <w:bookmarkStart w:id="343" w:name="_Toc4985"/>
      <w:r/>
      <w:bookmarkStart w:id="344" w:name="_Toc348"/>
      <w:r/>
      <w:bookmarkStart w:id="345" w:name="_Toc6769"/>
      <w:r/>
      <w:bookmarkStart w:id="346" w:name="_Toc4207"/>
      <w:r/>
      <w:bookmarkStart w:id="347" w:name="_Toc22016"/>
      <w:r/>
      <w:bookmarkStart w:id="348" w:name="_Toc862"/>
      <w:r/>
      <w:bookmarkStart w:id="349" w:name="_Toc21772"/>
      <w:r/>
      <w:bookmarkStart w:id="350" w:name="_Toc27200"/>
      <w:r/>
      <w:bookmarkStart w:id="351" w:name="_Toc17283"/>
      <w:r/>
      <w:bookmarkStart w:id="352" w:name="_Toc26401"/>
      <w:r/>
      <w:bookmarkStart w:id="353" w:name="_Toc16496"/>
      <w:r>
        <w:rPr>
          <w:rFonts w:ascii="Arial" w:hAnsi="Arial" w:eastAsia="宋体" w:cs="Arial"/>
          <w:b/>
          <w:bCs/>
          <w:color w:val="000000"/>
          <w:sz w:val="21"/>
          <w:szCs w:val="21"/>
        </w:rPr>
        <w:t xml:space="preserve">（二）评标组织</w:t>
      </w:r>
      <w:bookmarkEnd w:id="341"/>
      <w:r/>
      <w:bookmarkEnd w:id="342"/>
      <w:r/>
      <w:bookmarkEnd w:id="343"/>
      <w:r/>
      <w:bookmarkEnd w:id="344"/>
      <w:r/>
      <w:bookmarkEnd w:id="345"/>
      <w:r/>
      <w:bookmarkEnd w:id="346"/>
      <w:r/>
      <w:bookmarkEnd w:id="347"/>
      <w:r>
        <w:rPr>
          <w:rFonts w:ascii="Arial" w:hAnsi="Arial" w:eastAsia="宋体" w:cs="Arial"/>
          <w:b/>
          <w:bCs/>
          <w:color w:val="000000"/>
          <w:sz w:val="21"/>
          <w:szCs w:val="21"/>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评标工作由采购代理机构负责组织，具体评标事务由依法组建的评标委员会负责，并独立履行下列职责：</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（1）审查、评价投标文件是否符合招标文件的商务、技术等实质性要求；</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（2）要求供应商对投标文件有关事项作出澄清或者说明；</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（3）对投标文件进行比较和评价；</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（4）确定中标候选人名单，以及根据采购人委托直接确定中标供应商；</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（5）向采购人、采购代理机构或者有关部门报告评标中发现的违法行为。</w:t>
      </w:r>
      <w:r>
        <w:rPr>
          <w:rFonts w:hint="eastAsia" w:ascii="宋体" w:hAnsi="宋体" w:cs="宋体"/>
          <w:color w:val="000000"/>
        </w:rPr>
      </w:r>
      <w:r/>
    </w:p>
    <w:p>
      <w:pPr>
        <w:pStyle w:val="1276"/>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评标委员会由采购人代表和有关技术、经济等方面的专家组成，独立开展评审工作且评标委员会人员构成符合有关规定。</w:t>
      </w:r>
      <w:r>
        <w:rPr>
          <w:rFonts w:hint="eastAsia" w:ascii="宋体" w:hAnsi="宋体" w:cs="宋体"/>
          <w:color w:val="000000"/>
        </w:rPr>
      </w:r>
      <w:r/>
    </w:p>
    <w:p>
      <w:pPr>
        <w:pStyle w:val="1279"/>
        <w:ind w:left="0" w:firstLine="422"/>
        <w:jc w:val="both"/>
        <w:spacing w:line="360" w:lineRule="auto"/>
        <w:tabs>
          <w:tab w:val="left" w:pos="480" w:leader="none"/>
        </w:tabs>
        <w:rPr>
          <w:rFonts w:ascii="Arial" w:hAnsi="Arial" w:eastAsia="宋体" w:cs="Arial"/>
          <w:b/>
          <w:bCs/>
          <w:color w:val="000000"/>
          <w:sz w:val="21"/>
          <w:szCs w:val="21"/>
        </w:rPr>
      </w:pPr>
      <w:r/>
      <w:bookmarkEnd w:id="348"/>
      <w:r/>
      <w:bookmarkEnd w:id="349"/>
      <w:r/>
      <w:bookmarkStart w:id="354" w:name="_Toc23163"/>
      <w:r/>
      <w:bookmarkStart w:id="355" w:name="_Toc22253"/>
      <w:r/>
      <w:bookmarkStart w:id="356" w:name="_Toc31774"/>
      <w:r/>
      <w:bookmarkStart w:id="357" w:name="_Toc18853"/>
      <w:r>
        <w:rPr>
          <w:rFonts w:ascii="Arial" w:hAnsi="Arial" w:eastAsia="宋体" w:cs="Arial"/>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Arial" w:hAnsi="Arial" w:eastAsia="宋体" w:cs="Arial"/>
          <w:b/>
          <w:bCs/>
          <w:color w:val="000000"/>
          <w:sz w:val="21"/>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投标文件初审分为资格性审查和符合性审查。</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（1）资格性审查：采购人或者采购代理机构依据法律法规和招标文件的规定，对投标文件中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276"/>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276"/>
        <w:ind w:firstLine="422"/>
        <w:spacing w:line="360" w:lineRule="auto"/>
        <w:rPr>
          <w:rFonts w:hint="eastAsia" w:ascii="宋体" w:hAnsi="宋体" w:cs="宋体"/>
          <w:b/>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276"/>
        <w:ind w:firstLine="422"/>
        <w:spacing w:line="360" w:lineRule="auto"/>
        <w:rPr>
          <w:rFonts w:hint="eastAsia" w:ascii="宋体" w:hAnsi="宋体" w:cs="宋体"/>
          <w:b/>
          <w:szCs w:val="21"/>
        </w:rPr>
      </w:pPr>
      <w:r/>
      <w:bookmarkEnd w:id="353"/>
      <w:r/>
      <w:bookmarkStart w:id="358" w:name="_Toc25188"/>
      <w:r/>
      <w:bookmarkStart w:id="359" w:name="_Toc5995"/>
      <w:r/>
      <w:bookmarkStart w:id="360" w:name="_Toc7347"/>
      <w:r/>
      <w:bookmarkStart w:id="361" w:name="_Toc13685"/>
      <w:r>
        <w:rPr>
          <w:rFonts w:hint="eastAsia" w:ascii="宋体" w:hAnsi="宋体" w:cs="宋体"/>
          <w:b/>
          <w:color w:val="000000"/>
          <w:szCs w:val="21"/>
        </w:rPr>
        <w:t xml:space="preserve">5</w:t>
      </w:r>
      <w:r>
        <w:rPr>
          <w:rFonts w:hint="eastAsia" w:ascii="宋体" w:hAnsi="宋体" w:cs="宋体"/>
          <w:color w:val="000000"/>
          <w:szCs w:val="21"/>
          <w:lang w:val="zh-CN"/>
        </w:rPr>
        <w:t xml:space="preserve">、</w:t>
      </w:r>
      <w:r>
        <w:rPr>
          <w:rFonts w:hint="eastAsia" w:ascii="宋体" w:hAnsi="宋体" w:cs="宋体"/>
          <w:b/>
          <w:color w:val="000000"/>
          <w:szCs w:val="21"/>
        </w:rPr>
        <w:t xml:space="preserve">招标文件中标注“★”的内容为实质性要求，有一项不符合的，作无效投标处理；标注</w:t>
      </w:r>
      <w:r>
        <w:rPr>
          <w:rFonts w:hint="eastAsia" w:ascii="宋体" w:hAnsi="宋体" w:cs="宋体"/>
          <w:b/>
          <w:bCs/>
          <w:color w:val="000000"/>
          <w:szCs w:val="21"/>
        </w:rPr>
        <w:t xml:space="preserve">“▲”</w:t>
      </w:r>
      <w:r>
        <w:rPr>
          <w:rFonts w:hint="eastAsia" w:ascii="宋体" w:hAnsi="宋体" w:cs="宋体"/>
          <w:b/>
          <w:color w:val="000000"/>
          <w:szCs w:val="21"/>
        </w:rPr>
        <w:t xml:space="preserve">的为重要参数；标注“★”及</w:t>
      </w:r>
      <w:r>
        <w:rPr>
          <w:rFonts w:hint="eastAsia" w:ascii="宋体" w:hAnsi="宋体" w:cs="宋体"/>
          <w:b/>
          <w:bCs/>
          <w:color w:val="000000"/>
          <w:szCs w:val="21"/>
        </w:rPr>
        <w:t xml:space="preserve">“▲”</w:t>
      </w:r>
      <w:r>
        <w:rPr>
          <w:rFonts w:hint="eastAsia" w:ascii="宋体" w:hAnsi="宋体" w:cs="宋体"/>
          <w:b/>
          <w:color w:val="000000"/>
          <w:szCs w:val="21"/>
        </w:rPr>
        <w:t xml:space="preserve">的内容，供应商必须在投标文件内提供技术支持资料（具体以第三章评标标准要求为准）。</w:t>
      </w:r>
      <w:r>
        <w:rPr>
          <w:rFonts w:hint="eastAsia" w:ascii="宋体" w:hAnsi="宋体" w:cs="宋体"/>
          <w:b/>
          <w:szCs w:val="21"/>
        </w:rPr>
      </w:r>
      <w:r/>
    </w:p>
    <w:p>
      <w:pPr>
        <w:pStyle w:val="1276"/>
        <w:ind w:firstLine="422"/>
        <w:spacing w:line="440" w:lineRule="exact"/>
        <w:rPr>
          <w:b/>
          <w:color w:val="000000"/>
          <w:szCs w:val="21"/>
        </w:rPr>
      </w:pPr>
      <w:r>
        <w:rPr>
          <w:rFonts w:hint="eastAsia" w:ascii="宋体" w:hAnsi="宋体" w:cs="宋体"/>
          <w:b/>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276"/>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276"/>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276"/>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276"/>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276"/>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276"/>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276"/>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276"/>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279"/>
        <w:ind w:left="0" w:firstLine="422"/>
        <w:jc w:val="both"/>
        <w:spacing w:line="360" w:lineRule="auto"/>
        <w:tabs>
          <w:tab w:val="left" w:pos="480" w:leader="none"/>
        </w:tabs>
        <w:rPr>
          <w:rFonts w:hint="eastAsia" w:ascii="宋体" w:hAnsi="宋体" w:eastAsia="宋体" w:cs="宋体"/>
          <w:b/>
          <w:bCs/>
          <w:sz w:val="21"/>
          <w:szCs w:val="21"/>
        </w:rPr>
      </w:pPr>
      <w:r/>
      <w:bookmarkStart w:id="362" w:name="_Toc28074"/>
      <w:r/>
      <w:bookmarkStart w:id="363" w:name="_Toc6832"/>
      <w:r/>
      <w:bookmarkStart w:id="364" w:name="_Toc7061"/>
      <w:r/>
      <w:bookmarkStart w:id="365" w:name="_Toc18841"/>
      <w:r>
        <w:rPr>
          <w:rFonts w:hint="eastAsia" w:ascii="宋体" w:hAnsi="宋体" w:eastAsia="宋体" w:cs="宋体"/>
          <w:b/>
          <w:bCs/>
          <w:sz w:val="21"/>
          <w:szCs w:val="21"/>
        </w:rPr>
        <w:t xml:space="preserve">（四）投标文件的澄清</w:t>
      </w:r>
      <w:bookmarkEnd w:id="358"/>
      <w:r/>
      <w:bookmarkEnd w:id="359"/>
      <w:r/>
      <w:bookmarkEnd w:id="360"/>
      <w:r/>
      <w:bookmarkEnd w:id="362"/>
      <w:r/>
      <w:bookmarkEnd w:id="363"/>
      <w:r/>
      <w:bookmarkEnd w:id="364"/>
      <w:r/>
      <w:bookmarkEnd w:id="365"/>
      <w:r>
        <w:rPr>
          <w:rFonts w:hint="eastAsia" w:ascii="宋体" w:hAnsi="宋体" w:eastAsia="宋体" w:cs="宋体"/>
          <w:b/>
          <w:bCs/>
          <w:sz w:val="21"/>
          <w:szCs w:val="21"/>
        </w:rPr>
      </w:r>
      <w:r/>
    </w:p>
    <w:p>
      <w:pPr>
        <w:pStyle w:val="1276"/>
        <w:ind w:firstLine="420"/>
        <w:spacing w:line="360" w:lineRule="auto"/>
        <w:rPr>
          <w:rFonts w:hint="eastAsia" w:ascii="宋体" w:hAnsi="宋体" w:cs="宋体"/>
          <w:bCs/>
          <w:szCs w:val="21"/>
        </w:rPr>
      </w:pPr>
      <w:r/>
      <w:bookmarkStart w:id="366" w:name="_Toc16293"/>
      <w:r/>
      <w:bookmarkStart w:id="367" w:name="_Toc438"/>
      <w:r/>
      <w:bookmarkStart w:id="368" w:name="_Toc30732"/>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279"/>
        <w:ind w:left="0" w:firstLine="422"/>
        <w:jc w:val="both"/>
        <w:spacing w:line="360" w:lineRule="auto"/>
        <w:tabs>
          <w:tab w:val="left" w:pos="480" w:leader="none"/>
        </w:tabs>
        <w:rPr>
          <w:rFonts w:hint="eastAsia" w:ascii="宋体" w:hAnsi="宋体" w:eastAsia="宋体" w:cs="宋体"/>
          <w:b/>
          <w:bCs/>
          <w:sz w:val="21"/>
          <w:szCs w:val="21"/>
        </w:rPr>
      </w:pPr>
      <w:r/>
      <w:bookmarkStart w:id="369" w:name="_Toc12845"/>
      <w:r/>
      <w:bookmarkStart w:id="370" w:name="_Toc32045"/>
      <w:r/>
      <w:bookmarkStart w:id="371" w:name="_Toc8517"/>
      <w:r/>
      <w:bookmarkStart w:id="372" w:name="_Toc3574"/>
      <w:r>
        <w:rPr>
          <w:rFonts w:hint="eastAsia" w:ascii="宋体" w:hAnsi="宋体" w:eastAsia="宋体" w:cs="宋体"/>
          <w:b/>
          <w:bCs/>
          <w:sz w:val="21"/>
          <w:szCs w:val="21"/>
        </w:rPr>
        <w:t xml:space="preserve">（五）对投标文件的详细评审</w:t>
      </w:r>
      <w:bookmarkEnd w:id="366"/>
      <w:r/>
      <w:bookmarkEnd w:id="367"/>
      <w:r/>
      <w:bookmarkEnd w:id="368"/>
      <w:r/>
      <w:bookmarkEnd w:id="369"/>
      <w:r/>
      <w:bookmarkEnd w:id="370"/>
      <w:r/>
      <w:bookmarkEnd w:id="371"/>
      <w:r/>
      <w:bookmarkEnd w:id="372"/>
      <w:r>
        <w:rPr>
          <w:rFonts w:hint="eastAsia" w:ascii="宋体" w:hAnsi="宋体" w:eastAsia="宋体" w:cs="宋体"/>
          <w:b/>
          <w:bCs/>
          <w:sz w:val="21"/>
          <w:szCs w:val="21"/>
        </w:rPr>
      </w:r>
      <w:r/>
    </w:p>
    <w:p>
      <w:pPr>
        <w:pStyle w:val="1276"/>
        <w:ind w:firstLine="420"/>
        <w:spacing w:line="360" w:lineRule="auto"/>
        <w:rPr>
          <w:rFonts w:hint="eastAsia" w:ascii="宋体" w:hAnsi="宋体" w:cs="宋体"/>
          <w:szCs w:val="21"/>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rPr>
        <w:t xml:space="preserve">取技术分最高者；均相同时，由</w:t>
      </w:r>
      <w:r>
        <w:rPr>
          <w:rFonts w:hint="eastAsia" w:ascii="宋体" w:hAnsi="宋体" w:cs="宋体"/>
          <w:szCs w:val="21"/>
        </w:rPr>
        <w:t xml:space="preserve">评标委员会</w:t>
      </w:r>
      <w:r>
        <w:rPr>
          <w:rFonts w:hint="eastAsia" w:ascii="宋体" w:hAnsi="宋体" w:cs="宋体"/>
          <w:bCs/>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276"/>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评标委员会应当按照招标文件中规定的评标方法和标准，对符合性审查合格的投标文件进行商务和技术评估，综合比较与评价。</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szCs w:val="22"/>
        </w:rPr>
        <w:t xml:space="preserve">5</w:t>
      </w:r>
      <w:r>
        <w:rPr>
          <w:rFonts w:hint="eastAsia" w:ascii="宋体" w:hAnsi="宋体" w:cs="宋体"/>
          <w:color w:val="000000"/>
          <w:szCs w:val="21"/>
          <w:lang w:val="zh-CN"/>
        </w:rPr>
        <w:t xml:space="preserve">、</w:t>
      </w:r>
      <w:r>
        <w:rPr>
          <w:rFonts w:hint="eastAsia" w:ascii="宋体" w:hAnsi="宋体" w:cs="宋体"/>
          <w:bCs/>
          <w:szCs w:val="22"/>
        </w:rPr>
        <w:t xml:space="preserve">除评标方法和评标标准另有规定外，评标</w:t>
      </w:r>
      <w:r>
        <w:rPr>
          <w:rFonts w:hint="eastAsia" w:ascii="宋体" w:hAnsi="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szCs w:val="22"/>
        </w:rPr>
        <w:t xml:space="preserve">6</w:t>
      </w:r>
      <w:r>
        <w:rPr>
          <w:rFonts w:hint="eastAsia" w:ascii="宋体" w:hAnsi="宋体" w:cs="宋体"/>
          <w:color w:val="000000"/>
          <w:szCs w:val="21"/>
          <w:lang w:val="zh-CN"/>
        </w:rPr>
        <w:t xml:space="preserve">、</w:t>
      </w:r>
      <w:r>
        <w:rPr>
          <w:rFonts w:hint="eastAsia" w:ascii="宋体" w:hAnsi="宋体" w:cs="宋体"/>
          <w:bCs/>
        </w:rPr>
        <w:t xml:space="preserve">评审因素包括投标报价、技术或者服务水平、履约能力、售后服务等。</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szCs w:val="22"/>
        </w:rPr>
        <w:t xml:space="preserve">7</w:t>
      </w:r>
      <w:r>
        <w:rPr>
          <w:rFonts w:hint="eastAsia" w:ascii="宋体" w:hAnsi="宋体" w:cs="宋体"/>
          <w:color w:val="000000"/>
          <w:szCs w:val="21"/>
          <w:lang w:val="zh-CN"/>
        </w:rPr>
        <w:t xml:space="preserve">、</w:t>
      </w:r>
      <w:r>
        <w:rPr>
          <w:rFonts w:hint="eastAsia" w:ascii="宋体" w:hAnsi="宋体" w:cs="宋体"/>
          <w:bCs/>
        </w:rPr>
        <w:t xml:space="preserve">评标标准详见文件第三章。</w:t>
      </w:r>
      <w:r>
        <w:rPr>
          <w:rFonts w:hint="eastAsia" w:ascii="宋体" w:hAnsi="宋体" w:cs="宋体"/>
          <w:bCs/>
        </w:rPr>
      </w:r>
      <w:r/>
    </w:p>
    <w:p>
      <w:pPr>
        <w:pStyle w:val="1279"/>
        <w:ind w:left="0" w:firstLine="422"/>
        <w:jc w:val="both"/>
        <w:spacing w:line="360" w:lineRule="auto"/>
        <w:tabs>
          <w:tab w:val="left" w:pos="480" w:leader="none"/>
        </w:tabs>
        <w:rPr>
          <w:rFonts w:hint="eastAsia" w:ascii="宋体" w:hAnsi="宋体" w:eastAsia="宋体" w:cs="宋体"/>
          <w:b/>
          <w:bCs/>
          <w:sz w:val="21"/>
          <w:szCs w:val="21"/>
        </w:rPr>
      </w:pPr>
      <w:r/>
      <w:bookmarkEnd w:id="361"/>
      <w:r/>
      <w:bookmarkStart w:id="373" w:name="_Toc25308"/>
      <w:r/>
      <w:bookmarkStart w:id="374" w:name="_Toc5835"/>
      <w:r/>
      <w:bookmarkStart w:id="375" w:name="_Toc27233"/>
      <w:r/>
      <w:bookmarkStart w:id="376" w:name="_Toc12358"/>
      <w:r/>
      <w:bookmarkStart w:id="377" w:name="_Toc21985"/>
      <w:r/>
      <w:bookmarkStart w:id="378" w:name="_Toc28875"/>
      <w:r/>
      <w:bookmarkStart w:id="379" w:name="_Toc9996"/>
      <w:r/>
      <w:bookmarkStart w:id="380" w:name="_Toc11748"/>
      <w:r/>
      <w:bookmarkStart w:id="381" w:name="_Toc8028"/>
      <w:r/>
      <w:bookmarkStart w:id="382" w:name="_Toc26838"/>
      <w:r>
        <w:rPr>
          <w:rFonts w:hint="eastAsia" w:ascii="宋体" w:hAnsi="宋体" w:eastAsia="宋体" w:cs="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hint="eastAsia" w:ascii="宋体" w:hAnsi="宋体" w:eastAsia="宋体" w:cs="宋体"/>
          <w:b/>
          <w:bCs/>
          <w:sz w:val="21"/>
          <w:szCs w:val="21"/>
        </w:rPr>
      </w:r>
      <w:r/>
    </w:p>
    <w:p>
      <w:pPr>
        <w:pStyle w:val="1276"/>
        <w:ind w:firstLine="420"/>
        <w:spacing w:line="360" w:lineRule="auto"/>
        <w:rPr>
          <w:rFonts w:hint="eastAsia" w:ascii="宋体" w:hAnsi="宋体" w:cs="宋体"/>
          <w:bCs/>
          <w:szCs w:val="21"/>
        </w:rPr>
      </w:pPr>
      <w:r/>
      <w:bookmarkEnd w:id="382"/>
      <w:r/>
      <w:bookmarkStart w:id="383" w:name="_Toc3094"/>
      <w:r/>
      <w:bookmarkStart w:id="384" w:name="_Toc30824"/>
      <w:r/>
      <w:bookmarkStart w:id="385" w:name="_Toc21168"/>
      <w:r/>
      <w:bookmarkStart w:id="386" w:name="_Toc14230"/>
      <w:r/>
      <w:bookmarkStart w:id="387" w:name="_Toc26041"/>
      <w:r/>
      <w:bookmarkStart w:id="388" w:name="_Toc18327"/>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在评标过程中，供应商不得以任何行为影响评标过程，否则其投标文件将被作为无效投标文件。</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采购代理机构和评标委员会不得向落标的供应商解释未中标原因，也不公布评标过程中的相关细节。</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在评标期间，采购代理机构将指定联络员与供应商进行联络。</w:t>
      </w:r>
      <w:r>
        <w:rPr>
          <w:rFonts w:hint="eastAsia" w:ascii="宋体" w:hAnsi="宋体" w:cs="宋体"/>
          <w:bCs/>
          <w:szCs w:val="21"/>
        </w:rPr>
      </w:r>
      <w:r/>
    </w:p>
    <w:p>
      <w:pPr>
        <w:pStyle w:val="1279"/>
        <w:ind w:left="0" w:firstLine="422"/>
        <w:jc w:val="both"/>
        <w:spacing w:line="360" w:lineRule="auto"/>
        <w:tabs>
          <w:tab w:val="left" w:pos="480" w:leader="none"/>
        </w:tabs>
        <w:rPr>
          <w:rFonts w:hint="eastAsia" w:ascii="宋体" w:hAnsi="宋体" w:eastAsia="宋体" w:cs="宋体"/>
          <w:b/>
          <w:bCs/>
          <w:color w:val="000000"/>
          <w:sz w:val="21"/>
          <w:szCs w:val="21"/>
        </w:rPr>
      </w:pPr>
      <w:r/>
      <w:bookmarkStart w:id="389" w:name="_Toc14621"/>
      <w:r/>
      <w:bookmarkStart w:id="390" w:name="_Toc20340"/>
      <w:r/>
      <w:bookmarkStart w:id="391" w:name="_Toc25660"/>
      <w:r/>
      <w:bookmarkStart w:id="392" w:name="_Toc31043"/>
      <w:r>
        <w:rPr>
          <w:rFonts w:hint="eastAsia" w:ascii="宋体" w:hAnsi="宋体" w:eastAsia="宋体" w:cs="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hint="eastAsia" w:ascii="宋体" w:hAnsi="宋体" w:eastAsia="宋体" w:cs="宋体"/>
          <w:b/>
          <w:bCs/>
          <w:color w:val="000000"/>
          <w:sz w:val="21"/>
          <w:szCs w:val="21"/>
        </w:rPr>
      </w:r>
      <w:r/>
    </w:p>
    <w:p>
      <w:pPr>
        <w:pStyle w:val="1276"/>
        <w:ind w:firstLine="420"/>
        <w:spacing w:line="360" w:lineRule="auto"/>
        <w:rPr>
          <w:rFonts w:hint="eastAsia" w:ascii="宋体" w:hAnsi="宋体" w:cs="宋体"/>
          <w:bCs/>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rPr>
        <w:t xml:space="preserve">无效投标条款</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（1）未按要求交纳投标保证金的；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（2）未按照招标文件规定要求密封、签署、盖章的；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（3）供应商在报价时采用选择性报价；</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（4）供应商不具备招标文件中规定资格要求的；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（5）供应商的报价超过了采购预算的；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（6）未通过符合性检查的；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（7）不符合招标文件中规定的其他实质性要求和条件的；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（8）其他法律、法规及本招标文件规定的属无效投标的情形。</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废标条款</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（1）符合专业条件的供应商或者对招标文件作实质响应的供应商不足三家的；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（2）出现影响采购公正的违法、违规行为的；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（3）因重大变故，采购任务取消的；</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（4）评标委员会认定投标文件存在歧义、重大缺陷导致评审工作无法进行的，或者招标文件内容违反国家有关强制性规定的。</w:t>
      </w:r>
      <w:r>
        <w:rPr>
          <w:rFonts w:hint="eastAsia" w:ascii="宋体" w:hAnsi="宋体" w:cs="宋体"/>
          <w:bCs/>
        </w:rPr>
      </w:r>
      <w:r/>
    </w:p>
    <w:p>
      <w:pPr>
        <w:pStyle w:val="1279"/>
        <w:ind w:left="0" w:firstLine="422"/>
        <w:jc w:val="both"/>
        <w:spacing w:line="360" w:lineRule="auto"/>
        <w:tabs>
          <w:tab w:val="left" w:pos="480" w:leader="none"/>
        </w:tabs>
        <w:rPr>
          <w:rFonts w:hint="eastAsia" w:ascii="宋体" w:hAnsi="宋体" w:eastAsia="宋体" w:cs="宋体"/>
          <w:b/>
          <w:bCs/>
          <w:sz w:val="21"/>
          <w:szCs w:val="21"/>
        </w:rPr>
      </w:pPr>
      <w:r/>
      <w:bookmarkStart w:id="393" w:name="_Toc9154"/>
      <w:r/>
      <w:bookmarkStart w:id="394" w:name="_Toc323"/>
      <w:r/>
      <w:bookmarkStart w:id="395" w:name="_Toc11300"/>
      <w:r/>
      <w:bookmarkStart w:id="396" w:name="_Toc1005"/>
      <w:r/>
      <w:bookmarkStart w:id="397" w:name="_Toc24911"/>
      <w:r/>
      <w:bookmarkStart w:id="398" w:name="_Toc4600"/>
      <w:r/>
      <w:bookmarkStart w:id="399" w:name="_Toc13363"/>
      <w:r>
        <w:rPr>
          <w:rFonts w:hint="eastAsia" w:ascii="宋体" w:hAnsi="宋体" w:eastAsia="宋体" w:cs="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hint="eastAsia" w:ascii="宋体" w:hAnsi="宋体" w:eastAsia="宋体" w:cs="宋体"/>
          <w:b/>
          <w:bCs/>
          <w:sz w:val="21"/>
          <w:szCs w:val="21"/>
        </w:rPr>
      </w:r>
      <w:r/>
    </w:p>
    <w:p>
      <w:pPr>
        <w:pStyle w:val="1276"/>
        <w:ind w:firstLine="420"/>
        <w:spacing w:line="360" w:lineRule="auto"/>
        <w:rPr>
          <w:rFonts w:hint="eastAsia" w:ascii="宋体" w:hAnsi="宋体" w:cs="宋体"/>
          <w:bCs/>
          <w:szCs w:val="21"/>
        </w:rPr>
      </w:pPr>
      <w:r/>
      <w:bookmarkStart w:id="400" w:name="_Toc30275"/>
      <w:r/>
      <w:bookmarkStart w:id="401" w:name="_Toc15294"/>
      <w:r/>
      <w:bookmarkStart w:id="402" w:name="_Toc5044"/>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76"/>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276"/>
        <w:spacing w:line="360" w:lineRule="auto"/>
        <w:rPr>
          <w:rFonts w:ascii="Arial" w:hAnsi="Arial" w:cs="Arial"/>
          <w:b/>
          <w:bCs/>
          <w:sz w:val="24"/>
        </w:rPr>
        <w:outlineLvl w:val="2"/>
      </w:pPr>
      <w:r/>
      <w:bookmarkStart w:id="403" w:name="_Toc11205"/>
      <w:r/>
      <w:bookmarkStart w:id="404" w:name="_Toc17892"/>
      <w:r/>
      <w:bookmarkStart w:id="405" w:name="_Toc864"/>
      <w:r/>
      <w:bookmarkStart w:id="406" w:name="_Toc28818"/>
      <w:r>
        <w:rPr>
          <w:rFonts w:ascii="Arial" w:hAnsi="Arial" w:cs="Arial"/>
          <w:b/>
          <w:bCs/>
          <w:sz w:val="24"/>
        </w:rPr>
        <w:t xml:space="preserve">六、授标</w:t>
      </w:r>
      <w:bookmarkEnd w:id="388"/>
      <w:r/>
      <w:bookmarkEnd w:id="400"/>
      <w:r/>
      <w:bookmarkEnd w:id="401"/>
      <w:r/>
      <w:bookmarkEnd w:id="402"/>
      <w:r/>
      <w:bookmarkEnd w:id="403"/>
      <w:r/>
      <w:bookmarkEnd w:id="404"/>
      <w:r/>
      <w:bookmarkEnd w:id="405"/>
      <w:r/>
      <w:bookmarkEnd w:id="406"/>
      <w:r>
        <w:rPr>
          <w:rFonts w:ascii="Arial" w:hAnsi="Arial" w:cs="Arial"/>
          <w:b/>
          <w:bCs/>
          <w:sz w:val="24"/>
        </w:rPr>
      </w:r>
      <w:r/>
    </w:p>
    <w:p>
      <w:pPr>
        <w:pStyle w:val="1279"/>
        <w:ind w:left="0" w:firstLine="422"/>
        <w:jc w:val="both"/>
        <w:spacing w:line="440" w:lineRule="exact"/>
        <w:tabs>
          <w:tab w:val="left" w:pos="480" w:leader="none"/>
        </w:tabs>
        <w:rPr>
          <w:rFonts w:ascii="Arial" w:hAnsi="Arial" w:eastAsia="宋体" w:cs="Arial"/>
          <w:b/>
          <w:bCs/>
          <w:color w:val="000000"/>
          <w:sz w:val="21"/>
          <w:szCs w:val="21"/>
        </w:rPr>
      </w:pPr>
      <w:r/>
      <w:bookmarkStart w:id="407" w:name="_Toc28693"/>
      <w:r/>
      <w:bookmarkStart w:id="408" w:name="_Toc31903"/>
      <w:r/>
      <w:bookmarkStart w:id="409" w:name="_Toc7829"/>
      <w:r/>
      <w:bookmarkStart w:id="410" w:name="_Toc7610"/>
      <w:r/>
      <w:bookmarkStart w:id="411" w:name="_Toc7552"/>
      <w:r/>
      <w:bookmarkStart w:id="412" w:name="_Toc15839"/>
      <w:r/>
      <w:bookmarkStart w:id="413" w:name="_Toc6735"/>
      <w:r/>
      <w:bookmarkStart w:id="414" w:name="_Toc27915"/>
      <w:r>
        <w:rPr>
          <w:rFonts w:ascii="Arial" w:hAnsi="Arial" w:eastAsia="宋体" w:cs="Arial"/>
          <w:b/>
          <w:bCs/>
          <w:color w:val="000000"/>
          <w:sz w:val="21"/>
          <w:szCs w:val="21"/>
        </w:rPr>
        <w:t xml:space="preserve">（一）确定中标</w:t>
      </w:r>
      <w:bookmarkEnd w:id="407"/>
      <w:r>
        <w:rPr>
          <w:rFonts w:ascii="Arial" w:hAnsi="Arial" w:eastAsia="宋体" w:cs="Arial"/>
          <w:b/>
          <w:bCs/>
          <w:color w:val="000000"/>
          <w:sz w:val="21"/>
          <w:szCs w:val="21"/>
        </w:rPr>
        <w:t xml:space="preserve">供应商</w:t>
      </w:r>
      <w:bookmarkEnd w:id="408"/>
      <w:r/>
      <w:bookmarkEnd w:id="409"/>
      <w:r/>
      <w:bookmarkEnd w:id="410"/>
      <w:r/>
      <w:bookmarkEnd w:id="411"/>
      <w:r/>
      <w:bookmarkEnd w:id="412"/>
      <w:r/>
      <w:bookmarkEnd w:id="413"/>
      <w:r/>
      <w:bookmarkEnd w:id="414"/>
      <w:r>
        <w:rPr>
          <w:rFonts w:ascii="Arial" w:hAnsi="Arial" w:eastAsia="宋体" w:cs="Arial"/>
          <w:b/>
          <w:bCs/>
          <w:color w:val="000000"/>
          <w:sz w:val="21"/>
          <w:szCs w:val="21"/>
        </w:rPr>
      </w:r>
      <w:r/>
    </w:p>
    <w:p>
      <w:pPr>
        <w:pStyle w:val="1276"/>
        <w:ind w:firstLine="420"/>
        <w:spacing w:line="360" w:lineRule="auto"/>
        <w:rPr>
          <w:rFonts w:hint="eastAsia" w:ascii="宋体" w:hAnsi="宋体" w:cs="宋体"/>
          <w:szCs w:val="21"/>
        </w:rPr>
      </w:pPr>
      <w:r/>
      <w:bookmarkStart w:id="415" w:name="_Toc4684"/>
      <w:r/>
      <w:bookmarkStart w:id="416" w:name="_Toc24143"/>
      <w:r/>
      <w:bookmarkStart w:id="417" w:name="_Toc17252"/>
      <w:r/>
      <w:bookmarkStart w:id="418" w:name="_Toc24144"/>
      <w:r/>
      <w:bookmarkStart w:id="419" w:name="_Toc32182"/>
      <w:r/>
      <w:bookmarkStart w:id="420" w:name="_Toc7377"/>
      <w:r/>
      <w:bookmarkStart w:id="421" w:name="_Toc21169"/>
      <w:r/>
      <w:bookmarkStart w:id="422" w:name="_Toc19713"/>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采购人应根据评标委员会推荐的中标候选供应商确定中标供应商。</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评标委员会根据全体评标成员签字的原始评标记录和评标结果编写评标报告。</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color w:val="000000"/>
          <w:szCs w:val="21"/>
          <w:lang w:val="zh-CN"/>
        </w:rPr>
        <w:t xml:space="preserve">、</w:t>
      </w:r>
      <w:r>
        <w:rPr>
          <w:rFonts w:hint="eastAsia" w:ascii="宋体" w:hAnsi="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color w:val="000000"/>
          <w:szCs w:val="21"/>
          <w:lang w:val="zh-CN"/>
        </w:rPr>
        <w:t xml:space="preserve">、</w:t>
      </w:r>
      <w:r>
        <w:rPr>
          <w:rFonts w:hint="eastAsia" w:ascii="宋体" w:hAnsi="宋体" w:cs="宋体"/>
          <w:szCs w:val="21"/>
        </w:rPr>
        <w:t xml:space="preserve">若评标委员会发现供应商的投标文件中有弄虚作假行为，则该供应商将失去中标资格。</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color w:val="000000"/>
          <w:szCs w:val="21"/>
          <w:lang w:val="zh-CN"/>
        </w:rPr>
        <w:t xml:space="preserve">、</w:t>
      </w:r>
      <w:r>
        <w:rPr>
          <w:rFonts w:hint="eastAsia" w:ascii="宋体" w:hAnsi="宋体" w:cs="宋体"/>
          <w:szCs w:val="21"/>
        </w:rPr>
        <w:t xml:space="preserve">所有投标文件都将作为档案保存，不论中标与否，代理机构均不退回。</w:t>
      </w:r>
      <w:r>
        <w:rPr>
          <w:rFonts w:hint="eastAsia" w:ascii="宋体" w:hAnsi="宋体" w:cs="宋体"/>
          <w:szCs w:val="21"/>
        </w:rPr>
      </w:r>
      <w:r/>
    </w:p>
    <w:p>
      <w:pPr>
        <w:pStyle w:val="1279"/>
        <w:ind w:left="0" w:firstLine="422"/>
        <w:jc w:val="both"/>
        <w:spacing w:line="360" w:lineRule="auto"/>
        <w:tabs>
          <w:tab w:val="left" w:pos="480" w:leader="none"/>
        </w:tabs>
        <w:rPr>
          <w:rFonts w:ascii="Arial" w:hAnsi="Arial" w:eastAsia="宋体" w:cs="Arial"/>
          <w:b/>
          <w:bCs/>
          <w:color w:val="000000"/>
          <w:sz w:val="21"/>
          <w:szCs w:val="21"/>
        </w:rPr>
      </w:pPr>
      <w:r/>
      <w:bookmarkEnd w:id="415"/>
      <w:r/>
      <w:bookmarkEnd w:id="416"/>
      <w:r/>
      <w:bookmarkEnd w:id="417"/>
      <w:r/>
      <w:bookmarkEnd w:id="418"/>
      <w:r/>
      <w:bookmarkEnd w:id="419"/>
      <w:r/>
      <w:bookmarkEnd w:id="420"/>
      <w:r/>
      <w:bookmarkEnd w:id="421"/>
      <w:r/>
      <w:bookmarkEnd w:id="422"/>
      <w:r/>
      <w:bookmarkStart w:id="423" w:name="_Toc3558"/>
      <w:r/>
      <w:bookmarkStart w:id="424" w:name="_Toc32653"/>
      <w:r/>
      <w:bookmarkStart w:id="425" w:name="_Toc19860"/>
      <w:r/>
      <w:bookmarkStart w:id="426" w:name="_Toc10125"/>
      <w:r/>
      <w:bookmarkStart w:id="427" w:name="_Toc31824"/>
      <w:r/>
      <w:bookmarkStart w:id="428" w:name="_Toc20674"/>
      <w:r/>
      <w:bookmarkStart w:id="429" w:name="_Toc21677"/>
      <w:r/>
      <w:bookmarkStart w:id="430" w:name="_Toc28003"/>
      <w:r/>
      <w:bookmarkStart w:id="431" w:name="_Toc2049"/>
      <w:r/>
      <w:bookmarkStart w:id="432" w:name="_Toc24788"/>
      <w:r/>
      <w:bookmarkStart w:id="433" w:name="_Toc20178"/>
      <w:r/>
      <w:bookmarkStart w:id="434" w:name="_Toc15484"/>
      <w:r/>
      <w:bookmarkStart w:id="435" w:name="_Toc31182"/>
      <w:r>
        <w:rPr>
          <w:rFonts w:ascii="Arial" w:hAnsi="Arial" w:eastAsia="宋体" w:cs="Arial"/>
          <w:b/>
          <w:bCs/>
          <w:color w:val="000000"/>
          <w:sz w:val="21"/>
          <w:szCs w:val="21"/>
        </w:rPr>
        <w:t xml:space="preserve">（二）中标的通知</w:t>
      </w:r>
      <w:bookmarkEnd w:id="423"/>
      <w:r/>
      <w:bookmarkEnd w:id="424"/>
      <w:r/>
      <w:bookmarkEnd w:id="425"/>
      <w:r/>
      <w:bookmarkEnd w:id="426"/>
      <w:r/>
      <w:bookmarkEnd w:id="427"/>
      <w:r/>
      <w:bookmarkEnd w:id="428"/>
      <w:r/>
      <w:bookmarkEnd w:id="429"/>
      <w:r>
        <w:rPr>
          <w:rFonts w:ascii="Arial" w:hAnsi="Arial" w:eastAsia="宋体" w:cs="Arial"/>
          <w:b/>
          <w:bCs/>
          <w:color w:val="000000"/>
          <w:sz w:val="21"/>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定标后，采购代理机构将定标结果通知所有的供应商，并向中标供应商发出中标通知书。</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中标供应商在收到中标通知书后，应郑重保证履行中标供应商应履行的，含招标代理服务费在内的一切义务和责任。</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中标通知书是合同的组成部分。</w:t>
      </w:r>
      <w:r>
        <w:rPr>
          <w:rFonts w:hint="eastAsia" w:ascii="宋体" w:hAnsi="宋体" w:cs="宋体"/>
          <w:szCs w:val="21"/>
        </w:rPr>
      </w:r>
      <w:r/>
    </w:p>
    <w:p>
      <w:pPr>
        <w:pStyle w:val="1279"/>
        <w:ind w:left="0" w:firstLine="422"/>
        <w:jc w:val="both"/>
        <w:spacing w:line="360" w:lineRule="auto"/>
        <w:tabs>
          <w:tab w:val="left" w:pos="480" w:leader="none"/>
        </w:tabs>
        <w:rPr>
          <w:rFonts w:ascii="Arial" w:hAnsi="Arial" w:eastAsia="宋体" w:cs="Arial"/>
          <w:b/>
          <w:bCs/>
          <w:sz w:val="21"/>
          <w:szCs w:val="21"/>
        </w:rPr>
      </w:pPr>
      <w:r/>
      <w:bookmarkEnd w:id="430"/>
      <w:r/>
      <w:bookmarkEnd w:id="431"/>
      <w:r/>
      <w:bookmarkEnd w:id="432"/>
      <w:r/>
      <w:bookmarkEnd w:id="433"/>
      <w:r/>
      <w:bookmarkEnd w:id="434"/>
      <w:r/>
      <w:bookmarkEnd w:id="435"/>
      <w:r/>
      <w:bookmarkStart w:id="436" w:name="_Toc2885"/>
      <w:r/>
      <w:bookmarkStart w:id="437" w:name="_Toc6002"/>
      <w:r/>
      <w:bookmarkStart w:id="438" w:name="_Toc19434"/>
      <w:r/>
      <w:bookmarkStart w:id="439" w:name="_Toc27248"/>
      <w:r/>
      <w:bookmarkStart w:id="440" w:name="_Toc26950"/>
      <w:r/>
      <w:bookmarkStart w:id="441" w:name="_Toc1616"/>
      <w:r/>
      <w:bookmarkStart w:id="442" w:name="_Toc16083"/>
      <w:r/>
      <w:bookmarkStart w:id="443" w:name="_Toc22298"/>
      <w:r/>
      <w:bookmarkStart w:id="444" w:name="_Toc18692"/>
      <w:r/>
      <w:bookmarkStart w:id="445" w:name="_Toc29925"/>
      <w:r/>
      <w:bookmarkStart w:id="446" w:name="_Toc11230"/>
      <w:r/>
      <w:bookmarkStart w:id="447" w:name="_Toc15509"/>
      <w:r/>
      <w:bookmarkStart w:id="448" w:name="_Toc20112"/>
      <w:r>
        <w:rPr>
          <w:rFonts w:ascii="Arial" w:hAnsi="Arial" w:eastAsia="宋体" w:cs="Arial"/>
          <w:b/>
          <w:bCs/>
          <w:color w:val="000000"/>
          <w:sz w:val="21"/>
          <w:szCs w:val="21"/>
        </w:rPr>
        <w:t xml:space="preserve">（三）签订合同</w:t>
      </w:r>
      <w:bookmarkEnd w:id="436"/>
      <w:r/>
      <w:bookmarkEnd w:id="437"/>
      <w:r/>
      <w:bookmarkEnd w:id="438"/>
      <w:r/>
      <w:bookmarkEnd w:id="439"/>
      <w:r/>
      <w:bookmarkEnd w:id="440"/>
      <w:r/>
      <w:bookmarkEnd w:id="441"/>
      <w:r/>
      <w:bookmarkEnd w:id="442"/>
      <w:r>
        <w:rPr>
          <w:rFonts w:ascii="Arial" w:hAnsi="Arial" w:eastAsia="宋体" w:cs="Arial"/>
          <w:b/>
          <w:bCs/>
          <w:sz w:val="21"/>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招标文件、中标供应商的投标文件及评标过程中有关澄清、说明或者补正文件均应作为合同附件。</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若中标供应商未能按规定签约，中标将被撤销及投标保证金被没收，在这种情况下采购人可以另选中标供应商或重新招标。</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1279"/>
        <w:ind w:left="0" w:firstLine="422"/>
        <w:jc w:val="both"/>
        <w:spacing w:line="360" w:lineRule="auto"/>
        <w:tabs>
          <w:tab w:val="left" w:pos="480" w:leader="none"/>
        </w:tabs>
        <w:rPr>
          <w:rFonts w:ascii="Arial" w:hAnsi="Arial" w:eastAsia="宋体" w:cs="Arial"/>
          <w:b/>
          <w:bCs/>
          <w:color w:val="000000"/>
          <w:sz w:val="21"/>
          <w:szCs w:val="21"/>
        </w:rPr>
      </w:pPr>
      <w:r/>
      <w:bookmarkEnd w:id="443"/>
      <w:r/>
      <w:bookmarkStart w:id="449" w:name="_Toc561"/>
      <w:r/>
      <w:bookmarkStart w:id="450" w:name="_Toc2439"/>
      <w:r/>
      <w:bookmarkStart w:id="451" w:name="_Toc30900"/>
      <w:r/>
      <w:bookmarkStart w:id="452" w:name="_Toc20405"/>
      <w:r>
        <w:rPr>
          <w:rFonts w:ascii="Arial" w:hAnsi="Arial" w:eastAsia="宋体" w:cs="Arial"/>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Arial" w:hAnsi="Arial" w:eastAsia="宋体" w:cs="Arial"/>
          <w:b/>
          <w:bCs/>
          <w:color w:val="000000"/>
          <w:sz w:val="21"/>
          <w:szCs w:val="21"/>
        </w:rPr>
      </w:r>
      <w:r/>
    </w:p>
    <w:p>
      <w:pPr>
        <w:pStyle w:val="1276"/>
        <w:ind w:firstLine="420"/>
        <w:spacing w:line="360" w:lineRule="auto"/>
        <w:rPr>
          <w:rFonts w:hint="eastAsia" w:ascii="宋体" w:hAnsi="宋体" w:cs="宋体"/>
          <w:szCs w:val="21"/>
        </w:rPr>
      </w:pPr>
      <w:r/>
      <w:bookmarkStart w:id="453" w:name="_Toc30326"/>
      <w:r>
        <w:rPr>
          <w:rFonts w:hint="eastAsia" w:ascii="宋体" w:hAnsi="宋体" w:cs="宋体"/>
          <w:szCs w:val="21"/>
        </w:rPr>
        <w:t xml:space="preserve">详见投标人须知前附表。</w:t>
      </w:r>
      <w:r>
        <w:rPr>
          <w:rFonts w:hint="eastAsia" w:ascii="宋体" w:hAnsi="宋体" w:cs="宋体"/>
          <w:szCs w:val="21"/>
        </w:rPr>
      </w:r>
      <w:r/>
    </w:p>
    <w:p>
      <w:pPr>
        <w:pStyle w:val="1276"/>
        <w:spacing w:line="360" w:lineRule="auto"/>
        <w:rPr>
          <w:rFonts w:ascii="Arial" w:hAnsi="Arial" w:cs="Arial"/>
          <w:b/>
          <w:bCs/>
          <w:sz w:val="24"/>
        </w:rPr>
        <w:outlineLvl w:val="2"/>
      </w:pPr>
      <w:r/>
      <w:bookmarkStart w:id="454" w:name="_Toc10511"/>
      <w:r/>
      <w:bookmarkStart w:id="455" w:name="_Toc3922"/>
      <w:r/>
      <w:bookmarkStart w:id="456" w:name="_Toc2559"/>
      <w:r/>
      <w:bookmarkStart w:id="457" w:name="_Toc29831"/>
      <w:r/>
      <w:bookmarkStart w:id="458" w:name="_Toc27468"/>
      <w:r/>
      <w:bookmarkStart w:id="459" w:name="_Toc18380"/>
      <w:r>
        <w:rPr>
          <w:rFonts w:ascii="Arial" w:hAnsi="Arial" w:cs="Arial"/>
          <w:b/>
          <w:bCs/>
          <w:sz w:val="24"/>
        </w:rPr>
        <w:t xml:space="preserve">七、质疑</w:t>
      </w:r>
      <w:bookmarkEnd w:id="448"/>
      <w:r/>
      <w:bookmarkEnd w:id="453"/>
      <w:r/>
      <w:bookmarkEnd w:id="454"/>
      <w:r/>
      <w:bookmarkEnd w:id="455"/>
      <w:r/>
      <w:bookmarkEnd w:id="456"/>
      <w:r/>
      <w:bookmarkEnd w:id="457"/>
      <w:r/>
      <w:bookmarkEnd w:id="458"/>
      <w:r/>
      <w:bookmarkEnd w:id="459"/>
      <w:r>
        <w:rPr>
          <w:rFonts w:ascii="Arial" w:hAnsi="Arial" w:cs="Arial"/>
          <w:b/>
          <w:bCs/>
          <w:sz w:val="24"/>
        </w:rPr>
      </w:r>
      <w:r/>
    </w:p>
    <w:p>
      <w:pPr>
        <w:pStyle w:val="1276"/>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供应商对招标活动事项有疑问的，可以向采购代理机构提出询问，采购代理机构将依法作出答复，但答复的内容不涉及商业秘密。</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cs="宋体"/>
          <w:b/>
        </w:rPr>
        <w:t xml:space="preserve">书面形式（原件）</w:t>
      </w:r>
      <w:r>
        <w:rPr>
          <w:rFonts w:hint="eastAsia" w:ascii="宋体" w:hAnsi="宋体" w:cs="宋体"/>
          <w:bCs/>
        </w:rPr>
        <w:t xml:space="preserve">送达代理机构，质疑期外提出的质疑，采购代理机构将不予受理。</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供应商须在法定质疑期内</w:t>
      </w:r>
      <w:r>
        <w:rPr>
          <w:rFonts w:hint="eastAsia" w:ascii="宋体" w:hAnsi="宋体" w:cs="宋体"/>
          <w:b/>
        </w:rPr>
        <w:t xml:space="preserve">一次性提出</w:t>
      </w:r>
      <w:r>
        <w:rPr>
          <w:rFonts w:hint="eastAsia" w:ascii="宋体" w:hAnsi="宋体" w:cs="宋体"/>
          <w:bCs/>
        </w:rPr>
        <w:t xml:space="preserve">针对本项目同一采购程序环节的质疑。</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质疑供应商若对项目的某一分包进行质疑，质疑函中应列明具体分包号。</w:t>
      </w:r>
      <w:r>
        <w:rPr>
          <w:rFonts w:hint="eastAsia" w:ascii="宋体" w:hAnsi="宋体" w:cs="宋体"/>
          <w:bCs/>
        </w:rPr>
      </w:r>
      <w:r/>
    </w:p>
    <w:p>
      <w:pPr>
        <w:pStyle w:val="1276"/>
        <w:ind w:firstLine="409"/>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（1）供应商的姓名或者名称、地址、邮编、联系人及联系电话；</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（2）质疑项目的名称、编号；</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（3）具体、明确的质疑事项和与质疑事项相关的请求；</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（4）事实依据；</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（5）必要的法律依据；</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（6）提出质疑的日期。</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7</w:t>
      </w:r>
      <w:r>
        <w:rPr>
          <w:rFonts w:hint="eastAsia" w:ascii="宋体" w:hAnsi="宋体" w:cs="宋体"/>
          <w:color w:val="000000"/>
          <w:szCs w:val="21"/>
          <w:lang w:val="zh-CN"/>
        </w:rPr>
        <w:t xml:space="preserve">、</w:t>
      </w:r>
      <w:r>
        <w:rPr>
          <w:rFonts w:hint="eastAsia" w:ascii="宋体" w:hAns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rPr>
      </w:r>
      <w:r/>
    </w:p>
    <w:p>
      <w:pPr>
        <w:pStyle w:val="1276"/>
        <w:ind w:firstLine="420"/>
        <w:spacing w:line="36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color w:val="000000"/>
          <w:szCs w:val="21"/>
          <w:lang w:val="zh-CN"/>
        </w:rPr>
        <w:t xml:space="preserve">、</w:t>
      </w:r>
      <w:r>
        <w:rPr>
          <w:rFonts w:hint="eastAsia" w:ascii="宋体" w:hAnsi="宋体" w:cs="宋体"/>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rFonts w:hint="eastAsia" w:ascii="宋体" w:hAnsi="宋体" w:cs="宋体"/>
          <w:bCs/>
          <w:color w:val="000000"/>
        </w:rPr>
      </w:r>
      <w:r/>
    </w:p>
    <w:p>
      <w:pPr>
        <w:pStyle w:val="1276"/>
        <w:ind w:firstLine="420"/>
        <w:spacing w:line="360" w:lineRule="auto"/>
        <w:rPr>
          <w:rFonts w:hint="eastAsia" w:ascii="宋体" w:hAnsi="宋体" w:cs="宋体"/>
          <w:bCs/>
        </w:rPr>
      </w:pPr>
      <w:r>
        <w:rPr>
          <w:rFonts w:hint="eastAsia" w:ascii="宋体" w:hAnsi="宋体" w:cs="宋体"/>
          <w:bCs/>
        </w:rPr>
        <w:t xml:space="preserve">9</w:t>
      </w:r>
      <w:r>
        <w:rPr>
          <w:rFonts w:hint="eastAsia" w:ascii="宋体" w:hAnsi="宋体" w:cs="宋体"/>
          <w:color w:val="000000"/>
          <w:szCs w:val="21"/>
          <w:lang w:val="zh-CN"/>
        </w:rPr>
        <w:t xml:space="preserve">、</w:t>
      </w:r>
      <w:r>
        <w:rPr>
          <w:rFonts w:hint="eastAsia" w:ascii="宋体" w:hAnsi="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rPr>
      </w:r>
      <w:r/>
    </w:p>
    <w:p>
      <w:pPr>
        <w:pStyle w:val="1276"/>
        <w:ind w:firstLine="420"/>
        <w:spacing w:line="360" w:lineRule="auto"/>
        <w:rPr>
          <w:rFonts w:hint="eastAsia" w:ascii="宋体" w:hAnsi="宋体" w:cs="宋体"/>
          <w:bCs/>
        </w:rPr>
      </w:pPr>
      <w:r>
        <w:rPr>
          <w:rFonts w:hint="eastAsia" w:ascii="宋体" w:hAnsi="宋体" w:cs="宋体"/>
          <w:bCs/>
        </w:rPr>
        <w:t xml:space="preserve">10</w:t>
      </w:r>
      <w:r>
        <w:rPr>
          <w:rFonts w:hint="eastAsia" w:ascii="宋体" w:hAnsi="宋体" w:cs="宋体"/>
          <w:color w:val="000000"/>
          <w:szCs w:val="21"/>
          <w:lang w:val="zh-CN"/>
        </w:rPr>
        <w:t xml:space="preserve">、</w:t>
      </w:r>
      <w:r>
        <w:rPr>
          <w:rFonts w:hint="eastAsia" w:ascii="宋体" w:hAnsi="宋体" w:cs="宋体"/>
          <w:bCs/>
        </w:rPr>
        <w:t xml:space="preserve">本项目质疑函的接收人和联系方式详见第一章采购代理机构联系方式。</w:t>
      </w:r>
      <w:r>
        <w:rPr>
          <w:rFonts w:hint="eastAsia" w:ascii="宋体" w:hAnsi="宋体" w:cs="宋体"/>
          <w:bCs/>
        </w:rPr>
      </w:r>
      <w:r/>
    </w:p>
    <w:p>
      <w:pPr>
        <w:pStyle w:val="1276"/>
        <w:ind w:firstLine="420"/>
        <w:spacing w:line="360" w:lineRule="auto"/>
        <w:rPr>
          <w:rFonts w:hint="eastAsia" w:ascii="宋体" w:hAnsi="宋体" w:cs="宋体"/>
        </w:rPr>
      </w:pPr>
      <w:r>
        <w:rPr>
          <w:rFonts w:hint="eastAsia" w:ascii="宋体" w:hAnsi="宋体" w:cs="宋体"/>
          <w:bCs/>
        </w:rPr>
        <w:t xml:space="preserve">11</w:t>
      </w:r>
      <w:r>
        <w:rPr>
          <w:rFonts w:hint="eastAsia" w:ascii="宋体" w:hAnsi="宋体" w:cs="宋体"/>
          <w:color w:val="000000"/>
          <w:szCs w:val="21"/>
          <w:lang w:val="zh-CN"/>
        </w:rPr>
        <w:t xml:space="preserve">、</w:t>
      </w:r>
      <w:r>
        <w:rPr>
          <w:rFonts w:hint="eastAsia" w:ascii="宋体" w:hAnsi="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cs="宋体"/>
        </w:rPr>
      </w:r>
      <w:r/>
    </w:p>
    <w:p>
      <w:pPr>
        <w:pStyle w:val="1276"/>
        <w:jc w:val="center"/>
        <w:spacing w:line="440" w:lineRule="exact"/>
        <w:rPr>
          <w:rFonts w:ascii="Arial" w:hAnsi="Arial" w:cs="Arial"/>
          <w:b/>
          <w:sz w:val="28"/>
          <w:szCs w:val="28"/>
        </w:rPr>
        <w:outlineLvl w:val="0"/>
      </w:pPr>
      <w:r/>
      <w:bookmarkStart w:id="460" w:name="_Toc522347554"/>
      <w:r/>
      <w:bookmarkEnd w:id="460"/>
      <w:r/>
      <w:bookmarkStart w:id="461" w:name="_Toc189726853"/>
      <w:r/>
      <w:bookmarkEnd w:id="461"/>
      <w:r/>
      <w:bookmarkStart w:id="462" w:name="_Toc163629751"/>
      <w:r/>
      <w:bookmarkEnd w:id="462"/>
      <w:r/>
      <w:bookmarkStart w:id="463" w:name="_Hlk297273538"/>
      <w:r/>
      <w:bookmarkEnd w:id="463"/>
      <w:r/>
      <w:bookmarkStart w:id="464" w:name="_Toc521839351"/>
      <w:r/>
      <w:bookmarkEnd w:id="464"/>
      <w:r/>
      <w:bookmarkStart w:id="465" w:name="_Toc142623417"/>
      <w:r/>
      <w:bookmarkEnd w:id="465"/>
      <w:r/>
      <w:bookmarkStart w:id="466" w:name="_Toc25032666"/>
      <w:r/>
      <w:bookmarkEnd w:id="466"/>
      <w:r/>
      <w:bookmarkStart w:id="467" w:name="_Toc12622"/>
      <w:r/>
      <w:bookmarkStart w:id="468" w:name="_Toc16918"/>
      <w:r>
        <w:rPr>
          <w:rFonts w:ascii="Arial" w:hAnsi="Arial" w:cs="Arial"/>
          <w:b/>
          <w:sz w:val="28"/>
          <w:szCs w:val="28"/>
        </w:rPr>
        <w:br w:type="page" w:clear="all"/>
      </w:r>
      <w:bookmarkStart w:id="469" w:name="_Toc29524"/>
      <w:r/>
      <w:bookmarkStart w:id="470" w:name="_Toc14094"/>
      <w:r/>
      <w:bookmarkStart w:id="471" w:name="_Toc25488"/>
      <w:r/>
      <w:bookmarkStart w:id="472" w:name="_Toc16066"/>
      <w:r/>
      <w:bookmarkStart w:id="473" w:name="_Toc4271"/>
      <w:r/>
      <w:bookmarkStart w:id="474" w:name="_Toc9387"/>
      <w:r>
        <w:rPr>
          <w:rFonts w:ascii="Arial" w:hAnsi="Arial" w:cs="Arial"/>
          <w:b/>
          <w:sz w:val="28"/>
          <w:szCs w:val="28"/>
        </w:rPr>
        <w:t xml:space="preserve">第三章 评标标准</w:t>
      </w:r>
      <w:bookmarkEnd w:id="467"/>
      <w:r/>
      <w:bookmarkEnd w:id="468"/>
      <w:r/>
      <w:bookmarkEnd w:id="469"/>
      <w:r/>
      <w:bookmarkEnd w:id="470"/>
      <w:r/>
      <w:bookmarkEnd w:id="471"/>
      <w:r/>
      <w:bookmarkEnd w:id="472"/>
      <w:r/>
      <w:bookmarkEnd w:id="473"/>
      <w:r/>
      <w:bookmarkEnd w:id="474"/>
      <w:r>
        <w:rPr>
          <w:rFonts w:ascii="Arial" w:hAnsi="Arial" w:cs="Arial"/>
          <w:b/>
          <w:sz w:val="28"/>
          <w:szCs w:val="28"/>
        </w:rPr>
      </w:r>
      <w:r/>
    </w:p>
    <w:p>
      <w:pPr>
        <w:pStyle w:val="1276"/>
        <w:spacing w:line="360" w:lineRule="auto"/>
        <w:widowControl/>
        <w:rPr>
          <w:rFonts w:ascii="Arial" w:hAnsi="Arial" w:cs="Arial"/>
          <w:b/>
          <w:bCs/>
          <w:color w:val="000000"/>
          <w:szCs w:val="21"/>
        </w:rPr>
      </w:pPr>
      <w:r>
        <w:rPr>
          <w:rFonts w:ascii="Arial" w:hAnsi="Arial" w:cs="Arial"/>
          <w:b/>
          <w:bCs/>
          <w:color w:val="000000"/>
          <w:szCs w:val="21"/>
        </w:rPr>
        <w:t xml:space="preserve">一、评标方法</w:t>
      </w:r>
      <w:r>
        <w:rPr>
          <w:rFonts w:ascii="Arial" w:hAnsi="Arial" w:cs="Arial"/>
          <w:b/>
          <w:bCs/>
          <w:color w:val="000000"/>
          <w:szCs w:val="21"/>
        </w:rPr>
      </w:r>
      <w:r/>
    </w:p>
    <w:p>
      <w:pPr>
        <w:pStyle w:val="1276"/>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276"/>
        <w:spacing w:line="360" w:lineRule="auto"/>
        <w:widowControl/>
        <w:rPr>
          <w:rFonts w:ascii="Arial" w:hAnsi="Arial" w:cs="Arial"/>
          <w:b/>
          <w:bCs/>
          <w:color w:val="000000"/>
          <w:szCs w:val="21"/>
        </w:rPr>
      </w:pPr>
      <w:r>
        <w:rPr>
          <w:rFonts w:hint="eastAsia" w:ascii="Arial" w:hAnsi="Arial" w:cs="Arial"/>
          <w:b/>
          <w:bCs/>
        </w:rPr>
        <w:t xml:space="preserve">二、</w:t>
      </w:r>
      <w:r>
        <w:rPr>
          <w:rFonts w:ascii="Arial" w:hAnsi="Arial" w:cs="Arial"/>
          <w:b/>
          <w:bCs/>
          <w:color w:val="000000"/>
          <w:szCs w:val="21"/>
        </w:rPr>
        <w:t xml:space="preserve">评标标准</w:t>
      </w:r>
      <w:r>
        <w:rPr>
          <w:rFonts w:ascii="Arial" w:hAnsi="Arial" w:cs="Arial"/>
          <w:b/>
          <w:bCs/>
          <w:color w:val="000000"/>
          <w:szCs w:val="21"/>
        </w:rPr>
      </w:r>
      <w:r/>
    </w:p>
    <w:p>
      <w:pPr>
        <w:pStyle w:val="1276"/>
        <w:ind w:firstLine="422"/>
        <w:spacing w:line="360" w:lineRule="auto"/>
        <w:widowControl/>
        <w:rPr>
          <w:rFonts w:hint="eastAsia" w:ascii="宋体" w:hAnsi="宋体" w:cs="宋体"/>
          <w:szCs w:val="21"/>
        </w:rPr>
      </w:pPr>
      <w:r>
        <w:rPr>
          <w:rFonts w:hint="eastAsia" w:ascii="宋体" w:hAnsi="宋体" w:cs="宋体"/>
          <w:b/>
          <w:bCs/>
        </w:rPr>
        <w:t xml:space="preserve">（一）</w:t>
      </w:r>
      <w:r>
        <w:rPr>
          <w:rFonts w:hint="eastAsia" w:ascii="宋体" w:hAnsi="宋体" w:cs="宋体"/>
          <w:b/>
          <w:bCs/>
          <w:color w:val="000000"/>
          <w:szCs w:val="21"/>
        </w:rPr>
        <w:t xml:space="preserve">国家政策导向</w:t>
      </w:r>
      <w:r>
        <w:rPr>
          <w:rFonts w:hint="eastAsia" w:ascii="宋体" w:hAnsi="宋体" w:cs="宋体"/>
          <w:szCs w:val="21"/>
        </w:rPr>
      </w:r>
      <w:r/>
    </w:p>
    <w:p>
      <w:pPr>
        <w:pStyle w:val="1276"/>
        <w:ind w:firstLine="422"/>
        <w:spacing w:line="360" w:lineRule="auto"/>
        <w:rPr>
          <w:rFonts w:hint="eastAsia" w:ascii="宋体" w:hAnsi="宋体" w:cs="宋体"/>
          <w:szCs w:val="21"/>
        </w:rPr>
      </w:pPr>
      <w:r>
        <w:rPr>
          <w:rFonts w:hint="eastAsia" w:ascii="宋体" w:hAnsi="宋体" w:cs="宋体"/>
          <w:b/>
          <w:bCs/>
          <w:szCs w:val="21"/>
        </w:rPr>
        <w:t xml:space="preserve">1、促进小微企业发展政策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276"/>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276"/>
        <w:ind w:firstLine="422"/>
        <w:spacing w:line="360" w:lineRule="auto"/>
        <w:rPr>
          <w:rFonts w:hint="eastAsia" w:ascii="宋体" w:hAnsi="宋体" w:cs="宋体"/>
          <w:szCs w:val="21"/>
        </w:rPr>
      </w:pPr>
      <w:r>
        <w:rPr>
          <w:rFonts w:hint="eastAsia" w:ascii="宋体" w:hAnsi="宋体" w:cs="宋体"/>
          <w:b/>
          <w:bCs/>
          <w:szCs w:val="21"/>
        </w:rPr>
        <w:t xml:space="preserve">2、监狱企业扶持政策：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276"/>
        <w:ind w:firstLine="422"/>
        <w:spacing w:line="360" w:lineRule="auto"/>
        <w:rPr>
          <w:rFonts w:hint="eastAsia" w:ascii="宋体" w:hAnsi="宋体" w:cs="宋体"/>
          <w:szCs w:val="21"/>
        </w:rPr>
      </w:pPr>
      <w:r>
        <w:rPr>
          <w:rFonts w:hint="eastAsia" w:ascii="宋体" w:hAnsi="宋体" w:cs="宋体"/>
          <w:b/>
          <w:bCs/>
          <w:szCs w:val="21"/>
        </w:rPr>
        <w:t xml:space="preserve">3、残疾人福利性单位扶持政策：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276"/>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276"/>
        <w:ind w:firstLine="422"/>
        <w:spacing w:line="360" w:lineRule="auto"/>
        <w:rPr>
          <w:rFonts w:hint="eastAsia" w:ascii="宋体" w:hAnsi="宋体" w:cs="宋体"/>
          <w:szCs w:val="21"/>
        </w:rPr>
      </w:pPr>
      <w:r>
        <w:rPr>
          <w:rFonts w:hint="eastAsia" w:ascii="宋体" w:hAnsi="宋体" w:cs="宋体"/>
          <w:b/>
          <w:bCs/>
          <w:szCs w:val="21"/>
        </w:rPr>
        <w:t xml:space="preserve">5、采购本国产品的支持政策：</w:t>
      </w:r>
      <w:r>
        <w:rPr>
          <w:rFonts w:hint="eastAsia" w:ascii="宋体" w:hAnsi="宋体" w:cs="宋体"/>
          <w:szCs w:val="21"/>
        </w:rPr>
      </w:r>
      <w:r/>
    </w:p>
    <w:p>
      <w:pPr>
        <w:pStyle w:val="1276"/>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color w:val="000000"/>
          <w:szCs w:val="21"/>
        </w:rPr>
      </w:r>
      <w:r/>
    </w:p>
    <w:p>
      <w:pPr>
        <w:pStyle w:val="1276"/>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color w:val="000000"/>
          <w:szCs w:val="21"/>
        </w:rPr>
      </w:r>
      <w:r/>
    </w:p>
    <w:p>
      <w:pPr>
        <w:pStyle w:val="1276"/>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③供应商需按照招标文件的要求提供《关于符合本国产品标准的声明函》（以下简称《声明函》），如不提供将不享受本国产品价格评</w:t>
      </w:r>
      <w:r>
        <w:rPr>
          <w:rFonts w:ascii="Times New Roman" w:hAnsi="Times New Roman" w:eastAsia="宋体" w:cs="Times New Roman"/>
          <w:color w:val="000000"/>
          <w:szCs w:val="21"/>
        </w:rPr>
        <w:t xml:space="preserve">审优惠。（《关于符合本国产品标准的声明函》格式见投标文件格式部分）</w:t>
      </w:r>
      <w:r>
        <w:rPr>
          <w:rFonts w:ascii="Times New Roman" w:hAnsi="Times New Roman" w:eastAsia="宋体" w:cs="Times New Roman"/>
          <w:color w:val="000000"/>
          <w:szCs w:val="21"/>
        </w:rPr>
      </w:r>
      <w:r/>
    </w:p>
    <w:p>
      <w:pPr>
        <w:pStyle w:val="1276"/>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④供应商需在《声明函》中逐一、准确</w:t>
      </w:r>
      <w:r>
        <w:rPr>
          <w:rFonts w:ascii="Times New Roman" w:hAnsi="Times New Roman" w:eastAsia="宋体" w:cs="Times New Roman"/>
          <w:color w:val="000000"/>
          <w:szCs w:val="21"/>
        </w:rPr>
        <w:t xml:space="preserve">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color w:val="000000"/>
          <w:szCs w:val="21"/>
        </w:rPr>
      </w:r>
      <w:r/>
    </w:p>
    <w:p>
      <w:pPr>
        <w:pStyle w:val="1276"/>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color w:val="000000"/>
          <w:szCs w:val="21"/>
        </w:rPr>
      </w:r>
      <w:r/>
    </w:p>
    <w:p>
      <w:pPr>
        <w:pStyle w:val="1276"/>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276"/>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276"/>
        <w:rPr>
          <w:rFonts w:ascii="Arial" w:hAnsi="Arial" w:cs="Arial"/>
          <w:szCs w:val="21"/>
        </w:rPr>
        <w:outlineLvl w:val="9"/>
      </w:pPr>
      <w:r>
        <w:rPr>
          <w:rFonts w:ascii="Arial" w:hAnsi="Arial" w:cs="Arial"/>
          <w:szCs w:val="21"/>
        </w:rPr>
      </w:r>
      <w:r/>
    </w:p>
    <w:p>
      <w:pPr>
        <w:pStyle w:val="1276"/>
        <w:rPr>
          <w:rFonts w:ascii="Arial" w:hAnsi="Arial" w:cs="Arial"/>
          <w:szCs w:val="21"/>
        </w:rPr>
      </w:pPr>
      <w:r>
        <w:rPr>
          <w:rFonts w:ascii="Arial" w:hAnsi="Arial" w:cs="Arial"/>
          <w:szCs w:val="21"/>
        </w:rPr>
      </w:r>
      <w:r/>
    </w:p>
    <w:p>
      <w:pPr>
        <w:pStyle w:val="1276"/>
        <w:rPr>
          <w:rFonts w:ascii="Arial" w:hAnsi="Arial" w:cs="Arial"/>
          <w:szCs w:val="21"/>
        </w:rPr>
        <w:outlineLvl w:val="9"/>
      </w:pPr>
      <w:r>
        <w:rPr>
          <w:rFonts w:ascii="Arial" w:hAnsi="Arial" w:cs="Arial"/>
          <w:szCs w:val="21"/>
        </w:rPr>
      </w:r>
      <w:r/>
    </w:p>
    <w:p>
      <w:pPr>
        <w:pStyle w:val="1276"/>
        <w:rPr>
          <w:rFonts w:ascii="Arial" w:hAnsi="Arial" w:cs="Arial"/>
          <w:szCs w:val="21"/>
        </w:rPr>
      </w:pPr>
      <w:r>
        <w:rPr>
          <w:rFonts w:ascii="Arial" w:hAnsi="Arial" w:cs="Arial"/>
          <w:szCs w:val="21"/>
        </w:rPr>
      </w:r>
      <w:r/>
    </w:p>
    <w:p>
      <w:pPr>
        <w:pStyle w:val="1276"/>
        <w:outlineLvl w:val="9"/>
      </w:p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p>
      <w:pPr>
        <w:pStyle w:val="1276"/>
        <w:rPr>
          <w:rFonts w:eastAsia="宋体"/>
          <w:b/>
          <w:bCs/>
          <w:sz w:val="21"/>
          <w:szCs w:val="21"/>
          <w:lang w:val="en-US" w:eastAsia="zh-CN"/>
        </w:rPr>
        <w:outlineLvl w:val="9"/>
      </w:pPr>
      <w:r>
        <w:rPr>
          <w:rFonts w:eastAsia="宋体"/>
          <w:b/>
          <w:bCs/>
          <w:sz w:val="21"/>
          <w:szCs w:val="21"/>
          <w:lang w:val="en-US" w:eastAsia="zh-CN"/>
        </w:rPr>
      </w:r>
      <w:r/>
    </w:p>
    <w:tbl>
      <w:tblPr>
        <w:tblStyle w:val="1588"/>
        <w:tblW w:w="5270" w:type="pct"/>
        <w:tblInd w:w="-2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6"/>
        <w:gridCol w:w="1235"/>
        <w:gridCol w:w="787"/>
        <w:gridCol w:w="7547"/>
      </w:tblGrid>
      <w:tr>
        <w:trPr>
          <w:trHeight w:val="446"/>
        </w:trPr>
        <w:tc>
          <w:tcPr>
            <w:tcW w:w="293"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序号</w:t>
            </w:r>
            <w:r>
              <w:rPr>
                <w:rFonts w:hint="eastAsia" w:ascii="宋体" w:hAnsi="宋体" w:eastAsia="宋体" w:cs="宋体"/>
                <w:b/>
                <w:bCs/>
                <w:color w:val="000000"/>
                <w:sz w:val="21"/>
                <w:szCs w:val="21"/>
                <w:lang w:val="en-US"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bCs/>
                <w:color w:val="000000"/>
                <w:sz w:val="21"/>
                <w:szCs w:val="21"/>
                <w:lang w:val="en-US" w:eastAsia="en-US"/>
              </w:rPr>
            </w:pPr>
            <w:r>
              <w:rPr>
                <w:rFonts w:hint="eastAsia" w:ascii="宋体" w:hAnsi="宋体" w:eastAsia="宋体" w:cs="宋体"/>
                <w:b/>
                <w:bCs/>
                <w:color w:val="000000"/>
                <w:sz w:val="21"/>
                <w:szCs w:val="21"/>
                <w:lang w:val="en-US" w:eastAsia="en-US"/>
              </w:rPr>
              <w:t xml:space="preserve">评分因素</w:t>
            </w:r>
            <w:r>
              <w:rPr>
                <w:rFonts w:hint="eastAsia" w:ascii="宋体" w:hAnsi="宋体" w:eastAsia="宋体" w:cs="宋体"/>
                <w:b/>
                <w:bCs/>
                <w:color w:val="000000"/>
                <w:sz w:val="21"/>
                <w:szCs w:val="21"/>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bCs/>
                <w:color w:val="000000"/>
                <w:sz w:val="21"/>
                <w:szCs w:val="21"/>
                <w:lang w:val="en-US" w:eastAsia="en-US"/>
              </w:rPr>
            </w:pPr>
            <w:r>
              <w:rPr>
                <w:rFonts w:hint="eastAsia" w:ascii="宋体" w:hAnsi="宋体" w:eastAsia="宋体" w:cs="宋体"/>
                <w:b/>
                <w:bCs/>
                <w:color w:val="000000"/>
                <w:sz w:val="21"/>
                <w:szCs w:val="21"/>
                <w:lang w:val="en-US" w:eastAsia="en-US"/>
              </w:rPr>
              <w:t xml:space="preserve">分值</w:t>
            </w:r>
            <w:r>
              <w:rPr>
                <w:rFonts w:hint="eastAsia" w:ascii="宋体" w:hAnsi="宋体" w:eastAsia="宋体" w:cs="宋体"/>
                <w:b/>
                <w:bCs/>
                <w:color w:val="000000"/>
                <w:sz w:val="21"/>
                <w:szCs w:val="21"/>
                <w:lang w:val="en-US" w:eastAsia="en-US"/>
              </w:rPr>
            </w:r>
            <w:r/>
          </w:p>
        </w:tc>
        <w:tc>
          <w:tcPr>
            <w:tcW w:w="3711"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bCs/>
                <w:color w:val="000000"/>
                <w:sz w:val="21"/>
                <w:szCs w:val="21"/>
                <w:lang w:val="en-US" w:eastAsia="en-US"/>
              </w:rPr>
            </w:pPr>
            <w:r>
              <w:rPr>
                <w:rFonts w:hint="eastAsia" w:ascii="宋体" w:hAnsi="宋体" w:eastAsia="宋体" w:cs="宋体"/>
                <w:b/>
                <w:bCs/>
                <w:color w:val="000000"/>
                <w:sz w:val="21"/>
                <w:szCs w:val="21"/>
                <w:lang w:val="en-US" w:eastAsia="en-US"/>
              </w:rPr>
              <w:t xml:space="preserve">评分标准</w:t>
            </w:r>
            <w:r>
              <w:rPr>
                <w:rFonts w:hint="eastAsia" w:ascii="宋体" w:hAnsi="宋体" w:eastAsia="宋体" w:cs="宋体"/>
                <w:b/>
                <w:bCs/>
                <w:color w:val="000000"/>
                <w:sz w:val="21"/>
                <w:szCs w:val="21"/>
                <w:lang w:val="en-US" w:eastAsia="en-US"/>
              </w:rPr>
            </w:r>
            <w:r/>
          </w:p>
        </w:tc>
      </w:tr>
      <w:tr>
        <w:trPr>
          <w:trHeight w:val="1322"/>
        </w:trPr>
        <w:tc>
          <w:tcPr>
            <w:tcW w:w="596" w:type="dxa"/>
            <w:vAlign w:val="center"/>
            <w:textDirection w:val="lrTb"/>
            <w:noWrap w:val="false"/>
          </w:tcPr>
          <w:p>
            <w:pPr>
              <w:pStyle w:val="1276"/>
              <w:jc w:val="center"/>
              <w:keepLines w:val="0"/>
              <w:keepNext w:val="0"/>
              <w:widowControl/>
              <w:rPr>
                <w:rFonts w:hint="eastAsia" w:ascii="宋体" w:hAnsi="宋体" w:eastAsia="宋体" w:cs="宋体"/>
                <w:b w:val="0"/>
                <w:bCs w:val="0"/>
                <w:color w:val="000000"/>
                <w:sz w:val="21"/>
                <w:szCs w:val="21"/>
                <w:lang w:eastAsia="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b w:val="0"/>
                <w:bCs w:val="0"/>
                <w:color w:val="000000"/>
                <w:sz w:val="21"/>
                <w:szCs w:val="21"/>
                <w:lang w:eastAsia="en-US"/>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报价部分</w:t>
            </w:r>
            <w:r>
              <w:rPr>
                <w:rFonts w:hint="eastAsia" w:ascii="宋体" w:hAnsi="宋体" w:eastAsia="宋体" w:cs="宋体"/>
                <w:b w:val="0"/>
                <w:bCs w:val="0"/>
                <w:color w:val="000000"/>
                <w:sz w:val="21"/>
                <w:szCs w:val="21"/>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zh-CN"/>
              </w:rPr>
              <w:t xml:space="preserve">45</w:t>
            </w:r>
            <w:r>
              <w:rPr>
                <w:rFonts w:hint="eastAsia" w:ascii="宋体" w:hAnsi="宋体" w:eastAsia="宋体" w:cs="宋体"/>
                <w:b w:val="0"/>
                <w:bCs w:val="0"/>
                <w:color w:val="000000"/>
                <w:sz w:val="21"/>
                <w:szCs w:val="21"/>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各投标供应商的有效投标报价（</w:t>
            </w:r>
            <w:r>
              <w:rPr>
                <w:rFonts w:hint="eastAsia" w:ascii="宋体" w:hAnsi="宋体" w:eastAsia="宋体" w:cs="宋体"/>
                <w:b w:val="0"/>
                <w:bCs w:val="0"/>
                <w:color w:val="000000"/>
                <w:sz w:val="21"/>
                <w:szCs w:val="21"/>
                <w:lang w:val="en-US" w:eastAsia="zh-CN"/>
              </w:rPr>
              <w:t xml:space="preserve">优惠率</w:t>
            </w:r>
            <w:r>
              <w:rPr>
                <w:rFonts w:hint="eastAsia" w:ascii="宋体" w:hAnsi="宋体" w:eastAsia="宋体" w:cs="宋体"/>
                <w:b w:val="0"/>
                <w:bCs w:val="0"/>
                <w:color w:val="000000"/>
                <w:sz w:val="21"/>
                <w:szCs w:val="21"/>
                <w:lang w:val="en-US" w:eastAsia="en-US"/>
              </w:rPr>
              <w:t xml:space="preserve">），满足采购文件要求的最低</w:t>
            </w:r>
            <w:r>
              <w:rPr>
                <w:rFonts w:hint="eastAsia" w:ascii="宋体" w:hAnsi="宋体" w:eastAsia="宋体" w:cs="宋体"/>
                <w:b w:val="0"/>
                <w:bCs w:val="0"/>
                <w:color w:val="000000"/>
                <w:sz w:val="21"/>
                <w:szCs w:val="21"/>
                <w:lang w:val="en-US" w:eastAsia="zh-CN"/>
              </w:rPr>
              <w:t xml:space="preserve">折扣（1-</w:t>
            </w:r>
            <w:r>
              <w:rPr>
                <w:rFonts w:hint="eastAsia" w:ascii="宋体" w:hAnsi="宋体" w:eastAsia="宋体" w:cs="宋体"/>
                <w:b w:val="0"/>
                <w:bCs w:val="0"/>
                <w:color w:val="000000"/>
                <w:sz w:val="21"/>
                <w:szCs w:val="21"/>
                <w:lang w:val="en-US" w:eastAsia="zh-CN"/>
              </w:rPr>
              <w:t xml:space="preserve">优惠率</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en-US"/>
              </w:rPr>
              <w:t xml:space="preserve">为评标基准价，其价格为</w:t>
            </w:r>
            <w:r>
              <w:rPr>
                <w:rFonts w:hint="eastAsia" w:ascii="宋体" w:hAnsi="宋体" w:eastAsia="宋体" w:cs="宋体"/>
                <w:b w:val="0"/>
                <w:bCs w:val="0"/>
                <w:color w:val="000000"/>
                <w:sz w:val="21"/>
                <w:szCs w:val="21"/>
                <w:lang w:val="en-US" w:eastAsia="zh-CN"/>
              </w:rPr>
              <w:t xml:space="preserve">45</w:t>
            </w:r>
            <w:r>
              <w:rPr>
                <w:rFonts w:hint="eastAsia" w:ascii="宋体" w:hAnsi="宋体" w:eastAsia="宋体" w:cs="宋体"/>
                <w:b w:val="0"/>
                <w:bCs w:val="0"/>
                <w:color w:val="000000"/>
                <w:sz w:val="21"/>
                <w:szCs w:val="21"/>
                <w:lang w:val="en-US" w:eastAsia="en-US"/>
              </w:rPr>
              <w:t xml:space="preserve">分。其他投标供应商的价格分统一按照下列公式计算，最高得分为</w:t>
            </w:r>
            <w:r>
              <w:rPr>
                <w:rFonts w:hint="eastAsia" w:ascii="宋体" w:hAnsi="宋体" w:eastAsia="宋体" w:cs="宋体"/>
                <w:b w:val="0"/>
                <w:bCs w:val="0"/>
                <w:color w:val="000000"/>
                <w:sz w:val="21"/>
                <w:szCs w:val="21"/>
                <w:lang w:val="en-US" w:eastAsia="zh-CN"/>
              </w:rPr>
              <w:t xml:space="preserve">45</w:t>
            </w:r>
            <w:r>
              <w:rPr>
                <w:rFonts w:hint="eastAsia" w:ascii="宋体" w:hAnsi="宋体" w:eastAsia="宋体" w:cs="宋体"/>
                <w:b w:val="0"/>
                <w:bCs w:val="0"/>
                <w:color w:val="000000"/>
                <w:sz w:val="21"/>
                <w:szCs w:val="21"/>
                <w:lang w:val="en-US" w:eastAsia="en-US"/>
              </w:rPr>
              <w:t xml:space="preserve">分：</w:t>
            </w:r>
            <w:r>
              <w:rPr>
                <w:rFonts w:hint="eastAsia" w:ascii="宋体" w:hAnsi="宋体" w:eastAsia="宋体" w:cs="宋体"/>
                <w:b w:val="0"/>
                <w:bCs w:val="0"/>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投标报价得分=</w:t>
            </w:r>
            <w:r>
              <w:rPr>
                <w:rFonts w:hint="eastAsia" w:ascii="宋体" w:hAnsi="宋体" w:eastAsia="宋体" w:cs="宋体"/>
                <w:b w:val="0"/>
                <w:bCs w:val="0"/>
                <w:color w:val="000000"/>
                <w:sz w:val="21"/>
                <w:szCs w:val="21"/>
                <w:lang w:val="en-US" w:eastAsia="zh-CN"/>
              </w:rPr>
              <w:t xml:space="preserve">45</w:t>
            </w:r>
            <w:r>
              <w:rPr>
                <w:rFonts w:hint="eastAsia" w:ascii="宋体" w:hAnsi="宋体" w:eastAsia="宋体" w:cs="宋体"/>
                <w:b w:val="0"/>
                <w:bCs w:val="0"/>
                <w:color w:val="000000"/>
                <w:sz w:val="21"/>
                <w:szCs w:val="21"/>
                <w:lang w:val="en-US" w:eastAsia="en-US"/>
              </w:rPr>
              <w:t xml:space="preserve">×（评标基准价/</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val="en-US" w:eastAsia="zh-CN"/>
              </w:rPr>
              <w:t xml:space="preserve">优惠率</w:t>
            </w:r>
            <w:r>
              <w:rPr>
                <w:rFonts w:hint="eastAsia" w:ascii="宋体" w:hAnsi="宋体" w:eastAsia="宋体" w:cs="宋体"/>
                <w:b w:val="0"/>
                <w:bCs w:val="0"/>
                <w:color w:val="000000"/>
                <w:sz w:val="21"/>
                <w:szCs w:val="21"/>
                <w:lang w:val="en-US" w:eastAsia="en-US"/>
              </w:rPr>
              <w:t xml:space="preserve">）。</w:t>
            </w:r>
            <w:r>
              <w:rPr>
                <w:rFonts w:hint="eastAsia" w:ascii="宋体" w:hAnsi="宋体" w:eastAsia="宋体" w:cs="宋体"/>
                <w:b w:val="0"/>
                <w:bCs w:val="0"/>
                <w:color w:val="000000"/>
                <w:sz w:val="21"/>
                <w:szCs w:val="21"/>
                <w:lang w:val="en-US" w:eastAsia="en-US"/>
              </w:rPr>
            </w:r>
            <w:r/>
          </w:p>
        </w:tc>
      </w:tr>
      <w:tr>
        <w:trPr>
          <w:trHeight w:val="821"/>
        </w:trPr>
        <w:tc>
          <w:tcPr>
            <w:tcW w:w="596" w:type="dxa"/>
            <w:vAlign w:val="center"/>
            <w:vMerge w:val="restart"/>
            <w:textDirection w:val="lrTb"/>
            <w:noWrap w:val="false"/>
          </w:tcPr>
          <w:p>
            <w:pPr>
              <w:pStyle w:val="1276"/>
              <w:jc w:val="center"/>
              <w:keepLines w:val="0"/>
              <w:keepNext w:val="0"/>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color w:val="000000"/>
                <w:sz w:val="21"/>
                <w:szCs w:val="21"/>
                <w:lang w:eastAsia="zh-CN"/>
              </w:rPr>
            </w:r>
            <w:r/>
          </w:p>
        </w:tc>
        <w:tc>
          <w:tcPr>
            <w:tcW w:w="607" w:type="dxa"/>
            <w:vAlign w:val="center"/>
            <w:vMerge w:val="restart"/>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业绩</w:t>
            </w:r>
            <w:r>
              <w:rPr>
                <w:rFonts w:hint="eastAsia" w:ascii="宋体" w:hAnsi="宋体" w:eastAsia="宋体" w:cs="宋体"/>
                <w:color w:val="000000"/>
                <w:sz w:val="21"/>
                <w:szCs w:val="21"/>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供应商自202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en-US"/>
              </w:rPr>
              <w:t xml:space="preserve">年0</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月01日以来签订的类似项目</w:t>
            </w:r>
            <w:r>
              <w:rPr>
                <w:rFonts w:hint="eastAsia" w:ascii="Times New Roman" w:hAnsi="Times New Roman" w:cs="Times New Roman"/>
                <w:color w:val="000000"/>
                <w:sz w:val="21"/>
                <w:szCs w:val="21"/>
                <w:highlight w:val="none"/>
                <w:lang w:val="en-US" w:eastAsia="zh-CN"/>
              </w:rPr>
              <w:t xml:space="preserve">至少包含</w:t>
            </w:r>
            <w:r>
              <w:rPr>
                <w:rFonts w:ascii="Times New Roman" w:hAnsi="Times New Roman" w:eastAsia="宋体" w:cs="Times New Roman"/>
                <w:b/>
                <w:bCs/>
                <w:color w:val="000000"/>
                <w:sz w:val="21"/>
                <w:szCs w:val="21"/>
                <w:highlight w:val="none"/>
              </w:rPr>
              <w:t xml:space="preserve">该</w:t>
            </w:r>
            <w:r>
              <w:rPr>
                <w:rFonts w:ascii="Times New Roman" w:hAnsi="Times New Roman" w:eastAsia="宋体" w:cs="Times New Roman"/>
                <w:b/>
                <w:bCs/>
                <w:color w:val="000000"/>
                <w:sz w:val="21"/>
                <w:szCs w:val="21"/>
                <w:highlight w:val="none"/>
                <w:lang w:val="en-US" w:eastAsia="zh-CN"/>
              </w:rPr>
              <w:t xml:space="preserve">分包类别</w:t>
            </w:r>
            <w:r>
              <w:rPr>
                <w:rFonts w:hint="eastAsia" w:ascii="宋体" w:hAnsi="宋体" w:eastAsia="宋体" w:cs="宋体"/>
                <w:color w:val="000000"/>
                <w:sz w:val="21"/>
                <w:szCs w:val="21"/>
                <w:lang w:val="en-US" w:eastAsia="en-US"/>
              </w:rPr>
              <w:t xml:space="preserve">业绩， </w:t>
            </w: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lang w:val="en-US" w:eastAsia="zh-CN"/>
              </w:rPr>
              <w:t xml:space="preserve">相应</w:t>
            </w:r>
            <w:r>
              <w:rPr>
                <w:rFonts w:hint="eastAsia" w:ascii="宋体" w:hAnsi="宋体" w:eastAsia="宋体" w:cs="宋体"/>
                <w:color w:val="000000"/>
                <w:sz w:val="21"/>
                <w:szCs w:val="21"/>
              </w:rPr>
              <w:t xml:space="preserve">证明材料（合同）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en-US"/>
              </w:rPr>
              <w:t xml:space="preserve">每提供一</w:t>
            </w:r>
            <w:r>
              <w:rPr>
                <w:rFonts w:hint="eastAsia" w:ascii="宋体" w:hAnsi="宋体" w:eastAsia="宋体" w:cs="宋体"/>
                <w:color w:val="000000"/>
                <w:sz w:val="21"/>
                <w:szCs w:val="21"/>
                <w:lang w:val="en-US" w:eastAsia="zh-CN"/>
              </w:rPr>
              <w:t xml:space="preserve">个</w:t>
            </w:r>
            <w:r>
              <w:rPr>
                <w:rFonts w:hint="eastAsia" w:ascii="宋体" w:hAnsi="宋体" w:eastAsia="宋体" w:cs="宋体"/>
                <w:color w:val="000000"/>
                <w:sz w:val="21"/>
                <w:szCs w:val="21"/>
                <w:lang w:val="en-US" w:eastAsia="en-US"/>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en-US"/>
              </w:rPr>
              <w:t xml:space="preserve">分，最多得</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t xml:space="preserve">（此项业绩同一采购人不可兼得，提供合同复印件加盖公章，原件备查）</w:t>
            </w:r>
            <w:r>
              <w:rPr>
                <w:rFonts w:hint="eastAsia" w:ascii="宋体" w:hAnsi="宋体" w:eastAsia="宋体" w:cs="宋体"/>
                <w:color w:val="000000"/>
                <w:sz w:val="21"/>
                <w:szCs w:val="21"/>
                <w:lang w:val="en-US" w:eastAsia="en-US"/>
              </w:rPr>
            </w:r>
            <w:r/>
          </w:p>
        </w:tc>
      </w:tr>
      <w:tr>
        <w:trPr>
          <w:trHeight w:val="769"/>
        </w:trPr>
        <w:tc>
          <w:tcPr>
            <w:tcW w:w="293" w:type="dxa"/>
            <w:vAlign w:val="center"/>
            <w:vMerge w:val="continue"/>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607" w:type="dxa"/>
            <w:vAlign w:val="center"/>
            <w:vMerge w:val="continue"/>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供应商所提供上述业绩如用户方评价意见为优</w:t>
            </w:r>
            <w:r>
              <w:rPr>
                <w:rFonts w:hint="eastAsia" w:ascii="宋体" w:hAnsi="宋体" w:eastAsia="宋体" w:cs="宋体"/>
                <w:b w:val="0"/>
                <w:bCs w:val="0"/>
                <w:color w:val="000000"/>
                <w:sz w:val="21"/>
                <w:szCs w:val="21"/>
                <w:lang w:val="en-US" w:eastAsia="zh-CN"/>
              </w:rPr>
              <w:t xml:space="preserve">或其他正向评价</w:t>
            </w:r>
            <w:r>
              <w:rPr>
                <w:rFonts w:hint="eastAsia" w:ascii="宋体" w:hAnsi="宋体" w:eastAsia="宋体" w:cs="宋体"/>
                <w:b w:val="0"/>
                <w:bCs w:val="0"/>
                <w:color w:val="000000"/>
                <w:sz w:val="21"/>
                <w:szCs w:val="21"/>
                <w:lang w:val="en-US" w:eastAsia="en-US"/>
              </w:rPr>
              <w:t xml:space="preserve">的再加1分，最多加</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en-US"/>
              </w:rPr>
              <w:t xml:space="preserve">分。（此项</w:t>
            </w:r>
            <w:r>
              <w:rPr>
                <w:rFonts w:hint="eastAsia" w:ascii="宋体" w:hAnsi="宋体" w:eastAsia="宋体" w:cs="宋体"/>
                <w:b w:val="0"/>
                <w:bCs w:val="0"/>
                <w:color w:val="000000"/>
                <w:sz w:val="21"/>
                <w:szCs w:val="21"/>
                <w:lang w:val="en-US" w:eastAsia="zh-CN"/>
              </w:rPr>
              <w:t xml:space="preserve">评价</w:t>
            </w:r>
            <w:r>
              <w:rPr>
                <w:rFonts w:hint="eastAsia" w:ascii="宋体" w:hAnsi="宋体" w:eastAsia="宋体" w:cs="宋体"/>
                <w:b w:val="0"/>
                <w:bCs w:val="0"/>
                <w:color w:val="000000"/>
                <w:sz w:val="21"/>
                <w:szCs w:val="21"/>
                <w:lang w:val="en-US" w:eastAsia="en-US"/>
              </w:rPr>
              <w:t xml:space="preserve">同一采购人不可兼得</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en-US"/>
              </w:rPr>
              <w:t xml:space="preserve">须提供用户方盖章证明）</w:t>
            </w:r>
            <w:r>
              <w:rPr>
                <w:rFonts w:hint="eastAsia" w:ascii="宋体" w:hAnsi="宋体" w:eastAsia="宋体" w:cs="宋体"/>
                <w:b w:val="0"/>
                <w:bCs w:val="0"/>
                <w:color w:val="000000"/>
                <w:sz w:val="21"/>
                <w:szCs w:val="21"/>
                <w:lang w:val="en-US" w:eastAsia="en-US"/>
              </w:rPr>
            </w:r>
            <w:r/>
          </w:p>
        </w:tc>
      </w:tr>
      <w:tr>
        <w:trPr>
          <w:trHeight w:val="90"/>
        </w:trPr>
        <w:tc>
          <w:tcPr>
            <w:tcW w:w="596" w:type="dxa"/>
            <w:vAlign w:val="center"/>
            <w:textDirection w:val="lrTb"/>
            <w:noWrap w:val="false"/>
          </w:tcPr>
          <w:p>
            <w:pPr>
              <w:pStyle w:val="1276"/>
              <w:jc w:val="center"/>
              <w:keepLines w:val="0"/>
              <w:keepNext w:val="0"/>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color w:val="000000"/>
                <w:sz w:val="21"/>
                <w:szCs w:val="21"/>
                <w:lang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配送方案</w:t>
            </w:r>
            <w:r>
              <w:rPr>
                <w:rFonts w:hint="eastAsia" w:ascii="宋体" w:hAnsi="宋体" w:eastAsia="宋体" w:cs="宋体"/>
                <w:color w:val="000000"/>
                <w:sz w:val="21"/>
                <w:szCs w:val="21"/>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由评委会对供应商提供的有针对食堂食材采购要求，制定科学、合理、优质的供货配送服务方案（包括服务流程、特色服务）等情况进行打分：</w:t>
            </w:r>
            <w:r>
              <w:rPr>
                <w:rFonts w:hint="eastAsia" w:ascii="宋体" w:hAnsi="宋体" w:eastAsia="宋体" w:cs="宋体"/>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供应商提供的方案完善，科学，具有针对性体现时效性的，得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供应商提供的方案完善，科学，但不具备针对性的，得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供应商提供的方案完善，但可行性较差的，得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配送方案不满足招标要求或不提供不得分。</w:t>
            </w:r>
            <w:r>
              <w:rPr>
                <w:rFonts w:hint="eastAsia" w:ascii="宋体" w:hAnsi="宋体" w:eastAsia="宋体" w:cs="宋体"/>
                <w:color w:val="000000"/>
                <w:sz w:val="21"/>
                <w:szCs w:val="21"/>
                <w:lang w:val="en-US" w:eastAsia="en-US"/>
              </w:rPr>
            </w:r>
            <w:r/>
          </w:p>
        </w:tc>
      </w:tr>
      <w:tr>
        <w:trPr>
          <w:trHeight w:val="1911"/>
        </w:trPr>
        <w:tc>
          <w:tcPr>
            <w:tcW w:w="596" w:type="dxa"/>
            <w:vAlign w:val="center"/>
            <w:textDirection w:val="lrTb"/>
            <w:noWrap w:val="false"/>
          </w:tcPr>
          <w:p>
            <w:pPr>
              <w:pStyle w:val="1276"/>
              <w:jc w:val="center"/>
              <w:keepLines w:val="0"/>
              <w:keepNext w:val="0"/>
              <w:widowControl/>
              <w:rPr>
                <w:rFonts w:hint="eastAsia" w:ascii="宋体" w:hAnsi="宋体" w:eastAsia="宋体" w:cs="宋体"/>
                <w:b w:val="0"/>
                <w:bCs w:val="0"/>
                <w:color w:val="000000"/>
                <w:sz w:val="21"/>
                <w:szCs w:val="21"/>
                <w:lang w:eastAsia="zh-CN"/>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b w:val="0"/>
                <w:bCs w:val="0"/>
                <w:color w:val="000000"/>
                <w:sz w:val="21"/>
                <w:szCs w:val="21"/>
                <w:lang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卫生安全保障措施</w:t>
            </w:r>
            <w:r>
              <w:rPr>
                <w:rFonts w:hint="eastAsia" w:ascii="宋体" w:hAnsi="宋体" w:eastAsia="宋体" w:cs="宋体"/>
                <w:b w:val="0"/>
                <w:bCs w:val="0"/>
                <w:color w:val="000000"/>
                <w:sz w:val="21"/>
                <w:szCs w:val="21"/>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lang w:val="en-US" w:eastAsia="en-US"/>
              </w:rPr>
              <w:t xml:space="preserve">由评委会对供应商提供的卫生安</w:t>
            </w:r>
            <w:r>
              <w:rPr>
                <w:rFonts w:hint="eastAsia" w:ascii="宋体" w:hAnsi="宋体" w:eastAsia="宋体" w:cs="宋体"/>
                <w:b w:val="0"/>
                <w:bCs w:val="0"/>
                <w:color w:val="000000"/>
                <w:sz w:val="21"/>
                <w:szCs w:val="21"/>
                <w:highlight w:val="none"/>
                <w:lang w:val="en-US" w:eastAsia="en-US"/>
              </w:rPr>
              <w:t xml:space="preserve">全保障措施（尤其在针对</w:t>
            </w:r>
            <w:r>
              <w:rPr>
                <w:rFonts w:hint="eastAsia" w:ascii="宋体" w:hAnsi="宋体" w:eastAsia="宋体" w:cs="宋体"/>
                <w:b w:val="0"/>
                <w:bCs w:val="0"/>
                <w:color w:val="000000"/>
                <w:sz w:val="21"/>
                <w:szCs w:val="21"/>
                <w:highlight w:val="none"/>
                <w:lang w:val="en-US" w:eastAsia="zh-CN"/>
              </w:rPr>
              <w:t xml:space="preserve">可能突发的传染疾病等问题</w:t>
            </w:r>
            <w:r>
              <w:rPr>
                <w:rFonts w:hint="eastAsia" w:ascii="宋体" w:hAnsi="宋体" w:eastAsia="宋体" w:cs="宋体"/>
                <w:b w:val="0"/>
                <w:bCs w:val="0"/>
                <w:color w:val="000000"/>
                <w:sz w:val="21"/>
                <w:szCs w:val="21"/>
                <w:highlight w:val="none"/>
                <w:lang w:val="en-US" w:eastAsia="en-US"/>
              </w:rPr>
              <w:t xml:space="preserve">上如何保证食品从生产、存储、运输上符合相关措施）进行打分：</w:t>
            </w:r>
            <w:r>
              <w:rPr>
                <w:rFonts w:hint="eastAsia" w:ascii="宋体" w:hAnsi="宋体" w:eastAsia="宋体" w:cs="宋体"/>
                <w:b w:val="0"/>
                <w:bCs w:val="0"/>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highlight w:val="none"/>
                <w:lang w:val="en-US" w:eastAsia="en-US"/>
              </w:rPr>
              <w:t xml:space="preserve">供应商提供的方案完善，科学，具有针对性体现时效性的，得</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en-US"/>
              </w:rPr>
              <w:t xml:space="preserve">分；</w:t>
            </w:r>
            <w:r>
              <w:rPr>
                <w:rFonts w:hint="eastAsia" w:ascii="宋体" w:hAnsi="宋体" w:eastAsia="宋体" w:cs="宋体"/>
                <w:b w:val="0"/>
                <w:bCs w:val="0"/>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highlight w:val="none"/>
                <w:lang w:val="en-US" w:eastAsia="en-US"/>
              </w:rPr>
              <w:t xml:space="preserve">供应商提供的方案完善，科学，但不具备针</w:t>
            </w:r>
            <w:r>
              <w:rPr>
                <w:rFonts w:hint="eastAsia" w:ascii="宋体" w:hAnsi="宋体" w:eastAsia="宋体" w:cs="宋体"/>
                <w:b w:val="0"/>
                <w:bCs w:val="0"/>
                <w:color w:val="000000"/>
                <w:sz w:val="21"/>
                <w:szCs w:val="21"/>
                <w:lang w:val="en-US" w:eastAsia="en-US"/>
              </w:rPr>
              <w:t xml:space="preserve">对性的，得</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en-US"/>
              </w:rPr>
              <w:t xml:space="preserve">分；</w:t>
            </w:r>
            <w:r>
              <w:rPr>
                <w:rFonts w:hint="eastAsia" w:ascii="宋体" w:hAnsi="宋体" w:eastAsia="宋体" w:cs="宋体"/>
                <w:b w:val="0"/>
                <w:bCs w:val="0"/>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供应商提供的方案完善，但可行性较差的，得1分；</w:t>
            </w:r>
            <w:r>
              <w:rPr>
                <w:rFonts w:hint="eastAsia" w:ascii="宋体" w:hAnsi="宋体" w:eastAsia="宋体" w:cs="宋体"/>
                <w:b w:val="0"/>
                <w:bCs w:val="0"/>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卫生安全保障措施不满足招标要求或不提供不得分。</w:t>
            </w:r>
            <w:r>
              <w:rPr>
                <w:rFonts w:hint="eastAsia" w:ascii="宋体" w:hAnsi="宋体" w:eastAsia="宋体" w:cs="宋体"/>
                <w:b w:val="0"/>
                <w:bCs w:val="0"/>
                <w:color w:val="000000"/>
                <w:sz w:val="21"/>
                <w:szCs w:val="21"/>
                <w:lang w:val="en-US" w:eastAsia="en-US"/>
              </w:rPr>
            </w:r>
            <w:r/>
          </w:p>
        </w:tc>
      </w:tr>
      <w:tr>
        <w:trPr>
          <w:trHeight w:val="1075"/>
        </w:trPr>
        <w:tc>
          <w:tcPr>
            <w:tcW w:w="596" w:type="dxa"/>
            <w:vAlign w:val="center"/>
            <w:textDirection w:val="lrTb"/>
            <w:noWrap w:val="false"/>
          </w:tcPr>
          <w:p>
            <w:pPr>
              <w:pStyle w:val="1276"/>
              <w:jc w:val="center"/>
              <w:keepLines w:val="0"/>
              <w:keepNext w:val="0"/>
              <w:widowControl/>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b w:val="0"/>
                <w:bCs w:val="0"/>
                <w:color w:val="000000"/>
                <w:sz w:val="21"/>
                <w:szCs w:val="21"/>
                <w:lang w:val="en-US"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食品质量保障机制</w:t>
            </w:r>
            <w:r>
              <w:rPr>
                <w:rFonts w:hint="eastAsia" w:ascii="宋体" w:hAnsi="宋体" w:eastAsia="宋体" w:cs="宋体"/>
                <w:b w:val="0"/>
                <w:bCs w:val="0"/>
                <w:color w:val="000000"/>
                <w:sz w:val="21"/>
                <w:szCs w:val="21"/>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zh-CN"/>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b w:val="0"/>
                <w:bCs w:val="0"/>
                <w:color w:val="000000"/>
                <w:sz w:val="21"/>
                <w:szCs w:val="21"/>
                <w:highlight w:val="yellow"/>
                <w:lang w:val="en-US" w:eastAsia="en-US"/>
              </w:rPr>
            </w:pPr>
            <w:r>
              <w:rPr>
                <w:rFonts w:hint="eastAsia" w:ascii="宋体" w:hAnsi="宋体" w:eastAsia="宋体" w:cs="宋体"/>
                <w:b w:val="0"/>
                <w:bCs w:val="0"/>
                <w:color w:val="000000"/>
                <w:sz w:val="21"/>
                <w:szCs w:val="21"/>
                <w:lang w:val="en-US" w:eastAsia="en-US"/>
              </w:rPr>
              <w:t xml:space="preserve">由评委会对供应商提供的食品质量保证措施</w:t>
            </w:r>
            <w:r>
              <w:rPr>
                <w:rFonts w:hint="eastAsia" w:ascii="宋体" w:hAnsi="宋体" w:eastAsia="宋体" w:cs="宋体"/>
                <w:b w:val="0"/>
                <w:bCs w:val="0"/>
                <w:color w:val="000000"/>
                <w:sz w:val="21"/>
                <w:szCs w:val="21"/>
                <w:highlight w:val="none"/>
                <w:lang w:val="en-US" w:eastAsia="en-US"/>
              </w:rPr>
              <w:t xml:space="preserve">（</w:t>
            </w:r>
            <w:r>
              <w:rPr>
                <w:rFonts w:hint="eastAsia" w:ascii="宋体" w:hAnsi="宋体" w:eastAsia="宋体" w:cs="宋体"/>
                <w:b w:val="0"/>
                <w:bCs w:val="0"/>
                <w:color w:val="000000"/>
                <w:sz w:val="21"/>
                <w:szCs w:val="21"/>
                <w:highlight w:val="none"/>
                <w:lang w:val="en-US" w:eastAsia="zh-CN"/>
              </w:rPr>
              <w:t xml:space="preserve">包括食品生产&lt;销售&gt;、检验、食品质量保障措施方案</w:t>
            </w:r>
            <w:r>
              <w:rPr>
                <w:rFonts w:hint="eastAsia" w:ascii="宋体" w:hAnsi="宋体" w:eastAsia="宋体" w:cs="宋体"/>
                <w:b w:val="0"/>
                <w:bCs w:val="0"/>
                <w:color w:val="000000"/>
                <w:sz w:val="21"/>
                <w:szCs w:val="21"/>
                <w:highlight w:val="none"/>
                <w:lang w:val="en-US" w:eastAsia="en-US"/>
              </w:rPr>
              <w:t xml:space="preserve">）</w:t>
            </w:r>
            <w:r>
              <w:rPr>
                <w:rFonts w:hint="eastAsia" w:ascii="宋体" w:hAnsi="宋体" w:eastAsia="宋体" w:cs="宋体"/>
                <w:b w:val="0"/>
                <w:bCs w:val="0"/>
                <w:color w:val="000000"/>
                <w:sz w:val="21"/>
                <w:szCs w:val="21"/>
                <w:highlight w:val="none"/>
                <w:lang w:val="en-US" w:eastAsia="zh-CN"/>
              </w:rPr>
              <w:t xml:space="preserve">等</w:t>
            </w:r>
            <w:r>
              <w:rPr>
                <w:rFonts w:hint="eastAsia" w:ascii="宋体" w:hAnsi="宋体" w:eastAsia="宋体" w:cs="宋体"/>
                <w:b w:val="0"/>
                <w:bCs w:val="0"/>
                <w:color w:val="000000"/>
                <w:sz w:val="21"/>
                <w:szCs w:val="21"/>
                <w:highlight w:val="none"/>
                <w:lang w:val="en-US" w:eastAsia="en-US"/>
              </w:rPr>
              <w:t xml:space="preserve">进行打分：</w:t>
            </w:r>
            <w:r>
              <w:rPr>
                <w:rFonts w:hint="eastAsia" w:ascii="宋体" w:hAnsi="宋体" w:eastAsia="宋体" w:cs="宋体"/>
                <w:b w:val="0"/>
                <w:bCs w:val="0"/>
                <w:color w:val="000000"/>
                <w:sz w:val="21"/>
                <w:szCs w:val="21"/>
                <w:highlight w:val="yellow"/>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highlight w:val="none"/>
                <w:lang w:val="en-US" w:eastAsia="en-US"/>
              </w:rPr>
              <w:t xml:space="preserve">食品生产</w:t>
            </w:r>
            <w:r>
              <w:rPr>
                <w:rFonts w:hint="eastAsia" w:ascii="宋体" w:hAnsi="宋体" w:eastAsia="宋体" w:cs="宋体"/>
                <w:b w:val="0"/>
                <w:bCs w:val="0"/>
                <w:color w:val="000000"/>
                <w:sz w:val="21"/>
                <w:szCs w:val="21"/>
                <w:highlight w:val="none"/>
                <w:lang w:val="en-US" w:eastAsia="zh-CN"/>
              </w:rPr>
              <w:t xml:space="preserve">（销售）程序描述规范，供应的各品目食材检验报告齐全，</w:t>
            </w:r>
            <w:r>
              <w:rPr>
                <w:rFonts w:hint="eastAsia" w:ascii="宋体" w:hAnsi="宋体" w:eastAsia="宋体" w:cs="宋体"/>
                <w:b w:val="0"/>
                <w:bCs w:val="0"/>
                <w:color w:val="000000"/>
                <w:sz w:val="21"/>
                <w:szCs w:val="21"/>
                <w:highlight w:val="none"/>
                <w:lang w:val="en-US" w:eastAsia="en-US"/>
              </w:rPr>
              <w:t xml:space="preserve">食品质量保障措施方案完善、具体</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en-US"/>
              </w:rPr>
              <w:t xml:space="preserve">有</w:t>
            </w:r>
            <w:r>
              <w:rPr>
                <w:rFonts w:hint="eastAsia" w:ascii="宋体" w:hAnsi="宋体" w:eastAsia="宋体" w:cs="宋体"/>
                <w:b w:val="0"/>
                <w:bCs w:val="0"/>
                <w:color w:val="000000"/>
                <w:sz w:val="21"/>
                <w:szCs w:val="21"/>
                <w:highlight w:val="none"/>
                <w:lang w:val="en-US" w:eastAsia="zh-CN"/>
              </w:rPr>
              <w:t xml:space="preserve">针对</w:t>
            </w:r>
            <w:r>
              <w:rPr>
                <w:rFonts w:hint="eastAsia" w:ascii="宋体" w:hAnsi="宋体" w:eastAsia="宋体" w:cs="宋体"/>
                <w:b w:val="0"/>
                <w:bCs w:val="0"/>
                <w:color w:val="000000"/>
                <w:sz w:val="21"/>
                <w:szCs w:val="21"/>
                <w:highlight w:val="none"/>
                <w:lang w:val="en-US" w:eastAsia="en-US"/>
              </w:rPr>
              <w:t xml:space="preserve">性的得</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en-US"/>
              </w:rPr>
              <w:t xml:space="preserve">分；        </w:t>
            </w:r>
            <w:r>
              <w:rPr>
                <w:rFonts w:hint="eastAsia" w:ascii="宋体" w:hAnsi="宋体" w:eastAsia="宋体" w:cs="宋体"/>
                <w:b w:val="0"/>
                <w:bCs w:val="0"/>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highlight w:val="none"/>
                <w:lang w:val="en-US" w:eastAsia="en-US"/>
              </w:rPr>
              <w:t xml:space="preserve">食品生产（销售）程序</w:t>
            </w:r>
            <w:r>
              <w:rPr>
                <w:rFonts w:hint="eastAsia" w:ascii="宋体" w:hAnsi="宋体" w:eastAsia="宋体" w:cs="宋体"/>
                <w:b w:val="0"/>
                <w:bCs w:val="0"/>
                <w:color w:val="000000"/>
                <w:sz w:val="21"/>
                <w:szCs w:val="21"/>
                <w:highlight w:val="none"/>
                <w:lang w:val="en-US" w:eastAsia="zh-CN"/>
              </w:rPr>
              <w:t xml:space="preserve">描述</w:t>
            </w:r>
            <w:r>
              <w:rPr>
                <w:rFonts w:hint="eastAsia" w:ascii="宋体" w:hAnsi="宋体" w:eastAsia="宋体" w:cs="宋体"/>
                <w:b w:val="0"/>
                <w:bCs w:val="0"/>
                <w:color w:val="000000"/>
                <w:sz w:val="21"/>
                <w:szCs w:val="21"/>
                <w:highlight w:val="none"/>
                <w:lang w:val="en-US" w:eastAsia="en-US"/>
              </w:rPr>
              <w:t xml:space="preserve">规范，供应的各品目食材检验报告</w:t>
            </w:r>
            <w:r>
              <w:rPr>
                <w:rFonts w:hint="eastAsia" w:ascii="宋体" w:hAnsi="宋体" w:eastAsia="宋体" w:cs="宋体"/>
                <w:b w:val="0"/>
                <w:bCs w:val="0"/>
                <w:color w:val="000000"/>
                <w:sz w:val="21"/>
                <w:szCs w:val="21"/>
                <w:highlight w:val="none"/>
                <w:lang w:val="en-US" w:eastAsia="zh-CN"/>
              </w:rPr>
              <w:t xml:space="preserve">有遗漏</w:t>
            </w:r>
            <w:r>
              <w:rPr>
                <w:rFonts w:hint="eastAsia" w:ascii="宋体" w:hAnsi="宋体" w:eastAsia="宋体" w:cs="宋体"/>
                <w:b w:val="0"/>
                <w:bCs w:val="0"/>
                <w:color w:val="000000"/>
                <w:sz w:val="21"/>
                <w:szCs w:val="21"/>
                <w:highlight w:val="none"/>
                <w:lang w:val="en-US" w:eastAsia="en-US"/>
              </w:rPr>
              <w:t xml:space="preserve">，食品质量保障措施方案完善、具体、有</w:t>
            </w:r>
            <w:r>
              <w:rPr>
                <w:rFonts w:hint="eastAsia" w:ascii="宋体" w:hAnsi="宋体" w:eastAsia="宋体" w:cs="宋体"/>
                <w:b w:val="0"/>
                <w:bCs w:val="0"/>
                <w:color w:val="000000"/>
                <w:sz w:val="21"/>
                <w:szCs w:val="21"/>
                <w:highlight w:val="none"/>
                <w:lang w:val="en-US" w:eastAsia="zh-CN"/>
              </w:rPr>
              <w:t xml:space="preserve">针对</w:t>
            </w:r>
            <w:r>
              <w:rPr>
                <w:rFonts w:hint="eastAsia" w:ascii="宋体" w:hAnsi="宋体" w:eastAsia="宋体" w:cs="宋体"/>
                <w:b w:val="0"/>
                <w:bCs w:val="0"/>
                <w:color w:val="000000"/>
                <w:sz w:val="21"/>
                <w:szCs w:val="21"/>
                <w:highlight w:val="none"/>
                <w:lang w:val="en-US" w:eastAsia="en-US"/>
              </w:rPr>
              <w:t xml:space="preserve">性的得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en-US"/>
              </w:rPr>
              <w:t xml:space="preserve">分； </w:t>
            </w:r>
            <w:r>
              <w:rPr>
                <w:rFonts w:hint="eastAsia" w:ascii="宋体" w:hAnsi="宋体" w:eastAsia="宋体" w:cs="宋体"/>
                <w:b w:val="0"/>
                <w:bCs w:val="0"/>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highlight w:val="none"/>
                <w:lang w:val="en-US" w:eastAsia="en-US"/>
              </w:rPr>
              <w:t xml:space="preserve">食品生产（销售）程序</w:t>
            </w:r>
            <w:r>
              <w:rPr>
                <w:rFonts w:hint="eastAsia" w:ascii="宋体" w:hAnsi="宋体" w:eastAsia="宋体" w:cs="宋体"/>
                <w:b w:val="0"/>
                <w:bCs w:val="0"/>
                <w:color w:val="000000"/>
                <w:sz w:val="21"/>
                <w:szCs w:val="21"/>
                <w:highlight w:val="none"/>
                <w:lang w:val="en-US" w:eastAsia="zh-CN"/>
              </w:rPr>
              <w:t xml:space="preserve">简略</w:t>
            </w:r>
            <w:r>
              <w:rPr>
                <w:rFonts w:hint="eastAsia" w:ascii="宋体" w:hAnsi="宋体" w:eastAsia="宋体" w:cs="宋体"/>
                <w:b w:val="0"/>
                <w:bCs w:val="0"/>
                <w:color w:val="000000"/>
                <w:sz w:val="21"/>
                <w:szCs w:val="21"/>
                <w:highlight w:val="none"/>
                <w:lang w:val="en-US" w:eastAsia="en-US"/>
              </w:rPr>
              <w:t xml:space="preserve">，供应的各品目食材检验报告</w:t>
            </w:r>
            <w:r>
              <w:rPr>
                <w:rFonts w:hint="eastAsia" w:ascii="宋体" w:hAnsi="宋体" w:eastAsia="宋体" w:cs="宋体"/>
                <w:b w:val="0"/>
                <w:bCs w:val="0"/>
                <w:color w:val="000000"/>
                <w:sz w:val="21"/>
                <w:szCs w:val="21"/>
                <w:highlight w:val="none"/>
                <w:lang w:val="en-US" w:eastAsia="zh-CN"/>
              </w:rPr>
              <w:t xml:space="preserve">大部分缺失</w:t>
            </w:r>
            <w:r>
              <w:rPr>
                <w:rFonts w:hint="eastAsia" w:ascii="宋体" w:hAnsi="宋体" w:eastAsia="宋体" w:cs="宋体"/>
                <w:b w:val="0"/>
                <w:bCs w:val="0"/>
                <w:color w:val="000000"/>
                <w:sz w:val="21"/>
                <w:szCs w:val="21"/>
                <w:highlight w:val="none"/>
                <w:lang w:val="en-US" w:eastAsia="en-US"/>
              </w:rPr>
              <w:t xml:space="preserve">，食品质量保障措施方案</w:t>
            </w:r>
            <w:r>
              <w:rPr>
                <w:rFonts w:hint="eastAsia" w:ascii="宋体" w:hAnsi="宋体" w:eastAsia="宋体" w:cs="宋体"/>
                <w:b w:val="0"/>
                <w:bCs w:val="0"/>
                <w:color w:val="000000"/>
                <w:sz w:val="21"/>
                <w:szCs w:val="21"/>
                <w:highlight w:val="none"/>
                <w:lang w:val="en-US" w:eastAsia="zh-CN"/>
              </w:rPr>
              <w:t xml:space="preserve">完善度较差或</w:t>
            </w:r>
            <w:r>
              <w:rPr>
                <w:rFonts w:hint="eastAsia" w:ascii="宋体" w:hAnsi="宋体" w:eastAsia="宋体" w:cs="宋体"/>
                <w:b w:val="0"/>
                <w:bCs w:val="0"/>
                <w:color w:val="000000"/>
                <w:sz w:val="21"/>
                <w:szCs w:val="21"/>
                <w:highlight w:val="none"/>
                <w:lang w:val="en-US" w:eastAsia="en-US"/>
              </w:rPr>
              <w:t xml:space="preserve">不具备针对性的得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en-US"/>
              </w:rPr>
              <w:t xml:space="preserve">分； </w:t>
            </w:r>
            <w:r>
              <w:rPr>
                <w:rFonts w:hint="eastAsia" w:ascii="宋体" w:hAnsi="宋体" w:eastAsia="宋体" w:cs="宋体"/>
                <w:b w:val="0"/>
                <w:bCs w:val="0"/>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highlight w:val="none"/>
                <w:lang w:val="en-US" w:eastAsia="en-US"/>
              </w:rPr>
              <w:t xml:space="preserve">食品质量保证措施不满足招标要求或不提供不得分。</w:t>
            </w:r>
            <w:r>
              <w:rPr>
                <w:rFonts w:hint="eastAsia" w:ascii="宋体" w:hAnsi="宋体" w:eastAsia="宋体" w:cs="宋体"/>
                <w:b w:val="0"/>
                <w:bCs w:val="0"/>
                <w:color w:val="000000"/>
                <w:sz w:val="21"/>
                <w:szCs w:val="21"/>
                <w:lang w:val="en-US" w:eastAsia="en-US"/>
              </w:rPr>
            </w:r>
            <w:r/>
          </w:p>
        </w:tc>
      </w:tr>
      <w:tr>
        <w:trPr>
          <w:trHeight w:val="775"/>
        </w:trPr>
        <w:tc>
          <w:tcPr>
            <w:tcW w:w="596" w:type="dxa"/>
            <w:vAlign w:val="center"/>
            <w:textDirection w:val="lrTb"/>
            <w:noWrap w:val="false"/>
          </w:tcPr>
          <w:p>
            <w:pPr>
              <w:pStyle w:val="1276"/>
              <w:jc w:val="center"/>
              <w:keepLines w:val="0"/>
              <w:keepNext w:val="0"/>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color w:val="000000"/>
                <w:sz w:val="21"/>
                <w:szCs w:val="21"/>
                <w:lang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配送人员</w:t>
            </w:r>
            <w:r>
              <w:rPr>
                <w:rFonts w:hint="eastAsia" w:ascii="宋体" w:hAnsi="宋体" w:eastAsia="宋体" w:cs="宋体"/>
                <w:color w:val="000000"/>
                <w:sz w:val="21"/>
                <w:szCs w:val="21"/>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由评委会对供应商提供的配送人员</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en-US"/>
              </w:rPr>
              <w:t xml:space="preserve">包括配送人员数量、经验情况、健康状况等情况</w:t>
            </w:r>
            <w:r>
              <w:rPr>
                <w:rFonts w:hint="eastAsia" w:ascii="宋体" w:hAnsi="宋体" w:eastAsia="宋体" w:cs="宋体"/>
                <w:color w:val="000000"/>
                <w:sz w:val="21"/>
                <w:szCs w:val="21"/>
                <w:lang w:val="en-US" w:eastAsia="zh-CN"/>
              </w:rPr>
              <w:t xml:space="preserve">），以及人员</w:t>
            </w:r>
            <w:r>
              <w:rPr>
                <w:rFonts w:hint="eastAsia" w:ascii="宋体" w:hAnsi="宋体" w:eastAsia="宋体" w:cs="宋体"/>
                <w:b w:val="0"/>
                <w:bCs w:val="0"/>
                <w:color w:val="000000"/>
                <w:sz w:val="21"/>
                <w:szCs w:val="21"/>
                <w:lang w:val="en-US" w:eastAsia="zh-CN"/>
              </w:rPr>
              <w:t xml:space="preserve">岗位分配</w:t>
            </w:r>
            <w:r>
              <w:rPr>
                <w:rFonts w:hint="eastAsia" w:ascii="宋体" w:hAnsi="宋体" w:eastAsia="宋体" w:cs="宋体"/>
                <w:color w:val="000000"/>
                <w:sz w:val="21"/>
                <w:szCs w:val="21"/>
                <w:lang w:val="en-US" w:eastAsia="en-US"/>
              </w:rPr>
              <w:t xml:space="preserve">方案</w:t>
            </w:r>
            <w:r>
              <w:rPr>
                <w:rFonts w:hint="eastAsia" w:ascii="宋体" w:hAnsi="宋体" w:eastAsia="宋体" w:cs="宋体"/>
                <w:b w:val="0"/>
                <w:bCs w:val="0"/>
                <w:color w:val="000000"/>
                <w:sz w:val="21"/>
                <w:szCs w:val="21"/>
                <w:lang w:val="en-US" w:eastAsia="en-US"/>
              </w:rPr>
              <w:t xml:space="preserve">（包括</w:t>
            </w:r>
            <w:r>
              <w:rPr>
                <w:rFonts w:hint="eastAsia" w:ascii="宋体" w:hAnsi="宋体" w:eastAsia="宋体" w:cs="宋体"/>
                <w:b w:val="0"/>
                <w:bCs w:val="0"/>
                <w:color w:val="000000"/>
                <w:sz w:val="21"/>
                <w:szCs w:val="21"/>
                <w:lang w:val="en-US" w:eastAsia="zh-CN"/>
              </w:rPr>
              <w:t xml:space="preserve">岗位设置、岗位职责、岗位是否有兼任</w:t>
            </w:r>
            <w:r>
              <w:rPr>
                <w:rFonts w:hint="eastAsia" w:ascii="宋体" w:hAnsi="宋体" w:eastAsia="宋体" w:cs="宋体"/>
                <w:b w:val="0"/>
                <w:bCs w:val="0"/>
                <w:color w:val="000000"/>
                <w:sz w:val="21"/>
                <w:szCs w:val="21"/>
                <w:lang w:val="en-US" w:eastAsia="en-US"/>
              </w:rPr>
              <w:t xml:space="preserve">）等情况进行打分</w:t>
            </w:r>
            <w:r>
              <w:rPr>
                <w:rFonts w:hint="eastAsia" w:ascii="宋体" w:hAnsi="宋体" w:eastAsia="宋体" w:cs="宋体"/>
                <w:color w:val="000000"/>
                <w:sz w:val="21"/>
                <w:szCs w:val="21"/>
                <w:lang w:val="en-US" w:eastAsia="en-US"/>
              </w:rPr>
              <w:t xml:space="preserve">：</w:t>
            </w:r>
            <w:r>
              <w:rPr>
                <w:rFonts w:hint="eastAsia" w:ascii="宋体" w:hAnsi="宋体" w:eastAsia="宋体" w:cs="宋体"/>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供应商提供的配送人员身体健康，经验丰富，</w:t>
            </w:r>
            <w:r>
              <w:rPr>
                <w:rFonts w:hint="eastAsia" w:ascii="宋体" w:hAnsi="宋体" w:eastAsia="宋体" w:cs="宋体"/>
                <w:b w:val="0"/>
                <w:bCs w:val="0"/>
                <w:color w:val="000000"/>
                <w:sz w:val="21"/>
                <w:szCs w:val="21"/>
                <w:lang w:val="en-US" w:eastAsia="zh-CN"/>
              </w:rPr>
              <w:t xml:space="preserve">岗位设置合理，岗位职责清晰规范，岗位间不兼任且形成有效监督</w:t>
            </w:r>
            <w:r>
              <w:rPr>
                <w:rFonts w:hint="eastAsia" w:ascii="宋体" w:hAnsi="宋体" w:eastAsia="宋体" w:cs="宋体"/>
                <w:color w:val="000000"/>
                <w:sz w:val="21"/>
                <w:szCs w:val="21"/>
                <w:lang w:val="en-US" w:eastAsia="en-US"/>
              </w:rPr>
              <w:t xml:space="preserve">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供应商提供的配送人员身体健康，经验一般，</w:t>
            </w:r>
            <w:r>
              <w:rPr>
                <w:rFonts w:hint="eastAsia" w:ascii="宋体" w:hAnsi="宋体" w:eastAsia="宋体" w:cs="宋体"/>
                <w:b w:val="0"/>
                <w:bCs w:val="0"/>
                <w:color w:val="000000"/>
                <w:sz w:val="21"/>
                <w:szCs w:val="21"/>
                <w:lang w:val="en-US" w:eastAsia="en-US"/>
              </w:rPr>
              <w:t xml:space="preserve">岗位设置合理，岗位职责</w:t>
            </w:r>
            <w:r>
              <w:rPr>
                <w:rFonts w:hint="eastAsia" w:ascii="宋体" w:hAnsi="宋体" w:eastAsia="宋体" w:cs="宋体"/>
                <w:b w:val="0"/>
                <w:bCs w:val="0"/>
                <w:color w:val="000000"/>
                <w:sz w:val="21"/>
                <w:szCs w:val="21"/>
                <w:lang w:val="en-US" w:eastAsia="zh-CN"/>
              </w:rPr>
              <w:t xml:space="preserve">描述基本清晰</w:t>
            </w:r>
            <w:r>
              <w:rPr>
                <w:rFonts w:hint="eastAsia" w:ascii="宋体" w:hAnsi="宋体" w:eastAsia="宋体" w:cs="宋体"/>
                <w:b w:val="0"/>
                <w:bCs w:val="0"/>
                <w:color w:val="000000"/>
                <w:sz w:val="21"/>
                <w:szCs w:val="21"/>
                <w:lang w:val="en-US" w:eastAsia="en-US"/>
              </w:rPr>
              <w:t xml:space="preserve">，岗位间不兼任</w:t>
            </w:r>
            <w:r>
              <w:rPr>
                <w:rFonts w:hint="eastAsia" w:ascii="宋体" w:hAnsi="宋体" w:eastAsia="宋体" w:cs="宋体"/>
                <w:color w:val="000000"/>
                <w:sz w:val="21"/>
                <w:szCs w:val="21"/>
                <w:lang w:val="en-US" w:eastAsia="en-US"/>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供应商提供的配送人员身体健康，无经验，</w:t>
            </w:r>
            <w:r>
              <w:rPr>
                <w:rFonts w:hint="eastAsia" w:ascii="宋体" w:hAnsi="宋体" w:eastAsia="宋体" w:cs="宋体"/>
                <w:b w:val="0"/>
                <w:bCs w:val="0"/>
                <w:color w:val="000000"/>
                <w:sz w:val="21"/>
                <w:szCs w:val="21"/>
                <w:lang w:val="en-US" w:eastAsia="en-US"/>
              </w:rPr>
              <w:t xml:space="preserve">岗位设置合理，</w:t>
            </w:r>
            <w:r>
              <w:rPr>
                <w:rFonts w:hint="eastAsia" w:ascii="宋体" w:hAnsi="宋体" w:eastAsia="宋体" w:cs="宋体"/>
                <w:b w:val="0"/>
                <w:bCs w:val="0"/>
                <w:color w:val="000000"/>
                <w:sz w:val="21"/>
                <w:szCs w:val="21"/>
                <w:lang w:val="en-US" w:eastAsia="zh-CN"/>
              </w:rPr>
              <w:t xml:space="preserve">提供的</w:t>
            </w:r>
            <w:r>
              <w:rPr>
                <w:rFonts w:hint="eastAsia" w:ascii="宋体" w:hAnsi="宋体" w:eastAsia="宋体" w:cs="宋体"/>
                <w:b w:val="0"/>
                <w:bCs w:val="0"/>
                <w:color w:val="000000"/>
                <w:sz w:val="21"/>
                <w:szCs w:val="21"/>
                <w:lang w:val="en-US" w:eastAsia="en-US"/>
              </w:rPr>
              <w:t xml:space="preserve">岗位职责描述</w:t>
            </w:r>
            <w:r>
              <w:rPr>
                <w:rFonts w:hint="eastAsia" w:ascii="宋体" w:hAnsi="宋体" w:eastAsia="宋体" w:cs="宋体"/>
                <w:b w:val="0"/>
                <w:bCs w:val="0"/>
                <w:color w:val="000000"/>
                <w:sz w:val="21"/>
                <w:szCs w:val="21"/>
                <w:lang w:val="en-US" w:eastAsia="zh-CN"/>
              </w:rPr>
              <w:t xml:space="preserve">简略，</w:t>
            </w:r>
            <w:r>
              <w:rPr>
                <w:rFonts w:hint="eastAsia" w:ascii="宋体" w:hAnsi="宋体" w:eastAsia="宋体" w:cs="宋体"/>
                <w:b w:val="0"/>
                <w:bCs w:val="0"/>
                <w:color w:val="000000"/>
                <w:sz w:val="21"/>
                <w:szCs w:val="21"/>
                <w:lang w:val="en-US" w:eastAsia="en-US"/>
              </w:rPr>
              <w:t xml:space="preserve">岗位间不兼任</w:t>
            </w:r>
            <w:r>
              <w:rPr>
                <w:rFonts w:hint="eastAsia" w:ascii="宋体" w:hAnsi="宋体" w:eastAsia="宋体" w:cs="宋体"/>
                <w:color w:val="000000"/>
                <w:sz w:val="21"/>
                <w:szCs w:val="21"/>
                <w:lang w:val="en-US" w:eastAsia="en-US"/>
              </w:rPr>
              <w:t xml:space="preserve">得1分；</w:t>
            </w:r>
            <w:r>
              <w:rPr>
                <w:rFonts w:hint="eastAsia" w:ascii="宋体" w:hAnsi="宋体" w:eastAsia="宋体" w:cs="宋体"/>
                <w:color w:val="000000"/>
                <w:sz w:val="21"/>
                <w:szCs w:val="21"/>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配送人员不满足招标要求或不提供不得分。</w:t>
            </w:r>
            <w:r>
              <w:rPr>
                <w:rFonts w:hint="eastAsia" w:ascii="宋体" w:hAnsi="宋体" w:eastAsia="宋体" w:cs="宋体"/>
                <w:color w:val="000000"/>
                <w:sz w:val="21"/>
                <w:szCs w:val="21"/>
                <w:lang w:val="en-US" w:eastAsia="en-US"/>
              </w:rPr>
            </w:r>
            <w:r/>
          </w:p>
        </w:tc>
      </w:tr>
      <w:tr>
        <w:trPr>
          <w:trHeight w:val="1366"/>
        </w:trPr>
        <w:tc>
          <w:tcPr>
            <w:tcW w:w="596" w:type="dxa"/>
            <w:vAlign w:val="center"/>
            <w:textDirection w:val="lrTb"/>
            <w:noWrap w:val="false"/>
          </w:tcPr>
          <w:p>
            <w:pPr>
              <w:pStyle w:val="1276"/>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7</w:t>
            </w:r>
            <w:r>
              <w:rPr>
                <w:rFonts w:ascii="宋体" w:hAnsi="宋体" w:eastAsia="宋体" w:cs="宋体"/>
                <w:color w:val="000000"/>
                <w:sz w:val="21"/>
                <w:szCs w:val="21"/>
                <w:highlight w:val="none"/>
                <w:lang w:val="en-US"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配送制度</w:t>
            </w:r>
            <w:r>
              <w:rPr>
                <w:rFonts w:hint="eastAsia" w:ascii="宋体" w:hAnsi="宋体" w:eastAsia="宋体" w:cs="宋体"/>
                <w:color w:val="000000"/>
                <w:sz w:val="21"/>
                <w:szCs w:val="21"/>
                <w:highlight w:val="none"/>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由评委会对供应商提供的配送车辆方案（包括自有提供车辆行驶证及车辆照片，租赁提供租赁合同及车辆行驶证和车辆照片，运输车辆管理规章制度）</w:t>
            </w:r>
            <w:r>
              <w:rPr>
                <w:rFonts w:hint="eastAsia" w:ascii="宋体" w:hAnsi="宋体" w:eastAsia="宋体" w:cs="宋体"/>
                <w:color w:val="000000"/>
                <w:sz w:val="21"/>
                <w:szCs w:val="21"/>
                <w:highlight w:val="none"/>
                <w:lang w:val="en-US" w:eastAsia="zh-CN"/>
              </w:rPr>
              <w:t xml:space="preserve">，以及</w:t>
            </w:r>
            <w:r>
              <w:rPr>
                <w:rFonts w:hint="eastAsia" w:ascii="宋体" w:hAnsi="宋体" w:eastAsia="宋体" w:cs="宋体"/>
                <w:color w:val="000000"/>
                <w:sz w:val="21"/>
                <w:szCs w:val="21"/>
                <w:highlight w:val="none"/>
                <w:lang w:val="en-US" w:eastAsia="en-US"/>
              </w:rPr>
              <w:t xml:space="preserve">配送卫生保障制度进行打分：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供应商提供的配送车辆状况好、安排合理，配送卫生保障制度完善、可行，得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供应商提供的配送车辆状况较好、安排较合理，配送卫生保障制度较完善、较可行，得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供应商提供的配送车辆状况一般、安排一般，配送卫生保障制度一般、基本可行，得1分；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配送卫生保障制度不满足招标要求或不提供不得分。</w:t>
            </w:r>
            <w:r>
              <w:rPr>
                <w:rFonts w:hint="eastAsia" w:ascii="宋体" w:hAnsi="宋体" w:eastAsia="宋体" w:cs="宋体"/>
                <w:color w:val="000000"/>
                <w:sz w:val="21"/>
                <w:szCs w:val="21"/>
                <w:highlight w:val="none"/>
                <w:lang w:val="en-US" w:eastAsia="en-US"/>
              </w:rPr>
            </w:r>
            <w:r/>
          </w:p>
        </w:tc>
      </w:tr>
      <w:tr>
        <w:trPr>
          <w:trHeight w:val="570"/>
        </w:trPr>
        <w:tc>
          <w:tcPr>
            <w:tcW w:w="596" w:type="dxa"/>
            <w:vAlign w:val="center"/>
            <w:textDirection w:val="lrTb"/>
            <w:noWrap w:val="false"/>
          </w:tcPr>
          <w:p>
            <w:pPr>
              <w:pStyle w:val="1276"/>
              <w:jc w:val="center"/>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color w:val="000000"/>
                <w:sz w:val="21"/>
                <w:szCs w:val="21"/>
                <w:highlight w:val="none"/>
                <w:lang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售后服务承诺</w:t>
            </w:r>
            <w:r>
              <w:rPr>
                <w:rFonts w:hint="eastAsia" w:ascii="宋体" w:hAnsi="宋体" w:eastAsia="宋体" w:cs="宋体"/>
                <w:color w:val="000000"/>
                <w:sz w:val="21"/>
                <w:szCs w:val="21"/>
                <w:highlight w:val="none"/>
                <w:lang w:val="en-US" w:eastAsia="en-US"/>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由评委会对供应商提供的售后服务方案（包括服务承诺、响应时间、保障措施以及其他各方面的支持和配合情况）等进行打分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供应商提供的售后服务方案详细， 能在1小时内响应、保障措施完善，得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供应商提供的售后服务方案较详细，能在2小时内响应、保障措施较 完善，得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供应商提供的售后服务方案一般， 能在3小时内响应、保障措施一般，得1分。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售后服务方案不满足招标要求或不提供不得分。</w:t>
            </w:r>
            <w:r>
              <w:rPr>
                <w:rFonts w:hint="eastAsia" w:ascii="宋体" w:hAnsi="宋体" w:eastAsia="宋体" w:cs="宋体"/>
                <w:color w:val="000000"/>
                <w:sz w:val="21"/>
                <w:szCs w:val="21"/>
                <w:highlight w:val="none"/>
                <w:lang w:val="en-US" w:eastAsia="en-US"/>
              </w:rPr>
            </w:r>
            <w:r/>
          </w:p>
        </w:tc>
      </w:tr>
      <w:tr>
        <w:trPr>
          <w:trHeight w:val="911"/>
        </w:trPr>
        <w:tc>
          <w:tcPr>
            <w:tcW w:w="596" w:type="dxa"/>
            <w:vAlign w:val="center"/>
            <w:textDirection w:val="lrTb"/>
            <w:noWrap w:val="false"/>
          </w:tcPr>
          <w:p>
            <w:pPr>
              <w:pStyle w:val="1276"/>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宋体" w:hAnsi="宋体" w:eastAsia="宋体" w:cs="宋体"/>
                <w:color w:val="000000"/>
                <w:sz w:val="21"/>
                <w:szCs w:val="21"/>
                <w:highlight w:val="none"/>
                <w:lang w:val="en-US"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en-US"/>
              </w:rPr>
              <w:t xml:space="preserve">应急</w:t>
            </w:r>
            <w:r>
              <w:rPr>
                <w:rFonts w:hint="eastAsia" w:ascii="宋体" w:hAnsi="宋体" w:eastAsia="宋体" w:cs="宋体"/>
                <w:color w:val="000000"/>
                <w:sz w:val="21"/>
                <w:szCs w:val="21"/>
                <w:highlight w:val="none"/>
                <w:lang w:val="en-US" w:eastAsia="zh-CN"/>
              </w:rPr>
              <w:t xml:space="preserve">保障</w:t>
            </w:r>
            <w:r>
              <w:rPr>
                <w:rFonts w:hint="eastAsia" w:ascii="宋体" w:hAnsi="宋体" w:eastAsia="宋体" w:cs="宋体"/>
                <w:color w:val="000000"/>
                <w:sz w:val="21"/>
                <w:szCs w:val="21"/>
                <w:highlight w:val="none"/>
                <w:lang w:val="en-US" w:eastAsia="zh-CN"/>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由评委会对应急保障（含发生恶劣天气及采购人有特殊需求等情况），对采购人发现问题的意见反馈及处置</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b w:val="0"/>
                <w:bCs w:val="0"/>
                <w:color w:val="000000"/>
                <w:sz w:val="21"/>
                <w:szCs w:val="21"/>
                <w:highlight w:val="none"/>
                <w:lang w:val="en-US" w:eastAsia="en-US"/>
              </w:rPr>
              <w:t xml:space="preserve">对紧急情况处理（</w:t>
            </w:r>
            <w:r>
              <w:rPr>
                <w:rFonts w:hint="eastAsia" w:ascii="宋体" w:hAnsi="宋体" w:eastAsia="宋体" w:cs="宋体"/>
                <w:b w:val="0"/>
                <w:bCs w:val="0"/>
                <w:color w:val="000000"/>
                <w:sz w:val="21"/>
                <w:szCs w:val="21"/>
                <w:highlight w:val="none"/>
                <w:lang w:val="en-US" w:eastAsia="zh-CN"/>
              </w:rPr>
              <w:t xml:space="preserve">如引发人员食物中毒后的食品留样管理、当天进货产品源头追溯</w:t>
            </w:r>
            <w:r>
              <w:rPr>
                <w:rFonts w:hint="eastAsia" w:ascii="宋体" w:hAnsi="宋体" w:eastAsia="宋体" w:cs="宋体"/>
                <w:b w:val="0"/>
                <w:bCs w:val="0"/>
                <w:color w:val="000000"/>
                <w:sz w:val="21"/>
                <w:szCs w:val="21"/>
                <w:highlight w:val="none"/>
                <w:lang w:val="en-US" w:eastAsia="en-US"/>
              </w:rPr>
              <w:t xml:space="preserve">）</w:t>
            </w:r>
            <w:r>
              <w:rPr>
                <w:rFonts w:hint="eastAsia" w:ascii="宋体" w:hAnsi="宋体" w:eastAsia="宋体" w:cs="宋体"/>
                <w:b w:val="0"/>
                <w:bCs w:val="0"/>
                <w:color w:val="000000"/>
                <w:sz w:val="21"/>
                <w:szCs w:val="21"/>
                <w:highlight w:val="none"/>
                <w:lang w:val="en-US" w:eastAsia="zh-CN"/>
              </w:rPr>
              <w:t xml:space="preserve">等方案</w:t>
            </w:r>
            <w:r>
              <w:rPr>
                <w:rFonts w:hint="eastAsia" w:ascii="宋体" w:hAnsi="宋体" w:eastAsia="宋体" w:cs="宋体"/>
                <w:color w:val="000000"/>
                <w:sz w:val="21"/>
                <w:szCs w:val="21"/>
                <w:highlight w:val="none"/>
                <w:lang w:val="en-US" w:eastAsia="en-US"/>
              </w:rPr>
              <w:t xml:space="preserve">进行打分：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内容全面，处置措施合理可行，针对性强</w:t>
            </w:r>
            <w:r>
              <w:rPr>
                <w:rFonts w:hint="eastAsia" w:ascii="宋体" w:hAnsi="宋体" w:eastAsia="宋体" w:cs="宋体"/>
                <w:color w:val="000000"/>
                <w:sz w:val="21"/>
                <w:szCs w:val="21"/>
                <w:highlight w:val="none"/>
                <w:lang w:val="en-US" w:eastAsia="zh-CN"/>
              </w:rPr>
              <w:t xml:space="preserve">，能</w:t>
            </w:r>
            <w:r>
              <w:rPr>
                <w:rFonts w:hint="eastAsia" w:ascii="宋体" w:hAnsi="宋体" w:eastAsia="宋体" w:cs="宋体"/>
                <w:b w:val="0"/>
                <w:bCs w:val="0"/>
                <w:color w:val="000000"/>
                <w:sz w:val="21"/>
                <w:szCs w:val="21"/>
                <w:highlight w:val="none"/>
                <w:lang w:val="en-US" w:eastAsia="zh-CN"/>
              </w:rPr>
              <w:t xml:space="preserve">对当天所供食材除采购人食堂留样外自有留样管理措施且措施完善、具体，依据管理措施能迅速追溯该批次进货情况</w:t>
            </w:r>
            <w:r>
              <w:rPr>
                <w:rFonts w:hint="eastAsia" w:ascii="宋体" w:hAnsi="宋体" w:eastAsia="宋体" w:cs="宋体"/>
                <w:color w:val="000000"/>
                <w:sz w:val="21"/>
                <w:szCs w:val="21"/>
                <w:highlight w:val="none"/>
                <w:lang w:val="en-US" w:eastAsia="en-US"/>
              </w:rPr>
              <w:t xml:space="preserve">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内容较全面，处置措施合理较可行，针对性较强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对当天所供食材自有留样管理措施较完善，能追溯该批次进货情况但时效性不强</w:t>
            </w:r>
            <w:r>
              <w:rPr>
                <w:rFonts w:hint="eastAsia" w:ascii="宋体" w:hAnsi="宋体" w:eastAsia="宋体" w:cs="宋体"/>
                <w:color w:val="000000"/>
                <w:sz w:val="21"/>
                <w:szCs w:val="21"/>
                <w:highlight w:val="none"/>
                <w:lang w:val="en-US" w:eastAsia="en-US"/>
              </w:rPr>
              <w:t xml:space="preserve">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内容一般，处置措施基本合理，针对性一般</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对当天所供食材自有留样管理措施一般，该批次进货产品源头追溯模糊</w:t>
            </w:r>
            <w:r>
              <w:rPr>
                <w:rFonts w:hint="eastAsia" w:ascii="宋体" w:hAnsi="宋体" w:eastAsia="宋体" w:cs="宋体"/>
                <w:color w:val="000000"/>
                <w:sz w:val="21"/>
                <w:szCs w:val="21"/>
                <w:highlight w:val="none"/>
                <w:lang w:val="en-US" w:eastAsia="en-US"/>
              </w:rPr>
              <w:t xml:space="preserve">的，得1分；</w:t>
            </w:r>
            <w:r>
              <w:rPr>
                <w:rFonts w:hint="eastAsia" w:ascii="宋体" w:hAnsi="宋体" w:eastAsia="宋体" w:cs="宋体"/>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应急保障不满足招标要求或不提供不得分。</w:t>
            </w:r>
            <w:r>
              <w:rPr>
                <w:rFonts w:hint="eastAsia" w:ascii="宋体" w:hAnsi="宋体" w:eastAsia="宋体" w:cs="宋体"/>
                <w:color w:val="000000"/>
                <w:sz w:val="21"/>
                <w:szCs w:val="21"/>
                <w:highlight w:val="none"/>
                <w:lang w:val="en-US" w:eastAsia="en-US"/>
              </w:rPr>
            </w:r>
            <w:r/>
          </w:p>
        </w:tc>
      </w:tr>
      <w:tr>
        <w:trPr>
          <w:trHeight w:val="1288"/>
        </w:trPr>
        <w:tc>
          <w:tcPr>
            <w:tcW w:w="596" w:type="dxa"/>
            <w:vAlign w:val="center"/>
            <w:textDirection w:val="lrTb"/>
            <w:noWrap w:val="false"/>
          </w:tcPr>
          <w:p>
            <w:pPr>
              <w:pStyle w:val="1276"/>
              <w:jc w:val="center"/>
              <w:keepLines w:val="0"/>
              <w:keepNext w:val="0"/>
              <w:widowControl/>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b w:val="0"/>
                <w:bCs w:val="0"/>
                <w:color w:val="000000"/>
                <w:sz w:val="21"/>
                <w:szCs w:val="21"/>
                <w:lang w:val="en-US"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服务承诺</w:t>
            </w:r>
            <w:r>
              <w:rPr>
                <w:rFonts w:hint="eastAsia" w:ascii="宋体" w:hAnsi="宋体" w:eastAsia="宋体" w:cs="宋体"/>
                <w:b w:val="0"/>
                <w:bCs w:val="0"/>
                <w:color w:val="000000"/>
                <w:sz w:val="21"/>
                <w:szCs w:val="21"/>
                <w:lang w:val="en-US" w:eastAsia="zh-CN"/>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en-US" w:eastAsia="en-US"/>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供应商承诺可配合采购人临时要求变更送货地点、无条件服从临时增加的配送要求得2分。</w:t>
            </w:r>
            <w:r>
              <w:rPr>
                <w:rFonts w:hint="eastAsia" w:ascii="宋体" w:hAnsi="宋体" w:eastAsia="宋体" w:cs="宋体"/>
                <w:b w:val="0"/>
                <w:bCs w:val="0"/>
                <w:color w:val="000000"/>
                <w:sz w:val="21"/>
                <w:szCs w:val="21"/>
                <w:lang w:val="en-US" w:eastAsia="zh-CN"/>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注：提供承诺书加盖公章，格式自拟。</w:t>
            </w:r>
            <w:r>
              <w:rPr>
                <w:rFonts w:hint="eastAsia" w:ascii="宋体" w:hAnsi="宋体" w:eastAsia="宋体" w:cs="宋体"/>
                <w:b w:val="0"/>
                <w:bCs w:val="0"/>
                <w:color w:val="000000"/>
                <w:sz w:val="21"/>
                <w:szCs w:val="21"/>
                <w:lang w:val="en-US" w:eastAsia="zh-CN"/>
              </w:rPr>
            </w:r>
            <w:r/>
          </w:p>
        </w:tc>
      </w:tr>
      <w:tr>
        <w:trPr>
          <w:trHeight w:val="1288"/>
        </w:trPr>
        <w:tc>
          <w:tcPr>
            <w:tcW w:w="596" w:type="dxa"/>
            <w:vAlign w:val="center"/>
            <w:textDirection w:val="lrTb"/>
            <w:noWrap w:val="false"/>
          </w:tcPr>
          <w:p>
            <w:pPr>
              <w:pStyle w:val="1276"/>
              <w:jc w:val="center"/>
              <w:keepLines w:val="0"/>
              <w:keepNext w:val="0"/>
              <w:widowControl/>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b w:val="0"/>
                <w:bCs w:val="0"/>
                <w:color w:val="000000"/>
                <w:sz w:val="21"/>
                <w:szCs w:val="21"/>
                <w:lang w:val="en-US" w:eastAsia="zh-CN"/>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安全保证</w:t>
            </w:r>
            <w:r>
              <w:rPr>
                <w:rFonts w:hint="eastAsia" w:ascii="宋体" w:hAnsi="宋体" w:eastAsia="宋体" w:cs="宋体"/>
                <w:b w:val="0"/>
                <w:bCs w:val="0"/>
                <w:color w:val="000000"/>
                <w:sz w:val="21"/>
                <w:szCs w:val="21"/>
                <w:lang w:val="en-US" w:eastAsia="zh-CN"/>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r>
            <w:r/>
          </w:p>
        </w:tc>
        <w:tc>
          <w:tcPr>
            <w:tcW w:w="3711" w:type="dxa"/>
            <w:vAlign w:val="top"/>
            <w:textDirection w:val="lrTb"/>
            <w:noWrap w:val="false"/>
          </w:tcPr>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供应商日常经营活动中购买“食品安全责任险”且保额不低于500万元的得3分，或投标人承诺中标后签订合同前购买“食品安全责任险”且保额不低于500万元的得3分。</w:t>
            </w:r>
            <w:r>
              <w:rPr>
                <w:rFonts w:hint="eastAsia" w:ascii="宋体" w:hAnsi="宋体" w:eastAsia="宋体" w:cs="宋体"/>
                <w:b w:val="0"/>
                <w:bCs w:val="0"/>
                <w:color w:val="000000"/>
                <w:sz w:val="21"/>
                <w:szCs w:val="21"/>
                <w:lang w:val="en-US" w:eastAsia="zh-CN"/>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注：提供保险合同或承诺函加盖公章。</w:t>
            </w:r>
            <w:r>
              <w:rPr>
                <w:rFonts w:hint="eastAsia" w:ascii="宋体" w:hAnsi="宋体" w:eastAsia="宋体" w:cs="宋体"/>
                <w:b w:val="0"/>
                <w:bCs w:val="0"/>
                <w:color w:val="000000"/>
                <w:sz w:val="21"/>
                <w:szCs w:val="21"/>
                <w:lang w:val="en-US" w:eastAsia="zh-CN"/>
              </w:rPr>
            </w:r>
            <w:r/>
          </w:p>
        </w:tc>
      </w:tr>
      <w:tr>
        <w:trPr>
          <w:trHeight w:val="1288"/>
        </w:trPr>
        <w:tc>
          <w:tcPr>
            <w:tcW w:w="596" w:type="dxa"/>
            <w:vAlign w:val="center"/>
            <w:textDirection w:val="lrTb"/>
            <w:noWrap w:val="false"/>
          </w:tcPr>
          <w:p>
            <w:pPr>
              <w:pStyle w:val="1276"/>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eastAsia="zh-CN" w:bidi="ar"/>
              </w:rPr>
            </w:r>
            <w:r/>
          </w:p>
        </w:tc>
        <w:tc>
          <w:tcPr>
            <w:tcW w:w="607" w:type="dxa"/>
            <w:vAlign w:val="center"/>
            <w:textDirection w:val="lrTb"/>
            <w:noWrap w:val="false"/>
          </w:tcPr>
          <w:p>
            <w:pPr>
              <w:pStyle w:val="1276"/>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color w:val="000000"/>
                <w:sz w:val="21"/>
                <w:szCs w:val="21"/>
                <w:highlight w:val="none"/>
                <w:lang w:val="en-US" w:eastAsia="zh-CN"/>
              </w:rPr>
              <w:t xml:space="preserve">仓储场地</w:t>
            </w:r>
            <w:r>
              <w:rPr>
                <w:rFonts w:hint="eastAsia" w:ascii="宋体" w:hAnsi="宋体" w:eastAsia="宋体" w:cs="宋体"/>
                <w:b w:val="0"/>
                <w:bCs w:val="0"/>
                <w:color w:val="000000"/>
                <w:sz w:val="21"/>
                <w:szCs w:val="21"/>
                <w:lang w:val="en-US" w:eastAsia="zh-CN"/>
              </w:rPr>
            </w:r>
            <w:r/>
          </w:p>
        </w:tc>
        <w:tc>
          <w:tcPr>
            <w:tcW w:w="387" w:type="dxa"/>
            <w:vAlign w:val="center"/>
            <w:textDirection w:val="lrTb"/>
            <w:noWrap w:val="false"/>
          </w:tcPr>
          <w:p>
            <w:pPr>
              <w:pStyle w:val="1276"/>
              <w:jc w:val="center"/>
              <w:keepLines w:val="0"/>
              <w:keepNext w:val="0"/>
              <w:pageBreakBefore w:val="0"/>
              <w:spacing w:line="480" w:lineRule="exact"/>
              <w:widowControl w:val="off"/>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w:t>
            </w:r>
            <w:r>
              <w:rPr>
                <w:rFonts w:ascii="宋体" w:hAnsi="宋体" w:eastAsia="宋体" w:cs="宋体"/>
                <w:b w:val="0"/>
                <w:bCs w:val="0"/>
                <w:color w:val="000000"/>
                <w:sz w:val="21"/>
                <w:szCs w:val="21"/>
                <w:lang w:val="en-US" w:eastAsia="zh-CN"/>
              </w:rPr>
            </w:r>
            <w:r/>
          </w:p>
        </w:tc>
        <w:tc>
          <w:tcPr>
            <w:tcW w:w="3711" w:type="dxa"/>
            <w:vAlign w:val="top"/>
            <w:textDirection w:val="lrTb"/>
            <w:noWrap w:val="false"/>
          </w:tcPr>
          <w:p>
            <w:pPr>
              <w:pStyle w:val="1276"/>
              <w:keepLines w:val="0"/>
              <w:keepNext w:val="0"/>
              <w:pageBreakBefore w:val="0"/>
              <w:spacing w:line="480" w:lineRule="exact"/>
              <w:widowControl w:val="off"/>
              <w:rPr>
                <w:rFonts w:ascii="Times New Roman" w:hAnsi="Times New Roman" w:eastAsia="宋体" w:cs="Times New Roman"/>
                <w:color w:val="000000"/>
                <w:sz w:val="21"/>
                <w:szCs w:val="21"/>
                <w:highlight w:val="none"/>
                <w:lang w:val="en-US" w:eastAsia="en-US"/>
              </w:rPr>
            </w:pPr>
            <w:r>
              <w:rPr>
                <w:rFonts w:ascii="Times New Roman" w:hAnsi="Times New Roman" w:eastAsia="宋体" w:cs="Times New Roman"/>
                <w:color w:val="000000"/>
                <w:sz w:val="21"/>
                <w:szCs w:val="21"/>
                <w:highlight w:val="none"/>
                <w:lang w:val="en-US" w:eastAsia="en-US"/>
              </w:rPr>
              <w:t xml:space="preserve">供应商具备常温仓储场地的得</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en-US"/>
              </w:rPr>
              <w:t xml:space="preserve">分；不具备常温仓储场地不得分。</w:t>
            </w:r>
            <w:r>
              <w:rPr>
                <w:rFonts w:ascii="Times New Roman" w:hAnsi="Times New Roman" w:eastAsia="宋体" w:cs="Times New Roman"/>
                <w:color w:val="000000"/>
                <w:sz w:val="21"/>
                <w:szCs w:val="21"/>
                <w:highlight w:val="none"/>
                <w:lang w:val="en-US" w:eastAsia="en-US"/>
              </w:rPr>
            </w:r>
            <w:r/>
          </w:p>
          <w:p>
            <w:pPr>
              <w:pStyle w:val="1276"/>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ascii="Times New Roman" w:hAnsi="Times New Roman" w:eastAsia="宋体" w:cs="Times New Roman"/>
                <w:color w:val="000000"/>
                <w:sz w:val="21"/>
                <w:szCs w:val="21"/>
                <w:highlight w:val="none"/>
                <w:lang w:val="en-US" w:eastAsia="en-US"/>
              </w:rPr>
              <w:t xml:space="preserve">注：场地可以为自有或租赁方式，自有场地提供自有产权证明，租赁场地提供租赁证明（租赁合同及对应租赁费付款发票）。</w:t>
            </w:r>
            <w:r>
              <w:rPr>
                <w:rFonts w:hint="eastAsia" w:ascii="宋体" w:hAnsi="宋体" w:eastAsia="宋体" w:cs="宋体"/>
                <w:b w:val="0"/>
                <w:bCs w:val="0"/>
                <w:color w:val="000000"/>
                <w:sz w:val="21"/>
                <w:szCs w:val="21"/>
                <w:lang w:val="en-US" w:eastAsia="zh-CN"/>
              </w:rPr>
            </w:r>
            <w:r/>
          </w:p>
        </w:tc>
      </w:tr>
    </w:tbl>
    <w:p>
      <w:pPr>
        <w:pStyle w:val="1276"/>
        <w:jc w:val="left"/>
        <w:spacing w:line="240" w:lineRule="auto"/>
        <w:widowControl/>
        <w:rPr>
          <w:rFonts w:ascii="Arial" w:hAnsi="Arial" w:cs="Arial"/>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outlineLvl w:val="9"/>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bCs/>
          <w:color w:val="000000"/>
          <w:szCs w:val="21"/>
        </w:rPr>
      </w:r>
      <w:r/>
    </w:p>
    <w:p>
      <w:pPr>
        <w:pStyle w:val="1276"/>
        <w:jc w:val="center"/>
        <w:spacing w:line="440" w:lineRule="exact"/>
        <w:rPr>
          <w:rFonts w:ascii="Arial" w:hAnsi="Arial" w:cs="Arial"/>
          <w:b/>
          <w:sz w:val="28"/>
          <w:szCs w:val="28"/>
        </w:rPr>
        <w:outlineLvl w:val="0"/>
      </w:pPr>
      <w:r/>
      <w:bookmarkStart w:id="475" w:name="_Toc252"/>
      <w:r/>
      <w:bookmarkStart w:id="476" w:name="_Toc17106"/>
      <w:r/>
      <w:bookmarkStart w:id="477" w:name="_Toc2732"/>
      <w:r/>
      <w:bookmarkStart w:id="478" w:name="_Toc16064"/>
      <w:r/>
      <w:bookmarkStart w:id="479" w:name="_Toc21541"/>
      <w:r/>
      <w:bookmarkStart w:id="480" w:name="_Toc7749"/>
      <w:r/>
      <w:bookmarkStart w:id="481" w:name="_Toc14560"/>
      <w:r/>
      <w:bookmarkStart w:id="482" w:name="_Toc27742"/>
      <w:r/>
      <w:bookmarkStart w:id="483" w:name="_Toc19691"/>
      <w:r>
        <w:rPr>
          <w:rFonts w:ascii="Arial" w:hAnsi="Arial" w:cs="Arial"/>
          <w:b/>
          <w:sz w:val="28"/>
          <w:szCs w:val="28"/>
        </w:rPr>
        <w:t xml:space="preserve">第四章 招标</w:t>
      </w:r>
      <w:bookmarkEnd w:id="475"/>
      <w:r/>
      <w:bookmarkEnd w:id="476"/>
      <w:r>
        <w:rPr>
          <w:rFonts w:ascii="Arial" w:hAnsi="Arial" w:cs="Arial"/>
          <w:b/>
          <w:sz w:val="28"/>
          <w:szCs w:val="28"/>
        </w:rPr>
        <w:t xml:space="preserve">技术规格及要求</w:t>
      </w:r>
      <w:bookmarkEnd w:id="477"/>
      <w:r/>
      <w:bookmarkEnd w:id="478"/>
      <w:r/>
      <w:bookmarkEnd w:id="479"/>
      <w:r/>
      <w:bookmarkEnd w:id="480"/>
      <w:r/>
      <w:bookmarkEnd w:id="481"/>
      <w:r/>
      <w:bookmarkEnd w:id="482"/>
      <w:r>
        <w:rPr>
          <w:rFonts w:ascii="Arial" w:hAnsi="Arial" w:cs="Arial"/>
          <w:b/>
          <w:sz w:val="28"/>
          <w:szCs w:val="28"/>
        </w:rPr>
      </w:r>
      <w:r/>
    </w:p>
    <w:p>
      <w:pPr>
        <w:pStyle w:val="1276"/>
        <w:spacing w:line="360" w:lineRule="auto"/>
        <w:rPr>
          <w:rFonts w:hint="eastAsia" w:ascii="Arial" w:hAnsi="Arial" w:cs="Arial"/>
          <w:b/>
          <w:bCs/>
        </w:rPr>
      </w:pPr>
      <w:r/>
      <w:bookmarkStart w:id="484" w:name="_Hlk65069040"/>
      <w:r>
        <w:rPr>
          <w:rFonts w:hint="eastAsia" w:ascii="Arial" w:hAnsi="Arial" w:cs="Arial"/>
          <w:b/>
          <w:bCs/>
        </w:rPr>
        <w:t xml:space="preserve">一、项目基本情况</w:t>
      </w:r>
      <w:r>
        <w:rPr>
          <w:rFonts w:hint="eastAsia" w:ascii="Arial" w:hAnsi="Arial" w:cs="Arial"/>
          <w:b/>
          <w:bCs/>
        </w:rPr>
      </w:r>
      <w:r/>
    </w:p>
    <w:tbl>
      <w:tblPr>
        <w:tblW w:w="4727" w:type="pct"/>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3553"/>
        <w:gridCol w:w="3154"/>
        <w:gridCol w:w="1719"/>
      </w:tblGrid>
      <w:tr>
        <w:trPr>
          <w:trHeight w:val="624"/>
        </w:trPr>
        <w:tc>
          <w:tcPr>
            <w:tcW w:w="478" w:type="dxa"/>
            <w:vAlign w:val="center"/>
            <w:textDirection w:val="lrTb"/>
            <w:noWrap w:val="false"/>
          </w:tcPr>
          <w:p>
            <w:pPr>
              <w:pStyle w:val="1276"/>
              <w:jc w:val="center"/>
              <w:spacing w:line="360" w:lineRule="auto"/>
              <w:rPr>
                <w:rFonts w:ascii="宋体" w:hAnsi="宋体" w:cs="宋体"/>
                <w:b/>
                <w:bCs/>
                <w:szCs w:val="21"/>
              </w:rPr>
            </w:pPr>
            <w:r>
              <w:rPr>
                <w:rFonts w:hint="eastAsia" w:ascii="宋体" w:hAnsi="宋体" w:cs="宋体"/>
                <w:b/>
                <w:bCs/>
                <w:szCs w:val="21"/>
              </w:rPr>
              <w:t xml:space="preserve">包号</w:t>
            </w:r>
            <w:r>
              <w:rPr>
                <w:rFonts w:ascii="宋体" w:hAnsi="宋体" w:cs="宋体"/>
                <w:b/>
                <w:bCs/>
                <w:szCs w:val="21"/>
              </w:rPr>
            </w:r>
            <w:r/>
          </w:p>
        </w:tc>
        <w:tc>
          <w:tcPr>
            <w:tcW w:w="1906" w:type="dxa"/>
            <w:vAlign w:val="center"/>
            <w:textDirection w:val="lrTb"/>
            <w:noWrap w:val="false"/>
          </w:tcPr>
          <w:p>
            <w:pPr>
              <w:pStyle w:val="1276"/>
              <w:jc w:val="center"/>
              <w:spacing w:line="360" w:lineRule="auto"/>
              <w:rPr>
                <w:rFonts w:ascii="宋体" w:hAnsi="宋体" w:cs="宋体"/>
                <w:b/>
                <w:bCs/>
                <w:szCs w:val="21"/>
              </w:rPr>
            </w:pPr>
            <w:r>
              <w:rPr>
                <w:rFonts w:hint="eastAsia" w:ascii="宋体" w:hAnsi="宋体" w:cs="宋体"/>
                <w:b/>
                <w:bCs/>
                <w:szCs w:val="21"/>
              </w:rPr>
              <w:t xml:space="preserve">包名称</w:t>
            </w:r>
            <w:r>
              <w:rPr>
                <w:rFonts w:ascii="宋体" w:hAnsi="宋体" w:cs="宋体"/>
                <w:b/>
                <w:bCs/>
                <w:szCs w:val="21"/>
              </w:rPr>
            </w:r>
            <w:r/>
          </w:p>
        </w:tc>
        <w:tc>
          <w:tcPr>
            <w:tcW w:w="1692" w:type="dxa"/>
            <w:vAlign w:val="center"/>
            <w:textDirection w:val="lrTb"/>
            <w:noWrap w:val="false"/>
          </w:tcPr>
          <w:p>
            <w:pPr>
              <w:pStyle w:val="1276"/>
              <w:jc w:val="center"/>
              <w:spacing w:line="360" w:lineRule="auto"/>
              <w:rPr>
                <w:rFonts w:ascii="宋体" w:hAnsi="宋体" w:cs="宋体"/>
                <w:b/>
                <w:bCs/>
                <w:szCs w:val="21"/>
              </w:rPr>
            </w:pPr>
            <w:r>
              <w:rPr>
                <w:rFonts w:hint="eastAsia" w:ascii="宋体" w:hAnsi="宋体" w:cs="宋体"/>
                <w:b/>
                <w:bCs/>
                <w:szCs w:val="21"/>
              </w:rPr>
              <w:t xml:space="preserve">合同履行期限</w:t>
            </w:r>
            <w:r>
              <w:rPr>
                <w:rFonts w:ascii="宋体" w:hAnsi="宋体" w:cs="宋体"/>
                <w:b/>
                <w:bCs/>
                <w:szCs w:val="21"/>
              </w:rPr>
            </w:r>
            <w:r/>
          </w:p>
        </w:tc>
        <w:tc>
          <w:tcPr>
            <w:tcW w:w="922" w:type="dxa"/>
            <w:vAlign w:val="center"/>
            <w:textDirection w:val="lrTb"/>
            <w:noWrap w:val="false"/>
          </w:tcPr>
          <w:p>
            <w:pPr>
              <w:pStyle w:val="1276"/>
              <w:jc w:val="center"/>
              <w:spacing w:line="360" w:lineRule="auto"/>
              <w:rPr>
                <w:rFonts w:ascii="宋体" w:hAnsi="宋体" w:cs="宋体"/>
                <w:b/>
                <w:bCs/>
                <w:szCs w:val="21"/>
              </w:rPr>
            </w:pPr>
            <w:r>
              <w:rPr>
                <w:rFonts w:hint="eastAsia" w:ascii="宋体" w:hAnsi="宋体" w:cs="宋体"/>
                <w:b/>
                <w:bCs/>
                <w:szCs w:val="21"/>
              </w:rPr>
              <w:t xml:space="preserve">预算金额</w:t>
            </w:r>
            <w:r>
              <w:rPr>
                <w:rFonts w:ascii="宋体" w:hAnsi="宋体" w:cs="宋体"/>
                <w:b/>
                <w:bCs/>
                <w:szCs w:val="21"/>
              </w:rPr>
            </w:r>
            <w:r/>
          </w:p>
          <w:p>
            <w:pPr>
              <w:pStyle w:val="1276"/>
              <w:jc w:val="center"/>
              <w:spacing w:line="360" w:lineRule="auto"/>
              <w:rPr>
                <w:rFonts w:ascii="宋体" w:hAnsi="宋体" w:cs="宋体"/>
                <w:b/>
                <w:bCs/>
                <w:szCs w:val="21"/>
              </w:rPr>
            </w:pPr>
            <w:r>
              <w:rPr>
                <w:rFonts w:hint="eastAsia" w:ascii="宋体" w:hAnsi="宋体" w:cs="宋体"/>
                <w:b/>
                <w:bCs/>
                <w:szCs w:val="21"/>
              </w:rPr>
              <w:t xml:space="preserve">（万元）</w:t>
            </w:r>
            <w:r>
              <w:rPr>
                <w:rFonts w:ascii="宋体" w:hAnsi="宋体" w:cs="宋体"/>
                <w:b/>
                <w:bCs/>
                <w:szCs w:val="21"/>
              </w:rPr>
            </w:r>
            <w:r/>
          </w:p>
        </w:tc>
      </w:tr>
      <w:tr>
        <w:trPr>
          <w:trHeight w:val="624"/>
        </w:trPr>
        <w:tc>
          <w:tcPr>
            <w:tcW w:w="478"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06"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肉类</w:t>
            </w:r>
            <w:r>
              <w:rPr>
                <w:rFonts w:ascii="宋体" w:hAnsi="宋体" w:eastAsia="宋体" w:cs="宋体"/>
                <w:szCs w:val="21"/>
                <w:lang w:val="en-US" w:eastAsia="zh-CN"/>
              </w:rPr>
            </w:r>
            <w:r/>
          </w:p>
        </w:tc>
        <w:tc>
          <w:tcPr>
            <w:tcW w:w="1692" w:type="dxa"/>
            <w:vAlign w:val="center"/>
            <w:vMerge w:val="restart"/>
            <w:textDirection w:val="lrTb"/>
            <w:noWrap w:val="false"/>
          </w:tcPr>
          <w:p>
            <w:pPr>
              <w:pStyle w:val="1276"/>
              <w:jc w:val="center"/>
              <w:spacing w:line="360" w:lineRule="auto"/>
              <w:rPr>
                <w:rFonts w:ascii="宋体" w:hAnsi="宋体" w:eastAsia="宋体" w:cs="宋体"/>
                <w:szCs w:val="21"/>
                <w:lang w:val="en-US" w:eastAsia="zh-CN"/>
              </w:rPr>
            </w:pPr>
            <w:r>
              <w:rPr>
                <w:rFonts w:hint="eastAsia"/>
                <w:lang w:val="en-US" w:eastAsia="zh-CN"/>
              </w:rPr>
              <w:t xml:space="preserve">合同签订后1年</w:t>
            </w:r>
            <w:r>
              <w:rPr>
                <w:rFonts w:ascii="宋体" w:hAnsi="宋体" w:eastAsia="宋体" w:cs="宋体"/>
                <w:szCs w:val="21"/>
                <w:lang w:val="en-US" w:eastAsia="zh-CN"/>
              </w:rPr>
            </w:r>
            <w:r/>
          </w:p>
        </w:tc>
        <w:tc>
          <w:tcPr>
            <w:tcW w:w="922"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lang w:val="en-US" w:eastAsia="zh-CN"/>
              </w:rPr>
              <w:t xml:space="preserve">95</w:t>
            </w:r>
            <w:r>
              <w:rPr>
                <w:rFonts w:hint="eastAsia" w:ascii="宋体" w:hAnsi="宋体" w:cs="宋体"/>
                <w:szCs w:val="21"/>
              </w:rPr>
              <w:t xml:space="preserve">.00</w:t>
            </w:r>
            <w:r>
              <w:rPr>
                <w:rFonts w:ascii="宋体" w:hAnsi="宋体" w:cs="宋体"/>
                <w:szCs w:val="21"/>
              </w:rPr>
            </w:r>
            <w:r/>
          </w:p>
        </w:tc>
      </w:tr>
      <w:tr>
        <w:trPr>
          <w:trHeight w:val="624"/>
        </w:trPr>
        <w:tc>
          <w:tcPr>
            <w:tcW w:w="478"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06"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bCs/>
                <w:szCs w:val="22"/>
                <w:lang w:val="en-US" w:eastAsia="zh-CN"/>
              </w:rPr>
              <w:t xml:space="preserve">冷冻类</w:t>
            </w:r>
            <w:r>
              <w:rPr>
                <w:rFonts w:ascii="宋体" w:hAnsi="宋体" w:eastAsia="宋体" w:cs="宋体"/>
                <w:szCs w:val="21"/>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lang w:val="en-US" w:eastAsia="zh-CN"/>
              </w:rPr>
              <w:t xml:space="preserve">30</w:t>
            </w:r>
            <w:r>
              <w:rPr>
                <w:rFonts w:hint="eastAsia" w:ascii="宋体" w:hAnsi="宋体" w:cs="宋体"/>
                <w:szCs w:val="21"/>
              </w:rPr>
              <w:t xml:space="preserve">.00</w:t>
            </w:r>
            <w:r>
              <w:rPr>
                <w:rFonts w:ascii="宋体" w:hAnsi="宋体" w:cs="宋体"/>
                <w:szCs w:val="21"/>
              </w:rPr>
            </w:r>
            <w:r/>
          </w:p>
        </w:tc>
      </w:tr>
      <w:tr>
        <w:trPr>
          <w:trHeight w:val="624"/>
        </w:trPr>
        <w:tc>
          <w:tcPr>
            <w:tcW w:w="478"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06"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水产类</w:t>
            </w:r>
            <w:r>
              <w:rPr>
                <w:rFonts w:ascii="宋体" w:hAnsi="宋体" w:eastAsia="宋体" w:cs="宋体"/>
                <w:szCs w:val="21"/>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cs="宋体"/>
                <w:szCs w:val="21"/>
              </w:rPr>
            </w:pPr>
            <w:r>
              <w:rPr>
                <w:rFonts w:hint="eastAsia" w:ascii="宋体" w:hAnsi="宋体" w:cs="宋体"/>
                <w:szCs w:val="21"/>
              </w:rPr>
              <w:t xml:space="preserve">40.00</w:t>
            </w:r>
            <w:r>
              <w:rPr>
                <w:rFonts w:ascii="宋体" w:hAnsi="宋体" w:cs="宋体"/>
                <w:szCs w:val="21"/>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ascii="宋体" w:hAnsi="宋体" w:eastAsia="宋体" w:cs="宋体"/>
                <w:bCs/>
                <w:szCs w:val="22"/>
                <w:lang w:val="en-US" w:eastAsia="zh-CN"/>
              </w:rPr>
            </w:pPr>
            <w:r>
              <w:rPr>
                <w:rFonts w:hint="eastAsia" w:ascii="宋体" w:hAnsi="宋体" w:cs="宋体"/>
                <w:bCs/>
                <w:szCs w:val="22"/>
                <w:lang w:val="en-US" w:eastAsia="zh-CN"/>
              </w:rPr>
              <w:t xml:space="preserve">蔬菜禽蛋豆制品类</w:t>
            </w:r>
            <w:r>
              <w:rPr>
                <w:rFonts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70</w:t>
            </w:r>
            <w:r>
              <w:rPr>
                <w:rFonts w:hint="eastAsia" w:ascii="宋体" w:hAnsi="宋体" w:cs="宋体"/>
                <w:szCs w:val="21"/>
              </w:rPr>
              <w:t xml:space="preserve">.00</w:t>
            </w:r>
            <w:r>
              <w:rPr>
                <w:rFonts w:ascii="宋体" w:hAnsi="宋体" w:eastAsia="宋体" w:cs="宋体"/>
                <w:szCs w:val="21"/>
                <w:lang w:val="en-US" w:eastAsia="zh-CN"/>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5</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hint="eastAsia" w:ascii="宋体" w:hAnsi="宋体" w:eastAsia="宋体" w:cs="宋体"/>
                <w:bCs/>
                <w:szCs w:val="22"/>
                <w:lang w:val="en-US" w:eastAsia="zh-CN"/>
              </w:rPr>
            </w:pPr>
            <w:r>
              <w:rPr>
                <w:rFonts w:hint="eastAsia" w:ascii="宋体" w:hAnsi="宋体" w:cs="宋体"/>
                <w:bCs/>
                <w:szCs w:val="22"/>
                <w:lang w:val="en-US" w:eastAsia="zh-CN"/>
              </w:rPr>
              <w:t xml:space="preserve">水果类</w:t>
            </w:r>
            <w:r>
              <w:rPr>
                <w:rFonts w:hint="eastAsia"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35</w:t>
            </w:r>
            <w:r>
              <w:rPr>
                <w:rFonts w:hint="eastAsia" w:ascii="宋体" w:hAnsi="宋体" w:cs="宋体"/>
                <w:szCs w:val="21"/>
              </w:rPr>
              <w:t xml:space="preserve">.00</w:t>
            </w:r>
            <w:r>
              <w:rPr>
                <w:rFonts w:ascii="宋体" w:hAnsi="宋体" w:eastAsia="宋体" w:cs="宋体"/>
                <w:szCs w:val="21"/>
                <w:lang w:val="en-US" w:eastAsia="zh-CN"/>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hint="eastAsia" w:ascii="宋体" w:hAnsi="宋体" w:eastAsia="宋体" w:cs="宋体"/>
                <w:bCs/>
                <w:szCs w:val="22"/>
                <w:lang w:val="en-US" w:eastAsia="zh-CN"/>
              </w:rPr>
            </w:pPr>
            <w:r>
              <w:rPr>
                <w:rFonts w:hint="eastAsia" w:ascii="宋体" w:hAnsi="宋体" w:cs="宋体"/>
                <w:bCs/>
                <w:szCs w:val="22"/>
                <w:lang w:val="en-US" w:eastAsia="zh-CN"/>
              </w:rPr>
              <w:t xml:space="preserve">奶制品类</w:t>
            </w:r>
            <w:r>
              <w:rPr>
                <w:rFonts w:hint="eastAsia"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50</w:t>
            </w:r>
            <w:r>
              <w:rPr>
                <w:rFonts w:hint="eastAsia" w:ascii="宋体" w:hAnsi="宋体" w:cs="宋体"/>
                <w:szCs w:val="21"/>
              </w:rPr>
              <w:t xml:space="preserve">.00</w:t>
            </w:r>
            <w:r>
              <w:rPr>
                <w:rFonts w:ascii="宋体" w:hAnsi="宋体" w:eastAsia="宋体" w:cs="宋体"/>
                <w:szCs w:val="21"/>
                <w:lang w:val="en-US" w:eastAsia="zh-CN"/>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ascii="宋体" w:hAnsi="宋体" w:eastAsia="宋体" w:cs="宋体"/>
                <w:bCs/>
                <w:szCs w:val="22"/>
                <w:lang w:val="en-US" w:eastAsia="zh-CN"/>
              </w:rPr>
            </w:pPr>
            <w:r>
              <w:rPr>
                <w:rFonts w:hint="eastAsia" w:ascii="宋体" w:hAnsi="宋体" w:cs="宋体"/>
                <w:bCs/>
                <w:szCs w:val="22"/>
                <w:lang w:val="en-US" w:eastAsia="zh-CN"/>
              </w:rPr>
              <w:t xml:space="preserve">干货调料米面油类</w:t>
            </w:r>
            <w:r>
              <w:rPr>
                <w:rFonts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50</w:t>
            </w:r>
            <w:r>
              <w:rPr>
                <w:rFonts w:hint="eastAsia" w:ascii="宋体" w:hAnsi="宋体" w:cs="宋体"/>
                <w:szCs w:val="21"/>
              </w:rPr>
              <w:t xml:space="preserve">.00</w:t>
            </w:r>
            <w:r>
              <w:rPr>
                <w:rFonts w:ascii="宋体" w:hAnsi="宋体" w:eastAsia="宋体" w:cs="宋体"/>
                <w:szCs w:val="21"/>
                <w:lang w:val="en-US" w:eastAsia="zh-CN"/>
              </w:rPr>
            </w:r>
            <w:r/>
          </w:p>
        </w:tc>
      </w:tr>
      <w:tr>
        <w:trPr>
          <w:trHeight w:val="624"/>
        </w:trPr>
        <w:tc>
          <w:tcPr>
            <w:tcW w:w="47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c>
          <w:tcPr>
            <w:tcW w:w="1906" w:type="dxa"/>
            <w:vAlign w:val="center"/>
            <w:textDirection w:val="lrTb"/>
            <w:noWrap w:val="false"/>
          </w:tcPr>
          <w:p>
            <w:pPr>
              <w:pStyle w:val="1276"/>
              <w:jc w:val="center"/>
              <w:spacing w:line="360" w:lineRule="auto"/>
              <w:rPr>
                <w:rFonts w:ascii="宋体" w:hAnsi="宋体" w:eastAsia="宋体" w:cs="宋体"/>
                <w:bCs/>
                <w:szCs w:val="22"/>
                <w:lang w:val="en-US" w:eastAsia="zh-CN"/>
              </w:rPr>
            </w:pPr>
            <w:r>
              <w:rPr>
                <w:rFonts w:hint="eastAsia" w:ascii="宋体" w:hAnsi="宋体" w:cs="宋体"/>
                <w:bCs/>
                <w:szCs w:val="22"/>
                <w:lang w:val="en-US" w:eastAsia="zh-CN"/>
              </w:rPr>
              <w:t xml:space="preserve">面包、面点、熟食类</w:t>
            </w:r>
            <w:r>
              <w:rPr>
                <w:rFonts w:ascii="宋体" w:hAnsi="宋体" w:eastAsia="宋体" w:cs="宋体"/>
                <w:bCs/>
                <w:szCs w:val="22"/>
                <w:lang w:val="en-US" w:eastAsia="zh-CN"/>
              </w:rPr>
            </w:r>
            <w:r/>
          </w:p>
        </w:tc>
        <w:tc>
          <w:tcPr>
            <w:tcW w:w="1692" w:type="dxa"/>
            <w:vAlign w:val="center"/>
            <w:vMerge w:val="continue"/>
            <w:textDirection w:val="lrTb"/>
            <w:noWrap w:val="false"/>
          </w:tcPr>
          <w:p>
            <w:pPr>
              <w:pStyle w:val="1276"/>
              <w:jc w:val="center"/>
              <w:spacing w:line="360" w:lineRule="auto"/>
              <w:rPr>
                <w:rFonts w:ascii="宋体" w:hAnsi="宋体" w:cs="宋体"/>
                <w:szCs w:val="21"/>
              </w:rPr>
            </w:pPr>
            <w:r>
              <w:rPr>
                <w:rFonts w:ascii="宋体" w:hAnsi="宋体" w:cs="宋体"/>
                <w:szCs w:val="21"/>
              </w:rPr>
            </w:r>
            <w:r/>
          </w:p>
        </w:tc>
        <w:tc>
          <w:tcPr>
            <w:tcW w:w="922" w:type="dxa"/>
            <w:vAlign w:val="center"/>
            <w:textDirection w:val="lrTb"/>
            <w:noWrap w:val="false"/>
          </w:tcPr>
          <w:p>
            <w:pPr>
              <w:pStyle w:val="1276"/>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20</w:t>
            </w:r>
            <w:r>
              <w:rPr>
                <w:rFonts w:hint="eastAsia" w:ascii="宋体" w:hAnsi="宋体" w:cs="宋体"/>
                <w:szCs w:val="21"/>
              </w:rPr>
              <w:t xml:space="preserve">.00</w:t>
            </w:r>
            <w:r>
              <w:rPr>
                <w:rFonts w:ascii="宋体" w:hAnsi="宋体" w:eastAsia="宋体" w:cs="宋体"/>
                <w:szCs w:val="21"/>
                <w:lang w:val="en-US" w:eastAsia="zh-CN"/>
              </w:rPr>
            </w:r>
            <w:r/>
          </w:p>
        </w:tc>
      </w:tr>
    </w:tbl>
    <w:p>
      <w:pPr>
        <w:pStyle w:val="1276"/>
        <w:ind w:firstLine="422"/>
        <w:spacing w:line="360" w:lineRule="auto"/>
        <w:rPr>
          <w:rFonts w:hint="eastAsia" w:ascii="宋体" w:hAnsi="宋体" w:cs="宋体"/>
          <w:b/>
          <w:color w:val="000000"/>
          <w:szCs w:val="21"/>
          <w:lang w:val="en-US" w:eastAsia="zh-CN"/>
        </w:rPr>
      </w:pPr>
      <w:r>
        <w:rPr>
          <w:rFonts w:hint="eastAsia" w:ascii="宋体" w:hAnsi="宋体" w:cs="宋体"/>
          <w:b/>
          <w:color w:val="000000"/>
          <w:szCs w:val="21"/>
          <w:lang w:val="en-US" w:eastAsia="zh-CN"/>
        </w:rPr>
        <w:t xml:space="preserve">注：超过上述分包预算的报价作无效投标处理。</w:t>
      </w:r>
      <w:r>
        <w:rPr>
          <w:rFonts w:hint="eastAsia" w:ascii="宋体" w:hAnsi="宋体" w:cs="宋体"/>
          <w:b/>
          <w:color w:val="000000"/>
          <w:szCs w:val="21"/>
          <w:lang w:val="en-US" w:eastAsia="zh-CN"/>
        </w:rPr>
      </w:r>
      <w:r/>
    </w:p>
    <w:p>
      <w:pPr>
        <w:pStyle w:val="1276"/>
        <w:ind w:firstLine="422"/>
        <w:spacing w:line="360" w:lineRule="auto"/>
        <w:rPr>
          <w:rFonts w:ascii="宋体" w:hAnsi="宋体" w:cs="宋体"/>
          <w:b/>
          <w:color w:val="000000"/>
          <w:szCs w:val="21"/>
          <w:lang w:val="en-US" w:eastAsia="zh-CN"/>
        </w:rPr>
      </w:pPr>
      <w:r>
        <w:rPr>
          <w:rFonts w:ascii="宋体" w:hAnsi="宋体" w:cs="宋体"/>
          <w:b/>
          <w:color w:val="000000"/>
          <w:szCs w:val="21"/>
          <w:lang w:val="en-US" w:eastAsia="zh-CN"/>
        </w:rPr>
      </w:r>
      <w:r/>
    </w:p>
    <w:p>
      <w:pPr>
        <w:pStyle w:val="1276"/>
        <w:spacing w:line="360" w:lineRule="auto"/>
        <w:rPr>
          <w:rFonts w:hint="eastAsia" w:ascii="宋体" w:hAnsi="宋体" w:cs="宋体"/>
          <w:b/>
          <w:color w:val="000000"/>
          <w:szCs w:val="21"/>
        </w:rPr>
      </w:pPr>
      <w:r>
        <w:rPr>
          <w:rFonts w:hint="eastAsia" w:ascii="宋体" w:hAnsi="宋体" w:cs="宋体"/>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宋体"/>
          <w:b/>
          <w:color w:val="000000"/>
          <w:szCs w:val="21"/>
        </w:rPr>
      </w:r>
      <w:r/>
    </w:p>
    <w:p>
      <w:pPr>
        <w:pStyle w:val="1276"/>
        <w:spacing w:before="156" w:line="360" w:lineRule="auto"/>
        <w:widowControl/>
        <w:rPr>
          <w:rFonts w:hint="eastAsia" w:ascii="宋体" w:hAnsi="宋体" w:eastAsia="宋体"/>
          <w:b/>
          <w:bCs/>
          <w:sz w:val="32"/>
          <w:szCs w:val="32"/>
          <w:lang w:eastAsia="zh-CN"/>
        </w:rPr>
        <w:outlineLvl w:val="1"/>
      </w:pPr>
      <w:r/>
      <w:bookmarkEnd w:id="484"/>
      <w:r/>
      <w:bookmarkStart w:id="485" w:name="_Toc23805"/>
      <w:r/>
      <w:bookmarkStart w:id="486" w:name="_Toc24665"/>
      <w:r/>
      <w:bookmarkStart w:id="487" w:name="_Toc4290"/>
      <w:r/>
      <w:bookmarkStart w:id="488" w:name="_Toc10016"/>
      <w:r/>
      <w:bookmarkStart w:id="489" w:name="_Toc15066"/>
      <w:r/>
      <w:bookmarkStart w:id="490" w:name="_Toc14627"/>
      <w:r/>
      <w:bookmarkStart w:id="491" w:name="_Toc20865"/>
      <w:r/>
      <w:bookmarkStart w:id="492" w:name="_Toc23760"/>
      <w:r/>
      <w:bookmarkStart w:id="493" w:name="_Toc21299"/>
      <w:r/>
      <w:bookmarkStart w:id="494" w:name="_Toc31111"/>
      <w:r>
        <w:rPr>
          <w:rFonts w:hint="eastAsia" w:ascii="宋体" w:hAnsi="宋体" w:eastAsia="宋体" w:cs="宋体"/>
          <w:b/>
          <w:bCs/>
          <w:szCs w:val="21"/>
          <w:lang w:val="en-US" w:eastAsia="zh-CN"/>
        </w:rPr>
        <w:t xml:space="preserve">一、</w:t>
      </w:r>
      <w:r>
        <w:rPr>
          <w:rFonts w:hint="eastAsia" w:ascii="宋体" w:hAnsi="宋体"/>
          <w:b/>
          <w:bCs/>
          <w:szCs w:val="21"/>
        </w:rPr>
        <w:t xml:space="preserve">食材质量要求</w:t>
      </w:r>
      <w:bookmarkEnd w:id="485"/>
      <w:r/>
      <w:bookmarkEnd w:id="486"/>
      <w:r/>
      <w:bookmarkEnd w:id="487"/>
      <w:r/>
      <w:bookmarkEnd w:id="488"/>
      <w:r/>
      <w:bookmarkEnd w:id="489"/>
      <w:r/>
      <w:bookmarkEnd w:id="490"/>
      <w:r>
        <w:rPr>
          <w:rFonts w:hint="eastAsia" w:ascii="宋体" w:hAnsi="宋体" w:eastAsia="宋体"/>
          <w:b/>
          <w:bCs/>
          <w:sz w:val="32"/>
          <w:szCs w:val="32"/>
          <w:lang w:eastAsia="zh-CN"/>
        </w:rPr>
      </w:r>
      <w:r/>
    </w:p>
    <w:p>
      <w:pPr>
        <w:pStyle w:val="1276"/>
        <w:ind w:firstLine="210"/>
        <w:spacing w:line="360" w:lineRule="auto"/>
        <w:rPr>
          <w:rFonts w:ascii="宋体" w:hAnsi="宋体"/>
          <w:szCs w:val="21"/>
        </w:rPr>
      </w:pPr>
      <w:r>
        <w:rPr>
          <w:rFonts w:hint="eastAsia" w:ascii="宋体" w:hAnsi="宋体"/>
          <w:szCs w:val="21"/>
        </w:rPr>
        <w:t xml:space="preserve">（一）供应商承诺其所供的食材均符合《食品安全法》《食品安全法实施条例》《农产品质量安全法》、《动物检疫法》等相关法律法规及政策规定要求，符合国家食品安全标准与卫生检测标准，达到本次招标项目技术要求，保证卫生安全，具备相应的色、香、味等感官性状。同等条件下，通过认证的绿色食品、有机食品优先。</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二）供应商严禁配送变质、过期、假冒、伪劣、有毒、有害的货物，不得弄虚作假或以次充好，否则采购人有权要求退货或换货。因所供货物质量达不到国家有关食品安全标准而造成食物中毒或其它后果，由此所产生的一切法律责任和经济责任均由供应商承担。</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三）供应商应保证所提供的食材在保质期内的正确和合理使用，不会出现因预包装食品添加剂、营养强化剂和功效成分原料的添加、生产加工工艺、包装物、运输方式等的缺陷而产生的食品安全事故，并对因上述缺陷而产生的任何食品安全事故负责。</w:t>
      </w:r>
      <w:r>
        <w:rPr>
          <w:rFonts w:ascii="宋体" w:hAnsi="宋体"/>
          <w:szCs w:val="21"/>
        </w:rPr>
      </w:r>
      <w:r/>
    </w:p>
    <w:p>
      <w:pPr>
        <w:pStyle w:val="1276"/>
        <w:jc w:val="left"/>
        <w:spacing w:line="360" w:lineRule="auto"/>
        <w:widowControl/>
        <w:rPr>
          <w:rFonts w:ascii="宋体" w:hAnsi="宋体"/>
          <w:szCs w:val="21"/>
          <w:highlight w:val="none"/>
        </w:rPr>
      </w:pPr>
      <w:r>
        <w:rPr>
          <w:rFonts w:hint="eastAsia" w:ascii="宋体" w:hAnsi="宋体"/>
          <w:szCs w:val="21"/>
          <w:highlight w:val="none"/>
        </w:rPr>
        <w:t xml:space="preserve">  （四）一经发现供应以下食材，供应商除全部退货外并没收</w:t>
      </w:r>
      <w:r>
        <w:rPr>
          <w:rFonts w:hint="eastAsia" w:ascii="宋体" w:hAnsi="宋体"/>
          <w:color w:val="000000"/>
          <w:szCs w:val="21"/>
          <w:highlight w:val="none"/>
        </w:rPr>
        <w:t xml:space="preserve">全部</w:t>
      </w:r>
      <w:r>
        <w:rPr>
          <w:rFonts w:hint="eastAsia" w:ascii="宋体" w:hAnsi="宋体"/>
          <w:color w:val="000000"/>
          <w:szCs w:val="21"/>
          <w:highlight w:val="none"/>
          <w:lang w:val="en-US" w:eastAsia="zh-CN"/>
        </w:rPr>
        <w:t xml:space="preserve">货款</w:t>
      </w:r>
      <w:r>
        <w:rPr>
          <w:rFonts w:hint="eastAsia" w:ascii="宋体" w:hAnsi="宋体"/>
          <w:szCs w:val="21"/>
          <w:highlight w:val="none"/>
        </w:rPr>
        <w:t xml:space="preserve">，同时还应承担由此造成的经济责任和法律责任：</w:t>
      </w:r>
      <w:r>
        <w:rPr>
          <w:rFonts w:ascii="宋体" w:hAnsi="宋体"/>
          <w:szCs w:val="21"/>
          <w:highlight w:val="none"/>
        </w:rPr>
      </w:r>
      <w:r/>
    </w:p>
    <w:p>
      <w:pPr>
        <w:pStyle w:val="1276"/>
        <w:ind w:firstLine="420"/>
        <w:jc w:val="left"/>
        <w:spacing w:line="360" w:lineRule="auto"/>
        <w:widowControl/>
        <w:rPr>
          <w:rFonts w:ascii="宋体" w:hAnsi="宋体"/>
          <w:szCs w:val="21"/>
        </w:rPr>
      </w:pPr>
      <w:r>
        <w:rPr>
          <w:rFonts w:hint="eastAsia" w:ascii="宋体" w:hAnsi="宋体"/>
          <w:szCs w:val="21"/>
        </w:rPr>
        <w:t xml:space="preserve">1、腐败变质、霉变、生虫、污秽不洁、混有异物或者其他感官性状异常，对人体健康有害的；</w:t>
      </w:r>
      <w:r>
        <w:rPr>
          <w:rFonts w:ascii="宋体" w:hAnsi="宋体"/>
          <w:szCs w:val="21"/>
        </w:rPr>
      </w:r>
      <w:r/>
    </w:p>
    <w:p>
      <w:pPr>
        <w:pStyle w:val="1276"/>
        <w:ind w:firstLine="420"/>
        <w:jc w:val="left"/>
        <w:spacing w:line="360" w:lineRule="auto"/>
        <w:widowControl/>
        <w:rPr>
          <w:rFonts w:ascii="宋体" w:hAnsi="宋体"/>
          <w:szCs w:val="21"/>
        </w:rPr>
      </w:pPr>
      <w:r>
        <w:rPr>
          <w:rFonts w:hint="eastAsia" w:ascii="宋体" w:hAnsi="宋体"/>
          <w:szCs w:val="21"/>
        </w:rPr>
        <w:t xml:space="preserve">2、含有毒、有害物质或者被有害物质污染，对人体健康有害的；含有严重超出标准限量的农药残留、重金属、污染物质以及其他危害人体健康的；</w:t>
      </w:r>
      <w:r>
        <w:rPr>
          <w:rFonts w:ascii="宋体" w:hAnsi="宋体"/>
          <w:szCs w:val="21"/>
        </w:rPr>
      </w:r>
      <w:r/>
    </w:p>
    <w:p>
      <w:pPr>
        <w:pStyle w:val="1276"/>
        <w:ind w:firstLine="420"/>
        <w:jc w:val="left"/>
        <w:spacing w:line="360" w:lineRule="auto"/>
        <w:widowControl/>
        <w:rPr>
          <w:rFonts w:ascii="宋体" w:hAnsi="宋体"/>
          <w:szCs w:val="21"/>
        </w:rPr>
      </w:pPr>
      <w:r>
        <w:rPr>
          <w:rFonts w:hint="eastAsia" w:ascii="宋体" w:hAnsi="宋体"/>
          <w:szCs w:val="21"/>
        </w:rPr>
        <w:t xml:space="preserve">3、含有致病性寄生虫、微生物或者微生物含量超过国家限定标准的； </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4、掺假、掺杂、伪造，影响营养、卫生的； </w:t>
      </w:r>
      <w:r>
        <w:rPr>
          <w:rFonts w:ascii="宋体" w:hAnsi="宋体"/>
          <w:szCs w:val="21"/>
        </w:rPr>
      </w:r>
      <w:r/>
    </w:p>
    <w:p>
      <w:pPr>
        <w:pStyle w:val="1276"/>
        <w:ind w:firstLine="420"/>
        <w:jc w:val="left"/>
        <w:spacing w:line="360" w:lineRule="auto"/>
        <w:widowControl/>
        <w:rPr>
          <w:rFonts w:ascii="宋体" w:hAnsi="宋体"/>
          <w:szCs w:val="21"/>
        </w:rPr>
      </w:pPr>
      <w:r>
        <w:rPr>
          <w:rFonts w:hint="eastAsia" w:ascii="宋体" w:hAnsi="宋体"/>
          <w:szCs w:val="21"/>
        </w:rPr>
        <w:t xml:space="preserve">5、超过保质期限的；</w:t>
      </w:r>
      <w:r>
        <w:rPr>
          <w:rFonts w:ascii="宋体" w:hAnsi="宋体"/>
          <w:szCs w:val="21"/>
        </w:rPr>
      </w:r>
      <w:r/>
    </w:p>
    <w:p>
      <w:pPr>
        <w:pStyle w:val="1276"/>
        <w:ind w:firstLine="420"/>
        <w:jc w:val="left"/>
        <w:spacing w:line="360" w:lineRule="auto"/>
        <w:widowControl/>
        <w:rPr>
          <w:rFonts w:ascii="宋体" w:hAnsi="宋体"/>
          <w:szCs w:val="21"/>
        </w:rPr>
      </w:pPr>
      <w:r>
        <w:rPr>
          <w:rFonts w:hint="eastAsia" w:ascii="宋体" w:hAnsi="宋体"/>
          <w:szCs w:val="21"/>
        </w:rPr>
        <w:t xml:space="preserve">6、其他经相关部门及采购人确认的质量问题。</w:t>
      </w:r>
      <w:r>
        <w:rPr>
          <w:rFonts w:ascii="宋体" w:hAnsi="宋体"/>
          <w:szCs w:val="21"/>
        </w:rPr>
      </w:r>
      <w:r/>
    </w:p>
    <w:p>
      <w:pPr>
        <w:pStyle w:val="1276"/>
        <w:spacing w:line="360" w:lineRule="auto"/>
        <w:rPr>
          <w:rFonts w:ascii="宋体" w:hAnsi="宋体"/>
          <w:b/>
          <w:bCs/>
          <w:szCs w:val="21"/>
        </w:rPr>
      </w:pPr>
      <w:r>
        <w:rPr>
          <w:rFonts w:hint="eastAsia" w:ascii="宋体" w:hAnsi="宋体"/>
          <w:szCs w:val="21"/>
        </w:rPr>
        <w:t xml:space="preserve">  （五）如食材采用封闭包装的，每个包装上应能够直接看清生产日期及产品合格证。标签上必须标有清晰的生产许可证编号、生产厂家、厂址、生产日期、保质期等标识，预包装食材上的标签必须符合《食品安全法》第四十二条中关于预包装食品标签的相关规定。</w:t>
      </w:r>
      <w:r>
        <w:rPr>
          <w:rFonts w:ascii="宋体" w:hAnsi="宋体"/>
          <w:b/>
          <w:bCs/>
          <w:szCs w:val="21"/>
        </w:rPr>
      </w:r>
      <w:r/>
    </w:p>
    <w:p>
      <w:pPr>
        <w:pStyle w:val="1276"/>
        <w:jc w:val="left"/>
        <w:spacing w:line="360" w:lineRule="auto"/>
        <w:widowControl/>
        <w:rPr>
          <w:rFonts w:ascii="宋体" w:hAnsi="宋体"/>
          <w:b/>
          <w:bCs/>
          <w:szCs w:val="21"/>
        </w:rPr>
        <w:outlineLvl w:val="1"/>
      </w:pPr>
      <w:r/>
      <w:bookmarkStart w:id="495" w:name="_Toc13836"/>
      <w:r/>
      <w:bookmarkStart w:id="496" w:name="_Toc19770"/>
      <w:r/>
      <w:bookmarkStart w:id="497" w:name="_Toc12801"/>
      <w:r/>
      <w:bookmarkStart w:id="498" w:name="_Toc26593"/>
      <w:r/>
      <w:bookmarkStart w:id="499" w:name="_Toc10488"/>
      <w:r>
        <w:rPr>
          <w:rFonts w:hint="eastAsia" w:ascii="宋体" w:hAnsi="宋体" w:eastAsia="宋体" w:cs="宋体"/>
          <w:b/>
          <w:bCs/>
          <w:szCs w:val="21"/>
          <w:lang w:val="en-US" w:eastAsia="zh-CN"/>
        </w:rPr>
        <w:t xml:space="preserve">二、</w:t>
      </w:r>
      <w:r>
        <w:rPr>
          <w:rFonts w:hint="eastAsia" w:ascii="宋体" w:hAnsi="宋体"/>
          <w:b/>
          <w:bCs/>
          <w:szCs w:val="21"/>
        </w:rPr>
        <w:t xml:space="preserve">人员管理及仓储要求</w:t>
      </w:r>
      <w:bookmarkEnd w:id="495"/>
      <w:r/>
      <w:bookmarkEnd w:id="496"/>
      <w:r/>
      <w:bookmarkEnd w:id="497"/>
      <w:r/>
      <w:bookmarkEnd w:id="498"/>
      <w:r/>
      <w:bookmarkEnd w:id="499"/>
      <w:r>
        <w:rPr>
          <w:rFonts w:ascii="宋体" w:hAnsi="宋体"/>
          <w:b/>
          <w:bCs/>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（一）供应商应具有一定食品安全法律知识并具有掌握食品管理技能的专职或者兼职食品安全管理人。</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（二）供应商须建立健全食品安全管理十项制度和从业人员健康管理制度。</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三）供应商（或其货源厂家）应具有食材种植基地，或具有与所供应配送的食材品种、数量相适应的仓储设备及相关条件，且应保持仓库环境整洁。具备较强的供货能力、良好的企业信誉及售后服务能力；能提供配送货品的检测报告或食品检验合格证。</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（四）配送人员必须取得卫生部门出具的健康证，工作时做到个人仪表整洁，送货时必须佩带经营单位的食品配送上岗证。</w:t>
      </w:r>
      <w:r>
        <w:rPr>
          <w:rFonts w:ascii="宋体" w:hAnsi="宋体"/>
          <w:szCs w:val="21"/>
        </w:rPr>
      </w:r>
      <w:r/>
    </w:p>
    <w:p>
      <w:pPr>
        <w:pStyle w:val="1276"/>
        <w:ind w:firstLine="210"/>
        <w:jc w:val="left"/>
        <w:spacing w:line="360" w:lineRule="auto"/>
        <w:widowControl/>
        <w:rPr>
          <w:rFonts w:ascii="宋体" w:hAnsi="宋体"/>
          <w:b/>
          <w:bCs/>
          <w:szCs w:val="21"/>
        </w:rPr>
      </w:pPr>
      <w:r>
        <w:rPr>
          <w:rFonts w:hint="eastAsia" w:ascii="宋体" w:hAnsi="宋体"/>
          <w:szCs w:val="21"/>
        </w:rPr>
        <w:t xml:space="preserve">（五）配送车辆上必须粘贴配送标识，车辆要保持清洁，在食材配送过程中不得与其他产品混装。</w:t>
      </w:r>
      <w:r>
        <w:rPr>
          <w:rFonts w:ascii="宋体" w:hAnsi="宋体"/>
          <w:b/>
          <w:bCs/>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六）供应商应具备经营范围内的储藏、配送（冷藏措施）能力，食材需每日配送，如遇特殊情况增加食材应在半小时配送到位。因供应商配送不及时导致食堂供应延误且未采取有效补救措施的，将扣除履约保证金。</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（七）如出现因食用其提供的食品导致食物中毒等事故发生，供应商应对此承担一切法律责任， 采购人可终止合同，并扣除履约保证金。</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八）本项目严禁食用含有反兴奋剂规定的违禁的食品及添加物。供应商应严格遵守《食品安全法》和《动物检疫法》等相关规定，严格保证所提供货物符合国家相关产品质量标准，符合国家各级强制性规范的要求。</w:t>
      </w:r>
      <w:r>
        <w:rPr>
          <w:rFonts w:ascii="宋体" w:hAnsi="宋体"/>
          <w:szCs w:val="21"/>
        </w:rPr>
      </w:r>
      <w:r/>
    </w:p>
    <w:p>
      <w:pPr>
        <w:pStyle w:val="1276"/>
        <w:ind w:firstLine="210"/>
        <w:jc w:val="left"/>
        <w:spacing w:line="360" w:lineRule="auto"/>
        <w:widowControl/>
        <w:rPr>
          <w:rFonts w:hint="eastAsia" w:ascii="宋体" w:hAnsi="宋体"/>
          <w:szCs w:val="21"/>
        </w:rPr>
      </w:pPr>
      <w:r>
        <w:rPr>
          <w:rFonts w:hint="eastAsia" w:ascii="宋体" w:hAnsi="宋体"/>
          <w:szCs w:val="21"/>
        </w:rPr>
        <w:t xml:space="preserve">（九）本项目不接受分包或转让给第三方。</w:t>
      </w:r>
      <w:r>
        <w:rPr>
          <w:rFonts w:hint="eastAsia" w:ascii="宋体" w:hAnsi="宋体"/>
          <w:szCs w:val="21"/>
        </w:rPr>
      </w:r>
      <w:r/>
    </w:p>
    <w:p>
      <w:pPr>
        <w:pStyle w:val="1276"/>
        <w:ind w:firstLine="210"/>
        <w:jc w:val="left"/>
        <w:spacing w:line="360" w:lineRule="auto"/>
        <w:widowControl/>
        <w:rPr>
          <w:rFonts w:ascii="宋体" w:hAnsi="宋体"/>
          <w:szCs w:val="21"/>
        </w:rPr>
        <w:outlineLvl w:val="1"/>
      </w:pPr>
      <w:r/>
      <w:bookmarkStart w:id="500" w:name="_Toc4381"/>
      <w:r>
        <w:rPr>
          <w:rFonts w:hint="eastAsia" w:ascii="宋体" w:hAnsi="宋体"/>
          <w:szCs w:val="21"/>
          <w:lang w:val="en-US" w:eastAsia="zh-CN"/>
        </w:rPr>
        <w:t xml:space="preserve">三、</w:t>
      </w:r>
      <w:bookmarkStart w:id="501" w:name="_Toc11775"/>
      <w:r/>
      <w:bookmarkStart w:id="502" w:name="_Toc21091"/>
      <w:r/>
      <w:bookmarkStart w:id="503" w:name="_Toc18161"/>
      <w:r/>
      <w:bookmarkStart w:id="504" w:name="_Toc31990"/>
      <w:r/>
      <w:bookmarkStart w:id="505" w:name="_Toc21920"/>
      <w:r>
        <w:rPr>
          <w:rFonts w:hint="eastAsia" w:ascii="宋体" w:hAnsi="宋体"/>
          <w:b/>
          <w:bCs/>
          <w:szCs w:val="21"/>
        </w:rPr>
        <w:t xml:space="preserve">食材配送及服务要求</w:t>
      </w:r>
      <w:bookmarkEnd w:id="500"/>
      <w:r/>
      <w:bookmarkEnd w:id="501"/>
      <w:r/>
      <w:bookmarkEnd w:id="502"/>
      <w:r/>
      <w:bookmarkEnd w:id="503"/>
      <w:r/>
      <w:bookmarkEnd w:id="504"/>
      <w:r/>
      <w:bookmarkEnd w:id="505"/>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一）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（二）食材供货配送必须建立完善的质量承诺制度，并具有与该承诺相适应的财务保障。</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（三）日常情况下，采购人提前12小时或24小时以传真、邮件或电话形式告知供应商供应的食材种类、数量及</w:t>
      </w:r>
      <w:r>
        <w:rPr>
          <w:rFonts w:hint="eastAsia" w:ascii="宋体" w:hAnsi="宋体"/>
          <w:szCs w:val="21"/>
          <w:lang w:val="en-US" w:eastAsia="zh-CN"/>
        </w:rPr>
        <w:t xml:space="preserve">服务</w:t>
      </w:r>
      <w:r>
        <w:rPr>
          <w:rFonts w:hint="eastAsia" w:ascii="宋体" w:hAnsi="宋体"/>
          <w:szCs w:val="21"/>
        </w:rPr>
        <w:t xml:space="preserve">地点，供应商应对订单进行确认；供应商未于下单日当天明确表示不能配送的，则视为确认。</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（四）供应商须按照采购人通知的时间、数量、品种、品质要求准时送货，经验收合格后签字确认并进行卸货，运费自理，不能以任何理由推托，一旦影响到食堂正常供应，供应商应承担相应的经济赔偿。</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五）当采购人临时有大批量食材采购或紧急采购任务时，供应商承诺在接到采购人通知后于指定的时间和地点进行送货并卸货，派专人负责跟踪服务，保证食材准时准点供应，如推迟送货的，采购人有权拒绝验收签单。</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（六）</w:t>
      </w:r>
      <w:r>
        <w:rPr>
          <w:rFonts w:hint="eastAsia" w:ascii="宋体" w:hAnsi="宋体"/>
          <w:szCs w:val="21"/>
          <w:lang w:eastAsia="zh-CN"/>
        </w:rPr>
        <w:t xml:space="preserve">服务</w:t>
      </w:r>
      <w:r>
        <w:rPr>
          <w:rFonts w:hint="eastAsia" w:ascii="宋体" w:hAnsi="宋体"/>
          <w:szCs w:val="21"/>
        </w:rPr>
        <w:t xml:space="preserve">地点：采购人要求的其他指定地点。</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七）依据产品质量监督检验单位提供的质量标准，供应商提供的食材必须是经过质量监督管理部门检验并取得合格证明的产品，每批次产品提供时应交存产品质量合格证明、产品质量检测合格报告或检验报告复印件。</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八）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（九）供应商须随时接受采购人或相关单位的随机抽样检查，检验费用由供应商支付。</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（十）采购人对食材提出的质量异议时，保证在60分钟以内作出答复，并妥善商处。无法在60分钟内解决的，应在三个小时内提供备用产品，使采购人能够正常使用。</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（十一）规格包装的食材交付时，必须原包装完好无损，否则采购人有权拒收。</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（十二）采购人有权根据供应商实际供货能力调整配送时间段，供应商须无条件按采购人要求执行。</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（十三）其他供货要求 </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1、因市场特殊原因，个别食材品种不能及时提供，供应商应主动与采购人沟通协调，更换品种，满足需要。 </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2、所有商品因验收货物时不能直接判断质量的，在使用过程中发现不合格商品，供应商应作退货处理。</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3、物资验收中不合格产品，供应商应按照采购人规定时间内调换，以不影响正常工作。 </w:t>
      </w:r>
      <w:r>
        <w:rPr>
          <w:rFonts w:ascii="宋体" w:hAnsi="宋体"/>
          <w:szCs w:val="21"/>
        </w:rPr>
      </w:r>
      <w:r/>
    </w:p>
    <w:p>
      <w:pPr>
        <w:pStyle w:val="1276"/>
        <w:jc w:val="left"/>
        <w:spacing w:line="360" w:lineRule="auto"/>
        <w:widowControl/>
        <w:rPr>
          <w:rFonts w:ascii="宋体" w:hAnsi="宋体"/>
          <w:szCs w:val="21"/>
        </w:rPr>
      </w:pPr>
      <w:r>
        <w:rPr>
          <w:rFonts w:hint="eastAsia" w:ascii="宋体" w:hAnsi="宋体"/>
          <w:szCs w:val="21"/>
        </w:rPr>
        <w:t xml:space="preserve">    4、因配送物资质量导致出现食品安全事故，供应商有义务协助处理相关事宜。 </w:t>
      </w:r>
      <w:r>
        <w:rPr>
          <w:rFonts w:ascii="宋体" w:hAnsi="宋体"/>
          <w:szCs w:val="21"/>
        </w:rPr>
      </w:r>
      <w:r/>
    </w:p>
    <w:p>
      <w:pPr>
        <w:pStyle w:val="1276"/>
        <w:jc w:val="left"/>
        <w:spacing w:line="360" w:lineRule="auto"/>
        <w:widowControl/>
        <w:rPr>
          <w:rFonts w:ascii="宋体" w:hAnsi="宋体" w:eastAsia="宋体"/>
          <w:b/>
          <w:bCs/>
          <w:szCs w:val="21"/>
          <w:lang w:val="en-US" w:eastAsia="zh-CN"/>
        </w:rPr>
        <w:outlineLvl w:val="1"/>
      </w:pPr>
      <w:r/>
      <w:bookmarkStart w:id="506" w:name="_Toc11022"/>
      <w:r/>
      <w:bookmarkStart w:id="507" w:name="_Toc21557"/>
      <w:r/>
      <w:bookmarkStart w:id="508" w:name="_Toc23685"/>
      <w:r/>
      <w:bookmarkStart w:id="509" w:name="_Toc25277"/>
      <w:r/>
      <w:bookmarkStart w:id="510" w:name="_Toc29728"/>
      <w:r/>
      <w:bookmarkStart w:id="511" w:name="_Toc20805"/>
      <w:r>
        <w:rPr>
          <w:rFonts w:hint="eastAsia" w:ascii="宋体" w:hAnsi="宋体" w:eastAsia="宋体" w:cs="宋体"/>
          <w:b/>
          <w:bCs/>
          <w:szCs w:val="21"/>
          <w:lang w:val="en-US" w:eastAsia="zh-CN"/>
        </w:rPr>
        <w:t xml:space="preserve">四、</w:t>
      </w:r>
      <w:r>
        <w:rPr>
          <w:rFonts w:hint="eastAsia" w:ascii="宋体" w:hAnsi="宋体"/>
          <w:b/>
          <w:bCs/>
          <w:szCs w:val="21"/>
        </w:rPr>
        <w:t xml:space="preserve">质量标准</w:t>
      </w:r>
      <w:bookmarkEnd w:id="506"/>
      <w:r/>
      <w:bookmarkEnd w:id="507"/>
      <w:r/>
      <w:bookmarkEnd w:id="508"/>
      <w:r/>
      <w:bookmarkEnd w:id="509"/>
      <w:r/>
      <w:bookmarkEnd w:id="510"/>
      <w:r>
        <w:rPr>
          <w:rFonts w:hint="eastAsia" w:ascii="宋体" w:hAnsi="宋体"/>
          <w:b/>
          <w:bCs/>
          <w:color w:val="000000"/>
          <w:szCs w:val="21"/>
          <w:lang w:val="en-US" w:eastAsia="zh-CN"/>
        </w:rPr>
        <w:t xml:space="preserve">及数量</w:t>
      </w:r>
      <w:bookmarkEnd w:id="511"/>
      <w:r>
        <w:rPr>
          <w:rFonts w:ascii="宋体" w:hAnsi="宋体" w:eastAsia="宋体"/>
          <w:b/>
          <w:bCs/>
          <w:szCs w:val="21"/>
          <w:lang w:val="en-US" w:eastAsia="zh-CN"/>
        </w:rPr>
      </w:r>
      <w:r/>
    </w:p>
    <w:p>
      <w:pPr>
        <w:pStyle w:val="1276"/>
        <w:jc w:val="left"/>
        <w:spacing w:line="360" w:lineRule="auto"/>
        <w:widowControl/>
        <w:rPr>
          <w:rFonts w:hint="eastAsia" w:ascii="宋体" w:hAnsi="宋体" w:eastAsia="宋体" w:cs="宋体"/>
          <w:b/>
          <w:bCs/>
          <w:szCs w:val="21"/>
        </w:rPr>
        <w:outlineLvl w:val="2"/>
      </w:pPr>
      <w:r/>
      <w:bookmarkStart w:id="512" w:name="_Toc16832"/>
      <w:r/>
      <w:bookmarkStart w:id="513" w:name="_Toc14021"/>
      <w:r/>
      <w:bookmarkStart w:id="514" w:name="_Toc2176"/>
      <w:r/>
      <w:bookmarkStart w:id="515" w:name="_Toc26745"/>
      <w:r/>
      <w:bookmarkStart w:id="516" w:name="_Toc9893"/>
      <w:r/>
      <w:bookmarkStart w:id="517" w:name="_Toc25278"/>
      <w:r>
        <w:rPr>
          <w:rFonts w:hint="eastAsia" w:ascii="宋体" w:hAnsi="宋体" w:eastAsia="宋体" w:cs="宋体"/>
          <w:b/>
          <w:bCs/>
          <w:szCs w:val="21"/>
          <w:lang w:val="en-US" w:eastAsia="zh-CN"/>
        </w:rPr>
        <w:t xml:space="preserve">分包1：</w:t>
      </w:r>
      <w:r>
        <w:rPr>
          <w:rFonts w:hint="eastAsia" w:ascii="宋体" w:hAnsi="宋体" w:eastAsia="宋体" w:cs="宋体"/>
          <w:b/>
          <w:bCs/>
          <w:szCs w:val="21"/>
        </w:rPr>
        <w:t xml:space="preserve">肉类</w:t>
      </w:r>
      <w:bookmarkEnd w:id="512"/>
      <w:r/>
      <w:bookmarkEnd w:id="513"/>
      <w:r/>
      <w:bookmarkEnd w:id="514"/>
      <w:r/>
      <w:bookmarkEnd w:id="515"/>
      <w:r/>
      <w:bookmarkEnd w:id="516"/>
      <w:r/>
      <w:bookmarkEnd w:id="517"/>
      <w:r>
        <w:rPr>
          <w:rFonts w:hint="eastAsia" w:ascii="宋体" w:hAnsi="宋体" w:eastAsia="宋体" w:cs="宋体"/>
          <w:b/>
          <w:bCs/>
          <w:szCs w:val="21"/>
        </w:rPr>
      </w:r>
      <w:r/>
    </w:p>
    <w:p>
      <w:pPr>
        <w:pStyle w:val="1276"/>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肉制品（冷鲜）：符合GB 2707-2016《食品安全国家标准 鲜（冻）畜、禽产品》标准，供货前需提供动物检疫合格证原件至使用方处核查。</w:t>
      </w:r>
      <w:r>
        <w:rPr>
          <w:rFonts w:hint="eastAsia" w:ascii="宋体" w:hAnsi="宋体" w:eastAsia="宋体" w:cs="宋体"/>
          <w:szCs w:val="21"/>
          <w:highlight w:val="none"/>
        </w:rPr>
      </w:r>
      <w:r/>
    </w:p>
    <w:p>
      <w:pPr>
        <w:pStyle w:val="1276"/>
        <w:ind w:firstLine="422"/>
        <w:jc w:val="left"/>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采购品种及相关要求</w:t>
      </w:r>
      <w:r>
        <w:rPr>
          <w:rFonts w:hint="eastAsia" w:ascii="宋体" w:hAnsi="宋体" w:eastAsia="宋体" w:cs="宋体"/>
          <w:b/>
          <w:bCs/>
          <w:szCs w:val="21"/>
          <w:highlight w:val="none"/>
        </w:rPr>
      </w:r>
      <w:r/>
    </w:p>
    <w:p>
      <w:pPr>
        <w:pStyle w:val="1276"/>
        <w:ind w:firstLine="422"/>
        <w:jc w:val="left"/>
        <w:spacing w:line="360" w:lineRule="auto"/>
        <w:widowControl/>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（一）质量要求</w:t>
      </w:r>
      <w:r>
        <w:rPr>
          <w:rFonts w:hint="eastAsia" w:ascii="宋体" w:hAnsi="宋体" w:eastAsia="宋体" w:cs="宋体"/>
          <w:b/>
          <w:bCs/>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1425"/>
        <w:gridCol w:w="5139"/>
        <w:gridCol w:w="2754"/>
      </w:tblGrid>
      <w:tr>
        <w:trPr>
          <w:trHeight w:val="568"/>
        </w:trPr>
        <w:tc>
          <w:tcPr>
            <w:tcW w:w="536"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品类</w:t>
            </w:r>
            <w:r>
              <w:rPr>
                <w:rFonts w:hint="eastAsia" w:ascii="宋体" w:hAnsi="宋体" w:eastAsia="宋体" w:cs="宋体"/>
                <w:szCs w:val="21"/>
              </w:rPr>
            </w:r>
            <w:r/>
          </w:p>
        </w:tc>
        <w:tc>
          <w:tcPr>
            <w:tcW w:w="142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品种（包含以下但不限于，方便日后扩展采购）</w:t>
            </w:r>
            <w:r>
              <w:rPr>
                <w:rFonts w:hint="eastAsia" w:ascii="宋体" w:hAnsi="宋体" w:eastAsia="宋体" w:cs="宋体"/>
                <w:szCs w:val="21"/>
              </w:rPr>
            </w:r>
            <w:r/>
          </w:p>
        </w:tc>
        <w:tc>
          <w:tcPr>
            <w:tcW w:w="5139"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验收标准</w:t>
            </w:r>
            <w:r>
              <w:rPr>
                <w:rFonts w:hint="eastAsia" w:ascii="宋体" w:hAnsi="宋体" w:eastAsia="宋体" w:cs="宋体"/>
                <w:szCs w:val="21"/>
              </w:rPr>
            </w:r>
            <w:r/>
          </w:p>
        </w:tc>
        <w:tc>
          <w:tcPr>
            <w:tcW w:w="2754"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tc>
      </w:tr>
      <w:tr>
        <w:trPr>
          <w:trHeight w:val="1257"/>
        </w:trPr>
        <w:tc>
          <w:tcPr>
            <w:tcW w:w="536"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猪肉类</w:t>
            </w:r>
            <w:r>
              <w:rPr>
                <w:rFonts w:hint="eastAsia" w:ascii="宋体" w:hAnsi="宋体" w:eastAsia="宋体" w:cs="宋体"/>
                <w:szCs w:val="21"/>
              </w:rPr>
            </w:r>
            <w:r/>
          </w:p>
        </w:tc>
        <w:tc>
          <w:tcPr>
            <w:tcW w:w="142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前腿肉、五花肉、后腿肉、大排、小排、肋排、精肉、猪爪等食品</w:t>
            </w:r>
            <w:r>
              <w:rPr>
                <w:rFonts w:hint="eastAsia" w:ascii="宋体" w:hAnsi="宋体" w:eastAsia="宋体" w:cs="宋体"/>
                <w:szCs w:val="21"/>
              </w:rPr>
            </w:r>
            <w:r/>
          </w:p>
        </w:tc>
        <w:tc>
          <w:tcPr>
            <w:tcW w:w="5139"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（1）冷鲜猪肉质量验收标准：肌肉红色均匀，有光泽，脂肪洁白。外表微干或微湿润，不粘手。弹性</w:t>
            </w:r>
            <w:r>
              <w:rPr>
                <w:rFonts w:hint="eastAsia" w:ascii="宋体" w:hAnsi="宋体" w:eastAsia="宋体" w:cs="宋体"/>
                <w:szCs w:val="21"/>
              </w:rPr>
              <w:t xml:space="preserve">良好，压后凹陷立即恢复。具有鲜猪肉正常气味，无泥污、血污、肉边整齐、无碎肉、碎骨，按标准部位分割、精肉无多余脂肪，且交货时需配有动物卫生检疫及屠宰证明。（2）冷鲜猪肉内脏验收标准：1、色泽：具有其固有的正常颜色，肌肉红色均匀，有光泽、脂肪洁白；2、外表：无泥污、无血污、放血状况良好，肉边整齐、无破碎肉、无粘液渗出或很干的表皮，无点状等小颗粒灰白色寄生虫；3、气味：具有其固有的正常气味（猪肉微腥、牛肉微膻、羊肉重膻）、无臭味、腊味等异味；4、弹性：指压后凹陷、能恢复原状。（3）鲜猪内脏、头蹄等验收标准：1心、</w:t>
            </w:r>
            <w:r>
              <w:rPr>
                <w:rFonts w:hint="eastAsia" w:ascii="宋体" w:hAnsi="宋体" w:eastAsia="宋体" w:cs="宋体"/>
                <w:szCs w:val="21"/>
              </w:rPr>
              <w:t xml:space="preserve">肝、腰子类：品质新鲜、外形完整、无异味、无病变、无凝血块、无血污、泥污、颜色正常；2肚：品质新鲜、外形完整、无溃疡面及其他病变现象、无内容物、无粘膜、无边油；3大肠、肥肠类：品质新鲜、无破损、无病变组织、无肠头细毛、无内容物、去净粘膜；4舌：品质新鲜、外形完整、无病变、无异物、无舌苔、附肉少、无血污、泥污；5耳：品质新鲜、外形完整、无溃烂、病斑、无破损；6蹄爪类：品质新鲜、去蹄壳、不带蹄筋、刮除粗毛、细毛及趾间黑垢、无松香残留；7蹄筋类：品质新鲜、无色透明、表面光亮、无油脂、无精肉、无充血现象、顺直、干燥。</w:t>
            </w:r>
            <w:r>
              <w:rPr>
                <w:rFonts w:hint="eastAsia" w:ascii="宋体" w:hAnsi="宋体" w:eastAsia="宋体" w:cs="宋体"/>
                <w:szCs w:val="21"/>
              </w:rPr>
            </w:r>
            <w:r/>
          </w:p>
        </w:tc>
        <w:tc>
          <w:tcPr>
            <w:tcW w:w="2754" w:type="dxa"/>
            <w:vAlign w:val="center"/>
            <w:vMerge w:val="restart"/>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按天供应（根据采购人前一天出具的货品清单，供应商次日清晨7点前送达，并提供现场加工服务，结束后对设施清理，打扫厨余垃圾）</w:t>
            </w:r>
            <w:r>
              <w:rPr>
                <w:rFonts w:hint="eastAsia" w:ascii="宋体" w:hAnsi="宋体" w:eastAsia="宋体" w:cs="宋体"/>
                <w:szCs w:val="21"/>
              </w:rPr>
            </w:r>
            <w:r/>
          </w:p>
        </w:tc>
      </w:tr>
      <w:tr>
        <w:trPr>
          <w:trHeight w:val="636"/>
        </w:trPr>
        <w:tc>
          <w:tcPr>
            <w:tcW w:w="536"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牛羊肉类</w:t>
            </w:r>
            <w:r>
              <w:rPr>
                <w:rFonts w:hint="eastAsia" w:ascii="宋体" w:hAnsi="宋体" w:eastAsia="宋体" w:cs="宋体"/>
                <w:szCs w:val="21"/>
              </w:rPr>
            </w:r>
            <w:r/>
          </w:p>
        </w:tc>
        <w:tc>
          <w:tcPr>
            <w:tcW w:w="142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牛羊肉、牛腩等</w:t>
            </w:r>
            <w:r>
              <w:rPr>
                <w:rFonts w:hint="eastAsia" w:ascii="宋体" w:hAnsi="宋体" w:eastAsia="宋体" w:cs="宋体"/>
                <w:szCs w:val="21"/>
              </w:rPr>
            </w:r>
            <w:r/>
          </w:p>
        </w:tc>
        <w:tc>
          <w:tcPr>
            <w:tcW w:w="5139"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牛羊肉类验收标准：1</w:t>
            </w:r>
            <w:r>
              <w:rPr>
                <w:rFonts w:hint="eastAsia" w:ascii="宋体" w:hAnsi="宋体" w:eastAsia="宋体" w:cs="宋体"/>
                <w:szCs w:val="21"/>
                <w:lang w:eastAsia="zh-CN"/>
              </w:rPr>
              <w:t xml:space="preserve">、</w:t>
            </w:r>
            <w:r>
              <w:rPr>
                <w:rFonts w:hint="eastAsia" w:ascii="宋体" w:hAnsi="宋体" w:eastAsia="宋体" w:cs="宋体"/>
                <w:szCs w:val="21"/>
              </w:rPr>
              <w:t xml:space="preserve">颜色：新鲜正常红色，淡红色，有光泽；2</w:t>
            </w:r>
            <w:r>
              <w:rPr>
                <w:rFonts w:hint="eastAsia" w:ascii="宋体" w:hAnsi="宋体" w:eastAsia="宋体" w:cs="宋体"/>
                <w:szCs w:val="21"/>
                <w:lang w:eastAsia="zh-CN"/>
              </w:rPr>
              <w:t xml:space="preserve">、</w:t>
            </w:r>
            <w:r>
              <w:rPr>
                <w:rFonts w:hint="eastAsia" w:ascii="宋体" w:hAnsi="宋体" w:eastAsia="宋体" w:cs="宋体"/>
                <w:szCs w:val="21"/>
              </w:rPr>
              <w:t xml:space="preserve">气味：具有牛羊肉的正常气味，无异味；3</w:t>
            </w:r>
            <w:r>
              <w:rPr>
                <w:rFonts w:hint="eastAsia" w:ascii="宋体" w:hAnsi="宋体" w:eastAsia="宋体" w:cs="宋体"/>
                <w:szCs w:val="21"/>
                <w:lang w:eastAsia="zh-CN"/>
              </w:rPr>
              <w:t xml:space="preserve">、</w:t>
            </w:r>
            <w:r>
              <w:rPr>
                <w:rFonts w:hint="eastAsia" w:ascii="宋体" w:hAnsi="宋体" w:eastAsia="宋体" w:cs="宋体"/>
                <w:szCs w:val="21"/>
              </w:rPr>
              <w:t xml:space="preserve">油层：无</w:t>
            </w:r>
            <w:r>
              <w:rPr>
                <w:rFonts w:hint="eastAsia" w:ascii="宋体" w:hAnsi="宋体" w:eastAsia="宋体" w:cs="宋体"/>
                <w:szCs w:val="21"/>
                <w:lang w:eastAsia="zh-CN"/>
              </w:rPr>
              <w:t xml:space="preserve">；</w:t>
            </w:r>
            <w:r>
              <w:rPr>
                <w:rFonts w:hint="eastAsia" w:ascii="宋体" w:hAnsi="宋体" w:eastAsia="宋体" w:cs="宋体"/>
                <w:szCs w:val="21"/>
              </w:rPr>
              <w:t xml:space="preserve">4</w:t>
            </w:r>
            <w:r>
              <w:rPr>
                <w:rFonts w:hint="eastAsia" w:ascii="宋体" w:hAnsi="宋体" w:eastAsia="宋体" w:cs="宋体"/>
                <w:szCs w:val="21"/>
                <w:lang w:eastAsia="zh-CN"/>
              </w:rPr>
              <w:t xml:space="preserve">、</w:t>
            </w:r>
            <w:r>
              <w:rPr>
                <w:rFonts w:hint="eastAsia" w:ascii="宋体" w:hAnsi="宋体" w:eastAsia="宋体" w:cs="宋体"/>
                <w:szCs w:val="21"/>
              </w:rPr>
              <w:t xml:space="preserve">淤血：无；5</w:t>
            </w:r>
            <w:r>
              <w:rPr>
                <w:rFonts w:hint="eastAsia" w:ascii="宋体" w:hAnsi="宋体" w:eastAsia="宋体" w:cs="宋体"/>
                <w:szCs w:val="21"/>
                <w:lang w:eastAsia="zh-CN"/>
              </w:rPr>
              <w:t xml:space="preserve">、</w:t>
            </w:r>
            <w:r>
              <w:rPr>
                <w:rFonts w:hint="eastAsia" w:ascii="宋体" w:hAnsi="宋体" w:eastAsia="宋体" w:cs="宋体"/>
                <w:szCs w:val="21"/>
              </w:rPr>
              <w:t xml:space="preserve">表面湿润，不粘手，有弹性；6</w:t>
            </w:r>
            <w:r>
              <w:rPr>
                <w:rFonts w:hint="eastAsia" w:ascii="宋体" w:hAnsi="宋体" w:eastAsia="宋体" w:cs="宋体"/>
                <w:szCs w:val="21"/>
                <w:lang w:eastAsia="zh-CN"/>
              </w:rPr>
              <w:t xml:space="preserve">、</w:t>
            </w:r>
            <w:r>
              <w:rPr>
                <w:rFonts w:hint="eastAsia" w:ascii="宋体" w:hAnsi="宋体" w:eastAsia="宋体" w:cs="宋体"/>
                <w:szCs w:val="21"/>
              </w:rPr>
              <w:t xml:space="preserve">水分，感观上不能有水，恒温库吊挂12小时。</w:t>
            </w:r>
            <w:r>
              <w:rPr>
                <w:rFonts w:hint="eastAsia" w:ascii="宋体" w:hAnsi="宋体" w:eastAsia="宋体" w:cs="宋体"/>
                <w:szCs w:val="21"/>
              </w:rPr>
            </w:r>
            <w:r/>
          </w:p>
        </w:tc>
        <w:tc>
          <w:tcPr>
            <w:tcW w:w="2754" w:type="dxa"/>
            <w:vAlign w:val="center"/>
            <w:vMerge w:val="continue"/>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636"/>
        </w:trPr>
        <w:tc>
          <w:tcPr>
            <w:gridSpan w:val="4"/>
            <w:tcW w:w="9854" w:type="dxa"/>
            <w:vAlign w:val="center"/>
            <w:textDirection w:val="lrTb"/>
            <w:noWrap w:val="false"/>
          </w:tcPr>
          <w:p>
            <w:pPr>
              <w:pStyle w:val="1276"/>
              <w:jc w:val="left"/>
              <w:spacing w:line="360" w:lineRule="auto"/>
              <w:rPr>
                <w:rFonts w:hint="eastAsia" w:ascii="宋体" w:hAnsi="宋体" w:eastAsia="宋体" w:cs="宋体"/>
                <w:szCs w:val="21"/>
              </w:rPr>
            </w:pPr>
            <w:r/>
            <w:bookmarkStart w:id="518" w:name="_Toc30004"/>
            <w:r/>
            <w:bookmarkStart w:id="519" w:name="_Toc11931"/>
            <w:r/>
            <w:bookmarkStart w:id="520" w:name="_Toc31117"/>
            <w:r/>
            <w:bookmarkStart w:id="521" w:name="_Toc32622"/>
            <w:r/>
            <w:bookmarkStart w:id="522" w:name="_Toc13010"/>
            <w:r>
              <w:rPr>
                <w:rFonts w:hint="eastAsia" w:ascii="宋体" w:hAnsi="宋体" w:eastAsia="宋体" w:cs="宋体"/>
                <w:b/>
                <w:bCs/>
                <w:szCs w:val="21"/>
              </w:rPr>
              <w:t xml:space="preserve">所有肉类不得检出兴奋剂（包括但不限于盐酸克伦特罗、沙丁胺醇、莱克多巴胺、氯霉素等物质）。肉类具有合法屠宰加工检验证明、检验检疫证明。</w:t>
            </w:r>
            <w:r>
              <w:rPr>
                <w:rFonts w:hint="eastAsia" w:ascii="宋体" w:hAnsi="宋体" w:eastAsia="宋体" w:cs="宋体"/>
                <w:szCs w:val="21"/>
              </w:rPr>
            </w:r>
            <w:r/>
          </w:p>
        </w:tc>
      </w:tr>
    </w:tbl>
    <w:p>
      <w:pPr>
        <w:pStyle w:val="1276"/>
        <w:ind w:firstLine="422"/>
        <w:spacing w:line="360" w:lineRule="auto"/>
        <w:widowControl/>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（二）数量</w:t>
      </w:r>
      <w:r>
        <w:rPr>
          <w:rFonts w:hint="eastAsia" w:ascii="宋体" w:hAnsi="宋体" w:eastAsia="宋体" w:cs="宋体"/>
          <w:b/>
          <w:bCs/>
          <w:szCs w:val="21"/>
          <w:highlight w:val="none"/>
          <w:lang w:val="en-US" w:eastAsia="zh-CN"/>
        </w:rPr>
      </w:r>
      <w:r/>
    </w:p>
    <w:tbl>
      <w:tblPr>
        <w:tblW w:w="9850" w:type="dxa"/>
        <w:tblInd w:w="-108" w:type="dxa"/>
        <w:tblLayout w:type="autofit"/>
        <w:tblCellMar>
          <w:left w:w="108" w:type="dxa"/>
          <w:top w:w="0" w:type="dxa"/>
          <w:right w:w="108" w:type="dxa"/>
          <w:bottom w:w="0" w:type="dxa"/>
        </w:tblCellMar>
        <w:tblLook w:val="04A0" w:firstRow="1" w:lastRow="0" w:firstColumn="1" w:lastColumn="0" w:noHBand="0" w:noVBand="1"/>
      </w:tblPr>
      <w:tblGrid>
        <w:gridCol w:w="1581"/>
        <w:gridCol w:w="2759"/>
        <w:gridCol w:w="2357"/>
        <w:gridCol w:w="3153"/>
      </w:tblGrid>
      <w:tr>
        <w:trPr>
          <w:trHeight w:val="600"/>
        </w:trPr>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pStyle w:val="1276"/>
              <w:ind w:left="0" w:right="0" w:firstLine="0"/>
              <w:jc w:val="center"/>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分包号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759" w:type="dxa"/>
            <w:vAlign w:val="center"/>
            <w:textDirection w:val="lrTb"/>
            <w:noWrap w:val="false"/>
          </w:tcPr>
          <w:p>
            <w:pPr>
              <w:pStyle w:val="1276"/>
              <w:ind w:left="0" w:right="0" w:firstLine="0"/>
              <w:jc w:val="center"/>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预估数量（kg）</w:t>
            </w:r>
            <w:r>
              <w:rPr>
                <w:rFonts w:hint="eastAsia" w:ascii="宋体" w:hAnsi="宋体" w:eastAsia="宋体" w:cs="宋体"/>
                <w:b/>
                <w:bCs/>
                <w:sz w:val="21"/>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1581" w:type="dxa"/>
            <w:vAlign w:val="center"/>
            <w:vMerge w:val="restart"/>
            <w:textDirection w:val="lrTb"/>
            <w:noWrap/>
          </w:tcPr>
          <w:p>
            <w:pPr>
              <w:pStyle w:val="1276"/>
              <w:ind w:left="0" w:right="0" w:firstLine="0"/>
              <w:jc w:val="center"/>
              <w:spacing w:line="240" w:lineRule="auto"/>
              <w:rPr>
                <w:rFonts w:hint="eastAsia" w:ascii="宋体" w:hAnsi="宋体" w:eastAsia="宋体" w:cs="宋体"/>
                <w:b/>
                <w:bCs/>
                <w:sz w:val="21"/>
                <w:szCs w:val="21"/>
              </w:rPr>
            </w:pPr>
            <w:r>
              <w:rPr>
                <w:rFonts w:hint="eastAsia" w:ascii="宋体" w:hAnsi="宋体" w:eastAsia="宋体" w:cs="宋体"/>
                <w:sz w:val="21"/>
                <w:szCs w:val="21"/>
                <w:lang w:val="en-US"/>
              </w:rPr>
              <w:t xml:space="preserve">1</w:t>
            </w:r>
            <w:r>
              <w:rPr>
                <w:rFonts w:hint="eastAsia" w:ascii="宋体" w:hAnsi="宋体" w:eastAsia="宋体" w:cs="宋体"/>
                <w:b/>
                <w:bCs/>
                <w:sz w:val="21"/>
                <w:szCs w:val="21"/>
              </w:rPr>
            </w:r>
            <w:r/>
          </w:p>
        </w:tc>
        <w:tc>
          <w:tcPr>
            <w:tcBorders>
              <w:top w:val="single" w:color="000000" w:sz="4" w:space="0"/>
              <w:left w:val="none" w:color="000000" w:sz="4" w:space="0"/>
              <w:bottom w:val="none" w:color="000000" w:sz="0" w:space="0"/>
              <w:right w:val="single" w:color="000000" w:sz="4" w:space="0"/>
            </w:tcBorders>
            <w:tcW w:w="2759" w:type="dxa"/>
            <w:vAlign w:val="center"/>
            <w:vMerge w:val="restart"/>
            <w:textDirection w:val="lrTb"/>
            <w:noWrap w:val="false"/>
          </w:tcPr>
          <w:p>
            <w:pPr>
              <w:pStyle w:val="1276"/>
              <w:ind w:left="0" w:right="0" w:firstLine="0"/>
              <w:jc w:val="center"/>
              <w:spacing w:line="24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肉类</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猪后腿肉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9600</w:t>
            </w:r>
            <w:r>
              <w:rPr>
                <w:rFonts w:hint="eastAsia" w:ascii="宋体" w:hAnsi="宋体" w:eastAsia="宋体" w:cs="宋体"/>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Borders>
              <w:top w:val="single" w:color="000000" w:sz="4"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rPr>
            </w:pPr>
            <w:r>
              <w:rPr>
                <w:rFonts w:hint="eastAsia" w:ascii="宋体" w:hAnsi="宋体" w:eastAsia="宋体" w:cs="宋体"/>
                <w:sz w:val="21"/>
                <w:szCs w:val="21"/>
                <w:lang w:val="en-US"/>
              </w:rPr>
              <w:t xml:space="preserve">猪五花肉</w:t>
            </w:r>
            <w:r>
              <w:rPr>
                <w:rFonts w:hint="eastAsia" w:ascii="宋体" w:hAnsi="宋体" w:eastAsia="宋体" w:cs="宋体"/>
                <w:sz w:val="21"/>
                <w:szCs w:val="21"/>
                <w:lang w:val="en-US"/>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24000</w:t>
            </w:r>
            <w:r>
              <w:rPr>
                <w:rFonts w:hint="eastAsia" w:ascii="宋体" w:hAnsi="宋体" w:eastAsia="宋体" w:cs="宋体"/>
                <w:sz w:val="21"/>
                <w:szCs w:val="21"/>
                <w:lang w:val="en-US" w:eastAsia="zh-CN"/>
              </w:rPr>
            </w:r>
            <w:r/>
          </w:p>
        </w:tc>
      </w:tr>
      <w:tr>
        <w:trPr>
          <w:trHeight w:val="508"/>
        </w:trPr>
        <w:tc>
          <w:tcPr>
            <w:tcBorders>
              <w:top w:val="single" w:color="000000" w:sz="4"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Borders>
              <w:top w:val="single" w:color="000000" w:sz="4"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rPr>
            </w:pPr>
            <w:r>
              <w:rPr>
                <w:rFonts w:hint="eastAsia" w:ascii="宋体" w:hAnsi="宋体" w:eastAsia="宋体" w:cs="宋体"/>
                <w:sz w:val="21"/>
                <w:szCs w:val="21"/>
                <w:lang w:val="en-US"/>
              </w:rPr>
              <w:t xml:space="preserve">牛腩</w:t>
            </w:r>
            <w:r>
              <w:rPr>
                <w:rFonts w:hint="eastAsia" w:ascii="宋体" w:hAnsi="宋体" w:eastAsia="宋体" w:cs="宋体"/>
                <w:sz w:val="21"/>
                <w:szCs w:val="21"/>
                <w:lang w:val="en-US"/>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1400</w:t>
            </w:r>
            <w:r>
              <w:rPr>
                <w:rFonts w:hint="eastAsia" w:ascii="宋体" w:hAnsi="宋体" w:eastAsia="宋体" w:cs="宋体"/>
                <w:sz w:val="21"/>
                <w:szCs w:val="21"/>
                <w:lang w:val="en-US" w:eastAsia="zh-CN"/>
              </w:rPr>
            </w:r>
            <w:r/>
          </w:p>
        </w:tc>
      </w:tr>
      <w:tr>
        <w:trPr>
          <w:trHeight w:val="629"/>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猪前腿肉</w:t>
            </w: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r>
        <w:trPr>
          <w:trHeight w:val="694"/>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猪里脊肉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猪爪</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猪筒骨</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猪扇子骨</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猪小排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猪大排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960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猪通排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猪仔排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猪寸骨</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猪蹄膀</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3"/>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猪耳朵</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593"/>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2357" w:type="dxa"/>
            <w:vAlign w:val="center"/>
            <w:textDirection w:val="lrTb"/>
            <w:noWrap w:val="false"/>
          </w:tcPr>
          <w:p>
            <w:pPr>
              <w:pStyle w:val="1276"/>
              <w:ind w:left="0" w:right="0"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rPr>
              <w:t xml:space="preserve">牛肋条</w:t>
            </w: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541"/>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牛筋</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牛尾</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牛大腱子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牛小腱子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牛柳</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牛里脊</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带骨羊腿肉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羊排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羊蝎子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single" w:color="000000" w:sz="4" w:space="0"/>
              <w:right w:val="single" w:color="000000" w:sz="4" w:space="0"/>
            </w:tcBorders>
            <w:tcW w:w="1581" w:type="dxa"/>
            <w:vAlign w:val="center"/>
            <w:vMerge w:val="continue"/>
            <w:textDirection w:val="lrTb"/>
            <w:noWrap/>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2759" w:type="dxa"/>
            <w:vAlign w:val="center"/>
            <w:vMerge w:val="continue"/>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2357"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羊棒骨</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153" w:type="dxa"/>
            <w:vAlign w:val="center"/>
            <w:textDirection w:val="lrTb"/>
            <w:noWrap w:val="false"/>
          </w:tcPr>
          <w:p>
            <w:pPr>
              <w:pStyle w:val="1276"/>
              <w:ind w:left="0" w:right="0" w:firstLine="0"/>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bl>
    <w:p>
      <w:pPr>
        <w:pStyle w:val="1276"/>
        <w:ind w:firstLine="422"/>
        <w:jc w:val="left"/>
        <w:spacing w:line="360" w:lineRule="auto"/>
        <w:widowControl/>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r>
      <w:r/>
    </w:p>
    <w:p>
      <w:pPr>
        <w:pStyle w:val="1276"/>
        <w:ind w:firstLine="422"/>
        <w:jc w:val="left"/>
        <w:spacing w:line="360" w:lineRule="auto"/>
        <w:widowControl/>
        <w:rPr>
          <w:rFonts w:hint="eastAsia" w:ascii="宋体" w:hAnsi="宋体" w:eastAsia="宋体" w:cs="宋体"/>
          <w:b/>
          <w:bCs/>
          <w:szCs w:val="21"/>
          <w:highlight w:val="none"/>
          <w:lang w:val="en-US" w:eastAsia="zh-CN"/>
        </w:rPr>
        <w:outlineLvl w:val="2"/>
      </w:pPr>
      <w:r/>
      <w:bookmarkStart w:id="523" w:name="_Toc6409"/>
      <w:r>
        <w:rPr>
          <w:rFonts w:hint="eastAsia" w:ascii="宋体" w:hAnsi="宋体" w:eastAsia="宋体" w:cs="宋体"/>
          <w:b/>
          <w:bCs/>
          <w:szCs w:val="21"/>
          <w:highlight w:val="none"/>
          <w:lang w:val="en-US" w:eastAsia="zh-CN"/>
        </w:rPr>
        <w:t xml:space="preserve">分包2：冷冻类</w:t>
      </w:r>
      <w:bookmarkEnd w:id="523"/>
      <w:r>
        <w:rPr>
          <w:rFonts w:hint="eastAsia" w:ascii="宋体" w:hAnsi="宋体" w:eastAsia="宋体" w:cs="宋体"/>
          <w:b/>
          <w:bCs/>
          <w:szCs w:val="21"/>
          <w:highlight w:val="none"/>
          <w:lang w:val="en-US" w:eastAsia="zh-CN"/>
        </w:rPr>
      </w:r>
      <w:r/>
    </w:p>
    <w:p>
      <w:pPr>
        <w:pStyle w:val="1276"/>
        <w:ind w:firstLine="422"/>
        <w:jc w:val="left"/>
        <w:spacing w:line="360" w:lineRule="auto"/>
        <w:widowControl/>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（一）质量要求</w:t>
      </w:r>
      <w:r>
        <w:rPr>
          <w:rFonts w:hint="eastAsia" w:ascii="宋体" w:hAnsi="宋体" w:eastAsia="宋体" w:cs="宋体"/>
          <w:b/>
          <w:bCs/>
          <w:szCs w:val="21"/>
          <w:highlight w:val="none"/>
          <w:lang w:val="en-US" w:eastAsia="zh-CN"/>
        </w:rPr>
      </w:r>
      <w:r/>
    </w:p>
    <w:p>
      <w:pPr>
        <w:pStyle w:val="1276"/>
        <w:ind w:firstLine="420"/>
        <w:jc w:val="left"/>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冻制品类：符合GB 2762-2017《食品安全国家标准 食品中污染物限量》、GB 2760-2024《食品安全国家标准 食品添加剂使用标准》。</w:t>
      </w:r>
      <w:r>
        <w:rPr>
          <w:rFonts w:hint="eastAsia" w:ascii="宋体" w:hAnsi="宋体" w:eastAsia="宋体" w:cs="宋体"/>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1425"/>
        <w:gridCol w:w="5139"/>
        <w:gridCol w:w="2792"/>
      </w:tblGrid>
      <w:tr>
        <w:trPr>
          <w:trHeight w:val="568"/>
        </w:trPr>
        <w:tc>
          <w:tcPr>
            <w:tcW w:w="498"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品类</w:t>
            </w:r>
            <w:r>
              <w:rPr>
                <w:rFonts w:hint="eastAsia" w:ascii="宋体" w:hAnsi="宋体" w:eastAsia="宋体" w:cs="宋体"/>
                <w:szCs w:val="21"/>
              </w:rPr>
            </w:r>
            <w:r/>
          </w:p>
        </w:tc>
        <w:tc>
          <w:tcPr>
            <w:tcW w:w="142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品种（包含以下但不限于，方便日后扩展采购）</w:t>
            </w:r>
            <w:r>
              <w:rPr>
                <w:rFonts w:hint="eastAsia" w:ascii="宋体" w:hAnsi="宋体" w:eastAsia="宋体" w:cs="宋体"/>
                <w:szCs w:val="21"/>
              </w:rPr>
            </w:r>
            <w:r/>
          </w:p>
        </w:tc>
        <w:tc>
          <w:tcPr>
            <w:tcW w:w="5139"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验收标准</w:t>
            </w:r>
            <w:r>
              <w:rPr>
                <w:rFonts w:hint="eastAsia" w:ascii="宋体" w:hAnsi="宋体" w:eastAsia="宋体" w:cs="宋体"/>
                <w:szCs w:val="21"/>
              </w:rPr>
            </w:r>
            <w:r/>
          </w:p>
        </w:tc>
        <w:tc>
          <w:tcPr>
            <w:tcW w:w="279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tc>
      </w:tr>
      <w:tr>
        <w:trPr>
          <w:trHeight w:val="1257"/>
        </w:trPr>
        <w:tc>
          <w:tcPr>
            <w:tcW w:w="498"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冷冻类</w:t>
            </w:r>
            <w:r>
              <w:rPr>
                <w:rFonts w:hint="eastAsia" w:ascii="宋体" w:hAnsi="宋体" w:eastAsia="宋体" w:cs="宋体"/>
                <w:szCs w:val="21"/>
                <w:lang w:val="en-US" w:eastAsia="zh-CN"/>
              </w:rPr>
            </w:r>
            <w:r/>
          </w:p>
        </w:tc>
        <w:tc>
          <w:tcPr>
            <w:tcW w:w="142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主要是鸡腿小腿、鸡翅根、鸭腿</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牛排、鸡排、肉排</w:t>
            </w:r>
            <w:r>
              <w:rPr>
                <w:rFonts w:hint="eastAsia" w:ascii="宋体" w:hAnsi="宋体" w:eastAsia="宋体" w:cs="宋体"/>
                <w:szCs w:val="21"/>
              </w:rPr>
              <w:t xml:space="preserve">等冷冻制品类食材。</w:t>
            </w:r>
            <w:r>
              <w:rPr>
                <w:rFonts w:hint="eastAsia" w:ascii="宋体" w:hAnsi="宋体" w:eastAsia="宋体" w:cs="宋体"/>
                <w:szCs w:val="21"/>
              </w:rPr>
            </w:r>
            <w:r/>
          </w:p>
        </w:tc>
        <w:tc>
          <w:tcPr>
            <w:tcW w:w="5139" w:type="dxa"/>
            <w:vAlign w:val="center"/>
            <w:textDirection w:val="lrTb"/>
            <w:noWrap w:val="false"/>
          </w:tcPr>
          <w:p>
            <w:pPr>
              <w:pStyle w:val="1276"/>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1、感官要求：</w:t>
            </w:r>
            <w:r>
              <w:rPr>
                <w:rFonts w:hint="eastAsia" w:ascii="宋体" w:hAnsi="宋体" w:eastAsia="宋体" w:cs="宋体"/>
                <w:sz w:val="21"/>
                <w:szCs w:val="21"/>
              </w:rPr>
            </w:r>
            <w:r/>
          </w:p>
          <w:p>
            <w:pPr>
              <w:pStyle w:val="1276"/>
              <w:jc w:val="left"/>
              <w:spacing w:line="360" w:lineRule="auto"/>
              <w:widowControl/>
              <w:rPr>
                <w:rFonts w:hint="eastAsia" w:ascii="宋体" w:hAnsi="宋体" w:eastAsia="宋体" w:cs="宋体"/>
                <w:bCs w:val="0"/>
                <w:sz w:val="21"/>
                <w:szCs w:val="21"/>
                <w:lang w:val="en-US"/>
              </w:rPr>
            </w:pPr>
            <w:r>
              <w:rPr>
                <w:rFonts w:hint="eastAsia" w:ascii="宋体" w:hAnsi="宋体" w:eastAsia="宋体" w:cs="宋体"/>
                <w:sz w:val="21"/>
                <w:szCs w:val="21"/>
              </w:rPr>
              <w:t xml:space="preserve">干冻、无杂质，无肌肉风干现象，全净膛，表皮完整洁净，无过多冰衣无白霜，按标准部位分割。</w:t>
            </w:r>
            <w:r>
              <w:rPr>
                <w:rFonts w:hint="eastAsia" w:ascii="宋体" w:hAnsi="宋体" w:eastAsia="宋体" w:cs="宋体"/>
                <w:bCs w:val="0"/>
                <w:sz w:val="21"/>
                <w:szCs w:val="21"/>
              </w:rPr>
              <w:t xml:space="preserve">具有固有色泽和香味，无污染、色泽、气味、口味正常，无异味或霉味（霉变）等。</w:t>
            </w:r>
            <w:r>
              <w:rPr>
                <w:rFonts w:hint="eastAsia" w:ascii="宋体" w:hAnsi="宋体" w:eastAsia="宋体" w:cs="宋体"/>
                <w:bCs w:val="0"/>
                <w:sz w:val="21"/>
                <w:szCs w:val="21"/>
                <w:lang w:val="en-US"/>
              </w:rPr>
              <w:t xml:space="preserve">食品解冻后净重量不少于90%，解冻时间为4 小时以内（室温20℃）。</w:t>
            </w:r>
            <w:r>
              <w:rPr>
                <w:rFonts w:hint="eastAsia" w:ascii="宋体" w:hAnsi="宋体" w:eastAsia="宋体" w:cs="宋体"/>
                <w:bCs w:val="0"/>
                <w:sz w:val="21"/>
                <w:szCs w:val="21"/>
                <w:lang w:val="en-US"/>
              </w:rPr>
            </w:r>
            <w:r/>
          </w:p>
          <w:p>
            <w:pPr>
              <w:pStyle w:val="1276"/>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2、规范标准：</w:t>
            </w:r>
            <w:r>
              <w:rPr>
                <w:rFonts w:hint="eastAsia" w:ascii="宋体" w:hAnsi="宋体" w:eastAsia="宋体" w:cs="宋体"/>
                <w:sz w:val="21"/>
                <w:szCs w:val="21"/>
              </w:rPr>
            </w:r>
            <w:r/>
          </w:p>
          <w:p>
            <w:pPr>
              <w:pStyle w:val="1276"/>
              <w:jc w:val="left"/>
              <w:spacing w:line="360" w:lineRule="auto"/>
              <w:rPr>
                <w:rFonts w:hint="eastAsia" w:ascii="宋体" w:hAnsi="宋体" w:eastAsia="宋体" w:cs="宋体"/>
                <w:szCs w:val="21"/>
              </w:rPr>
            </w:pPr>
            <w:r>
              <w:rPr>
                <w:rFonts w:hint="eastAsia" w:ascii="宋体" w:hAnsi="宋体" w:eastAsia="宋体" w:cs="宋体"/>
                <w:bCs w:val="0"/>
                <w:sz w:val="21"/>
                <w:szCs w:val="21"/>
              </w:rPr>
              <w:t xml:space="preserve">符合GB16869-2005、GB2707-2016标准。包装标明加工厂名称、品名、生产日期、保质期或保存期，供货时的剩余保质期不少于二分之一，产品标准号等内容。</w:t>
            </w:r>
            <w:r>
              <w:rPr>
                <w:rFonts w:hint="eastAsia" w:ascii="宋体" w:hAnsi="宋体" w:eastAsia="宋体" w:cs="宋体"/>
                <w:szCs w:val="21"/>
              </w:rPr>
            </w:r>
            <w:r/>
          </w:p>
        </w:tc>
        <w:tc>
          <w:tcPr>
            <w:tcW w:w="2792"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按天供应（根据采购人前一天出具的货品清单，供应商次日清晨7点前送达，并提供现场加工服务，结束后对设施清理，打扫厨余垃圾）</w:t>
            </w:r>
            <w:r>
              <w:rPr>
                <w:rFonts w:hint="eastAsia" w:ascii="宋体" w:hAnsi="宋体" w:eastAsia="宋体" w:cs="宋体"/>
                <w:szCs w:val="21"/>
              </w:rPr>
            </w:r>
            <w:r/>
          </w:p>
        </w:tc>
      </w:tr>
    </w:tbl>
    <w:p>
      <w:pPr>
        <w:pStyle w:val="1276"/>
        <w:numPr>
          <w:ilvl w:val="0"/>
          <w:numId w:val="2"/>
        </w:numPr>
        <w:ind w:left="420" w:firstLine="420"/>
        <w:jc w:val="left"/>
        <w:spacing w:line="360" w:lineRule="auto"/>
        <w:widowControl/>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数量</w:t>
      </w:r>
      <w:r>
        <w:rPr>
          <w:rFonts w:hint="eastAsia" w:ascii="宋体" w:hAnsi="宋体" w:eastAsia="宋体" w:cs="宋体"/>
          <w:b/>
          <w:bCs/>
          <w:szCs w:val="21"/>
          <w:highlight w:val="none"/>
          <w:lang w:val="en-US" w:eastAsia="zh-CN"/>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0"/>
        <w:gridCol w:w="3442"/>
        <w:gridCol w:w="2204"/>
        <w:gridCol w:w="2204"/>
      </w:tblGrid>
      <w:tr>
        <w:trPr>
          <w:trHeight w:val="600"/>
        </w:trPr>
        <w:tc>
          <w:tcPr>
            <w:tcW w:w="1011" w:type="dxa"/>
            <w:vAlign w:val="center"/>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分包号</w:t>
            </w:r>
            <w:r>
              <w:rPr>
                <w:rFonts w:hint="eastAsia" w:ascii="宋体" w:hAnsi="宋体" w:eastAsia="宋体" w:cs="宋体"/>
                <w:b/>
                <w:bCs/>
                <w:sz w:val="21"/>
                <w:szCs w:val="21"/>
              </w:rPr>
            </w:r>
            <w:r/>
          </w:p>
        </w:tc>
        <w:tc>
          <w:tcPr>
            <w:tcW w:w="1748"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rPr>
            </w:r>
            <w:r/>
          </w:p>
        </w:tc>
        <w:tc>
          <w:tcPr>
            <w:tcW w:w="1119"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rPr>
            </w:r>
            <w:r/>
          </w:p>
        </w:tc>
        <w:tc>
          <w:tcPr>
            <w:tcW w:w="1119"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预估数量（kg）</w:t>
            </w:r>
            <w:r>
              <w:rPr>
                <w:rFonts w:hint="eastAsia" w:ascii="宋体" w:hAnsi="宋体" w:eastAsia="宋体" w:cs="宋体"/>
                <w:b/>
                <w:bCs/>
                <w:sz w:val="21"/>
                <w:szCs w:val="21"/>
              </w:rPr>
            </w:r>
            <w:r/>
          </w:p>
        </w:tc>
      </w:tr>
      <w:tr>
        <w:trPr>
          <w:trHeight w:val="600"/>
        </w:trPr>
        <w:tc>
          <w:tcPr>
            <w:tcW w:w="1011" w:type="dxa"/>
            <w:vAlign w:val="center"/>
            <w:vMerge w:val="restart"/>
            <w:textDirection w:val="lrTb"/>
            <w:noWrap/>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2</w:t>
            </w:r>
            <w:r>
              <w:rPr>
                <w:rFonts w:hint="eastAsia" w:ascii="宋体" w:hAnsi="宋体" w:eastAsia="宋体" w:cs="宋体"/>
                <w:sz w:val="21"/>
                <w:szCs w:val="21"/>
                <w:lang w:val="en-US" w:eastAsia="zh-CN" w:bidi="ar-SA"/>
              </w:rPr>
            </w:r>
            <w:r/>
          </w:p>
        </w:tc>
        <w:tc>
          <w:tcPr>
            <w:tcW w:w="1748" w:type="dxa"/>
            <w:vAlign w:val="center"/>
            <w:vMerge w:val="restart"/>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冷冻类</w:t>
            </w:r>
            <w:r>
              <w:rPr>
                <w:rFonts w:hint="eastAsia" w:ascii="宋体" w:hAnsi="宋体" w:eastAsia="宋体" w:cs="宋体"/>
                <w:sz w:val="21"/>
                <w:szCs w:val="21"/>
                <w:lang w:val="en-US" w:eastAsia="zh-CN" w:bidi="ar-SA"/>
              </w:rPr>
            </w:r>
            <w:r/>
          </w:p>
        </w:tc>
        <w:tc>
          <w:tcPr>
            <w:tcW w:w="1119"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牛柳条</w:t>
            </w:r>
            <w:r>
              <w:rPr>
                <w:rFonts w:hint="eastAsia" w:ascii="宋体" w:hAnsi="宋体" w:eastAsia="宋体" w:cs="宋体"/>
                <w:color w:val="000000"/>
                <w:sz w:val="21"/>
                <w:szCs w:val="21"/>
                <w:lang w:val="en-US" w:eastAsia="zh-CN" w:bidi="ar-SA"/>
              </w:rPr>
            </w:r>
            <w:r/>
          </w:p>
        </w:tc>
        <w:tc>
          <w:tcPr>
            <w:tcW w:w="111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妙脆鸡腿</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720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黑椒鸡块</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藤椒腿排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720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孜然扇子骨</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盐酥鸡</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350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小酥肉</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350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龙骨脆</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川香鸡柳</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骨肉相连</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卡兹脆鸡排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雪花鸡排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咕咾肉</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鳕鱼排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奥尔良鸡块</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鸡肉饼</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250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黄金猪排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黄金蛋饺</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琵琶腿</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鸡丁</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250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鸡中翅</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大鸡爪</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350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鸡排腿</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鸡上腿</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鸭腿</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鸭肫</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鸭二节翅</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鸡米花</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鸡翅根</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面筋塞肉</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雪花肉排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香辣鸡翅根</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黑椒牛排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450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奥尔良鸡中翅</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黑椒牛仔骨</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黄金虾排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千丝万缕虾</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大脸鸡排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350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培根</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孜然脆骨</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辣子鸡</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锅包肉</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金丝鸡排</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无骨鸡柳</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美式黑椒鸡块</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350</w:t>
            </w:r>
            <w:r>
              <w:rPr>
                <w:rFonts w:hint="eastAsia" w:ascii="宋体" w:hAnsi="宋体" w:eastAsia="宋体" w:cs="宋体"/>
                <w:b w:val="0"/>
                <w:bCs w:val="0"/>
                <w:sz w:val="21"/>
                <w:szCs w:val="21"/>
                <w:lang w:val="en-US" w:eastAsia="zh-CN"/>
              </w:rPr>
            </w:r>
            <w:r/>
          </w:p>
        </w:tc>
      </w:tr>
      <w:tr>
        <w:trPr>
          <w:trHeight w:val="600"/>
        </w:trPr>
        <w:tc>
          <w:tcPr>
            <w:tcW w:w="1011"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1748" w:type="dxa"/>
            <w:vAlign w:val="top"/>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2206" w:type="dxa"/>
            <w:vAlign w:val="center"/>
            <w:textDirection w:val="lrTb"/>
            <w:noWrap w:val="false"/>
          </w:tcPr>
          <w:p>
            <w:pPr>
              <w:pStyle w:val="1276"/>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
              </w:rPr>
              <w:t xml:space="preserve">糖醋里脊</w:t>
            </w:r>
            <w:r>
              <w:rPr>
                <w:rFonts w:hint="eastAsia" w:ascii="宋体" w:hAnsi="宋体" w:eastAsia="宋体" w:cs="宋体"/>
                <w:color w:val="000000"/>
                <w:sz w:val="21"/>
                <w:szCs w:val="21"/>
                <w:lang w:val="en-US" w:eastAsia="zh-CN" w:bidi="ar-SA"/>
              </w:rPr>
            </w:r>
            <w:r/>
          </w:p>
        </w:tc>
        <w:tc>
          <w:tcPr>
            <w:tcW w:w="2206" w:type="dxa"/>
            <w:vAlign w:val="top"/>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400</w:t>
            </w:r>
            <w:r>
              <w:rPr>
                <w:rFonts w:hint="eastAsia" w:ascii="宋体" w:hAnsi="宋体" w:eastAsia="宋体" w:cs="宋体"/>
                <w:b w:val="0"/>
                <w:bCs w:val="0"/>
                <w:sz w:val="21"/>
                <w:szCs w:val="21"/>
                <w:lang w:val="en-US" w:eastAsia="zh-CN"/>
              </w:rPr>
            </w:r>
            <w:r/>
          </w:p>
        </w:tc>
      </w:tr>
    </w:tbl>
    <w:p>
      <w:pPr>
        <w:pStyle w:val="1276"/>
        <w:ind w:firstLine="420"/>
        <w:jc w:val="left"/>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pStyle w:val="1589"/>
        <w:ind w:firstLine="0"/>
        <w:jc w:val="left"/>
        <w:tabs>
          <w:tab w:val="left" w:pos="1440" w:leader="none"/>
          <w:tab w:val="left" w:pos="5670" w:leader="none"/>
        </w:tabs>
        <w:rPr>
          <w:rFonts w:hint="eastAsia" w:ascii="宋体" w:hAnsi="宋体" w:eastAsia="宋体" w:cs="宋体"/>
          <w:sz w:val="21"/>
          <w:szCs w:val="21"/>
          <w:highlight w:val="none"/>
          <w:lang w:val="en-US" w:eastAsia="zh-CN"/>
        </w:rPr>
        <w:outlineLvl w:val="2"/>
      </w:pPr>
      <w:r/>
      <w:bookmarkStart w:id="524" w:name="_Toc27619"/>
      <w:r>
        <w:rPr>
          <w:rFonts w:hint="eastAsia" w:ascii="宋体" w:hAnsi="宋体" w:eastAsia="宋体" w:cs="宋体"/>
          <w:sz w:val="21"/>
          <w:szCs w:val="21"/>
          <w:highlight w:val="none"/>
          <w:lang w:val="en-US" w:eastAsia="zh-CN"/>
        </w:rPr>
        <w:t xml:space="preserve">分包3：水产类</w:t>
      </w:r>
      <w:bookmarkEnd w:id="524"/>
      <w:r>
        <w:rPr>
          <w:rFonts w:hint="eastAsia" w:ascii="宋体" w:hAnsi="宋体" w:eastAsia="宋体" w:cs="宋体"/>
          <w:sz w:val="21"/>
          <w:szCs w:val="21"/>
          <w:highlight w:val="none"/>
          <w:lang w:val="en-US" w:eastAsia="zh-CN"/>
        </w:rPr>
      </w:r>
      <w:r/>
    </w:p>
    <w:p>
      <w:pPr>
        <w:pStyle w:val="1276"/>
        <w:rPr>
          <w:rFonts w:hint="eastAsia" w:ascii="宋体" w:hAnsi="宋体" w:eastAsia="宋体" w:cs="宋体"/>
          <w:szCs w:val="21"/>
          <w:lang w:val="en-US" w:eastAsia="zh-CN"/>
        </w:rPr>
      </w:pPr>
      <w:r>
        <w:rPr>
          <w:rFonts w:hint="eastAsia" w:ascii="宋体" w:hAnsi="宋体" w:eastAsia="宋体" w:cs="宋体"/>
          <w:szCs w:val="21"/>
          <w:highlight w:val="none"/>
          <w:lang w:val="en-US" w:eastAsia="zh-CN"/>
        </w:rPr>
        <w:t xml:space="preserve">（一）质量要求</w:t>
      </w:r>
      <w:r>
        <w:rPr>
          <w:rFonts w:hint="eastAsia" w:ascii="宋体" w:hAnsi="宋体" w:eastAsia="宋体" w:cs="宋体"/>
          <w:szCs w:val="21"/>
          <w:lang w:val="en-US" w:eastAsia="zh-CN"/>
        </w:rPr>
      </w:r>
      <w:r/>
    </w:p>
    <w:p>
      <w:pPr>
        <w:pStyle w:val="1276"/>
        <w:ind w:firstLine="420"/>
        <w:jc w:val="left"/>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水产类：GB 2762-2017《食品安全国家标准 食品中污染物限量》。</w:t>
      </w:r>
      <w:r>
        <w:rPr>
          <w:rFonts w:hint="eastAsia" w:ascii="宋体" w:hAnsi="宋体" w:eastAsia="宋体" w:cs="宋体"/>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
        <w:gridCol w:w="1425"/>
        <w:gridCol w:w="5776"/>
        <w:gridCol w:w="2143"/>
      </w:tblGrid>
      <w:tr>
        <w:trPr>
          <w:trHeight w:val="1542"/>
        </w:trPr>
        <w:tc>
          <w:tcPr>
            <w:tcW w:w="510" w:type="dxa"/>
            <w:vAlign w:val="center"/>
            <w:textDirection w:val="lrTb"/>
            <w:noWrap w:val="false"/>
          </w:tcPr>
          <w:p>
            <w:pPr>
              <w:pStyle w:val="1276"/>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品类</w:t>
            </w:r>
            <w:r>
              <w:rPr>
                <w:rFonts w:hint="eastAsia" w:ascii="宋体" w:hAnsi="宋体" w:eastAsia="宋体" w:cs="宋体"/>
                <w:sz w:val="21"/>
                <w:szCs w:val="21"/>
                <w:lang w:val="en-US" w:eastAsia="zh-CN" w:bidi="ar-SA"/>
              </w:rPr>
            </w:r>
            <w:r/>
          </w:p>
        </w:tc>
        <w:tc>
          <w:tcPr>
            <w:tcW w:w="1425" w:type="dxa"/>
            <w:vAlign w:val="center"/>
            <w:textDirection w:val="lrTb"/>
            <w:noWrap w:val="false"/>
          </w:tcPr>
          <w:p>
            <w:pPr>
              <w:pStyle w:val="1276"/>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品种（包含以下但不限于，方便日后扩展采购）</w:t>
            </w:r>
            <w:r>
              <w:rPr>
                <w:rFonts w:hint="eastAsia" w:ascii="宋体" w:hAnsi="宋体" w:eastAsia="宋体" w:cs="宋体"/>
                <w:sz w:val="21"/>
                <w:szCs w:val="21"/>
                <w:lang w:val="en-US" w:eastAsia="zh-CN" w:bidi="ar-SA"/>
              </w:rPr>
            </w:r>
            <w:r/>
          </w:p>
        </w:tc>
        <w:tc>
          <w:tcPr>
            <w:tcW w:w="5776" w:type="dxa"/>
            <w:vAlign w:val="center"/>
            <w:textDirection w:val="lrTb"/>
            <w:noWrap w:val="false"/>
          </w:tcPr>
          <w:p>
            <w:pPr>
              <w:pStyle w:val="1276"/>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验收标准</w:t>
            </w:r>
            <w:r>
              <w:rPr>
                <w:rFonts w:hint="eastAsia" w:ascii="宋体" w:hAnsi="宋体" w:eastAsia="宋体" w:cs="宋体"/>
                <w:sz w:val="21"/>
                <w:szCs w:val="21"/>
                <w:lang w:val="en-US" w:eastAsia="zh-CN" w:bidi="ar-SA"/>
              </w:rPr>
            </w:r>
            <w:r/>
          </w:p>
        </w:tc>
        <w:tc>
          <w:tcPr>
            <w:tcW w:w="2143" w:type="dxa"/>
            <w:vAlign w:val="center"/>
            <w:textDirection w:val="lrTb"/>
            <w:noWrap w:val="false"/>
          </w:tcPr>
          <w:p>
            <w:pPr>
              <w:pStyle w:val="1276"/>
              <w:ind w:firstLine="105"/>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备注</w:t>
            </w:r>
            <w:r>
              <w:rPr>
                <w:rFonts w:hint="eastAsia" w:ascii="宋体" w:hAnsi="宋体" w:eastAsia="宋体" w:cs="宋体"/>
                <w:sz w:val="21"/>
                <w:szCs w:val="21"/>
                <w:lang w:val="en-US" w:eastAsia="zh-CN" w:bidi="ar-SA"/>
              </w:rPr>
            </w:r>
            <w:r/>
          </w:p>
        </w:tc>
      </w:tr>
      <w:tr>
        <w:trPr>
          <w:trHeight w:val="1542"/>
        </w:trPr>
        <w:tc>
          <w:tcPr>
            <w:tcW w:w="510"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水产类</w:t>
            </w:r>
            <w:r>
              <w:rPr>
                <w:rFonts w:hint="eastAsia" w:ascii="宋体" w:hAnsi="宋体" w:eastAsia="宋体" w:cs="宋体"/>
                <w:szCs w:val="21"/>
              </w:rPr>
            </w:r>
            <w:r/>
          </w:p>
        </w:tc>
        <w:tc>
          <w:tcPr>
            <w:tcW w:w="1425"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鱼、虾、小黄鱼、无刺鮰鱼块等水产包括现场加工类食品</w:t>
            </w:r>
            <w:r>
              <w:rPr>
                <w:rFonts w:hint="eastAsia" w:ascii="宋体" w:hAnsi="宋体" w:eastAsia="宋体" w:cs="宋体"/>
                <w:szCs w:val="21"/>
              </w:rPr>
            </w:r>
            <w:r/>
          </w:p>
        </w:tc>
        <w:tc>
          <w:tcPr>
            <w:tcW w:w="5776"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海产，淡水鲜活类验收标准：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有弹力，虾体外表洁净，触之有干燥感。蟹，手提蟹体，肢体（步足）向下松垂为新鲜，腹脐上方没有黑色“骨印”泛出，“蟹黄”凝固，鳃丝洁净清晰为新鲜。贝类，肉质新鲜，无异味，表面清洁完整，无寄生物，有光泽。2</w:t>
            </w:r>
            <w:r>
              <w:rPr>
                <w:rFonts w:hint="eastAsia" w:ascii="宋体" w:hAnsi="宋体" w:eastAsia="宋体" w:cs="宋体"/>
                <w:szCs w:val="21"/>
                <w:lang w:eastAsia="zh-CN"/>
              </w:rPr>
              <w:t xml:space="preserve">、</w:t>
            </w:r>
            <w:r>
              <w:rPr>
                <w:rFonts w:hint="eastAsia" w:ascii="宋体" w:hAnsi="宋体" w:eastAsia="宋体" w:cs="宋体"/>
                <w:szCs w:val="21"/>
              </w:rPr>
              <w:t xml:space="preserve">冰鲜类验收标准：鱼体表粘液透明，滑而不黏，气味正常，淡水鱼鳃鲜红或粉红，海水鱼鳃紫色或紫红，鱼眼澄清透明，鱼鳞完整，体表无伤痕。虾，头尾完整，有一定弯曲度，虾身较挺，外壳有光泽，气味正常，蟹，蟹腿坚实，蟹壳纹理清楚，光亮，气味正常。所有水产称重不能带水带冰。</w:t>
            </w:r>
            <w:r>
              <w:rPr>
                <w:rFonts w:hint="eastAsia" w:ascii="宋体" w:hAnsi="宋体" w:eastAsia="宋体" w:cs="宋体"/>
                <w:szCs w:val="21"/>
              </w:rPr>
            </w:r>
            <w:r/>
          </w:p>
        </w:tc>
        <w:tc>
          <w:tcPr>
            <w:tcW w:w="2143"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按天供</w:t>
            </w:r>
            <w:r>
              <w:rPr>
                <w:rFonts w:hint="eastAsia" w:ascii="宋体" w:hAnsi="宋体" w:eastAsia="宋体" w:cs="宋体"/>
                <w:szCs w:val="21"/>
                <w:highlight w:val="none"/>
              </w:rPr>
              <w:t xml:space="preserve">应（根据采购人前一天出具的货品清单，供应商次日清晨7点前送达，</w:t>
            </w:r>
            <w:r>
              <w:rPr>
                <w:rFonts w:hint="eastAsia" w:ascii="宋体" w:hAnsi="宋体" w:eastAsia="宋体" w:cs="宋体"/>
                <w:szCs w:val="21"/>
                <w:highlight w:val="none"/>
                <w:lang w:val="en-US" w:eastAsia="zh-CN"/>
              </w:rPr>
              <w:t xml:space="preserve">送至采购人</w:t>
            </w:r>
            <w:r>
              <w:rPr>
                <w:rFonts w:hint="eastAsia" w:ascii="宋体" w:hAnsi="宋体" w:eastAsia="宋体" w:cs="宋体"/>
                <w:szCs w:val="21"/>
                <w:highlight w:val="none"/>
              </w:rPr>
              <w:t xml:space="preserve">后对设施清理，</w:t>
            </w:r>
            <w:r>
              <w:rPr>
                <w:rFonts w:hint="eastAsia" w:ascii="宋体" w:hAnsi="宋体" w:eastAsia="宋体" w:cs="宋体"/>
                <w:szCs w:val="21"/>
              </w:rPr>
              <w:t xml:space="preserve">打扫厨余垃圾）</w:t>
            </w:r>
            <w:r>
              <w:rPr>
                <w:rFonts w:hint="eastAsia" w:ascii="宋体" w:hAnsi="宋体" w:eastAsia="宋体" w:cs="宋体"/>
                <w:szCs w:val="21"/>
              </w:rPr>
            </w:r>
            <w:r/>
          </w:p>
        </w:tc>
      </w:tr>
    </w:tbl>
    <w:p>
      <w:pPr>
        <w:pStyle w:val="1589"/>
        <w:numPr>
          <w:ilvl w:val="0"/>
          <w:numId w:val="0"/>
        </w:numPr>
        <w:ind w:left="0" w:firstLine="0"/>
        <w:jc w:val="left"/>
        <w:tabs>
          <w:tab w:val="left" w:pos="1440" w:leader="none"/>
          <w:tab w:val="left" w:pos="5670" w:leader="none"/>
        </w:tabs>
        <w:rPr>
          <w:rFonts w:hint="eastAsia" w:ascii="宋体" w:hAnsi="宋体" w:eastAsia="宋体" w:cs="宋体"/>
          <w:bCs w:val="0"/>
          <w:sz w:val="21"/>
          <w:szCs w:val="21"/>
          <w:highlight w:val="none"/>
          <w:lang w:val="en-US" w:eastAsia="zh-CN"/>
        </w:rPr>
        <w:outlineLvl w:val="9"/>
      </w:pPr>
      <w:r>
        <w:rPr>
          <w:rFonts w:hint="eastAsia" w:ascii="宋体" w:hAnsi="宋体" w:eastAsia="宋体" w:cs="宋体"/>
          <w:bCs w:val="0"/>
          <w:sz w:val="21"/>
          <w:szCs w:val="21"/>
          <w:highlight w:val="none"/>
          <w:lang w:val="en-US" w:eastAsia="zh-CN"/>
        </w:rPr>
        <w:t xml:space="preserve">（二）数量</w:t>
      </w:r>
      <w:r>
        <w:rPr>
          <w:rFonts w:hint="eastAsia" w:ascii="宋体" w:hAnsi="宋体" w:eastAsia="宋体" w:cs="宋体"/>
          <w:bCs w:val="0"/>
          <w:sz w:val="21"/>
          <w:szCs w:val="21"/>
          <w:highlight w:val="none"/>
          <w:lang w:val="en-US" w:eastAsia="zh-CN"/>
        </w:rPr>
      </w:r>
      <w:r/>
    </w:p>
    <w:tbl>
      <w:tblPr>
        <w:tblW w:w="473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220"/>
        <w:gridCol w:w="2092"/>
        <w:gridCol w:w="3146"/>
        <w:gridCol w:w="1868"/>
      </w:tblGrid>
      <w:tr>
        <w:trPr>
          <w:trHeight w:val="600"/>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分包号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121"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预估数量（kg）</w:t>
            </w:r>
            <w:r>
              <w:rPr>
                <w:rFonts w:hint="eastAsia" w:ascii="宋体" w:hAnsi="宋体" w:eastAsia="宋体" w:cs="宋体"/>
                <w:b/>
                <w:bCs/>
                <w:sz w:val="21"/>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1190" w:type="dxa"/>
            <w:vAlign w:val="center"/>
            <w:vMerge w:val="restart"/>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3</w:t>
            </w:r>
            <w:r>
              <w:rPr>
                <w:rFonts w:hint="eastAsia" w:ascii="宋体" w:hAnsi="宋体" w:eastAsia="宋体" w:cs="宋体"/>
                <w:b/>
                <w:bCs/>
                <w:sz w:val="21"/>
                <w:szCs w:val="21"/>
              </w:rPr>
            </w:r>
            <w:r/>
          </w:p>
        </w:tc>
        <w:tc>
          <w:tcPr>
            <w:tcBorders>
              <w:top w:val="single" w:color="000000" w:sz="4" w:space="0"/>
              <w:left w:val="none" w:color="000000" w:sz="4" w:space="0"/>
              <w:bottom w:val="none" w:color="000000" w:sz="0" w:space="0"/>
              <w:right w:val="single" w:color="000000" w:sz="4" w:space="0"/>
            </w:tcBorders>
            <w:tcW w:w="1121" w:type="dxa"/>
            <w:vAlign w:val="center"/>
            <w:vMerge w:val="restart"/>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水产类</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鲫鱼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青鱼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鲈鱼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蛏子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沙虾</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牛蛙</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鳜</w:t>
            </w:r>
            <w:r>
              <w:rPr>
                <w:rFonts w:hint="eastAsia" w:ascii="宋体" w:hAnsi="宋体" w:eastAsia="宋体" w:cs="宋体"/>
                <w:sz w:val="21"/>
                <w:szCs w:val="21"/>
              </w:rPr>
              <w:t xml:space="preserve">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梭子蟹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花蛤</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河虾</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草鱼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田螺</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罗氏虾</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生蚝</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文蛤</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黄鳝</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花鲢鱼头</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昂剌鱼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single" w:color="000000" w:sz="4" w:space="0"/>
              <w:right w:val="single" w:color="000000" w:sz="4" w:space="0"/>
            </w:tcBorders>
            <w:tcW w:w="1190"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1121"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冷冻鱼类</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bl>
    <w:p>
      <w:pPr>
        <w:pStyle w:val="1276"/>
        <w:numPr>
          <w:ilvl w:val="0"/>
          <w:numId w:val="0"/>
        </w:numPr>
        <w:ind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589"/>
        <w:ind w:firstLine="0"/>
        <w:jc w:val="left"/>
        <w:tabs>
          <w:tab w:val="left" w:pos="1440" w:leader="none"/>
          <w:tab w:val="left" w:pos="5670" w:leader="none"/>
        </w:tabs>
        <w:rPr>
          <w:rFonts w:hint="eastAsia" w:ascii="宋体" w:hAnsi="宋体" w:eastAsia="宋体" w:cs="宋体"/>
          <w:bCs w:val="0"/>
          <w:sz w:val="21"/>
          <w:szCs w:val="21"/>
          <w:highlight w:val="none"/>
          <w:lang w:val="en-US" w:eastAsia="zh-CN"/>
        </w:rPr>
        <w:outlineLvl w:val="2"/>
      </w:pPr>
      <w:r/>
      <w:bookmarkStart w:id="525" w:name="_Toc12439"/>
      <w:r>
        <w:rPr>
          <w:rFonts w:hint="eastAsia" w:ascii="宋体" w:hAnsi="宋体" w:eastAsia="宋体" w:cs="宋体"/>
          <w:bCs w:val="0"/>
          <w:sz w:val="21"/>
          <w:szCs w:val="21"/>
          <w:highlight w:val="none"/>
          <w:lang w:val="en-US" w:eastAsia="zh-CN"/>
        </w:rPr>
        <w:t xml:space="preserve">分包4：蔬菜禽蛋豆制品类</w:t>
      </w:r>
      <w:bookmarkEnd w:id="525"/>
      <w:r>
        <w:rPr>
          <w:rFonts w:hint="eastAsia" w:ascii="宋体" w:hAnsi="宋体" w:eastAsia="宋体" w:cs="宋体"/>
          <w:bCs w:val="0"/>
          <w:sz w:val="21"/>
          <w:szCs w:val="21"/>
          <w:highlight w:val="none"/>
          <w:lang w:val="en-US" w:eastAsia="zh-CN"/>
        </w:rPr>
      </w:r>
      <w:r/>
    </w:p>
    <w:p>
      <w:pPr>
        <w:pStyle w:val="1276"/>
        <w:rPr>
          <w:rFonts w:hint="eastAsia" w:ascii="宋体" w:hAnsi="宋体" w:eastAsia="宋体" w:cs="宋体"/>
          <w:szCs w:val="21"/>
          <w:lang w:val="en-US" w:eastAsia="zh-CN"/>
        </w:rPr>
      </w:pPr>
      <w:r>
        <w:rPr>
          <w:rFonts w:hint="eastAsia" w:ascii="宋体" w:hAnsi="宋体" w:eastAsia="宋体" w:cs="宋体"/>
          <w:bCs w:val="0"/>
          <w:szCs w:val="21"/>
          <w:highlight w:val="none"/>
          <w:lang w:val="en-US" w:eastAsia="zh-CN"/>
        </w:rPr>
        <w:t xml:space="preserve">（一）质量要求</w:t>
      </w:r>
      <w:r>
        <w:rPr>
          <w:rFonts w:hint="eastAsia" w:ascii="宋体" w:hAnsi="宋体" w:eastAsia="宋体" w:cs="宋体"/>
          <w:szCs w:val="21"/>
          <w:lang w:val="en-US" w:eastAsia="zh-CN"/>
        </w:rPr>
      </w:r>
      <w:r/>
    </w:p>
    <w:p>
      <w:pPr>
        <w:pStyle w:val="1276"/>
        <w:ind w:firstLine="420"/>
        <w:jc w:val="left"/>
        <w:spacing w:line="360" w:lineRule="auto"/>
        <w:widowControl/>
        <w:rPr>
          <w:rFonts w:hint="eastAsia" w:ascii="宋体" w:hAnsi="宋体" w:eastAsia="宋体" w:cs="宋体"/>
          <w:szCs w:val="21"/>
        </w:rPr>
      </w:pPr>
      <w:r>
        <w:rPr>
          <w:rFonts w:hint="eastAsia" w:ascii="宋体" w:hAnsi="宋体" w:eastAsia="宋体" w:cs="宋体"/>
          <w:szCs w:val="21"/>
          <w:highlight w:val="none"/>
        </w:rPr>
        <w:t xml:space="preserve">蔬菜类：农药残留</w:t>
      </w:r>
      <w:r>
        <w:rPr>
          <w:rFonts w:hint="eastAsia" w:ascii="宋体" w:hAnsi="宋体" w:eastAsia="宋体" w:cs="宋体"/>
          <w:color w:val="000000"/>
          <w:szCs w:val="21"/>
          <w:highlight w:val="none"/>
        </w:rPr>
        <w:t xml:space="preserve">符合GB2763-2016。按采购</w:t>
      </w:r>
      <w:r>
        <w:rPr>
          <w:rFonts w:hint="eastAsia" w:ascii="宋体" w:hAnsi="宋体" w:eastAsia="宋体" w:cs="宋体"/>
          <w:szCs w:val="21"/>
          <w:highlight w:val="none"/>
        </w:rPr>
        <w:t xml:space="preserve">人要求规格供货。要求蔬菜品质新鲜，安全卫生。供应商应提供残留农药检测达标报告</w:t>
      </w:r>
      <w:r>
        <w:rPr>
          <w:rFonts w:hint="eastAsia" w:ascii="宋体" w:hAnsi="宋体" w:eastAsia="宋体" w:cs="宋体"/>
          <w:szCs w:val="21"/>
        </w:rPr>
        <w:t xml:space="preserve">。</w:t>
      </w:r>
      <w:r>
        <w:rPr>
          <w:rFonts w:hint="eastAsia" w:ascii="宋体" w:hAnsi="宋体" w:eastAsia="宋体" w:cs="宋体"/>
          <w:szCs w:val="21"/>
        </w:rPr>
      </w:r>
      <w:r/>
    </w:p>
    <w:p>
      <w:pPr>
        <w:pStyle w:val="1276"/>
        <w:ind w:firstLine="420"/>
        <w:jc w:val="left"/>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禽蛋类：GB 31650-2019《食品安全国家标准 食品中兽药最大残留限量》</w:t>
      </w:r>
      <w:r>
        <w:rPr>
          <w:rFonts w:hint="eastAsia" w:ascii="宋体" w:hAnsi="宋体" w:eastAsia="宋体" w:cs="宋体"/>
          <w:szCs w:val="21"/>
          <w:highlight w:val="none"/>
          <w:lang w:val="en-US" w:eastAsia="zh-CN"/>
        </w:rPr>
      </w:r>
      <w:r/>
    </w:p>
    <w:p>
      <w:pPr>
        <w:pStyle w:val="1276"/>
        <w:rPr>
          <w:rFonts w:hint="eastAsia" w:ascii="宋体" w:hAnsi="宋体" w:eastAsia="宋体" w:cs="宋体"/>
          <w:bCs/>
          <w:szCs w:val="21"/>
          <w:lang w:val="en-US" w:eastAsia="zh-CN"/>
        </w:rPr>
      </w:pPr>
      <w:r>
        <w:rPr>
          <w:rFonts w:hint="eastAsia" w:ascii="宋体" w:hAnsi="宋体" w:eastAsia="宋体" w:cs="宋体"/>
          <w:bCs/>
          <w:szCs w:val="21"/>
          <w:lang w:val="en-US" w:eastAsia="zh-CN"/>
        </w:rPr>
      </w:r>
      <w:r/>
    </w:p>
    <w:p>
      <w:pPr>
        <w:pStyle w:val="1276"/>
        <w:rPr>
          <w:rFonts w:hint="eastAsia" w:ascii="宋体" w:hAnsi="宋体" w:eastAsia="宋体" w:cs="宋体"/>
          <w:bCs/>
          <w:szCs w:val="21"/>
          <w:lang w:val="en-US" w:eastAsia="zh-CN"/>
        </w:rPr>
      </w:pPr>
      <w:r>
        <w:rPr>
          <w:rFonts w:hint="eastAsia" w:ascii="宋体" w:hAnsi="宋体" w:eastAsia="宋体" w:cs="宋体"/>
          <w:bCs/>
          <w:szCs w:val="21"/>
          <w:lang w:val="en-US" w:eastAsia="zh-CN"/>
        </w:rPr>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2073"/>
        <w:gridCol w:w="4656"/>
        <w:gridCol w:w="2167"/>
      </w:tblGrid>
      <w:tr>
        <w:trPr>
          <w:trHeight w:val="568"/>
        </w:trPr>
        <w:tc>
          <w:tcPr>
            <w:tcW w:w="473"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品类</w:t>
            </w:r>
            <w:r>
              <w:rPr>
                <w:rFonts w:hint="eastAsia" w:ascii="宋体" w:hAnsi="宋体" w:eastAsia="宋体" w:cs="宋体"/>
                <w:szCs w:val="21"/>
              </w:rPr>
            </w:r>
            <w:r/>
          </w:p>
        </w:tc>
        <w:tc>
          <w:tcPr>
            <w:tcW w:w="1054"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品种（包含以下但不限于，方便日后扩展采购）</w:t>
            </w:r>
            <w:r>
              <w:rPr>
                <w:rFonts w:hint="eastAsia" w:ascii="宋体" w:hAnsi="宋体" w:eastAsia="宋体" w:cs="宋体"/>
                <w:szCs w:val="21"/>
              </w:rPr>
            </w:r>
            <w:r/>
          </w:p>
        </w:tc>
        <w:tc>
          <w:tcPr>
            <w:tcW w:w="2368" w:type="dxa"/>
            <w:vAlign w:val="center"/>
            <w:textDirection w:val="lrTb"/>
            <w:noWrap w:val="false"/>
          </w:tcPr>
          <w:p>
            <w:pPr>
              <w:pStyle w:val="1276"/>
              <w:ind w:firstLine="1365"/>
              <w:spacing w:line="360" w:lineRule="auto"/>
              <w:rPr>
                <w:rFonts w:hint="eastAsia" w:ascii="宋体" w:hAnsi="宋体" w:eastAsia="宋体" w:cs="宋体"/>
                <w:szCs w:val="21"/>
              </w:rPr>
            </w:pPr>
            <w:r>
              <w:rPr>
                <w:rFonts w:hint="eastAsia" w:ascii="宋体" w:hAnsi="宋体" w:eastAsia="宋体" w:cs="宋体"/>
                <w:szCs w:val="21"/>
              </w:rPr>
              <w:t xml:space="preserve">验收标准</w:t>
            </w:r>
            <w:r>
              <w:rPr>
                <w:rFonts w:hint="eastAsia" w:ascii="宋体" w:hAnsi="宋体" w:eastAsia="宋体" w:cs="宋体"/>
                <w:szCs w:val="21"/>
              </w:rPr>
            </w:r>
            <w:r/>
          </w:p>
        </w:tc>
        <w:tc>
          <w:tcPr>
            <w:tcW w:w="110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tc>
      </w:tr>
      <w:tr>
        <w:trPr>
          <w:trHeight w:val="568"/>
        </w:trPr>
        <w:tc>
          <w:tcPr>
            <w:tcW w:w="473" w:type="dxa"/>
            <w:vAlign w:val="center"/>
            <w:textDirection w:val="lrTb"/>
            <w:noWrap w:val="false"/>
          </w:tcPr>
          <w:p>
            <w:pPr>
              <w:pStyle w:val="1276"/>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蔬菜类</w:t>
            </w:r>
            <w:r>
              <w:rPr>
                <w:rFonts w:hint="eastAsia" w:ascii="宋体" w:hAnsi="宋体" w:eastAsia="宋体" w:cs="宋体"/>
                <w:sz w:val="21"/>
                <w:szCs w:val="21"/>
                <w:lang w:val="en-US" w:eastAsia="zh-CN" w:bidi="ar-SA"/>
              </w:rPr>
            </w:r>
            <w:r/>
          </w:p>
        </w:tc>
        <w:tc>
          <w:tcPr>
            <w:tcW w:w="1054" w:type="dxa"/>
            <w:vAlign w:val="center"/>
            <w:textDirection w:val="lrTb"/>
            <w:noWrap w:val="false"/>
          </w:tcPr>
          <w:p>
            <w:pPr>
              <w:pStyle w:val="1276"/>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青菜、萝卜、包菜、青芹、西红柿、黄瓜、土豆、大白菜、茄子、薄皮青椒等蔬菜类食品。</w:t>
            </w:r>
            <w:r>
              <w:rPr>
                <w:rFonts w:hint="eastAsia" w:ascii="宋体" w:hAnsi="宋体" w:eastAsia="宋体" w:cs="宋体"/>
                <w:sz w:val="21"/>
                <w:szCs w:val="21"/>
                <w:lang w:val="en-US" w:eastAsia="zh-CN" w:bidi="ar-SA"/>
              </w:rPr>
            </w:r>
            <w:r/>
          </w:p>
        </w:tc>
        <w:tc>
          <w:tcPr>
            <w:tcW w:w="2368" w:type="dxa"/>
            <w:vAlign w:val="center"/>
            <w:textDirection w:val="lrTb"/>
            <w:noWrap w:val="false"/>
          </w:tcPr>
          <w:p>
            <w:pPr>
              <w:pStyle w:val="1276"/>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蔬菜类验收标准：新鲜卫生的绿色蔬菜，新鲜菜光滑、清脆鲜嫩，无变质腐烂、无黄叶、不带泥沙、无杂草、检测无农药残留。</w:t>
            </w:r>
            <w:r>
              <w:rPr>
                <w:rFonts w:hint="eastAsia" w:ascii="宋体" w:hAnsi="宋体" w:eastAsia="宋体" w:cs="宋体"/>
                <w:sz w:val="21"/>
                <w:szCs w:val="21"/>
                <w:lang w:val="en-US" w:eastAsia="zh-CN" w:bidi="ar-SA"/>
              </w:rPr>
            </w:r>
            <w:r/>
          </w:p>
        </w:tc>
        <w:tc>
          <w:tcPr>
            <w:tcW w:w="110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按天供</w:t>
            </w:r>
            <w:r>
              <w:rPr>
                <w:rFonts w:hint="eastAsia" w:ascii="宋体" w:hAnsi="宋体" w:eastAsia="宋体" w:cs="宋体"/>
                <w:szCs w:val="21"/>
                <w:highlight w:val="none"/>
              </w:rPr>
              <w:t xml:space="preserve">应（根据采购人前一天出具的货品清单，供应商次日清晨7点前送达，</w:t>
            </w:r>
            <w:r>
              <w:rPr>
                <w:rFonts w:hint="eastAsia" w:ascii="宋体" w:hAnsi="宋体" w:eastAsia="宋体" w:cs="宋体"/>
                <w:szCs w:val="21"/>
                <w:highlight w:val="none"/>
                <w:lang w:val="en-US" w:eastAsia="zh-CN"/>
              </w:rPr>
              <w:t xml:space="preserve">送至采购人</w:t>
            </w:r>
            <w:r>
              <w:rPr>
                <w:rFonts w:hint="eastAsia" w:ascii="宋体" w:hAnsi="宋体" w:eastAsia="宋体" w:cs="宋体"/>
                <w:szCs w:val="21"/>
                <w:highlight w:val="none"/>
              </w:rPr>
              <w:t xml:space="preserve">后对设施清理，</w:t>
            </w:r>
            <w:r>
              <w:rPr>
                <w:rFonts w:hint="eastAsia" w:ascii="宋体" w:hAnsi="宋体" w:eastAsia="宋体" w:cs="宋体"/>
                <w:szCs w:val="21"/>
              </w:rPr>
              <w:t xml:space="preserve">打扫厨余垃圾）</w:t>
            </w:r>
            <w:r>
              <w:rPr>
                <w:rFonts w:hint="eastAsia" w:ascii="宋体" w:hAnsi="宋体" w:eastAsia="宋体" w:cs="宋体"/>
                <w:szCs w:val="21"/>
              </w:rPr>
            </w:r>
            <w:r/>
          </w:p>
        </w:tc>
      </w:tr>
      <w:tr>
        <w:trPr>
          <w:trHeight w:val="568"/>
        </w:trPr>
        <w:tc>
          <w:tcPr>
            <w:tcW w:w="473" w:type="dxa"/>
            <w:vAlign w:val="top"/>
            <w:vMerge w:val="restart"/>
            <w:textDirection w:val="lrTb"/>
            <w:noWrap w:val="false"/>
          </w:tcPr>
          <w:p>
            <w:pPr>
              <w:pStyle w:val="1276"/>
              <w:ind w:left="118"/>
              <w:spacing w:line="360" w:lineRule="auto"/>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18"/>
              <w:spacing w:line="360" w:lineRule="auto"/>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18"/>
              <w:spacing w:line="360" w:lineRule="auto"/>
              <w:rPr>
                <w:rFonts w:hint="eastAsia" w:ascii="宋体" w:hAnsi="宋体" w:eastAsia="宋体" w:cs="宋体"/>
                <w:szCs w:val="21"/>
              </w:rPr>
            </w:pPr>
            <w:r>
              <w:rPr>
                <w:rFonts w:hint="eastAsia" w:ascii="宋体" w:hAnsi="宋体" w:eastAsia="宋体" w:cs="宋体"/>
                <w:szCs w:val="21"/>
              </w:rPr>
            </w:r>
            <w:r/>
          </w:p>
          <w:p>
            <w:pPr>
              <w:pStyle w:val="1276"/>
              <w:ind w:left="118"/>
              <w:spacing w:line="360" w:lineRule="auto"/>
              <w:rPr>
                <w:rFonts w:hint="eastAsia" w:ascii="宋体" w:hAnsi="宋体" w:eastAsia="宋体" w:cs="宋体"/>
                <w:szCs w:val="21"/>
              </w:rPr>
            </w:pPr>
            <w:r>
              <w:rPr>
                <w:rFonts w:hint="eastAsia" w:ascii="宋体" w:hAnsi="宋体" w:eastAsia="宋体" w:cs="宋体"/>
                <w:szCs w:val="21"/>
              </w:rPr>
              <w:t xml:space="preserve">禽蛋类</w:t>
            </w: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18"/>
              <w:spacing w:line="360" w:lineRule="auto"/>
              <w:rPr>
                <w:rFonts w:hint="eastAsia" w:ascii="宋体" w:hAnsi="宋体" w:eastAsia="宋体" w:cs="宋体"/>
                <w:szCs w:val="21"/>
              </w:rPr>
            </w:pPr>
            <w:r>
              <w:rPr>
                <w:rFonts w:hint="eastAsia" w:ascii="宋体" w:hAnsi="宋体" w:eastAsia="宋体" w:cs="宋体"/>
                <w:szCs w:val="21"/>
              </w:rPr>
            </w:r>
            <w:r/>
          </w:p>
          <w:p>
            <w:pPr>
              <w:pStyle w:val="1276"/>
              <w:ind w:left="126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054" w:type="dxa"/>
            <w:vAlign w:val="top"/>
            <w:textDirection w:val="lrTb"/>
            <w:noWrap w:val="false"/>
          </w:tcPr>
          <w:p>
            <w:pPr>
              <w:pStyle w:val="1276"/>
              <w:jc w:val="center"/>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禽类：鸡、鸭、鹅等活禽</w:t>
            </w:r>
            <w:r>
              <w:rPr>
                <w:rFonts w:hint="eastAsia" w:ascii="宋体" w:hAnsi="宋体" w:eastAsia="宋体" w:cs="宋体"/>
                <w:szCs w:val="21"/>
              </w:rPr>
            </w:r>
            <w:r/>
          </w:p>
          <w:p>
            <w:pPr>
              <w:pStyle w:val="1276"/>
              <w:ind w:left="1260"/>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236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禽类验收标准：表面光滑而有光泽，肉质弹性好且丰满，表皮无毛或少毛，无破皮，无明显淤块，无污水，胸内无一切内脏，无血水，无异味。商标规格，产品说明清晰完整。</w:t>
            </w:r>
            <w:r>
              <w:rPr>
                <w:rFonts w:hint="eastAsia" w:ascii="宋体" w:hAnsi="宋体" w:eastAsia="宋体" w:cs="宋体"/>
                <w:sz w:val="21"/>
                <w:szCs w:val="21"/>
                <w:lang w:val="en-US" w:eastAsia="zh-CN" w:bidi="ar-SA"/>
              </w:rPr>
            </w:r>
            <w:r/>
          </w:p>
        </w:tc>
        <w:tc>
          <w:tcPr>
            <w:tcW w:w="110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按天供</w:t>
            </w:r>
            <w:r>
              <w:rPr>
                <w:rFonts w:hint="eastAsia" w:ascii="宋体" w:hAnsi="宋体" w:eastAsia="宋体" w:cs="宋体"/>
                <w:szCs w:val="21"/>
                <w:highlight w:val="none"/>
              </w:rPr>
              <w:t xml:space="preserve">应（根据采购人前一天出具的货品清单，供应商次日清晨7点前送达，</w:t>
            </w:r>
            <w:r>
              <w:rPr>
                <w:rFonts w:hint="eastAsia" w:ascii="宋体" w:hAnsi="宋体" w:eastAsia="宋体" w:cs="宋体"/>
                <w:szCs w:val="21"/>
                <w:highlight w:val="none"/>
                <w:lang w:val="en-US" w:eastAsia="zh-CN"/>
              </w:rPr>
              <w:t xml:space="preserve">送至采购人</w:t>
            </w:r>
            <w:r>
              <w:rPr>
                <w:rFonts w:hint="eastAsia" w:ascii="宋体" w:hAnsi="宋体" w:eastAsia="宋体" w:cs="宋体"/>
                <w:szCs w:val="21"/>
                <w:highlight w:val="none"/>
              </w:rPr>
              <w:t xml:space="preserve">后对设施清理，</w:t>
            </w:r>
            <w:r>
              <w:rPr>
                <w:rFonts w:hint="eastAsia" w:ascii="宋体" w:hAnsi="宋体" w:eastAsia="宋体" w:cs="宋体"/>
                <w:szCs w:val="21"/>
              </w:rPr>
              <w:t xml:space="preserve">打扫厨余垃圾）</w:t>
            </w:r>
            <w:r>
              <w:rPr>
                <w:rFonts w:hint="eastAsia" w:ascii="宋体" w:hAnsi="宋体" w:eastAsia="宋体" w:cs="宋体"/>
                <w:szCs w:val="21"/>
              </w:rPr>
            </w:r>
            <w:r/>
          </w:p>
        </w:tc>
      </w:tr>
      <w:tr>
        <w:trPr>
          <w:trHeight w:val="568"/>
        </w:trPr>
        <w:tc>
          <w:tcPr>
            <w:tcW w:w="473" w:type="dxa"/>
            <w:vAlign w:val="center"/>
            <w:vMerge w:val="continue"/>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054" w:type="dxa"/>
            <w:vAlign w:val="center"/>
            <w:textDirection w:val="lrTb"/>
            <w:noWrap w:val="false"/>
          </w:tcPr>
          <w:p>
            <w:pPr>
              <w:pStyle w:val="1276"/>
              <w:ind w:left="0"/>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蛋类：鸡蛋、鸭蛋、鹅蛋和鹌鹑蛋等</w:t>
            </w:r>
            <w:r>
              <w:rPr>
                <w:rFonts w:hint="eastAsia" w:ascii="宋体" w:hAnsi="宋体" w:eastAsia="宋体" w:cs="宋体"/>
                <w:sz w:val="21"/>
                <w:szCs w:val="21"/>
                <w:lang w:val="en-US" w:eastAsia="zh-CN" w:bidi="ar-SA"/>
              </w:rPr>
            </w:r>
            <w:r/>
          </w:p>
        </w:tc>
        <w:tc>
          <w:tcPr>
            <w:tcW w:w="236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蛋类验收标准：蛋壳清洁完整，灯光透视时整个蛋呈微红色，蛋黄不见或略有阴影，打开后蛋黄凸起完整并带有韧性，蛋白澄清透明，稀稠分明。</w:t>
            </w:r>
            <w:r>
              <w:rPr>
                <w:rFonts w:hint="eastAsia" w:ascii="宋体" w:hAnsi="宋体" w:eastAsia="宋体" w:cs="宋体"/>
                <w:sz w:val="21"/>
                <w:szCs w:val="21"/>
                <w:lang w:val="en-US" w:eastAsia="zh-CN" w:bidi="ar-SA"/>
              </w:rPr>
            </w:r>
            <w:r/>
          </w:p>
        </w:tc>
        <w:tc>
          <w:tcPr>
            <w:tcW w:w="110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按天供</w:t>
            </w:r>
            <w:r>
              <w:rPr>
                <w:rFonts w:hint="eastAsia" w:ascii="宋体" w:hAnsi="宋体" w:eastAsia="宋体" w:cs="宋体"/>
                <w:szCs w:val="21"/>
                <w:highlight w:val="none"/>
              </w:rPr>
              <w:t xml:space="preserve">应（根据采购人前一天出具的货品清单，供应商次日清晨7点前送达，</w:t>
            </w:r>
            <w:r>
              <w:rPr>
                <w:rFonts w:hint="eastAsia" w:ascii="宋体" w:hAnsi="宋体" w:eastAsia="宋体" w:cs="宋体"/>
                <w:szCs w:val="21"/>
                <w:highlight w:val="none"/>
                <w:lang w:val="en-US" w:eastAsia="zh-CN"/>
              </w:rPr>
              <w:t xml:space="preserve">送至采购人</w:t>
            </w:r>
            <w:r>
              <w:rPr>
                <w:rFonts w:hint="eastAsia" w:ascii="宋体" w:hAnsi="宋体" w:eastAsia="宋体" w:cs="宋体"/>
                <w:szCs w:val="21"/>
                <w:highlight w:val="none"/>
              </w:rPr>
              <w:t xml:space="preserve">后对设施清理，</w:t>
            </w:r>
            <w:r>
              <w:rPr>
                <w:rFonts w:hint="eastAsia" w:ascii="宋体" w:hAnsi="宋体" w:eastAsia="宋体" w:cs="宋体"/>
                <w:szCs w:val="21"/>
              </w:rPr>
              <w:t xml:space="preserve">打扫厨余垃圾）</w:t>
            </w:r>
            <w:r>
              <w:rPr>
                <w:rFonts w:hint="eastAsia" w:ascii="宋体" w:hAnsi="宋体" w:eastAsia="宋体" w:cs="宋体"/>
                <w:szCs w:val="21"/>
              </w:rPr>
            </w:r>
            <w:r/>
          </w:p>
        </w:tc>
      </w:tr>
      <w:tr>
        <w:trPr>
          <w:trHeight w:val="568"/>
        </w:trPr>
        <w:tc>
          <w:tcPr>
            <w:tcW w:w="473" w:type="dxa"/>
            <w:vAlign w:val="center"/>
            <w:textDirection w:val="lrTb"/>
            <w:noWrap w:val="false"/>
          </w:tcPr>
          <w:p>
            <w:pPr>
              <w:pStyle w:val="1276"/>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豆制品类</w:t>
            </w:r>
            <w:r>
              <w:rPr>
                <w:rFonts w:hint="eastAsia" w:ascii="宋体" w:hAnsi="宋体" w:eastAsia="宋体" w:cs="宋体"/>
                <w:szCs w:val="21"/>
                <w:lang w:val="en-US" w:eastAsia="zh-CN"/>
              </w:rPr>
            </w:r>
            <w:r/>
          </w:p>
        </w:tc>
        <w:tc>
          <w:tcPr>
            <w:tcW w:w="1054" w:type="dxa"/>
            <w:vAlign w:val="top"/>
            <w:textDirection w:val="lrTb"/>
            <w:noWrap w:val="false"/>
          </w:tcPr>
          <w:p>
            <w:pPr>
              <w:pStyle w:val="1276"/>
              <w:ind w:left="0" w:firstLine="0"/>
              <w:jc w:val="center"/>
              <w:spacing w:after="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鲜毛豆米</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蚕豆瓣</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豆腐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豆腐果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兰花干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素鸡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香干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千张结</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薄千张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手撕面筋丝</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水面筋</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白干皮</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臭干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河粉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手指年糕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脆皮豆腐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卤香干</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豆制品</w:t>
            </w:r>
            <w:r>
              <w:rPr>
                <w:rFonts w:hint="eastAsia" w:ascii="宋体" w:hAnsi="宋体" w:eastAsia="宋体" w:cs="宋体"/>
                <w:sz w:val="21"/>
                <w:szCs w:val="21"/>
                <w:lang w:val="en-US" w:eastAsia="zh-CN" w:bidi="ar-SA"/>
              </w:rPr>
            </w:r>
            <w:r/>
          </w:p>
        </w:tc>
        <w:tc>
          <w:tcPr>
            <w:tcW w:w="2368" w:type="dxa"/>
            <w:vAlign w:val="center"/>
            <w:textDirection w:val="lrTb"/>
            <w:noWrap w:val="false"/>
          </w:tcPr>
          <w:p>
            <w:pPr>
              <w:pStyle w:val="1276"/>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1、感官要求：</w:t>
            </w:r>
            <w:r>
              <w:rPr>
                <w:rFonts w:hint="eastAsia" w:ascii="宋体" w:hAnsi="宋体" w:eastAsia="宋体" w:cs="宋体"/>
                <w:sz w:val="21"/>
                <w:szCs w:val="21"/>
              </w:rPr>
            </w:r>
            <w:r/>
          </w:p>
          <w:p>
            <w:pPr>
              <w:pStyle w:val="1276"/>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具有产品应有的色泽； 具有产品应有的滋味和气味，无异味；具有产品应有的状态，无霉变，无正常视力可见的外来异物。</w:t>
            </w:r>
            <w:r>
              <w:rPr>
                <w:rFonts w:hint="eastAsia" w:ascii="宋体" w:hAnsi="宋体" w:eastAsia="宋体" w:cs="宋体"/>
                <w:sz w:val="21"/>
                <w:szCs w:val="21"/>
              </w:rPr>
            </w:r>
            <w:r/>
          </w:p>
          <w:p>
            <w:pPr>
              <w:pStyle w:val="1276"/>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2、规范要求：</w:t>
            </w:r>
            <w:r>
              <w:rPr>
                <w:rFonts w:hint="eastAsia" w:ascii="宋体" w:hAnsi="宋体" w:eastAsia="宋体" w:cs="宋体"/>
                <w:sz w:val="21"/>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 w:val="21"/>
                <w:szCs w:val="21"/>
              </w:rPr>
              <w:t xml:space="preserve">符合食品安全国家标准（GB2712-2014）豆制品。</w:t>
            </w:r>
            <w:r>
              <w:rPr>
                <w:rFonts w:hint="eastAsia" w:ascii="宋体" w:hAnsi="宋体" w:eastAsia="宋体" w:cs="宋体"/>
                <w:szCs w:val="21"/>
              </w:rPr>
            </w:r>
            <w:r/>
          </w:p>
        </w:tc>
        <w:tc>
          <w:tcPr>
            <w:tcW w:w="110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按天供</w:t>
            </w:r>
            <w:r>
              <w:rPr>
                <w:rFonts w:hint="eastAsia" w:ascii="宋体" w:hAnsi="宋体" w:eastAsia="宋体" w:cs="宋体"/>
                <w:szCs w:val="21"/>
                <w:highlight w:val="none"/>
              </w:rPr>
              <w:t xml:space="preserve">应（根据采购人前一天出具的货品清单，供应商次日清晨7点前送达，</w:t>
            </w:r>
            <w:r>
              <w:rPr>
                <w:rFonts w:hint="eastAsia" w:ascii="宋体" w:hAnsi="宋体" w:eastAsia="宋体" w:cs="宋体"/>
                <w:szCs w:val="21"/>
                <w:highlight w:val="none"/>
                <w:lang w:val="en-US" w:eastAsia="zh-CN"/>
              </w:rPr>
              <w:t xml:space="preserve">送至采购人</w:t>
            </w:r>
            <w:r>
              <w:rPr>
                <w:rFonts w:hint="eastAsia" w:ascii="宋体" w:hAnsi="宋体" w:eastAsia="宋体" w:cs="宋体"/>
                <w:szCs w:val="21"/>
                <w:highlight w:val="none"/>
              </w:rPr>
              <w:t xml:space="preserve">后对设施清理，</w:t>
            </w:r>
            <w:r>
              <w:rPr>
                <w:rFonts w:hint="eastAsia" w:ascii="宋体" w:hAnsi="宋体" w:eastAsia="宋体" w:cs="宋体"/>
                <w:szCs w:val="21"/>
              </w:rPr>
              <w:t xml:space="preserve">打扫厨余垃圾）</w:t>
            </w:r>
            <w:r>
              <w:rPr>
                <w:rFonts w:hint="eastAsia" w:ascii="宋体" w:hAnsi="宋体" w:eastAsia="宋体" w:cs="宋体"/>
                <w:szCs w:val="21"/>
              </w:rPr>
            </w:r>
            <w:r/>
          </w:p>
        </w:tc>
      </w:tr>
    </w:tbl>
    <w:p>
      <w:pPr>
        <w:pStyle w:val="1276"/>
        <w:numPr>
          <w:ilvl w:val="0"/>
          <w:numId w:val="0"/>
        </w:numPr>
        <w:ind w:left="84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（二）数量</w:t>
      </w:r>
      <w:r>
        <w:rPr>
          <w:rFonts w:hint="eastAsia" w:ascii="宋体" w:hAnsi="宋体" w:eastAsia="宋体" w:cs="宋体"/>
          <w:szCs w:val="21"/>
          <w:lang w:val="en-US" w:eastAsia="zh-CN"/>
        </w:rPr>
      </w:r>
      <w:r/>
    </w:p>
    <w:tbl>
      <w:tblPr>
        <w:tblW w:w="5029" w:type="pct"/>
        <w:jc w:val="center"/>
        <w:tblInd w:w="-3422" w:type="dxa"/>
        <w:tblLayout w:type="fixed"/>
        <w:tblCellMar>
          <w:left w:w="108" w:type="dxa"/>
          <w:top w:w="0" w:type="dxa"/>
          <w:right w:w="108" w:type="dxa"/>
          <w:bottom w:w="0" w:type="dxa"/>
        </w:tblCellMar>
        <w:tblLook w:val="04A0" w:firstRow="1" w:lastRow="0" w:firstColumn="1" w:lastColumn="0" w:noHBand="0" w:noVBand="1"/>
      </w:tblPr>
      <w:tblGrid>
        <w:gridCol w:w="1873"/>
        <w:gridCol w:w="3092"/>
        <w:gridCol w:w="3268"/>
        <w:gridCol w:w="1679"/>
      </w:tblGrid>
      <w:tr>
        <w:trPr>
          <w:trHeight w:val="60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分包号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276"/>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预估数量（kg）</w:t>
            </w:r>
            <w:r>
              <w:rPr>
                <w:rFonts w:hint="eastAsia" w:ascii="宋体" w:hAnsi="宋体" w:eastAsia="宋体" w:cs="宋体"/>
                <w:b/>
                <w:bCs/>
                <w:sz w:val="21"/>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944" w:type="dxa"/>
            <w:vAlign w:val="center"/>
            <w:vMerge w:val="restart"/>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4</w:t>
            </w: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1559" w:type="dxa"/>
            <w:vAlign w:val="center"/>
            <w:vMerge w:val="restart"/>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蔬菜禽蛋豆制品类</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白萝卜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青菜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苞菜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芹菜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大白菜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西红柿</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土豆</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黄瓜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45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1648" w:type="dxa"/>
            <w:vAlign w:val="center"/>
            <w:textDirection w:val="lrTb"/>
            <w:noWrap w:val="false"/>
          </w:tcPr>
          <w:p>
            <w:pPr>
              <w:pStyle w:val="1344"/>
              <w:jc w:val="center"/>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青椒</w:t>
            </w:r>
            <w:r>
              <w:rPr>
                <w:rFonts w:ascii="宋体" w:hAnsi="宋体" w:eastAsia="宋体" w:cs="宋体"/>
                <w:sz w:val="21"/>
                <w:szCs w:val="21"/>
              </w:rPr>
            </w:r>
            <w:r/>
          </w:p>
        </w:tc>
        <w:tc>
          <w:tcPr>
            <w:tcBorders>
              <w:top w:val="single" w:color="000000" w:sz="4" w:space="0"/>
              <w:left w:val="none" w:color="000000" w:sz="4" w:space="0"/>
              <w:bottom w:val="none" w:color="000000" w:sz="0" w:space="0"/>
              <w:right w:val="single" w:color="000000" w:sz="4" w:space="0"/>
            </w:tcBorders>
            <w:tcW w:w="846" w:type="dxa"/>
            <w:vAlign w:val="center"/>
            <w:textDirection w:val="lrTb"/>
            <w:noWrap w:val="false"/>
          </w:tcPr>
          <w:p>
            <w:pPr>
              <w:pStyle w:val="1344"/>
              <w:jc w:val="center"/>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w:t>
            </w:r>
            <w:r>
              <w:rPr>
                <w:rFonts w:hint="eastAsia" w:ascii="宋体" w:hAnsi="宋体" w:eastAsia="宋体" w:cs="宋体"/>
                <w:sz w:val="21"/>
                <w:szCs w:val="21"/>
                <w:lang w:val="en-US" w:eastAsia="zh-CN"/>
              </w:rPr>
            </w:r>
            <w:r/>
          </w:p>
        </w:tc>
      </w:tr>
      <w:tr>
        <w:trPr>
          <w:trHeight w:val="9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茄子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960</w:t>
            </w:r>
            <w:r>
              <w:rPr>
                <w:rFonts w:hint="eastAsia" w:ascii="宋体" w:hAnsi="宋体" w:eastAsia="宋体" w:cs="宋体"/>
                <w:sz w:val="21"/>
                <w:szCs w:val="21"/>
                <w:lang w:val="en-US" w:eastAsia="zh-CN"/>
              </w:rPr>
            </w:r>
            <w:r/>
          </w:p>
        </w:tc>
      </w:tr>
      <w:tr>
        <w:trPr>
          <w:trHeight w:val="9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color w:val="ff0000"/>
                <w:sz w:val="21"/>
                <w:szCs w:val="21"/>
              </w:rPr>
            </w:pPr>
            <w:r>
              <w:rPr>
                <w:rFonts w:hint="eastAsia" w:ascii="宋体" w:hAnsi="宋体" w:eastAsia="宋体" w:cs="宋体"/>
                <w:sz w:val="21"/>
                <w:szCs w:val="21"/>
                <w:lang w:val="en-US"/>
              </w:rPr>
              <w:t xml:space="preserve">红椒</w:t>
            </w:r>
            <w:r>
              <w:rPr>
                <w:rFonts w:hint="eastAsia" w:ascii="宋体" w:hAnsi="宋体" w:eastAsia="宋体" w:cs="宋体"/>
                <w:color w:val="ff0000"/>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720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四季豆</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洋葱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冬瓜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花菜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山药</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胡萝卜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生菜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西兰花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生瓜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莴笋</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藕</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黄豆芽</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绿豆芽</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韭菜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丝瓜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瓠子</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豇豆</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蒜苗</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青蒜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油麦菜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菠菜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蒜黄</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水芹</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白芹</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苋菜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鸡毛菜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去皮茭白</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杭椒</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小米椒</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西芹</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菜心</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玉米</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南瓜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雪菜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茼蒿</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蒿子杆</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空心菜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茨菇</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鲜百合</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香葱</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生姜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蒜米</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鲜毛豆米</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蚕豆瓣</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豆腐</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豆腐果</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兰花干</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素鸡</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香干</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千张结</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薄千张</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手撕面筋丝</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水面筋</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白干皮</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臭干</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河粉</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手指年糕</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脆皮豆腐</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rPr>
              <w:t xml:space="preserve">卤香干</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344"/>
              <w:jc w:val="center"/>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其他</w:t>
            </w:r>
            <w:r>
              <w:rPr>
                <w:rFonts w:hint="eastAsia" w:ascii="宋体" w:hAnsi="宋体" w:eastAsia="宋体" w:cs="宋体"/>
                <w:sz w:val="21"/>
                <w:szCs w:val="21"/>
              </w:rPr>
              <w:t xml:space="preserve">豆制品</w:t>
            </w:r>
            <w:r>
              <w:rPr>
                <w:rFonts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洋鸡蛋</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大公鸡</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仔鸡</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三黄鸡</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乌鸡</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老母鸡</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光鸭</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麻鸭</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老鹅</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鲜鸭翅</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鲜鸭爪</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鲜鸡爪</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乳鸽</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皮蛋</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鹌鹑蛋</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single" w:color="000000" w:sz="4" w:space="0"/>
              <w:right w:val="single" w:color="000000" w:sz="4" w:space="0"/>
            </w:tcBorders>
            <w:tcW w:w="944" w:type="dxa"/>
            <w:vAlign w:val="center"/>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155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48"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rPr>
              <w:t xml:space="preserve">鸭蛋</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344"/>
              <w:jc w:val="center"/>
              <w:spacing w:before="0" w:beforeAutospacing="0" w:after="0" w:afterAutospacing="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bl>
    <w:p>
      <w:pPr>
        <w:pStyle w:val="1276"/>
        <w:numPr>
          <w:ilvl w:val="0"/>
          <w:numId w:val="0"/>
        </w:numPr>
        <w:ind w:left="84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276"/>
        <w:numPr>
          <w:ilvl w:val="0"/>
          <w:numId w:val="0"/>
        </w:numPr>
        <w:ind w:left="840" w:firstLine="0"/>
        <w:jc w:val="both"/>
        <w:rPr>
          <w:rFonts w:hint="eastAsia" w:hAnsi="宋体" w:eastAsia="宋体" w:cs="宋体"/>
          <w:sz w:val="21"/>
          <w:szCs w:val="21"/>
          <w:lang w:val="en-US" w:eastAsia="zh-CN"/>
        </w:rPr>
        <w:outlineLvl w:val="9"/>
      </w:pPr>
      <w:r>
        <w:rPr>
          <w:rFonts w:hint="eastAsia" w:hAnsi="宋体" w:eastAsia="宋体" w:cs="宋体"/>
          <w:sz w:val="21"/>
          <w:szCs w:val="21"/>
          <w:lang w:val="en-US" w:eastAsia="zh-CN"/>
        </w:rPr>
      </w:r>
      <w:r/>
    </w:p>
    <w:p>
      <w:pPr>
        <w:pStyle w:val="1276"/>
        <w:jc w:val="left"/>
        <w:spacing w:line="360" w:lineRule="auto"/>
        <w:widowControl/>
        <w:rPr>
          <w:rFonts w:hint="eastAsia" w:ascii="宋体" w:hAnsi="宋体" w:eastAsia="宋体" w:cs="宋体"/>
          <w:b/>
          <w:bCs/>
          <w:szCs w:val="21"/>
          <w:highlight w:val="none"/>
          <w:lang w:val="en-US" w:eastAsia="zh-CN"/>
        </w:rPr>
        <w:outlineLvl w:val="2"/>
      </w:pPr>
      <w:r/>
      <w:bookmarkStart w:id="526" w:name="_Toc27685"/>
      <w:r>
        <w:rPr>
          <w:rFonts w:hint="eastAsia" w:ascii="宋体" w:hAnsi="宋体" w:eastAsia="宋体" w:cs="宋体"/>
          <w:b/>
          <w:bCs/>
          <w:szCs w:val="21"/>
          <w:highlight w:val="none"/>
          <w:lang w:val="en-US" w:eastAsia="zh-CN"/>
        </w:rPr>
        <w:t xml:space="preserve">分包5：水果类</w:t>
      </w:r>
      <w:bookmarkEnd w:id="526"/>
      <w:r>
        <w:rPr>
          <w:rFonts w:hint="eastAsia" w:ascii="宋体" w:hAnsi="宋体" w:eastAsia="宋体" w:cs="宋体"/>
          <w:b/>
          <w:bCs/>
          <w:szCs w:val="21"/>
          <w:highlight w:val="none"/>
          <w:lang w:val="en-US" w:eastAsia="zh-CN"/>
        </w:rPr>
      </w:r>
      <w:r/>
    </w:p>
    <w:p>
      <w:pPr>
        <w:pStyle w:val="1276"/>
        <w:jc w:val="left"/>
        <w:rPr>
          <w:rFonts w:hint="eastAsia" w:hAnsi="宋体" w:eastAsia="宋体" w:cs="宋体"/>
          <w:sz w:val="21"/>
          <w:szCs w:val="21"/>
          <w:lang w:val="en-US" w:eastAsia="zh-CN"/>
        </w:rPr>
        <w:outlineLvl w:val="9"/>
      </w:pPr>
      <w:r>
        <w:rPr>
          <w:rFonts w:hint="eastAsia" w:ascii="宋体" w:hAnsi="宋体" w:eastAsia="宋体" w:cs="宋体"/>
          <w:b/>
          <w:bCs/>
          <w:sz w:val="21"/>
          <w:szCs w:val="21"/>
          <w:highlight w:val="none"/>
          <w:lang w:val="en-US" w:eastAsia="zh-CN"/>
        </w:rPr>
        <w:t xml:space="preserve">（一）质量要求</w:t>
      </w:r>
      <w:r>
        <w:rPr>
          <w:rFonts w:hint="eastAsia" w:hAnsi="宋体" w:eastAsia="宋体" w:cs="宋体"/>
          <w:sz w:val="21"/>
          <w:szCs w:val="21"/>
          <w:lang w:val="en-US" w:eastAsia="zh-CN"/>
        </w:rPr>
      </w:r>
      <w:r/>
    </w:p>
    <w:p>
      <w:pPr>
        <w:pStyle w:val="1276"/>
        <w:ind w:firstLine="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水果类：</w:t>
      </w:r>
      <w:r>
        <w:rPr>
          <w:rFonts w:hint="eastAsia" w:ascii="宋体" w:hAnsi="宋体" w:eastAsia="宋体" w:cs="宋体"/>
          <w:szCs w:val="21"/>
          <w:highlight w:val="none"/>
        </w:rPr>
        <w:t xml:space="preserve">新鲜卫生的</w:t>
      </w:r>
      <w:r>
        <w:rPr>
          <w:rFonts w:hint="eastAsia" w:ascii="宋体" w:hAnsi="宋体" w:eastAsia="宋体" w:cs="宋体"/>
          <w:szCs w:val="21"/>
          <w:highlight w:val="none"/>
          <w:lang w:val="en-US" w:eastAsia="zh-CN"/>
        </w:rPr>
        <w:t xml:space="preserve">水果</w:t>
      </w:r>
      <w:r>
        <w:rPr>
          <w:rFonts w:hint="eastAsia" w:ascii="宋体" w:hAnsi="宋体" w:eastAsia="宋体" w:cs="宋体"/>
          <w:szCs w:val="21"/>
          <w:highlight w:val="none"/>
        </w:rPr>
        <w:t xml:space="preserve">，无变质腐烂。</w:t>
      </w:r>
      <w:r>
        <w:rPr>
          <w:rFonts w:hint="eastAsia" w:ascii="宋体" w:hAnsi="宋体" w:eastAsia="宋体" w:cs="宋体"/>
          <w:szCs w:val="21"/>
          <w:highlight w:val="none"/>
        </w:rPr>
      </w:r>
      <w:r/>
    </w:p>
    <w:tbl>
      <w:tblPr>
        <w:tblW w:w="499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348"/>
        <w:gridCol w:w="5451"/>
        <w:gridCol w:w="2185"/>
      </w:tblGrid>
      <w:tr>
        <w:trPr>
          <w:trHeight w:val="568"/>
        </w:trPr>
        <w:tc>
          <w:tcPr>
            <w:tcW w:w="433"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品类</w:t>
            </w:r>
            <w:r>
              <w:rPr>
                <w:rFonts w:hint="eastAsia" w:ascii="宋体" w:hAnsi="宋体" w:eastAsia="宋体" w:cs="宋体"/>
                <w:szCs w:val="21"/>
              </w:rPr>
            </w:r>
            <w:r/>
          </w:p>
        </w:tc>
        <w:tc>
          <w:tcPr>
            <w:tcW w:w="68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品种（包含以下但不限于，方便日后扩展采购）</w:t>
            </w:r>
            <w:r>
              <w:rPr>
                <w:rFonts w:hint="eastAsia" w:ascii="宋体" w:hAnsi="宋体" w:eastAsia="宋体" w:cs="宋体"/>
                <w:szCs w:val="21"/>
              </w:rPr>
            </w:r>
            <w:r/>
          </w:p>
        </w:tc>
        <w:tc>
          <w:tcPr>
            <w:tcW w:w="2770" w:type="dxa"/>
            <w:vAlign w:val="center"/>
            <w:textDirection w:val="lrTb"/>
            <w:noWrap w:val="false"/>
          </w:tcPr>
          <w:p>
            <w:pPr>
              <w:pStyle w:val="1276"/>
              <w:ind w:firstLine="1365"/>
              <w:jc w:val="both"/>
              <w:spacing w:line="360" w:lineRule="auto"/>
              <w:rPr>
                <w:rFonts w:hint="eastAsia" w:ascii="宋体" w:hAnsi="宋体" w:eastAsia="宋体" w:cs="宋体"/>
                <w:szCs w:val="21"/>
              </w:rPr>
            </w:pPr>
            <w:r>
              <w:rPr>
                <w:rFonts w:hint="eastAsia" w:ascii="宋体" w:hAnsi="宋体" w:eastAsia="宋体" w:cs="宋体"/>
                <w:szCs w:val="21"/>
              </w:rPr>
              <w:t xml:space="preserve">验收标准</w:t>
            </w:r>
            <w:r>
              <w:rPr>
                <w:rFonts w:hint="eastAsia" w:ascii="宋体" w:hAnsi="宋体" w:eastAsia="宋体" w:cs="宋体"/>
                <w:szCs w:val="21"/>
              </w:rPr>
            </w:r>
            <w:r/>
          </w:p>
        </w:tc>
        <w:tc>
          <w:tcPr>
            <w:tcW w:w="1110" w:type="dxa"/>
            <w:vAlign w:val="center"/>
            <w:textDirection w:val="lrTb"/>
            <w:noWrap w:val="false"/>
          </w:tcPr>
          <w:p>
            <w:pPr>
              <w:pStyle w:val="1276"/>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tc>
      </w:tr>
      <w:tr>
        <w:trPr>
          <w:trHeight w:val="1544"/>
        </w:trPr>
        <w:tc>
          <w:tcPr>
            <w:tcW w:w="433"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食堂配餐</w:t>
            </w:r>
            <w:r>
              <w:rPr>
                <w:rFonts w:hint="eastAsia" w:ascii="宋体" w:hAnsi="宋体" w:eastAsia="宋体" w:cs="宋体"/>
                <w:szCs w:val="21"/>
              </w:rPr>
              <w:t xml:space="preserve">水果类</w:t>
            </w:r>
            <w:r>
              <w:rPr>
                <w:rFonts w:hint="eastAsia" w:ascii="宋体" w:hAnsi="宋体" w:eastAsia="宋体" w:cs="宋体"/>
                <w:szCs w:val="21"/>
              </w:rPr>
            </w:r>
            <w:r/>
          </w:p>
        </w:tc>
        <w:tc>
          <w:tcPr>
            <w:tcW w:w="68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苹果、香蕉、梨子、桔子、圣女果、西瓜等水果类食材</w:t>
            </w:r>
            <w:r>
              <w:rPr>
                <w:rFonts w:hint="eastAsia" w:ascii="宋体" w:hAnsi="宋体" w:eastAsia="宋体" w:cs="宋体"/>
                <w:szCs w:val="21"/>
              </w:rPr>
            </w:r>
            <w:r/>
          </w:p>
        </w:tc>
        <w:tc>
          <w:tcPr>
            <w:tcW w:w="2770"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水果类验收标准：1</w:t>
            </w:r>
            <w:r>
              <w:rPr>
                <w:rFonts w:hint="eastAsia" w:ascii="宋体" w:hAnsi="宋体" w:eastAsia="宋体" w:cs="宋体"/>
                <w:szCs w:val="21"/>
                <w:lang w:eastAsia="zh-CN"/>
              </w:rPr>
              <w:t xml:space="preserve">、</w:t>
            </w:r>
            <w:r>
              <w:rPr>
                <w:rFonts w:hint="eastAsia" w:ascii="宋体" w:hAnsi="宋体" w:eastAsia="宋体" w:cs="宋体"/>
                <w:szCs w:val="21"/>
              </w:rPr>
              <w:t xml:space="preserve">新鲜度：充足无空壳，皱皮、干涩现象；2</w:t>
            </w:r>
            <w:r>
              <w:rPr>
                <w:rFonts w:hint="eastAsia" w:ascii="宋体" w:hAnsi="宋体" w:eastAsia="宋体" w:cs="宋体"/>
                <w:szCs w:val="21"/>
                <w:lang w:eastAsia="zh-CN"/>
              </w:rPr>
              <w:t xml:space="preserve">、</w:t>
            </w:r>
            <w:r>
              <w:rPr>
                <w:rFonts w:hint="eastAsia" w:ascii="宋体" w:hAnsi="宋体" w:eastAsia="宋体" w:cs="宋体"/>
                <w:szCs w:val="21"/>
              </w:rPr>
              <w:t xml:space="preserve">色泽：新鲜光亮，无变色；3</w:t>
            </w:r>
            <w:r>
              <w:rPr>
                <w:rFonts w:hint="eastAsia" w:ascii="宋体" w:hAnsi="宋体" w:eastAsia="宋体" w:cs="宋体"/>
                <w:szCs w:val="21"/>
                <w:lang w:eastAsia="zh-CN"/>
              </w:rPr>
              <w:t xml:space="preserve">、</w:t>
            </w:r>
            <w:r>
              <w:rPr>
                <w:rFonts w:hint="eastAsia" w:ascii="宋体" w:hAnsi="宋体" w:eastAsia="宋体" w:cs="宋体"/>
                <w:szCs w:val="21"/>
              </w:rPr>
              <w:t xml:space="preserve">硬度：饱满充实、软硬适中；4</w:t>
            </w:r>
            <w:r>
              <w:rPr>
                <w:rFonts w:hint="eastAsia" w:ascii="宋体" w:hAnsi="宋体" w:eastAsia="宋体" w:cs="宋体"/>
                <w:szCs w:val="21"/>
                <w:lang w:eastAsia="zh-CN"/>
              </w:rPr>
              <w:t xml:space="preserve">、</w:t>
            </w:r>
            <w:r>
              <w:rPr>
                <w:rFonts w:hint="eastAsia" w:ascii="宋体" w:hAnsi="宋体" w:eastAsia="宋体" w:cs="宋体"/>
                <w:szCs w:val="21"/>
              </w:rPr>
              <w:t xml:space="preserve">机械伤：相同新鲜条件下无外伤造成伤害，如挤伤、压伤、碰伤、裂伤；5</w:t>
            </w:r>
            <w:r>
              <w:rPr>
                <w:rFonts w:hint="eastAsia" w:ascii="宋体" w:hAnsi="宋体" w:eastAsia="宋体" w:cs="宋体"/>
                <w:szCs w:val="21"/>
                <w:lang w:eastAsia="zh-CN"/>
              </w:rPr>
              <w:t xml:space="preserve">、</w:t>
            </w:r>
            <w:r>
              <w:rPr>
                <w:rFonts w:hint="eastAsia" w:ascii="宋体" w:hAnsi="宋体" w:eastAsia="宋体" w:cs="宋体"/>
                <w:szCs w:val="21"/>
              </w:rPr>
              <w:t xml:space="preserve">形状：外形优美，果实硕大，无不良图案及异状；6</w:t>
            </w:r>
            <w:r>
              <w:rPr>
                <w:rFonts w:hint="eastAsia" w:ascii="宋体" w:hAnsi="宋体" w:eastAsia="宋体" w:cs="宋体"/>
                <w:szCs w:val="21"/>
                <w:lang w:eastAsia="zh-CN"/>
              </w:rPr>
              <w:t xml:space="preserve">、</w:t>
            </w:r>
            <w:r>
              <w:rPr>
                <w:rFonts w:hint="eastAsia" w:ascii="宋体" w:hAnsi="宋体" w:eastAsia="宋体" w:cs="宋体"/>
                <w:szCs w:val="21"/>
              </w:rPr>
              <w:t xml:space="preserve">成熟度：适中，无过熟、未熟现象；7</w:t>
            </w:r>
            <w:r>
              <w:rPr>
                <w:rFonts w:hint="eastAsia" w:ascii="宋体" w:hAnsi="宋体" w:eastAsia="宋体" w:cs="宋体"/>
                <w:szCs w:val="21"/>
                <w:lang w:eastAsia="zh-CN"/>
              </w:rPr>
              <w:t xml:space="preserve">、</w:t>
            </w:r>
            <w:r>
              <w:rPr>
                <w:rFonts w:hint="eastAsia" w:ascii="宋体" w:hAnsi="宋体" w:eastAsia="宋体" w:cs="宋体"/>
                <w:szCs w:val="21"/>
              </w:rPr>
              <w:t xml:space="preserve">污染：无污染残留农药；8</w:t>
            </w:r>
            <w:r>
              <w:rPr>
                <w:rFonts w:hint="eastAsia" w:ascii="宋体" w:hAnsi="宋体" w:eastAsia="宋体" w:cs="宋体"/>
                <w:szCs w:val="21"/>
                <w:lang w:eastAsia="zh-CN"/>
              </w:rPr>
              <w:t xml:space="preserve">、</w:t>
            </w:r>
            <w:r>
              <w:rPr>
                <w:rFonts w:hint="eastAsia" w:ascii="宋体" w:hAnsi="宋体" w:eastAsia="宋体" w:cs="宋体"/>
                <w:szCs w:val="21"/>
              </w:rPr>
              <w:t xml:space="preserve">包装：如有包装需完整干净。9</w:t>
            </w:r>
            <w:r>
              <w:rPr>
                <w:rFonts w:hint="eastAsia" w:ascii="宋体" w:hAnsi="宋体" w:eastAsia="宋体" w:cs="宋体"/>
                <w:szCs w:val="21"/>
                <w:lang w:eastAsia="zh-CN"/>
              </w:rPr>
              <w:t xml:space="preserve">、</w:t>
            </w:r>
            <w:r>
              <w:rPr>
                <w:rFonts w:hint="eastAsia" w:ascii="宋体" w:hAnsi="宋体" w:eastAsia="宋体" w:cs="宋体"/>
                <w:szCs w:val="21"/>
              </w:rPr>
              <w:t xml:space="preserve">规格：苹果，梨子，桔子，橙子单个重量200至250克。</w:t>
            </w:r>
            <w:r>
              <w:rPr>
                <w:rFonts w:hint="eastAsia" w:ascii="宋体" w:hAnsi="宋体" w:eastAsia="宋体" w:cs="宋体"/>
                <w:szCs w:val="21"/>
              </w:rPr>
            </w:r>
            <w:r/>
          </w:p>
        </w:tc>
        <w:tc>
          <w:tcPr>
            <w:tcW w:w="1110" w:type="dxa"/>
            <w:vAlign w:val="top"/>
            <w:vMerge w:val="restart"/>
            <w:textDirection w:val="lrTb"/>
            <w:noWrap w:val="false"/>
          </w:tcPr>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pStyle w:val="1589"/>
        <w:numPr>
          <w:ilvl w:val="0"/>
          <w:numId w:val="0"/>
        </w:numPr>
        <w:ind w:left="0" w:firstLine="0"/>
        <w:jc w:val="both"/>
        <w:tabs>
          <w:tab w:val="left" w:pos="1440" w:leader="none"/>
          <w:tab w:val="left" w:pos="567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（二）数量</w:t>
      </w:r>
      <w:r>
        <w:rPr>
          <w:rFonts w:hint="eastAsia" w:ascii="宋体" w:hAnsi="宋体" w:eastAsia="宋体" w:cs="宋体"/>
          <w:sz w:val="21"/>
          <w:szCs w:val="21"/>
          <w:lang w:val="en-US" w:eastAsia="zh-CN"/>
        </w:rPr>
      </w:r>
      <w:r/>
    </w:p>
    <w:tbl>
      <w:tblPr>
        <w:tblW w:w="4988" w:type="pct"/>
        <w:jc w:val="center"/>
        <w:tblInd w:w="-183" w:type="dxa"/>
        <w:tblLayout w:type="autofit"/>
        <w:tblCellMar>
          <w:left w:w="108" w:type="dxa"/>
          <w:top w:w="0" w:type="dxa"/>
          <w:right w:w="108" w:type="dxa"/>
          <w:bottom w:w="0" w:type="dxa"/>
        </w:tblCellMar>
        <w:tblLook w:val="04A0" w:firstRow="1" w:lastRow="0" w:firstColumn="1" w:lastColumn="0" w:noHBand="0" w:noVBand="1"/>
      </w:tblPr>
      <w:tblGrid>
        <w:gridCol w:w="1595"/>
        <w:gridCol w:w="2064"/>
        <w:gridCol w:w="3012"/>
        <w:gridCol w:w="3159"/>
      </w:tblGrid>
      <w:tr>
        <w:trPr>
          <w:trHeight w:val="600"/>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分包号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预估数量（kg）</w:t>
            </w:r>
            <w:r>
              <w:rPr>
                <w:rFonts w:hint="eastAsia" w:ascii="宋体" w:hAnsi="宋体" w:eastAsia="宋体" w:cs="宋体"/>
                <w:b/>
                <w:bCs/>
                <w:sz w:val="21"/>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811" w:type="dxa"/>
            <w:vAlign w:val="center"/>
            <w:vMerge w:val="restart"/>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5</w:t>
            </w:r>
            <w:r>
              <w:rPr>
                <w:rFonts w:hint="eastAsia" w:ascii="宋体" w:hAnsi="宋体" w:eastAsia="宋体" w:cs="宋体"/>
                <w:b/>
                <w:bCs/>
                <w:sz w:val="21"/>
                <w:szCs w:val="21"/>
              </w:rPr>
            </w:r>
            <w:r/>
          </w:p>
        </w:tc>
        <w:tc>
          <w:tcPr>
            <w:tcBorders>
              <w:top w:val="single" w:color="000000" w:sz="4" w:space="0"/>
              <w:left w:val="none" w:color="000000" w:sz="4" w:space="0"/>
              <w:bottom w:val="none" w:color="000000" w:sz="0" w:space="0"/>
              <w:right w:val="single" w:color="000000" w:sz="4" w:space="0"/>
            </w:tcBorders>
            <w:tcW w:w="1049" w:type="dxa"/>
            <w:vAlign w:val="center"/>
            <w:vMerge w:val="restart"/>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水果类</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苹果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梨</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香蕉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橙子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火龙果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橘子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芦柑</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西瓜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哈密瓜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爱媛橙</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粑粑柑</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沃柑</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千禧果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龙眼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西梅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草莓</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葡萄</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红提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阳光玫瑰</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菠萝</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水果黄瓜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芒果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single" w:color="000000" w:sz="4" w:space="0"/>
              <w:right w:val="single" w:color="000000" w:sz="4" w:space="0"/>
            </w:tcBorders>
            <w:tcW w:w="81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1049"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猕猴桃</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606"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rPr>
                <w:rFonts w:hint="eastAsia" w:ascii="宋体" w:hAnsi="宋体" w:eastAsia="宋体" w:cs="宋体"/>
                <w:sz w:val="21"/>
                <w:szCs w:val="21"/>
                <w:lang w:val="en-US" w:eastAsia="zh-CN"/>
              </w:rPr>
            </w:r>
            <w:r/>
          </w:p>
        </w:tc>
      </w:tr>
    </w:tbl>
    <w:p>
      <w:pPr>
        <w:pStyle w:val="1276"/>
        <w:jc w:val="left"/>
        <w:spacing w:line="360" w:lineRule="auto"/>
        <w:widowControl/>
        <w:rPr>
          <w:rFonts w:hint="eastAsia" w:ascii="宋体" w:hAnsi="宋体" w:eastAsia="宋体" w:cs="宋体"/>
          <w:b/>
          <w:bCs/>
          <w:szCs w:val="21"/>
          <w:highlight w:val="none"/>
          <w:lang w:val="en-US" w:eastAsia="zh-CN"/>
        </w:rPr>
        <w:outlineLvl w:val="9"/>
      </w:pPr>
      <w:r>
        <w:rPr>
          <w:rFonts w:hint="eastAsia" w:ascii="宋体" w:hAnsi="宋体" w:eastAsia="宋体" w:cs="宋体"/>
          <w:b/>
          <w:bCs/>
          <w:szCs w:val="21"/>
          <w:highlight w:val="none"/>
          <w:lang w:val="en-US" w:eastAsia="zh-CN"/>
        </w:rPr>
      </w:r>
      <w:r/>
    </w:p>
    <w:p>
      <w:pPr>
        <w:pStyle w:val="1276"/>
        <w:jc w:val="left"/>
        <w:spacing w:line="360" w:lineRule="auto"/>
        <w:widowControl/>
        <w:rPr>
          <w:rFonts w:hint="eastAsia" w:ascii="宋体" w:hAnsi="宋体" w:eastAsia="宋体" w:cs="宋体"/>
          <w:b/>
          <w:bCs/>
          <w:szCs w:val="21"/>
          <w:highlight w:val="none"/>
          <w:lang w:val="en-US" w:eastAsia="zh-CN"/>
        </w:rPr>
        <w:outlineLvl w:val="2"/>
      </w:pPr>
      <w:r/>
      <w:bookmarkStart w:id="527" w:name="_Toc6184"/>
      <w:r>
        <w:rPr>
          <w:rFonts w:hint="eastAsia" w:ascii="宋体" w:hAnsi="宋体" w:eastAsia="宋体" w:cs="宋体"/>
          <w:b/>
          <w:bCs/>
          <w:szCs w:val="21"/>
          <w:highlight w:val="none"/>
          <w:lang w:val="en-US" w:eastAsia="zh-CN"/>
        </w:rPr>
        <w:t xml:space="preserve">分包6：奶制品类</w:t>
      </w:r>
      <w:bookmarkEnd w:id="527"/>
      <w:r>
        <w:rPr>
          <w:rFonts w:hint="eastAsia" w:ascii="宋体" w:hAnsi="宋体" w:eastAsia="宋体" w:cs="宋体"/>
          <w:b/>
          <w:bCs/>
          <w:szCs w:val="21"/>
          <w:highlight w:val="none"/>
          <w:lang w:val="en-US" w:eastAsia="zh-CN"/>
        </w:rPr>
      </w:r>
      <w:r/>
    </w:p>
    <w:p>
      <w:pPr>
        <w:pStyle w:val="1276"/>
        <w:jc w:val="left"/>
        <w:rPr>
          <w:rFonts w:hint="eastAsia" w:hAnsi="宋体" w:eastAsia="宋体" w:cs="宋体"/>
          <w:sz w:val="21"/>
          <w:szCs w:val="21"/>
          <w:lang w:val="en-US" w:eastAsia="zh-CN"/>
        </w:rPr>
        <w:outlineLvl w:val="9"/>
      </w:pPr>
      <w:r>
        <w:rPr>
          <w:rFonts w:hint="eastAsia" w:ascii="宋体" w:hAnsi="宋体" w:eastAsia="宋体" w:cs="宋体"/>
          <w:b/>
          <w:bCs/>
          <w:sz w:val="21"/>
          <w:szCs w:val="21"/>
          <w:highlight w:val="none"/>
          <w:lang w:val="en-US" w:eastAsia="zh-CN"/>
        </w:rPr>
        <w:t xml:space="preserve">（一）质量要求</w:t>
      </w:r>
      <w:r>
        <w:rPr>
          <w:rFonts w:hint="eastAsia" w:hAnsi="宋体" w:eastAsia="宋体" w:cs="宋体"/>
          <w:sz w:val="21"/>
          <w:szCs w:val="21"/>
          <w:lang w:val="en-US" w:eastAsia="zh-CN"/>
        </w:rPr>
      </w:r>
      <w:r/>
    </w:p>
    <w:p>
      <w:pPr>
        <w:pStyle w:val="1276"/>
        <w:ind w:firstLine="0"/>
        <w:jc w:val="left"/>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奶制品：GB 19645-2010《食品安全国家标准 巴氏杀菌乳》</w:t>
      </w:r>
      <w:r>
        <w:rPr>
          <w:rFonts w:hint="eastAsia" w:ascii="宋体" w:hAnsi="宋体" w:eastAsia="宋体" w:cs="宋体"/>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1696"/>
        <w:gridCol w:w="4170"/>
        <w:gridCol w:w="2381"/>
      </w:tblGrid>
      <w:tr>
        <w:trPr>
          <w:trHeight w:val="1940"/>
        </w:trPr>
        <w:tc>
          <w:tcPr>
            <w:tcW w:w="1607" w:type="dxa"/>
            <w:vAlign w:val="center"/>
            <w:textDirection w:val="lrTb"/>
            <w:noWrap w:val="false"/>
          </w:tcPr>
          <w:p>
            <w:pPr>
              <w:pStyle w:val="1276"/>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品类</w:t>
            </w:r>
            <w:r>
              <w:rPr>
                <w:rFonts w:hint="eastAsia" w:ascii="宋体" w:hAnsi="宋体" w:eastAsia="宋体" w:cs="宋体"/>
                <w:sz w:val="21"/>
                <w:szCs w:val="21"/>
                <w:lang w:val="en-US" w:eastAsia="zh-CN" w:bidi="ar-SA"/>
              </w:rPr>
            </w:r>
            <w:r/>
          </w:p>
        </w:tc>
        <w:tc>
          <w:tcPr>
            <w:tcW w:w="1696" w:type="dxa"/>
            <w:vAlign w:val="center"/>
            <w:textDirection w:val="lrTb"/>
            <w:noWrap w:val="false"/>
          </w:tcPr>
          <w:p>
            <w:pPr>
              <w:pStyle w:val="1276"/>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品种（包含以下但不限于，方便日后扩展采购）</w:t>
            </w:r>
            <w:r>
              <w:rPr>
                <w:rFonts w:hint="eastAsia" w:ascii="宋体" w:hAnsi="宋体" w:eastAsia="宋体" w:cs="宋体"/>
                <w:sz w:val="21"/>
                <w:szCs w:val="21"/>
                <w:lang w:val="en-US" w:eastAsia="zh-CN" w:bidi="ar-SA"/>
              </w:rPr>
            </w:r>
            <w:r/>
          </w:p>
        </w:tc>
        <w:tc>
          <w:tcPr>
            <w:tcW w:w="4170" w:type="dxa"/>
            <w:vAlign w:val="center"/>
            <w:textDirection w:val="lrTb"/>
            <w:noWrap w:val="false"/>
          </w:tcPr>
          <w:p>
            <w:pPr>
              <w:pStyle w:val="1276"/>
              <w:ind w:firstLine="1365"/>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验收标准</w:t>
            </w:r>
            <w:r>
              <w:rPr>
                <w:rFonts w:hint="eastAsia" w:ascii="宋体" w:hAnsi="宋体" w:eastAsia="宋体" w:cs="宋体"/>
                <w:sz w:val="21"/>
                <w:szCs w:val="21"/>
                <w:lang w:val="en-US" w:eastAsia="zh-CN" w:bidi="ar-SA"/>
              </w:rPr>
            </w:r>
            <w:r/>
          </w:p>
        </w:tc>
        <w:tc>
          <w:tcPr>
            <w:tcW w:w="2381" w:type="dxa"/>
            <w:vAlign w:val="center"/>
            <w:textDirection w:val="lrTb"/>
            <w:noWrap w:val="false"/>
          </w:tcPr>
          <w:p>
            <w:pPr>
              <w:pStyle w:val="1276"/>
              <w:ind w:firstLine="105"/>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备注</w:t>
            </w:r>
            <w:r>
              <w:rPr>
                <w:rFonts w:hint="eastAsia" w:ascii="宋体" w:hAnsi="宋体" w:eastAsia="宋体" w:cs="宋体"/>
                <w:sz w:val="21"/>
                <w:szCs w:val="21"/>
                <w:lang w:val="en-US" w:eastAsia="zh-CN" w:bidi="ar-SA"/>
              </w:rPr>
            </w:r>
            <w:r/>
          </w:p>
        </w:tc>
      </w:tr>
      <w:tr>
        <w:trPr>
          <w:trHeight w:val="1940"/>
        </w:trPr>
        <w:tc>
          <w:tcPr>
            <w:tcW w:w="1607" w:type="dxa"/>
            <w:vAlign w:val="center"/>
            <w:textDirection w:val="lrTb"/>
            <w:noWrap w:val="false"/>
          </w:tcPr>
          <w:p>
            <w:pPr>
              <w:pStyle w:val="1276"/>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饮料、奶制品类</w:t>
            </w:r>
            <w:r>
              <w:rPr>
                <w:rFonts w:hint="eastAsia" w:ascii="宋体" w:hAnsi="宋体" w:eastAsia="宋体" w:cs="宋体"/>
                <w:szCs w:val="21"/>
                <w:lang w:val="en-US" w:eastAsia="zh-CN"/>
              </w:rPr>
            </w:r>
            <w:r/>
          </w:p>
        </w:tc>
        <w:tc>
          <w:tcPr>
            <w:tcW w:w="1696" w:type="dxa"/>
            <w:vAlign w:val="center"/>
            <w:textDirection w:val="lrTb"/>
            <w:noWrap w:val="false"/>
          </w:tcPr>
          <w:p>
            <w:pPr>
              <w:pStyle w:val="1276"/>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酸奶、牛奶、制作西点所需原材料</w:t>
            </w:r>
            <w:r>
              <w:rPr>
                <w:rFonts w:hint="eastAsia" w:ascii="宋体" w:hAnsi="宋体" w:eastAsia="宋体" w:cs="宋体"/>
                <w:szCs w:val="21"/>
                <w:lang w:val="en-US" w:eastAsia="zh-CN"/>
              </w:rPr>
            </w:r>
            <w:r/>
          </w:p>
        </w:tc>
        <w:tc>
          <w:tcPr>
            <w:tcW w:w="4170" w:type="dxa"/>
            <w:vAlign w:val="center"/>
            <w:textDirection w:val="lrTb"/>
            <w:noWrap w:val="false"/>
          </w:tcPr>
          <w:p>
            <w:pPr>
              <w:pStyle w:val="1276"/>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饮料、奶制品验收标准：在质保期内，无脂肪凝结现象，牛奶呈现乳白色均匀无层，包装完好无损。</w:t>
            </w:r>
            <w:r>
              <w:rPr>
                <w:rFonts w:hint="eastAsia" w:ascii="宋体" w:hAnsi="宋体" w:eastAsia="宋体" w:cs="宋体"/>
                <w:szCs w:val="21"/>
                <w:lang w:val="en-US" w:eastAsia="zh-CN"/>
              </w:rPr>
            </w:r>
            <w:r/>
          </w:p>
        </w:tc>
        <w:tc>
          <w:tcPr>
            <w:tcW w:w="2381" w:type="dxa"/>
            <w:vAlign w:val="top"/>
            <w:textDirection w:val="lrTb"/>
            <w:noWrap w:val="false"/>
          </w:tcPr>
          <w:p>
            <w:pPr>
              <w:pStyle w:val="1276"/>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按天供应（根据采购人前一天出具的货品清单，供应商次日清晨7点前送达</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tc>
      </w:tr>
    </w:tbl>
    <w:p>
      <w:pPr>
        <w:pStyle w:val="1589"/>
        <w:numPr>
          <w:ilvl w:val="0"/>
          <w:numId w:val="0"/>
        </w:numPr>
        <w:ind w:left="0"/>
        <w:jc w:val="left"/>
        <w:tabs>
          <w:tab w:val="left" w:pos="1440" w:leader="none"/>
          <w:tab w:val="left" w:pos="567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（二）数量</w:t>
      </w:r>
      <w:r>
        <w:rPr>
          <w:rFonts w:hint="eastAsia" w:ascii="宋体" w:hAnsi="宋体" w:eastAsia="宋体" w:cs="宋体"/>
          <w:sz w:val="21"/>
          <w:szCs w:val="21"/>
          <w:lang w:val="en-US" w:eastAsia="zh-CN"/>
        </w:rPr>
      </w:r>
      <w:r/>
    </w:p>
    <w:p>
      <w:pPr>
        <w:pStyle w:val="1276"/>
        <w:rPr>
          <w:rFonts w:hint="eastAsia"/>
          <w:lang w:val="en-US" w:eastAsia="zh-CN"/>
        </w:rPr>
      </w:pPr>
      <w:r>
        <w:rPr>
          <w:rFonts w:hint="eastAsia"/>
          <w:lang w:val="en-US" w:eastAsia="zh-CN"/>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00"/>
        <w:gridCol w:w="2750"/>
        <w:gridCol w:w="2750"/>
        <w:gridCol w:w="2750"/>
      </w:tblGrid>
      <w:tr>
        <w:trPr>
          <w:trHeight w:val="60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分包号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预估数量（盒/袋）</w:t>
            </w:r>
            <w:r>
              <w:rPr>
                <w:rFonts w:hint="eastAsia" w:ascii="宋体" w:hAnsi="宋体" w:eastAsia="宋体" w:cs="宋体"/>
                <w:b/>
                <w:bCs/>
                <w:sz w:val="21"/>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812" w:type="dxa"/>
            <w:vAlign w:val="center"/>
            <w:vMerge w:val="restart"/>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6</w:t>
            </w:r>
            <w:r>
              <w:rPr>
                <w:rFonts w:hint="eastAsia" w:ascii="宋体" w:hAnsi="宋体" w:eastAsia="宋体" w:cs="宋体"/>
                <w:b/>
                <w:bCs/>
                <w:sz w:val="21"/>
                <w:szCs w:val="21"/>
              </w:rPr>
            </w:r>
            <w:r/>
          </w:p>
        </w:tc>
        <w:tc>
          <w:tcPr>
            <w:tcBorders>
              <w:top w:val="single" w:color="000000" w:sz="4" w:space="0"/>
              <w:left w:val="none" w:color="000000" w:sz="4" w:space="0"/>
              <w:bottom w:val="none" w:color="000000" w:sz="0" w:space="0"/>
              <w:right w:val="single" w:color="000000" w:sz="4" w:space="0"/>
            </w:tcBorders>
            <w:tcW w:w="1395" w:type="dxa"/>
            <w:vAlign w:val="center"/>
            <w:vMerge w:val="restart"/>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奶制品类</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酸奶</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2"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95"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鲜奶</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43000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812"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95"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脱脂奶</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single" w:color="000000" w:sz="4" w:space="0"/>
              <w:right w:val="single" w:color="000000" w:sz="4" w:space="0"/>
            </w:tcBorders>
            <w:tcW w:w="812"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1395"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豆奶、水果奶</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30000</w:t>
            </w:r>
            <w:r>
              <w:rPr>
                <w:rFonts w:hint="eastAsia" w:ascii="宋体" w:hAnsi="宋体" w:eastAsia="宋体" w:cs="宋体"/>
                <w:sz w:val="21"/>
                <w:szCs w:val="21"/>
                <w:lang w:val="en-US" w:eastAsia="zh-CN"/>
              </w:rPr>
            </w:r>
            <w:r/>
          </w:p>
        </w:tc>
      </w:tr>
    </w:tbl>
    <w:p>
      <w:pPr>
        <w:pStyle w:val="1276"/>
        <w:jc w:val="left"/>
        <w:spacing w:line="360" w:lineRule="auto"/>
        <w:widowControl/>
        <w:rPr>
          <w:rFonts w:hint="eastAsia" w:ascii="宋体" w:hAnsi="宋体" w:eastAsia="宋体" w:cs="宋体"/>
          <w:b/>
          <w:bCs/>
          <w:szCs w:val="21"/>
          <w:highlight w:val="none"/>
          <w:lang w:val="en-US" w:eastAsia="zh-CN"/>
        </w:rPr>
        <w:outlineLvl w:val="9"/>
      </w:pPr>
      <w:r>
        <w:rPr>
          <w:rFonts w:hint="eastAsia" w:ascii="宋体" w:hAnsi="宋体" w:eastAsia="宋体" w:cs="宋体"/>
          <w:b/>
          <w:bCs/>
          <w:szCs w:val="21"/>
          <w:highlight w:val="none"/>
          <w:lang w:val="en-US" w:eastAsia="zh-CN"/>
        </w:rPr>
      </w:r>
      <w:r/>
    </w:p>
    <w:p>
      <w:pPr>
        <w:pStyle w:val="1276"/>
        <w:jc w:val="left"/>
        <w:spacing w:line="360" w:lineRule="auto"/>
        <w:widowControl/>
        <w:rPr>
          <w:rFonts w:hint="eastAsia" w:ascii="宋体" w:hAnsi="宋体" w:eastAsia="宋体" w:cs="宋体"/>
          <w:b/>
          <w:bCs/>
          <w:szCs w:val="21"/>
          <w:highlight w:val="none"/>
          <w:lang w:val="en-US" w:eastAsia="zh-CN"/>
        </w:rPr>
        <w:outlineLvl w:val="2"/>
      </w:pPr>
      <w:r/>
      <w:bookmarkStart w:id="528" w:name="_Toc17668"/>
      <w:r>
        <w:rPr>
          <w:rFonts w:hint="eastAsia" w:ascii="宋体" w:hAnsi="宋体" w:eastAsia="宋体" w:cs="宋体"/>
          <w:b/>
          <w:bCs/>
          <w:szCs w:val="21"/>
          <w:highlight w:val="none"/>
          <w:lang w:val="en-US" w:eastAsia="zh-CN"/>
        </w:rPr>
        <w:t xml:space="preserve">分包7：干货调料米面油类</w:t>
      </w:r>
      <w:bookmarkEnd w:id="528"/>
      <w:r>
        <w:rPr>
          <w:rFonts w:hint="eastAsia" w:ascii="宋体" w:hAnsi="宋体" w:eastAsia="宋体" w:cs="宋体"/>
          <w:b/>
          <w:bCs/>
          <w:szCs w:val="21"/>
          <w:highlight w:val="none"/>
          <w:lang w:val="en-US" w:eastAsia="zh-CN"/>
        </w:rPr>
      </w:r>
      <w:r/>
    </w:p>
    <w:p>
      <w:pPr>
        <w:pStyle w:val="1276"/>
        <w:jc w:val="left"/>
        <w:rPr>
          <w:rFonts w:hint="eastAsia" w:hAnsi="宋体" w:eastAsia="宋体" w:cs="宋体"/>
          <w:sz w:val="21"/>
          <w:szCs w:val="21"/>
          <w:lang w:val="en-US" w:eastAsia="zh-CN"/>
        </w:rPr>
        <w:outlineLvl w:val="9"/>
      </w:pPr>
      <w:r>
        <w:rPr>
          <w:rFonts w:hint="eastAsia" w:ascii="宋体" w:hAnsi="宋体" w:eastAsia="宋体" w:cs="宋体"/>
          <w:b/>
          <w:bCs/>
          <w:sz w:val="21"/>
          <w:szCs w:val="21"/>
          <w:highlight w:val="none"/>
          <w:lang w:val="en-US" w:eastAsia="zh-CN"/>
        </w:rPr>
        <w:t xml:space="preserve">（一）质量要求</w:t>
      </w:r>
      <w:r>
        <w:rPr>
          <w:rFonts w:hint="eastAsia" w:hAnsi="宋体" w:eastAsia="宋体" w:cs="宋体"/>
          <w:sz w:val="21"/>
          <w:szCs w:val="21"/>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351"/>
        <w:gridCol w:w="5461"/>
        <w:gridCol w:w="2168"/>
      </w:tblGrid>
      <w:tr>
        <w:trPr>
          <w:trHeight w:val="568"/>
        </w:trPr>
        <w:tc>
          <w:tcPr>
            <w:tcW w:w="434"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品类</w:t>
            </w:r>
            <w:r>
              <w:rPr>
                <w:rFonts w:hint="eastAsia" w:ascii="宋体" w:hAnsi="宋体" w:eastAsia="宋体" w:cs="宋体"/>
                <w:szCs w:val="21"/>
              </w:rPr>
            </w:r>
            <w:r/>
          </w:p>
        </w:tc>
        <w:tc>
          <w:tcPr>
            <w:tcW w:w="687"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品种（包含以下但不限于，方便日后扩展采购）</w:t>
            </w:r>
            <w:r>
              <w:rPr>
                <w:rFonts w:hint="eastAsia" w:ascii="宋体" w:hAnsi="宋体" w:eastAsia="宋体" w:cs="宋体"/>
                <w:szCs w:val="21"/>
              </w:rPr>
            </w:r>
            <w:r/>
          </w:p>
        </w:tc>
        <w:tc>
          <w:tcPr>
            <w:tcW w:w="2776" w:type="dxa"/>
            <w:vAlign w:val="center"/>
            <w:textDirection w:val="lrTb"/>
            <w:noWrap w:val="false"/>
          </w:tcPr>
          <w:p>
            <w:pPr>
              <w:pStyle w:val="1276"/>
              <w:ind w:firstLine="1365"/>
              <w:spacing w:line="360" w:lineRule="auto"/>
              <w:rPr>
                <w:rFonts w:hint="eastAsia" w:ascii="宋体" w:hAnsi="宋体" w:eastAsia="宋体" w:cs="宋体"/>
                <w:szCs w:val="21"/>
              </w:rPr>
            </w:pPr>
            <w:r>
              <w:rPr>
                <w:rFonts w:hint="eastAsia" w:ascii="宋体" w:hAnsi="宋体" w:eastAsia="宋体" w:cs="宋体"/>
                <w:szCs w:val="21"/>
              </w:rPr>
              <w:t xml:space="preserve">验收标准</w:t>
            </w:r>
            <w:r>
              <w:rPr>
                <w:rFonts w:hint="eastAsia" w:ascii="宋体" w:hAnsi="宋体" w:eastAsia="宋体" w:cs="宋体"/>
                <w:szCs w:val="21"/>
              </w:rPr>
            </w:r>
            <w:r/>
          </w:p>
        </w:tc>
        <w:tc>
          <w:tcPr>
            <w:tcW w:w="110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tc>
      </w:tr>
      <w:tr>
        <w:trPr>
          <w:trHeight w:val="6354"/>
        </w:trPr>
        <w:tc>
          <w:tcPr>
            <w:tcW w:w="434" w:type="dxa"/>
            <w:vAlign w:val="center"/>
            <w:vMerge w:val="restart"/>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粮油类</w:t>
            </w:r>
            <w:r>
              <w:rPr>
                <w:rFonts w:hint="eastAsia" w:ascii="宋体" w:hAnsi="宋体" w:eastAsia="宋体" w:cs="宋体"/>
                <w:szCs w:val="21"/>
              </w:rPr>
            </w:r>
            <w:r/>
          </w:p>
        </w:tc>
        <w:tc>
          <w:tcPr>
            <w:tcW w:w="687"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大米、胚芽油、大豆油、玉米油、葵籽油等</w:t>
            </w:r>
            <w:r>
              <w:rPr>
                <w:rFonts w:hint="eastAsia" w:ascii="宋体" w:hAnsi="宋体" w:eastAsia="宋体" w:cs="宋体"/>
                <w:szCs w:val="21"/>
              </w:rPr>
            </w:r>
            <w:r/>
          </w:p>
        </w:tc>
        <w:tc>
          <w:tcPr>
            <w:tcW w:w="2776"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粮油类验收标准：1</w:t>
            </w:r>
            <w:r>
              <w:rPr>
                <w:rFonts w:hint="eastAsia" w:ascii="宋体" w:hAnsi="宋体" w:eastAsia="宋体" w:cs="宋体"/>
                <w:szCs w:val="21"/>
                <w:lang w:eastAsia="zh-CN"/>
              </w:rPr>
              <w:t xml:space="preserve">、</w:t>
            </w:r>
            <w:r>
              <w:rPr>
                <w:rFonts w:hint="eastAsia" w:ascii="宋体" w:hAnsi="宋体" w:eastAsia="宋体" w:cs="宋体"/>
                <w:szCs w:val="21"/>
              </w:rPr>
              <w:t xml:space="preserve">大米执行GB/T 1354-2018 标准；2</w:t>
            </w:r>
            <w:r>
              <w:rPr>
                <w:rFonts w:hint="eastAsia" w:ascii="宋体" w:hAnsi="宋体" w:eastAsia="宋体" w:cs="宋体"/>
                <w:szCs w:val="21"/>
                <w:lang w:eastAsia="zh-CN"/>
              </w:rPr>
              <w:t xml:space="preserve">、</w:t>
            </w:r>
            <w:r>
              <w:rPr>
                <w:rFonts w:hint="eastAsia" w:ascii="宋体" w:hAnsi="宋体" w:eastAsia="宋体" w:cs="宋体"/>
                <w:szCs w:val="21"/>
              </w:rPr>
              <w:t xml:space="preserve">大豆油符合GB/T1535-2017标准，要求澄清透明；气味、口感较好；溶剂残留不得检出；酸值小于1；过氧化值小于6；密封良好，无渗漏；3</w:t>
            </w:r>
            <w:r>
              <w:rPr>
                <w:rFonts w:hint="eastAsia" w:ascii="宋体" w:hAnsi="宋体" w:eastAsia="宋体" w:cs="宋体"/>
                <w:szCs w:val="21"/>
                <w:lang w:eastAsia="zh-CN"/>
              </w:rPr>
              <w:t xml:space="preserve">、</w:t>
            </w:r>
            <w:r>
              <w:rPr>
                <w:rFonts w:hint="eastAsia" w:ascii="宋体" w:hAnsi="宋体" w:eastAsia="宋体" w:cs="宋体"/>
                <w:szCs w:val="21"/>
              </w:rPr>
              <w:t xml:space="preserve">玉米油符合GB/T19111-2017标准，要求澄清透明；气味、口感较好；溶剂残留不得检出；酸值小于0.2%；过氧化值小于5；商标整齐，喷码正确，文字清晰。密封良好，无渗漏；4</w:t>
            </w:r>
            <w:r>
              <w:rPr>
                <w:rFonts w:hint="eastAsia" w:ascii="宋体" w:hAnsi="宋体" w:eastAsia="宋体" w:cs="宋体"/>
                <w:szCs w:val="21"/>
                <w:lang w:eastAsia="zh-CN"/>
              </w:rPr>
              <w:t xml:space="preserve">、</w:t>
            </w:r>
            <w:r>
              <w:rPr>
                <w:rFonts w:hint="eastAsia" w:ascii="宋体" w:hAnsi="宋体" w:eastAsia="宋体" w:cs="宋体"/>
                <w:szCs w:val="21"/>
              </w:rPr>
              <w:t xml:space="preserve">葵花籽油符合</w:t>
            </w:r>
            <w:r>
              <w:rPr>
                <w:rFonts w:hint="eastAsia" w:ascii="宋体" w:hAnsi="宋体" w:eastAsia="宋体" w:cs="宋体"/>
                <w:szCs w:val="21"/>
                <w:highlight w:val="none"/>
              </w:rPr>
              <w:t xml:space="preserve">GB/T10464-2017标准，要求澄清透明；气味、口感较好；商标整齐，喷码正确，文字清晰。密封良好，无渗漏；5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菜籽油符合GB/T1536-2021标准，要</w:t>
            </w:r>
            <w:r>
              <w:rPr>
                <w:rFonts w:hint="eastAsia" w:ascii="宋体" w:hAnsi="宋体" w:eastAsia="宋体" w:cs="宋体"/>
                <w:szCs w:val="21"/>
              </w:rPr>
              <w:t xml:space="preserve">求澄清透明；气味、口感较好；溶剂残留不得检出；酸值小于1；过氧化值小于6；密封良好，无渗漏。</w:t>
            </w:r>
            <w:r>
              <w:rPr>
                <w:rFonts w:hint="eastAsia" w:ascii="宋体" w:hAnsi="宋体" w:eastAsia="宋体" w:cs="宋体"/>
                <w:szCs w:val="21"/>
              </w:rPr>
            </w:r>
            <w:r/>
          </w:p>
        </w:tc>
        <w:tc>
          <w:tcPr>
            <w:tcW w:w="1102" w:type="dxa"/>
            <w:vAlign w:val="center"/>
            <w:vMerge w:val="restart"/>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按天供应（根据采购人前一天出具的货品清单，供应商次日清晨8点前送达，并提供现场加工服务，货物摆放整齐，结束后对设施清理，打扫厨余垃圾）</w:t>
            </w: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260"/>
              <w:spacing w:line="360" w:lineRule="auto"/>
              <w:rPr>
                <w:rFonts w:hint="eastAsia" w:ascii="宋体" w:hAnsi="宋体" w:eastAsia="宋体" w:cs="宋体"/>
                <w:szCs w:val="21"/>
              </w:rPr>
            </w:pPr>
            <w:r>
              <w:rPr>
                <w:rFonts w:hint="eastAsia" w:ascii="宋体" w:hAnsi="宋体" w:eastAsia="宋体" w:cs="宋体"/>
                <w:szCs w:val="21"/>
              </w:rPr>
            </w:r>
            <w:r/>
          </w:p>
        </w:tc>
      </w:tr>
      <w:tr>
        <w:trPr>
          <w:trHeight w:val="1703"/>
        </w:trPr>
        <w:tc>
          <w:tcPr>
            <w:tcW w:w="434" w:type="dxa"/>
            <w:vAlign w:val="center"/>
            <w:vMerge w:val="continue"/>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687"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干货类：去除了水份的木耳、紫菜、香菇、红枣、桂皮、辣椒、大茴香、小茴香、胡椒、枸杞等</w:t>
            </w:r>
            <w:r>
              <w:rPr>
                <w:rFonts w:hint="eastAsia" w:ascii="宋体" w:hAnsi="宋体" w:eastAsia="宋体" w:cs="宋体"/>
                <w:szCs w:val="21"/>
              </w:rPr>
            </w:r>
            <w:r/>
          </w:p>
        </w:tc>
        <w:tc>
          <w:tcPr>
            <w:tcW w:w="2776"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干货类验收标准：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rPr>
                <w:rFonts w:hint="eastAsia" w:ascii="宋体" w:hAnsi="宋体" w:eastAsia="宋体" w:cs="宋体"/>
                <w:szCs w:val="21"/>
              </w:rPr>
            </w:r>
            <w:r/>
          </w:p>
        </w:tc>
        <w:tc>
          <w:tcPr>
            <w:tcW w:w="1102" w:type="dxa"/>
            <w:vAlign w:val="center"/>
            <w:vMerge w:val="continue"/>
            <w:textDirection w:val="lrTb"/>
            <w:noWrap w:val="false"/>
          </w:tcPr>
          <w:p>
            <w:pPr>
              <w:pStyle w:val="1276"/>
              <w:ind w:left="1260"/>
              <w:spacing w:line="360" w:lineRule="auto"/>
              <w:rPr>
                <w:rFonts w:hint="eastAsia" w:ascii="宋体" w:hAnsi="宋体" w:eastAsia="宋体" w:cs="宋体"/>
                <w:szCs w:val="21"/>
              </w:rPr>
            </w:pPr>
            <w:r>
              <w:rPr>
                <w:rFonts w:hint="eastAsia" w:ascii="宋体" w:hAnsi="宋体" w:eastAsia="宋体" w:cs="宋体"/>
                <w:szCs w:val="21"/>
              </w:rPr>
            </w:r>
            <w:r/>
          </w:p>
        </w:tc>
      </w:tr>
      <w:tr>
        <w:trPr>
          <w:trHeight w:val="1542"/>
        </w:trPr>
        <w:tc>
          <w:tcPr>
            <w:tcW w:w="434"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干调类及厨房低值易耗品类</w:t>
            </w:r>
            <w:r>
              <w:rPr>
                <w:rFonts w:hint="eastAsia" w:ascii="宋体" w:hAnsi="宋体" w:eastAsia="宋体" w:cs="宋体"/>
                <w:szCs w:val="21"/>
              </w:rPr>
            </w:r>
            <w:r/>
          </w:p>
          <w:p>
            <w:pPr>
              <w:pStyle w:val="1276"/>
              <w:ind w:left="118"/>
              <w:jc w:val="center"/>
              <w:spacing w:line="360" w:lineRule="auto"/>
              <w:rPr>
                <w:rFonts w:hint="eastAsia" w:ascii="宋体" w:hAnsi="宋体" w:eastAsia="宋体" w:cs="宋体"/>
                <w:szCs w:val="21"/>
              </w:rPr>
            </w:pPr>
            <w:r>
              <w:rPr>
                <w:rFonts w:hint="eastAsia" w:ascii="宋体" w:hAnsi="宋体" w:eastAsia="宋体" w:cs="宋体"/>
                <w:szCs w:val="21"/>
              </w:rPr>
            </w:r>
            <w:r/>
          </w:p>
          <w:p>
            <w:pPr>
              <w:pStyle w:val="1276"/>
              <w:jc w:val="center"/>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18"/>
              <w:jc w:val="center"/>
              <w:spacing w:line="360" w:lineRule="auto"/>
              <w:rPr>
                <w:rFonts w:hint="eastAsia" w:ascii="宋体" w:hAnsi="宋体" w:eastAsia="宋体" w:cs="宋体"/>
                <w:szCs w:val="21"/>
              </w:rPr>
            </w:pPr>
            <w:r>
              <w:rPr>
                <w:rFonts w:hint="eastAsia" w:ascii="宋体" w:hAnsi="宋体" w:eastAsia="宋体" w:cs="宋体"/>
                <w:szCs w:val="21"/>
              </w:rPr>
            </w:r>
            <w:r/>
          </w:p>
          <w:p>
            <w:pPr>
              <w:pStyle w:val="1276"/>
              <w:jc w:val="center"/>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18"/>
              <w:jc w:val="center"/>
              <w:spacing w:line="360" w:lineRule="auto"/>
              <w:rPr>
                <w:rFonts w:hint="eastAsia" w:ascii="宋体" w:hAnsi="宋体" w:eastAsia="宋体" w:cs="宋体"/>
                <w:szCs w:val="21"/>
              </w:rPr>
            </w:pPr>
            <w:r>
              <w:rPr>
                <w:rFonts w:hint="eastAsia" w:ascii="宋体" w:hAnsi="宋体" w:eastAsia="宋体" w:cs="宋体"/>
                <w:szCs w:val="21"/>
              </w:rPr>
            </w:r>
            <w:r/>
          </w:p>
          <w:p>
            <w:pPr>
              <w:pStyle w:val="1276"/>
              <w:jc w:val="center"/>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18"/>
              <w:jc w:val="center"/>
              <w:spacing w:line="360" w:lineRule="auto"/>
              <w:rPr>
                <w:rFonts w:hint="eastAsia" w:ascii="宋体" w:hAnsi="宋体" w:eastAsia="宋体" w:cs="宋体"/>
                <w:szCs w:val="21"/>
              </w:rPr>
            </w:pPr>
            <w:r>
              <w:rPr>
                <w:rFonts w:hint="eastAsia" w:ascii="宋体" w:hAnsi="宋体" w:eastAsia="宋体" w:cs="宋体"/>
                <w:szCs w:val="21"/>
              </w:rPr>
            </w:r>
            <w:r/>
          </w:p>
          <w:p>
            <w:pPr>
              <w:pStyle w:val="1276"/>
              <w:jc w:val="center"/>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18"/>
              <w:jc w:val="center"/>
              <w:spacing w:line="360" w:lineRule="auto"/>
              <w:rPr>
                <w:rFonts w:hint="eastAsia" w:ascii="宋体" w:hAnsi="宋体" w:eastAsia="宋体" w:cs="宋体"/>
                <w:szCs w:val="21"/>
              </w:rPr>
            </w:pPr>
            <w:r>
              <w:rPr>
                <w:rFonts w:hint="eastAsia" w:ascii="宋体" w:hAnsi="宋体" w:eastAsia="宋体" w:cs="宋体"/>
                <w:szCs w:val="21"/>
              </w:rPr>
            </w:r>
            <w:r/>
          </w:p>
          <w:p>
            <w:pPr>
              <w:pStyle w:val="1276"/>
              <w:jc w:val="center"/>
              <w:spacing w:line="360" w:lineRule="auto"/>
              <w:widowControl/>
              <w:rPr>
                <w:rFonts w:hint="eastAsia" w:ascii="宋体" w:hAnsi="宋体" w:eastAsia="宋体" w:cs="宋体"/>
                <w:szCs w:val="21"/>
              </w:rPr>
            </w:pPr>
            <w:r>
              <w:rPr>
                <w:rFonts w:hint="eastAsia" w:ascii="宋体" w:hAnsi="宋体" w:eastAsia="宋体" w:cs="宋体"/>
                <w:szCs w:val="21"/>
              </w:rPr>
            </w:r>
            <w:r/>
          </w:p>
          <w:p>
            <w:pPr>
              <w:pStyle w:val="1276"/>
              <w:ind w:left="1260"/>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687"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调味品：鸡精、盐、糖、八角、桂皮、酱油、辣椒等</w:t>
            </w:r>
            <w:r>
              <w:rPr>
                <w:rFonts w:hint="eastAsia" w:ascii="宋体" w:hAnsi="宋体" w:eastAsia="宋体" w:cs="宋体"/>
                <w:szCs w:val="21"/>
              </w:rPr>
            </w:r>
            <w:r/>
          </w:p>
        </w:tc>
        <w:tc>
          <w:tcPr>
            <w:tcW w:w="2776" w:type="dxa"/>
            <w:vAlign w:val="center"/>
            <w:textDirection w:val="lrTb"/>
            <w:noWrap w:val="false"/>
          </w:tcPr>
          <w:p>
            <w:pPr>
              <w:pStyle w:val="1276"/>
              <w:spacing w:line="360" w:lineRule="auto"/>
              <w:rPr>
                <w:rFonts w:hint="eastAsia" w:ascii="宋体" w:hAnsi="宋体" w:eastAsia="宋体" w:cs="宋体"/>
                <w:szCs w:val="21"/>
              </w:rPr>
            </w:pPr>
            <w:r>
              <w:rPr>
                <w:rFonts w:hint="eastAsia" w:ascii="宋体" w:hAnsi="宋体" w:eastAsia="宋体" w:cs="宋体"/>
                <w:szCs w:val="21"/>
              </w:rPr>
              <w:t xml:space="preserve">调味品类验收标准：1</w:t>
            </w:r>
            <w:r>
              <w:rPr>
                <w:rFonts w:hint="eastAsia" w:ascii="宋体" w:hAnsi="宋体" w:eastAsia="宋体" w:cs="宋体"/>
                <w:szCs w:val="21"/>
                <w:lang w:eastAsia="zh-CN"/>
              </w:rPr>
              <w:t xml:space="preserve">、</w:t>
            </w:r>
            <w:r>
              <w:rPr>
                <w:rFonts w:hint="eastAsia" w:ascii="宋体" w:hAnsi="宋体" w:eastAsia="宋体" w:cs="宋体"/>
                <w:szCs w:val="21"/>
              </w:rPr>
              <w:t xml:space="preserve">食盐：味咸，呈现白色晶体，无杂质，无苦味及其他异味，外包装无漏无污，印刷清晰，有防伪标识；2</w:t>
            </w:r>
            <w:r>
              <w:rPr>
                <w:rFonts w:hint="eastAsia" w:ascii="宋体" w:hAnsi="宋体" w:eastAsia="宋体" w:cs="宋体"/>
                <w:szCs w:val="21"/>
                <w:lang w:eastAsia="zh-CN"/>
              </w:rPr>
              <w:t xml:space="preserve">、</w:t>
            </w:r>
            <w:r>
              <w:rPr>
                <w:rFonts w:hint="eastAsia" w:ascii="宋体" w:hAnsi="宋体" w:eastAsia="宋体" w:cs="宋体"/>
                <w:szCs w:val="21"/>
              </w:rPr>
              <w:t xml:space="preserve">食糖：色泽洁白光亮，颗粒均匀整齐，无粘结块现象，无异味无杂质，包装完好；3</w:t>
            </w:r>
            <w:r>
              <w:rPr>
                <w:rFonts w:hint="eastAsia" w:ascii="宋体" w:hAnsi="宋体" w:eastAsia="宋体" w:cs="宋体"/>
                <w:szCs w:val="21"/>
                <w:lang w:eastAsia="zh-CN"/>
              </w:rPr>
              <w:t xml:space="preserve">、</w:t>
            </w:r>
            <w:r>
              <w:rPr>
                <w:rFonts w:hint="eastAsia" w:ascii="宋体" w:hAnsi="宋体" w:eastAsia="宋体" w:cs="宋体"/>
                <w:szCs w:val="21"/>
              </w:rPr>
              <w:t xml:space="preserve">食醋：正常色泽，琥珀色气味，不得有苦、涩等异味和霉味，不浑浊，不沉淀，无霉花浮膜，外包装无漏无污，印刷清晰，无胀袋现象；4</w:t>
            </w:r>
            <w:r>
              <w:rPr>
                <w:rFonts w:hint="eastAsia" w:ascii="宋体" w:hAnsi="宋体" w:eastAsia="宋体" w:cs="宋体"/>
                <w:szCs w:val="21"/>
                <w:lang w:eastAsia="zh-CN"/>
              </w:rPr>
              <w:t xml:space="preserve">、</w:t>
            </w:r>
            <w:r>
              <w:rPr>
                <w:rFonts w:hint="eastAsia" w:ascii="宋体" w:hAnsi="宋体" w:eastAsia="宋体" w:cs="宋体"/>
                <w:szCs w:val="21"/>
              </w:rPr>
              <w:t xml:space="preserve">酱油：正常色泽，红褐色气味的滋味，无不良气味，不得有苦、涩等异味和霉味，不浑浊，不沉淀，无霉花浮膜，外包装无漏无污，印刷清晰，无胀袋现象；5</w:t>
            </w:r>
            <w:r>
              <w:rPr>
                <w:rFonts w:hint="eastAsia" w:ascii="宋体" w:hAnsi="宋体" w:eastAsia="宋体" w:cs="宋体"/>
                <w:szCs w:val="21"/>
                <w:lang w:eastAsia="zh-CN"/>
              </w:rPr>
              <w:t xml:space="preserve">、</w:t>
            </w:r>
            <w:r>
              <w:rPr>
                <w:rFonts w:hint="eastAsia" w:ascii="宋体" w:hAnsi="宋体" w:eastAsia="宋体" w:cs="宋体"/>
                <w:szCs w:val="21"/>
              </w:rPr>
              <w:t xml:space="preserve">味精：无色或白色结晶，无杂质污物，允许有少量碎晶及少量粉末物质；6</w:t>
            </w:r>
            <w:r>
              <w:rPr>
                <w:rFonts w:hint="eastAsia" w:ascii="宋体" w:hAnsi="宋体" w:eastAsia="宋体" w:cs="宋体"/>
                <w:szCs w:val="21"/>
                <w:lang w:eastAsia="zh-CN"/>
              </w:rPr>
              <w:t xml:space="preserve">、</w:t>
            </w:r>
            <w:r>
              <w:rPr>
                <w:rFonts w:hint="eastAsia" w:ascii="宋体" w:hAnsi="宋体" w:eastAsia="宋体" w:cs="宋体"/>
                <w:szCs w:val="21"/>
              </w:rPr>
              <w:t xml:space="preserve">生粉及炸粉：色洁白，颗粒均匀，手感滑爽，干燥无杂质，气味正常；7</w:t>
            </w:r>
            <w:r>
              <w:rPr>
                <w:rFonts w:hint="eastAsia" w:ascii="宋体" w:hAnsi="宋体" w:eastAsia="宋体" w:cs="宋体"/>
                <w:szCs w:val="21"/>
                <w:lang w:eastAsia="zh-CN"/>
              </w:rPr>
              <w:t xml:space="preserve">、</w:t>
            </w:r>
            <w:r>
              <w:rPr>
                <w:rFonts w:hint="eastAsia" w:ascii="宋体" w:hAnsi="宋体" w:eastAsia="宋体" w:cs="宋体"/>
                <w:szCs w:val="21"/>
              </w:rPr>
              <w:t xml:space="preserve">粉状香辛料：颗粒均匀无杂质，干燥无结块，具有固有的颜色和气味。</w:t>
            </w:r>
            <w:r>
              <w:rPr>
                <w:rFonts w:hint="eastAsia" w:ascii="宋体" w:hAnsi="宋体" w:eastAsia="宋体" w:cs="宋体"/>
                <w:szCs w:val="21"/>
              </w:rPr>
            </w:r>
            <w:r/>
          </w:p>
        </w:tc>
        <w:tc>
          <w:tcPr>
            <w:tcW w:w="1102" w:type="dxa"/>
            <w:vAlign w:val="center"/>
            <w:vMerge w:val="continue"/>
            <w:textDirection w:val="lrTb"/>
            <w:noWrap w:val="false"/>
          </w:tcPr>
          <w:p>
            <w:pPr>
              <w:pStyle w:val="1276"/>
              <w:ind w:left="1260"/>
              <w:spacing w:line="360" w:lineRule="auto"/>
              <w:rPr>
                <w:rFonts w:hint="eastAsia" w:ascii="宋体" w:hAnsi="宋体" w:eastAsia="宋体" w:cs="宋体"/>
                <w:szCs w:val="21"/>
              </w:rPr>
            </w:pPr>
            <w:r>
              <w:rPr>
                <w:rFonts w:hint="eastAsia" w:ascii="宋体" w:hAnsi="宋体" w:eastAsia="宋体" w:cs="宋体"/>
                <w:szCs w:val="21"/>
              </w:rPr>
            </w:r>
            <w:r/>
          </w:p>
        </w:tc>
      </w:tr>
    </w:tbl>
    <w:p>
      <w:pPr>
        <w:pStyle w:val="1276"/>
        <w:numPr>
          <w:ilvl w:val="0"/>
          <w:numId w:val="0"/>
        </w:numPr>
        <w:ind w:left="0" w:firstLine="0"/>
        <w:jc w:val="lef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（二）数量</w:t>
      </w:r>
      <w:r>
        <w:rPr>
          <w:rFonts w:hint="eastAsia" w:ascii="宋体" w:hAnsi="宋体" w:eastAsia="宋体" w:cs="宋体"/>
          <w:b/>
          <w:bCs/>
          <w:szCs w:val="21"/>
          <w:lang w:val="en-US" w:eastAsia="zh-CN"/>
        </w:rPr>
      </w:r>
      <w:r/>
    </w:p>
    <w:tbl>
      <w:tblPr>
        <w:tblW w:w="499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39"/>
        <w:gridCol w:w="2605"/>
        <w:gridCol w:w="3601"/>
        <w:gridCol w:w="2195"/>
      </w:tblGrid>
      <w:tr>
        <w:trPr>
          <w:trHeight w:val="60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分包号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323"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预估数量(kg)</w:t>
            </w:r>
            <w:r>
              <w:rPr>
                <w:rFonts w:hint="eastAsia" w:ascii="宋体" w:hAnsi="宋体" w:eastAsia="宋体" w:cs="宋体"/>
                <w:b/>
                <w:bCs/>
                <w:sz w:val="21"/>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731" w:type="dxa"/>
            <w:vAlign w:val="center"/>
            <w:vMerge w:val="restart"/>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8</w:t>
            </w:r>
            <w:r>
              <w:rPr>
                <w:rFonts w:hint="eastAsia" w:ascii="宋体" w:hAnsi="宋体" w:eastAsia="宋体" w:cs="宋体"/>
                <w:b/>
                <w:bCs/>
                <w:sz w:val="21"/>
                <w:szCs w:val="21"/>
              </w:rPr>
            </w:r>
            <w:r/>
          </w:p>
        </w:tc>
        <w:tc>
          <w:tcPr>
            <w:tcBorders>
              <w:top w:val="single" w:color="000000" w:sz="4" w:space="0"/>
              <w:left w:val="none" w:color="000000" w:sz="4" w:space="0"/>
              <w:bottom w:val="none" w:color="000000" w:sz="0" w:space="0"/>
              <w:right w:val="single" w:color="000000" w:sz="4" w:space="0"/>
            </w:tcBorders>
            <w:tcW w:w="1323" w:type="dxa"/>
            <w:vAlign w:val="center"/>
            <w:vMerge w:val="restart"/>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干货、调味品、米面油类</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银耳</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木耳</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粉条</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粉皮</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干黄花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皮肚</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开阳</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虾皮</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盐渍海带丝</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干香菇</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酸菜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粉丝</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儿童榨菜丝</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紫菜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桶装笋</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豆沙</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腰果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干百合</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面包糠</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香醋</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陈醋</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白醋</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生抽</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老抽</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蒸鱼豉油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料酒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白砂糖</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老干妈豆豉酱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蚝油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黄豆酱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精制盐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味精</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鸡精</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百年辣酱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番茄酱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麻酱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蛋挞皮</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蛋挞液</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绵白糖</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豆瓣酱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海鲜酱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红曲粉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麻油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黑胡椒粉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白胡椒粉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超级生粉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甜面酱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十三香</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大料</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花椒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青花椒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花椒油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泡打粉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酵母</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野山椒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金汤酸汤汁</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藤椒鸡汁</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美极鲜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椒盐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剁椒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酱椒</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干辣椒段</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辣椒面</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去皮白芝麻</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黑芝麻</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糖桂花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孜然粉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花生酱</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小苏打</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香叶</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香果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沙姜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肉蔻</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白芷</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砂仁</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草果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南乳汁</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小咸菜类</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大米</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面粉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none" w:color="000000" w:sz="0"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大豆油</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3600</w:t>
            </w:r>
            <w:r>
              <w:rPr>
                <w:rFonts w:hint="eastAsia" w:ascii="宋体" w:hAnsi="宋体" w:eastAsia="宋体" w:cs="宋体"/>
                <w:sz w:val="21"/>
                <w:szCs w:val="21"/>
                <w:lang w:val="en-US" w:eastAsia="zh-CN"/>
              </w:rPr>
            </w:r>
            <w:r/>
          </w:p>
        </w:tc>
      </w:tr>
      <w:tr>
        <w:trPr>
          <w:trHeight w:val="600"/>
        </w:trPr>
        <w:tc>
          <w:tcPr>
            <w:tcBorders>
              <w:top w:val="none" w:color="000000" w:sz="0" w:space="0"/>
              <w:left w:val="single" w:color="000000" w:sz="4" w:space="0"/>
              <w:bottom w:val="single" w:color="000000" w:sz="4" w:space="0"/>
              <w:right w:val="single" w:color="000000" w:sz="4" w:space="0"/>
            </w:tcBorders>
            <w:tcW w:w="731" w:type="dxa"/>
            <w:vAlign w:val="center"/>
            <w:vMerge w:val="continue"/>
            <w:textDirection w:val="lrTb"/>
            <w:noWrap/>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0" w:space="0"/>
              <w:left w:val="none" w:color="000000" w:sz="4" w:space="0"/>
              <w:bottom w:val="single" w:color="000000" w:sz="4" w:space="0"/>
              <w:right w:val="single" w:color="000000" w:sz="4" w:space="0"/>
            </w:tcBorders>
            <w:tcW w:w="1323" w:type="dxa"/>
            <w:vAlign w:val="center"/>
            <w:vMerge w:val="continue"/>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829"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rPr>
              <w:t xml:space="preserve">杂粮类</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15" w:type="dxa"/>
            <w:vAlign w:val="center"/>
            <w:textDirection w:val="lrTb"/>
            <w:noWrap w:val="false"/>
          </w:tcPr>
          <w:p>
            <w:pPr>
              <w:pStyle w:val="1276"/>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2000</w:t>
            </w:r>
            <w:r>
              <w:rPr>
                <w:rFonts w:hint="eastAsia" w:ascii="宋体" w:hAnsi="宋体" w:eastAsia="宋体" w:cs="宋体"/>
                <w:sz w:val="21"/>
                <w:szCs w:val="21"/>
                <w:lang w:val="en-US" w:eastAsia="zh-CN"/>
              </w:rPr>
            </w:r>
            <w:r/>
          </w:p>
        </w:tc>
      </w:tr>
    </w:tbl>
    <w:p>
      <w:pPr>
        <w:pStyle w:val="1276"/>
        <w:numPr>
          <w:ilvl w:val="0"/>
          <w:numId w:val="0"/>
        </w:numPr>
        <w:ind w:left="0" w:firstLine="0"/>
        <w:jc w:val="both"/>
        <w:rPr>
          <w:rFonts w:hint="eastAsia" w:hAnsi="宋体" w:eastAsia="宋体" w:cs="宋体"/>
          <w:sz w:val="21"/>
          <w:szCs w:val="21"/>
          <w:lang w:val="en-US" w:eastAsia="zh-CN"/>
        </w:rPr>
        <w:outlineLvl w:val="9"/>
      </w:pPr>
      <w:r>
        <w:rPr>
          <w:rFonts w:hint="eastAsia" w:hAnsi="宋体" w:eastAsia="宋体" w:cs="宋体"/>
          <w:sz w:val="21"/>
          <w:szCs w:val="21"/>
          <w:lang w:val="en-US" w:eastAsia="zh-CN"/>
        </w:rPr>
      </w:r>
      <w:r/>
    </w:p>
    <w:p>
      <w:pPr>
        <w:pStyle w:val="1276"/>
        <w:jc w:val="left"/>
        <w:spacing w:line="360" w:lineRule="auto"/>
        <w:widowControl/>
        <w:rPr>
          <w:rFonts w:hint="eastAsia" w:ascii="宋体" w:hAnsi="宋体" w:eastAsia="宋体" w:cs="宋体"/>
          <w:b/>
          <w:bCs/>
          <w:szCs w:val="21"/>
          <w:highlight w:val="none"/>
          <w:lang w:val="en-US" w:eastAsia="zh-CN"/>
        </w:rPr>
        <w:outlineLvl w:val="2"/>
      </w:pPr>
      <w:r/>
      <w:bookmarkStart w:id="529" w:name="_Toc1267"/>
      <w:r>
        <w:rPr>
          <w:rFonts w:hint="eastAsia" w:ascii="宋体" w:hAnsi="宋体" w:eastAsia="宋体" w:cs="宋体"/>
          <w:b/>
          <w:bCs/>
          <w:szCs w:val="21"/>
          <w:highlight w:val="none"/>
          <w:lang w:val="en-US" w:eastAsia="zh-CN"/>
        </w:rPr>
        <w:t xml:space="preserve">分包8：面包、面点、熟食类</w:t>
      </w:r>
      <w:bookmarkEnd w:id="529"/>
      <w:r>
        <w:rPr>
          <w:rFonts w:hint="eastAsia" w:ascii="宋体" w:hAnsi="宋体" w:eastAsia="宋体" w:cs="宋体"/>
          <w:b/>
          <w:bCs/>
          <w:szCs w:val="21"/>
          <w:highlight w:val="none"/>
          <w:lang w:val="en-US" w:eastAsia="zh-CN"/>
        </w:rPr>
      </w:r>
      <w:r/>
    </w:p>
    <w:p>
      <w:pPr>
        <w:pStyle w:val="1276"/>
        <w:jc w:val="left"/>
        <w:rPr>
          <w:rFonts w:hint="eastAsia" w:hAnsi="宋体" w:eastAsia="宋体" w:cs="宋体"/>
          <w:sz w:val="21"/>
          <w:szCs w:val="21"/>
          <w:lang w:val="en-US" w:eastAsia="zh-CN"/>
        </w:rPr>
        <w:outlineLvl w:val="9"/>
      </w:pPr>
      <w:r>
        <w:rPr>
          <w:rFonts w:hint="eastAsia" w:ascii="宋体" w:hAnsi="宋体" w:eastAsia="宋体" w:cs="宋体"/>
          <w:b/>
          <w:bCs/>
          <w:sz w:val="21"/>
          <w:szCs w:val="21"/>
          <w:highlight w:val="none"/>
          <w:lang w:val="en-US" w:eastAsia="zh-CN"/>
        </w:rPr>
        <w:t xml:space="preserve">（一）质量要求</w:t>
      </w:r>
      <w:r>
        <w:rPr>
          <w:rFonts w:hint="eastAsia" w:hAnsi="宋体" w:eastAsia="宋体" w:cs="宋体"/>
          <w:sz w:val="21"/>
          <w:szCs w:val="21"/>
          <w:lang w:val="en-US" w:eastAsia="zh-CN"/>
        </w:rPr>
      </w:r>
      <w:r/>
    </w:p>
    <w:tbl>
      <w:tblPr>
        <w:tblW w:w="49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1572"/>
        <w:gridCol w:w="4995"/>
        <w:gridCol w:w="2165"/>
      </w:tblGrid>
      <w:tr>
        <w:trPr>
          <w:trHeight w:val="568"/>
        </w:trPr>
        <w:tc>
          <w:tcPr>
            <w:tcW w:w="55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品类</w:t>
            </w:r>
            <w:r>
              <w:rPr>
                <w:rFonts w:hint="eastAsia" w:ascii="宋体" w:hAnsi="宋体" w:eastAsia="宋体" w:cs="宋体"/>
                <w:szCs w:val="21"/>
              </w:rPr>
            </w:r>
            <w:r/>
          </w:p>
        </w:tc>
        <w:tc>
          <w:tcPr>
            <w:tcW w:w="800"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szCs w:val="21"/>
              </w:rPr>
              <w:t xml:space="preserve">品种（包含以下但不限于，方便日后扩展采购）</w:t>
            </w:r>
            <w:r>
              <w:rPr>
                <w:rFonts w:hint="eastAsia" w:ascii="宋体" w:hAnsi="宋体" w:eastAsia="宋体" w:cs="宋体"/>
                <w:szCs w:val="21"/>
              </w:rPr>
            </w:r>
            <w:r/>
          </w:p>
        </w:tc>
        <w:tc>
          <w:tcPr>
            <w:tcW w:w="2542" w:type="dxa"/>
            <w:vAlign w:val="center"/>
            <w:textDirection w:val="lrTb"/>
            <w:noWrap w:val="false"/>
          </w:tcPr>
          <w:p>
            <w:pPr>
              <w:pStyle w:val="1276"/>
              <w:ind w:firstLine="1365"/>
              <w:spacing w:line="360" w:lineRule="auto"/>
              <w:rPr>
                <w:rFonts w:hint="eastAsia" w:ascii="宋体" w:hAnsi="宋体" w:eastAsia="宋体" w:cs="宋体"/>
                <w:szCs w:val="21"/>
              </w:rPr>
            </w:pPr>
            <w:r>
              <w:rPr>
                <w:rFonts w:hint="eastAsia" w:ascii="宋体" w:hAnsi="宋体" w:eastAsia="宋体" w:cs="宋体"/>
                <w:szCs w:val="21"/>
              </w:rPr>
              <w:t xml:space="preserve">验收标准</w:t>
            </w:r>
            <w:r>
              <w:rPr>
                <w:rFonts w:hint="eastAsia" w:ascii="宋体" w:hAnsi="宋体" w:eastAsia="宋体" w:cs="宋体"/>
                <w:szCs w:val="21"/>
              </w:rPr>
            </w:r>
            <w:r/>
          </w:p>
        </w:tc>
        <w:tc>
          <w:tcPr>
            <w:tcW w:w="110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tc>
      </w:tr>
      <w:tr>
        <w:trPr>
          <w:trHeight w:val="568"/>
        </w:trPr>
        <w:tc>
          <w:tcPr>
            <w:tcW w:w="555" w:type="dxa"/>
            <w:vAlign w:val="center"/>
            <w:textDirection w:val="lrTb"/>
            <w:noWrap w:val="false"/>
          </w:tcPr>
          <w:p>
            <w:pPr>
              <w:pStyle w:val="1276"/>
              <w:jc w:val="center"/>
              <w:spacing w:line="360" w:lineRule="auto"/>
              <w:rPr>
                <w:rFonts w:hint="eastAsia" w:ascii="宋体" w:hAnsi="宋体" w:eastAsia="宋体" w:cs="宋体"/>
                <w:szCs w:val="21"/>
              </w:rPr>
            </w:pPr>
            <w:r>
              <w:rPr>
                <w:rFonts w:hint="eastAsia" w:ascii="宋体" w:hAnsi="宋体" w:eastAsia="宋体" w:cs="宋体"/>
                <w:b w:val="0"/>
                <w:bCs w:val="0"/>
                <w:szCs w:val="21"/>
                <w:highlight w:val="none"/>
                <w:lang w:val="en-US" w:eastAsia="zh-CN"/>
              </w:rPr>
              <w:t xml:space="preserve">面包、面点、熟食类</w:t>
            </w:r>
            <w:r>
              <w:rPr>
                <w:rFonts w:hint="eastAsia" w:ascii="宋体" w:hAnsi="宋体" w:eastAsia="宋体" w:cs="宋体"/>
                <w:szCs w:val="21"/>
              </w:rPr>
            </w:r>
            <w:r/>
          </w:p>
        </w:tc>
        <w:tc>
          <w:tcPr>
            <w:tcW w:w="800" w:type="dxa"/>
            <w:vAlign w:val="center"/>
            <w:textDirection w:val="lrTb"/>
            <w:noWrap w:val="false"/>
          </w:tcPr>
          <w:p>
            <w:pPr>
              <w:pStyle w:val="1276"/>
              <w:jc w:val="left"/>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bidi="ar"/>
              </w:rPr>
              <w:t xml:space="preserve">面包：各品牌现做和常温存储面包，现做及冷冻类早餐，熟食：烤鸭，卤猪头肉、猪耳朵等各种卤味熟食</w:t>
            </w:r>
            <w:r>
              <w:rPr>
                <w:rFonts w:hint="eastAsia" w:ascii="宋体" w:hAnsi="宋体" w:eastAsia="宋体" w:cs="宋体"/>
                <w:szCs w:val="21"/>
                <w:lang w:val="en-US" w:eastAsia="zh-CN"/>
              </w:rPr>
            </w:r>
            <w:r/>
          </w:p>
        </w:tc>
        <w:tc>
          <w:tcPr>
            <w:tcW w:w="2542" w:type="dxa"/>
            <w:vAlign w:val="center"/>
            <w:textDirection w:val="lrTb"/>
            <w:noWrap w:val="false"/>
          </w:tcPr>
          <w:p>
            <w:pPr>
              <w:pStyle w:val="1276"/>
              <w:ind w:firstLine="0"/>
              <w:jc w:val="left"/>
              <w:spacing w:line="360" w:lineRule="auto"/>
              <w:rPr>
                <w:rFonts w:hint="eastAsia" w:ascii="宋体" w:hAnsi="宋体" w:eastAsia="宋体" w:cs="宋体"/>
                <w:szCs w:val="21"/>
              </w:rPr>
              <w:outlineLvl w:val="9"/>
            </w:pPr>
            <w:r>
              <w:rPr>
                <w:rFonts w:hint="eastAsia" w:ascii="宋体" w:hAnsi="宋体" w:eastAsia="宋体" w:cs="宋体"/>
                <w:i w:val="0"/>
                <w:iCs w:val="0"/>
                <w:sz w:val="21"/>
                <w:szCs w:val="21"/>
                <w:u w:val="none"/>
                <w:lang w:val="en-US" w:eastAsia="zh-CN" w:bidi="ar"/>
              </w:rPr>
              <w:t xml:space="preserve">当日现做，大小均匀一致，外形完整，无破损，无露馅，无肉眼可见杂质。</w:t>
            </w:r>
            <w:r>
              <w:rPr>
                <w:rFonts w:hint="eastAsia" w:ascii="宋体" w:hAnsi="宋体" w:eastAsia="宋体" w:cs="宋体"/>
                <w:szCs w:val="21"/>
              </w:rPr>
            </w:r>
            <w:r/>
          </w:p>
        </w:tc>
        <w:tc>
          <w:tcPr>
            <w:tcW w:w="1102" w:type="dxa"/>
            <w:vAlign w:val="center"/>
            <w:textDirection w:val="lrTb"/>
            <w:noWrap w:val="false"/>
          </w:tcPr>
          <w:p>
            <w:pPr>
              <w:pStyle w:val="1276"/>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提供现场加工服务，货物摆放整齐，结束后对设施清理，打扫厨余垃圾</w:t>
            </w:r>
            <w:r>
              <w:rPr>
                <w:rFonts w:hint="eastAsia" w:ascii="宋体" w:hAnsi="宋体" w:eastAsia="宋体" w:cs="宋体"/>
                <w:szCs w:val="21"/>
              </w:rPr>
            </w:r>
            <w:r/>
          </w:p>
        </w:tc>
      </w:tr>
    </w:tbl>
    <w:p>
      <w:pPr>
        <w:pStyle w:val="1276"/>
        <w:jc w:val="left"/>
        <w:spacing w:line="360" w:lineRule="auto"/>
        <w:widowControl/>
        <w:rPr>
          <w:rFonts w:hint="eastAsia" w:ascii="宋体" w:hAnsi="宋体" w:eastAsia="宋体" w:cs="宋体"/>
          <w:b/>
          <w:bCs/>
          <w:szCs w:val="21"/>
          <w:highlight w:val="none"/>
          <w:lang w:val="en-US" w:eastAsia="zh-CN"/>
        </w:rPr>
        <w:outlineLvl w:val="9"/>
      </w:pPr>
      <w:r>
        <w:rPr>
          <w:rFonts w:hint="eastAsia" w:ascii="宋体" w:hAnsi="宋体" w:eastAsia="宋体" w:cs="宋体"/>
          <w:b/>
          <w:bCs/>
          <w:szCs w:val="21"/>
          <w:highlight w:val="none"/>
          <w:lang w:val="en-US" w:eastAsia="zh-CN"/>
        </w:rPr>
        <w:t xml:space="preserve">（二）数量</w:t>
      </w:r>
      <w:r>
        <w:rPr>
          <w:rFonts w:hint="eastAsia" w:ascii="宋体" w:hAnsi="宋体" w:eastAsia="宋体" w:cs="宋体"/>
          <w:b/>
          <w:bCs/>
          <w:szCs w:val="21"/>
          <w:highlight w:val="none"/>
          <w:lang w:val="en-US" w:eastAsia="zh-CN"/>
        </w:rPr>
      </w:r>
      <w:r/>
    </w:p>
    <w:tbl>
      <w:tblPr>
        <w:tblW w:w="4934" w:type="pct"/>
        <w:jc w:val="center"/>
        <w:tblInd w:w="-2162" w:type="dxa"/>
        <w:tblLayout w:type="autofit"/>
        <w:tblCellMar>
          <w:left w:w="108" w:type="dxa"/>
          <w:top w:w="0" w:type="dxa"/>
          <w:right w:w="108" w:type="dxa"/>
          <w:bottom w:w="0" w:type="dxa"/>
        </w:tblCellMar>
        <w:tblLook w:val="04A0" w:firstRow="1" w:lastRow="0" w:firstColumn="1" w:lastColumn="0" w:noHBand="0" w:noVBand="1"/>
      </w:tblPr>
      <w:tblGrid>
        <w:gridCol w:w="1124"/>
        <w:gridCol w:w="1809"/>
        <w:gridCol w:w="4653"/>
        <w:gridCol w:w="2138"/>
      </w:tblGrid>
      <w:tr>
        <w:trPr>
          <w:trHeight w:val="60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1276"/>
              <w:jc w:val="center"/>
              <w:spacing w:line="360" w:lineRule="auto"/>
              <w:widowControl/>
              <w:rPr>
                <w:rFonts w:hint="eastAsia" w:ascii="宋体" w:hAnsi="宋体" w:eastAsia="宋体" w:cs="宋体"/>
                <w:b/>
                <w:bCs/>
                <w:sz w:val="21"/>
                <w:szCs w:val="21"/>
                <w:lang w:val="en-US" w:eastAsia="zh-CN" w:bidi="ar-SA"/>
              </w:rPr>
            </w:pPr>
            <w:r/>
            <w:bookmarkEnd w:id="518"/>
            <w:r/>
            <w:bookmarkEnd w:id="519"/>
            <w:r/>
            <w:bookmarkEnd w:id="520"/>
            <w:r/>
            <w:bookmarkEnd w:id="521"/>
            <w:r/>
            <w:bookmarkEnd w:id="522"/>
            <w:r>
              <w:rPr>
                <w:rFonts w:hint="eastAsia" w:ascii="宋体" w:hAnsi="宋体" w:eastAsia="宋体" w:cs="宋体"/>
                <w:b/>
                <w:bCs/>
                <w:sz w:val="21"/>
                <w:szCs w:val="21"/>
              </w:rPr>
              <w:t xml:space="preserve">分包号</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pStyle w:val="1276"/>
              <w:jc w:val="center"/>
              <w:spacing w:line="360" w:lineRule="auto"/>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预估数量</w:t>
            </w:r>
            <w:r>
              <w:rPr>
                <w:rFonts w:hint="eastAsia"/>
                <w:lang w:eastAsia="zh-CN"/>
              </w:rPr>
              <w:t xml:space="preserve">（</w:t>
            </w:r>
            <w:r>
              <w:rPr>
                <w:rFonts w:hint="eastAsia"/>
                <w:lang w:val="en-US" w:eastAsia="zh-CN"/>
              </w:rPr>
              <w:t xml:space="preserve">kg</w:t>
            </w:r>
            <w:r>
              <w:rPr>
                <w:rFonts w:hint="eastAsia"/>
                <w:lang w:eastAsia="zh-CN"/>
              </w:rPr>
              <w:t xml:space="preserve">）</w:t>
            </w:r>
            <w:r>
              <w:rPr>
                <w:rFonts w:hint="eastAsia" w:ascii="宋体" w:hAnsi="宋体" w:eastAsia="宋体" w:cs="宋体"/>
                <w:b/>
                <w:bCs/>
                <w:sz w:val="21"/>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578" w:type="dxa"/>
            <w:vAlign w:val="center"/>
            <w:vMerge w:val="restart"/>
            <w:textDirection w:val="lrTb"/>
            <w:noWrap/>
          </w:tcPr>
          <w:p>
            <w:pPr>
              <w:pStyle w:val="1276"/>
              <w:jc w:val="cente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lang w:val="en-US" w:eastAsia="zh-CN"/>
              </w:rPr>
            </w:r>
            <w:r/>
          </w:p>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none" w:color="000000" w:sz="0" w:space="0"/>
              <w:right w:val="single" w:color="000000" w:sz="4" w:space="0"/>
            </w:tcBorders>
            <w:tcW w:w="930" w:type="dxa"/>
            <w:vAlign w:val="center"/>
            <w:vMerge w:val="restart"/>
            <w:textDirection w:val="lrTb"/>
            <w:noWrap w:val="false"/>
          </w:tcPr>
          <w:p>
            <w:pPr>
              <w:pStyle w:val="1276"/>
              <w:jc w:val="center"/>
              <w:spacing w:line="360" w:lineRule="auto"/>
              <w:widowControl/>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面包、面点、熟食类</w:t>
            </w:r>
            <w:r>
              <w:rPr>
                <w:rFonts w:hint="eastAsia" w:ascii="宋体" w:hAnsi="宋体" w:eastAsia="宋体" w:cs="宋体"/>
                <w:b w:val="0"/>
                <w:bCs w:val="0"/>
                <w:szCs w:val="21"/>
                <w:highlight w:val="none"/>
                <w:lang w:val="en-US" w:eastAsia="zh-CN"/>
              </w:rPr>
            </w:r>
            <w:r/>
          </w:p>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花卷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2"/>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馒头</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包子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小笼包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蒸饺</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发糕</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米糕</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速冻包装早餐类食品</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馅饼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锅贴</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葱油饼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手抓饼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烧饼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酥饼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年糕</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麻团</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青团</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汤圆</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馄饨</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面条</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软面包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欧包/硬质面包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起酥面包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特色面包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卤鸡</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烤鸭</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盐水鸭</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卤牛肉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猪蹄</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腊肠</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熏肉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酱鸭</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扒鸡</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肉丸</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熏鱼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素菜卤味</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single" w:color="000000" w:sz="4" w:space="0"/>
              <w:right w:val="single" w:color="000000" w:sz="4" w:space="0"/>
            </w:tcBorders>
            <w:tcW w:w="578" w:type="dxa"/>
            <w:vAlign w:val="center"/>
            <w:vMerge w:val="continue"/>
            <w:textDirection w:val="lrTb"/>
            <w:noWrap/>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single" w:color="000000" w:sz="4" w:space="0"/>
              <w:right w:val="single" w:color="000000" w:sz="4" w:space="0"/>
            </w:tcBorders>
            <w:tcW w:w="930" w:type="dxa"/>
            <w:vAlign w:val="center"/>
            <w:vMerge w:val="continue"/>
            <w:textDirection w:val="lrTb"/>
            <w:noWrap w:val="false"/>
          </w:tcPr>
          <w:p>
            <w:pPr>
              <w:pStyle w:val="12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成品家常菜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6"/>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2000</w:t>
            </w:r>
            <w:r>
              <w:rPr>
                <w:rFonts w:hint="eastAsia" w:ascii="宋体" w:hAnsi="宋体" w:eastAsia="宋体" w:cs="宋体"/>
                <w:b w:val="0"/>
                <w:bCs w:val="0"/>
                <w:sz w:val="21"/>
                <w:szCs w:val="21"/>
                <w:lang w:val="en-US" w:eastAsia="zh-CN"/>
              </w:rPr>
            </w:r>
            <w:r/>
          </w:p>
        </w:tc>
      </w:tr>
    </w:tbl>
    <w:p>
      <w:pPr>
        <w:pStyle w:val="1349"/>
        <w:ind w:firstLine="280"/>
        <w:rPr>
          <w:rFonts w:eastAsia="宋体" w:cs="宋体"/>
          <w:sz w:val="21"/>
          <w:szCs w:val="21"/>
        </w:rPr>
      </w:pPr>
      <w:r>
        <w:rPr>
          <w:rFonts w:eastAsia="宋体" w:cs="宋体"/>
          <w:sz w:val="21"/>
          <w:szCs w:val="21"/>
        </w:rPr>
      </w:r>
      <w:r/>
    </w:p>
    <w:p>
      <w:pPr>
        <w:pStyle w:val="1276"/>
        <w:spacing w:line="360" w:lineRule="auto"/>
        <w:rPr>
          <w:rFonts w:ascii="宋体" w:hAnsi="宋体"/>
          <w:b/>
          <w:szCs w:val="21"/>
        </w:rPr>
        <w:outlineLvl w:val="1"/>
      </w:pPr>
      <w:r/>
      <w:bookmarkStart w:id="530" w:name="_Toc21544"/>
      <w:r/>
      <w:bookmarkStart w:id="531" w:name="_Toc9742"/>
      <w:r/>
      <w:bookmarkStart w:id="532" w:name="_Toc10983"/>
      <w:r/>
      <w:bookmarkStart w:id="533" w:name="_Toc2359"/>
      <w:r/>
      <w:bookmarkStart w:id="534" w:name="_Toc8897"/>
      <w:r/>
      <w:bookmarkStart w:id="535" w:name="_Toc19585"/>
      <w:r>
        <w:rPr>
          <w:rFonts w:hint="eastAsia" w:ascii="宋体" w:hAnsi="宋体" w:eastAsia="宋体" w:cs="宋体"/>
          <w:b/>
          <w:bCs/>
          <w:szCs w:val="21"/>
          <w:lang w:val="en-US" w:eastAsia="zh-CN"/>
        </w:rPr>
        <w:t xml:space="preserve">五、</w:t>
      </w:r>
      <w:r>
        <w:rPr>
          <w:rFonts w:hint="eastAsia" w:ascii="宋体" w:hAnsi="宋体"/>
          <w:b/>
          <w:bCs/>
          <w:szCs w:val="21"/>
        </w:rPr>
        <w:t xml:space="preserve">履约及</w:t>
      </w:r>
      <w:r>
        <w:rPr>
          <w:rFonts w:hint="eastAsia" w:ascii="宋体" w:hAnsi="宋体"/>
          <w:b/>
          <w:szCs w:val="21"/>
        </w:rPr>
        <w:t xml:space="preserve">考核办法</w:t>
      </w:r>
      <w:bookmarkEnd w:id="530"/>
      <w:r/>
      <w:bookmarkEnd w:id="531"/>
      <w:r/>
      <w:bookmarkEnd w:id="532"/>
      <w:r/>
      <w:bookmarkEnd w:id="533"/>
      <w:r/>
      <w:bookmarkEnd w:id="534"/>
      <w:r/>
      <w:bookmarkEnd w:id="535"/>
      <w:r>
        <w:rPr>
          <w:rFonts w:ascii="宋体" w:hAnsi="宋体"/>
          <w:b/>
          <w:szCs w:val="21"/>
        </w:rPr>
      </w:r>
      <w:r/>
    </w:p>
    <w:p>
      <w:pPr>
        <w:pStyle w:val="1276"/>
        <w:ind w:firstLine="210"/>
        <w:jc w:val="left"/>
        <w:spacing w:line="360" w:lineRule="auto"/>
        <w:widowControl/>
        <w:rPr>
          <w:rFonts w:ascii="宋体" w:hAnsi="宋体" w:eastAsia="宋体"/>
          <w:sz w:val="21"/>
          <w:szCs w:val="21"/>
        </w:rPr>
      </w:pPr>
      <w:r>
        <w:rPr>
          <w:rFonts w:hint="eastAsia" w:ascii="宋体" w:hAnsi="宋体" w:eastAsia="宋体"/>
          <w:sz w:val="21"/>
          <w:szCs w:val="21"/>
        </w:rPr>
        <w:t xml:space="preserve">（一）履约保证金：各分包供应商须在签订合同前向采购人</w:t>
      </w:r>
      <w:r>
        <w:rPr>
          <w:rFonts w:hint="eastAsia" w:ascii="宋体" w:hAnsi="宋体" w:eastAsia="宋体"/>
          <w:sz w:val="21"/>
          <w:szCs w:val="21"/>
          <w:lang w:val="en-US" w:eastAsia="zh-CN"/>
        </w:rPr>
        <w:t xml:space="preserve">缴</w:t>
      </w:r>
      <w:r>
        <w:rPr>
          <w:rFonts w:hint="eastAsia" w:ascii="宋体" w:hAnsi="宋体" w:eastAsia="宋体"/>
          <w:sz w:val="21"/>
          <w:szCs w:val="21"/>
        </w:rPr>
        <w:t xml:space="preserve">纳</w:t>
      </w:r>
      <w:r>
        <w:rPr>
          <w:rFonts w:hint="eastAsia" w:ascii="宋体" w:hAnsi="宋体" w:eastAsia="宋体"/>
          <w:sz w:val="21"/>
          <w:szCs w:val="21"/>
          <w:lang w:val="en-US" w:eastAsia="zh-CN"/>
        </w:rPr>
        <w:t xml:space="preserve">预算金额的10%作为</w:t>
      </w:r>
      <w:r>
        <w:rPr>
          <w:rFonts w:hint="eastAsia" w:ascii="宋体" w:hAnsi="宋体" w:eastAsia="宋体"/>
          <w:sz w:val="21"/>
          <w:szCs w:val="21"/>
        </w:rPr>
        <w:t xml:space="preserve">履约保证金。</w:t>
      </w:r>
      <w:r>
        <w:rPr>
          <w:rFonts w:ascii="宋体" w:hAnsi="宋体" w:eastAsia="宋体"/>
          <w:sz w:val="21"/>
          <w:szCs w:val="21"/>
        </w:rPr>
      </w:r>
      <w:r/>
    </w:p>
    <w:p>
      <w:pPr>
        <w:pStyle w:val="1276"/>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二</w:t>
      </w:r>
      <w:r>
        <w:rPr>
          <w:rFonts w:hint="eastAsia" w:ascii="宋体" w:hAnsi="宋体"/>
          <w:szCs w:val="21"/>
          <w:highlight w:val="none"/>
        </w:rPr>
        <w:t xml:space="preserve">）因供应商配送不及时导致采购人食堂伙食供应延误的，采购人有权</w:t>
      </w:r>
      <w:r>
        <w:rPr>
          <w:rFonts w:hint="eastAsia" w:ascii="宋体" w:hAnsi="宋体"/>
          <w:szCs w:val="21"/>
          <w:highlight w:val="none"/>
          <w:lang w:val="en-US" w:eastAsia="zh-CN"/>
        </w:rPr>
        <w:t xml:space="preserve">扣除当月货款</w:t>
      </w:r>
      <w:r>
        <w:rPr>
          <w:rFonts w:hint="eastAsia" w:ascii="宋体" w:hAnsi="宋体"/>
          <w:szCs w:val="21"/>
          <w:highlight w:val="none"/>
        </w:rPr>
        <w:t xml:space="preserve">，并有权决定是否终止合同，供应商应赔偿由此给采购人造成的一切经济损失（包括但不限于采购人为实现权利救济而支付的差旅费、诉讼费、公证费、律师费等费用）。</w:t>
      </w:r>
      <w:r>
        <w:rPr>
          <w:rFonts w:ascii="宋体" w:hAnsi="宋体"/>
          <w:szCs w:val="21"/>
          <w:highlight w:val="none"/>
        </w:rPr>
      </w:r>
      <w:r/>
    </w:p>
    <w:p>
      <w:pPr>
        <w:pStyle w:val="1276"/>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三</w:t>
      </w:r>
      <w:r>
        <w:rPr>
          <w:rFonts w:hint="eastAsia" w:ascii="宋体" w:hAnsi="宋体"/>
          <w:szCs w:val="21"/>
          <w:highlight w:val="none"/>
        </w:rPr>
        <w:t xml:space="preserve">）因供应商配送不及时导致采购人食堂伙食供应延时且经供应商采取补救措施未造成食堂不良影响的，每延时一次扣除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szCs w:val="21"/>
          <w:highlight w:val="none"/>
        </w:rPr>
        <w:t xml:space="preserve">的30%作为供应商向采购人支付的违约金，延时三次则采购人有权解除合同并没收</w:t>
      </w:r>
      <w:r>
        <w:rPr>
          <w:rFonts w:hint="eastAsia" w:ascii="宋体" w:hAnsi="宋体"/>
          <w:szCs w:val="21"/>
          <w:highlight w:val="none"/>
          <w:lang w:val="en-US" w:eastAsia="zh-CN"/>
        </w:rPr>
        <w:t xml:space="preserve">当月</w:t>
      </w:r>
      <w:r>
        <w:rPr>
          <w:rFonts w:hint="eastAsia" w:ascii="宋体" w:hAnsi="宋体"/>
          <w:szCs w:val="21"/>
          <w:highlight w:val="none"/>
        </w:rPr>
        <w:t xml:space="preserve">全部</w:t>
      </w:r>
      <w:r>
        <w:rPr>
          <w:rFonts w:hint="eastAsia" w:ascii="宋体" w:hAnsi="宋体"/>
          <w:szCs w:val="21"/>
          <w:highlight w:val="none"/>
          <w:lang w:val="en-US" w:eastAsia="zh-CN"/>
        </w:rPr>
        <w:t xml:space="preserve">货款</w:t>
      </w:r>
      <w:r>
        <w:rPr>
          <w:rFonts w:hint="eastAsia" w:ascii="宋体" w:hAnsi="宋体"/>
          <w:szCs w:val="21"/>
          <w:highlight w:val="none"/>
        </w:rPr>
        <w:t xml:space="preserve">，供应商应赔偿由此给采购人造成的一切经济损失（包括但不限于采购人为实现权利救济而支付的差旅费、诉讼费、公证费、律师费等费用）。</w:t>
      </w:r>
      <w:r>
        <w:rPr>
          <w:rFonts w:ascii="宋体" w:hAnsi="宋体"/>
          <w:szCs w:val="21"/>
          <w:highlight w:val="none"/>
        </w:rPr>
      </w:r>
      <w:r/>
    </w:p>
    <w:p>
      <w:pPr>
        <w:pStyle w:val="1276"/>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四</w:t>
      </w:r>
      <w:r>
        <w:rPr>
          <w:rFonts w:hint="eastAsia" w:ascii="宋体" w:hAnsi="宋体"/>
          <w:szCs w:val="21"/>
          <w:highlight w:val="none"/>
        </w:rPr>
        <w:t xml:space="preserve">）采购人食堂临时增加用餐人员,需临时补充原料的, 供应商应尽量在采购人要求的合理时间内把采购人指定原料送至采购人指定的地点,否则，按照本条第（</w:t>
      </w:r>
      <w:r>
        <w:rPr>
          <w:rFonts w:hint="eastAsia" w:ascii="宋体" w:hAnsi="宋体"/>
          <w:szCs w:val="21"/>
          <w:highlight w:val="none"/>
          <w:lang w:val="en-US" w:eastAsia="zh-CN"/>
        </w:rPr>
        <w:t xml:space="preserve">三</w:t>
      </w:r>
      <w:r>
        <w:rPr>
          <w:rFonts w:hint="eastAsia" w:ascii="宋体" w:hAnsi="宋体"/>
          <w:szCs w:val="21"/>
          <w:highlight w:val="none"/>
        </w:rPr>
        <w:t xml:space="preserve">）款之约定处理。 </w:t>
      </w:r>
      <w:r>
        <w:rPr>
          <w:rFonts w:ascii="宋体" w:hAnsi="宋体"/>
          <w:szCs w:val="21"/>
          <w:highlight w:val="none"/>
        </w:rPr>
      </w:r>
      <w:r/>
    </w:p>
    <w:p>
      <w:pPr>
        <w:pStyle w:val="1276"/>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五</w:t>
      </w:r>
      <w:r>
        <w:rPr>
          <w:rFonts w:hint="eastAsia" w:ascii="宋体" w:hAnsi="宋体"/>
          <w:szCs w:val="21"/>
          <w:highlight w:val="none"/>
        </w:rPr>
        <w:t xml:space="preserve">）凡经相关部门认定，如因供应商所提供的原料原因造成采购人食堂岀现食物中毒等卫生事故的，供应商除必须承担全部的法律责任外，还要全额承担因食物中毒发生造成后果的一切费用，赔偿由此给采购人造成的一切经济损失（包括但不限于采购人为实现权利救济而支付的差旅费、诉讼费、公证费、律师费等费用）。同时，采购人有权立即解除合同并</w:t>
      </w:r>
      <w:r>
        <w:rPr>
          <w:rFonts w:hint="eastAsia" w:ascii="宋体" w:hAnsi="宋体"/>
          <w:szCs w:val="21"/>
          <w:highlight w:val="none"/>
          <w:lang w:val="en-US" w:eastAsia="zh-CN"/>
        </w:rPr>
        <w:t xml:space="preserve">没收</w:t>
      </w:r>
      <w:r>
        <w:rPr>
          <w:rFonts w:hint="eastAsia" w:ascii="宋体" w:hAnsi="宋体"/>
          <w:szCs w:val="21"/>
          <w:highlight w:val="none"/>
        </w:rPr>
        <w:t xml:space="preserve">当月所有供料的货款作为赔偿预付款。</w:t>
      </w:r>
      <w:r>
        <w:rPr>
          <w:rFonts w:ascii="宋体" w:hAnsi="宋体"/>
          <w:szCs w:val="21"/>
          <w:highlight w:val="none"/>
        </w:rPr>
      </w:r>
      <w:r/>
    </w:p>
    <w:p>
      <w:pPr>
        <w:pStyle w:val="1344"/>
        <w:ind w:firstLine="420"/>
        <w:jc w:val="both"/>
        <w:spacing w:before="0" w:beforeAutospacing="0" w:after="0" w:afterAutospacing="0" w:line="360" w:lineRule="auto"/>
        <w:rPr>
          <w:rFonts w:hint="eastAsia"/>
          <w:color w:val="ff0000"/>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六</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凡供应商向采购人食堂提供产品发生质量问题，且经查证属实的，第一次扣除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的10%，第二次扣除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的30%，第三次扣除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的60%且采购人有权解除合同，</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不足以扣除的，供应商须据实足额赔偿采购人的全部损失（包括但不限于采购人为实现权利救济而支付的差旅费、诉讼费、公证费、律师费等费用）。</w:t>
      </w:r>
      <w:r>
        <w:rPr>
          <w:rFonts w:hint="eastAsia"/>
          <w:color w:val="ff0000"/>
          <w:highlight w:val="none"/>
        </w:rPr>
      </w:r>
      <w:r/>
    </w:p>
    <w:p>
      <w:pPr>
        <w:pStyle w:val="1344"/>
        <w:ind w:firstLine="420"/>
        <w:jc w:val="both"/>
        <w:spacing w:before="0" w:beforeAutospacing="0" w:after="0" w:afterAutospacing="0" w:line="360" w:lineRule="auto"/>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如供应商提供的结算价与投标承诺不一致或存在虚报同类产品平均价，经采购人查证属实的，第一次扣除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的10%，第二次扣除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的30%，第三次扣除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的60%且采购人有权解除合同。</w:t>
      </w:r>
      <w:r>
        <w:rPr>
          <w:rFonts w:hint="eastAsia" w:ascii="宋体" w:hAnsi="宋体" w:eastAsia="宋体" w:cs="宋体"/>
          <w:color w:val="ff0000"/>
          <w:sz w:val="21"/>
          <w:szCs w:val="21"/>
          <w:highlight w:val="none"/>
        </w:rPr>
      </w:r>
      <w:r/>
    </w:p>
    <w:p>
      <w:pPr>
        <w:pStyle w:val="1276"/>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八</w:t>
      </w:r>
      <w:r>
        <w:rPr>
          <w:rFonts w:hint="eastAsia" w:ascii="宋体" w:hAnsi="宋体"/>
          <w:szCs w:val="21"/>
          <w:highlight w:val="none"/>
        </w:rPr>
        <w:t xml:space="preserve">）采购人派专人定期或不定期地对供应商所供货物的质量送质检部门抽检，若发现货物质量检测结果与合同约定的质量标准不符，采购人有权视情形没收</w:t>
      </w:r>
      <w:r>
        <w:rPr>
          <w:rFonts w:hint="eastAsia" w:ascii="宋体" w:hAnsi="宋体" w:eastAsia="宋体" w:cs="宋体"/>
          <w:color w:val="000000"/>
          <w:sz w:val="21"/>
          <w:szCs w:val="21"/>
          <w:highlight w:val="none"/>
          <w:lang w:val="en-US" w:eastAsia="zh-CN"/>
        </w:rPr>
        <w:t xml:space="preserve">当月货款</w:t>
      </w:r>
      <w:r>
        <w:rPr>
          <w:rFonts w:hint="eastAsia" w:ascii="宋体" w:hAnsi="宋体"/>
          <w:szCs w:val="21"/>
          <w:highlight w:val="none"/>
        </w:rPr>
        <w:t xml:space="preserve">，或/并解除合同，如</w:t>
      </w:r>
      <w:r>
        <w:rPr>
          <w:rFonts w:hint="eastAsia" w:ascii="宋体" w:hAnsi="宋体" w:eastAsia="宋体" w:cs="宋体"/>
          <w:color w:val="000000"/>
          <w:sz w:val="21"/>
          <w:szCs w:val="21"/>
          <w:highlight w:val="none"/>
          <w:lang w:val="en-US" w:eastAsia="zh-CN"/>
        </w:rPr>
        <w:t xml:space="preserve">当月货款</w:t>
      </w:r>
      <w:r>
        <w:rPr>
          <w:rFonts w:hint="eastAsia" w:ascii="宋体" w:hAnsi="宋体"/>
          <w:szCs w:val="21"/>
          <w:highlight w:val="none"/>
        </w:rPr>
        <w:t xml:space="preserve">不足以弥补采购人全部损失的，供应商须足额赔偿。</w:t>
      </w:r>
      <w:r>
        <w:rPr>
          <w:rFonts w:ascii="宋体" w:hAnsi="宋体"/>
          <w:szCs w:val="21"/>
          <w:highlight w:val="none"/>
        </w:rPr>
      </w:r>
      <w:r/>
    </w:p>
    <w:p>
      <w:pPr>
        <w:pStyle w:val="1276"/>
        <w:ind w:firstLine="218"/>
        <w:jc w:val="left"/>
        <w:spacing w:line="360" w:lineRule="auto"/>
        <w:widowControl/>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九</w:t>
      </w:r>
      <w:r>
        <w:rPr>
          <w:rFonts w:hint="eastAsia" w:ascii="宋体" w:hAnsi="宋体"/>
          <w:szCs w:val="21"/>
        </w:rPr>
        <w:t xml:space="preserve">）凡供应商供应货物故意串规、定量包装批量误差超过相关采购人要求误差之短缺，一经采购人查实，供应商需按当月总釆购量的3倍误差值的价值作为标准向采购人支付违约金，违约金不足1000元的按1000元计算。</w:t>
      </w:r>
      <w:r>
        <w:rPr>
          <w:rFonts w:ascii="宋体" w:hAnsi="宋体"/>
          <w:szCs w:val="21"/>
        </w:rPr>
      </w:r>
      <w:r/>
    </w:p>
    <w:p>
      <w:pPr>
        <w:pStyle w:val="1276"/>
        <w:ind w:firstLine="210"/>
        <w:jc w:val="left"/>
        <w:spacing w:line="360" w:lineRule="auto"/>
        <w:widowControl/>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十</w:t>
      </w:r>
      <w:r>
        <w:rPr>
          <w:rFonts w:hint="eastAsia" w:ascii="宋体" w:hAnsi="宋体"/>
          <w:szCs w:val="21"/>
        </w:rPr>
        <w:t xml:space="preserve">）考核标准</w:t>
      </w:r>
      <w:r>
        <w:rPr>
          <w:rFonts w:ascii="宋体" w:hAnsi="宋体"/>
          <w:szCs w:val="21"/>
        </w:rPr>
      </w:r>
      <w:r/>
    </w:p>
    <w:p>
      <w:pPr>
        <w:pStyle w:val="1276"/>
        <w:spacing w:line="360" w:lineRule="auto"/>
        <w:rPr>
          <w:rFonts w:ascii="Calibri" w:hAnsi="Calibri"/>
          <w:szCs w:val="24"/>
        </w:rPr>
      </w:pPr>
      <w:r>
        <w:rPr>
          <w:rFonts w:hint="eastAsia" w:ascii="Calibri" w:hAnsi="Calibri"/>
          <w:szCs w:val="24"/>
        </w:rPr>
        <w:t xml:space="preserve">  </w:t>
      </w:r>
      <w:r>
        <w:rPr>
          <w:rFonts w:hint="eastAsia" w:ascii="宋体" w:hAnsi="宋体" w:cs="宋体"/>
          <w:szCs w:val="24"/>
        </w:rPr>
        <w:t xml:space="preserve"> 结合每月考核得出总分，如总分90分以上不处罚，90分（含）-80分（含）每下降一分扣1000元；80分（不含）-70分（含）每下降一分扣2000元；70分（不含）-60分（含）每下降一分扣3000元；60分（不含）以下不合格，采购人有权解除合同，采购人有权直接从</w:t>
      </w:r>
      <w:r>
        <w:rPr>
          <w:rFonts w:hint="eastAsia" w:ascii="宋体" w:hAnsi="宋体" w:cs="宋体"/>
          <w:szCs w:val="24"/>
          <w:lang w:eastAsia="zh-CN"/>
        </w:rPr>
        <w:t xml:space="preserve">当月货款</w:t>
      </w:r>
      <w:r>
        <w:rPr>
          <w:rFonts w:hint="eastAsia" w:ascii="宋体" w:hAnsi="宋体" w:cs="宋体"/>
          <w:szCs w:val="24"/>
        </w:rPr>
        <w:t xml:space="preserve">中扣除</w:t>
      </w:r>
      <w:r>
        <w:rPr>
          <w:rFonts w:hint="eastAsia" w:ascii="宋体" w:hAnsi="宋体" w:cs="宋体"/>
          <w:szCs w:val="24"/>
          <w:lang w:eastAsia="zh-CN"/>
        </w:rPr>
        <w:t xml:space="preserve">相应</w:t>
      </w:r>
      <w:r>
        <w:rPr>
          <w:rFonts w:hint="eastAsia" w:ascii="宋体" w:hAnsi="宋体" w:cs="宋体"/>
          <w:szCs w:val="24"/>
        </w:rPr>
        <w:t xml:space="preserve">金额。中标供应商须对所有扣分项做出书面整改承诺，若不改正，采购人有权终止其供货资格。</w:t>
      </w:r>
      <w:r>
        <w:rPr>
          <w:rFonts w:ascii="Calibri" w:hAnsi="Calibri"/>
          <w:szCs w:val="24"/>
        </w:rPr>
      </w:r>
      <w:r/>
    </w:p>
    <w:tbl>
      <w:tblPr>
        <w:tblW w:w="9231"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709"/>
        <w:gridCol w:w="709"/>
        <w:gridCol w:w="708"/>
        <w:gridCol w:w="5527"/>
        <w:gridCol w:w="852"/>
      </w:tblGrid>
      <w:tr>
        <w:trPr>
          <w:trHeight w:val="90"/>
        </w:trPr>
        <w:tc>
          <w:tcPr>
            <w:gridSpan w:val="6"/>
            <w:tcW w:w="9231" w:type="dxa"/>
            <w:vAlign w:val="center"/>
            <w:textDirection w:val="lrTb"/>
            <w:noWrap/>
          </w:tcPr>
          <w:p>
            <w:pPr>
              <w:pStyle w:val="1276"/>
              <w:spacing w:line="360" w:lineRule="auto"/>
              <w:rPr>
                <w:rFonts w:ascii="宋体" w:hAnsi="宋体"/>
                <w:bCs/>
                <w:szCs w:val="21"/>
              </w:rPr>
            </w:pPr>
            <w:r>
              <w:rPr>
                <w:rFonts w:ascii="宋体" w:hAnsi="宋体"/>
                <w:bCs/>
                <w:szCs w:val="21"/>
              </w:rPr>
            </w:r>
            <w:r/>
          </w:p>
        </w:tc>
      </w:tr>
      <w:tr>
        <w:trPr>
          <w:trHeight w:val="618"/>
        </w:trPr>
        <w:tc>
          <w:tcPr>
            <w:tcW w:w="726" w:type="dxa"/>
            <w:vAlign w:val="center"/>
            <w:textDirection w:val="lrTb"/>
            <w:noWrap/>
          </w:tcPr>
          <w:p>
            <w:pPr>
              <w:pStyle w:val="1276"/>
              <w:jc w:val="center"/>
              <w:spacing w:line="360" w:lineRule="auto"/>
              <w:rPr>
                <w:rFonts w:ascii="宋体" w:hAnsi="宋体"/>
                <w:bCs/>
                <w:szCs w:val="21"/>
              </w:rPr>
            </w:pPr>
            <w:r>
              <w:rPr>
                <w:rFonts w:hint="eastAsia" w:ascii="宋体" w:hAnsi="宋体"/>
                <w:bCs/>
                <w:szCs w:val="21"/>
              </w:rPr>
              <w:t xml:space="preserve">一级 指标</w:t>
            </w:r>
            <w:r>
              <w:rPr>
                <w:rFonts w:ascii="宋体" w:hAnsi="宋体"/>
                <w:bCs/>
                <w:szCs w:val="21"/>
              </w:rPr>
            </w:r>
            <w:r/>
          </w:p>
        </w:tc>
        <w:tc>
          <w:tcPr>
            <w:tcW w:w="709" w:type="dxa"/>
            <w:vAlign w:val="center"/>
            <w:textDirection w:val="lrTb"/>
            <w:noWrap/>
          </w:tcPr>
          <w:p>
            <w:pPr>
              <w:pStyle w:val="1276"/>
              <w:jc w:val="center"/>
              <w:spacing w:line="360" w:lineRule="auto"/>
              <w:rPr>
                <w:rFonts w:ascii="宋体" w:hAnsi="宋体"/>
                <w:bCs/>
                <w:szCs w:val="21"/>
              </w:rPr>
            </w:pPr>
            <w:r>
              <w:rPr>
                <w:rFonts w:hint="eastAsia" w:ascii="宋体" w:hAnsi="宋体"/>
                <w:bCs/>
                <w:szCs w:val="21"/>
              </w:rPr>
              <w:t xml:space="preserve">分值</w:t>
            </w:r>
            <w:r>
              <w:rPr>
                <w:rFonts w:ascii="宋体" w:hAnsi="宋体"/>
                <w:bCs/>
                <w:szCs w:val="21"/>
              </w:rPr>
            </w:r>
            <w:r/>
          </w:p>
        </w:tc>
        <w:tc>
          <w:tcPr>
            <w:tcW w:w="709" w:type="dxa"/>
            <w:vAlign w:val="center"/>
            <w:textDirection w:val="lrTb"/>
            <w:noWrap w:val="false"/>
          </w:tcPr>
          <w:p>
            <w:pPr>
              <w:pStyle w:val="1276"/>
              <w:jc w:val="center"/>
              <w:spacing w:line="360" w:lineRule="auto"/>
              <w:rPr>
                <w:rFonts w:ascii="宋体" w:hAnsi="宋体"/>
                <w:bCs/>
                <w:szCs w:val="21"/>
              </w:rPr>
            </w:pPr>
            <w:r>
              <w:rPr>
                <w:rFonts w:hint="eastAsia" w:ascii="宋体" w:hAnsi="宋体"/>
                <w:bCs/>
                <w:szCs w:val="21"/>
              </w:rPr>
              <w:t xml:space="preserve">二级 指标</w:t>
            </w:r>
            <w:r>
              <w:rPr>
                <w:rFonts w:ascii="宋体" w:hAnsi="宋体"/>
                <w:bCs/>
                <w:szCs w:val="21"/>
              </w:rPr>
            </w:r>
            <w:r/>
          </w:p>
        </w:tc>
        <w:tc>
          <w:tcPr>
            <w:tcW w:w="708" w:type="dxa"/>
            <w:vAlign w:val="center"/>
            <w:textDirection w:val="lrTb"/>
            <w:noWrap w:val="false"/>
          </w:tcPr>
          <w:p>
            <w:pPr>
              <w:pStyle w:val="1276"/>
              <w:jc w:val="center"/>
              <w:spacing w:line="360" w:lineRule="auto"/>
              <w:rPr>
                <w:rFonts w:ascii="宋体" w:hAnsi="宋体"/>
                <w:bCs/>
                <w:szCs w:val="21"/>
              </w:rPr>
            </w:pPr>
            <w:r>
              <w:rPr>
                <w:rFonts w:hint="eastAsia" w:ascii="宋体" w:hAnsi="宋体"/>
                <w:bCs/>
                <w:szCs w:val="21"/>
              </w:rPr>
              <w:t xml:space="preserve">分值</w:t>
            </w:r>
            <w:r>
              <w:rPr>
                <w:rFonts w:ascii="宋体" w:hAnsi="宋体"/>
                <w:bCs/>
                <w:szCs w:val="21"/>
              </w:rPr>
            </w:r>
            <w:r/>
          </w:p>
        </w:tc>
        <w:tc>
          <w:tcPr>
            <w:tcW w:w="5527" w:type="dxa"/>
            <w:vAlign w:val="center"/>
            <w:textDirection w:val="lrTb"/>
            <w:noWrap w:val="false"/>
          </w:tcPr>
          <w:p>
            <w:pPr>
              <w:pStyle w:val="1276"/>
              <w:jc w:val="center"/>
              <w:spacing w:line="360" w:lineRule="auto"/>
              <w:rPr>
                <w:rFonts w:ascii="宋体" w:hAnsi="宋体"/>
                <w:bCs/>
                <w:szCs w:val="21"/>
              </w:rPr>
            </w:pPr>
            <w:r>
              <w:rPr>
                <w:rFonts w:hint="eastAsia" w:ascii="宋体" w:hAnsi="宋体"/>
                <w:bCs/>
                <w:szCs w:val="21"/>
              </w:rPr>
              <w:t xml:space="preserve">考核内容及标准</w:t>
            </w:r>
            <w:r>
              <w:rPr>
                <w:rFonts w:ascii="宋体" w:hAnsi="宋体"/>
                <w:bCs/>
                <w:szCs w:val="21"/>
              </w:rPr>
            </w:r>
            <w:r/>
          </w:p>
        </w:tc>
        <w:tc>
          <w:tcPr>
            <w:tcW w:w="852" w:type="dxa"/>
            <w:vAlign w:val="center"/>
            <w:textDirection w:val="lrTb"/>
            <w:noWrap w:val="false"/>
          </w:tcPr>
          <w:p>
            <w:pPr>
              <w:pStyle w:val="1276"/>
              <w:jc w:val="center"/>
              <w:spacing w:line="360" w:lineRule="auto"/>
              <w:rPr>
                <w:rFonts w:ascii="宋体" w:hAnsi="宋体"/>
                <w:bCs/>
                <w:szCs w:val="21"/>
              </w:rPr>
            </w:pPr>
            <w:r>
              <w:rPr>
                <w:rFonts w:hint="eastAsia" w:ascii="宋体" w:hAnsi="宋体"/>
                <w:bCs/>
                <w:szCs w:val="21"/>
              </w:rPr>
              <w:t xml:space="preserve">扣分</w:t>
            </w:r>
            <w:r>
              <w:rPr>
                <w:rFonts w:ascii="宋体" w:hAnsi="宋体"/>
                <w:bCs/>
                <w:szCs w:val="21"/>
              </w:rPr>
            </w:r>
            <w:r/>
          </w:p>
        </w:tc>
      </w:tr>
      <w:tr>
        <w:trPr>
          <w:trHeight w:val="698"/>
        </w:trPr>
        <w:tc>
          <w:tcPr>
            <w:tcW w:w="726" w:type="dxa"/>
            <w:vAlign w:val="center"/>
            <w:vMerge w:val="restart"/>
            <w:textDirection w:val="lrTb"/>
            <w:noWrap/>
          </w:tcPr>
          <w:p>
            <w:pPr>
              <w:pStyle w:val="1276"/>
              <w:jc w:val="center"/>
              <w:spacing w:line="360" w:lineRule="auto"/>
              <w:rPr>
                <w:rFonts w:ascii="宋体" w:hAnsi="宋体"/>
                <w:bCs/>
                <w:szCs w:val="21"/>
              </w:rPr>
            </w:pPr>
            <w:r>
              <w:rPr>
                <w:rFonts w:hint="eastAsia" w:ascii="宋体" w:hAnsi="宋体"/>
                <w:bCs/>
                <w:szCs w:val="21"/>
              </w:rPr>
              <w:t xml:space="preserve">流程 管理</w:t>
            </w:r>
            <w:r>
              <w:rPr>
                <w:rFonts w:ascii="宋体" w:hAnsi="宋体"/>
                <w:bCs/>
                <w:szCs w:val="21"/>
              </w:rPr>
            </w:r>
            <w:r/>
          </w:p>
        </w:tc>
        <w:tc>
          <w:tcPr>
            <w:tcW w:w="709" w:type="dxa"/>
            <w:vAlign w:val="center"/>
            <w:vMerge w:val="restart"/>
            <w:textDirection w:val="lrTb"/>
            <w:noWrap/>
          </w:tcPr>
          <w:p>
            <w:pPr>
              <w:pStyle w:val="1276"/>
              <w:jc w:val="left"/>
              <w:spacing w:line="360" w:lineRule="auto"/>
              <w:rPr>
                <w:rFonts w:ascii="宋体" w:hAnsi="宋体"/>
                <w:bCs/>
                <w:szCs w:val="21"/>
              </w:rPr>
            </w:pPr>
            <w:r>
              <w:rPr>
                <w:rFonts w:hint="eastAsia" w:ascii="宋体" w:hAnsi="宋体"/>
                <w:bCs/>
                <w:szCs w:val="21"/>
              </w:rPr>
              <w:t xml:space="preserve">30分</w:t>
            </w: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准时 送货</w:t>
            </w:r>
            <w:r>
              <w:rPr>
                <w:rFonts w:ascii="宋体" w:hAnsi="宋体"/>
                <w:bCs/>
                <w:szCs w:val="21"/>
              </w:rPr>
            </w:r>
            <w:r/>
          </w:p>
        </w:tc>
        <w:tc>
          <w:tcPr>
            <w:tcW w:w="708"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9分</w:t>
            </w:r>
            <w:r>
              <w:rPr>
                <w:rFonts w:ascii="宋体" w:hAnsi="宋体"/>
                <w:bCs/>
                <w:szCs w:val="21"/>
              </w:rPr>
            </w:r>
            <w:r/>
          </w:p>
        </w:tc>
        <w:tc>
          <w:tcPr>
            <w:tcW w:w="5527" w:type="dxa"/>
            <w:vAlign w:val="center"/>
            <w:textDirection w:val="lrTb"/>
            <w:noWrap w:val="false"/>
          </w:tcPr>
          <w:p>
            <w:pPr>
              <w:pStyle w:val="1276"/>
              <w:spacing w:line="360" w:lineRule="auto"/>
              <w:rPr>
                <w:rFonts w:ascii="宋体" w:hAnsi="宋体"/>
                <w:bCs/>
                <w:szCs w:val="21"/>
              </w:rPr>
            </w:pPr>
            <w:r>
              <w:rPr>
                <w:rFonts w:hint="eastAsia" w:ascii="宋体" w:hAnsi="宋体"/>
                <w:bCs/>
                <w:szCs w:val="21"/>
              </w:rPr>
              <w:t xml:space="preserve">送货准时，每次所需食材按招标方要求一并送达9分（非不可抗拒情况下延误一次扣3分，以此类推，扣完为止。发现委托其他人或其他车代送不得分）。</w:t>
            </w:r>
            <w:r>
              <w:rPr>
                <w:rFonts w:ascii="宋体" w:hAnsi="宋体"/>
                <w:bCs/>
                <w:szCs w:val="21"/>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726"/>
        </w:trPr>
        <w:tc>
          <w:tcPr>
            <w:tcW w:w="726" w:type="dxa"/>
            <w:vAlign w:val="center"/>
            <w:vMerge w:val="continue"/>
            <w:textDirection w:val="lrTb"/>
            <w:noWrap/>
          </w:tcPr>
          <w:p>
            <w:pPr>
              <w:pStyle w:val="1276"/>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6"/>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足斤 足两</w:t>
            </w:r>
            <w:r>
              <w:rPr>
                <w:rFonts w:ascii="宋体" w:hAnsi="宋体"/>
                <w:bCs/>
                <w:szCs w:val="21"/>
              </w:rPr>
            </w:r>
            <w:r/>
          </w:p>
        </w:tc>
        <w:tc>
          <w:tcPr>
            <w:tcW w:w="708"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9分</w:t>
            </w:r>
            <w:r>
              <w:rPr>
                <w:rFonts w:ascii="宋体" w:hAnsi="宋体"/>
                <w:bCs/>
                <w:szCs w:val="21"/>
              </w:rPr>
            </w:r>
            <w:r/>
          </w:p>
        </w:tc>
        <w:tc>
          <w:tcPr>
            <w:tcW w:w="5527" w:type="dxa"/>
            <w:vAlign w:val="center"/>
            <w:textDirection w:val="lrTb"/>
            <w:noWrap w:val="false"/>
          </w:tcPr>
          <w:p>
            <w:pPr>
              <w:pStyle w:val="1276"/>
              <w:spacing w:line="360" w:lineRule="auto"/>
              <w:rPr>
                <w:rFonts w:ascii="宋体" w:hAnsi="宋体"/>
                <w:bCs/>
                <w:szCs w:val="21"/>
              </w:rPr>
            </w:pPr>
            <w:r>
              <w:rPr>
                <w:rFonts w:hint="eastAsia" w:ascii="宋体" w:hAnsi="宋体"/>
                <w:bCs/>
                <w:szCs w:val="21"/>
              </w:rPr>
              <w:t xml:space="preserve">送货无短斤缺两现象9分（分量短缺大道该类食材配送总量5%以上，一次扣3分，以此类推，扣完为止）。</w:t>
            </w:r>
            <w:r>
              <w:rPr>
                <w:rFonts w:ascii="宋体" w:hAnsi="宋体"/>
                <w:bCs/>
                <w:szCs w:val="21"/>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805"/>
        </w:trPr>
        <w:tc>
          <w:tcPr>
            <w:tcW w:w="726" w:type="dxa"/>
            <w:vAlign w:val="center"/>
            <w:vMerge w:val="continue"/>
            <w:textDirection w:val="lrTb"/>
            <w:noWrap/>
          </w:tcPr>
          <w:p>
            <w:pPr>
              <w:pStyle w:val="1276"/>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6"/>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服务态度</w:t>
            </w:r>
            <w:r>
              <w:rPr>
                <w:rFonts w:ascii="宋体" w:hAnsi="宋体"/>
                <w:bCs/>
                <w:szCs w:val="21"/>
              </w:rPr>
            </w:r>
            <w:r/>
          </w:p>
        </w:tc>
        <w:tc>
          <w:tcPr>
            <w:tcW w:w="708"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4分</w:t>
            </w:r>
            <w:r>
              <w:rPr>
                <w:rFonts w:ascii="宋体" w:hAnsi="宋体"/>
                <w:bCs/>
                <w:szCs w:val="21"/>
              </w:rPr>
            </w:r>
            <w:r/>
          </w:p>
        </w:tc>
        <w:tc>
          <w:tcPr>
            <w:tcW w:w="5527" w:type="dxa"/>
            <w:vAlign w:val="center"/>
            <w:textDirection w:val="lrTb"/>
            <w:noWrap w:val="false"/>
          </w:tcPr>
          <w:p>
            <w:pPr>
              <w:pStyle w:val="1276"/>
              <w:spacing w:line="360" w:lineRule="auto"/>
              <w:rPr>
                <w:rFonts w:ascii="宋体" w:hAnsi="宋体"/>
                <w:bCs/>
                <w:szCs w:val="21"/>
              </w:rPr>
            </w:pPr>
            <w:r>
              <w:rPr>
                <w:rFonts w:hint="eastAsia" w:ascii="宋体" w:hAnsi="宋体"/>
                <w:bCs/>
                <w:szCs w:val="21"/>
              </w:rPr>
              <w:t xml:space="preserve">工作人员工作认真，服务热情周到，运送搬装文明，4分（运送人员野蛮运装或无正当理由与工作人员争执，一次扣2分，扣完为止）。</w:t>
            </w:r>
            <w:r>
              <w:rPr>
                <w:rFonts w:ascii="宋体" w:hAnsi="宋体"/>
                <w:bCs/>
                <w:szCs w:val="21"/>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684"/>
        </w:trPr>
        <w:tc>
          <w:tcPr>
            <w:tcW w:w="726" w:type="dxa"/>
            <w:vAlign w:val="center"/>
            <w:vMerge w:val="continue"/>
            <w:textDirection w:val="lrTb"/>
            <w:noWrap/>
          </w:tcPr>
          <w:p>
            <w:pPr>
              <w:pStyle w:val="1276"/>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6"/>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工作细致</w:t>
            </w:r>
            <w:r>
              <w:rPr>
                <w:rFonts w:ascii="宋体" w:hAnsi="宋体"/>
                <w:bCs/>
                <w:szCs w:val="21"/>
              </w:rPr>
            </w:r>
            <w:r/>
          </w:p>
        </w:tc>
        <w:tc>
          <w:tcPr>
            <w:tcW w:w="708"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6分</w:t>
            </w:r>
            <w:r>
              <w:rPr>
                <w:rFonts w:ascii="宋体" w:hAnsi="宋体"/>
                <w:bCs/>
                <w:szCs w:val="21"/>
              </w:rPr>
            </w:r>
            <w:r/>
          </w:p>
        </w:tc>
        <w:tc>
          <w:tcPr>
            <w:tcW w:w="5527" w:type="dxa"/>
            <w:vAlign w:val="center"/>
            <w:textDirection w:val="lrTb"/>
            <w:noWrap w:val="false"/>
          </w:tcPr>
          <w:p>
            <w:pPr>
              <w:pStyle w:val="1276"/>
              <w:spacing w:line="360" w:lineRule="auto"/>
              <w:rPr>
                <w:rFonts w:ascii="宋体" w:hAnsi="宋体"/>
                <w:bCs/>
                <w:szCs w:val="21"/>
              </w:rPr>
            </w:pPr>
            <w:r>
              <w:rPr>
                <w:rFonts w:hint="eastAsia" w:ascii="宋体" w:hAnsi="宋体"/>
                <w:bCs/>
                <w:szCs w:val="21"/>
              </w:rPr>
              <w:t xml:space="preserve">配送物品清单与实际配送无差错6分（误差一次扣3分，以此类推，扣完为止）。</w:t>
            </w:r>
            <w:r>
              <w:rPr>
                <w:rFonts w:ascii="宋体" w:hAnsi="宋体"/>
                <w:bCs/>
                <w:szCs w:val="21"/>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728"/>
        </w:trPr>
        <w:tc>
          <w:tcPr>
            <w:tcW w:w="726" w:type="dxa"/>
            <w:vAlign w:val="center"/>
            <w:vMerge w:val="continue"/>
            <w:textDirection w:val="lrTb"/>
            <w:noWrap/>
          </w:tcPr>
          <w:p>
            <w:pPr>
              <w:pStyle w:val="1276"/>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6"/>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单据清晰</w:t>
            </w:r>
            <w:r>
              <w:rPr>
                <w:rFonts w:ascii="宋体" w:hAnsi="宋体"/>
                <w:bCs/>
                <w:szCs w:val="21"/>
              </w:rPr>
            </w:r>
            <w:r/>
          </w:p>
        </w:tc>
        <w:tc>
          <w:tcPr>
            <w:tcW w:w="708"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2分</w:t>
            </w:r>
            <w:r>
              <w:rPr>
                <w:rFonts w:ascii="宋体" w:hAnsi="宋体"/>
                <w:bCs/>
                <w:szCs w:val="21"/>
              </w:rPr>
            </w:r>
            <w:r/>
          </w:p>
        </w:tc>
        <w:tc>
          <w:tcPr>
            <w:tcW w:w="5527" w:type="dxa"/>
            <w:vAlign w:val="center"/>
            <w:textDirection w:val="lrTb"/>
            <w:noWrap w:val="false"/>
          </w:tcPr>
          <w:p>
            <w:pPr>
              <w:pStyle w:val="1276"/>
              <w:spacing w:line="360" w:lineRule="auto"/>
              <w:rPr>
                <w:rFonts w:ascii="宋体" w:hAnsi="宋体"/>
                <w:bCs/>
                <w:szCs w:val="21"/>
              </w:rPr>
            </w:pPr>
            <w:r>
              <w:rPr>
                <w:rFonts w:hint="eastAsia" w:ascii="宋体" w:hAnsi="宋体"/>
                <w:bCs/>
                <w:szCs w:val="21"/>
              </w:rPr>
              <w:t xml:space="preserve">送货单（结算凭证）项目齐全，打印清晰，2分，否则不得分。</w:t>
            </w:r>
            <w:r>
              <w:rPr>
                <w:rFonts w:ascii="宋体" w:hAnsi="宋体"/>
                <w:bCs/>
                <w:szCs w:val="21"/>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769"/>
        </w:trPr>
        <w:tc>
          <w:tcPr>
            <w:tcW w:w="726" w:type="dxa"/>
            <w:vAlign w:val="center"/>
            <w:textDirection w:val="lrTb"/>
            <w:noWrap/>
          </w:tcPr>
          <w:p>
            <w:pPr>
              <w:pStyle w:val="1276"/>
              <w:jc w:val="center"/>
              <w:spacing w:line="360" w:lineRule="auto"/>
              <w:rPr>
                <w:rFonts w:ascii="宋体" w:hAnsi="宋体"/>
                <w:bCs/>
                <w:szCs w:val="21"/>
              </w:rPr>
            </w:pPr>
            <w:r>
              <w:rPr>
                <w:rFonts w:hint="eastAsia" w:ascii="宋体" w:hAnsi="宋体"/>
                <w:bCs/>
                <w:szCs w:val="21"/>
              </w:rPr>
              <w:t xml:space="preserve">质量管理</w:t>
            </w:r>
            <w:r>
              <w:rPr>
                <w:rFonts w:ascii="宋体" w:hAnsi="宋体"/>
                <w:bCs/>
                <w:szCs w:val="21"/>
              </w:rPr>
            </w:r>
            <w:r/>
          </w:p>
        </w:tc>
        <w:tc>
          <w:tcPr>
            <w:tcW w:w="709" w:type="dxa"/>
            <w:vAlign w:val="center"/>
            <w:textDirection w:val="lrTb"/>
            <w:noWrap/>
          </w:tcPr>
          <w:p>
            <w:pPr>
              <w:pStyle w:val="1276"/>
              <w:jc w:val="left"/>
              <w:spacing w:line="360" w:lineRule="auto"/>
              <w:rPr>
                <w:rFonts w:ascii="宋体" w:hAnsi="宋体"/>
                <w:bCs/>
                <w:szCs w:val="21"/>
                <w:highlight w:val="none"/>
              </w:rPr>
            </w:pPr>
            <w:r>
              <w:rPr>
                <w:rFonts w:hint="eastAsia" w:ascii="宋体" w:hAnsi="宋体"/>
                <w:bCs/>
                <w:szCs w:val="21"/>
                <w:highlight w:val="none"/>
              </w:rPr>
              <w:t xml:space="preserve">40分</w:t>
            </w:r>
            <w:r>
              <w:rPr>
                <w:rFonts w:ascii="宋体" w:hAnsi="宋体"/>
                <w:bCs/>
                <w:szCs w:val="21"/>
                <w:highlight w:val="none"/>
              </w:rPr>
            </w:r>
            <w:r/>
          </w:p>
        </w:tc>
        <w:tc>
          <w:tcPr>
            <w:tcW w:w="709" w:type="dxa"/>
            <w:vAlign w:val="center"/>
            <w:textDirection w:val="lrTb"/>
            <w:noWrap w:val="false"/>
          </w:tcPr>
          <w:p>
            <w:pPr>
              <w:pStyle w:val="1276"/>
              <w:jc w:val="left"/>
              <w:spacing w:line="360" w:lineRule="auto"/>
              <w:rPr>
                <w:rFonts w:ascii="宋体" w:hAnsi="宋体"/>
                <w:bCs/>
                <w:szCs w:val="21"/>
                <w:highlight w:val="none"/>
              </w:rPr>
            </w:pPr>
            <w:r>
              <w:rPr>
                <w:rFonts w:hint="eastAsia" w:ascii="宋体" w:hAnsi="宋体"/>
                <w:bCs/>
                <w:szCs w:val="21"/>
                <w:highlight w:val="none"/>
              </w:rPr>
              <w:t xml:space="preserve">食材评分</w:t>
            </w:r>
            <w:r>
              <w:rPr>
                <w:rFonts w:ascii="宋体" w:hAnsi="宋体"/>
                <w:bCs/>
                <w:szCs w:val="21"/>
                <w:highlight w:val="none"/>
              </w:rPr>
            </w:r>
            <w:r/>
          </w:p>
        </w:tc>
        <w:tc>
          <w:tcPr>
            <w:tcW w:w="708" w:type="dxa"/>
            <w:vAlign w:val="center"/>
            <w:textDirection w:val="lrTb"/>
            <w:noWrap w:val="false"/>
          </w:tcPr>
          <w:p>
            <w:pPr>
              <w:pStyle w:val="1276"/>
              <w:jc w:val="left"/>
              <w:spacing w:line="360" w:lineRule="auto"/>
              <w:rPr>
                <w:rFonts w:ascii="宋体" w:hAnsi="宋体"/>
                <w:bCs/>
                <w:szCs w:val="21"/>
                <w:highlight w:val="none"/>
              </w:rPr>
            </w:pPr>
            <w:r>
              <w:rPr>
                <w:rFonts w:hint="eastAsia" w:ascii="宋体" w:hAnsi="宋体"/>
                <w:bCs/>
                <w:szCs w:val="21"/>
                <w:highlight w:val="none"/>
              </w:rPr>
              <w:t xml:space="preserve">40分</w:t>
            </w:r>
            <w:r>
              <w:rPr>
                <w:rFonts w:ascii="宋体" w:hAnsi="宋体"/>
                <w:bCs/>
                <w:szCs w:val="21"/>
                <w:highlight w:val="none"/>
              </w:rPr>
            </w:r>
            <w:r/>
          </w:p>
        </w:tc>
        <w:tc>
          <w:tcPr>
            <w:tcW w:w="5527" w:type="dxa"/>
            <w:vAlign w:val="center"/>
            <w:textDirection w:val="lrTb"/>
            <w:noWrap w:val="false"/>
          </w:tcPr>
          <w:p>
            <w:pPr>
              <w:pStyle w:val="1276"/>
              <w:spacing w:line="360" w:lineRule="auto"/>
              <w:rPr>
                <w:rFonts w:ascii="宋体" w:hAnsi="宋体"/>
                <w:bCs/>
                <w:szCs w:val="21"/>
                <w:highlight w:val="none"/>
              </w:rPr>
            </w:pPr>
            <w:r>
              <w:rPr>
                <w:rFonts w:hint="eastAsia" w:ascii="宋体" w:hAnsi="宋体"/>
                <w:bCs/>
                <w:szCs w:val="21"/>
                <w:highlight w:val="none"/>
              </w:rPr>
              <w:t xml:space="preserve">对配送单位提供的食材质量进行验收考核（验收时按各类食材验收标准打分）。每有一种品类食材不符合验收标准的扣2分，扣完为止。</w:t>
            </w:r>
            <w:r>
              <w:rPr>
                <w:rFonts w:ascii="宋体" w:hAnsi="宋体"/>
                <w:bCs/>
                <w:szCs w:val="21"/>
                <w:highlight w:val="none"/>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688"/>
        </w:trPr>
        <w:tc>
          <w:tcPr>
            <w:tcW w:w="726" w:type="dxa"/>
            <w:vAlign w:val="center"/>
            <w:vMerge w:val="restart"/>
            <w:textDirection w:val="lrTb"/>
            <w:noWrap/>
          </w:tcPr>
          <w:p>
            <w:pPr>
              <w:pStyle w:val="1276"/>
              <w:jc w:val="center"/>
              <w:spacing w:line="360" w:lineRule="auto"/>
              <w:rPr>
                <w:rFonts w:ascii="宋体" w:hAnsi="宋体"/>
                <w:bCs/>
                <w:szCs w:val="21"/>
              </w:rPr>
            </w:pPr>
            <w:r>
              <w:rPr>
                <w:rFonts w:hint="eastAsia" w:ascii="宋体" w:hAnsi="宋体"/>
                <w:bCs/>
                <w:szCs w:val="21"/>
              </w:rPr>
              <w:t xml:space="preserve">科学管理</w:t>
            </w:r>
            <w:r>
              <w:rPr>
                <w:rFonts w:ascii="宋体" w:hAnsi="宋体"/>
                <w:bCs/>
                <w:szCs w:val="21"/>
              </w:rPr>
            </w:r>
            <w:r/>
          </w:p>
        </w:tc>
        <w:tc>
          <w:tcPr>
            <w:tcW w:w="709" w:type="dxa"/>
            <w:vAlign w:val="center"/>
            <w:vMerge w:val="restart"/>
            <w:textDirection w:val="lrTb"/>
            <w:noWrap/>
          </w:tcPr>
          <w:p>
            <w:pPr>
              <w:pStyle w:val="1276"/>
              <w:jc w:val="left"/>
              <w:spacing w:line="360" w:lineRule="auto"/>
              <w:rPr>
                <w:rFonts w:ascii="宋体" w:hAnsi="宋体"/>
                <w:bCs/>
                <w:szCs w:val="21"/>
              </w:rPr>
            </w:pPr>
            <w:r>
              <w:rPr>
                <w:rFonts w:hint="eastAsia" w:ascii="宋体" w:hAnsi="宋体"/>
                <w:bCs/>
                <w:szCs w:val="21"/>
              </w:rPr>
              <w:t xml:space="preserve">30分</w:t>
            </w: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报价精准</w:t>
            </w:r>
            <w:r>
              <w:rPr>
                <w:rFonts w:ascii="宋体" w:hAnsi="宋体"/>
                <w:bCs/>
                <w:szCs w:val="21"/>
              </w:rPr>
            </w:r>
            <w:r/>
          </w:p>
        </w:tc>
        <w:tc>
          <w:tcPr>
            <w:tcW w:w="708"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20分</w:t>
            </w:r>
            <w:r>
              <w:rPr>
                <w:rFonts w:ascii="宋体" w:hAnsi="宋体"/>
                <w:bCs/>
                <w:szCs w:val="21"/>
              </w:rPr>
            </w:r>
            <w:r/>
          </w:p>
        </w:tc>
        <w:tc>
          <w:tcPr>
            <w:tcW w:w="5527" w:type="dxa"/>
            <w:vAlign w:val="center"/>
            <w:textDirection w:val="lrTb"/>
            <w:noWrap w:val="false"/>
          </w:tcPr>
          <w:p>
            <w:pPr>
              <w:pStyle w:val="1276"/>
              <w:spacing w:line="360" w:lineRule="auto"/>
              <w:rPr>
                <w:rFonts w:ascii="宋体" w:hAnsi="宋体"/>
                <w:bCs/>
                <w:szCs w:val="21"/>
              </w:rPr>
            </w:pPr>
            <w:r>
              <w:rPr>
                <w:rFonts w:hint="eastAsia" w:ascii="宋体" w:hAnsi="宋体"/>
                <w:bCs/>
                <w:szCs w:val="21"/>
                <w:lang w:val="en-US" w:eastAsia="zh-CN"/>
              </w:rPr>
              <w:t xml:space="preserve">每日价格是否按照每周报价执行</w:t>
            </w:r>
            <w:r>
              <w:rPr>
                <w:rFonts w:hint="eastAsia" w:ascii="宋体" w:hAnsi="宋体"/>
                <w:bCs/>
                <w:szCs w:val="21"/>
              </w:rPr>
              <w:t xml:space="preserve">（</w:t>
            </w:r>
            <w:r>
              <w:rPr>
                <w:rFonts w:hint="eastAsia" w:ascii="宋体" w:hAnsi="宋体"/>
                <w:bCs/>
                <w:szCs w:val="21"/>
                <w:lang w:val="en-US" w:eastAsia="zh-CN"/>
              </w:rPr>
              <w:t xml:space="preserve">如</w:t>
            </w:r>
            <w:r>
              <w:rPr>
                <w:rFonts w:hint="eastAsia" w:ascii="宋体" w:hAnsi="宋体"/>
                <w:bCs/>
                <w:szCs w:val="21"/>
              </w:rPr>
              <w:t xml:space="preserve">有</w:t>
            </w:r>
            <w:r>
              <w:rPr>
                <w:rFonts w:hint="eastAsia" w:ascii="宋体" w:hAnsi="宋体"/>
                <w:bCs/>
                <w:color w:val="000000"/>
                <w:szCs w:val="21"/>
              </w:rPr>
              <w:t xml:space="preserve">误差，每次扣10分，</w:t>
            </w:r>
            <w:r>
              <w:rPr>
                <w:rFonts w:hint="eastAsia" w:ascii="宋体" w:hAnsi="宋体"/>
                <w:bCs/>
                <w:szCs w:val="21"/>
              </w:rPr>
              <w:t xml:space="preserve">以此类推，扣完为止）。</w:t>
            </w:r>
            <w:r>
              <w:rPr>
                <w:rFonts w:ascii="宋体" w:hAnsi="宋体"/>
                <w:bCs/>
                <w:szCs w:val="21"/>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606"/>
        </w:trPr>
        <w:tc>
          <w:tcPr>
            <w:tcW w:w="726" w:type="dxa"/>
            <w:vAlign w:val="center"/>
            <w:vMerge w:val="continue"/>
            <w:textDirection w:val="lrTb"/>
            <w:noWrap/>
          </w:tcPr>
          <w:p>
            <w:pPr>
              <w:pStyle w:val="1276"/>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6"/>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highlight w:val="none"/>
              </w:rPr>
            </w:pPr>
            <w:r>
              <w:rPr>
                <w:rFonts w:hint="eastAsia" w:ascii="宋体" w:hAnsi="宋体"/>
                <w:bCs/>
                <w:szCs w:val="21"/>
                <w:highlight w:val="none"/>
              </w:rPr>
              <w:t xml:space="preserve">安全清洁</w:t>
            </w:r>
            <w:r>
              <w:rPr>
                <w:rFonts w:ascii="宋体" w:hAnsi="宋体"/>
                <w:bCs/>
                <w:szCs w:val="21"/>
                <w:highlight w:val="none"/>
              </w:rPr>
            </w:r>
            <w:r/>
          </w:p>
        </w:tc>
        <w:tc>
          <w:tcPr>
            <w:tcW w:w="708" w:type="dxa"/>
            <w:vAlign w:val="center"/>
            <w:textDirection w:val="lrTb"/>
            <w:noWrap w:val="false"/>
          </w:tcPr>
          <w:p>
            <w:pPr>
              <w:pStyle w:val="1276"/>
              <w:jc w:val="left"/>
              <w:spacing w:line="360" w:lineRule="auto"/>
              <w:rPr>
                <w:rFonts w:ascii="宋体" w:hAnsi="宋体"/>
                <w:bCs/>
                <w:szCs w:val="21"/>
                <w:highlight w:val="none"/>
              </w:rPr>
            </w:pPr>
            <w:r>
              <w:rPr>
                <w:rFonts w:hint="eastAsia" w:ascii="宋体" w:hAnsi="宋体"/>
                <w:bCs/>
                <w:szCs w:val="21"/>
                <w:highlight w:val="none"/>
              </w:rPr>
              <w:t xml:space="preserve">5分</w:t>
            </w:r>
            <w:r>
              <w:rPr>
                <w:rFonts w:ascii="宋体" w:hAnsi="宋体"/>
                <w:bCs/>
                <w:szCs w:val="21"/>
                <w:highlight w:val="none"/>
              </w:rPr>
            </w:r>
            <w:r/>
          </w:p>
        </w:tc>
        <w:tc>
          <w:tcPr>
            <w:tcW w:w="5527" w:type="dxa"/>
            <w:vAlign w:val="center"/>
            <w:textDirection w:val="lrTb"/>
            <w:noWrap w:val="false"/>
          </w:tcPr>
          <w:p>
            <w:pPr>
              <w:pStyle w:val="1276"/>
              <w:spacing w:line="360" w:lineRule="auto"/>
              <w:rPr>
                <w:rFonts w:ascii="宋体" w:hAnsi="宋体"/>
                <w:bCs/>
                <w:szCs w:val="21"/>
                <w:highlight w:val="none"/>
              </w:rPr>
            </w:pPr>
            <w:r>
              <w:rPr>
                <w:rFonts w:hint="eastAsia" w:ascii="宋体" w:hAnsi="宋体"/>
                <w:bCs/>
                <w:szCs w:val="21"/>
                <w:highlight w:val="none"/>
              </w:rPr>
              <w:t xml:space="preserve">运输工具、贮物筐箱等保持清洁卫生，坚持每天清洁工作，定期消毒并有记录。（抽查到不符要求的每次扣1分，以此类推，扣完为止）。</w:t>
            </w:r>
            <w:r>
              <w:rPr>
                <w:rFonts w:ascii="宋体" w:hAnsi="宋体"/>
                <w:bCs/>
                <w:szCs w:val="21"/>
                <w:highlight w:val="none"/>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713"/>
        </w:trPr>
        <w:tc>
          <w:tcPr>
            <w:tcW w:w="726" w:type="dxa"/>
            <w:vAlign w:val="center"/>
            <w:vMerge w:val="continue"/>
            <w:textDirection w:val="lrTb"/>
            <w:noWrap/>
          </w:tcPr>
          <w:p>
            <w:pPr>
              <w:pStyle w:val="1276"/>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6"/>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联系制度</w:t>
            </w:r>
            <w:r>
              <w:rPr>
                <w:rFonts w:ascii="宋体" w:hAnsi="宋体"/>
                <w:bCs/>
                <w:szCs w:val="21"/>
              </w:rPr>
            </w:r>
            <w:r/>
          </w:p>
        </w:tc>
        <w:tc>
          <w:tcPr>
            <w:tcW w:w="708"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3分</w:t>
            </w:r>
            <w:r>
              <w:rPr>
                <w:rFonts w:ascii="宋体" w:hAnsi="宋体"/>
                <w:bCs/>
                <w:szCs w:val="21"/>
              </w:rPr>
            </w:r>
            <w:r/>
          </w:p>
        </w:tc>
        <w:tc>
          <w:tcPr>
            <w:tcW w:w="5527" w:type="dxa"/>
            <w:vAlign w:val="center"/>
            <w:textDirection w:val="lrTb"/>
            <w:noWrap w:val="false"/>
          </w:tcPr>
          <w:p>
            <w:pPr>
              <w:pStyle w:val="1276"/>
              <w:spacing w:line="360" w:lineRule="auto"/>
              <w:rPr>
                <w:rFonts w:ascii="宋体" w:hAnsi="宋体"/>
                <w:bCs/>
                <w:szCs w:val="21"/>
              </w:rPr>
            </w:pPr>
            <w:r>
              <w:rPr>
                <w:rFonts w:hint="eastAsia" w:ascii="宋体" w:hAnsi="宋体"/>
                <w:bCs/>
                <w:szCs w:val="21"/>
              </w:rPr>
              <w:t xml:space="preserve">如市场没有招标方所需食材品种，事先招标方联系并谈妥更换品种、品级、规格、价格等事项，然后发货。不满足扣3分。（配送单位单方定价后送货不得分）。</w:t>
            </w:r>
            <w:r>
              <w:rPr>
                <w:rFonts w:ascii="宋体" w:hAnsi="宋体"/>
                <w:bCs/>
                <w:szCs w:val="21"/>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730"/>
        </w:trPr>
        <w:tc>
          <w:tcPr>
            <w:tcW w:w="726" w:type="dxa"/>
            <w:vAlign w:val="center"/>
            <w:vMerge w:val="continue"/>
            <w:textDirection w:val="lrTb"/>
            <w:noWrap/>
          </w:tcPr>
          <w:p>
            <w:pPr>
              <w:pStyle w:val="1276"/>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6"/>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及时整改</w:t>
            </w:r>
            <w:r>
              <w:rPr>
                <w:rFonts w:ascii="宋体" w:hAnsi="宋体"/>
                <w:bCs/>
                <w:szCs w:val="21"/>
              </w:rPr>
            </w:r>
            <w:r/>
          </w:p>
        </w:tc>
        <w:tc>
          <w:tcPr>
            <w:tcW w:w="708" w:type="dxa"/>
            <w:vAlign w:val="center"/>
            <w:textDirection w:val="lrTb"/>
            <w:noWrap w:val="false"/>
          </w:tcPr>
          <w:p>
            <w:pPr>
              <w:pStyle w:val="1276"/>
              <w:jc w:val="left"/>
              <w:spacing w:line="360" w:lineRule="auto"/>
              <w:rPr>
                <w:rFonts w:ascii="宋体" w:hAnsi="宋体"/>
                <w:bCs/>
                <w:szCs w:val="21"/>
              </w:rPr>
            </w:pPr>
            <w:r>
              <w:rPr>
                <w:rFonts w:hint="eastAsia" w:ascii="宋体" w:hAnsi="宋体"/>
                <w:bCs/>
                <w:szCs w:val="21"/>
              </w:rPr>
              <w:t xml:space="preserve">2分</w:t>
            </w:r>
            <w:r>
              <w:rPr>
                <w:rFonts w:ascii="宋体" w:hAnsi="宋体"/>
                <w:bCs/>
                <w:szCs w:val="21"/>
              </w:rPr>
            </w:r>
            <w:r/>
          </w:p>
        </w:tc>
        <w:tc>
          <w:tcPr>
            <w:tcW w:w="5527" w:type="dxa"/>
            <w:vAlign w:val="center"/>
            <w:textDirection w:val="lrTb"/>
            <w:noWrap w:val="false"/>
          </w:tcPr>
          <w:p>
            <w:pPr>
              <w:pStyle w:val="1276"/>
              <w:spacing w:line="360" w:lineRule="auto"/>
              <w:rPr>
                <w:rFonts w:ascii="宋体" w:hAnsi="宋体"/>
                <w:bCs/>
                <w:szCs w:val="21"/>
              </w:rPr>
            </w:pPr>
            <w:r>
              <w:rPr>
                <w:rFonts w:hint="eastAsia" w:ascii="宋体" w:hAnsi="宋体"/>
                <w:bCs/>
                <w:szCs w:val="21"/>
              </w:rPr>
              <w:t xml:space="preserve">对招标方的意见、建议虚心接受，运作过程中出现的新情况、新问题及时主动沟通、协调有效果，及时整改见实效2分，整改效果不明显扣1分，未见整改效果不得分。</w:t>
            </w:r>
            <w:r>
              <w:rPr>
                <w:rFonts w:ascii="宋体" w:hAnsi="宋体"/>
                <w:bCs/>
                <w:szCs w:val="21"/>
              </w:rPr>
            </w:r>
            <w:r/>
          </w:p>
        </w:tc>
        <w:tc>
          <w:tcPr>
            <w:tcW w:w="852" w:type="dxa"/>
            <w:vAlign w:val="center"/>
            <w:textDirection w:val="lrTb"/>
            <w:noWrap w:val="false"/>
          </w:tcPr>
          <w:p>
            <w:pPr>
              <w:pStyle w:val="1276"/>
              <w:ind w:firstLine="420"/>
              <w:jc w:val="center"/>
              <w:spacing w:line="360" w:lineRule="auto"/>
              <w:rPr>
                <w:rFonts w:ascii="宋体" w:hAnsi="宋体"/>
                <w:bCs/>
                <w:szCs w:val="21"/>
              </w:rPr>
            </w:pPr>
            <w:r>
              <w:rPr>
                <w:rFonts w:ascii="宋体" w:hAnsi="宋体"/>
                <w:bCs/>
                <w:szCs w:val="21"/>
              </w:rPr>
            </w:r>
            <w:r/>
          </w:p>
        </w:tc>
      </w:tr>
      <w:tr>
        <w:trPr>
          <w:trHeight w:val="672"/>
        </w:trPr>
        <w:tc>
          <w:tcPr>
            <w:gridSpan w:val="4"/>
            <w:tcW w:w="2852" w:type="dxa"/>
            <w:vAlign w:val="center"/>
            <w:textDirection w:val="lrTb"/>
            <w:noWrap/>
          </w:tcPr>
          <w:p>
            <w:pPr>
              <w:pStyle w:val="1276"/>
              <w:jc w:val="center"/>
              <w:spacing w:line="360" w:lineRule="auto"/>
              <w:rPr>
                <w:rFonts w:ascii="宋体" w:hAnsi="宋体"/>
                <w:bCs/>
                <w:szCs w:val="21"/>
              </w:rPr>
            </w:pPr>
            <w:r>
              <w:rPr>
                <w:rFonts w:hint="eastAsia" w:ascii="宋体" w:hAnsi="宋体"/>
                <w:bCs/>
                <w:szCs w:val="21"/>
              </w:rPr>
              <w:t xml:space="preserve">得分</w:t>
            </w:r>
            <w:r>
              <w:rPr>
                <w:rFonts w:ascii="宋体" w:hAnsi="宋体"/>
                <w:bCs/>
                <w:szCs w:val="21"/>
              </w:rPr>
            </w:r>
            <w:r/>
          </w:p>
        </w:tc>
        <w:tc>
          <w:tcPr>
            <w:tcW w:w="5527" w:type="dxa"/>
            <w:vAlign w:val="center"/>
            <w:textDirection w:val="lrTb"/>
            <w:noWrap w:val="false"/>
          </w:tcPr>
          <w:p>
            <w:pPr>
              <w:pStyle w:val="1276"/>
              <w:jc w:val="center"/>
              <w:spacing w:line="360" w:lineRule="auto"/>
              <w:rPr>
                <w:rFonts w:ascii="宋体" w:hAnsi="宋体"/>
                <w:bCs/>
                <w:szCs w:val="21"/>
              </w:rPr>
            </w:pPr>
            <w:r>
              <w:rPr>
                <w:rFonts w:ascii="宋体" w:hAnsi="宋体"/>
                <w:bCs/>
                <w:szCs w:val="21"/>
              </w:rPr>
            </w:r>
            <w:r/>
          </w:p>
        </w:tc>
        <w:tc>
          <w:tcPr>
            <w:tcW w:w="852" w:type="dxa"/>
            <w:vAlign w:val="center"/>
            <w:textDirection w:val="lrTb"/>
            <w:noWrap w:val="false"/>
          </w:tcPr>
          <w:p>
            <w:pPr>
              <w:pStyle w:val="1276"/>
              <w:jc w:val="center"/>
              <w:spacing w:line="360" w:lineRule="auto"/>
              <w:rPr>
                <w:rFonts w:ascii="宋体" w:hAnsi="宋体"/>
                <w:bCs/>
                <w:szCs w:val="21"/>
              </w:rPr>
            </w:pPr>
            <w:r>
              <w:rPr>
                <w:rFonts w:ascii="宋体" w:hAnsi="宋体"/>
                <w:bCs/>
                <w:szCs w:val="21"/>
              </w:rPr>
            </w:r>
            <w:r/>
          </w:p>
        </w:tc>
      </w:tr>
      <w:tr>
        <w:trPr>
          <w:trHeight w:val="615"/>
        </w:trPr>
        <w:tc>
          <w:tcPr>
            <w:gridSpan w:val="4"/>
            <w:tcW w:w="2852" w:type="dxa"/>
            <w:vAlign w:val="top"/>
            <w:textDirection w:val="lrTb"/>
            <w:noWrap w:val="false"/>
          </w:tcPr>
          <w:p>
            <w:pPr>
              <w:pStyle w:val="1276"/>
              <w:ind w:firstLine="620"/>
              <w:spacing w:before="156" w:line="360" w:lineRule="auto"/>
              <w:rPr>
                <w:rFonts w:ascii="宋体" w:hAnsi="宋体"/>
                <w:b/>
                <w:bCs/>
                <w:szCs w:val="21"/>
              </w:rPr>
            </w:pPr>
            <w:r>
              <w:rPr>
                <w:rFonts w:hint="eastAsia" w:ascii="宋体" w:hAnsi="宋体"/>
                <w:b/>
                <w:bCs/>
                <w:szCs w:val="21"/>
              </w:rPr>
              <w:t xml:space="preserve">评分人签字</w:t>
            </w:r>
            <w:r>
              <w:rPr>
                <w:rFonts w:ascii="宋体" w:hAnsi="宋体"/>
                <w:b/>
                <w:bCs/>
                <w:szCs w:val="21"/>
              </w:rPr>
            </w:r>
            <w:r/>
          </w:p>
        </w:tc>
        <w:tc>
          <w:tcPr>
            <w:gridSpan w:val="2"/>
            <w:tcW w:w="6379" w:type="dxa"/>
            <w:vAlign w:val="top"/>
            <w:textDirection w:val="lrTb"/>
            <w:noWrap w:val="false"/>
          </w:tcPr>
          <w:p>
            <w:pPr>
              <w:pStyle w:val="1276"/>
              <w:spacing w:before="156" w:line="360" w:lineRule="auto"/>
              <w:rPr>
                <w:rFonts w:ascii="宋体" w:hAnsi="宋体"/>
                <w:b/>
                <w:bCs/>
                <w:szCs w:val="21"/>
              </w:rPr>
            </w:pPr>
            <w:r>
              <w:rPr>
                <w:rFonts w:ascii="宋体" w:hAnsi="宋体"/>
                <w:b/>
                <w:bCs/>
                <w:szCs w:val="21"/>
              </w:rPr>
            </w:r>
            <w:r/>
          </w:p>
        </w:tc>
      </w:tr>
    </w:tbl>
    <w:p>
      <w:pPr>
        <w:pStyle w:val="1276"/>
        <w:spacing w:before="156" w:line="360" w:lineRule="auto"/>
        <w:rPr>
          <w:rFonts w:ascii="宋体" w:hAnsi="宋体"/>
          <w:b/>
          <w:bCs/>
          <w:szCs w:val="21"/>
        </w:rPr>
        <w:outlineLvl w:val="1"/>
      </w:pPr>
      <w:r/>
      <w:bookmarkStart w:id="536" w:name="_Toc1714"/>
      <w:r/>
      <w:bookmarkStart w:id="537" w:name="_Toc29506"/>
      <w:r/>
      <w:bookmarkStart w:id="538" w:name="_Toc17075"/>
      <w:r/>
      <w:bookmarkStart w:id="539" w:name="_Toc25702"/>
      <w:r/>
      <w:bookmarkStart w:id="540" w:name="_Toc18771"/>
      <w:r/>
      <w:bookmarkStart w:id="541" w:name="_Toc30071"/>
      <w:r>
        <w:rPr>
          <w:rFonts w:hint="eastAsia" w:ascii="宋体" w:hAnsi="宋体" w:eastAsia="宋体" w:cs="宋体"/>
          <w:b/>
          <w:bCs/>
          <w:szCs w:val="21"/>
          <w:lang w:val="en-US" w:eastAsia="zh-CN"/>
        </w:rPr>
        <w:t xml:space="preserve">六、</w:t>
      </w:r>
      <w:r>
        <w:rPr>
          <w:rFonts w:hint="eastAsia" w:ascii="宋体" w:hAnsi="宋体"/>
          <w:b/>
          <w:bCs/>
          <w:szCs w:val="21"/>
        </w:rPr>
        <w:t xml:space="preserve">培训服务承诺及措施</w:t>
      </w:r>
      <w:bookmarkEnd w:id="536"/>
      <w:r/>
      <w:bookmarkEnd w:id="537"/>
      <w:r/>
      <w:bookmarkEnd w:id="538"/>
      <w:r/>
      <w:bookmarkEnd w:id="539"/>
      <w:r/>
      <w:bookmarkEnd w:id="540"/>
      <w:r/>
      <w:bookmarkEnd w:id="541"/>
      <w:r>
        <w:rPr>
          <w:rFonts w:ascii="宋体" w:hAnsi="宋体"/>
          <w:b/>
          <w:bCs/>
          <w:szCs w:val="21"/>
        </w:rPr>
      </w:r>
      <w:r/>
    </w:p>
    <w:p>
      <w:pPr>
        <w:pStyle w:val="1276"/>
        <w:ind w:firstLine="210"/>
        <w:spacing w:line="360" w:lineRule="auto"/>
        <w:rPr>
          <w:rFonts w:ascii="宋体" w:hAnsi="宋体"/>
          <w:szCs w:val="21"/>
        </w:rPr>
      </w:pPr>
      <w:r>
        <w:rPr>
          <w:rFonts w:hint="eastAsia" w:ascii="宋体" w:hAnsi="宋体"/>
          <w:szCs w:val="21"/>
        </w:rPr>
        <w:t xml:space="preserve">（一）供应商应做好食材供应服务，切实做到人员到位，服务到位，切实保障采购人合法权益。</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（二）供应商保证产品在采购人规定时间内送达指定地点，由采购人指定专人进行验收，验收合格签字认可。</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（三）供应商严格按照《产品质量法》等相关规定，严格保证食材质量符合国家相关产品质量标准，在供应过程中如出现因食用其提供食材导致食物中毒的事故发生，中标供应商对此承担一切法律责任。</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（四）如采购人或相关部门对中标供应商产品质量有异议，有权提出改进意见。</w:t>
      </w:r>
      <w:r>
        <w:rPr>
          <w:rFonts w:ascii="宋体" w:hAnsi="宋体"/>
          <w:szCs w:val="21"/>
        </w:rPr>
      </w:r>
      <w:r/>
    </w:p>
    <w:p>
      <w:pPr>
        <w:pStyle w:val="1276"/>
        <w:ind w:firstLine="210"/>
        <w:spacing w:line="360" w:lineRule="auto"/>
        <w:rPr>
          <w:rFonts w:ascii="宋体" w:hAnsi="宋体"/>
          <w:b/>
          <w:bCs/>
          <w:szCs w:val="21"/>
        </w:rPr>
      </w:pPr>
      <w:r>
        <w:rPr>
          <w:rFonts w:hint="eastAsia" w:ascii="宋体" w:hAnsi="宋体"/>
          <w:szCs w:val="21"/>
        </w:rPr>
        <w:t xml:space="preserve">（五）每年供应商应对相关人员进行一次培训。</w:t>
      </w:r>
      <w:r>
        <w:rPr>
          <w:rFonts w:ascii="宋体" w:hAnsi="宋体"/>
          <w:b/>
          <w:bCs/>
          <w:szCs w:val="21"/>
        </w:rPr>
      </w:r>
      <w:r/>
    </w:p>
    <w:p>
      <w:pPr>
        <w:pStyle w:val="1276"/>
        <w:spacing w:line="360" w:lineRule="auto"/>
        <w:widowControl/>
        <w:rPr>
          <w:rFonts w:ascii="宋体" w:hAnsi="宋体"/>
          <w:szCs w:val="21"/>
        </w:rPr>
        <w:outlineLvl w:val="1"/>
      </w:pPr>
      <w:r/>
      <w:bookmarkStart w:id="542" w:name="_Toc7915"/>
      <w:r/>
      <w:bookmarkStart w:id="543" w:name="_Toc11392"/>
      <w:r/>
      <w:bookmarkStart w:id="544" w:name="_Toc17874"/>
      <w:r/>
      <w:bookmarkStart w:id="545" w:name="_Toc13006"/>
      <w:r/>
      <w:bookmarkStart w:id="546" w:name="_Toc26584"/>
      <w:r/>
      <w:bookmarkStart w:id="547" w:name="_Toc17620"/>
      <w:r>
        <w:rPr>
          <w:rFonts w:hint="eastAsia" w:ascii="宋体" w:hAnsi="宋体" w:eastAsia="宋体" w:cs="宋体"/>
          <w:b/>
          <w:bCs/>
          <w:szCs w:val="21"/>
          <w:lang w:val="en-US" w:eastAsia="zh-CN"/>
        </w:rPr>
        <w:t xml:space="preserve">七、</w:t>
      </w:r>
      <w:r>
        <w:rPr>
          <w:rFonts w:hint="eastAsia" w:ascii="宋体" w:hAnsi="宋体" w:eastAsia="宋体" w:cs="宋体"/>
          <w:b/>
          <w:bCs/>
          <w:szCs w:val="21"/>
        </w:rPr>
        <w:t xml:space="preserve">★</w:t>
      </w:r>
      <w:r>
        <w:rPr>
          <w:rFonts w:hint="eastAsia" w:ascii="宋体" w:hAnsi="宋体"/>
          <w:b/>
          <w:bCs/>
          <w:szCs w:val="21"/>
        </w:rPr>
        <w:t xml:space="preserve">付款方式</w:t>
      </w:r>
      <w:bookmarkEnd w:id="542"/>
      <w:r/>
      <w:bookmarkEnd w:id="543"/>
      <w:r/>
      <w:bookmarkEnd w:id="544"/>
      <w:r/>
      <w:bookmarkEnd w:id="545"/>
      <w:r/>
      <w:bookmarkEnd w:id="546"/>
      <w:r/>
      <w:bookmarkEnd w:id="547"/>
      <w:r>
        <w:rPr>
          <w:rFonts w:ascii="宋体" w:hAnsi="宋体"/>
          <w:szCs w:val="21"/>
        </w:rPr>
      </w:r>
      <w:r/>
    </w:p>
    <w:p>
      <w:pPr>
        <w:pStyle w:val="1276"/>
        <w:jc w:val="left"/>
        <w:spacing w:line="360" w:lineRule="auto"/>
        <w:widowControl/>
        <w:rPr>
          <w:rFonts w:ascii="宋体" w:hAnsi="宋体"/>
          <w:color w:val="000000"/>
          <w:szCs w:val="21"/>
        </w:rPr>
      </w:pPr>
      <w:r>
        <w:rPr>
          <w:rFonts w:hint="eastAsia" w:ascii="宋体" w:hAnsi="宋体"/>
          <w:szCs w:val="21"/>
        </w:rPr>
        <w:t xml:space="preserve"> </w:t>
      </w:r>
      <w:r>
        <w:rPr>
          <w:rFonts w:hint="eastAsia" w:ascii="宋体" w:hAnsi="宋体"/>
          <w:color w:val="000000"/>
          <w:szCs w:val="21"/>
        </w:rPr>
        <w:t xml:space="preserve">  </w:t>
      </w:r>
      <w:r>
        <w:rPr>
          <w:rFonts w:ascii="宋体" w:hAnsi="宋体"/>
          <w:bCs/>
          <w:color w:val="000000"/>
          <w:szCs w:val="21"/>
        </w:rPr>
        <w:t xml:space="preserve">付款方式：</w:t>
      </w:r>
      <w:r>
        <w:rPr>
          <w:rFonts w:hint="eastAsia" w:ascii="宋体" w:hAnsi="宋体"/>
          <w:bCs/>
          <w:color w:val="000000"/>
          <w:szCs w:val="21"/>
        </w:rPr>
        <w:t xml:space="preserve">经</w:t>
      </w:r>
      <w:r>
        <w:rPr>
          <w:rFonts w:hint="eastAsia" w:ascii="宋体" w:hAnsi="宋体"/>
          <w:bCs/>
          <w:color w:val="000000"/>
          <w:szCs w:val="21"/>
          <w:lang w:val="en-US" w:eastAsia="zh-CN"/>
        </w:rPr>
        <w:t xml:space="preserve">采购人</w:t>
      </w:r>
      <w:r>
        <w:rPr>
          <w:rFonts w:hint="eastAsia" w:ascii="宋体" w:hAnsi="宋体"/>
          <w:bCs/>
          <w:color w:val="000000"/>
          <w:szCs w:val="21"/>
        </w:rPr>
        <w:t xml:space="preserve">确定上月所有决算资料属实后，由双方签字确认，同时</w:t>
      </w:r>
      <w:r>
        <w:rPr>
          <w:rFonts w:hint="eastAsia" w:ascii="宋体" w:hAnsi="宋体"/>
          <w:bCs/>
          <w:color w:val="000000"/>
          <w:szCs w:val="21"/>
          <w:lang w:val="en-US" w:eastAsia="zh-CN"/>
        </w:rPr>
        <w:t xml:space="preserve">供应商</w:t>
      </w:r>
      <w:r>
        <w:rPr>
          <w:rFonts w:hint="eastAsia" w:ascii="宋体" w:hAnsi="宋体"/>
          <w:bCs/>
          <w:color w:val="000000"/>
          <w:szCs w:val="21"/>
        </w:rPr>
        <w:t xml:space="preserve">必须提供相应的等额发票，</w:t>
      </w:r>
      <w:r>
        <w:rPr>
          <w:rFonts w:hint="eastAsia" w:ascii="宋体" w:hAnsi="宋体"/>
          <w:bCs/>
          <w:color w:val="000000"/>
          <w:szCs w:val="21"/>
          <w:lang w:val="en-US" w:eastAsia="zh-CN"/>
        </w:rPr>
        <w:t xml:space="preserve">采购人</w:t>
      </w:r>
      <w:r>
        <w:rPr>
          <w:rFonts w:hint="eastAsia" w:ascii="宋体" w:hAnsi="宋体"/>
          <w:bCs/>
          <w:color w:val="000000"/>
          <w:szCs w:val="21"/>
        </w:rPr>
        <w:t xml:space="preserve">在收到发票后10个工作日内支付上月供应货款，否则</w:t>
      </w:r>
      <w:r>
        <w:rPr>
          <w:rFonts w:hint="eastAsia" w:ascii="宋体" w:hAnsi="宋体"/>
          <w:bCs/>
          <w:color w:val="000000"/>
          <w:szCs w:val="21"/>
          <w:lang w:val="en-US" w:eastAsia="zh-CN"/>
        </w:rPr>
        <w:t xml:space="preserve">采购人</w:t>
      </w:r>
      <w:r>
        <w:rPr>
          <w:rFonts w:hint="eastAsia" w:ascii="宋体" w:hAnsi="宋体"/>
          <w:bCs/>
          <w:color w:val="000000"/>
          <w:szCs w:val="21"/>
        </w:rPr>
        <w:t xml:space="preserve">有权顺延付款期限且无息。因财政审批导致的迟延支付，</w:t>
      </w:r>
      <w:r>
        <w:rPr>
          <w:rFonts w:hint="eastAsia" w:ascii="宋体" w:hAnsi="宋体"/>
          <w:bCs/>
          <w:color w:val="000000"/>
          <w:szCs w:val="21"/>
          <w:lang w:val="en-US" w:eastAsia="zh-CN"/>
        </w:rPr>
        <w:t xml:space="preserve">采购人</w:t>
      </w:r>
      <w:r>
        <w:rPr>
          <w:rFonts w:hint="eastAsia" w:ascii="宋体" w:hAnsi="宋体"/>
          <w:bCs/>
          <w:color w:val="000000"/>
          <w:szCs w:val="21"/>
        </w:rPr>
        <w:t xml:space="preserve">不承担迟延支付的违约责任，付款进度以财政资金下款时间为准。 </w:t>
      </w:r>
      <w:r>
        <w:rPr>
          <w:rFonts w:hint="eastAsia" w:ascii="宋体" w:hAnsi="宋体"/>
          <w:color w:val="000000"/>
          <w:szCs w:val="21"/>
        </w:rPr>
        <w:t xml:space="preserve"> </w:t>
      </w:r>
      <w:r>
        <w:rPr>
          <w:rFonts w:ascii="宋体" w:hAnsi="宋体"/>
          <w:color w:val="000000"/>
          <w:szCs w:val="21"/>
        </w:rPr>
      </w:r>
      <w:r/>
    </w:p>
    <w:p>
      <w:pPr>
        <w:pStyle w:val="1276"/>
        <w:numPr>
          <w:ilvl w:val="0"/>
          <w:numId w:val="0"/>
        </w:numPr>
        <w:spacing w:line="360" w:lineRule="auto"/>
        <w:rPr>
          <w:rFonts w:ascii="宋体" w:hAnsi="宋体" w:cs="宋体"/>
          <w:b/>
          <w:bCs/>
          <w:color w:val="000000"/>
          <w:szCs w:val="21"/>
        </w:rPr>
        <w:outlineLvl w:val="1"/>
      </w:pPr>
      <w:r/>
      <w:bookmarkStart w:id="548" w:name="_Toc28274"/>
      <w:r>
        <w:rPr>
          <w:rFonts w:hint="eastAsia" w:ascii="宋体" w:hAnsi="宋体" w:cs="宋体"/>
          <w:b/>
          <w:bCs/>
          <w:color w:val="000000"/>
          <w:szCs w:val="21"/>
          <w:lang w:val="en-US" w:eastAsia="zh-CN"/>
        </w:rPr>
        <w:t xml:space="preserve">八、</w:t>
      </w:r>
      <w:r>
        <w:rPr>
          <w:rFonts w:hint="eastAsia" w:ascii="宋体" w:hAnsi="宋体" w:cs="宋体"/>
          <w:b/>
          <w:bCs/>
          <w:color w:val="000000"/>
          <w:szCs w:val="21"/>
        </w:rPr>
        <w:t xml:space="preserve">报价要求</w:t>
      </w:r>
      <w:bookmarkEnd w:id="548"/>
      <w:r>
        <w:rPr>
          <w:rFonts w:ascii="宋体" w:hAnsi="宋体" w:cs="宋体"/>
          <w:b/>
          <w:bCs/>
          <w:color w:val="000000"/>
          <w:szCs w:val="21"/>
        </w:rPr>
      </w:r>
      <w:r/>
    </w:p>
    <w:p>
      <w:pPr>
        <w:pStyle w:val="1276"/>
        <w:ind w:firstLine="420"/>
        <w:spacing w:line="360" w:lineRule="auto"/>
        <w:rPr>
          <w:rFonts w:ascii="宋体" w:hAnsi="宋体" w:cs="宋体"/>
          <w:szCs w:val="21"/>
        </w:rPr>
      </w:pPr>
      <w:r>
        <w:rPr>
          <w:rFonts w:hint="eastAsia" w:ascii="宋体" w:hAnsi="宋体" w:cs="宋体"/>
          <w:szCs w:val="21"/>
        </w:rPr>
        <w:t xml:space="preserve">本项目采购食材清单由采购人根据每批次需要自主选定，各供应商在报价时应充分考虑一年四季内市场行情波动及政策风险等客观因素进行报价。本次按照</w:t>
      </w:r>
      <w:r>
        <w:rPr>
          <w:rFonts w:hint="eastAsia" w:ascii="宋体" w:hAnsi="宋体" w:cs="宋体"/>
          <w:b/>
          <w:bCs/>
          <w:szCs w:val="21"/>
          <w:lang w:val="en-US" w:eastAsia="zh-CN"/>
        </w:rPr>
        <w:t xml:space="preserve">优惠率</w:t>
      </w:r>
      <w:r>
        <w:rPr>
          <w:rFonts w:hint="eastAsia" w:ascii="宋体" w:hAnsi="宋体" w:cs="宋体"/>
          <w:szCs w:val="21"/>
        </w:rPr>
        <w:t xml:space="preserve">进行报价，例如按照“南京市发展和改革委员会-政务公开-价格信息https://fgw.nanjing.gov.cn/njsfzhggwyh/?id=xxgk_383”中所列食材基准单价的</w:t>
      </w:r>
      <w:r>
        <w:rPr>
          <w:rFonts w:hint="eastAsia" w:ascii="宋体" w:hAnsi="宋体" w:cs="宋体"/>
          <w:szCs w:val="21"/>
          <w:lang w:val="en-US" w:eastAsia="zh-CN"/>
        </w:rPr>
        <w:t xml:space="preserve">8</w:t>
      </w:r>
      <w:r>
        <w:rPr>
          <w:rFonts w:hint="eastAsia" w:ascii="宋体" w:hAnsi="宋体" w:cs="宋体"/>
          <w:szCs w:val="21"/>
        </w:rPr>
        <w:t xml:space="preserve">0%收费，</w:t>
      </w:r>
      <w:r>
        <w:rPr>
          <w:rFonts w:hint="eastAsia" w:ascii="宋体" w:hAnsi="宋体" w:cs="宋体"/>
          <w:szCs w:val="21"/>
          <w:highlight w:val="none"/>
          <w:lang w:val="en-US" w:eastAsia="zh-CN"/>
        </w:rPr>
        <w:t xml:space="preserve">优惠</w:t>
      </w:r>
      <w:r>
        <w:rPr>
          <w:rFonts w:hint="eastAsia" w:ascii="宋体" w:hAnsi="宋体" w:cs="宋体"/>
          <w:szCs w:val="21"/>
          <w:highlight w:val="none"/>
        </w:rPr>
        <w:t xml:space="preserve">率就报</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实际结算费率=1-优惠率</w:t>
      </w:r>
      <w:r>
        <w:rPr>
          <w:rFonts w:hint="eastAsia" w:ascii="宋体" w:hAnsi="宋体" w:cs="宋体"/>
          <w:szCs w:val="21"/>
          <w:highlight w:val="none"/>
        </w:rPr>
        <w:t xml:space="preserve">。</w:t>
      </w:r>
      <w:r>
        <w:rPr>
          <w:rFonts w:hint="eastAsia" w:ascii="宋体" w:hAnsi="宋体" w:cs="宋体"/>
          <w:b/>
          <w:bCs/>
          <w:szCs w:val="21"/>
        </w:rPr>
        <w:t xml:space="preserve">每个分包只能有一个投标优惠率，不可选择性报价，否则作无效投标处理。</w:t>
      </w:r>
      <w:r>
        <w:rPr>
          <w:rFonts w:ascii="宋体" w:hAnsi="宋体" w:cs="宋体"/>
          <w:szCs w:val="21"/>
        </w:rPr>
      </w:r>
      <w:r/>
    </w:p>
    <w:p>
      <w:pPr>
        <w:pStyle w:val="1276"/>
        <w:numPr>
          <w:ilvl w:val="0"/>
          <w:numId w:val="0"/>
        </w:numPr>
        <w:ind w:firstLine="420"/>
        <w:spacing w:line="360" w:lineRule="auto"/>
        <w:rPr>
          <w:rFonts w:hint="eastAsia" w:ascii="宋体" w:hAnsi="宋体" w:cs="宋体"/>
          <w:szCs w:val="21"/>
          <w:lang w:val="zh-CN"/>
        </w:rPr>
      </w:pPr>
      <w:r>
        <w:rPr>
          <w:rFonts w:hint="eastAsia" w:ascii="宋体" w:hAnsi="宋体" w:eastAsia="宋体" w:cs="宋体"/>
          <w:szCs w:val="21"/>
          <w:lang w:val="en-US" w:eastAsia="zh-CN"/>
        </w:rPr>
        <w:t xml:space="preserve">(1)</w:t>
      </w:r>
      <w:r>
        <w:rPr>
          <w:rFonts w:hint="eastAsia" w:ascii="宋体" w:hAnsi="宋体" w:cs="宋体"/>
          <w:szCs w:val="21"/>
        </w:rPr>
        <w:t xml:space="preserve">需求品类单价参照</w:t>
      </w:r>
      <w:r>
        <w:rPr>
          <w:rFonts w:hint="eastAsia" w:ascii="宋体" w:hAnsi="宋体" w:cs="宋体"/>
          <w:szCs w:val="21"/>
          <w:lang w:val="en-US" w:eastAsia="zh-CN"/>
        </w:rPr>
        <w:t xml:space="preserve">每周一</w:t>
      </w:r>
      <w:r>
        <w:rPr>
          <w:rFonts w:hint="eastAsia" w:ascii="宋体" w:hAnsi="宋体" w:cs="宋体"/>
          <w:szCs w:val="21"/>
        </w:rPr>
        <w:t xml:space="preserve">“</w:t>
      </w:r>
      <w:r>
        <w:rPr>
          <w:rFonts w:hint="eastAsia" w:ascii="宋体" w:hAnsi="宋体" w:cs="宋体"/>
          <w:szCs w:val="21"/>
          <w:lang w:val="zh-CN"/>
        </w:rPr>
        <w:t xml:space="preserve">南京市发展和改革委员会</w:t>
      </w:r>
      <w:r>
        <w:rPr>
          <w:rFonts w:hint="eastAsia" w:ascii="宋体" w:hAnsi="宋体" w:cs="宋体"/>
          <w:szCs w:val="21"/>
        </w:rPr>
        <w:t xml:space="preserve">-</w:t>
      </w:r>
      <w:r>
        <w:rPr>
          <w:rFonts w:hint="eastAsia" w:ascii="宋体" w:hAnsi="宋体" w:cs="宋体"/>
          <w:szCs w:val="21"/>
          <w:lang w:val="zh-CN"/>
        </w:rPr>
        <w:t xml:space="preserve">政务公开</w:t>
      </w:r>
      <w:r>
        <w:rPr>
          <w:rFonts w:hint="eastAsia" w:ascii="宋体" w:hAnsi="宋体" w:cs="宋体"/>
          <w:szCs w:val="21"/>
        </w:rPr>
        <w:t xml:space="preserve">-</w:t>
      </w:r>
      <w:r>
        <w:rPr>
          <w:rFonts w:hint="eastAsia" w:ascii="宋体" w:hAnsi="宋体" w:cs="宋体"/>
          <w:szCs w:val="21"/>
          <w:lang w:val="zh-CN"/>
        </w:rPr>
        <w:t xml:space="preserve">价格</w:t>
      </w:r>
      <w:r>
        <w:rPr>
          <w:rFonts w:hint="eastAsia" w:ascii="宋体" w:hAnsi="宋体" w:cs="宋体"/>
          <w:szCs w:val="21"/>
        </w:rPr>
        <w:t xml:space="preserve">信息https://fgw.nanjing.gov.cn/njsfzhggwyh/?id=xxgk_383”</w:t>
      </w:r>
      <w:r>
        <w:rPr>
          <w:rFonts w:hint="eastAsia" w:ascii="宋体" w:hAnsi="宋体" w:cs="宋体"/>
          <w:szCs w:val="21"/>
          <w:lang w:val="zh-CN"/>
        </w:rPr>
        <w:t xml:space="preserve">中所列食材基准单价进行确定</w:t>
      </w:r>
      <w:r>
        <w:rPr>
          <w:rFonts w:hint="eastAsia" w:ascii="宋体" w:hAnsi="宋体" w:cs="宋体"/>
          <w:szCs w:val="21"/>
        </w:rPr>
        <w:t xml:space="preserve">（如遇休息日或当天官网未发布价格动态的，则相应向后推至最近的一个价格公布日）</w:t>
      </w:r>
      <w:r>
        <w:rPr>
          <w:rFonts w:hint="eastAsia" w:ascii="宋体" w:hAnsi="宋体" w:cs="宋体"/>
          <w:szCs w:val="21"/>
          <w:lang w:val="zh-CN"/>
        </w:rPr>
        <w:t xml:space="preserve">。</w:t>
      </w:r>
      <w:r>
        <w:rPr>
          <w:rFonts w:hint="eastAsia" w:ascii="宋体" w:hAnsi="宋体" w:cs="宋体"/>
          <w:szCs w:val="21"/>
          <w:lang w:val="en-US" w:eastAsia="zh-CN"/>
        </w:rPr>
        <w:t xml:space="preserve">如南京市发展和改革委员会食材种类不全，则以大润发超市（瑞金店）、尚书巷菜市场、红跑车（瑞金新村店）同类同质同品牌的食材零售价格为准。</w:t>
      </w:r>
      <w:r>
        <w:rPr>
          <w:rFonts w:hint="eastAsia" w:ascii="宋体" w:hAnsi="宋体" w:cs="宋体"/>
          <w:szCs w:val="21"/>
          <w:lang w:val="zh-CN"/>
        </w:rPr>
        <w:t xml:space="preserve">即中标供应商食材结算单价=取每类食材公布的单价*（</w:t>
      </w:r>
      <w:r>
        <w:rPr>
          <w:rFonts w:hint="eastAsia" w:ascii="宋体" w:hAnsi="宋体" w:cs="宋体"/>
          <w:szCs w:val="21"/>
          <w:highlight w:val="none"/>
          <w:lang w:val="en-US" w:eastAsia="zh-CN"/>
        </w:rPr>
        <w:t xml:space="preserve">1-优惠率</w:t>
      </w:r>
      <w:r>
        <w:rPr>
          <w:rFonts w:hint="eastAsia" w:ascii="宋体" w:hAnsi="宋体" w:cs="宋体"/>
          <w:szCs w:val="21"/>
          <w:lang w:val="zh-CN"/>
        </w:rPr>
        <w:t xml:space="preserve">）。</w:t>
      </w:r>
      <w:r>
        <w:rPr>
          <w:rFonts w:hint="eastAsia" w:ascii="宋体" w:hAnsi="宋体" w:cs="宋体"/>
          <w:szCs w:val="21"/>
          <w:lang w:val="zh-CN"/>
        </w:rPr>
      </w:r>
      <w:r/>
    </w:p>
    <w:p>
      <w:pPr>
        <w:pStyle w:val="1276"/>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）有公布价格的食材，按照</w:t>
      </w:r>
      <w:r>
        <w:rPr>
          <w:rFonts w:hint="eastAsia" w:ascii="宋体" w:hAnsi="宋体" w:cs="宋体"/>
          <w:szCs w:val="21"/>
          <w:lang w:val="en-US" w:eastAsia="zh-CN"/>
        </w:rPr>
        <w:t xml:space="preserve">每周一</w:t>
      </w:r>
      <w:r>
        <w:rPr>
          <w:rFonts w:hint="eastAsia" w:ascii="宋体" w:hAnsi="宋体" w:cs="宋体"/>
          <w:szCs w:val="21"/>
        </w:rPr>
        <w:t xml:space="preserve">的价格进行确定。</w:t>
      </w:r>
      <w:r>
        <w:rPr>
          <w:rFonts w:ascii="宋体" w:hAnsi="宋体" w:cs="宋体"/>
          <w:szCs w:val="21"/>
        </w:rPr>
      </w:r>
      <w:r/>
    </w:p>
    <w:p>
      <w:pPr>
        <w:pStyle w:val="1276"/>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）中标供应商食材结算单价=核定后的食材价格*</w:t>
      </w:r>
      <w:r>
        <w:rPr>
          <w:rFonts w:hint="eastAsia" w:ascii="宋体" w:hAnsi="宋体" w:cs="宋体"/>
          <w:szCs w:val="21"/>
          <w:lang w:val="zh-CN"/>
        </w:rPr>
        <w:t xml:space="preserve">（</w:t>
      </w:r>
      <w:r>
        <w:rPr>
          <w:rFonts w:hint="eastAsia" w:ascii="宋体" w:hAnsi="宋体" w:cs="宋体"/>
          <w:szCs w:val="21"/>
          <w:highlight w:val="none"/>
          <w:lang w:val="en-US" w:eastAsia="zh-CN"/>
        </w:rPr>
        <w:t xml:space="preserve">1-优惠率</w:t>
      </w:r>
      <w:r>
        <w:rPr>
          <w:rFonts w:hint="eastAsia" w:ascii="宋体" w:hAnsi="宋体" w:cs="宋体"/>
          <w:szCs w:val="21"/>
          <w:lang w:val="zh-CN"/>
        </w:rPr>
        <w:t xml:space="preserve">）</w:t>
      </w:r>
      <w:r>
        <w:rPr>
          <w:rFonts w:ascii="宋体" w:hAnsi="宋体" w:cs="宋体"/>
          <w:szCs w:val="21"/>
        </w:rPr>
      </w:r>
      <w:r/>
    </w:p>
    <w:p>
      <w:pPr>
        <w:pStyle w:val="1276"/>
        <w:ind w:firstLine="420"/>
        <w:widowControl/>
        <w:rPr>
          <w:rFonts w:ascii="宋体" w:hAnsi="宋体" w:cs="宋体"/>
          <w:color w:val="000000"/>
          <w:szCs w:val="21"/>
        </w:rPr>
      </w:pPr>
      <w:r>
        <w:rPr>
          <w:rFonts w:ascii="宋体" w:hAnsi="宋体" w:cs="宋体"/>
          <w:color w:val="000000"/>
          <w:szCs w:val="21"/>
        </w:rPr>
      </w:r>
      <w:r/>
    </w:p>
    <w:p>
      <w:pPr>
        <w:pStyle w:val="1276"/>
        <w:ind w:firstLine="211"/>
        <w:spacing w:line="360" w:lineRule="auto"/>
        <w:rPr>
          <w:rFonts w:ascii="宋体" w:hAnsi="宋体"/>
          <w:b/>
          <w:bCs/>
          <w:szCs w:val="21"/>
        </w:rPr>
        <w:outlineLvl w:val="1"/>
      </w:pPr>
      <w:r/>
      <w:bookmarkStart w:id="549" w:name="_Toc30986"/>
      <w:r>
        <w:rPr>
          <w:rFonts w:hint="eastAsia" w:ascii="宋体" w:hAnsi="宋体" w:eastAsia="宋体" w:cs="宋体"/>
          <w:b/>
          <w:bCs/>
          <w:szCs w:val="21"/>
          <w:lang w:val="en-US" w:eastAsia="zh-CN"/>
        </w:rPr>
        <w:t xml:space="preserve">九、</w:t>
      </w:r>
      <w:r>
        <w:rPr>
          <w:rFonts w:hint="eastAsia" w:ascii="宋体" w:hAnsi="宋体"/>
          <w:b/>
          <w:bCs/>
          <w:szCs w:val="21"/>
        </w:rPr>
        <w:t xml:space="preserve">其他要求</w:t>
      </w:r>
      <w:bookmarkEnd w:id="549"/>
      <w:r>
        <w:rPr>
          <w:rFonts w:ascii="宋体" w:hAnsi="宋体"/>
          <w:b/>
          <w:bCs/>
          <w:szCs w:val="21"/>
        </w:rPr>
      </w:r>
      <w:r/>
    </w:p>
    <w:p>
      <w:pPr>
        <w:pStyle w:val="1276"/>
        <w:ind w:firstLine="210"/>
        <w:spacing w:line="360" w:lineRule="auto"/>
        <w:rPr>
          <w:rFonts w:ascii="宋体" w:hAnsi="宋体"/>
          <w:szCs w:val="21"/>
        </w:rPr>
      </w:pPr>
      <w:r>
        <w:rPr>
          <w:rFonts w:hint="eastAsia" w:ascii="宋体" w:hAnsi="宋体"/>
          <w:szCs w:val="21"/>
        </w:rPr>
        <w:t xml:space="preserve">（一）供应商应建立进货查验记录制度与食材安全追溯体系，建立票、据、证档案，采购人有权定期检查。</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（二）供应商应指定专人负责处理本项目合同涉及的所有业务与事宜，并做好相关服务工作。</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（三）供应商应承诺，如中标后同意提供采购人要求的与其投标有关的一切数据和资料，并保证其所提供数据资料的真实性与准确性。</w:t>
      </w:r>
      <w:r>
        <w:rPr>
          <w:rFonts w:ascii="宋体" w:hAnsi="宋体"/>
          <w:szCs w:val="21"/>
        </w:rPr>
      </w:r>
      <w:r/>
    </w:p>
    <w:p>
      <w:pPr>
        <w:pStyle w:val="1276"/>
        <w:ind w:firstLine="210"/>
        <w:spacing w:line="360" w:lineRule="auto"/>
        <w:rPr>
          <w:rFonts w:ascii="宋体" w:hAnsi="宋体"/>
          <w:szCs w:val="21"/>
        </w:rPr>
      </w:pPr>
      <w:r>
        <w:rPr>
          <w:rFonts w:hint="eastAsia" w:ascii="宋体" w:hAnsi="宋体"/>
          <w:szCs w:val="21"/>
        </w:rPr>
        <w:t xml:space="preserve">（四）供应商应严格遵守《中华人民共和国政府采购法》《中华人民共和国食品安全法》等相关规定，如实响应招标文件要求。</w:t>
      </w:r>
      <w:r>
        <w:rPr>
          <w:rFonts w:ascii="宋体" w:hAnsi="宋体"/>
          <w:szCs w:val="21"/>
        </w:rPr>
      </w:r>
      <w:r/>
    </w:p>
    <w:p>
      <w:pPr>
        <w:pStyle w:val="1276"/>
        <w:spacing w:line="360" w:lineRule="auto"/>
        <w:rPr>
          <w:rFonts w:hint="eastAsia" w:ascii="宋体" w:hAnsi="宋体"/>
          <w:szCs w:val="21"/>
        </w:rPr>
      </w:pPr>
      <w:r>
        <w:rPr>
          <w:rFonts w:hint="eastAsia" w:ascii="Calibri" w:hAnsi="Calibri"/>
          <w:szCs w:val="21"/>
        </w:rPr>
        <w:t xml:space="preserve">  </w:t>
      </w:r>
      <w:r>
        <w:rPr>
          <w:rFonts w:hint="eastAsia" w:ascii="宋体" w:hAnsi="宋体"/>
          <w:szCs w:val="21"/>
        </w:rPr>
        <w:t xml:space="preserve">（五）采购单位与供货商要切实履行党风廉政建设主体责任，强化采购过程监督作用，制定廉洁风险防控机制，确保采购工作规范高效，促进采购管理工作在推进廉洁文化建设中不断的锤炼、提高拒腐防变的能力。</w:t>
      </w:r>
      <w:r>
        <w:rPr>
          <w:rFonts w:hint="eastAsia" w:ascii="宋体" w:hAnsi="宋体"/>
          <w:szCs w:val="21"/>
        </w:rPr>
      </w:r>
      <w:r/>
    </w:p>
    <w:p>
      <w:pPr>
        <w:pStyle w:val="1276"/>
        <w:ind w:firstLine="420"/>
        <w:widowControl/>
        <w:rPr>
          <w:rFonts w:ascii="宋体" w:hAnsi="宋体" w:cs="宋体"/>
          <w:color w:val="000000"/>
          <w:szCs w:val="21"/>
        </w:rPr>
      </w:pPr>
      <w:r>
        <w:rPr>
          <w:rFonts w:ascii="宋体" w:hAnsi="宋体" w:cs="宋体"/>
          <w:color w:val="000000"/>
          <w:szCs w:val="21"/>
        </w:rPr>
      </w:r>
      <w:r/>
    </w:p>
    <w:p>
      <w:pPr>
        <w:pStyle w:val="1276"/>
        <w:ind w:firstLine="211"/>
        <w:jc w:val="left"/>
        <w:spacing w:line="360" w:lineRule="auto"/>
        <w:rPr>
          <w:rFonts w:hint="eastAsia" w:ascii="宋体" w:hAnsi="宋体" w:eastAsia="宋体" w:cs="宋体"/>
          <w:b/>
          <w:bCs/>
          <w:sz w:val="21"/>
          <w:szCs w:val="21"/>
        </w:rPr>
        <w:outlineLvl w:val="1"/>
      </w:pPr>
      <w:r>
        <w:rPr>
          <w:rFonts w:hint="eastAsia" w:ascii="宋体" w:hAnsi="宋体" w:eastAsia="宋体" w:cs="宋体"/>
          <w:b/>
          <w:bCs/>
          <w:sz w:val="21"/>
          <w:szCs w:val="21"/>
        </w:rPr>
        <w:t xml:space="preserve"> </w:t>
      </w:r>
      <w:bookmarkStart w:id="550" w:name="_Toc15513"/>
      <w:r>
        <w:rPr>
          <w:rFonts w:hint="eastAsia" w:ascii="宋体" w:hAnsi="宋体" w:eastAsia="宋体" w:cs="宋体"/>
          <w:b/>
          <w:bCs/>
          <w:sz w:val="21"/>
          <w:szCs w:val="21"/>
          <w:lang w:val="en-US" w:eastAsia="zh-CN"/>
        </w:rPr>
        <w:t xml:space="preserve">十</w:t>
      </w:r>
      <w:r>
        <w:rPr>
          <w:rFonts w:hint="eastAsia" w:ascii="宋体" w:hAnsi="宋体" w:eastAsia="宋体" w:cs="宋体"/>
          <w:b/>
          <w:bCs/>
          <w:sz w:val="21"/>
          <w:szCs w:val="21"/>
        </w:rPr>
        <w:t xml:space="preserve">、特别说明</w:t>
      </w:r>
      <w:bookmarkEnd w:id="550"/>
      <w:r>
        <w:rPr>
          <w:rFonts w:hint="eastAsia" w:ascii="宋体" w:hAnsi="宋体" w:eastAsia="宋体" w:cs="宋体"/>
          <w:b/>
          <w:bCs/>
          <w:sz w:val="21"/>
          <w:szCs w:val="21"/>
        </w:rPr>
      </w:r>
      <w:r/>
    </w:p>
    <w:p>
      <w:pPr>
        <w:pStyle w:val="1276"/>
        <w:ind w:firstLine="420"/>
        <w:jc w:val="left"/>
        <w:spacing w:line="360" w:lineRule="auto"/>
        <w:widowControl/>
        <w:rPr>
          <w:rFonts w:hint="eastAsia" w:ascii="宋体" w:hAnsi="宋体" w:eastAsia="宋体" w:cs="Times New Roman"/>
          <w:bCs w:val="0"/>
          <w:sz w:val="21"/>
          <w:szCs w:val="21"/>
        </w:rPr>
      </w:pPr>
      <w:r>
        <w:rPr>
          <w:rFonts w:hint="eastAsia" w:ascii="宋体" w:hAnsi="宋体" w:eastAsia="宋体" w:cs="Times New Roman"/>
          <w:b w:val="0"/>
          <w:bCs w:val="0"/>
          <w:szCs w:val="21"/>
        </w:rPr>
        <w:t xml:space="preserve">★</w:t>
      </w:r>
      <w:r>
        <w:rPr>
          <w:rFonts w:hint="eastAsia" w:ascii="宋体" w:hAnsi="宋体" w:eastAsia="宋体" w:cs="Times New Roman"/>
          <w:bCs w:val="0"/>
          <w:sz w:val="21"/>
          <w:szCs w:val="21"/>
        </w:rPr>
        <w:t xml:space="preserve">（一）为保证用餐运动员食品原材料来源安全，落实贯彻《</w:t>
      </w:r>
      <w:r>
        <w:rPr>
          <w:rFonts w:hint="eastAsia" w:ascii="宋体" w:hAnsi="宋体" w:eastAsia="宋体" w:cs="Times New Roman"/>
          <w:i w:val="0"/>
          <w:iCs w:val="0"/>
          <w:caps w:val="0"/>
          <w:spacing w:val="0"/>
          <w:sz w:val="21"/>
          <w:szCs w:val="21"/>
          <w:shd w:val="clear" w:color="auto" w:fill="auto"/>
        </w:rPr>
        <w:t xml:space="preserve">体育总局</w:t>
      </w:r>
      <w:r>
        <w:rPr>
          <w:rFonts w:hint="eastAsia" w:ascii="宋体" w:hAnsi="宋体" w:eastAsia="宋体" w:cs="Times New Roman"/>
          <w:bCs w:val="0"/>
          <w:sz w:val="21"/>
          <w:szCs w:val="21"/>
        </w:rPr>
        <w:t xml:space="preserve">反兴奋剂中心关于印发世界反兴奋剂机构 《202</w:t>
      </w:r>
      <w:r>
        <w:rPr>
          <w:rFonts w:hint="eastAsia" w:ascii="宋体" w:hAnsi="宋体" w:eastAsia="宋体" w:cs="Times New Roman"/>
          <w:bCs w:val="0"/>
          <w:sz w:val="21"/>
          <w:szCs w:val="21"/>
          <w:lang w:val="en-US" w:eastAsia="zh-CN"/>
        </w:rPr>
        <w:t xml:space="preserve">6</w:t>
      </w:r>
      <w:r>
        <w:rPr>
          <w:rFonts w:hint="eastAsia" w:ascii="宋体" w:hAnsi="宋体" w:eastAsia="宋体" w:cs="Times New Roman"/>
          <w:bCs w:val="0"/>
          <w:sz w:val="21"/>
          <w:szCs w:val="21"/>
        </w:rPr>
        <w:t xml:space="preserve">年禁用清单国际标准》中文稿的通知》要求，中标供应商须对照上述文号中的禁用清单，并依法承诺所供产品无禁用清单中所列明的兴奋剂化学成分，各供应商须提供针对此项的承诺函，承诺内容涵盖本特别说明（一）、（二）项下的特别要求，</w:t>
      </w:r>
      <w:r>
        <w:rPr>
          <w:rFonts w:hint="eastAsia" w:ascii="宋体" w:hAnsi="宋体" w:eastAsia="宋体" w:cs="Times New Roman"/>
          <w:b/>
          <w:bCs/>
          <w:sz w:val="21"/>
          <w:szCs w:val="21"/>
        </w:rPr>
        <w:t xml:space="preserve">格式自拟并加盖公章</w:t>
      </w:r>
      <w:r>
        <w:rPr>
          <w:rFonts w:hint="eastAsia" w:ascii="宋体" w:hAnsi="宋体" w:eastAsia="宋体" w:cs="Times New Roman"/>
          <w:bCs w:val="0"/>
          <w:sz w:val="21"/>
          <w:szCs w:val="21"/>
        </w:rPr>
        <w:t xml:space="preserve">。</w:t>
      </w:r>
      <w:r>
        <w:rPr>
          <w:rFonts w:hint="eastAsia" w:ascii="宋体" w:hAnsi="宋体" w:eastAsia="宋体" w:cs="Times New Roman"/>
          <w:bCs w:val="0"/>
          <w:sz w:val="21"/>
          <w:szCs w:val="21"/>
        </w:rPr>
      </w:r>
      <w:r/>
    </w:p>
    <w:p>
      <w:pPr>
        <w:pStyle w:val="1276"/>
        <w:ind w:firstLine="420"/>
        <w:jc w:val="left"/>
        <w:spacing w:line="360" w:lineRule="auto"/>
        <w:widowControl/>
        <w:rPr>
          <w:rFonts w:hint="eastAsia" w:ascii="宋体" w:hAnsi="宋体" w:eastAsia="宋体" w:cs="Times New Roman"/>
          <w:b w:val="0"/>
          <w:sz w:val="21"/>
          <w:szCs w:val="21"/>
        </w:rPr>
        <w:sectPr>
          <w:headerReference w:type="default" r:id="rId11"/>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Times New Roman"/>
          <w:b w:val="0"/>
          <w:bCs w:val="0"/>
          <w:szCs w:val="21"/>
        </w:rPr>
        <w:t xml:space="preserve">★</w:t>
      </w:r>
      <w:r>
        <w:rPr>
          <w:rFonts w:hint="eastAsia" w:ascii="宋体" w:hAnsi="宋体" w:eastAsia="宋体" w:cs="Times New Roman"/>
          <w:bCs w:val="0"/>
          <w:sz w:val="21"/>
          <w:szCs w:val="21"/>
        </w:rPr>
        <w:t xml:space="preserve">（二）由于世界反兴奋剂机构出具的国际禁用清单不定期更新，供应商须随时关注并对照最新禁用清单，保证所供食品原材料的安全、卫生、无兴奋剂化学成分。</w:t>
      </w:r>
      <w:r>
        <w:rPr>
          <w:rFonts w:hint="eastAsia" w:ascii="宋体" w:hAnsi="宋体" w:eastAsia="宋体" w:cs="Times New Roman"/>
          <w:b w:val="0"/>
          <w:bCs w:val="0"/>
          <w:sz w:val="21"/>
          <w:szCs w:val="21"/>
        </w:rPr>
        <w:t xml:space="preserve">各供应商须提供针对此项的承诺函，承诺内容涵盖本特别说明（一）、（二）项下的特别要求，</w:t>
      </w:r>
      <w:r>
        <w:rPr>
          <w:rFonts w:hint="eastAsia" w:ascii="宋体" w:hAnsi="宋体" w:eastAsia="宋体" w:cs="Times New Roman"/>
          <w:b/>
          <w:bCs/>
          <w:sz w:val="21"/>
          <w:szCs w:val="21"/>
        </w:rPr>
        <w:t xml:space="preserve">格式自拟并加盖公章</w:t>
      </w:r>
      <w:r>
        <w:rPr>
          <w:rFonts w:hint="eastAsia" w:ascii="宋体" w:hAnsi="宋体" w:eastAsia="宋体" w:cs="Times New Roman"/>
          <w:b w:val="0"/>
          <w:bCs w:val="0"/>
          <w:sz w:val="21"/>
          <w:szCs w:val="21"/>
        </w:rPr>
        <w:t xml:space="preserve">。</w:t>
      </w:r>
      <w:r>
        <w:rPr>
          <w:rFonts w:hint="eastAsia" w:ascii="宋体" w:hAnsi="宋体" w:eastAsia="宋体" w:cs="Times New Roman"/>
          <w:b w:val="0"/>
          <w:sz w:val="21"/>
          <w:szCs w:val="21"/>
        </w:rPr>
      </w:r>
      <w:r/>
    </w:p>
    <w:p>
      <w:pPr>
        <w:pStyle w:val="1276"/>
        <w:spacing w:line="360" w:lineRule="auto"/>
        <w:rPr>
          <w:rFonts w:hint="eastAsia" w:ascii="宋体" w:hAnsi="宋体" w:cs="宋体"/>
          <w:szCs w:val="21"/>
        </w:rPr>
      </w:pPr>
      <w:r>
        <w:rPr>
          <w:rFonts w:hint="eastAsia" w:ascii="宋体" w:hAnsi="宋体" w:cs="宋体"/>
          <w:szCs w:val="21"/>
        </w:rPr>
      </w:r>
      <w:r/>
    </w:p>
    <w:p>
      <w:pPr>
        <w:pStyle w:val="1276"/>
        <w:jc w:val="center"/>
        <w:spacing w:line="360" w:lineRule="auto"/>
        <w:rPr>
          <w:rFonts w:ascii="Arial" w:hAnsi="Arial" w:cs="Arial"/>
          <w:b/>
          <w:sz w:val="28"/>
          <w:szCs w:val="28"/>
        </w:rPr>
        <w:outlineLvl w:val="0"/>
      </w:pPr>
      <w:r/>
      <w:bookmarkStart w:id="551" w:name="_Toc10700"/>
      <w:r/>
      <w:bookmarkStart w:id="552" w:name="_Toc6870"/>
      <w:r>
        <w:rPr>
          <w:rFonts w:ascii="Arial" w:hAnsi="Arial" w:cs="Arial"/>
          <w:b/>
          <w:sz w:val="28"/>
          <w:szCs w:val="28"/>
        </w:rPr>
        <w:t xml:space="preserve">第五章 拟签订的合同文本</w:t>
      </w:r>
      <w:bookmarkEnd w:id="483"/>
      <w:r/>
      <w:bookmarkEnd w:id="491"/>
      <w:r/>
      <w:bookmarkEnd w:id="492"/>
      <w:r/>
      <w:bookmarkEnd w:id="493"/>
      <w:r/>
      <w:bookmarkEnd w:id="494"/>
      <w:r/>
      <w:bookmarkEnd w:id="551"/>
      <w:r/>
      <w:bookmarkEnd w:id="552"/>
      <w:r>
        <w:rPr>
          <w:rFonts w:ascii="Arial" w:hAnsi="Arial" w:cs="Arial"/>
          <w:b/>
          <w:sz w:val="28"/>
          <w:szCs w:val="28"/>
        </w:rPr>
      </w:r>
      <w:r/>
    </w:p>
    <w:p>
      <w:pPr>
        <w:pStyle w:val="1276"/>
        <w:jc w:val="center"/>
        <w:spacing w:line="440" w:lineRule="exact"/>
        <w:rPr>
          <w:rFonts w:ascii="Arial" w:hAnsi="Arial" w:eastAsia="黑体" w:cs="Arial"/>
          <w:b/>
          <w:sz w:val="28"/>
          <w:szCs w:val="28"/>
        </w:rPr>
      </w:pPr>
      <w:r/>
      <w:bookmarkStart w:id="553" w:name="_Toc6085"/>
      <w:r/>
      <w:bookmarkStart w:id="554" w:name="_Toc20823315"/>
      <w:r/>
      <w:bookmarkStart w:id="555" w:name="_Toc513029243"/>
      <w:r/>
      <w:bookmarkStart w:id="556" w:name="_Toc16938559"/>
      <w:r>
        <w:rPr>
          <w:rFonts w:ascii="Arial" w:hAnsi="Arial" w:eastAsia="黑体" w:cs="Arial"/>
          <w:b/>
          <w:sz w:val="28"/>
          <w:szCs w:val="28"/>
        </w:rPr>
        <w:t xml:space="preserve">（参考格式，本合同内容条款在正式签署前可具体补充细化，仅作参考，最终合同以采购人法务审查通过的版本为准）</w:t>
      </w:r>
      <w:bookmarkEnd w:id="553"/>
      <w:r>
        <w:rPr>
          <w:rFonts w:ascii="Arial" w:hAnsi="Arial" w:eastAsia="黑体" w:cs="Arial"/>
          <w:b/>
          <w:sz w:val="28"/>
          <w:szCs w:val="28"/>
        </w:rPr>
      </w:r>
      <w:r/>
    </w:p>
    <w:p>
      <w:pPr>
        <w:pStyle w:val="1276"/>
        <w:jc w:val="center"/>
        <w:rPr>
          <w:rFonts w:ascii="宋体" w:hAnsi="宋体" w:eastAsia="宋体" w:cs="宋体"/>
          <w:sz w:val="52"/>
        </w:rPr>
      </w:pPr>
      <w:r>
        <w:rPr>
          <w:rFonts w:ascii="宋体" w:hAnsi="宋体" w:eastAsia="宋体" w:cs="宋体"/>
          <w:sz w:val="52"/>
        </w:rPr>
      </w:r>
      <w:r/>
    </w:p>
    <w:p>
      <w:pPr>
        <w:pStyle w:val="1276"/>
        <w:jc w:val="center"/>
        <w:rPr>
          <w:rFonts w:ascii="宋体" w:hAnsi="宋体" w:eastAsia="宋体" w:cs="宋体"/>
          <w:sz w:val="52"/>
        </w:rPr>
      </w:pPr>
      <w:r>
        <w:rPr>
          <w:rFonts w:hint="eastAsia" w:ascii="宋体" w:hAnsi="宋体" w:eastAsia="宋体" w:cs="宋体"/>
          <w:sz w:val="52"/>
        </w:rPr>
        <w:t xml:space="preserve">南京市政府采购合同</w:t>
      </w:r>
      <w:r>
        <w:rPr>
          <w:rFonts w:ascii="宋体" w:hAnsi="宋体" w:eastAsia="宋体" w:cs="宋体"/>
          <w:sz w:val="52"/>
        </w:rPr>
      </w:r>
      <w:r/>
    </w:p>
    <w:p>
      <w:pPr>
        <w:pStyle w:val="1276"/>
        <w:ind w:firstLine="1807"/>
        <w:rPr>
          <w:rFonts w:ascii="宋体" w:hAnsi="宋体" w:eastAsia="宋体" w:cs="宋体"/>
          <w:b/>
          <w:sz w:val="36"/>
        </w:rPr>
      </w:pPr>
      <w:r>
        <w:rPr>
          <w:rFonts w:ascii="宋体" w:hAnsi="宋体" w:eastAsia="宋体" w:cs="宋体"/>
          <w:b/>
          <w:sz w:val="36"/>
        </w:rPr>
      </w:r>
      <w:r/>
    </w:p>
    <w:p>
      <w:pPr>
        <w:pStyle w:val="1276"/>
        <w:ind w:firstLine="1807"/>
        <w:rPr>
          <w:rFonts w:ascii="宋体" w:hAnsi="宋体" w:eastAsia="宋体" w:cs="宋体"/>
          <w:b/>
          <w:sz w:val="36"/>
        </w:rPr>
      </w:pPr>
      <w:r>
        <w:rPr>
          <w:rFonts w:ascii="宋体" w:hAnsi="宋体" w:eastAsia="宋体" w:cs="宋体"/>
          <w:b/>
          <w:sz w:val="36"/>
        </w:rPr>
      </w:r>
      <w:r/>
    </w:p>
    <w:p>
      <w:pPr>
        <w:pStyle w:val="1276"/>
        <w:ind w:firstLine="3614"/>
        <w:rPr>
          <w:rFonts w:ascii="宋体" w:hAnsi="宋体" w:eastAsia="宋体" w:cs="宋体"/>
          <w:b/>
          <w:sz w:val="36"/>
        </w:rPr>
      </w:pPr>
      <w:r>
        <w:rPr>
          <w:rFonts w:ascii="宋体" w:hAnsi="宋体" w:eastAsia="宋体" w:cs="宋体"/>
          <w:b/>
          <w:sz w:val="36"/>
        </w:rPr>
      </w:r>
      <w:r/>
    </w:p>
    <w:p>
      <w:pPr>
        <w:pStyle w:val="1276"/>
        <w:ind w:firstLine="1807"/>
        <w:rPr>
          <w:rFonts w:ascii="宋体" w:hAnsi="宋体" w:eastAsia="宋体" w:cs="宋体"/>
          <w:b/>
          <w:sz w:val="36"/>
        </w:rPr>
      </w:pPr>
      <w:r>
        <w:rPr>
          <w:rFonts w:ascii="宋体" w:hAnsi="宋体" w:eastAsia="宋体" w:cs="宋体"/>
          <w:b/>
          <w:sz w:val="36"/>
        </w:rPr>
      </w:r>
      <w:r/>
    </w:p>
    <w:p>
      <w:pPr>
        <w:pStyle w:val="1276"/>
        <w:ind w:firstLine="1807"/>
        <w:rPr>
          <w:rFonts w:ascii="宋体" w:hAnsi="宋体" w:eastAsia="宋体" w:cs="宋体"/>
          <w:b/>
          <w:sz w:val="36"/>
        </w:rPr>
      </w:pPr>
      <w:r>
        <w:rPr>
          <w:rFonts w:ascii="宋体" w:hAnsi="宋体" w:eastAsia="宋体" w:cs="宋体"/>
          <w:b/>
          <w:sz w:val="36"/>
        </w:rPr>
      </w:r>
      <w:r/>
    </w:p>
    <w:p>
      <w:pPr>
        <w:pStyle w:val="1276"/>
        <w:ind w:firstLine="1918"/>
        <w:rPr>
          <w:rFonts w:ascii="宋体" w:hAnsi="宋体" w:eastAsia="宋体" w:cs="宋体"/>
          <w:b/>
          <w:sz w:val="36"/>
        </w:rPr>
      </w:pPr>
      <w:r>
        <w:rPr>
          <w:rFonts w:hint="eastAsia" w:ascii="宋体" w:hAnsi="宋体" w:eastAsia="宋体" w:cs="宋体"/>
          <w:b/>
          <w:sz w:val="36"/>
        </w:rPr>
        <w:t xml:space="preserve">合同编号：</w:t>
      </w:r>
      <w:r>
        <w:rPr>
          <w:rFonts w:ascii="宋体" w:hAnsi="宋体" w:eastAsia="宋体" w:cs="宋体"/>
          <w:b/>
          <w:sz w:val="36"/>
        </w:rPr>
      </w:r>
      <w:r/>
    </w:p>
    <w:p>
      <w:pPr>
        <w:pStyle w:val="1276"/>
        <w:ind w:firstLine="1918"/>
        <w:rPr>
          <w:rFonts w:ascii="宋体" w:hAnsi="宋体" w:eastAsia="宋体" w:cs="宋体"/>
          <w:b/>
          <w:sz w:val="36"/>
          <w:u w:val="single"/>
        </w:rPr>
      </w:pPr>
      <w:r>
        <w:rPr>
          <w:rFonts w:hint="eastAsia" w:ascii="宋体" w:hAnsi="宋体" w:eastAsia="宋体" w:cs="宋体"/>
          <w:b/>
          <w:sz w:val="36"/>
        </w:rPr>
        <w:t xml:space="preserve">项目名称：</w:t>
      </w:r>
      <w:r>
        <w:rPr>
          <w:rFonts w:ascii="宋体" w:hAnsi="宋体" w:eastAsia="宋体" w:cs="宋体"/>
          <w:b/>
          <w:sz w:val="36"/>
          <w:u w:val="single"/>
        </w:rPr>
      </w:r>
      <w:r/>
    </w:p>
    <w:p>
      <w:pPr>
        <w:pStyle w:val="1276"/>
        <w:ind w:firstLine="1918"/>
        <w:rPr>
          <w:rFonts w:ascii="宋体" w:hAnsi="宋体" w:eastAsia="宋体" w:cs="宋体"/>
          <w:b/>
          <w:sz w:val="36"/>
          <w:u w:val="single"/>
        </w:rPr>
      </w:pPr>
      <w:r>
        <w:rPr>
          <w:rFonts w:hint="eastAsia" w:ascii="宋体" w:hAnsi="宋体" w:eastAsia="宋体" w:cs="宋体"/>
          <w:b/>
          <w:sz w:val="36"/>
        </w:rPr>
        <w:t xml:space="preserve">采购人：</w:t>
      </w:r>
      <w:r>
        <w:rPr>
          <w:rFonts w:ascii="宋体" w:hAnsi="宋体" w:eastAsia="宋体" w:cs="宋体"/>
          <w:b/>
          <w:sz w:val="36"/>
          <w:u w:val="single"/>
        </w:rPr>
      </w:r>
      <w:r/>
    </w:p>
    <w:p>
      <w:pPr>
        <w:pStyle w:val="1276"/>
        <w:ind w:firstLine="1916"/>
        <w:rPr>
          <w:rFonts w:ascii="宋体" w:hAnsi="宋体" w:eastAsia="宋体" w:cs="宋体"/>
          <w:b/>
          <w:sz w:val="36"/>
        </w:rPr>
      </w:pPr>
      <w:r>
        <w:rPr>
          <w:rFonts w:hint="eastAsia" w:ascii="宋体" w:hAnsi="宋体" w:eastAsia="宋体" w:cs="宋体"/>
          <w:b/>
          <w:sz w:val="36"/>
        </w:rPr>
        <w:t xml:space="preserve">供应商：</w:t>
      </w:r>
      <w:r>
        <w:rPr>
          <w:rFonts w:ascii="宋体" w:hAnsi="宋体" w:eastAsia="宋体" w:cs="宋体"/>
          <w:b/>
          <w:sz w:val="36"/>
        </w:rPr>
      </w:r>
      <w:r/>
    </w:p>
    <w:p>
      <w:pPr>
        <w:pStyle w:val="1276"/>
        <w:ind w:firstLine="1916"/>
        <w:rPr>
          <w:rFonts w:ascii="宋体" w:hAnsi="宋体" w:eastAsia="宋体" w:cs="宋体"/>
          <w:b/>
          <w:sz w:val="36"/>
        </w:rPr>
      </w:pPr>
      <w:r>
        <w:rPr>
          <w:rFonts w:hint="eastAsia" w:ascii="宋体" w:hAnsi="宋体" w:eastAsia="宋体" w:cs="宋体"/>
          <w:b/>
          <w:sz w:val="36"/>
        </w:rPr>
        <w:t xml:space="preserve">签订日期：</w:t>
      </w:r>
      <w:r>
        <w:rPr>
          <w:rFonts w:ascii="宋体" w:hAnsi="宋体" w:eastAsia="宋体" w:cs="宋体"/>
          <w:b/>
          <w:sz w:val="36"/>
        </w:rPr>
      </w:r>
      <w:r/>
    </w:p>
    <w:p>
      <w:pPr>
        <w:pStyle w:val="1276"/>
        <w:rPr>
          <w:rFonts w:ascii="宋体" w:hAnsi="宋体" w:eastAsia="宋体" w:cs="宋体"/>
          <w:sz w:val="36"/>
        </w:rPr>
      </w:pPr>
      <w:r>
        <w:rPr>
          <w:rFonts w:ascii="宋体" w:hAnsi="宋体" w:eastAsia="宋体" w:cs="宋体"/>
          <w:sz w:val="36"/>
        </w:rPr>
      </w:r>
      <w:r/>
    </w:p>
    <w:p>
      <w:pPr>
        <w:pStyle w:val="1276"/>
        <w:rPr>
          <w:rFonts w:ascii="宋体" w:hAnsi="宋体" w:eastAsia="宋体" w:cs="宋体"/>
          <w:sz w:val="36"/>
        </w:rPr>
      </w:pPr>
      <w:r>
        <w:rPr>
          <w:rFonts w:ascii="宋体" w:hAnsi="宋体" w:eastAsia="宋体" w:cs="宋体"/>
          <w:sz w:val="36"/>
        </w:rPr>
      </w:r>
      <w:r/>
    </w:p>
    <w:p>
      <w:pPr>
        <w:pStyle w:val="1276"/>
        <w:rPr>
          <w:rFonts w:ascii="宋体" w:hAnsi="宋体" w:eastAsia="宋体" w:cs="宋体"/>
          <w:sz w:val="36"/>
        </w:rPr>
      </w:pPr>
      <w:r>
        <w:rPr>
          <w:rFonts w:ascii="宋体" w:hAnsi="宋体" w:eastAsia="宋体" w:cs="宋体"/>
          <w:sz w:val="36"/>
        </w:rPr>
      </w:r>
      <w:r/>
    </w:p>
    <w:p>
      <w:pPr>
        <w:pStyle w:val="1306"/>
        <w:rPr>
          <w:rFonts w:ascii="宋体" w:hAnsi="宋体" w:eastAsia="宋体" w:cs="宋体"/>
          <w:sz w:val="36"/>
        </w:rPr>
      </w:pPr>
      <w:r>
        <w:rPr>
          <w:rFonts w:ascii="宋体" w:hAnsi="宋体" w:eastAsia="宋体" w:cs="宋体"/>
          <w:sz w:val="36"/>
        </w:rPr>
      </w:r>
      <w:r/>
    </w:p>
    <w:p>
      <w:pPr>
        <w:pStyle w:val="1306"/>
        <w:rPr>
          <w:rFonts w:ascii="宋体" w:hAnsi="宋体" w:eastAsia="宋体" w:cs="宋体"/>
          <w:sz w:val="36"/>
        </w:rPr>
      </w:pPr>
      <w:r>
        <w:rPr>
          <w:rFonts w:ascii="宋体" w:hAnsi="宋体" w:eastAsia="宋体" w:cs="宋体"/>
          <w:sz w:val="36"/>
        </w:rPr>
      </w:r>
      <w:r/>
    </w:p>
    <w:p>
      <w:pPr>
        <w:pStyle w:val="1306"/>
        <w:rPr>
          <w:rFonts w:ascii="宋体" w:hAnsi="宋体" w:eastAsia="宋体" w:cs="宋体"/>
          <w:sz w:val="36"/>
        </w:rPr>
      </w:pPr>
      <w:r>
        <w:rPr>
          <w:rFonts w:ascii="宋体" w:hAnsi="宋体" w:eastAsia="宋体" w:cs="宋体"/>
          <w:sz w:val="36"/>
        </w:rPr>
      </w:r>
      <w:r/>
    </w:p>
    <w:p>
      <w:pPr>
        <w:pStyle w:val="1276"/>
        <w:rPr>
          <w:rFonts w:ascii="宋体" w:hAnsi="宋体" w:eastAsia="宋体" w:cs="宋体"/>
          <w:sz w:val="36"/>
        </w:rPr>
      </w:pPr>
      <w:r>
        <w:rPr>
          <w:rFonts w:ascii="宋体" w:hAnsi="宋体" w:eastAsia="宋体" w:cs="宋体"/>
          <w:sz w:val="36"/>
        </w:rPr>
      </w:r>
      <w:r/>
    </w:p>
    <w:tbl>
      <w:tblPr>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rPr>
                <w:rFonts w:ascii="宋体" w:hAnsi="宋体" w:cs="宋体"/>
                <w:sz w:val="21"/>
                <w:szCs w:val="21"/>
              </w:rPr>
            </w:pPr>
            <w:r>
              <w:rPr>
                <w:rFonts w:hint="eastAsia" w:ascii="宋体" w:hAnsi="宋体" w:cs="宋体"/>
                <w:sz w:val="21"/>
                <w:szCs w:val="21"/>
                <w:lang w:bidi="ar"/>
              </w:rPr>
              <w:t xml:space="preserve">采购人（以下</w:t>
            </w:r>
            <w:r>
              <w:rPr>
                <w:rFonts w:hint="eastAsia" w:ascii="宋体" w:hAnsi="宋体" w:cs="宋体"/>
                <w:sz w:val="21"/>
                <w:szCs w:val="21"/>
                <w:lang w:val="en-US" w:eastAsia="zh-CN" w:bidi="ar"/>
              </w:rPr>
              <w:t xml:space="preserve">简</w:t>
            </w:r>
            <w:r>
              <w:rPr>
                <w:rFonts w:hint="eastAsia" w:ascii="宋体" w:hAnsi="宋体" w:cs="宋体"/>
                <w:sz w:val="21"/>
                <w:szCs w:val="21"/>
                <w:lang w:bidi="ar"/>
              </w:rPr>
              <w:t xml:space="preserve">称甲方）：</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rPr>
                <w:rFonts w:ascii="宋体" w:hAnsi="宋体" w:cs="宋体"/>
                <w:sz w:val="21"/>
                <w:szCs w:val="21"/>
              </w:rPr>
            </w:pPr>
            <w:r>
              <w:rPr>
                <w:rFonts w:hint="eastAsia" w:ascii="宋体" w:hAnsi="宋体" w:cs="宋体"/>
                <w:sz w:val="21"/>
                <w:szCs w:val="21"/>
                <w:lang w:bidi="ar"/>
              </w:rPr>
              <w:t xml:space="preserve">中标供应商：（以下</w:t>
            </w:r>
            <w:r>
              <w:rPr>
                <w:rFonts w:hint="eastAsia" w:ascii="宋体" w:hAnsi="宋体" w:cs="宋体"/>
                <w:sz w:val="21"/>
                <w:szCs w:val="21"/>
                <w:lang w:val="en-US" w:eastAsia="zh-CN" w:bidi="ar"/>
              </w:rPr>
              <w:t xml:space="preserve">简</w:t>
            </w:r>
            <w:r>
              <w:rPr>
                <w:rFonts w:hint="eastAsia" w:ascii="宋体" w:hAnsi="宋体" w:cs="宋体"/>
                <w:sz w:val="21"/>
                <w:szCs w:val="21"/>
                <w:lang w:bidi="ar"/>
              </w:rPr>
              <w:t xml:space="preserve">称乙方）</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rPr>
                <w:rFonts w:ascii="宋体" w:hAnsi="宋体" w:cs="宋体"/>
                <w:sz w:val="21"/>
                <w:szCs w:val="21"/>
              </w:rPr>
            </w:pPr>
            <w:r>
              <w:rPr>
                <w:rFonts w:hint="eastAsia" w:ascii="宋体" w:hAnsi="宋体" w:cs="宋体"/>
                <w:sz w:val="21"/>
                <w:szCs w:val="21"/>
                <w:lang w:bidi="ar"/>
              </w:rPr>
              <w:t xml:space="preserve">住所地：</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rPr>
                <w:rFonts w:ascii="宋体" w:hAnsi="宋体" w:cs="宋体"/>
                <w:sz w:val="21"/>
                <w:szCs w:val="21"/>
              </w:rPr>
            </w:pPr>
            <w:r>
              <w:rPr>
                <w:rFonts w:hint="eastAsia" w:ascii="宋体" w:hAnsi="宋体" w:cs="宋体"/>
                <w:sz w:val="21"/>
                <w:szCs w:val="21"/>
                <w:lang w:bidi="ar"/>
              </w:rPr>
              <w:t xml:space="preserve">住所地：</w:t>
            </w:r>
            <w:r>
              <w:rPr>
                <w:rFonts w:ascii="宋体" w:hAnsi="宋体" w:cs="宋体"/>
                <w:sz w:val="21"/>
                <w:szCs w:val="21"/>
              </w:rPr>
            </w:r>
            <w:r/>
          </w:p>
        </w:tc>
      </w:tr>
    </w:tbl>
    <w:p>
      <w:pPr>
        <w:pStyle w:val="1276"/>
        <w:jc w:val="left"/>
        <w:spacing w:line="360" w:lineRule="auto"/>
        <w:rPr>
          <w:rFonts w:ascii="宋体" w:hAnsi="宋体" w:cs="宋体"/>
          <w:szCs w:val="21"/>
        </w:rPr>
      </w:pPr>
      <w:r>
        <w:rPr>
          <w:rFonts w:ascii="宋体" w:hAnsi="宋体" w:cs="宋体"/>
          <w:szCs w:val="21"/>
        </w:rPr>
      </w:r>
      <w:r/>
    </w:p>
    <w:p>
      <w:pPr>
        <w:pStyle w:val="1276"/>
        <w:ind w:firstLine="420"/>
        <w:jc w:val="left"/>
        <w:spacing w:line="360" w:lineRule="auto"/>
        <w:widowControl/>
        <w:rPr>
          <w:rFonts w:ascii="宋体" w:hAnsi="宋体" w:cs="宋体"/>
          <w:sz w:val="21"/>
          <w:szCs w:val="21"/>
        </w:rPr>
      </w:pPr>
      <w:r>
        <w:rPr>
          <w:rFonts w:hint="eastAsia" w:ascii="宋体" w:hAnsi="宋体" w:cs="宋体"/>
          <w:sz w:val="21"/>
          <w:szCs w:val="21"/>
          <w:lang w:bidi="ar"/>
        </w:rPr>
        <w:t xml:space="preserve">根据《中华人民共和国政府采购法》《中华人民共和国民法典》等法律法规的规定，甲乙双方按照</w:t>
      </w:r>
      <w:r>
        <w:rPr>
          <w:rFonts w:hint="eastAsia" w:ascii="宋体" w:hAnsi="宋体" w:eastAsia="宋体" w:cs="宋体"/>
          <w:sz w:val="21"/>
          <w:szCs w:val="21"/>
        </w:rPr>
        <w:t xml:space="preserve">招标结果</w:t>
      </w:r>
      <w:r>
        <w:rPr>
          <w:rFonts w:hint="eastAsia" w:ascii="宋体" w:hAnsi="宋体" w:cs="宋体"/>
          <w:sz w:val="21"/>
          <w:szCs w:val="21"/>
          <w:lang w:bidi="ar"/>
        </w:rPr>
        <w:t xml:space="preserve">签订本合同。</w:t>
      </w:r>
      <w:r>
        <w:rPr>
          <w:rFonts w:ascii="宋体" w:hAnsi="宋体" w:cs="宋体"/>
          <w:sz w:val="21"/>
          <w:szCs w:val="21"/>
        </w:rPr>
      </w:r>
      <w:r/>
    </w:p>
    <w:p>
      <w:pPr>
        <w:pStyle w:val="1276"/>
        <w:ind w:firstLine="422"/>
        <w:spacing w:line="360" w:lineRule="auto"/>
        <w:rPr>
          <w:rFonts w:ascii="宋体" w:hAnsi="宋体" w:cs="宋体"/>
          <w:sz w:val="21"/>
          <w:szCs w:val="21"/>
          <w:u w:val="single"/>
        </w:rPr>
      </w:pPr>
      <w:r>
        <w:rPr>
          <w:rFonts w:hint="eastAsia" w:ascii="宋体" w:hAnsi="宋体" w:cs="宋体"/>
          <w:sz w:val="21"/>
          <w:szCs w:val="21"/>
          <w:lang w:bidi="ar"/>
        </w:rPr>
        <w:t xml:space="preserve">第一条 合同标的 乙方根据甲方要求提供下列服务：</w:t>
      </w:r>
      <w:r>
        <w:rPr>
          <w:rFonts w:hint="eastAsia" w:ascii="宋体" w:hAnsi="宋体" w:cs="宋体"/>
          <w:sz w:val="21"/>
          <w:szCs w:val="21"/>
          <w:u w:val="single"/>
          <w:lang w:bidi="ar"/>
        </w:rPr>
        <w:t xml:space="preserve">                                  </w:t>
      </w:r>
      <w:r>
        <w:rPr>
          <w:rFonts w:ascii="宋体" w:hAnsi="宋体" w:cs="宋体"/>
          <w:sz w:val="21"/>
          <w:szCs w:val="21"/>
          <w:u w:val="single"/>
        </w:rPr>
      </w:r>
      <w:r/>
    </w:p>
    <w:p>
      <w:pPr>
        <w:pStyle w:val="1276"/>
        <w:ind w:firstLine="422"/>
        <w:spacing w:line="360" w:lineRule="auto"/>
        <w:rPr>
          <w:rFonts w:ascii="宋体" w:hAnsi="宋体" w:cs="宋体"/>
          <w:sz w:val="21"/>
          <w:szCs w:val="21"/>
        </w:rPr>
      </w:pPr>
      <w:r>
        <w:rPr>
          <w:rFonts w:hint="eastAsia" w:ascii="宋体" w:hAnsi="宋体" w:cs="宋体"/>
          <w:sz w:val="21"/>
          <w:szCs w:val="21"/>
          <w:lang w:bidi="ar"/>
        </w:rPr>
        <w:t xml:space="preserve">服务内容详见乙方响应性文件等。</w:t>
      </w:r>
      <w:r>
        <w:rPr>
          <w:rFonts w:ascii="宋体" w:hAnsi="宋体" w:cs="宋体"/>
          <w:sz w:val="21"/>
          <w:szCs w:val="21"/>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第二条 合同总价款</w:t>
      </w:r>
      <w:r>
        <w:rPr>
          <w:rFonts w:ascii="宋体" w:hAnsi="宋体" w:cs="宋体"/>
          <w:sz w:val="21"/>
          <w:szCs w:val="21"/>
          <w:lang w:bidi="ar"/>
        </w:rPr>
      </w:r>
      <w:r/>
    </w:p>
    <w:p>
      <w:pPr>
        <w:pStyle w:val="1276"/>
        <w:ind w:firstLine="420"/>
        <w:jc w:val="left"/>
        <w:spacing w:line="360" w:lineRule="auto"/>
        <w:rPr>
          <w:b/>
          <w:color w:val="000000"/>
          <w:sz w:val="21"/>
          <w:szCs w:val="21"/>
        </w:rPr>
      </w:pPr>
      <w:r>
        <w:rPr>
          <w:rFonts w:hint="eastAsia"/>
          <w:bCs/>
          <w:color w:val="000000"/>
          <w:sz w:val="21"/>
          <w:szCs w:val="21"/>
        </w:rPr>
        <w:t xml:space="preserve">1、</w:t>
      </w:r>
      <w:r>
        <w:rPr>
          <w:bCs/>
          <w:color w:val="000000"/>
          <w:sz w:val="21"/>
          <w:szCs w:val="21"/>
        </w:rPr>
        <w:t xml:space="preserve">乙方在本项目的</w:t>
      </w:r>
      <w:r>
        <w:rPr>
          <w:rFonts w:hint="eastAsia"/>
          <w:bCs/>
          <w:color w:val="000000"/>
          <w:sz w:val="21"/>
          <w:szCs w:val="21"/>
          <w:lang w:val="en-US" w:eastAsia="zh-CN"/>
        </w:rPr>
        <w:t xml:space="preserve">优惠率</w:t>
      </w:r>
      <w:r>
        <w:rPr>
          <w:bCs/>
          <w:color w:val="000000"/>
          <w:sz w:val="21"/>
          <w:szCs w:val="21"/>
        </w:rPr>
        <w:t xml:space="preserve">为</w:t>
      </w:r>
      <w:r>
        <w:rPr>
          <w:bCs/>
          <w:color w:val="000000"/>
          <w:sz w:val="21"/>
          <w:szCs w:val="21"/>
          <w:u w:val="single"/>
        </w:rPr>
        <w:t xml:space="preserve">      </w:t>
      </w:r>
      <w:r>
        <w:rPr>
          <w:bCs/>
          <w:color w:val="000000"/>
          <w:sz w:val="21"/>
          <w:szCs w:val="21"/>
        </w:rPr>
        <w:t xml:space="preserve">%。</w:t>
      </w:r>
      <w:r>
        <w:rPr>
          <w:b/>
          <w:color w:val="000000"/>
          <w:sz w:val="21"/>
          <w:szCs w:val="21"/>
        </w:rPr>
        <w:t xml:space="preserve">实际供货价格=基准价*</w:t>
      </w:r>
      <w:r>
        <w:rPr>
          <w:rFonts w:hint="eastAsia"/>
          <w:b/>
          <w:color w:val="000000"/>
          <w:sz w:val="21"/>
          <w:szCs w:val="21"/>
          <w:lang w:eastAsia="zh-CN"/>
        </w:rPr>
        <w:t xml:space="preserve">（</w:t>
      </w:r>
      <w:r>
        <w:rPr>
          <w:rFonts w:hint="eastAsia"/>
          <w:b/>
          <w:color w:val="000000"/>
          <w:sz w:val="21"/>
          <w:szCs w:val="21"/>
          <w:lang w:val="en-US" w:eastAsia="zh-CN"/>
        </w:rPr>
        <w:t xml:space="preserve">1-优惠率</w:t>
      </w:r>
      <w:r>
        <w:rPr>
          <w:rFonts w:hint="eastAsia"/>
          <w:b/>
          <w:color w:val="000000"/>
          <w:sz w:val="21"/>
          <w:szCs w:val="21"/>
          <w:lang w:eastAsia="zh-CN"/>
        </w:rPr>
        <w:t xml:space="preserve">）</w:t>
      </w:r>
      <w:r>
        <w:rPr>
          <w:b/>
          <w:color w:val="000000"/>
          <w:sz w:val="21"/>
          <w:szCs w:val="21"/>
        </w:rPr>
        <w:t xml:space="preserve">。</w:t>
      </w:r>
      <w:r>
        <w:rPr>
          <w:rFonts w:hint="eastAsia"/>
          <w:b/>
          <w:color w:val="000000"/>
          <w:sz w:val="21"/>
          <w:szCs w:val="21"/>
          <w:lang w:val="en-US" w:eastAsia="zh-CN"/>
        </w:rPr>
        <w:t xml:space="preserve">优惠率</w:t>
      </w:r>
      <w:r>
        <w:rPr>
          <w:b/>
          <w:color w:val="000000"/>
          <w:sz w:val="21"/>
          <w:szCs w:val="21"/>
        </w:rPr>
        <w:t xml:space="preserve">在合同执行期间固定不变。</w:t>
      </w:r>
      <w:r>
        <w:rPr>
          <w:rFonts w:ascii="Times New Roman" w:hAnsi="Times New Roman" w:eastAsia="宋体" w:cs="Times New Roman"/>
          <w:b w:val="0"/>
          <w:bCs/>
          <w:color w:val="000000"/>
          <w:sz w:val="21"/>
          <w:szCs w:val="21"/>
          <w:lang w:val="en-US" w:eastAsia="zh-CN"/>
        </w:rPr>
        <w:t xml:space="preserve">按照</w:t>
      </w:r>
      <w:r>
        <w:rPr>
          <w:rFonts w:ascii="Times New Roman" w:hAnsi="Times New Roman" w:eastAsia="宋体" w:cs="Times New Roman"/>
          <w:bCs/>
          <w:color w:val="000000"/>
          <w:szCs w:val="21"/>
        </w:rPr>
        <w:t xml:space="preserve">“</w:t>
      </w:r>
      <w:r>
        <w:rPr>
          <w:rFonts w:hint="eastAsia" w:ascii="宋体" w:hAnsi="宋体" w:cs="宋体"/>
          <w:color w:val="000000"/>
          <w:szCs w:val="21"/>
          <w:lang w:val="zh-CN"/>
        </w:rPr>
        <w:t xml:space="preserve">南京市发展和改革委员会</w:t>
      </w:r>
      <w:r>
        <w:rPr>
          <w:rFonts w:hint="eastAsia" w:ascii="宋体" w:hAnsi="宋体" w:cs="宋体"/>
          <w:color w:val="000000"/>
          <w:szCs w:val="21"/>
        </w:rPr>
        <w:t xml:space="preserve">”</w:t>
      </w:r>
      <w:r>
        <w:rPr>
          <w:rFonts w:hint="eastAsia" w:ascii="宋体" w:hAnsi="宋体" w:cs="宋体"/>
          <w:color w:val="000000"/>
          <w:szCs w:val="21"/>
          <w:lang w:val="zh-CN"/>
        </w:rPr>
        <w:t xml:space="preserve">中所列食材基准单价进行确定</w:t>
      </w:r>
      <w:r>
        <w:rPr>
          <w:rFonts w:hint="eastAsia" w:ascii="宋体" w:hAnsi="宋体" w:cs="宋体"/>
          <w:color w:val="000000"/>
          <w:szCs w:val="21"/>
        </w:rPr>
        <w:t xml:space="preserve">（如遇休息日或当天官网未发布价格动态的，则相应向后推至最近的一个价格公布日）</w:t>
      </w:r>
      <w:r>
        <w:rPr>
          <w:rFonts w:hint="eastAsia" w:ascii="宋体" w:hAnsi="宋体" w:cs="宋体"/>
          <w:color w:val="000000"/>
          <w:szCs w:val="21"/>
          <w:lang w:val="zh-CN"/>
        </w:rPr>
        <w:t xml:space="preserve">。</w:t>
      </w:r>
      <w:r>
        <w:rPr>
          <w:rFonts w:hint="eastAsia" w:ascii="宋体" w:hAnsi="宋体" w:cs="宋体"/>
          <w:color w:val="000000"/>
          <w:szCs w:val="21"/>
          <w:lang w:val="en-US" w:eastAsia="zh-CN"/>
        </w:rPr>
        <w:t xml:space="preserve">如南京市发展和改革委员会食材种类不全，则以大润发超市（瑞金店）、尚书巷菜市场、红跑车（瑞金新村店）同类同质同品牌的食材零售价格为准。</w:t>
      </w:r>
      <w:r>
        <w:rPr>
          <w:b/>
          <w:color w:val="000000"/>
          <w:sz w:val="21"/>
          <w:szCs w:val="21"/>
        </w:rPr>
      </w:r>
      <w:r/>
    </w:p>
    <w:p>
      <w:pPr>
        <w:pStyle w:val="1276"/>
        <w:ind w:firstLine="480"/>
        <w:spacing w:line="360" w:lineRule="auto"/>
        <w:rPr>
          <w:bCs/>
          <w:sz w:val="21"/>
          <w:szCs w:val="21"/>
        </w:rPr>
      </w:pPr>
      <w:r>
        <w:rPr>
          <w:bCs/>
          <w:sz w:val="21"/>
          <w:szCs w:val="21"/>
        </w:rPr>
        <w:t xml:space="preserve">2、</w:t>
      </w:r>
      <w:r>
        <w:rPr>
          <w:rFonts w:hint="eastAsia"/>
          <w:bCs/>
          <w:sz w:val="21"/>
          <w:szCs w:val="21"/>
        </w:rPr>
        <w:t xml:space="preserve">如遇个别品种价格波动幅度较大时，</w:t>
      </w:r>
      <w:r>
        <w:rPr>
          <w:rFonts w:hint="eastAsia"/>
          <w:bCs/>
          <w:sz w:val="21"/>
          <w:szCs w:val="21"/>
          <w:lang w:val="en-US" w:eastAsia="zh-CN"/>
        </w:rPr>
        <w:t xml:space="preserve">乙方</w:t>
      </w:r>
      <w:r>
        <w:rPr>
          <w:rFonts w:hint="eastAsia"/>
          <w:bCs/>
          <w:sz w:val="21"/>
          <w:szCs w:val="21"/>
        </w:rPr>
        <w:t xml:space="preserve">应事先书面通知</w:t>
      </w:r>
      <w:r>
        <w:rPr>
          <w:rFonts w:hint="eastAsia"/>
          <w:bCs/>
          <w:sz w:val="21"/>
          <w:szCs w:val="21"/>
          <w:lang w:val="en-US" w:eastAsia="zh-CN"/>
        </w:rPr>
        <w:t xml:space="preserve">甲方</w:t>
      </w:r>
      <w:r>
        <w:rPr>
          <w:rFonts w:hint="eastAsia"/>
          <w:bCs/>
          <w:sz w:val="21"/>
          <w:szCs w:val="21"/>
        </w:rPr>
        <w:t xml:space="preserve">，</w:t>
      </w:r>
      <w:r>
        <w:rPr>
          <w:rFonts w:hint="eastAsia"/>
          <w:bCs/>
          <w:sz w:val="21"/>
          <w:szCs w:val="21"/>
          <w:lang w:val="en-US" w:eastAsia="zh-CN"/>
        </w:rPr>
        <w:t xml:space="preserve">甲方书面</w:t>
      </w:r>
      <w:r>
        <w:rPr>
          <w:rFonts w:hint="eastAsia"/>
          <w:bCs/>
          <w:sz w:val="21"/>
          <w:szCs w:val="21"/>
        </w:rPr>
        <w:t xml:space="preserve">确认后方可调整。</w:t>
      </w:r>
      <w:r>
        <w:rPr>
          <w:bCs/>
          <w:sz w:val="21"/>
          <w:szCs w:val="21"/>
        </w:rPr>
      </w:r>
      <w:r/>
    </w:p>
    <w:p>
      <w:pPr>
        <w:pStyle w:val="1276"/>
        <w:ind w:firstLine="480"/>
        <w:spacing w:line="360" w:lineRule="auto"/>
        <w:widowControl/>
        <w:rPr>
          <w:bCs/>
          <w:sz w:val="21"/>
          <w:szCs w:val="21"/>
        </w:rPr>
      </w:pPr>
      <w:r>
        <w:rPr>
          <w:rFonts w:hint="eastAsia"/>
          <w:bCs/>
          <w:sz w:val="21"/>
          <w:szCs w:val="21"/>
        </w:rPr>
        <w:t xml:space="preserve">乙方在供货过程中，供货商品价格每周一核。如遇所供食品市场价格上下波动在</w:t>
      </w:r>
      <w:r>
        <w:rPr>
          <w:bCs/>
          <w:sz w:val="21"/>
          <w:szCs w:val="21"/>
        </w:rPr>
        <w:t xml:space="preserve">10%</w:t>
      </w:r>
      <w:r>
        <w:rPr>
          <w:rFonts w:hint="eastAsia"/>
          <w:bCs/>
          <w:sz w:val="21"/>
          <w:szCs w:val="21"/>
        </w:rPr>
        <w:t xml:space="preserve">范围内，其价格不做调整，互相承担风险；超过约定范围，由乙方提出书面申请，待甲方市场调研零售价格是否下调为依据，确定属实并按规定办理相关审批手续后调整进货价。如遇市场价格下浮超过约定范围，而乙方没有以书面形式通知甲方将供货价格调整，结算时执行为调整前价格。</w:t>
      </w:r>
      <w:r>
        <w:rPr>
          <w:bCs/>
          <w:sz w:val="21"/>
          <w:szCs w:val="21"/>
        </w:rPr>
      </w:r>
      <w:r/>
    </w:p>
    <w:p>
      <w:pPr>
        <w:pStyle w:val="1276"/>
        <w:numPr>
          <w:ilvl w:val="0"/>
          <w:numId w:val="3"/>
        </w:numPr>
        <w:ind w:firstLine="480"/>
        <w:jc w:val="left"/>
        <w:spacing w:line="360" w:lineRule="auto"/>
        <w:widowControl/>
        <w:rPr>
          <w:bCs/>
          <w:sz w:val="21"/>
          <w:szCs w:val="21"/>
        </w:rPr>
      </w:pPr>
      <w:r>
        <w:rPr>
          <w:rFonts w:hint="eastAsia"/>
          <w:bCs/>
          <w:sz w:val="21"/>
          <w:szCs w:val="21"/>
        </w:rPr>
        <w:t xml:space="preserve">本合同总价款是完成本项目所发生的所有含税费用、支付给员工的工资和国家强制缴纳的各种社会保障资金，以及供应商认为需要的其他费用等。除此之外，甲方不再另行支付任何费用。</w:t>
      </w:r>
      <w:r>
        <w:rPr>
          <w:bCs/>
          <w:sz w:val="21"/>
          <w:szCs w:val="21"/>
        </w:rPr>
      </w:r>
      <w:r/>
    </w:p>
    <w:p>
      <w:pPr>
        <w:pStyle w:val="1276"/>
        <w:numPr>
          <w:ilvl w:val="0"/>
          <w:numId w:val="3"/>
        </w:numPr>
        <w:ind w:firstLine="480"/>
        <w:jc w:val="left"/>
        <w:widowControl/>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本合同执行期间折扣系数不变，费用按实结算。</w:t>
      </w:r>
      <w:r>
        <w:rPr>
          <w:rFonts w:hint="eastAsia" w:ascii="Times New Roman" w:hAnsi="Times New Roman" w:eastAsia="宋体" w:cs="Times New Roman"/>
          <w:bCs/>
          <w:sz w:val="21"/>
          <w:szCs w:val="21"/>
        </w:rPr>
      </w:r>
      <w:r/>
    </w:p>
    <w:p>
      <w:pPr>
        <w:pStyle w:val="1276"/>
        <w:ind w:firstLine="480"/>
        <w:spacing w:line="360" w:lineRule="auto"/>
        <w:rPr>
          <w:rFonts w:ascii="宋体" w:hAnsi="宋体" w:cs="宋体"/>
          <w:sz w:val="21"/>
          <w:szCs w:val="21"/>
          <w:lang w:bidi="ar"/>
        </w:rPr>
      </w:pPr>
      <w:r>
        <w:rPr>
          <w:rFonts w:hint="eastAsia" w:ascii="宋体" w:hAnsi="宋体" w:cs="宋体"/>
          <w:bCs/>
          <w:sz w:val="21"/>
          <w:szCs w:val="21"/>
          <w:lang w:bidi="ar"/>
        </w:rPr>
        <w:t xml:space="preserve">第三条 组成本合同的有关文件</w:t>
      </w:r>
      <w:r>
        <w:rPr>
          <w:rFonts w:hint="eastAsia" w:ascii="宋体" w:hAnsi="宋体" w:cs="宋体"/>
          <w:sz w:val="21"/>
          <w:szCs w:val="21"/>
          <w:lang w:bidi="ar"/>
        </w:rPr>
        <w:t xml:space="preserve">  </w:t>
      </w:r>
      <w:r>
        <w:rPr>
          <w:rFonts w:ascii="宋体" w:hAnsi="宋体" w:cs="宋体"/>
          <w:sz w:val="21"/>
          <w:szCs w:val="21"/>
          <w:lang w:bidi="ar"/>
        </w:rPr>
      </w:r>
      <w:r/>
    </w:p>
    <w:p>
      <w:pPr>
        <w:pStyle w:val="1276"/>
        <w:ind w:firstLine="480"/>
        <w:spacing w:line="360" w:lineRule="auto"/>
        <w:rPr>
          <w:rFonts w:ascii="宋体" w:hAnsi="宋体" w:cs="宋体"/>
          <w:sz w:val="21"/>
          <w:szCs w:val="21"/>
          <w:lang w:bidi="ar"/>
        </w:rPr>
      </w:pPr>
      <w:r>
        <w:rPr>
          <w:rFonts w:hint="eastAsia" w:ascii="宋体" w:hAnsi="宋体" w:cs="宋体"/>
          <w:sz w:val="21"/>
          <w:szCs w:val="21"/>
          <w:lang w:bidi="ar"/>
        </w:rPr>
        <w:t xml:space="preserve">下列关于本项目的采购文件和有关附件是本合同不可分割的组成部分，与本合同具有同等法律效力。</w:t>
      </w:r>
      <w:r>
        <w:rPr>
          <w:rFonts w:ascii="宋体" w:hAnsi="宋体" w:cs="宋体"/>
          <w:sz w:val="21"/>
          <w:szCs w:val="21"/>
          <w:lang w:bidi="ar"/>
        </w:rPr>
      </w:r>
      <w:r/>
    </w:p>
    <w:p>
      <w:pPr>
        <w:pStyle w:val="1276"/>
        <w:ind w:firstLine="480"/>
        <w:spacing w:line="360" w:lineRule="auto"/>
        <w:rPr>
          <w:rFonts w:ascii="宋体" w:hAnsi="宋体" w:cs="宋体"/>
          <w:sz w:val="21"/>
          <w:szCs w:val="21"/>
          <w:lang w:bidi="ar"/>
        </w:rPr>
      </w:pPr>
      <w:r>
        <w:rPr>
          <w:rFonts w:hint="eastAsia" w:ascii="宋体" w:hAnsi="宋体" w:cs="宋体"/>
          <w:sz w:val="21"/>
          <w:szCs w:val="21"/>
          <w:lang w:bidi="ar"/>
        </w:rPr>
        <w:t xml:space="preserve">1、乙方提供的响应文件和响应文件价格部分；</w:t>
      </w:r>
      <w:r>
        <w:rPr>
          <w:rFonts w:ascii="宋体" w:hAnsi="宋体" w:cs="宋体"/>
          <w:sz w:val="21"/>
          <w:szCs w:val="21"/>
          <w:lang w:bidi="ar"/>
        </w:rPr>
      </w:r>
      <w:r/>
    </w:p>
    <w:p>
      <w:pPr>
        <w:pStyle w:val="1276"/>
        <w:ind w:firstLine="480"/>
        <w:spacing w:line="360" w:lineRule="auto"/>
        <w:rPr>
          <w:rFonts w:ascii="宋体" w:hAnsi="宋体" w:cs="宋体"/>
          <w:sz w:val="21"/>
          <w:szCs w:val="21"/>
          <w:lang w:bidi="ar"/>
        </w:rPr>
      </w:pPr>
      <w:r>
        <w:rPr>
          <w:rFonts w:hint="eastAsia" w:ascii="宋体" w:hAnsi="宋体" w:cs="宋体"/>
          <w:sz w:val="21"/>
          <w:szCs w:val="21"/>
          <w:lang w:bidi="ar"/>
        </w:rPr>
        <w:t xml:space="preserve">2、技术条款偏离表；</w:t>
      </w:r>
      <w:r>
        <w:rPr>
          <w:rFonts w:ascii="宋体" w:hAnsi="宋体" w:cs="宋体"/>
          <w:sz w:val="21"/>
          <w:szCs w:val="21"/>
          <w:lang w:bidi="ar"/>
        </w:rPr>
      </w:r>
      <w:r/>
    </w:p>
    <w:p>
      <w:pPr>
        <w:pStyle w:val="1276"/>
        <w:ind w:firstLine="480"/>
        <w:spacing w:line="360" w:lineRule="auto"/>
        <w:rPr>
          <w:rFonts w:ascii="宋体" w:hAnsi="宋体" w:cs="宋体"/>
          <w:sz w:val="21"/>
          <w:szCs w:val="21"/>
          <w:lang w:bidi="ar"/>
        </w:rPr>
      </w:pPr>
      <w:r>
        <w:rPr>
          <w:rFonts w:hint="eastAsia" w:ascii="宋体" w:hAnsi="宋体" w:cs="宋体"/>
          <w:sz w:val="21"/>
          <w:szCs w:val="21"/>
          <w:lang w:bidi="ar"/>
        </w:rPr>
        <w:t xml:space="preserve">3、投标承诺/服务承诺；</w:t>
      </w:r>
      <w:r>
        <w:rPr>
          <w:rFonts w:ascii="宋体" w:hAnsi="宋体" w:cs="宋体"/>
          <w:sz w:val="21"/>
          <w:szCs w:val="21"/>
          <w:lang w:bidi="ar"/>
        </w:rPr>
      </w:r>
      <w:r/>
    </w:p>
    <w:p>
      <w:pPr>
        <w:pStyle w:val="1276"/>
        <w:ind w:firstLine="480"/>
        <w:spacing w:line="360" w:lineRule="auto"/>
        <w:rPr>
          <w:rFonts w:ascii="宋体" w:hAnsi="宋体" w:cs="宋体"/>
          <w:sz w:val="21"/>
          <w:szCs w:val="21"/>
          <w:lang w:bidi="ar"/>
        </w:rPr>
      </w:pPr>
      <w:r>
        <w:rPr>
          <w:rFonts w:hint="eastAsia" w:ascii="宋体" w:hAnsi="宋体" w:cs="宋体"/>
          <w:sz w:val="21"/>
          <w:szCs w:val="21"/>
          <w:lang w:bidi="ar"/>
        </w:rPr>
        <w:t xml:space="preserve">4、成交通知书；</w:t>
      </w:r>
      <w:r>
        <w:rPr>
          <w:rFonts w:ascii="宋体" w:hAnsi="宋体" w:cs="宋体"/>
          <w:sz w:val="21"/>
          <w:szCs w:val="21"/>
          <w:lang w:bidi="ar"/>
        </w:rPr>
      </w:r>
      <w:r/>
    </w:p>
    <w:p>
      <w:pPr>
        <w:pStyle w:val="1276"/>
        <w:ind w:firstLine="480"/>
        <w:spacing w:line="360" w:lineRule="auto"/>
        <w:rPr>
          <w:rFonts w:ascii="宋体" w:hAnsi="宋体" w:cs="宋体"/>
          <w:sz w:val="21"/>
          <w:szCs w:val="21"/>
        </w:rPr>
      </w:pPr>
      <w:r>
        <w:rPr>
          <w:rFonts w:hint="eastAsia" w:ascii="宋体" w:hAnsi="宋体" w:cs="宋体"/>
          <w:sz w:val="21"/>
          <w:szCs w:val="21"/>
          <w:lang w:bidi="ar"/>
        </w:rPr>
        <w:t xml:space="preserve">5、甲乙双方商定的其他文件。</w:t>
      </w:r>
      <w:r>
        <w:rPr>
          <w:rFonts w:ascii="宋体" w:hAnsi="宋体" w:cs="宋体"/>
          <w:sz w:val="21"/>
          <w:szCs w:val="21"/>
        </w:rPr>
      </w:r>
      <w:r/>
    </w:p>
    <w:p>
      <w:pPr>
        <w:pStyle w:val="1276"/>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第四条 权利保证</w:t>
      </w:r>
      <w:r>
        <w:rPr>
          <w:rFonts w:ascii="宋体" w:hAnsi="宋体" w:cs="宋体"/>
          <w:bCs/>
          <w:sz w:val="21"/>
          <w:szCs w:val="21"/>
        </w:rPr>
      </w:r>
      <w:r/>
    </w:p>
    <w:p>
      <w:pPr>
        <w:pStyle w:val="1276"/>
        <w:ind w:firstLine="420"/>
        <w:jc w:val="left"/>
        <w:spacing w:line="360" w:lineRule="auto"/>
        <w:rPr>
          <w:rFonts w:hint="eastAsia" w:ascii="宋体" w:hAnsi="宋体" w:cs="宋体"/>
          <w:sz w:val="21"/>
          <w:szCs w:val="21"/>
          <w:lang w:bidi="ar"/>
        </w:rPr>
      </w:pPr>
      <w:r>
        <w:rPr>
          <w:rFonts w:hint="eastAsia" w:ascii="宋体" w:hAnsi="宋体" w:cs="宋体"/>
          <w:sz w:val="21"/>
          <w:szCs w:val="21"/>
          <w:lang w:val="en-US" w:eastAsia="zh-CN" w:bidi="ar"/>
        </w:rPr>
        <w:t xml:space="preserve">1、</w:t>
      </w:r>
      <w:r>
        <w:rPr>
          <w:rFonts w:hint="eastAsia" w:ascii="宋体" w:hAnsi="宋体" w:cs="宋体"/>
          <w:sz w:val="21"/>
          <w:szCs w:val="21"/>
          <w:lang w:bidi="ar"/>
        </w:rPr>
        <w:t xml:space="preserve">乙方应保证为甲方提供货物和服务任何一部分时不受第三方提出侵犯其专利权、版权、商标权或其他权利的起诉。一旦出现侵权，乙方应承担全部责任并负责消除对甲方的不利影响，如甲方因此承担了任何责任（包括但不限于赔偿费、诉讼费、律师费、差旅费等），有权向乙方全额追偿。</w:t>
      </w:r>
      <w:r>
        <w:rPr>
          <w:rFonts w:hint="eastAsia" w:ascii="宋体" w:hAnsi="宋体" w:cs="宋体"/>
          <w:sz w:val="21"/>
          <w:szCs w:val="21"/>
          <w:lang w:bidi="ar"/>
        </w:rPr>
      </w:r>
      <w:r/>
    </w:p>
    <w:p>
      <w:pPr>
        <w:pStyle w:val="1276"/>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如因乙方供应食材给甲方或者实际使用人</w:t>
      </w:r>
      <w:r>
        <w:rPr>
          <w:rFonts w:hint="eastAsia" w:ascii="宋体" w:hAnsi="宋体" w:eastAsia="宋体"/>
          <w:color w:val="000000"/>
          <w:sz w:val="21"/>
          <w:szCs w:val="21"/>
        </w:rPr>
        <w:t xml:space="preserve">（</w:t>
      </w:r>
      <w:r>
        <w:rPr>
          <w:rFonts w:ascii="宋体" w:hAnsi="宋体" w:eastAsia="宋体"/>
          <w:color w:val="000000"/>
          <w:sz w:val="21"/>
          <w:szCs w:val="21"/>
        </w:rPr>
        <w:t xml:space="preserve">运动员和教职工</w:t>
      </w:r>
      <w:r>
        <w:rPr>
          <w:rFonts w:hint="eastAsia" w:ascii="宋体" w:hAnsi="宋体" w:eastAsia="宋体"/>
          <w:color w:val="000000"/>
          <w:sz w:val="21"/>
          <w:szCs w:val="21"/>
        </w:rPr>
        <w:t xml:space="preserve">）</w:t>
      </w:r>
      <w:r>
        <w:rPr>
          <w:rFonts w:ascii="宋体" w:hAnsi="宋体" w:eastAsia="宋体"/>
          <w:color w:val="000000"/>
          <w:sz w:val="21"/>
          <w:szCs w:val="21"/>
        </w:rPr>
        <w:t xml:space="preserve">造成任何人身和财产损害，乙方应承担全部责任并负责消除对甲方的不利影响，如甲方因此承担了任何责任，有权向乙方全额追偿</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包括但不限于实际损失、诉讼费、保全担保费、律师费、差旅费等</w:t>
      </w:r>
      <w:r>
        <w:rPr>
          <w:rFonts w:hint="eastAsia" w:ascii="宋体" w:hAnsi="宋体"/>
          <w:color w:val="000000"/>
          <w:sz w:val="21"/>
          <w:szCs w:val="21"/>
          <w:lang w:eastAsia="zh-CN"/>
        </w:rPr>
        <w:t xml:space="preserve">）</w:t>
      </w:r>
      <w:r>
        <w:rPr>
          <w:rFonts w:ascii="宋体" w:hAnsi="宋体" w:eastAsia="宋体"/>
          <w:color w:val="000000"/>
          <w:sz w:val="21"/>
          <w:szCs w:val="21"/>
        </w:rPr>
        <w:t xml:space="preserve">。</w:t>
      </w:r>
      <w:r>
        <w:rPr>
          <w:rFonts w:ascii="宋体" w:hAnsi="宋体" w:eastAsia="宋体"/>
          <w:color w:val="000000"/>
          <w:sz w:val="21"/>
          <w:szCs w:val="21"/>
        </w:rPr>
      </w:r>
      <w:r/>
    </w:p>
    <w:p>
      <w:pPr>
        <w:pStyle w:val="1276"/>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3、乙方应</w:t>
      </w:r>
      <w:r>
        <w:rPr>
          <w:rFonts w:ascii="宋体" w:hAnsi="宋体" w:eastAsia="宋体"/>
          <w:color w:val="000000"/>
          <w:sz w:val="21"/>
          <w:szCs w:val="21"/>
        </w:rPr>
        <w:t xml:space="preserve">对照</w:t>
      </w:r>
      <w:r>
        <w:rPr>
          <w:rFonts w:hint="eastAsia" w:ascii="宋体" w:hAnsi="宋体" w:eastAsia="宋体"/>
          <w:color w:val="000000"/>
          <w:sz w:val="21"/>
          <w:szCs w:val="21"/>
        </w:rPr>
        <w:t xml:space="preserve">《体育总局反兴奋剂中心关于印发世界反兴奋剂机构 </w:t>
      </w:r>
      <w:r>
        <w:rPr>
          <w:rFonts w:hint="eastAsia" w:ascii="宋体" w:hAnsi="宋体"/>
          <w:color w:val="000000"/>
          <w:sz w:val="21"/>
          <w:szCs w:val="21"/>
          <w:lang w:val="en-US" w:eastAsia="zh-CN"/>
        </w:rPr>
        <w:t xml:space="preserve">&lt;</w:t>
      </w:r>
      <w:r>
        <w:rPr>
          <w:rFonts w:hint="eastAsia" w:ascii="宋体" w:hAnsi="宋体" w:eastAsia="宋体"/>
          <w:color w:val="000000"/>
          <w:sz w:val="21"/>
          <w:szCs w:val="21"/>
        </w:rPr>
        <w:t xml:space="preserve">2026年禁用清单国际标准</w:t>
      </w:r>
      <w:r>
        <w:rPr>
          <w:rFonts w:hint="eastAsia" w:ascii="宋体" w:hAnsi="宋体"/>
          <w:color w:val="000000"/>
          <w:sz w:val="21"/>
          <w:szCs w:val="21"/>
          <w:lang w:val="en-US" w:eastAsia="zh-CN"/>
        </w:rPr>
        <w:t xml:space="preserve">&gt;</w:t>
      </w:r>
      <w:r>
        <w:rPr>
          <w:rFonts w:hint="eastAsia" w:ascii="宋体" w:hAnsi="宋体" w:eastAsia="宋体"/>
          <w:color w:val="000000"/>
          <w:sz w:val="21"/>
          <w:szCs w:val="21"/>
        </w:rPr>
        <w:t xml:space="preserve">中文稿的通知》</w:t>
      </w:r>
      <w:r>
        <w:rPr>
          <w:rFonts w:ascii="宋体" w:hAnsi="宋体" w:eastAsia="宋体"/>
          <w:color w:val="000000"/>
          <w:sz w:val="21"/>
          <w:szCs w:val="21"/>
        </w:rPr>
        <w:t xml:space="preserve">文号中的禁用清单，并依法承诺所供产品无禁用清单中所列明的兴奋剂化学成分。</w:t>
      </w:r>
      <w:r>
        <w:rPr>
          <w:rFonts w:ascii="宋体" w:hAnsi="宋体" w:eastAsia="宋体"/>
          <w:color w:val="000000"/>
          <w:sz w:val="21"/>
          <w:szCs w:val="21"/>
        </w:rPr>
      </w:r>
      <w:r/>
    </w:p>
    <w:p>
      <w:pPr>
        <w:pStyle w:val="1276"/>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由于世界反兴奋剂机构出具的国际禁用清单不定期更新，</w:t>
      </w:r>
      <w:r>
        <w:rPr>
          <w:rFonts w:hint="eastAsia" w:ascii="宋体" w:hAnsi="宋体" w:eastAsia="宋体"/>
          <w:color w:val="000000"/>
          <w:sz w:val="21"/>
          <w:szCs w:val="21"/>
        </w:rPr>
        <w:t xml:space="preserve">乙方</w:t>
      </w:r>
      <w:r>
        <w:rPr>
          <w:rFonts w:ascii="宋体" w:hAnsi="宋体" w:eastAsia="宋体"/>
          <w:color w:val="000000"/>
          <w:sz w:val="21"/>
          <w:szCs w:val="21"/>
        </w:rPr>
        <w:t xml:space="preserve">须随时关注并对照最新禁用清单，保证所供食品原材料的安全、卫生、无兴奋剂化学成分,</w:t>
      </w:r>
      <w:r>
        <w:rPr>
          <w:rFonts w:hint="eastAsia" w:ascii="宋体" w:hAnsi="宋体" w:eastAsia="宋体"/>
          <w:color w:val="000000"/>
          <w:sz w:val="21"/>
          <w:szCs w:val="21"/>
        </w:rPr>
        <w:t xml:space="preserve">否则由此产生的一切责任由乙方承担</w:t>
      </w:r>
      <w:r>
        <w:rPr>
          <w:rFonts w:ascii="宋体" w:hAnsi="宋体" w:eastAsia="宋体"/>
          <w:color w:val="000000"/>
          <w:sz w:val="21"/>
          <w:szCs w:val="21"/>
        </w:rPr>
        <w:t xml:space="preserve">。</w:t>
      </w:r>
      <w:r>
        <w:rPr>
          <w:rFonts w:ascii="宋体" w:hAnsi="宋体" w:eastAsia="宋体"/>
          <w:color w:val="000000"/>
          <w:sz w:val="21"/>
          <w:szCs w:val="21"/>
        </w:rPr>
      </w:r>
      <w:r/>
    </w:p>
    <w:p>
      <w:pPr>
        <w:pStyle w:val="1276"/>
        <w:ind w:firstLine="420"/>
        <w:jc w:val="left"/>
        <w:spacing w:line="360" w:lineRule="auto"/>
        <w:rPr>
          <w:rFonts w:hint="eastAsia" w:ascii="宋体" w:hAnsi="宋体" w:eastAsia="宋体" w:cs="宋体"/>
          <w:bCs w:val="0"/>
          <w:sz w:val="21"/>
          <w:szCs w:val="21"/>
          <w:lang w:bidi="ar"/>
        </w:rPr>
      </w:pPr>
      <w:r>
        <w:rPr>
          <w:rFonts w:hint="eastAsia" w:ascii="宋体" w:hAnsi="宋体" w:eastAsia="宋体" w:cs="宋体"/>
          <w:bCs w:val="0"/>
          <w:sz w:val="21"/>
          <w:szCs w:val="21"/>
          <w:lang w:bidi="ar"/>
        </w:rPr>
        <w:t xml:space="preserve">第五条 质量保证</w:t>
      </w:r>
      <w:r>
        <w:rPr>
          <w:rFonts w:hint="eastAsia" w:ascii="宋体" w:hAnsi="宋体" w:eastAsia="宋体" w:cs="宋体"/>
          <w:bCs w:val="0"/>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1、乙方所提供的服务/货物的技术规格应与采购文件规定的技术规格及所附的“技术条款偏离表”相一致；若技术性能无特殊说明，则按国家有关部门最新颁布的标准及规范</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2、</w:t>
      </w:r>
      <w:r>
        <w:rPr>
          <w:rFonts w:hint="eastAsia" w:ascii="宋体" w:hAnsi="宋体" w:eastAsia="宋体"/>
          <w:sz w:val="21"/>
          <w:szCs w:val="21"/>
        </w:rPr>
        <w:t xml:space="preserve">乙方应严格遵守《食品安全法》和《动物检疫法》等相关规定，严格保证食品质量符合国家相关产品质量标准，符合国家各级强制性规范的要求。所供食材应能溯源，且不得含有兴奋剂化学成分，如</w:t>
      </w:r>
      <w:r>
        <w:rPr>
          <w:rFonts w:hint="eastAsia" w:ascii="宋体" w:hAnsi="宋体" w:eastAsia="宋体"/>
          <w:bCs/>
          <w:sz w:val="21"/>
          <w:szCs w:val="21"/>
          <w:lang w:val="en-US"/>
        </w:rPr>
        <w:t xml:space="preserve">含有兴奋剂化学成分，一经发现，</w:t>
      </w:r>
      <w:r>
        <w:rPr>
          <w:rFonts w:hint="eastAsia" w:ascii="宋体" w:hAnsi="宋体" w:eastAsia="宋体"/>
          <w:bCs/>
          <w:sz w:val="21"/>
          <w:szCs w:val="21"/>
          <w:lang w:val="en-US" w:eastAsia="zh-CN"/>
        </w:rPr>
        <w:t xml:space="preserve">第一次扣除履约保证金的30%，并根据甲方要求限时整改，整改通过后方可继续履约；第二次发现</w:t>
      </w:r>
      <w:r>
        <w:rPr>
          <w:rFonts w:hint="eastAsia" w:ascii="宋体" w:hAnsi="宋体" w:eastAsia="宋体"/>
          <w:bCs/>
          <w:sz w:val="21"/>
          <w:szCs w:val="21"/>
          <w:lang w:val="en-US"/>
        </w:rPr>
        <w:t xml:space="preserve">立即解除合同，并没收全部履约保证金，同时甲方还将依法追究乙方法律和</w:t>
      </w:r>
      <w:r>
        <w:rPr>
          <w:rFonts w:hint="eastAsia" w:ascii="宋体" w:hAnsi="宋体" w:eastAsia="宋体"/>
          <w:bCs/>
          <w:sz w:val="21"/>
          <w:szCs w:val="21"/>
        </w:rPr>
        <w:t xml:space="preserve">经济责任，如情节严重的，将提请司法机关单位追究其刑事责任。</w:t>
      </w:r>
      <w:r>
        <w:rPr>
          <w:rFonts w:hint="eastAsia" w:ascii="宋体" w:hAnsi="宋体" w:eastAsia="宋体"/>
          <w:sz w:val="21"/>
          <w:szCs w:val="21"/>
        </w:rPr>
        <w:t xml:space="preserve">所有预包装商品在</w:t>
      </w:r>
      <w:r>
        <w:rPr>
          <w:rFonts w:hint="eastAsia" w:ascii="宋体" w:hAnsi="宋体" w:eastAsia="宋体"/>
          <w:bCs/>
          <w:sz w:val="21"/>
          <w:szCs w:val="21"/>
        </w:rPr>
        <w:t xml:space="preserve">供货时的剩余保质期不得少于外包装标签上所标明保质期的二分之一</w:t>
      </w:r>
      <w:r>
        <w:rPr>
          <w:rFonts w:hint="eastAsia" w:ascii="宋体" w:hAnsi="宋体" w:eastAsia="宋体"/>
          <w:sz w:val="21"/>
          <w:szCs w:val="21"/>
        </w:rPr>
        <w:t xml:space="preserve">。在食材供应期间如出现因食用其提供的食品导致食物中毒的事故发生，以及</w:t>
      </w:r>
      <w:r>
        <w:rPr>
          <w:rFonts w:hint="eastAsia" w:ascii="宋体" w:hAnsi="宋体" w:eastAsia="宋体" w:cs="宋体"/>
          <w:sz w:val="21"/>
          <w:szCs w:val="21"/>
        </w:rPr>
        <w:t xml:space="preserve">如给实际使用人造成的人身、财产损害由乙方承担一切责任，并负责消除不利影响。</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3、货物必须卫生新鲜、质量达标、品种规格准确、数量保证。</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4、</w:t>
      </w:r>
      <w:r>
        <w:rPr>
          <w:rFonts w:hint="eastAsia" w:ascii="宋体" w:hAnsi="宋体" w:eastAsia="宋体"/>
          <w:sz w:val="21"/>
          <w:szCs w:val="21"/>
        </w:rPr>
        <w:t xml:space="preserve">本条仅针对</w:t>
      </w:r>
      <w:r>
        <w:rPr>
          <w:rFonts w:hint="eastAsia" w:ascii="宋体" w:hAnsi="宋体" w:eastAsia="宋体"/>
          <w:bCs/>
          <w:sz w:val="21"/>
          <w:szCs w:val="21"/>
          <w:lang w:val="en-US"/>
        </w:rPr>
        <w:t xml:space="preserve">承担分包一肉类采购及配送的</w:t>
      </w:r>
      <w:r>
        <w:rPr>
          <w:rFonts w:hint="eastAsia" w:ascii="宋体" w:hAnsi="宋体" w:eastAsia="宋体"/>
          <w:bCs/>
          <w:sz w:val="21"/>
          <w:szCs w:val="21"/>
        </w:rPr>
        <w:t xml:space="preserve">乙方须对所供食材的化学成分报送</w:t>
      </w:r>
      <w:r>
        <w:rPr>
          <w:rFonts w:hint="eastAsia" w:ascii="宋体" w:hAnsi="宋体" w:eastAsia="宋体"/>
          <w:bCs/>
          <w:sz w:val="21"/>
          <w:szCs w:val="21"/>
          <w:lang w:val="en-US"/>
        </w:rPr>
        <w:t xml:space="preserve">相关部门检测，检测部门由甲方指定，检测费用由乙方承担，全年累计检测频次不低于10次。</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5、一旦发现乙方所提供的货物不符合以上约定，乙方无条件接受甲方降价、减重、退货（视具体情况定）处理，并及时送达质量合格的相同品种货物，确保甲方正常计划使用需求</w:t>
      </w:r>
      <w:r>
        <w:rPr>
          <w:rFonts w:ascii="宋体" w:hAnsi="宋体" w:eastAsia="宋体"/>
          <w:sz w:val="21"/>
          <w:szCs w:val="21"/>
        </w:rPr>
        <w:t xml:space="preserve">，否则视为乙方违约</w:t>
      </w:r>
      <w:r>
        <w:rPr>
          <w:rFonts w:hint="eastAsia" w:ascii="宋体" w:hAnsi="宋体" w:eastAsia="宋体"/>
          <w:sz w:val="21"/>
          <w:szCs w:val="21"/>
        </w:rPr>
        <w:t xml:space="preserve">。</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6、乙方所供货物有质量问题，乙方未能在甲方通知后2小时内出具可行补救方案、4小时内完成补救措施的，视为未及时采取补救措施，甲方有权自行处置或委托第三方处置，产生的全部费用由乙方承担，给甲方造成的一切损失由乙方承担。</w:t>
      </w:r>
      <w:r>
        <w:rPr>
          <w:rFonts w:ascii="宋体" w:hAnsi="宋体" w:cs="宋体"/>
          <w:sz w:val="21"/>
          <w:szCs w:val="21"/>
          <w:lang w:bidi="ar"/>
        </w:rPr>
      </w:r>
      <w:r/>
    </w:p>
    <w:p>
      <w:pPr>
        <w:pStyle w:val="1276"/>
        <w:ind w:firstLine="420"/>
        <w:jc w:val="left"/>
        <w:spacing w:line="360" w:lineRule="auto"/>
        <w:rPr>
          <w:rFonts w:ascii="宋体" w:hAnsi="宋体" w:cs="宋体"/>
          <w:sz w:val="21"/>
          <w:szCs w:val="21"/>
        </w:rPr>
      </w:pPr>
      <w:r>
        <w:rPr>
          <w:rFonts w:hint="eastAsia" w:ascii="宋体" w:hAnsi="宋体" w:cs="宋体"/>
          <w:sz w:val="21"/>
          <w:szCs w:val="21"/>
          <w:lang w:bidi="ar"/>
        </w:rPr>
        <w:t xml:space="preserve">7、如出现因食用其提供的食品导致食物中毒的事故发生，乙方</w:t>
      </w:r>
      <w:r>
        <w:rPr>
          <w:rFonts w:hint="eastAsia" w:ascii="宋体" w:hAnsi="宋体" w:cs="宋体"/>
          <w:sz w:val="21"/>
          <w:szCs w:val="21"/>
          <w:lang w:val="en-US" w:eastAsia="zh-CN" w:bidi="ar"/>
        </w:rPr>
        <w:t xml:space="preserve">应</w:t>
      </w:r>
      <w:r>
        <w:rPr>
          <w:rFonts w:hint="eastAsia" w:ascii="宋体" w:hAnsi="宋体" w:cs="宋体"/>
          <w:sz w:val="21"/>
          <w:szCs w:val="21"/>
          <w:lang w:bidi="ar"/>
        </w:rPr>
        <w:t xml:space="preserve">承担全部责任并负责消除对甲方的不利影响，如甲方因此承担了任何责任（包括但不限于医疗费、护理费、伤残赔偿金、死亡赔偿金、精神损害抚慰金、舆情处置费、行政罚款及甲方维权支出</w:t>
      </w:r>
      <w:r>
        <w:rPr>
          <w:rFonts w:hint="eastAsia" w:ascii="宋体" w:hAnsi="宋体" w:cs="宋体"/>
          <w:sz w:val="21"/>
          <w:szCs w:val="21"/>
          <w:lang w:val="en-US" w:eastAsia="zh-CN" w:bidi="ar"/>
        </w:rPr>
        <w:t xml:space="preserve">诉讼费、律师费、差旅费等</w:t>
      </w:r>
      <w:r>
        <w:rPr>
          <w:rFonts w:hint="eastAsia" w:ascii="宋体" w:hAnsi="宋体" w:cs="宋体"/>
          <w:sz w:val="21"/>
          <w:szCs w:val="21"/>
          <w:lang w:bidi="ar"/>
        </w:rPr>
        <w:t xml:space="preserve">），有权向乙方全额追偿。</w:t>
      </w:r>
      <w:r>
        <w:rPr>
          <w:rFonts w:ascii="宋体" w:hAnsi="宋体" w:cs="宋体"/>
          <w:sz w:val="21"/>
          <w:szCs w:val="21"/>
        </w:rPr>
      </w:r>
      <w:r/>
    </w:p>
    <w:p>
      <w:pPr>
        <w:pStyle w:val="1276"/>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第六条 交付使用和验收</w:t>
      </w:r>
      <w:r>
        <w:rPr>
          <w:rFonts w:ascii="宋体" w:hAnsi="宋体" w:cs="宋体"/>
          <w:bCs/>
          <w:sz w:val="21"/>
          <w:szCs w:val="21"/>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1、服务期：   年   月   日至   年   月   日。</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2、交付地点</w:t>
      </w:r>
      <w:r>
        <w:rPr>
          <w:rFonts w:hint="eastAsia" w:ascii="宋体" w:hAnsi="宋体" w:cs="宋体"/>
          <w:sz w:val="21"/>
          <w:szCs w:val="21"/>
          <w:u w:val="none"/>
          <w:lang w:bidi="ar"/>
        </w:rPr>
        <w:t xml:space="preserve">：</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，并按要求摆放整齐。配送费用由乙方承担。乙方运输工具进入甲方区域，必须接受甲方统一管理，发生任何人员与设施损伤，均由乙方承担责任。</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3、本合同货物的交付周期为（□月供货、□周供货，□日供货,□按需供货）同时，乙方应能按甲方要求及时补货。具体交货时间以乙方与甲方约定为准。</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4、验收标准：</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（1）按行业通行标准和乙方投标文件的承诺（详见招投标文件载明的标准，并不低于国家相关标准），乙方提供的服务不符合采购文件和合同规定的，甲方有权拒收，</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承担验收费用等。</w:t>
      </w:r>
      <w:r>
        <w:rPr>
          <w:rFonts w:ascii="宋体" w:hAnsi="宋体" w:cs="宋体"/>
          <w:sz w:val="21"/>
          <w:szCs w:val="21"/>
          <w:lang w:bidi="ar"/>
        </w:rPr>
      </w:r>
      <w:r/>
    </w:p>
    <w:p>
      <w:pPr>
        <w:pStyle w:val="1276"/>
        <w:ind w:firstLine="420"/>
        <w:jc w:val="left"/>
        <w:spacing w:line="360" w:lineRule="auto"/>
        <w:rPr>
          <w:rFonts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lang w:val="en-US" w:eastAsia="zh-CN" w:bidi="ar"/>
        </w:rPr>
        <w:t xml:space="preserve">货物到达现场后，甲方</w:t>
      </w:r>
      <w:r>
        <w:rPr>
          <w:rFonts w:hint="eastAsia" w:ascii="宋体" w:hAnsi="宋体" w:cs="宋体"/>
          <w:sz w:val="21"/>
          <w:szCs w:val="21"/>
          <w:lang w:bidi="ar"/>
        </w:rPr>
        <w:t xml:space="preserve">当面进行外观检验，按照订购商品的品名、规格、产地、数量、价格、包装、生产日期、保质期、检验（检疫）报告进行初步验收。若食材外观、包装、质量等不能达到收货标准，</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拒收，</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应无条件迅速替换合格产品，不得影响正常开餐。按重量计量的物资，均以物品净重方式计量结算。对不符合要求的产品当场作出记录，双方签字确认。涉及到检验检疫的产品，</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需提供国家或江苏省认可的相关检验检疫合格证明。否则无条件迅速替换合格产品。</w:t>
      </w:r>
      <w:r>
        <w:rPr>
          <w:rFonts w:ascii="宋体" w:hAnsi="宋体" w:cs="宋体"/>
          <w:sz w:val="21"/>
          <w:szCs w:val="21"/>
        </w:rPr>
      </w:r>
      <w:r/>
    </w:p>
    <w:p>
      <w:pPr>
        <w:pStyle w:val="1276"/>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第七条 履约保证金</w:t>
      </w:r>
      <w:r>
        <w:rPr>
          <w:rFonts w:ascii="宋体" w:hAnsi="宋体" w:eastAsia="宋体"/>
          <w:b/>
          <w:bCs/>
          <w:color w:val="000000"/>
          <w:sz w:val="21"/>
          <w:szCs w:val="21"/>
        </w:rPr>
      </w:r>
      <w:r/>
    </w:p>
    <w:p>
      <w:pPr>
        <w:pStyle w:val="1276"/>
        <w:ind w:firstLine="480"/>
        <w:jc w:val="left"/>
        <w:spacing w:line="360" w:lineRule="auto"/>
        <w:widowControl/>
        <w:rPr>
          <w:rFonts w:ascii="宋体" w:hAnsi="宋体" w:eastAsia="宋体"/>
          <w:sz w:val="21"/>
          <w:szCs w:val="21"/>
        </w:rPr>
      </w:pPr>
      <w:r>
        <w:rPr>
          <w:rFonts w:hint="eastAsia" w:ascii="宋体" w:hAnsi="宋体" w:eastAsia="宋体"/>
          <w:color w:val="000000"/>
          <w:sz w:val="21"/>
          <w:szCs w:val="21"/>
        </w:rPr>
        <w:t xml:space="preserve">1、</w:t>
      </w:r>
      <w:r>
        <w:rPr>
          <w:rFonts w:hint="eastAsia" w:ascii="宋体" w:hAnsi="宋体" w:eastAsia="宋体"/>
          <w:sz w:val="21"/>
          <w:szCs w:val="21"/>
        </w:rPr>
        <w:t xml:space="preserve">乙方向甲方交纳</w:t>
      </w:r>
      <w:r>
        <w:rPr>
          <w:rFonts w:ascii="宋体" w:hAnsi="宋体" w:eastAsia="宋体"/>
          <w:sz w:val="21"/>
          <w:szCs w:val="21"/>
          <w:u w:val="single"/>
        </w:rPr>
        <w:t xml:space="preserve">        </w:t>
      </w:r>
      <w:r>
        <w:rPr>
          <w:rFonts w:hint="eastAsia" w:ascii="宋体" w:hAnsi="宋体" w:eastAsia="宋体"/>
          <w:sz w:val="21"/>
          <w:szCs w:val="21"/>
        </w:rPr>
        <w:t xml:space="preserve">元的履约保证金作为合同生效的前提。</w:t>
      </w:r>
      <w:r>
        <w:rPr>
          <w:rFonts w:ascii="宋体" w:hAnsi="宋体" w:eastAsia="宋体"/>
          <w:sz w:val="21"/>
          <w:szCs w:val="21"/>
        </w:rPr>
      </w:r>
      <w:r/>
    </w:p>
    <w:p>
      <w:pPr>
        <w:pStyle w:val="1276"/>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2、履约保证金的有效期为该项目供货期满时止。</w:t>
      </w:r>
      <w:r>
        <w:rPr>
          <w:rFonts w:ascii="宋体" w:hAnsi="宋体" w:eastAsia="宋体"/>
          <w:color w:val="000000"/>
          <w:sz w:val="21"/>
          <w:szCs w:val="21"/>
        </w:rPr>
      </w:r>
      <w:r/>
    </w:p>
    <w:p>
      <w:pPr>
        <w:pStyle w:val="1276"/>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3、如乙方未能履行合同规定的义务，甲方有权从履约保证金中取得补偿</w:t>
      </w:r>
      <w:r>
        <w:rPr>
          <w:rFonts w:ascii="宋体" w:hAnsi="宋体" w:eastAsia="宋体"/>
          <w:color w:val="000000"/>
          <w:sz w:val="21"/>
          <w:szCs w:val="21"/>
        </w:rPr>
        <w:t xml:space="preserve">，</w:t>
      </w:r>
      <w:r>
        <w:rPr>
          <w:rFonts w:hint="eastAsia" w:ascii="宋体" w:hAnsi="宋体" w:eastAsia="宋体"/>
          <w:color w:val="000000"/>
          <w:sz w:val="21"/>
          <w:szCs w:val="21"/>
        </w:rPr>
        <w:t xml:space="preserve">补偿后</w:t>
      </w:r>
      <w:r>
        <w:rPr>
          <w:rFonts w:ascii="宋体" w:hAnsi="宋体" w:eastAsia="宋体"/>
          <w:color w:val="000000"/>
          <w:sz w:val="21"/>
          <w:szCs w:val="21"/>
        </w:rPr>
        <w:t xml:space="preserve">不足部分由乙方予以补足</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1276"/>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4、履约保证金扣除甲方应得的补偿后的余额在</w:t>
      </w:r>
      <w:r>
        <w:rPr>
          <w:rFonts w:ascii="宋体" w:hAnsi="宋体" w:eastAsia="宋体"/>
          <w:color w:val="000000"/>
          <w:sz w:val="21"/>
          <w:szCs w:val="21"/>
        </w:rPr>
        <w:t xml:space="preserve">合同履行期</w:t>
      </w:r>
      <w:r>
        <w:rPr>
          <w:rFonts w:hint="eastAsia" w:ascii="宋体" w:hAnsi="宋体" w:eastAsia="宋体"/>
          <w:color w:val="000000"/>
          <w:sz w:val="21"/>
          <w:szCs w:val="21"/>
        </w:rPr>
        <w:t xml:space="preserve">满后七个工作日内无息退还给乙方。</w:t>
      </w:r>
      <w:r>
        <w:rPr>
          <w:rFonts w:ascii="宋体" w:hAnsi="宋体" w:eastAsia="宋体"/>
          <w:color w:val="000000"/>
          <w:sz w:val="21"/>
          <w:szCs w:val="21"/>
        </w:rPr>
      </w:r>
      <w:r/>
    </w:p>
    <w:p>
      <w:pPr>
        <w:pStyle w:val="1276"/>
        <w:ind w:firstLine="420"/>
        <w:jc w:val="left"/>
        <w:spacing w:line="360" w:lineRule="auto"/>
        <w:rPr>
          <w:rFonts w:ascii="宋体" w:hAnsi="宋体" w:cs="宋体"/>
          <w:bCs/>
          <w:i/>
          <w:sz w:val="21"/>
          <w:szCs w:val="21"/>
        </w:rPr>
      </w:pPr>
      <w:r>
        <w:rPr>
          <w:rFonts w:hint="eastAsia" w:ascii="宋体" w:hAnsi="宋体" w:cs="宋体"/>
          <w:bCs/>
          <w:sz w:val="21"/>
          <w:szCs w:val="21"/>
          <w:lang w:bidi="ar"/>
        </w:rPr>
        <w:t xml:space="preserve">第</w:t>
      </w:r>
      <w:r>
        <w:rPr>
          <w:rFonts w:hint="eastAsia" w:ascii="宋体" w:hAnsi="宋体" w:cs="宋体"/>
          <w:bCs/>
          <w:sz w:val="21"/>
          <w:szCs w:val="21"/>
          <w:lang w:val="en-US" w:eastAsia="zh-CN" w:bidi="ar"/>
        </w:rPr>
        <w:t xml:space="preserve">八</w:t>
      </w:r>
      <w:r>
        <w:rPr>
          <w:rFonts w:hint="eastAsia" w:ascii="宋体" w:hAnsi="宋体" w:cs="宋体"/>
          <w:bCs/>
          <w:sz w:val="21"/>
          <w:szCs w:val="21"/>
          <w:lang w:bidi="ar"/>
        </w:rPr>
        <w:t xml:space="preserve">条 合同款支付</w:t>
      </w:r>
      <w:r>
        <w:rPr>
          <w:rFonts w:ascii="宋体" w:hAnsi="宋体" w:cs="宋体"/>
          <w:bCs/>
          <w:i/>
          <w:sz w:val="21"/>
          <w:szCs w:val="21"/>
        </w:rPr>
      </w:r>
      <w:r/>
    </w:p>
    <w:p>
      <w:pPr>
        <w:pStyle w:val="1276"/>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1、本合同项下所有款项均以人民币支付。</w:t>
      </w:r>
      <w:r>
        <w:rPr>
          <w:rFonts w:ascii="宋体" w:hAnsi="宋体" w:eastAsia="宋体"/>
          <w:color w:val="000000"/>
          <w:sz w:val="21"/>
          <w:szCs w:val="21"/>
        </w:rPr>
      </w:r>
      <w:r/>
    </w:p>
    <w:p>
      <w:pPr>
        <w:pStyle w:val="1276"/>
        <w:ind w:firstLine="420"/>
        <w:jc w:val="left"/>
        <w:spacing w:line="360" w:lineRule="auto"/>
        <w:rPr>
          <w:rFonts w:ascii="宋体" w:hAnsi="宋体" w:eastAsia="宋体"/>
          <w:bCs/>
          <w:sz w:val="21"/>
          <w:szCs w:val="21"/>
        </w:rPr>
      </w:pPr>
      <w:r>
        <w:rPr>
          <w:rFonts w:hint="eastAsia" w:ascii="宋体" w:hAnsi="宋体" w:eastAsia="宋体"/>
          <w:color w:val="000000"/>
          <w:sz w:val="21"/>
          <w:szCs w:val="21"/>
        </w:rPr>
        <w:t xml:space="preserve">2、本合同项</w:t>
      </w:r>
      <w:r>
        <w:rPr>
          <w:rFonts w:hint="eastAsia" w:ascii="宋体" w:hAnsi="宋体" w:eastAsia="宋体"/>
          <w:sz w:val="21"/>
          <w:szCs w:val="21"/>
        </w:rPr>
        <w:t xml:space="preserve">下的项目资金由国库集中支付或甲方自行支付，付款前乙方应先向甲方开具</w:t>
      </w:r>
      <w:r>
        <w:rPr>
          <w:rFonts w:hint="eastAsia" w:ascii="宋体" w:hAnsi="宋体" w:eastAsia="宋体"/>
          <w:sz w:val="21"/>
          <w:szCs w:val="21"/>
          <w:lang w:val="en-US"/>
        </w:rPr>
        <w:t xml:space="preserve">合格的</w:t>
      </w:r>
      <w:r>
        <w:rPr>
          <w:rFonts w:hint="eastAsia" w:ascii="宋体" w:hAnsi="宋体" w:eastAsia="宋体"/>
          <w:sz w:val="21"/>
          <w:szCs w:val="21"/>
        </w:rPr>
        <w:t xml:space="preserve">发票。</w:t>
      </w:r>
      <w:r>
        <w:rPr>
          <w:rFonts w:ascii="宋体" w:hAnsi="宋体" w:eastAsia="宋体"/>
          <w:sz w:val="21"/>
          <w:szCs w:val="21"/>
        </w:rPr>
        <w:t xml:space="preserve">未提交</w:t>
      </w:r>
      <w:r>
        <w:rPr>
          <w:rFonts w:hint="eastAsia" w:ascii="宋体" w:hAnsi="宋体" w:eastAsia="宋体"/>
          <w:sz w:val="21"/>
          <w:szCs w:val="21"/>
          <w:lang w:val="en-US"/>
        </w:rPr>
        <w:t xml:space="preserve">合格的</w:t>
      </w:r>
      <w:r>
        <w:rPr>
          <w:rFonts w:ascii="宋体" w:hAnsi="宋体" w:eastAsia="宋体"/>
          <w:sz w:val="21"/>
          <w:szCs w:val="21"/>
        </w:rPr>
        <w:t xml:space="preserve">发票，造成付款时间顺延的，甲方不承担延迟付款的违约责任。</w:t>
      </w:r>
      <w:r>
        <w:rPr>
          <w:rFonts w:hint="eastAsia" w:ascii="宋体" w:hAnsi="宋体" w:eastAsia="宋体"/>
          <w:bCs/>
          <w:sz w:val="21"/>
          <w:szCs w:val="21"/>
        </w:rPr>
        <w:t xml:space="preserve">      </w:t>
      </w:r>
      <w:r>
        <w:rPr>
          <w:rFonts w:ascii="宋体" w:hAnsi="宋体" w:eastAsia="宋体"/>
          <w:bCs/>
          <w:sz w:val="21"/>
          <w:szCs w:val="21"/>
        </w:rPr>
      </w:r>
      <w:r/>
    </w:p>
    <w:p>
      <w:pPr>
        <w:pStyle w:val="1276"/>
        <w:ind w:firstLine="480"/>
        <w:spacing w:line="360" w:lineRule="auto"/>
        <w:shd w:val="clear" w:color="auto" w:fill="ffffff"/>
        <w:rPr>
          <w:rFonts w:hint="eastAsia" w:ascii="宋体" w:hAnsi="宋体" w:eastAsia="宋体"/>
          <w:sz w:val="21"/>
          <w:szCs w:val="21"/>
        </w:rPr>
      </w:pPr>
      <w:r>
        <w:rPr>
          <w:rFonts w:hint="eastAsia" w:ascii="宋体" w:hAnsi="宋体" w:eastAsia="宋体"/>
          <w:bCs/>
          <w:sz w:val="21"/>
          <w:szCs w:val="21"/>
        </w:rPr>
        <w:t xml:space="preserve">3、付</w:t>
      </w:r>
      <w:r>
        <w:rPr>
          <w:rFonts w:hint="eastAsia" w:ascii="宋体" w:hAnsi="宋体" w:eastAsia="宋体"/>
          <w:sz w:val="21"/>
          <w:szCs w:val="21"/>
        </w:rPr>
        <w:t xml:space="preserve">款条件：</w:t>
      </w:r>
      <w:r>
        <w:rPr>
          <w:rFonts w:hint="eastAsia" w:ascii="宋体" w:hAnsi="宋体" w:eastAsia="宋体"/>
          <w:sz w:val="21"/>
          <w:szCs w:val="21"/>
        </w:rPr>
      </w:r>
      <w:r/>
    </w:p>
    <w:p>
      <w:pPr>
        <w:pStyle w:val="1276"/>
        <w:ind w:firstLine="480"/>
        <w:spacing w:line="360" w:lineRule="auto"/>
        <w:shd w:val="clear" w:color="auto" w:fill="ffffff"/>
        <w:rPr>
          <w:rFonts w:ascii="宋体" w:hAnsi="宋体" w:eastAsia="宋体" w:cs="仿宋_GB2312"/>
          <w:bCs/>
          <w:sz w:val="21"/>
          <w:szCs w:val="21"/>
        </w:rPr>
      </w:pPr>
      <w:r>
        <w:rPr>
          <w:rFonts w:hint="eastAsia" w:ascii="宋体" w:hAnsi="宋体" w:eastAsia="宋体"/>
          <w:bCs/>
          <w:sz w:val="21"/>
          <w:szCs w:val="21"/>
          <w:lang w:val="en-US"/>
        </w:rPr>
        <w:t xml:space="preserve">食材单价每月一核（</w:t>
      </w:r>
      <w:r>
        <w:rPr>
          <w:rFonts w:hint="eastAsia" w:ascii="宋体" w:hAnsi="宋体" w:eastAsia="宋体"/>
          <w:bCs/>
          <w:color w:val="000000"/>
          <w:sz w:val="21"/>
          <w:szCs w:val="21"/>
          <w:lang w:val="en-US"/>
        </w:rPr>
        <w:t xml:space="preserve">次月核实上月</w:t>
      </w:r>
      <w:r>
        <w:rPr>
          <w:rFonts w:hint="eastAsia" w:ascii="宋体" w:hAnsi="宋体" w:eastAsia="宋体"/>
          <w:bCs/>
          <w:sz w:val="21"/>
          <w:szCs w:val="21"/>
          <w:lang w:val="en-US"/>
        </w:rPr>
        <w:t xml:space="preserve">），由乙方提出书面申请，并提供相关资料，经甲方确定上月所有决算资料属实后，由双方签字确认，同时乙方必须提供相应的等额发票，甲方在收到发票后</w:t>
      </w:r>
      <w:r>
        <w:rPr>
          <w:rFonts w:ascii="宋体" w:hAnsi="宋体" w:eastAsia="宋体"/>
          <w:bCs/>
          <w:sz w:val="21"/>
          <w:szCs w:val="21"/>
          <w:lang w:val="en-US"/>
        </w:rPr>
        <w:t xml:space="preserve">10</w:t>
      </w:r>
      <w:r>
        <w:rPr>
          <w:rFonts w:hint="eastAsia" w:ascii="宋体" w:hAnsi="宋体" w:eastAsia="宋体"/>
          <w:bCs/>
          <w:sz w:val="21"/>
          <w:szCs w:val="21"/>
          <w:lang w:val="en-US"/>
        </w:rPr>
        <w:t xml:space="preserve">个工作日内支付上月供应货款，否则甲方有权顺延付款期限且无息。</w:t>
      </w:r>
      <w:r>
        <w:rPr>
          <w:rFonts w:hint="eastAsia" w:ascii="宋体" w:hAnsi="宋体" w:eastAsia="宋体" w:cs="仿宋_GB2312"/>
          <w:bCs/>
          <w:sz w:val="21"/>
          <w:szCs w:val="21"/>
        </w:rPr>
        <w:t xml:space="preserve">因财政审批导致的迟延支付，甲方不承担迟延支付的违约责任，付款进度以财政资金下款时间为准。 </w:t>
      </w:r>
      <w:r>
        <w:rPr>
          <w:rFonts w:ascii="宋体" w:hAnsi="宋体" w:eastAsia="宋体" w:cs="仿宋_GB2312"/>
          <w:bCs/>
          <w:sz w:val="21"/>
          <w:szCs w:val="21"/>
        </w:rPr>
      </w:r>
      <w:r/>
    </w:p>
    <w:p>
      <w:pPr>
        <w:pStyle w:val="1276"/>
        <w:jc w:val="center"/>
        <w:spacing w:line="360" w:lineRule="auto"/>
        <w:shd w:val="clear" w:color="auto" w:fill="ffffff"/>
        <w:rPr>
          <w:rFonts w:ascii="宋体" w:hAnsi="宋体" w:eastAsia="宋体"/>
          <w:b/>
          <w:bCs/>
          <w:sz w:val="21"/>
          <w:szCs w:val="21"/>
        </w:rPr>
      </w:pPr>
      <w:r>
        <w:rPr>
          <w:rFonts w:hint="eastAsia" w:ascii="宋体" w:hAnsi="宋体" w:eastAsia="宋体"/>
          <w:b/>
          <w:bCs/>
          <w:sz w:val="21"/>
          <w:szCs w:val="21"/>
        </w:rPr>
        <w:t xml:space="preserve">决算资料要求（包括但不限于以下要素）</w:t>
      </w:r>
      <w:r>
        <w:rPr>
          <w:rFonts w:ascii="宋体" w:hAnsi="宋体" w:eastAsia="宋体"/>
          <w:b/>
          <w:bCs/>
          <w:sz w:val="21"/>
          <w:szCs w:val="21"/>
        </w:rPr>
      </w:r>
      <w:r/>
    </w:p>
    <w:tbl>
      <w:tblPr>
        <w:tblW w:w="5333" w:type="pct"/>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312"/>
        <w:gridCol w:w="1362"/>
        <w:gridCol w:w="2600"/>
        <w:gridCol w:w="1444"/>
        <w:gridCol w:w="1314"/>
        <w:gridCol w:w="729"/>
        <w:gridCol w:w="1022"/>
      </w:tblGrid>
      <w:tr>
        <w:trPr/>
        <w:tc>
          <w:tcPr>
            <w:tcW w:w="346"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rPr>
                <w:rFonts w:ascii="宋体" w:hAnsi="宋体" w:eastAsia="宋体"/>
                <w:b/>
                <w:bCs/>
                <w:sz w:val="21"/>
                <w:szCs w:val="21"/>
                <w:lang w:val="en-US"/>
              </w:rPr>
            </w:r>
            <w:r/>
          </w:p>
        </w:tc>
        <w:tc>
          <w:tcPr>
            <w:tcW w:w="624"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rPr>
                <w:rFonts w:ascii="宋体" w:hAnsi="宋体" w:eastAsia="宋体"/>
                <w:b/>
                <w:bCs/>
                <w:sz w:val="21"/>
                <w:szCs w:val="21"/>
                <w:lang w:val="en-US"/>
              </w:rPr>
            </w:r>
            <w:r/>
          </w:p>
        </w:tc>
        <w:tc>
          <w:tcPr>
            <w:tcW w:w="648" w:type="dxa"/>
            <w:vAlign w:val="center"/>
            <w:textDirection w:val="lrTb"/>
            <w:noWrap w:val="false"/>
          </w:tcPr>
          <w:p>
            <w:pPr>
              <w:pStyle w:val="1276"/>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dxa"/>
            <w:vAlign w:val="center"/>
            <w:textDirection w:val="lrTb"/>
            <w:noWrap w:val="false"/>
          </w:tcPr>
          <w:p>
            <w:pPr>
              <w:pStyle w:val="1276"/>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rPr>
                <w:rFonts w:ascii="宋体" w:hAnsi="宋体" w:eastAsia="宋体"/>
                <w:b/>
                <w:bCs/>
                <w:sz w:val="21"/>
                <w:szCs w:val="21"/>
                <w:lang w:val="en-US"/>
              </w:rPr>
            </w:r>
            <w:r/>
          </w:p>
        </w:tc>
        <w:tc>
          <w:tcPr>
            <w:tcW w:w="687" w:type="dxa"/>
            <w:vAlign w:val="center"/>
            <w:textDirection w:val="lrTb"/>
            <w:noWrap w:val="false"/>
          </w:tcPr>
          <w:p>
            <w:pPr>
              <w:pStyle w:val="1276"/>
              <w:jc w:val="cente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eastAsia="zh-CN"/>
              </w:rPr>
              <w:t xml:space="preserve">优惠率</w:t>
            </w:r>
            <w:r>
              <w:rPr>
                <w:rFonts w:hint="eastAsia" w:ascii="宋体" w:hAnsi="宋体" w:eastAsia="宋体"/>
                <w:b/>
                <w:bCs/>
                <w:sz w:val="21"/>
                <w:szCs w:val="21"/>
                <w:lang w:val="en-US"/>
              </w:rPr>
            </w:r>
            <w:r/>
          </w:p>
        </w:tc>
        <w:tc>
          <w:tcPr>
            <w:tcW w:w="625"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rPr>
                <w:rFonts w:ascii="宋体" w:hAnsi="宋体" w:eastAsia="宋体"/>
                <w:b/>
                <w:bCs/>
                <w:sz w:val="21"/>
                <w:szCs w:val="21"/>
                <w:lang w:val="en-US"/>
              </w:rPr>
            </w:r>
            <w:r/>
          </w:p>
        </w:tc>
        <w:tc>
          <w:tcPr>
            <w:tcW w:w="34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rPr>
                <w:rFonts w:ascii="宋体" w:hAnsi="宋体" w:eastAsia="宋体"/>
                <w:b/>
                <w:bCs/>
                <w:sz w:val="21"/>
                <w:szCs w:val="21"/>
                <w:lang w:val="en-US"/>
              </w:rPr>
            </w:r>
            <w:r/>
          </w:p>
        </w:tc>
        <w:tc>
          <w:tcPr>
            <w:tcW w:w="48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rPr>
                <w:rFonts w:ascii="宋体" w:hAnsi="宋体" w:eastAsia="宋体"/>
                <w:b/>
                <w:bCs/>
                <w:sz w:val="21"/>
                <w:szCs w:val="21"/>
                <w:lang w:val="en-US"/>
              </w:rPr>
            </w:r>
            <w:r/>
          </w:p>
        </w:tc>
      </w:tr>
      <w:tr>
        <w:trPr>
          <w:trHeight w:val="58"/>
        </w:trPr>
        <w:tc>
          <w:tcPr>
            <w:tcW w:w="346" w:type="dxa"/>
            <w:vAlign w:val="center"/>
            <w:textDirection w:val="lrTb"/>
            <w:noWrap w:val="false"/>
          </w:tcPr>
          <w:p>
            <w:pPr>
              <w:pStyle w:val="1276"/>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rPr>
                <w:rFonts w:ascii="宋体" w:hAnsi="宋体" w:eastAsia="宋体"/>
                <w:b/>
                <w:bCs/>
                <w:sz w:val="21"/>
                <w:szCs w:val="21"/>
                <w:lang w:val="en-US"/>
              </w:rPr>
            </w:r>
            <w:r/>
          </w:p>
        </w:tc>
        <w:tc>
          <w:tcPr>
            <w:tcW w:w="648"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rPr>
                <w:rFonts w:ascii="宋体" w:hAnsi="宋体" w:eastAsia="宋体"/>
                <w:b/>
                <w:bCs/>
                <w:sz w:val="21"/>
                <w:szCs w:val="21"/>
                <w:lang w:val="en-US"/>
              </w:rPr>
            </w:r>
            <w:r/>
          </w:p>
          <w:p>
            <w:pPr>
              <w:pStyle w:val="1276"/>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dxa"/>
            <w:vAlign w:val="center"/>
            <w:textDirection w:val="lrTb"/>
            <w:noWrap w:val="false"/>
          </w:tcPr>
          <w:p>
            <w:pPr>
              <w:pStyle w:val="1276"/>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填写最近一期的</w:t>
            </w:r>
            <w:r>
              <w:rPr>
                <w:rFonts w:hint="eastAsia" w:ascii="宋体" w:hAnsi="宋体" w:eastAsia="宋体" w:cs="Times New Roman"/>
                <w:b/>
                <w:bCs/>
                <w:sz w:val="21"/>
                <w:szCs w:val="21"/>
                <w:lang w:val="en-US" w:eastAsia="zh-CN"/>
              </w:rPr>
              <w:t xml:space="preserve">按照</w:t>
            </w:r>
            <w:r>
              <w:rPr>
                <w:rFonts w:hint="eastAsia" w:ascii="宋体" w:hAnsi="宋体" w:eastAsia="宋体" w:cs="Times New Roman"/>
                <w:b/>
                <w:bCs/>
                <w:szCs w:val="21"/>
              </w:rPr>
              <w:t xml:space="preserve">“</w:t>
            </w:r>
            <w:r>
              <w:rPr>
                <w:rFonts w:hint="eastAsia" w:ascii="宋体" w:hAnsi="宋体" w:eastAsia="宋体" w:cs="Times New Roman"/>
                <w:b/>
                <w:bCs/>
                <w:szCs w:val="21"/>
                <w:lang w:val="en-US"/>
              </w:rPr>
              <w:t xml:space="preserve">南京市发展和改革委员会</w:t>
            </w:r>
            <w:r>
              <w:rPr>
                <w:rFonts w:hint="eastAsia" w:ascii="宋体" w:hAnsi="宋体" w:eastAsia="宋体" w:cs="Times New Roman"/>
                <w:b/>
                <w:bCs/>
                <w:szCs w:val="21"/>
              </w:rPr>
              <w:t xml:space="preserve">”</w:t>
            </w:r>
            <w:r>
              <w:rPr>
                <w:rFonts w:hint="eastAsia" w:ascii="宋体" w:hAnsi="宋体" w:eastAsia="宋体" w:cs="Times New Roman"/>
                <w:b/>
                <w:bCs/>
                <w:szCs w:val="21"/>
                <w:lang w:val="en-US"/>
              </w:rPr>
              <w:t xml:space="preserve">中所列食材基准单价进行确定</w:t>
            </w:r>
            <w:r>
              <w:rPr>
                <w:rFonts w:hint="eastAsia" w:ascii="宋体" w:hAnsi="宋体" w:eastAsia="宋体" w:cs="Times New Roman"/>
                <w:b/>
                <w:bCs/>
                <w:szCs w:val="21"/>
              </w:rPr>
              <w:t xml:space="preserve">（如遇休息日或当天官网未发布价格动态的，则相应向后推至最近的一个价格公布日）</w:t>
            </w:r>
            <w:r>
              <w:rPr>
                <w:rFonts w:hint="eastAsia" w:ascii="宋体" w:hAnsi="宋体" w:eastAsia="宋体" w:cs="Times New Roman"/>
                <w:b/>
                <w:bCs/>
                <w:szCs w:val="21"/>
                <w:lang w:val="en-US"/>
              </w:rPr>
              <w:t xml:space="preserve">。</w:t>
            </w:r>
            <w:r>
              <w:rPr>
                <w:rFonts w:hint="eastAsia" w:ascii="宋体" w:hAnsi="宋体" w:eastAsia="宋体" w:cs="Times New Roman"/>
                <w:b/>
                <w:bCs/>
                <w:szCs w:val="21"/>
                <w:lang w:val="en-US" w:eastAsia="zh-CN"/>
              </w:rPr>
              <w:t xml:space="preserve">如南京市发展和改革委员会食材种类不全，则以大润发超市（瑞金店）、尚书巷菜市场、红跑车（瑞金新村店）同类同质同品牌的食材零售价格为准。</w:t>
            </w:r>
            <w:r>
              <w:rPr>
                <w:rFonts w:ascii="宋体" w:hAnsi="宋体" w:eastAsia="宋体"/>
                <w:b/>
                <w:bCs/>
                <w:sz w:val="21"/>
                <w:szCs w:val="21"/>
                <w:lang w:val="en-US"/>
              </w:rPr>
            </w:r>
            <w:r/>
          </w:p>
        </w:tc>
        <w:tc>
          <w:tcPr>
            <w:tcW w:w="68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成交</w:t>
            </w:r>
            <w:r>
              <w:rPr>
                <w:rFonts w:ascii="宋体" w:hAnsi="宋体" w:eastAsia="宋体"/>
                <w:b/>
                <w:bCs/>
                <w:sz w:val="21"/>
                <w:szCs w:val="21"/>
                <w:lang w:val="en-US"/>
              </w:rPr>
              <w:t xml:space="preserve">的</w:t>
            </w:r>
            <w:r>
              <w:rPr>
                <w:rFonts w:ascii="宋体" w:hAnsi="宋体" w:eastAsia="宋体"/>
                <w:b/>
                <w:bCs/>
                <w:sz w:val="21"/>
                <w:szCs w:val="21"/>
                <w:lang w:val="en-US"/>
              </w:rPr>
            </w:r>
            <w:r/>
          </w:p>
          <w:p>
            <w:pPr>
              <w:pStyle w:val="1276"/>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eastAsia="zh-CN"/>
              </w:rPr>
              <w:t xml:space="preserve">优惠率</w:t>
            </w:r>
            <w:r>
              <w:rPr>
                <w:rFonts w:ascii="宋体" w:hAnsi="宋体" w:eastAsia="宋体"/>
                <w:b/>
                <w:bCs/>
                <w:sz w:val="21"/>
                <w:szCs w:val="21"/>
                <w:lang w:val="en-US"/>
              </w:rPr>
            </w:r>
            <w:r/>
          </w:p>
        </w:tc>
        <w:tc>
          <w:tcPr>
            <w:tcW w:w="625" w:type="dxa"/>
            <w:vAlign w:val="center"/>
            <w:textDirection w:val="lrTb"/>
            <w:noWrap w:val="false"/>
          </w:tcPr>
          <w:p>
            <w:pPr>
              <w:pStyle w:val="1276"/>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w:t>
            </w:r>
            <w:r>
              <w:rPr>
                <w:rFonts w:hint="eastAsia" w:ascii="宋体" w:hAnsi="宋体" w:eastAsia="宋体"/>
                <w:b/>
                <w:bCs/>
                <w:sz w:val="21"/>
                <w:szCs w:val="21"/>
                <w:lang w:val="en-US" w:eastAsia="zh-CN"/>
              </w:rPr>
              <w:t xml:space="preserve">优惠率</w:t>
            </w:r>
            <w:r>
              <w:rPr>
                <w:rFonts w:hint="eastAsia" w:ascii="宋体" w:hAnsi="宋体" w:eastAsia="宋体"/>
                <w:b/>
                <w:bCs/>
                <w:sz w:val="21"/>
                <w:szCs w:val="21"/>
                <w:lang w:val="en-US"/>
              </w:rPr>
              <w:t xml:space="preserve">）</w:t>
            </w:r>
            <w:r>
              <w:rPr>
                <w:rFonts w:ascii="宋体" w:hAnsi="宋体" w:eastAsia="宋体"/>
                <w:b/>
                <w:bCs/>
                <w:sz w:val="21"/>
                <w:szCs w:val="21"/>
                <w:lang w:val="en-US"/>
              </w:rPr>
            </w:r>
            <w:r/>
          </w:p>
        </w:tc>
        <w:tc>
          <w:tcPr>
            <w:tcW w:w="34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48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rPr>
                <w:rFonts w:ascii="宋体" w:hAnsi="宋体" w:eastAsia="宋体"/>
                <w:b/>
                <w:bCs/>
                <w:sz w:val="21"/>
                <w:szCs w:val="21"/>
                <w:lang w:val="en-US"/>
              </w:rPr>
            </w:r>
            <w:r/>
          </w:p>
        </w:tc>
        <w:tc>
          <w:tcPr>
            <w:tcW w:w="648"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8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5"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34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487" w:type="dxa"/>
            <w:vAlign w:val="center"/>
            <w:textDirection w:val="lrTb"/>
            <w:noWrap w:val="false"/>
          </w:tcPr>
          <w:p>
            <w:pPr>
              <w:pStyle w:val="1276"/>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276"/>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276"/>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甲方代表签字：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乙方代表签字：</w:t>
      </w:r>
      <w:r>
        <w:rPr>
          <w:rFonts w:ascii="宋体" w:hAnsi="宋体" w:eastAsia="宋体"/>
          <w:b/>
          <w:bCs/>
          <w:sz w:val="21"/>
          <w:szCs w:val="21"/>
          <w:lang w:val="en-US"/>
        </w:rPr>
      </w:r>
      <w:r/>
    </w:p>
    <w:p>
      <w:pPr>
        <w:pStyle w:val="1276"/>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276"/>
        <w:ind w:firstLine="480"/>
        <w:jc w:val="left"/>
        <w:spacing w:line="360" w:lineRule="auto"/>
        <w:rPr>
          <w:rFonts w:ascii="宋体" w:hAnsi="宋体" w:cs="宋体"/>
          <w:bCs/>
          <w:sz w:val="21"/>
          <w:szCs w:val="21"/>
        </w:rPr>
      </w:pPr>
      <w:r>
        <w:rPr>
          <w:rFonts w:hint="eastAsia" w:ascii="宋体" w:hAnsi="宋体" w:cs="宋体"/>
          <w:bCs/>
          <w:sz w:val="21"/>
          <w:szCs w:val="21"/>
          <w:lang w:bidi="ar"/>
        </w:rPr>
        <w:t xml:space="preserve">第</w:t>
      </w:r>
      <w:r>
        <w:rPr>
          <w:rFonts w:hint="eastAsia" w:ascii="宋体" w:hAnsi="宋体" w:cs="宋体"/>
          <w:bCs/>
          <w:sz w:val="21"/>
          <w:szCs w:val="21"/>
          <w:lang w:val="en-US" w:eastAsia="zh-CN" w:bidi="ar"/>
        </w:rPr>
        <w:t xml:space="preserve">九</w:t>
      </w:r>
      <w:r>
        <w:rPr>
          <w:rFonts w:hint="eastAsia" w:ascii="宋体" w:hAnsi="宋体" w:cs="宋体"/>
          <w:bCs/>
          <w:sz w:val="21"/>
          <w:szCs w:val="21"/>
          <w:lang w:bidi="ar"/>
        </w:rPr>
        <w:t xml:space="preserve">条 违约责任</w:t>
      </w:r>
      <w:r>
        <w:rPr>
          <w:rFonts w:hint="eastAsia" w:ascii="宋体" w:hAnsi="宋体" w:cs="宋体"/>
          <w:bCs/>
          <w:sz w:val="21"/>
          <w:szCs w:val="21"/>
          <w:lang w:bidi="ar"/>
        </w:rPr>
        <w:tab/>
      </w:r>
      <w:r>
        <w:rPr>
          <w:rFonts w:ascii="宋体" w:hAnsi="宋体" w:cs="宋体"/>
          <w:bCs/>
          <w:sz w:val="21"/>
          <w:szCs w:val="21"/>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1、</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应详细计划安排配送工作，防止误点错送，因天气、市场休市、应急加送食材等情况无法按时到货时，</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应制定并及时启动应急预案，确保</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的需求能按时、按质、足量配送到位。</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2、因乙方配送不及时（超过1小时）或不足量（少送、漏送量超过当次采购金额5%）导致运动员和教职工伙食供应延误的且经采取补救措施未造成甲方不良影响的，第一次扣除履约保证金的10%，第二次扣除履约保证金的30%，第三次扣除履约保证金的60%并甲方有权解除合同，同时甲方有权扣减当次货款的20%作为违约金，无需支付任何费用。</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3、因乙方配送不及时（超过1小时）或不足量（少送、漏送量超过当次采购金额5%）导致运动员和教职工伙食供应延误且未采取有效补救措施的，甲方有权解除合同，无需支付任何费用，并扣除全部履约保证金。乙方还须赔偿甲方因此产生的全部损失，包括但不限于临时采购溢价、人工成本、声誉损失及第三方索赔。。</w:t>
      </w:r>
      <w:r>
        <w:rPr>
          <w:rFonts w:ascii="宋体" w:hAnsi="宋体" w:cs="宋体"/>
          <w:sz w:val="21"/>
          <w:szCs w:val="21"/>
          <w:lang w:bidi="ar"/>
        </w:rPr>
      </w:r>
      <w:r/>
    </w:p>
    <w:p>
      <w:pPr>
        <w:pStyle w:val="1276"/>
        <w:ind w:firstLine="420"/>
        <w:jc w:val="left"/>
        <w:spacing w:line="360" w:lineRule="auto"/>
        <w:rPr>
          <w:rFonts w:hint="eastAsia" w:ascii="宋体" w:hAnsi="宋体" w:cs="宋体"/>
          <w:sz w:val="21"/>
          <w:szCs w:val="21"/>
          <w:lang w:bidi="ar"/>
        </w:rPr>
      </w:pPr>
      <w:r>
        <w:rPr>
          <w:rFonts w:hint="eastAsia" w:ascii="宋体" w:hAnsi="宋体" w:cs="宋体"/>
          <w:sz w:val="21"/>
          <w:szCs w:val="21"/>
          <w:lang w:bidi="ar"/>
        </w:rPr>
        <w:t xml:space="preserve">4、</w:t>
      </w:r>
      <w:r>
        <w:rPr>
          <w:rFonts w:ascii="宋体" w:hAnsi="宋体" w:eastAsia="宋体"/>
          <w:sz w:val="21"/>
          <w:szCs w:val="21"/>
        </w:rPr>
        <w:t xml:space="preserve">如单位食堂临时增加用餐人员需临时补充食材的，</w:t>
      </w:r>
      <w:r>
        <w:rPr>
          <w:rFonts w:hint="eastAsia" w:ascii="宋体" w:hAnsi="宋体" w:eastAsia="宋体"/>
          <w:sz w:val="21"/>
          <w:szCs w:val="21"/>
        </w:rPr>
        <w:t xml:space="preserve">乙方</w:t>
      </w:r>
      <w:r>
        <w:rPr>
          <w:rFonts w:ascii="宋体" w:hAnsi="宋体" w:eastAsia="宋体"/>
          <w:sz w:val="21"/>
          <w:szCs w:val="21"/>
        </w:rPr>
        <w:t xml:space="preserve">在接到通知后2</w:t>
      </w:r>
      <w:r>
        <w:rPr>
          <w:rFonts w:hint="eastAsia" w:ascii="宋体" w:hAnsi="宋体" w:eastAsia="宋体"/>
          <w:sz w:val="21"/>
          <w:szCs w:val="21"/>
        </w:rPr>
        <w:t xml:space="preserve">小时</w:t>
      </w:r>
      <w:r>
        <w:rPr>
          <w:rFonts w:ascii="宋体" w:hAnsi="宋体" w:eastAsia="宋体"/>
          <w:sz w:val="21"/>
          <w:szCs w:val="21"/>
        </w:rPr>
        <w:t xml:space="preserve">内必须无条件把指定的食材送至单位食堂。否则</w:t>
      </w:r>
      <w:r>
        <w:rPr>
          <w:rFonts w:hint="eastAsia" w:ascii="宋体" w:hAnsi="宋体" w:eastAsia="宋体"/>
          <w:sz w:val="21"/>
          <w:szCs w:val="21"/>
        </w:rPr>
        <w:t xml:space="preserve">第一次</w:t>
      </w:r>
      <w:r>
        <w:rPr>
          <w:rFonts w:ascii="宋体" w:hAnsi="宋体" w:eastAsia="宋体"/>
          <w:sz w:val="21"/>
          <w:szCs w:val="21"/>
        </w:rPr>
        <w:t xml:space="preserve">扣除</w:t>
      </w:r>
      <w:r>
        <w:rPr>
          <w:rFonts w:hint="eastAsia" w:ascii="宋体" w:hAnsi="宋体" w:eastAsia="宋体"/>
          <w:sz w:val="21"/>
          <w:szCs w:val="21"/>
        </w:rPr>
        <w:t xml:space="preserve">履约</w:t>
      </w:r>
      <w:r>
        <w:rPr>
          <w:rFonts w:ascii="宋体" w:hAnsi="宋体" w:eastAsia="宋体"/>
          <w:sz w:val="21"/>
          <w:szCs w:val="21"/>
        </w:rPr>
        <w:t xml:space="preserve">保证金的5%，第二次扣除</w:t>
      </w:r>
      <w:r>
        <w:rPr>
          <w:rFonts w:hint="eastAsia" w:ascii="宋体" w:hAnsi="宋体" w:eastAsia="宋体"/>
          <w:sz w:val="21"/>
          <w:szCs w:val="21"/>
        </w:rPr>
        <w:t xml:space="preserve">履约</w:t>
      </w:r>
      <w:r>
        <w:rPr>
          <w:rFonts w:ascii="宋体" w:hAnsi="宋体" w:eastAsia="宋体"/>
          <w:sz w:val="21"/>
          <w:szCs w:val="21"/>
        </w:rPr>
        <w:t xml:space="preserve">保证金的10%</w:t>
      </w:r>
      <w:r>
        <w:rPr>
          <w:rFonts w:hint="eastAsia" w:ascii="宋体" w:hAnsi="宋体" w:eastAsia="宋体"/>
          <w:sz w:val="21"/>
          <w:szCs w:val="21"/>
        </w:rPr>
        <w:t xml:space="preserve">，</w:t>
      </w:r>
      <w:r>
        <w:rPr>
          <w:rFonts w:ascii="宋体" w:hAnsi="宋体" w:eastAsia="宋体"/>
          <w:sz w:val="21"/>
          <w:szCs w:val="21"/>
        </w:rPr>
        <w:t xml:space="preserve">第三次扣除</w:t>
      </w:r>
      <w:r>
        <w:rPr>
          <w:rFonts w:hint="eastAsia" w:ascii="宋体" w:hAnsi="宋体" w:eastAsia="宋体"/>
          <w:sz w:val="21"/>
          <w:szCs w:val="21"/>
        </w:rPr>
        <w:t xml:space="preserve">履约保证金的</w:t>
      </w:r>
      <w:r>
        <w:rPr>
          <w:rFonts w:ascii="宋体" w:hAnsi="宋体" w:eastAsia="宋体"/>
          <w:sz w:val="21"/>
          <w:szCs w:val="21"/>
        </w:rPr>
        <w:t xml:space="preserve">20%并解除合同。</w:t>
      </w:r>
      <w:r>
        <w:rPr>
          <w:rFonts w:hint="eastAsia"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val="en-US" w:eastAsia="zh-CN" w:bidi="ar"/>
        </w:rPr>
        <w:t xml:space="preserve">5、</w:t>
      </w:r>
      <w:r>
        <w:rPr>
          <w:rFonts w:hint="eastAsia" w:ascii="宋体" w:hAnsi="宋体" w:cs="宋体"/>
          <w:sz w:val="21"/>
          <w:szCs w:val="21"/>
          <w:lang w:bidi="ar"/>
        </w:rPr>
        <w:t xml:space="preserve">凡经相关部门认定，如因</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所提供的原料原因造成</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食堂出现食物中毒等卫生事故的，</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除必须承担全部的法律责任与救治、赔偿费用外，还要全额承担因食物中毒发生造成后果的一切费用。</w:t>
      </w:r>
      <w:r>
        <w:rPr>
          <w:rFonts w:hint="eastAsia" w:ascii="宋体" w:hAnsi="宋体" w:cs="宋体"/>
          <w:sz w:val="21"/>
          <w:szCs w:val="21"/>
          <w:lang w:val="en-US" w:eastAsia="zh-CN" w:bidi="ar"/>
        </w:rPr>
        <w:t xml:space="preserve">甲方有权</w:t>
      </w:r>
      <w:r>
        <w:rPr>
          <w:rFonts w:hint="eastAsia" w:ascii="宋体" w:hAnsi="宋体" w:cs="宋体"/>
          <w:sz w:val="21"/>
          <w:szCs w:val="21"/>
          <w:lang w:bidi="ar"/>
        </w:rPr>
        <w:t xml:space="preserve">立即</w:t>
      </w:r>
      <w:r>
        <w:rPr>
          <w:rFonts w:hint="eastAsia" w:ascii="宋体" w:hAnsi="宋体" w:cs="宋体"/>
          <w:sz w:val="21"/>
          <w:szCs w:val="21"/>
          <w:lang w:val="en-US" w:eastAsia="zh-CN" w:bidi="ar"/>
        </w:rPr>
        <w:t xml:space="preserve">要求</w:t>
      </w:r>
      <w:r>
        <w:rPr>
          <w:rFonts w:hint="eastAsia" w:ascii="宋体" w:hAnsi="宋体" w:cs="宋体"/>
          <w:sz w:val="21"/>
          <w:szCs w:val="21"/>
          <w:lang w:bidi="ar"/>
        </w:rPr>
        <w:t xml:space="preserve">停止供货，</w:t>
      </w:r>
      <w:r>
        <w:rPr>
          <w:rFonts w:hint="eastAsia" w:ascii="宋体" w:hAnsi="宋体" w:cs="宋体"/>
          <w:sz w:val="21"/>
          <w:szCs w:val="21"/>
          <w:lang w:val="en-US" w:eastAsia="zh-CN" w:bidi="ar"/>
        </w:rPr>
        <w:t xml:space="preserve">且</w:t>
      </w:r>
      <w:r>
        <w:rPr>
          <w:rFonts w:hint="eastAsia" w:ascii="宋体" w:hAnsi="宋体" w:cs="宋体"/>
          <w:sz w:val="21"/>
          <w:szCs w:val="21"/>
          <w:lang w:bidi="ar"/>
        </w:rPr>
        <w:t xml:space="preserve">有权暂扣当月所有供应原料的货款作为乙方的赔偿预付款，不足部分乙方需补足。同时甲方有权解除合同，</w:t>
      </w:r>
      <w:r>
        <w:rPr>
          <w:rFonts w:hint="eastAsia" w:ascii="宋体" w:hAnsi="宋体" w:cs="宋体"/>
          <w:sz w:val="21"/>
          <w:szCs w:val="21"/>
          <w:lang w:val="en-US" w:eastAsia="zh-CN" w:bidi="ar"/>
        </w:rPr>
        <w:t xml:space="preserve">要求乙方支付已发生货款30%的违约金</w:t>
      </w:r>
      <w:r>
        <w:rPr>
          <w:rFonts w:hint="eastAsia" w:ascii="宋体" w:hAnsi="宋体" w:cs="宋体"/>
          <w:sz w:val="21"/>
          <w:szCs w:val="21"/>
          <w:lang w:bidi="ar"/>
        </w:rPr>
        <w:t xml:space="preserve">。</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val="en-US" w:eastAsia="zh-CN" w:bidi="ar"/>
        </w:rPr>
        <w:t xml:space="preserve">6</w:t>
      </w:r>
      <w:r>
        <w:rPr>
          <w:rFonts w:hint="eastAsia" w:ascii="宋体" w:hAnsi="宋体" w:cs="宋体"/>
          <w:sz w:val="21"/>
          <w:szCs w:val="21"/>
          <w:lang w:bidi="ar"/>
        </w:rPr>
        <w:t xml:space="preserve">、甲方将定期或不定期地组织专人对</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所供货物的质量送质检部门抽检，若发现货物质量检测结果与采购文件质量标准不符，</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有权酌情予以罚款、没收保证金、解除合同等处罚。</w:t>
      </w:r>
      <w:r>
        <w:rPr>
          <w:rFonts w:ascii="宋体" w:hAnsi="宋体" w:cs="宋体"/>
          <w:sz w:val="21"/>
          <w:szCs w:val="21"/>
          <w:lang w:bidi="ar"/>
        </w:rPr>
      </w:r>
      <w:r/>
    </w:p>
    <w:p>
      <w:pPr>
        <w:pStyle w:val="1276"/>
        <w:ind w:firstLine="420"/>
        <w:jc w:val="left"/>
        <w:spacing w:line="360" w:lineRule="auto"/>
        <w:rPr>
          <w:rFonts w:ascii="宋体" w:hAnsi="宋体" w:cs="宋体"/>
          <w:sz w:val="21"/>
          <w:szCs w:val="21"/>
          <w:lang w:bidi="ar"/>
        </w:rPr>
      </w:pPr>
      <w:r>
        <w:rPr>
          <w:rFonts w:hint="eastAsia" w:ascii="宋体" w:hAnsi="宋体" w:cs="宋体"/>
          <w:sz w:val="21"/>
          <w:szCs w:val="21"/>
          <w:lang w:val="en-US" w:eastAsia="zh-CN" w:bidi="ar"/>
        </w:rPr>
        <w:t xml:space="preserve">7</w:t>
      </w:r>
      <w:r>
        <w:rPr>
          <w:rFonts w:hint="eastAsia" w:ascii="宋体" w:hAnsi="宋体" w:cs="宋体"/>
          <w:sz w:val="21"/>
          <w:szCs w:val="21"/>
          <w:lang w:bidi="ar"/>
        </w:rPr>
        <w:t xml:space="preserve">、发现食品安全质量问题，对危及人身安全的食品质量问题采取零容忍措施；</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全额承担因食物中毒事件造成后果的一切费用，包括不限于食物中毒人员医疗费、误工费、事故处理费等，并暂扣当月所有供应原料的货款作为</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赔偿预付款，</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有权取消其供货配送资格，同时保留进一步追究的权力。</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同时承担相应的民事及刑事法律责任及放弃先诉抗辩权。</w:t>
      </w:r>
      <w:r>
        <w:rPr>
          <w:rFonts w:ascii="宋体" w:hAnsi="宋体" w:cs="宋体"/>
          <w:sz w:val="21"/>
          <w:szCs w:val="21"/>
          <w:lang w:bidi="ar"/>
        </w:rPr>
      </w:r>
      <w:r/>
    </w:p>
    <w:p>
      <w:pPr>
        <w:pStyle w:val="1276"/>
        <w:ind w:firstLine="420"/>
        <w:jc w:val="left"/>
        <w:spacing w:line="360" w:lineRule="auto"/>
        <w:rPr>
          <w:rFonts w:hint="eastAsia" w:ascii="宋体" w:hAnsi="宋体" w:eastAsia="宋体" w:cs="宋体"/>
          <w:sz w:val="21"/>
          <w:szCs w:val="21"/>
          <w:lang w:eastAsia="zh-CN" w:bidi="ar"/>
        </w:rPr>
      </w:pPr>
      <w:r>
        <w:rPr>
          <w:rFonts w:hint="eastAsia" w:ascii="宋体" w:hAnsi="宋体" w:cs="宋体"/>
          <w:sz w:val="21"/>
          <w:szCs w:val="21"/>
          <w:lang w:val="en-US" w:eastAsia="zh-CN" w:bidi="ar"/>
        </w:rPr>
        <w:t xml:space="preserve">8</w:t>
      </w:r>
      <w:r>
        <w:rPr>
          <w:rFonts w:hint="eastAsia" w:ascii="宋体" w:hAnsi="宋体" w:cs="宋体"/>
          <w:sz w:val="21"/>
          <w:szCs w:val="21"/>
          <w:lang w:bidi="ar"/>
        </w:rPr>
        <w:t xml:space="preserve">、凡定量包装货品应符合相关规定，足量供应。如有供应食材短斤少两的，一经查实，</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均需按当月总釆购量的3倍误差值向</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支付违约金</w:t>
      </w:r>
      <w:r>
        <w:rPr>
          <w:rFonts w:hint="eastAsia" w:ascii="宋体" w:hAnsi="宋体" w:cs="宋体"/>
          <w:sz w:val="21"/>
          <w:szCs w:val="21"/>
          <w:lang w:eastAsia="zh-CN" w:bidi="ar"/>
        </w:rPr>
        <w:t xml:space="preserve">，违约金不足1000元的按1000元计算。</w:t>
      </w:r>
      <w:r>
        <w:rPr>
          <w:rFonts w:hint="eastAsia" w:ascii="宋体" w:hAnsi="宋体" w:eastAsia="宋体" w:cs="宋体"/>
          <w:sz w:val="21"/>
          <w:szCs w:val="21"/>
          <w:lang w:eastAsia="zh-CN" w:bidi="ar"/>
        </w:rPr>
      </w:r>
      <w:r/>
    </w:p>
    <w:p>
      <w:pPr>
        <w:pStyle w:val="1276"/>
        <w:ind w:firstLine="420"/>
        <w:jc w:val="left"/>
        <w:spacing w:line="360" w:lineRule="auto"/>
        <w:rPr>
          <w:rFonts w:hint="eastAsia" w:ascii="宋体" w:hAnsi="宋体" w:cs="宋体"/>
          <w:sz w:val="21"/>
          <w:szCs w:val="21"/>
          <w:lang w:bidi="ar"/>
        </w:rPr>
      </w:pPr>
      <w:r>
        <w:rPr>
          <w:rFonts w:hint="eastAsia" w:ascii="宋体" w:hAnsi="宋体" w:cs="宋体"/>
          <w:sz w:val="21"/>
          <w:szCs w:val="21"/>
          <w:lang w:val="en-US" w:eastAsia="zh-CN" w:bidi="ar"/>
        </w:rPr>
        <w:t xml:space="preserve">9</w:t>
      </w:r>
      <w:r>
        <w:rPr>
          <w:rFonts w:hint="eastAsia" w:ascii="宋体" w:hAnsi="宋体" w:cs="宋体"/>
          <w:sz w:val="21"/>
          <w:szCs w:val="21"/>
          <w:lang w:bidi="ar"/>
        </w:rPr>
        <w:t xml:space="preserve">、乙方投标属虚假承诺，或经权威部门监测提供的服务不能满足采购文件要求，或是由于乙方的过错造成合同无法继续履行的，乙方应向甲方支付不少于合同总价30%赔偿金。</w:t>
      </w:r>
      <w:r>
        <w:rPr>
          <w:rFonts w:hint="eastAsia" w:ascii="宋体" w:hAnsi="宋体" w:cs="宋体"/>
          <w:sz w:val="21"/>
          <w:szCs w:val="21"/>
          <w:lang w:bidi="ar"/>
        </w:rPr>
      </w:r>
      <w:r/>
    </w:p>
    <w:p>
      <w:pPr>
        <w:pStyle w:val="1276"/>
        <w:ind w:firstLine="420"/>
        <w:jc w:val="left"/>
        <w:spacing w:line="360" w:lineRule="auto"/>
        <w:rPr>
          <w:rFonts w:hint="eastAsia" w:ascii="宋体" w:hAnsi="宋体" w:eastAsia="宋体" w:cs="宋体"/>
          <w:sz w:val="21"/>
          <w:szCs w:val="21"/>
          <w:lang w:val="en-US" w:eastAsia="zh-CN" w:bidi="ar"/>
        </w:rPr>
        <w:outlineLvl w:val="9"/>
      </w:pPr>
      <w:r>
        <w:rPr>
          <w:rFonts w:hint="eastAsia" w:hAnsi="宋体" w:cs="宋体"/>
          <w:sz w:val="21"/>
          <w:szCs w:val="21"/>
          <w:lang w:val="en-US" w:eastAsia="zh-CN" w:bidi="ar"/>
        </w:rPr>
        <w:t xml:space="preserve">10、</w:t>
      </w:r>
      <w:r>
        <w:rPr>
          <w:rFonts w:hint="eastAsia" w:ascii="宋体" w:hAnsi="宋体" w:eastAsia="宋体" w:cs="宋体"/>
          <w:sz w:val="21"/>
          <w:szCs w:val="21"/>
          <w:lang w:val="en-US" w:eastAsia="zh-CN" w:bidi="ar"/>
        </w:rPr>
        <w:t xml:space="preserve">乙方中标后拒不与甲方订立合同的，属于乙方违约，采购人有权不予退还履约保证金的 20%；乙方在合同履行期间，无正当理由中途放弃履行本合同约定义务的，构成严重违约，甲方有权不予退还履约保证金的 50%。</w:t>
      </w:r>
      <w:r>
        <w:rPr>
          <w:rFonts w:hint="eastAsia" w:ascii="宋体" w:hAnsi="宋体" w:eastAsia="宋体" w:cs="宋体"/>
          <w:sz w:val="21"/>
          <w:szCs w:val="21"/>
          <w:lang w:val="en-US" w:eastAsia="zh-CN" w:bidi="ar"/>
        </w:rPr>
      </w:r>
      <w:r/>
    </w:p>
    <w:p>
      <w:pPr>
        <w:pStyle w:val="1276"/>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w:t>
      </w:r>
      <w:r>
        <w:rPr>
          <w:rFonts w:hint="eastAsia" w:ascii="宋体" w:hAnsi="宋体" w:cs="宋体"/>
          <w:bCs/>
          <w:sz w:val="21"/>
          <w:szCs w:val="21"/>
          <w:lang w:val="en-US" w:eastAsia="zh-CN" w:bidi="ar"/>
        </w:rPr>
        <w:t xml:space="preserve">十</w:t>
      </w:r>
      <w:r>
        <w:rPr>
          <w:rFonts w:hint="eastAsia" w:ascii="宋体" w:hAnsi="宋体" w:cs="宋体"/>
          <w:bCs/>
          <w:sz w:val="21"/>
          <w:szCs w:val="21"/>
          <w:lang w:bidi="ar"/>
        </w:rPr>
        <w:t xml:space="preserve">条 合同的变更和终止</w:t>
      </w:r>
      <w:r>
        <w:rPr>
          <w:rFonts w:ascii="宋体" w:hAnsi="宋体" w:cs="宋体"/>
          <w:bCs/>
          <w:sz w:val="21"/>
          <w:szCs w:val="21"/>
        </w:rPr>
      </w:r>
      <w:r/>
    </w:p>
    <w:p>
      <w:pPr>
        <w:pStyle w:val="1276"/>
        <w:ind w:firstLine="480"/>
        <w:jc w:val="left"/>
        <w:spacing w:line="360" w:lineRule="auto"/>
        <w:rPr>
          <w:rFonts w:ascii="宋体" w:hAnsi="宋体" w:cs="宋体"/>
          <w:sz w:val="21"/>
          <w:szCs w:val="21"/>
        </w:rPr>
      </w:pPr>
      <w:r>
        <w:rPr>
          <w:rFonts w:hint="eastAsia" w:ascii="宋体" w:hAnsi="宋体" w:cs="宋体"/>
          <w:sz w:val="21"/>
          <w:szCs w:val="21"/>
          <w:lang w:bidi="ar"/>
        </w:rPr>
        <w:t xml:space="preserve">1、除《政府采购法》第50条第二款规定的情形外，本合同一经签订，甲乙双方不得擅自变更、中止或终止合同。</w:t>
      </w:r>
      <w:r>
        <w:rPr>
          <w:rFonts w:ascii="宋体" w:hAnsi="宋体" w:cs="宋体"/>
          <w:sz w:val="21"/>
          <w:szCs w:val="21"/>
        </w:rPr>
      </w:r>
      <w:r/>
    </w:p>
    <w:p>
      <w:pPr>
        <w:pStyle w:val="1276"/>
        <w:ind w:firstLine="480"/>
        <w:jc w:val="left"/>
        <w:spacing w:line="360" w:lineRule="auto"/>
        <w:rPr>
          <w:rFonts w:ascii="宋体" w:hAnsi="宋体" w:cs="宋体"/>
          <w:sz w:val="21"/>
          <w:szCs w:val="21"/>
        </w:rPr>
      </w:pPr>
      <w:r>
        <w:rPr>
          <w:rFonts w:hint="eastAsia" w:ascii="宋体" w:hAnsi="宋体" w:cs="宋体"/>
          <w:sz w:val="21"/>
          <w:szCs w:val="21"/>
          <w:lang w:bidi="ar"/>
        </w:rPr>
        <w:t xml:space="preserve">2、除发生法律规定的不能预见、不能避免并不能克服的客观情况外，甲乙双方不得放弃或拒绝履行合同。乙方放弃或拒绝履行合同，保证金不予退还，在三年内不得参加南京市的政府采购活动。</w:t>
      </w:r>
      <w:r>
        <w:rPr>
          <w:rFonts w:ascii="宋体" w:hAnsi="宋体" w:cs="宋体"/>
          <w:sz w:val="21"/>
          <w:szCs w:val="21"/>
        </w:rPr>
      </w:r>
      <w:r/>
    </w:p>
    <w:p>
      <w:pPr>
        <w:pStyle w:val="1276"/>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第十</w:t>
      </w:r>
      <w:r>
        <w:rPr>
          <w:rFonts w:hint="eastAsia" w:ascii="宋体" w:hAnsi="宋体" w:cs="宋体"/>
          <w:bCs/>
          <w:sz w:val="21"/>
          <w:szCs w:val="21"/>
          <w:lang w:val="en-US" w:eastAsia="zh-CN" w:bidi="ar"/>
        </w:rPr>
        <w:t xml:space="preserve">一</w:t>
      </w:r>
      <w:r>
        <w:rPr>
          <w:rFonts w:hint="eastAsia" w:ascii="宋体" w:hAnsi="宋体" w:cs="宋体"/>
          <w:bCs/>
          <w:sz w:val="21"/>
          <w:szCs w:val="21"/>
          <w:lang w:bidi="ar"/>
        </w:rPr>
        <w:t xml:space="preserve">条 合同的转让</w:t>
      </w:r>
      <w:r>
        <w:rPr>
          <w:rFonts w:ascii="宋体" w:hAnsi="宋体" w:cs="宋体"/>
          <w:bCs/>
          <w:sz w:val="21"/>
          <w:szCs w:val="21"/>
        </w:rPr>
      </w:r>
      <w:r/>
    </w:p>
    <w:p>
      <w:pPr>
        <w:pStyle w:val="1276"/>
        <w:ind w:firstLine="420"/>
        <w:jc w:val="left"/>
        <w:spacing w:line="360" w:lineRule="auto"/>
        <w:rPr>
          <w:rFonts w:ascii="宋体" w:hAnsi="宋体" w:cs="宋体"/>
          <w:sz w:val="21"/>
          <w:szCs w:val="21"/>
        </w:rPr>
      </w:pPr>
      <w:r>
        <w:rPr>
          <w:rFonts w:hint="eastAsia"/>
          <w:sz w:val="21"/>
          <w:szCs w:val="21"/>
          <w:lang w:bidi="ar"/>
        </w:rPr>
        <w:t xml:space="preserve">乙方不得擅自部分或全部转让其应履行的合同义务，否则后果由乙方承担，甲方有权解除合同，解除合同的通知自到达乙方时生效，乙方除应返还甲方已付款项外（如有）还应当赔偿合同总价</w:t>
      </w:r>
      <w:r>
        <w:rPr>
          <w:sz w:val="21"/>
          <w:szCs w:val="21"/>
          <w:lang w:bidi="ar"/>
        </w:rPr>
        <w:t xml:space="preserve">20%的违约金。</w:t>
      </w:r>
      <w:r>
        <w:rPr>
          <w:rFonts w:ascii="宋体" w:hAnsi="宋体" w:cs="宋体"/>
          <w:sz w:val="21"/>
          <w:szCs w:val="21"/>
        </w:rPr>
      </w:r>
      <w:r/>
    </w:p>
    <w:p>
      <w:pPr>
        <w:pStyle w:val="1276"/>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第十</w:t>
      </w:r>
      <w:r>
        <w:rPr>
          <w:rFonts w:hint="eastAsia" w:ascii="宋体" w:hAnsi="宋体" w:cs="宋体"/>
          <w:bCs/>
          <w:sz w:val="21"/>
          <w:szCs w:val="21"/>
          <w:lang w:val="en-US" w:eastAsia="zh-CN" w:bidi="ar"/>
        </w:rPr>
        <w:t xml:space="preserve">二</w:t>
      </w:r>
      <w:r>
        <w:rPr>
          <w:rFonts w:hint="eastAsia" w:ascii="宋体" w:hAnsi="宋体" w:cs="宋体"/>
          <w:bCs/>
          <w:sz w:val="21"/>
          <w:szCs w:val="21"/>
          <w:lang w:bidi="ar"/>
        </w:rPr>
        <w:t xml:space="preserve">条 争议的解决</w:t>
      </w:r>
      <w:r>
        <w:rPr>
          <w:rFonts w:ascii="宋体" w:hAnsi="宋体" w:cs="宋体"/>
          <w:bCs/>
          <w:sz w:val="21"/>
          <w:szCs w:val="21"/>
        </w:rPr>
      </w:r>
      <w:r/>
    </w:p>
    <w:p>
      <w:pPr>
        <w:pStyle w:val="1276"/>
        <w:ind w:firstLine="420"/>
        <w:jc w:val="left"/>
        <w:spacing w:line="360" w:lineRule="auto"/>
        <w:rPr>
          <w:rFonts w:ascii="宋体" w:hAnsi="宋体" w:cs="宋体"/>
          <w:sz w:val="21"/>
          <w:szCs w:val="21"/>
        </w:rPr>
      </w:pPr>
      <w:r>
        <w:rPr>
          <w:rFonts w:ascii="宋体" w:hAnsi="宋体" w:cs="宋体"/>
          <w:sz w:val="21"/>
          <w:szCs w:val="21"/>
          <w:lang w:bidi="ar"/>
        </w:rPr>
        <w:t xml:space="preserve">1</w:t>
      </w:r>
      <w:r>
        <w:rPr>
          <w:rFonts w:hint="eastAsia" w:ascii="宋体" w:hAnsi="宋体" w:cs="宋体"/>
          <w:sz w:val="21"/>
          <w:szCs w:val="21"/>
          <w:lang w:bidi="ar"/>
        </w:rPr>
        <w:t xml:space="preserve">、因履行本合同引起的或与本合同有关的争议，甲、乙双方应首先通过友好协商解决，如果协商不能解决争议，则采取以下第（1）种方式解决争议：</w:t>
      </w:r>
      <w:r>
        <w:rPr>
          <w:rFonts w:ascii="宋体" w:hAnsi="宋体" w:cs="宋体"/>
          <w:sz w:val="21"/>
          <w:szCs w:val="21"/>
        </w:rPr>
      </w:r>
      <w:r/>
    </w:p>
    <w:p>
      <w:pPr>
        <w:pStyle w:val="1276"/>
        <w:ind w:firstLine="560"/>
        <w:jc w:val="left"/>
        <w:spacing w:line="360" w:lineRule="auto"/>
        <w:rPr>
          <w:rFonts w:ascii="宋体" w:hAnsi="宋体" w:cs="宋体"/>
          <w:sz w:val="21"/>
          <w:szCs w:val="21"/>
        </w:rPr>
      </w:pPr>
      <w:r>
        <w:rPr>
          <w:rFonts w:hint="eastAsia" w:ascii="宋体" w:hAnsi="宋体" w:cs="宋体"/>
          <w:sz w:val="21"/>
          <w:szCs w:val="21"/>
          <w:lang w:bidi="ar"/>
        </w:rPr>
        <w:t xml:space="preserve">（1）向甲方所在地有管辖权的人民法院提起诉讼；</w:t>
      </w:r>
      <w:r>
        <w:rPr>
          <w:rFonts w:ascii="宋体" w:hAnsi="宋体" w:cs="宋体"/>
          <w:sz w:val="21"/>
          <w:szCs w:val="21"/>
        </w:rPr>
      </w:r>
      <w:r/>
    </w:p>
    <w:p>
      <w:pPr>
        <w:pStyle w:val="1276"/>
        <w:ind w:firstLine="560"/>
        <w:jc w:val="left"/>
        <w:spacing w:line="360" w:lineRule="auto"/>
        <w:rPr>
          <w:rFonts w:ascii="宋体" w:hAnsi="宋体" w:cs="宋体"/>
          <w:sz w:val="21"/>
          <w:szCs w:val="21"/>
        </w:rPr>
      </w:pPr>
      <w:r>
        <w:rPr>
          <w:rFonts w:hint="eastAsia" w:ascii="宋体" w:hAnsi="宋体" w:cs="宋体"/>
          <w:sz w:val="21"/>
          <w:szCs w:val="21"/>
          <w:lang w:bidi="ar"/>
        </w:rPr>
        <w:t xml:space="preserve">（2）向南京仲裁委员会按其仲裁规则申请仲裁。</w:t>
      </w:r>
      <w:r>
        <w:rPr>
          <w:rFonts w:ascii="宋体" w:hAnsi="宋体" w:cs="宋体"/>
          <w:sz w:val="21"/>
          <w:szCs w:val="21"/>
        </w:rPr>
      </w:r>
      <w:r/>
    </w:p>
    <w:p>
      <w:pPr>
        <w:pStyle w:val="1276"/>
        <w:ind w:firstLine="420"/>
        <w:jc w:val="left"/>
        <w:spacing w:line="360" w:lineRule="auto"/>
        <w:rPr>
          <w:rFonts w:ascii="宋体" w:hAnsi="宋体" w:cs="宋体"/>
          <w:sz w:val="21"/>
          <w:szCs w:val="21"/>
        </w:rPr>
      </w:pPr>
      <w:r>
        <w:rPr>
          <w:rFonts w:ascii="宋体" w:hAnsi="宋体" w:cs="宋体"/>
          <w:sz w:val="21"/>
          <w:szCs w:val="21"/>
          <w:lang w:bidi="ar"/>
        </w:rPr>
        <w:t xml:space="preserve">2</w:t>
      </w:r>
      <w:r>
        <w:rPr>
          <w:rFonts w:hint="eastAsia" w:ascii="宋体" w:hAnsi="宋体" w:cs="宋体"/>
          <w:sz w:val="21"/>
          <w:szCs w:val="21"/>
          <w:lang w:bidi="ar"/>
        </w:rPr>
        <w:t xml:space="preserve">、在诉讼期间，本合同应继续履行。</w:t>
      </w:r>
      <w:r>
        <w:rPr>
          <w:rFonts w:ascii="宋体" w:hAnsi="宋体" w:cs="宋体"/>
          <w:sz w:val="21"/>
          <w:szCs w:val="21"/>
        </w:rPr>
      </w:r>
      <w:r/>
    </w:p>
    <w:p>
      <w:pPr>
        <w:pStyle w:val="1276"/>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第十</w:t>
      </w:r>
      <w:r>
        <w:rPr>
          <w:rFonts w:hint="eastAsia" w:ascii="宋体" w:hAnsi="宋体" w:cs="宋体"/>
          <w:bCs/>
          <w:sz w:val="21"/>
          <w:szCs w:val="21"/>
          <w:lang w:val="en-US" w:eastAsia="zh-CN" w:bidi="ar"/>
        </w:rPr>
        <w:t xml:space="preserve">三</w:t>
      </w:r>
      <w:r>
        <w:rPr>
          <w:rFonts w:hint="eastAsia" w:ascii="宋体" w:hAnsi="宋体" w:cs="宋体"/>
          <w:bCs/>
          <w:sz w:val="21"/>
          <w:szCs w:val="21"/>
          <w:lang w:bidi="ar"/>
        </w:rPr>
        <w:t xml:space="preserve">条 诚实信用 </w:t>
      </w:r>
      <w:r>
        <w:rPr>
          <w:rFonts w:ascii="宋体" w:hAnsi="宋体" w:cs="宋体"/>
          <w:bCs/>
          <w:sz w:val="21"/>
          <w:szCs w:val="21"/>
        </w:rPr>
      </w:r>
      <w:r/>
    </w:p>
    <w:p>
      <w:pPr>
        <w:pStyle w:val="1276"/>
        <w:ind w:firstLine="420"/>
        <w:jc w:val="left"/>
        <w:spacing w:line="360" w:lineRule="auto"/>
        <w:rPr>
          <w:rFonts w:ascii="宋体" w:hAnsi="宋体" w:cs="宋体"/>
          <w:sz w:val="21"/>
          <w:szCs w:val="21"/>
        </w:rPr>
      </w:pPr>
      <w:r>
        <w:rPr>
          <w:rFonts w:hint="eastAsia" w:ascii="宋体" w:hAnsi="宋体" w:cs="宋体"/>
          <w:sz w:val="21"/>
          <w:szCs w:val="21"/>
          <w:lang w:bidi="ar"/>
        </w:rPr>
        <w:t xml:space="preserve">乙方应诚实信用，严格按照采购文件要求和承诺履行合同，不向甲方进行商业贿赂或者提供不正当利益。</w:t>
      </w:r>
      <w:r>
        <w:rPr>
          <w:rFonts w:ascii="宋体" w:hAnsi="宋体" w:cs="宋体"/>
          <w:sz w:val="21"/>
          <w:szCs w:val="21"/>
        </w:rPr>
      </w:r>
      <w:r/>
    </w:p>
    <w:p>
      <w:pPr>
        <w:pStyle w:val="1276"/>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第十</w:t>
      </w:r>
      <w:r>
        <w:rPr>
          <w:rFonts w:hint="eastAsia" w:ascii="宋体" w:hAnsi="宋体" w:cs="宋体"/>
          <w:bCs/>
          <w:sz w:val="21"/>
          <w:szCs w:val="21"/>
          <w:lang w:val="en-US" w:eastAsia="zh-CN" w:bidi="ar"/>
        </w:rPr>
        <w:t xml:space="preserve">四</w:t>
      </w:r>
      <w:r>
        <w:rPr>
          <w:rFonts w:hint="eastAsia" w:ascii="宋体" w:hAnsi="宋体" w:cs="宋体"/>
          <w:bCs/>
          <w:sz w:val="21"/>
          <w:szCs w:val="21"/>
          <w:lang w:bidi="ar"/>
        </w:rPr>
        <w:t xml:space="preserve">条 合同生效及其他</w:t>
      </w:r>
      <w:r>
        <w:rPr>
          <w:rFonts w:ascii="宋体" w:hAnsi="宋体" w:cs="宋体"/>
          <w:bCs/>
          <w:sz w:val="21"/>
          <w:szCs w:val="21"/>
        </w:rPr>
      </w:r>
      <w:r/>
    </w:p>
    <w:p>
      <w:pPr>
        <w:pStyle w:val="1276"/>
        <w:ind w:firstLine="420"/>
        <w:jc w:val="left"/>
        <w:spacing w:line="360" w:lineRule="auto"/>
        <w:rPr>
          <w:rFonts w:ascii="宋体" w:hAnsi="宋体" w:cs="宋体"/>
          <w:sz w:val="21"/>
          <w:szCs w:val="21"/>
        </w:rPr>
      </w:pPr>
      <w:r>
        <w:rPr>
          <w:rFonts w:hint="eastAsia" w:ascii="宋体" w:hAnsi="宋体" w:cs="宋体"/>
          <w:sz w:val="21"/>
          <w:szCs w:val="21"/>
          <w:lang w:bidi="ar"/>
        </w:rPr>
        <w:t xml:space="preserve">1、本合同自签订之日起生效。</w:t>
      </w:r>
      <w:r>
        <w:rPr>
          <w:rFonts w:ascii="宋体" w:hAnsi="宋体" w:cs="宋体"/>
          <w:sz w:val="21"/>
          <w:szCs w:val="21"/>
        </w:rPr>
      </w:r>
      <w:r/>
    </w:p>
    <w:p>
      <w:pPr>
        <w:pStyle w:val="1276"/>
        <w:ind w:firstLine="420"/>
        <w:jc w:val="left"/>
        <w:spacing w:line="360" w:lineRule="auto"/>
        <w:rPr>
          <w:rFonts w:ascii="宋体" w:hAnsi="宋体" w:cs="宋体"/>
          <w:sz w:val="21"/>
          <w:szCs w:val="21"/>
        </w:rPr>
      </w:pPr>
      <w:r>
        <w:rPr>
          <w:rFonts w:hint="eastAsia" w:ascii="宋体" w:hAnsi="宋体" w:cs="宋体"/>
          <w:sz w:val="21"/>
          <w:szCs w:val="21"/>
          <w:lang w:bidi="ar"/>
        </w:rPr>
        <w:t xml:space="preserve">2、本合同一式肆份，甲乙双方各执贰份。</w:t>
      </w:r>
      <w:r>
        <w:rPr>
          <w:rFonts w:ascii="宋体" w:hAnsi="宋体" w:cs="宋体"/>
          <w:sz w:val="21"/>
          <w:szCs w:val="21"/>
        </w:rPr>
      </w:r>
      <w:r/>
    </w:p>
    <w:p>
      <w:pPr>
        <w:pStyle w:val="1276"/>
        <w:ind w:firstLine="420"/>
        <w:jc w:val="left"/>
        <w:spacing w:line="360" w:lineRule="auto"/>
        <w:rPr>
          <w:rFonts w:hint="eastAsia" w:ascii="宋体" w:hAnsi="宋体" w:cs="宋体"/>
          <w:sz w:val="21"/>
          <w:szCs w:val="21"/>
          <w:lang w:bidi="ar"/>
        </w:rPr>
      </w:pPr>
      <w:r>
        <w:rPr>
          <w:rFonts w:hint="eastAsia" w:ascii="宋体" w:hAnsi="宋体" w:cs="宋体"/>
          <w:sz w:val="21"/>
          <w:szCs w:val="21"/>
          <w:lang w:bidi="ar"/>
        </w:rPr>
        <w:t xml:space="preserve">3、本合同应按照中华人民共和国的现行法律进行解释。</w:t>
      </w:r>
      <w:r>
        <w:rPr>
          <w:rFonts w:hint="eastAsia" w:ascii="宋体" w:hAnsi="宋体" w:cs="宋体"/>
          <w:sz w:val="21"/>
          <w:szCs w:val="21"/>
          <w:lang w:bidi="ar"/>
        </w:rPr>
      </w:r>
      <w:r/>
    </w:p>
    <w:p>
      <w:pPr>
        <w:pStyle w:val="1276"/>
        <w:rPr>
          <w:sz w:val="21"/>
          <w:szCs w:val="21"/>
        </w:rPr>
        <w:outlineLvl w:val="9"/>
      </w:pPr>
      <w:r>
        <w:rPr>
          <w:sz w:val="21"/>
          <w:szCs w:val="21"/>
        </w:rPr>
      </w:r>
      <w:r/>
    </w:p>
    <w:tbl>
      <w:tblPr>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bidi="ar"/>
              </w:rPr>
              <w:t xml:space="preserve">甲方（采购人）：（盖章）</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bidi="ar"/>
              </w:rPr>
              <w:t xml:space="preserve">乙方（中标人）：（盖章）</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bidi="ar"/>
              </w:rPr>
              <w:t xml:space="preserve">代表人：</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bidi="ar"/>
              </w:rPr>
              <w:t xml:space="preserve">代表人：</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bidi="ar"/>
              </w:rPr>
              <w:t xml:space="preserve">电    话：</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bidi="ar"/>
              </w:rPr>
              <w:t xml:space="preserve">电    话：</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bidi="ar"/>
              </w:rPr>
              <w:t xml:space="preserve">开户银行：</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bidi="ar"/>
              </w:rPr>
              <w:t xml:space="preserve">开户银行：</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val="en-US" w:eastAsia="zh-CN" w:bidi="ar"/>
              </w:rPr>
              <w:t xml:space="preserve">账</w:t>
            </w:r>
            <w:r>
              <w:rPr>
                <w:rFonts w:hint="eastAsia" w:ascii="宋体" w:hAnsi="宋体" w:cs="宋体"/>
                <w:sz w:val="21"/>
                <w:szCs w:val="21"/>
                <w:lang w:bidi="ar"/>
              </w:rPr>
              <w:t xml:space="preserve">    号：</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6"/>
              <w:jc w:val="left"/>
              <w:spacing w:line="360" w:lineRule="auto"/>
              <w:widowControl/>
              <w:rPr>
                <w:rFonts w:ascii="宋体" w:hAnsi="宋体" w:cs="宋体"/>
                <w:sz w:val="21"/>
                <w:szCs w:val="21"/>
              </w:rPr>
            </w:pPr>
            <w:r>
              <w:rPr>
                <w:rFonts w:hint="eastAsia" w:ascii="宋体" w:hAnsi="宋体" w:cs="宋体"/>
                <w:sz w:val="21"/>
                <w:szCs w:val="21"/>
                <w:lang w:val="en-US" w:eastAsia="zh-CN" w:bidi="ar"/>
              </w:rPr>
              <w:t xml:space="preserve">账</w:t>
            </w:r>
            <w:r>
              <w:rPr>
                <w:rFonts w:hint="eastAsia" w:ascii="宋体" w:hAnsi="宋体" w:cs="宋体"/>
                <w:sz w:val="21"/>
                <w:szCs w:val="21"/>
                <w:lang w:bidi="ar"/>
              </w:rPr>
              <w:t xml:space="preserve">    号：</w:t>
            </w:r>
            <w:r>
              <w:rPr>
                <w:rFonts w:ascii="宋体" w:hAnsi="宋体" w:cs="宋体"/>
                <w:sz w:val="21"/>
                <w:szCs w:val="21"/>
              </w:rPr>
            </w:r>
            <w:r/>
          </w:p>
        </w:tc>
      </w:tr>
    </w:tbl>
    <w:p>
      <w:pPr>
        <w:pStyle w:val="1276"/>
        <w:ind w:right="480" w:firstLine="4560"/>
        <w:spacing w:line="360" w:lineRule="auto"/>
        <w:widowControl/>
        <w:rPr>
          <w:rFonts w:ascii="宋体" w:hAnsi="宋体" w:cs="宋体"/>
          <w:sz w:val="21"/>
          <w:szCs w:val="21"/>
          <w:lang w:bidi="ar"/>
        </w:rPr>
      </w:pPr>
      <w:r>
        <w:rPr>
          <w:rFonts w:hint="eastAsia" w:ascii="宋体" w:hAnsi="宋体" w:cs="宋体"/>
          <w:sz w:val="21"/>
          <w:szCs w:val="21"/>
          <w:lang w:bidi="ar"/>
        </w:rPr>
        <w:t xml:space="preserve">年  月  日</w:t>
      </w:r>
      <w:r>
        <w:rPr>
          <w:rFonts w:ascii="宋体" w:hAnsi="宋体" w:cs="宋体"/>
          <w:sz w:val="21"/>
          <w:szCs w:val="21"/>
          <w:lang w:bidi="ar"/>
        </w:rPr>
      </w:r>
      <w:r/>
    </w:p>
    <w:p>
      <w:pPr>
        <w:pStyle w:val="1276"/>
        <w:ind w:right="480" w:firstLine="4560"/>
        <w:spacing w:line="360" w:lineRule="auto"/>
        <w:widowControl/>
        <w:rPr>
          <w:rFonts w:ascii="宋体" w:hAnsi="宋体" w:cs="宋体"/>
          <w:sz w:val="21"/>
          <w:szCs w:val="21"/>
          <w:lang w:bidi="ar"/>
        </w:rPr>
      </w:pPr>
      <w:r>
        <w:rPr>
          <w:rFonts w:ascii="宋体" w:hAnsi="宋体" w:cs="宋体"/>
          <w:sz w:val="21"/>
          <w:szCs w:val="21"/>
          <w:lang w:bidi="ar"/>
        </w:rPr>
      </w:r>
      <w:r/>
    </w:p>
    <w:p>
      <w:pPr>
        <w:pStyle w:val="1276"/>
        <w:jc w:val="center"/>
        <w:rPr>
          <w:rFonts w:ascii="Arial" w:hAnsi="Arial" w:cs="Arial"/>
          <w:b/>
          <w:sz w:val="24"/>
          <w:u w:val="single"/>
        </w:rPr>
      </w:pPr>
      <w:r>
        <w:rPr>
          <w:rFonts w:ascii="Arial" w:hAnsi="Arial" w:cs="Arial"/>
          <w:b/>
          <w:sz w:val="24"/>
          <w:u w:val="single"/>
        </w:rPr>
      </w:r>
      <w:r/>
    </w:p>
    <w:p>
      <w:pPr>
        <w:pStyle w:val="1276"/>
        <w:jc w:val="center"/>
        <w:rPr>
          <w:rFonts w:hint="eastAsia" w:ascii="宋体" w:hAnsi="宋体" w:cs="宋体"/>
          <w:b/>
          <w:bCs/>
          <w:sz w:val="36"/>
          <w:szCs w:val="36"/>
        </w:rPr>
      </w:pPr>
      <w:r>
        <w:rPr>
          <w:rFonts w:hint="eastAsia" w:ascii="宋体" w:hAnsi="宋体" w:cs="宋体"/>
          <w:b/>
          <w:bCs/>
          <w:sz w:val="36"/>
          <w:szCs w:val="36"/>
        </w:rPr>
      </w:r>
      <w:r/>
    </w:p>
    <w:p>
      <w:pPr>
        <w:pStyle w:val="1313"/>
        <w:ind w:left="1260"/>
      </w:pPr>
      <w:r/>
      <w:r/>
    </w:p>
    <w:p>
      <w:pPr>
        <w:pStyle w:val="1276"/>
      </w:pPr>
      <w:r/>
      <w:r/>
    </w:p>
    <w:p>
      <w:pPr>
        <w:pStyle w:val="1313"/>
        <w:ind w:left="1260"/>
      </w:pPr>
      <w:r/>
      <w:r/>
    </w:p>
    <w:p>
      <w:pPr>
        <w:pStyle w:val="1276"/>
      </w:pPr>
      <w:r/>
      <w:r/>
    </w:p>
    <w:p>
      <w:pPr>
        <w:pStyle w:val="1313"/>
        <w:ind w:left="1260"/>
      </w:pPr>
      <w:r/>
      <w:r/>
    </w:p>
    <w:p>
      <w:pPr>
        <w:pStyle w:val="1276"/>
      </w:pPr>
      <w:r/>
      <w:r/>
    </w:p>
    <w:p>
      <w:pPr>
        <w:pStyle w:val="1313"/>
        <w:ind w:left="1260"/>
      </w:pPr>
      <w:r/>
      <w:r/>
    </w:p>
    <w:p>
      <w:pPr>
        <w:pStyle w:val="1276"/>
      </w:pPr>
      <w:r/>
      <w:r/>
    </w:p>
    <w:p>
      <w:pPr>
        <w:pStyle w:val="1313"/>
        <w:ind w:left="1260"/>
      </w:pPr>
      <w:r/>
      <w:r/>
    </w:p>
    <w:p>
      <w:pPr>
        <w:pStyle w:val="1276"/>
      </w:pPr>
      <w:r/>
      <w:r/>
    </w:p>
    <w:p>
      <w:pPr>
        <w:pStyle w:val="1276"/>
      </w:pPr>
      <w:r/>
      <w:r/>
    </w:p>
    <w:p>
      <w:pPr>
        <w:pStyle w:val="1276"/>
        <w:jc w:val="center"/>
        <w:spacing w:line="420" w:lineRule="exact"/>
        <w:rPr>
          <w:rFonts w:ascii="Arial" w:hAnsi="Arial" w:cs="Arial"/>
          <w:b/>
          <w:sz w:val="28"/>
          <w:szCs w:val="28"/>
        </w:rPr>
        <w:sectPr>
          <w:footnotePr/>
          <w:endnotePr/>
          <w:type w:val="nextPage"/>
          <w:pgSz w:w="11906" w:h="16838" w:orient="portrait"/>
          <w:pgMar w:top="1134" w:right="1134" w:bottom="1134" w:left="1134" w:header="851" w:footer="992" w:gutter="0"/>
          <w:cols w:num="1" w:sep="0" w:space="1701" w:equalWidth="1"/>
          <w:docGrid w:linePitch="360"/>
          <w:titlePg/>
        </w:sectPr>
        <w:outlineLvl w:val="0"/>
      </w:pPr>
      <w:r/>
      <w:bookmarkEnd w:id="554"/>
      <w:r/>
      <w:bookmarkEnd w:id="555"/>
      <w:r/>
      <w:bookmarkEnd w:id="556"/>
      <w:r/>
      <w:bookmarkStart w:id="557" w:name="_Toc28262"/>
      <w:r/>
      <w:bookmarkStart w:id="558" w:name="_Toc32238"/>
      <w:r/>
      <w:bookmarkStart w:id="559" w:name="_Toc19"/>
      <w:r/>
      <w:bookmarkStart w:id="560" w:name="_Toc26078"/>
      <w:r>
        <w:rPr>
          <w:rFonts w:ascii="Arial" w:hAnsi="Arial" w:cs="Arial"/>
          <w:b/>
          <w:sz w:val="28"/>
          <w:szCs w:val="28"/>
        </w:rPr>
      </w:r>
      <w:r/>
    </w:p>
    <w:p>
      <w:pPr>
        <w:pStyle w:val="1276"/>
        <w:jc w:val="center"/>
        <w:spacing w:line="420" w:lineRule="exact"/>
        <w:rPr>
          <w:rFonts w:ascii="Arial" w:hAnsi="Arial" w:cs="Arial"/>
          <w:b/>
          <w:sz w:val="28"/>
          <w:szCs w:val="28"/>
        </w:rPr>
        <w:outlineLvl w:val="0"/>
      </w:pPr>
      <w:r/>
      <w:bookmarkStart w:id="561" w:name="_Toc19605"/>
      <w:r>
        <w:rPr>
          <w:rFonts w:ascii="Arial" w:hAnsi="Arial" w:cs="Arial"/>
          <w:b/>
          <w:sz w:val="28"/>
          <w:szCs w:val="28"/>
        </w:rPr>
        <w:t xml:space="preserve">第六章 投标文件格式及附件</w:t>
      </w:r>
      <w:bookmarkEnd w:id="557"/>
      <w:r/>
      <w:bookmarkEnd w:id="558"/>
      <w:r/>
      <w:bookmarkEnd w:id="559"/>
      <w:r/>
      <w:bookmarkEnd w:id="560"/>
      <w:r/>
      <w:bookmarkEnd w:id="561"/>
      <w:r>
        <w:rPr>
          <w:rFonts w:ascii="Arial" w:hAnsi="Arial" w:cs="Arial"/>
          <w:b/>
          <w:sz w:val="28"/>
          <w:szCs w:val="28"/>
        </w:rPr>
      </w:r>
      <w:r/>
    </w:p>
    <w:p>
      <w:pPr>
        <w:pStyle w:val="1276"/>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276"/>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276"/>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278"/>
        <w:ind w:firstLine="643"/>
        <w:jc w:val="center"/>
        <w:rPr>
          <w:rFonts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bookmarkStart w:id="562" w:name="_Toc496780634"/>
      <w:r/>
      <w:bookmarkStart w:id="563" w:name="_Toc29373"/>
      <w:r/>
      <w:bookmarkStart w:id="564" w:name="_Toc12151"/>
      <w:r>
        <w:rPr>
          <w:rFonts w:eastAsia="宋体" w:cs="Arial"/>
          <w:szCs w:val="24"/>
        </w:rPr>
      </w:r>
      <w:r/>
    </w:p>
    <w:p>
      <w:pPr>
        <w:pStyle w:val="1278"/>
        <w:jc w:val="center"/>
        <w:rPr>
          <w:rFonts w:eastAsia="宋体" w:cs="Arial"/>
          <w:szCs w:val="24"/>
        </w:rPr>
      </w:pPr>
      <w:r/>
      <w:bookmarkStart w:id="565" w:name="_Toc1925"/>
      <w:r/>
      <w:bookmarkStart w:id="566" w:name="_Toc23377"/>
      <w:r/>
      <w:bookmarkStart w:id="567" w:name="_Toc11003"/>
      <w:r/>
      <w:bookmarkStart w:id="568" w:name="_Toc27128"/>
      <w:r/>
      <w:bookmarkStart w:id="569" w:name="_Toc15457"/>
      <w:r/>
      <w:bookmarkStart w:id="570" w:name="_Toc23190"/>
      <w:r>
        <w:rPr>
          <w:rFonts w:eastAsia="宋体" w:cs="Arial"/>
          <w:szCs w:val="24"/>
        </w:rPr>
        <w:t xml:space="preserve">资格审查索引表</w:t>
      </w:r>
      <w:bookmarkEnd w:id="565"/>
      <w:r/>
      <w:bookmarkEnd w:id="566"/>
      <w:r/>
      <w:bookmarkEnd w:id="567"/>
      <w:r/>
      <w:bookmarkEnd w:id="568"/>
      <w:r/>
      <w:bookmarkEnd w:id="569"/>
      <w:r/>
      <w:bookmarkEnd w:id="570"/>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276"/>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276"/>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276"/>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276"/>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6"/>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6"/>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6"/>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6"/>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6"/>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6"/>
              <w:spacing w:line="480" w:lineRule="auto"/>
              <w:rPr>
                <w:rFonts w:ascii="Arial" w:hAnsi="Arial" w:cs="Arial"/>
                <w:sz w:val="24"/>
                <w:szCs w:val="24"/>
              </w:rPr>
            </w:pPr>
            <w:r>
              <w:rPr>
                <w:rFonts w:ascii="Arial" w:hAnsi="Arial" w:cs="Arial"/>
                <w:sz w:val="24"/>
                <w:szCs w:val="24"/>
              </w:rPr>
            </w:r>
            <w:r/>
          </w:p>
        </w:tc>
      </w:tr>
    </w:tbl>
    <w:p>
      <w:pPr>
        <w:pStyle w:val="1276"/>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278"/>
        <w:jc w:val="center"/>
        <w:rPr>
          <w:rFonts w:eastAsia="宋体" w:cs="Arial"/>
          <w:szCs w:val="24"/>
        </w:rPr>
      </w:pPr>
      <w:r/>
      <w:bookmarkStart w:id="571" w:name="_Toc5101"/>
      <w:r/>
      <w:bookmarkStart w:id="572" w:name="_Toc21549"/>
      <w:r/>
      <w:bookmarkStart w:id="573" w:name="_Toc31603"/>
      <w:r/>
      <w:bookmarkStart w:id="574" w:name="_Toc22085"/>
      <w:r/>
      <w:bookmarkStart w:id="575" w:name="_Toc18763"/>
      <w:r/>
      <w:bookmarkStart w:id="576" w:name="_Toc24213"/>
      <w:r>
        <w:rPr>
          <w:rFonts w:eastAsia="宋体" w:cs="Arial"/>
          <w:szCs w:val="24"/>
        </w:rPr>
        <w:t xml:space="preserve">评审索引</w:t>
      </w:r>
      <w:bookmarkEnd w:id="562"/>
      <w:r/>
      <w:bookmarkEnd w:id="563"/>
      <w:r>
        <w:rPr>
          <w:rFonts w:eastAsia="宋体" w:cs="Arial"/>
          <w:szCs w:val="24"/>
        </w:rPr>
        <w:t xml:space="preserve">表</w:t>
      </w:r>
      <w:bookmarkEnd w:id="564"/>
      <w:r/>
      <w:bookmarkEnd w:id="571"/>
      <w:r/>
      <w:bookmarkEnd w:id="572"/>
      <w:r/>
      <w:bookmarkEnd w:id="573"/>
      <w:r/>
      <w:bookmarkEnd w:id="574"/>
      <w:r/>
      <w:bookmarkEnd w:id="575"/>
      <w:r/>
      <w:bookmarkEnd w:id="576"/>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6"/>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6"/>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9"/>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6"/>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9"/>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6"/>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9"/>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6"/>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9"/>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6"/>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6"/>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9"/>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6"/>
              <w:jc w:val="center"/>
              <w:spacing w:line="360" w:lineRule="auto"/>
              <w:rPr>
                <w:rFonts w:ascii="Arial" w:hAnsi="Arial" w:cs="Arial"/>
                <w:szCs w:val="21"/>
              </w:rPr>
            </w:pPr>
            <w:r>
              <w:rPr>
                <w:rFonts w:ascii="Arial" w:hAnsi="Arial" w:cs="Arial"/>
                <w:szCs w:val="21"/>
              </w:rPr>
            </w:r>
            <w:r/>
          </w:p>
        </w:tc>
      </w:tr>
    </w:tbl>
    <w:p>
      <w:pPr>
        <w:pStyle w:val="1276"/>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577" w:name="_Toc13756"/>
      <w:r>
        <w:rPr>
          <w:rFonts w:ascii="Arial" w:hAnsi="Arial" w:cs="Arial"/>
          <w:szCs w:val="24"/>
        </w:rPr>
      </w:r>
      <w:r/>
    </w:p>
    <w:p>
      <w:pPr>
        <w:pStyle w:val="1276"/>
        <w:spacing w:line="440" w:lineRule="exact"/>
        <w:rPr>
          <w:rFonts w:ascii="Arial" w:hAnsi="Arial" w:cs="Arial"/>
          <w:b/>
          <w:bCs/>
          <w:sz w:val="24"/>
        </w:rPr>
        <w:outlineLvl w:val="1"/>
      </w:pPr>
      <w:r/>
      <w:bookmarkStart w:id="578" w:name="_Toc24869"/>
      <w:r/>
      <w:bookmarkStart w:id="579" w:name="_Toc19607"/>
      <w:r/>
      <w:bookmarkStart w:id="580" w:name="_Toc16260"/>
      <w:r/>
      <w:bookmarkStart w:id="581" w:name="_Toc9171"/>
      <w:r/>
      <w:bookmarkStart w:id="582" w:name="_Toc28860"/>
      <w:r/>
      <w:bookmarkStart w:id="583" w:name="_Toc32053"/>
      <w:r>
        <w:rPr>
          <w:rFonts w:ascii="Arial" w:hAnsi="Arial" w:cs="Arial"/>
          <w:b/>
          <w:bCs/>
          <w:sz w:val="24"/>
        </w:rPr>
        <w:t xml:space="preserve">附件一 投标函格式</w:t>
      </w:r>
      <w:bookmarkEnd w:id="577"/>
      <w:r/>
      <w:bookmarkEnd w:id="578"/>
      <w:r/>
      <w:bookmarkEnd w:id="579"/>
      <w:r/>
      <w:bookmarkEnd w:id="580"/>
      <w:r/>
      <w:bookmarkEnd w:id="581"/>
      <w:r/>
      <w:bookmarkEnd w:id="582"/>
      <w:r/>
      <w:bookmarkEnd w:id="583"/>
      <w:r>
        <w:rPr>
          <w:rFonts w:ascii="Arial" w:hAnsi="Arial" w:cs="Arial"/>
          <w:b/>
          <w:bCs/>
          <w:sz w:val="24"/>
        </w:rPr>
      </w:r>
      <w:r/>
    </w:p>
    <w:p>
      <w:pPr>
        <w:pStyle w:val="1276"/>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276"/>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276"/>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276"/>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276"/>
        <w:spacing w:line="440" w:lineRule="exact"/>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276"/>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276"/>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276"/>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276"/>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276"/>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276"/>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276"/>
        <w:ind w:firstLine="241"/>
        <w:spacing w:line="440" w:lineRule="exact"/>
        <w:rPr>
          <w:rFonts w:ascii="Arial" w:hAnsi="Arial" w:cs="Arial"/>
          <w:b/>
          <w:bCs/>
          <w:sz w:val="24"/>
          <w:szCs w:val="22"/>
          <w:highlight w:val="none"/>
        </w:rPr>
        <w:outlineLvl w:val="1"/>
      </w:pPr>
      <w:r/>
      <w:bookmarkStart w:id="584" w:name="_Toc14605"/>
      <w:r/>
      <w:bookmarkStart w:id="585" w:name="_Toc9249"/>
      <w:r/>
      <w:bookmarkStart w:id="586" w:name="_Toc19976"/>
      <w:r/>
      <w:bookmarkStart w:id="587" w:name="_Toc335"/>
      <w:r/>
      <w:bookmarkStart w:id="588" w:name="_Toc12694"/>
      <w:r/>
      <w:bookmarkStart w:id="589" w:name="_Toc15695"/>
      <w:r/>
      <w:bookmarkStart w:id="590" w:name="_Toc25766"/>
      <w:r>
        <w:rPr>
          <w:rFonts w:ascii="Arial" w:hAnsi="Arial" w:cs="Arial"/>
          <w:b/>
          <w:bCs/>
          <w:sz w:val="24"/>
          <w:szCs w:val="22"/>
          <w:highlight w:val="none"/>
        </w:rPr>
        <w:t xml:space="preserve">附件二 开标一览表</w:t>
      </w:r>
      <w:bookmarkEnd w:id="584"/>
      <w:r/>
      <w:bookmarkEnd w:id="585"/>
      <w:r/>
      <w:bookmarkEnd w:id="586"/>
      <w:r/>
      <w:bookmarkEnd w:id="587"/>
      <w:r/>
      <w:bookmarkEnd w:id="588"/>
      <w:r/>
      <w:bookmarkEnd w:id="589"/>
      <w:r/>
      <w:bookmarkEnd w:id="590"/>
      <w:r>
        <w:rPr>
          <w:rFonts w:ascii="Arial" w:hAnsi="Arial" w:cs="Arial"/>
          <w:b/>
          <w:bCs/>
          <w:sz w:val="24"/>
          <w:szCs w:val="22"/>
          <w:highlight w:val="none"/>
        </w:rPr>
      </w:r>
      <w:r/>
    </w:p>
    <w:p>
      <w:pPr>
        <w:pStyle w:val="1276"/>
        <w:jc w:val="center"/>
        <w:spacing w:line="440" w:lineRule="exact"/>
        <w:rPr>
          <w:rFonts w:ascii="Arial" w:hAnsi="Arial" w:cs="Arial"/>
          <w:b/>
          <w:sz w:val="28"/>
          <w:szCs w:val="22"/>
          <w:highlight w:val="none"/>
        </w:rPr>
      </w:pPr>
      <w:r>
        <w:rPr>
          <w:rFonts w:ascii="Arial" w:hAnsi="Arial" w:cs="Arial"/>
          <w:b/>
          <w:sz w:val="28"/>
          <w:szCs w:val="22"/>
          <w:highlight w:val="none"/>
        </w:rPr>
        <w:t xml:space="preserve">开标一览表</w:t>
      </w:r>
      <w:r>
        <w:rPr>
          <w:rFonts w:ascii="Arial" w:hAnsi="Arial" w:cs="Arial"/>
          <w:b/>
          <w:sz w:val="28"/>
          <w:szCs w:val="22"/>
          <w:highlight w:val="none"/>
        </w:rPr>
      </w:r>
      <w:r/>
    </w:p>
    <w:p>
      <w:pPr>
        <w:pStyle w:val="1276"/>
        <w:jc w:val="left"/>
        <w:spacing w:line="440" w:lineRule="exact"/>
        <w:rPr>
          <w:rFonts w:ascii="Arial" w:hAnsi="Arial" w:cs="Arial"/>
          <w:b/>
          <w:sz w:val="28"/>
          <w:szCs w:val="22"/>
        </w:rPr>
      </w:pPr>
      <w:r>
        <w:rPr>
          <w:rFonts w:ascii="Arial" w:hAnsi="Arial" w:cs="Arial"/>
        </w:rPr>
        <w:t xml:space="preserve"> </w:t>
      </w:r>
      <w:r>
        <w:rPr>
          <w:rFonts w:ascii="Arial" w:hAnsi="Arial" w:cs="Arial"/>
          <w:szCs w:val="21"/>
        </w:rPr>
        <w:t xml:space="preserve">项目编号：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276"/>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276"/>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276"/>
              <w:jc w:val="center"/>
              <w:spacing w:line="480" w:lineRule="exact"/>
              <w:rPr>
                <w:szCs w:val="21"/>
              </w:rPr>
            </w:pPr>
            <w:r>
              <w:rPr>
                <w:szCs w:val="21"/>
              </w:rPr>
              <w:t xml:space="preserve">报价（</w:t>
            </w:r>
            <w:r>
              <w:rPr>
                <w:rFonts w:hint="eastAsia" w:ascii="宋体" w:hAnsi="宋体" w:eastAsia="宋体" w:cs="宋体"/>
                <w:b w:val="0"/>
                <w:bCs w:val="0"/>
                <w:color w:val="000000"/>
                <w:sz w:val="21"/>
                <w:szCs w:val="21"/>
                <w:lang w:val="en-US" w:eastAsia="zh-CN"/>
              </w:rPr>
              <w:t xml:space="preserve">优惠</w:t>
            </w:r>
            <w:r>
              <w:rPr>
                <w:rFonts w:hint="eastAsia"/>
                <w:szCs w:val="21"/>
                <w:lang w:val="en-US" w:eastAsia="zh-CN"/>
              </w:rPr>
              <w:t xml:space="preserve">率</w:t>
            </w:r>
            <w:r>
              <w:rPr>
                <w:szCs w:val="21"/>
              </w:rPr>
              <w:t xml:space="preserve">）</w:t>
            </w:r>
            <w:r>
              <w:rPr>
                <w:szCs w:val="21"/>
              </w:rPr>
            </w:r>
            <w:r/>
          </w:p>
        </w:tc>
        <w:tc>
          <w:tcPr>
            <w:tcW w:w="6898" w:type="dxa"/>
            <w:vAlign w:val="center"/>
            <w:textDirection w:val="lrTb"/>
            <w:noWrap w:val="false"/>
          </w:tcPr>
          <w:p>
            <w:pPr>
              <w:pStyle w:val="1276"/>
              <w:ind w:firstLine="1260"/>
              <w:spacing w:line="480" w:lineRule="exact"/>
              <w:rPr>
                <w:rFonts w:hint="eastAsia" w:eastAsia="宋体"/>
                <w:szCs w:val="21"/>
                <w:lang w:eastAsia="zh-CN"/>
              </w:rPr>
            </w:pPr>
            <w:r>
              <w:rPr>
                <w:rFonts w:hint="eastAsia"/>
                <w:szCs w:val="21"/>
                <w:lang w:val="en-US" w:eastAsia="zh-CN"/>
              </w:rPr>
              <w:t xml:space="preserve">%</w:t>
            </w:r>
            <w:r>
              <w:rPr>
                <w:rFonts w:hint="eastAsia" w:eastAsia="宋体"/>
                <w:szCs w:val="21"/>
                <w:lang w:eastAsia="zh-CN"/>
              </w:rPr>
            </w:r>
            <w:r/>
          </w:p>
        </w:tc>
      </w:tr>
      <w:tr>
        <w:trPr>
          <w:cantSplit/>
          <w:trHeight w:val="724"/>
        </w:trPr>
        <w:tc>
          <w:tcPr>
            <w:tcW w:w="2485" w:type="dxa"/>
            <w:vAlign w:val="center"/>
            <w:textDirection w:val="lrTb"/>
            <w:noWrap w:val="false"/>
          </w:tcPr>
          <w:p>
            <w:pPr>
              <w:pStyle w:val="1276"/>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276"/>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276"/>
              <w:jc w:val="center"/>
              <w:spacing w:line="480" w:lineRule="exact"/>
            </w:pPr>
            <w:r>
              <w:rPr>
                <w:rFonts w:hint="eastAsia"/>
              </w:rPr>
              <w:t xml:space="preserve">是否属于小微型企业</w:t>
            </w:r>
            <w:r/>
          </w:p>
        </w:tc>
        <w:tc>
          <w:tcPr>
            <w:tcW w:w="6898" w:type="dxa"/>
            <w:vAlign w:val="center"/>
            <w:textDirection w:val="lrTb"/>
            <w:noWrap w:val="false"/>
          </w:tcPr>
          <w:p>
            <w:pPr>
              <w:pStyle w:val="1290"/>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276"/>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349"/>
        <w:ind w:firstLine="280"/>
        <w:rPr>
          <w:rFonts w:ascii="Arial" w:hAnsi="Arial" w:cs="Arial"/>
        </w:rPr>
      </w:pPr>
      <w:r>
        <w:rPr>
          <w:rFonts w:ascii="Arial" w:hAnsi="Arial" w:cs="Arial"/>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6"/>
        <w:spacing w:line="440" w:lineRule="exact"/>
        <w:rPr>
          <w:rFonts w:ascii="Arial" w:hAnsi="Arial" w:cs="Arial"/>
          <w:szCs w:val="21"/>
        </w:rPr>
      </w:pPr>
      <w:r>
        <w:rPr>
          <w:rFonts w:ascii="Arial" w:hAnsi="Arial" w:cs="Arial"/>
          <w:szCs w:val="21"/>
        </w:rPr>
      </w:r>
      <w:r/>
    </w:p>
    <w:p>
      <w:pPr>
        <w:pStyle w:val="1276"/>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276"/>
        <w:spacing w:line="440" w:lineRule="exact"/>
        <w:rPr>
          <w:rFonts w:ascii="Arial" w:hAnsi="Arial" w:cs="Arial"/>
          <w:b/>
        </w:rPr>
      </w:pPr>
      <w:r>
        <w:rPr>
          <w:rFonts w:ascii="Arial" w:hAnsi="Arial" w:cs="Arial"/>
          <w:b/>
        </w:rPr>
      </w:r>
      <w:r/>
    </w:p>
    <w:p>
      <w:pPr>
        <w:pStyle w:val="1276"/>
        <w:jc w:val="center"/>
        <w:spacing w:line="440" w:lineRule="exact"/>
        <w:rPr>
          <w:rFonts w:ascii="Arial" w:hAnsi="Arial" w:cs="Arial"/>
          <w:b/>
        </w:rPr>
      </w:pPr>
      <w:r>
        <w:rPr>
          <w:rFonts w:ascii="Arial" w:hAnsi="Arial" w:cs="Arial"/>
          <w:b/>
        </w:rPr>
      </w:r>
      <w:r/>
    </w:p>
    <w:p>
      <w:pPr>
        <w:pStyle w:val="1276"/>
        <w:jc w:val="center"/>
        <w:spacing w:line="440" w:lineRule="exact"/>
        <w:rPr>
          <w:rFonts w:ascii="Arial" w:hAnsi="Arial" w:cs="Arial"/>
          <w:b/>
        </w:rPr>
      </w:pPr>
      <w:r>
        <w:rPr>
          <w:rFonts w:ascii="Arial" w:hAnsi="Arial" w:cs="Arial"/>
          <w:b/>
        </w:rPr>
      </w:r>
      <w:r/>
    </w:p>
    <w:p>
      <w:pPr>
        <w:pStyle w:val="1276"/>
        <w:jc w:val="center"/>
        <w:spacing w:line="440" w:lineRule="exact"/>
        <w:rPr>
          <w:rFonts w:ascii="Arial" w:hAnsi="Arial" w:cs="Arial"/>
          <w:b/>
        </w:rPr>
      </w:pPr>
      <w:r>
        <w:rPr>
          <w:rFonts w:ascii="Arial" w:hAnsi="Arial" w:cs="Arial"/>
          <w:b/>
        </w:rPr>
      </w:r>
      <w:r/>
    </w:p>
    <w:p>
      <w:pPr>
        <w:pStyle w:val="1276"/>
        <w:jc w:val="center"/>
        <w:spacing w:line="440" w:lineRule="exact"/>
        <w:rPr>
          <w:rFonts w:ascii="Arial" w:hAnsi="Arial" w:cs="Arial"/>
          <w:b/>
        </w:rPr>
      </w:pPr>
      <w:r>
        <w:rPr>
          <w:rFonts w:ascii="Arial" w:hAnsi="Arial" w:cs="Arial"/>
          <w:b/>
        </w:rPr>
      </w:r>
      <w:r/>
    </w:p>
    <w:p>
      <w:pPr>
        <w:pStyle w:val="1276"/>
        <w:jc w:val="center"/>
        <w:spacing w:line="440" w:lineRule="exact"/>
        <w:rPr>
          <w:rFonts w:ascii="Arial" w:hAnsi="Arial" w:cs="Arial"/>
          <w:b/>
        </w:rPr>
      </w:pPr>
      <w:r>
        <w:rPr>
          <w:rFonts w:ascii="Arial" w:hAnsi="Arial" w:cs="Arial"/>
          <w:b/>
        </w:rPr>
      </w:r>
      <w:r/>
    </w:p>
    <w:p>
      <w:pPr>
        <w:pStyle w:val="1276"/>
        <w:jc w:val="center"/>
        <w:spacing w:line="440" w:lineRule="exact"/>
        <w:rPr>
          <w:rFonts w:ascii="Arial" w:hAnsi="Arial" w:cs="Arial"/>
          <w:b/>
        </w:rPr>
      </w:pPr>
      <w:r>
        <w:rPr>
          <w:rFonts w:ascii="Arial" w:hAnsi="Arial" w:cs="Arial"/>
          <w:b/>
        </w:rPr>
      </w:r>
      <w:r/>
    </w:p>
    <w:p>
      <w:pPr>
        <w:pStyle w:val="1276"/>
        <w:jc w:val="center"/>
        <w:spacing w:line="440" w:lineRule="exact"/>
        <w:rPr>
          <w:rFonts w:ascii="Arial" w:hAnsi="Arial" w:cs="Arial"/>
          <w:b/>
        </w:rPr>
      </w:pPr>
      <w:r>
        <w:rPr>
          <w:rFonts w:ascii="Arial" w:hAnsi="Arial" w:cs="Arial"/>
          <w:b/>
        </w:rPr>
      </w:r>
      <w:r/>
    </w:p>
    <w:p>
      <w:pPr>
        <w:pStyle w:val="1276"/>
        <w:jc w:val="center"/>
        <w:spacing w:line="440" w:lineRule="exact"/>
        <w:rPr>
          <w:rFonts w:ascii="Arial" w:hAnsi="Arial" w:cs="Arial"/>
          <w:b/>
        </w:rPr>
      </w:pPr>
      <w:r>
        <w:rPr>
          <w:rFonts w:ascii="Arial" w:hAnsi="Arial" w:cs="Arial"/>
          <w:b/>
        </w:rPr>
      </w:r>
      <w:r/>
    </w:p>
    <w:p>
      <w:pPr>
        <w:pStyle w:val="1276"/>
        <w:spacing w:line="440" w:lineRule="exact"/>
        <w:rPr>
          <w:rFonts w:hint="eastAsia" w:ascii="Arial" w:hAnsi="Arial" w:eastAsia="宋体" w:cs="Arial"/>
          <w:b/>
          <w:bCs/>
          <w:sz w:val="24"/>
          <w:szCs w:val="22"/>
          <w:lang w:eastAsia="zh-CN"/>
        </w:rPr>
        <w:outlineLvl w:val="1"/>
      </w:pPr>
      <w:r/>
      <w:bookmarkStart w:id="591" w:name="_Toc14445"/>
      <w:r>
        <w:rPr>
          <w:rFonts w:ascii="Arial" w:hAnsi="Arial" w:cs="Arial"/>
          <w:sz w:val="24"/>
        </w:rPr>
        <w:br w:type="page" w:clear="all"/>
      </w:r>
      <w:bookmarkStart w:id="592" w:name="_Toc4786"/>
      <w:r/>
      <w:bookmarkStart w:id="593" w:name="_Toc29236"/>
      <w:r/>
      <w:bookmarkStart w:id="594" w:name="_Toc28299"/>
      <w:r/>
      <w:bookmarkStart w:id="595" w:name="_Toc10391"/>
      <w:r/>
      <w:bookmarkStart w:id="596" w:name="_Toc24898"/>
      <w:r/>
      <w:bookmarkStart w:id="597" w:name="_Toc27389"/>
      <w:r>
        <w:rPr>
          <w:rFonts w:ascii="Arial" w:hAnsi="Arial" w:cs="Arial"/>
          <w:b/>
          <w:bCs/>
          <w:sz w:val="24"/>
          <w:szCs w:val="22"/>
        </w:rPr>
        <w:t xml:space="preserve">附件三 分项报价表</w:t>
      </w:r>
      <w:bookmarkEnd w:id="591"/>
      <w:r/>
      <w:bookmarkEnd w:id="592"/>
      <w:r/>
      <w:bookmarkEnd w:id="593"/>
      <w:r/>
      <w:bookmarkEnd w:id="594"/>
      <w:r/>
      <w:bookmarkEnd w:id="595"/>
      <w:r/>
      <w:bookmarkEnd w:id="596"/>
      <w:r/>
      <w:bookmarkEnd w:id="597"/>
      <w:r>
        <w:rPr>
          <w:rFonts w:hint="eastAsia" w:ascii="Arial" w:hAnsi="Arial" w:eastAsia="宋体" w:cs="Arial"/>
          <w:b/>
          <w:bCs/>
          <w:sz w:val="24"/>
          <w:szCs w:val="22"/>
          <w:lang w:eastAsia="zh-CN"/>
        </w:rPr>
      </w:r>
      <w:r/>
    </w:p>
    <w:p>
      <w:pPr>
        <w:pStyle w:val="1276"/>
        <w:jc w:val="center"/>
        <w:spacing w:line="440" w:lineRule="exact"/>
        <w:rPr>
          <w:rFonts w:ascii="Arial" w:hAnsi="Arial" w:cs="Arial"/>
          <w:b/>
          <w:sz w:val="28"/>
          <w:szCs w:val="22"/>
          <w:highlight w:val="none"/>
        </w:rPr>
      </w:pPr>
      <w:r>
        <w:rPr>
          <w:rFonts w:ascii="Arial" w:hAnsi="Arial" w:cs="Arial"/>
          <w:b/>
          <w:sz w:val="28"/>
          <w:szCs w:val="22"/>
          <w:highlight w:val="none"/>
        </w:rPr>
        <w:t xml:space="preserve">分项报价表</w:t>
      </w:r>
      <w:r>
        <w:rPr>
          <w:rFonts w:ascii="Arial" w:hAnsi="Arial" w:cs="Arial"/>
          <w:b/>
          <w:sz w:val="28"/>
          <w:szCs w:val="22"/>
          <w:highlight w:val="none"/>
        </w:rPr>
      </w:r>
      <w:r/>
    </w:p>
    <w:p>
      <w:pPr>
        <w:pStyle w:val="1276"/>
        <w:jc w:val="left"/>
        <w:spacing w:line="440" w:lineRule="exact"/>
        <w:rPr>
          <w:rFonts w:ascii="Arial" w:hAnsi="Arial" w:cs="Arial"/>
          <w:b/>
          <w:sz w:val="28"/>
          <w:szCs w:val="22"/>
        </w:rPr>
      </w:pPr>
      <w:r>
        <w:rPr>
          <w:rFonts w:ascii="Arial" w:hAnsi="Arial" w:cs="Arial"/>
          <w:szCs w:val="21"/>
        </w:rPr>
        <w:t xml:space="preserve">项目编号：                                                       分包号（如有）：</w:t>
      </w:r>
      <w:r>
        <w:rPr>
          <w:rFonts w:ascii="Arial" w:hAnsi="Arial" w:cs="Arial"/>
          <w:b/>
          <w:sz w:val="28"/>
          <w:szCs w:val="22"/>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005"/>
        <w:gridCol w:w="863"/>
        <w:gridCol w:w="1721"/>
        <w:gridCol w:w="1721"/>
        <w:gridCol w:w="2290"/>
        <w:gridCol w:w="1385"/>
      </w:tblGrid>
      <w:tr>
        <w:trPr/>
        <w:tc>
          <w:tcPr>
            <w:tcW w:w="438" w:type="dxa"/>
            <w:vAlign w:val="center"/>
            <w:textDirection w:val="lrTb"/>
            <w:noWrap w:val="false"/>
          </w:tcPr>
          <w:p>
            <w:pPr>
              <w:pStyle w:val="1276"/>
              <w:jc w:val="center"/>
              <w:spacing w:line="440" w:lineRule="exact"/>
              <w:rPr>
                <w:szCs w:val="21"/>
              </w:rPr>
            </w:pPr>
            <w:r>
              <w:rPr>
                <w:szCs w:val="21"/>
              </w:rPr>
              <w:t xml:space="preserve">序号</w:t>
            </w:r>
            <w:r>
              <w:rPr>
                <w:szCs w:val="21"/>
              </w:rPr>
            </w:r>
            <w:r/>
          </w:p>
        </w:tc>
        <w:tc>
          <w:tcPr>
            <w:tcW w:w="510" w:type="dxa"/>
            <w:vAlign w:val="center"/>
            <w:textDirection w:val="lrTb"/>
            <w:noWrap w:val="false"/>
          </w:tcPr>
          <w:p>
            <w:pPr>
              <w:pStyle w:val="1276"/>
              <w:jc w:val="center"/>
              <w:spacing w:line="440" w:lineRule="exact"/>
              <w:rPr>
                <w:szCs w:val="21"/>
              </w:rPr>
            </w:pPr>
            <w:r>
              <w:rPr>
                <w:rFonts w:hint="eastAsia"/>
                <w:szCs w:val="21"/>
              </w:rPr>
              <w:t xml:space="preserve">名 称</w:t>
            </w:r>
            <w:r>
              <w:rPr>
                <w:szCs w:val="21"/>
              </w:rPr>
            </w:r>
            <w:r/>
          </w:p>
        </w:tc>
        <w:tc>
          <w:tcPr>
            <w:tcW w:w="438" w:type="dxa"/>
            <w:vAlign w:val="center"/>
            <w:textDirection w:val="lrTb"/>
            <w:noWrap w:val="false"/>
          </w:tcPr>
          <w:p>
            <w:pPr>
              <w:pStyle w:val="1276"/>
              <w:jc w:val="center"/>
              <w:spacing w:line="440" w:lineRule="exact"/>
              <w:rPr>
                <w:rFonts w:hint="eastAsia"/>
                <w:szCs w:val="21"/>
              </w:rPr>
            </w:pPr>
            <w:r>
              <w:rPr>
                <w:rFonts w:hint="eastAsia"/>
                <w:szCs w:val="21"/>
              </w:rPr>
              <w:t xml:space="preserve">品牌</w:t>
            </w:r>
            <w:r>
              <w:rPr>
                <w:rFonts w:hint="eastAsia"/>
                <w:szCs w:val="21"/>
              </w:rPr>
            </w:r>
            <w:r/>
          </w:p>
        </w:tc>
        <w:tc>
          <w:tcPr>
            <w:tcW w:w="873" w:type="dxa"/>
            <w:vAlign w:val="center"/>
            <w:textDirection w:val="lrTb"/>
            <w:noWrap w:val="false"/>
          </w:tcPr>
          <w:p>
            <w:pPr>
              <w:pStyle w:val="1276"/>
              <w:jc w:val="center"/>
              <w:spacing w:line="440" w:lineRule="exact"/>
              <w:rPr>
                <w:szCs w:val="21"/>
              </w:rPr>
            </w:pPr>
            <w:r>
              <w:rPr>
                <w:rFonts w:hint="eastAsia"/>
                <w:szCs w:val="21"/>
              </w:rPr>
              <w:t xml:space="preserve">规格或型号</w:t>
            </w:r>
            <w:r>
              <w:rPr>
                <w:szCs w:val="21"/>
              </w:rPr>
            </w:r>
            <w:r/>
          </w:p>
        </w:tc>
        <w:tc>
          <w:tcPr>
            <w:tcW w:w="873" w:type="dxa"/>
            <w:vAlign w:val="center"/>
            <w:textDirection w:val="lrTb"/>
            <w:noWrap w:val="false"/>
          </w:tcPr>
          <w:p>
            <w:pPr>
              <w:pStyle w:val="1276"/>
              <w:jc w:val="center"/>
              <w:spacing w:line="440" w:lineRule="exact"/>
              <w:rPr>
                <w:szCs w:val="21"/>
              </w:rPr>
            </w:pPr>
            <w:r>
              <w:rPr>
                <w:szCs w:val="21"/>
              </w:rPr>
              <w:t xml:space="preserve">原产地和</w:t>
            </w:r>
            <w:r>
              <w:rPr>
                <w:szCs w:val="21"/>
              </w:rPr>
            </w:r>
            <w:r/>
          </w:p>
          <w:p>
            <w:pPr>
              <w:pStyle w:val="1276"/>
              <w:jc w:val="center"/>
              <w:spacing w:line="440" w:lineRule="exact"/>
              <w:rPr>
                <w:szCs w:val="21"/>
              </w:rPr>
            </w:pPr>
            <w:r>
              <w:rPr>
                <w:szCs w:val="21"/>
              </w:rPr>
              <w:t xml:space="preserve">制造商名称</w:t>
            </w:r>
            <w:r>
              <w:rPr>
                <w:szCs w:val="21"/>
              </w:rPr>
            </w:r>
            <w:r/>
          </w:p>
        </w:tc>
        <w:tc>
          <w:tcPr>
            <w:tcW w:w="1162" w:type="dxa"/>
            <w:vAlign w:val="center"/>
            <w:textDirection w:val="lrTb"/>
            <w:noWrap w:val="false"/>
          </w:tcPr>
          <w:p>
            <w:pPr>
              <w:pStyle w:val="1276"/>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703" w:type="dxa"/>
            <w:vAlign w:val="center"/>
            <w:textDirection w:val="lrTb"/>
            <w:noWrap w:val="false"/>
          </w:tcPr>
          <w:p>
            <w:pPr>
              <w:pStyle w:val="1276"/>
              <w:jc w:val="center"/>
              <w:spacing w:line="440" w:lineRule="exact"/>
              <w:rPr>
                <w:szCs w:val="21"/>
              </w:rPr>
            </w:pPr>
            <w:r>
              <w:rPr>
                <w:rFonts w:hint="eastAsia" w:ascii="宋体" w:hAnsi="宋体" w:eastAsia="宋体" w:cs="宋体"/>
                <w:b w:val="0"/>
                <w:bCs w:val="0"/>
                <w:color w:val="000000"/>
                <w:sz w:val="21"/>
                <w:szCs w:val="21"/>
                <w:lang w:val="en-US" w:eastAsia="zh-CN"/>
              </w:rPr>
              <w:t xml:space="preserve">优惠</w:t>
            </w:r>
            <w:r>
              <w:rPr>
                <w:rFonts w:hint="eastAsia"/>
                <w:szCs w:val="21"/>
              </w:rPr>
              <w:t xml:space="preserve">率</w:t>
            </w:r>
            <w:r>
              <w:rPr>
                <w:rFonts w:hint="eastAsia"/>
                <w:szCs w:val="21"/>
                <w:lang w:val="en-US" w:eastAsia="zh-CN"/>
              </w:rPr>
              <w:t xml:space="preserve">%</w:t>
            </w:r>
            <w:r>
              <w:rPr>
                <w:szCs w:val="21"/>
              </w:rPr>
            </w:r>
            <w:r/>
          </w:p>
        </w:tc>
      </w:tr>
      <w:tr>
        <w:trPr/>
        <w:tc>
          <w:tcPr>
            <w:tcW w:w="438" w:type="dxa"/>
            <w:vAlign w:val="top"/>
            <w:textDirection w:val="lrTb"/>
            <w:noWrap w:val="false"/>
          </w:tcPr>
          <w:p>
            <w:pPr>
              <w:pStyle w:val="1276"/>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510" w:type="dxa"/>
            <w:vAlign w:val="top"/>
            <w:textDirection w:val="lrTb"/>
            <w:noWrap w:val="false"/>
          </w:tcPr>
          <w:p>
            <w:pPr>
              <w:pStyle w:val="1276"/>
              <w:spacing w:line="440" w:lineRule="exact"/>
              <w:rPr>
                <w:szCs w:val="21"/>
              </w:rPr>
            </w:pPr>
            <w:r>
              <w:rPr>
                <w:szCs w:val="21"/>
              </w:rPr>
            </w:r>
            <w:r/>
          </w:p>
        </w:tc>
        <w:tc>
          <w:tcPr>
            <w:tcW w:w="438"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1162" w:type="dxa"/>
            <w:vAlign w:val="top"/>
            <w:textDirection w:val="lrTb"/>
            <w:noWrap w:val="false"/>
          </w:tcPr>
          <w:p>
            <w:pPr>
              <w:pStyle w:val="1276"/>
              <w:spacing w:line="440" w:lineRule="exact"/>
              <w:rPr>
                <w:szCs w:val="21"/>
              </w:rPr>
            </w:pPr>
            <w:r>
              <w:rPr>
                <w:szCs w:val="21"/>
              </w:rPr>
            </w:r>
            <w:r/>
          </w:p>
        </w:tc>
        <w:tc>
          <w:tcPr>
            <w:tcW w:w="703" w:type="dxa"/>
            <w:vAlign w:val="top"/>
            <w:vMerge w:val="restart"/>
            <w:textDirection w:val="lrTb"/>
            <w:noWrap w:val="false"/>
          </w:tcPr>
          <w:p>
            <w:pPr>
              <w:pStyle w:val="1276"/>
              <w:spacing w:line="440" w:lineRule="exact"/>
              <w:rPr>
                <w:szCs w:val="21"/>
              </w:rPr>
            </w:pPr>
            <w:r>
              <w:rPr>
                <w:szCs w:val="21"/>
              </w:rPr>
            </w:r>
            <w:r/>
          </w:p>
        </w:tc>
      </w:tr>
      <w:tr>
        <w:trPr/>
        <w:tc>
          <w:tcPr>
            <w:tcW w:w="438" w:type="dxa"/>
            <w:vAlign w:val="top"/>
            <w:textDirection w:val="lrTb"/>
            <w:noWrap w:val="false"/>
          </w:tcPr>
          <w:p>
            <w:pPr>
              <w:pStyle w:val="1276"/>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510" w:type="dxa"/>
            <w:vAlign w:val="top"/>
            <w:textDirection w:val="lrTb"/>
            <w:noWrap w:val="false"/>
          </w:tcPr>
          <w:p>
            <w:pPr>
              <w:pStyle w:val="1276"/>
              <w:spacing w:line="440" w:lineRule="exact"/>
              <w:rPr>
                <w:szCs w:val="21"/>
              </w:rPr>
            </w:pPr>
            <w:r>
              <w:rPr>
                <w:szCs w:val="21"/>
              </w:rPr>
            </w:r>
            <w:r/>
          </w:p>
        </w:tc>
        <w:tc>
          <w:tcPr>
            <w:tcW w:w="438"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1162" w:type="dxa"/>
            <w:vAlign w:val="top"/>
            <w:textDirection w:val="lrTb"/>
            <w:noWrap w:val="false"/>
          </w:tcPr>
          <w:p>
            <w:pPr>
              <w:pStyle w:val="1276"/>
              <w:spacing w:line="440" w:lineRule="exact"/>
              <w:rPr>
                <w:szCs w:val="21"/>
              </w:rPr>
            </w:pPr>
            <w:r>
              <w:rPr>
                <w:szCs w:val="21"/>
              </w:rPr>
            </w:r>
            <w:r/>
          </w:p>
        </w:tc>
        <w:tc>
          <w:tcPr>
            <w:tcW w:w="703" w:type="dxa"/>
            <w:vAlign w:val="top"/>
            <w:vMerge w:val="continue"/>
            <w:textDirection w:val="lrTb"/>
            <w:noWrap w:val="false"/>
          </w:tcPr>
          <w:p>
            <w:pPr>
              <w:pStyle w:val="1276"/>
              <w:spacing w:line="440" w:lineRule="exact"/>
              <w:rPr>
                <w:szCs w:val="21"/>
              </w:rPr>
            </w:pPr>
            <w:r>
              <w:rPr>
                <w:szCs w:val="21"/>
              </w:rPr>
            </w:r>
            <w:r/>
          </w:p>
        </w:tc>
      </w:tr>
      <w:tr>
        <w:trPr/>
        <w:tc>
          <w:tcPr>
            <w:tcW w:w="438" w:type="dxa"/>
            <w:vAlign w:val="top"/>
            <w:textDirection w:val="lrTb"/>
            <w:noWrap w:val="false"/>
          </w:tcPr>
          <w:p>
            <w:pPr>
              <w:pStyle w:val="1276"/>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10" w:type="dxa"/>
            <w:vAlign w:val="top"/>
            <w:textDirection w:val="lrTb"/>
            <w:noWrap w:val="false"/>
          </w:tcPr>
          <w:p>
            <w:pPr>
              <w:pStyle w:val="1276"/>
              <w:ind w:left="-827" w:firstLine="827"/>
              <w:spacing w:line="440" w:lineRule="exact"/>
              <w:rPr>
                <w:szCs w:val="21"/>
              </w:rPr>
            </w:pPr>
            <w:r>
              <w:rPr>
                <w:szCs w:val="21"/>
              </w:rPr>
            </w:r>
            <w:r/>
          </w:p>
        </w:tc>
        <w:tc>
          <w:tcPr>
            <w:tcW w:w="438"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1162" w:type="dxa"/>
            <w:vAlign w:val="top"/>
            <w:textDirection w:val="lrTb"/>
            <w:noWrap w:val="false"/>
          </w:tcPr>
          <w:p>
            <w:pPr>
              <w:pStyle w:val="1276"/>
              <w:spacing w:line="440" w:lineRule="exact"/>
              <w:rPr>
                <w:szCs w:val="21"/>
              </w:rPr>
            </w:pPr>
            <w:r>
              <w:rPr>
                <w:szCs w:val="21"/>
              </w:rPr>
            </w:r>
            <w:r/>
          </w:p>
        </w:tc>
        <w:tc>
          <w:tcPr>
            <w:tcW w:w="703" w:type="dxa"/>
            <w:vAlign w:val="top"/>
            <w:vMerge w:val="continue"/>
            <w:textDirection w:val="lrTb"/>
            <w:noWrap w:val="false"/>
          </w:tcPr>
          <w:p>
            <w:pPr>
              <w:pStyle w:val="1276"/>
              <w:spacing w:line="440" w:lineRule="exact"/>
              <w:rPr>
                <w:szCs w:val="21"/>
              </w:rPr>
            </w:pPr>
            <w:r>
              <w:rPr>
                <w:szCs w:val="21"/>
              </w:rPr>
            </w:r>
            <w:r/>
          </w:p>
        </w:tc>
      </w:tr>
      <w:tr>
        <w:trPr/>
        <w:tc>
          <w:tcPr>
            <w:tcW w:w="438" w:type="dxa"/>
            <w:vAlign w:val="top"/>
            <w:textDirection w:val="lrTb"/>
            <w:noWrap w:val="false"/>
          </w:tcPr>
          <w:p>
            <w:pPr>
              <w:pStyle w:val="1276"/>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510" w:type="dxa"/>
            <w:vAlign w:val="top"/>
            <w:textDirection w:val="lrTb"/>
            <w:noWrap w:val="false"/>
          </w:tcPr>
          <w:p>
            <w:pPr>
              <w:pStyle w:val="1276"/>
              <w:spacing w:line="440" w:lineRule="exact"/>
              <w:rPr>
                <w:szCs w:val="21"/>
              </w:rPr>
            </w:pPr>
            <w:r>
              <w:rPr>
                <w:szCs w:val="21"/>
              </w:rPr>
            </w:r>
            <w:r/>
          </w:p>
        </w:tc>
        <w:tc>
          <w:tcPr>
            <w:tcW w:w="438"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1162" w:type="dxa"/>
            <w:vAlign w:val="top"/>
            <w:textDirection w:val="lrTb"/>
            <w:noWrap w:val="false"/>
          </w:tcPr>
          <w:p>
            <w:pPr>
              <w:pStyle w:val="1276"/>
              <w:spacing w:line="440" w:lineRule="exact"/>
              <w:rPr>
                <w:szCs w:val="21"/>
              </w:rPr>
            </w:pPr>
            <w:r>
              <w:rPr>
                <w:szCs w:val="21"/>
              </w:rPr>
            </w:r>
            <w:r/>
          </w:p>
        </w:tc>
        <w:tc>
          <w:tcPr>
            <w:tcW w:w="703" w:type="dxa"/>
            <w:vAlign w:val="top"/>
            <w:vMerge w:val="continue"/>
            <w:textDirection w:val="lrTb"/>
            <w:noWrap w:val="false"/>
          </w:tcPr>
          <w:p>
            <w:pPr>
              <w:pStyle w:val="1276"/>
              <w:spacing w:line="440" w:lineRule="exact"/>
              <w:rPr>
                <w:szCs w:val="21"/>
              </w:rPr>
            </w:pPr>
            <w:r>
              <w:rPr>
                <w:szCs w:val="21"/>
              </w:rPr>
            </w:r>
            <w:r/>
          </w:p>
        </w:tc>
      </w:tr>
      <w:tr>
        <w:trPr/>
        <w:tc>
          <w:tcPr>
            <w:tcW w:w="438" w:type="dxa"/>
            <w:vAlign w:val="top"/>
            <w:textDirection w:val="lrTb"/>
            <w:noWrap w:val="false"/>
          </w:tcPr>
          <w:p>
            <w:pPr>
              <w:pStyle w:val="1276"/>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510" w:type="dxa"/>
            <w:vAlign w:val="top"/>
            <w:textDirection w:val="lrTb"/>
            <w:noWrap w:val="false"/>
          </w:tcPr>
          <w:p>
            <w:pPr>
              <w:pStyle w:val="1276"/>
              <w:spacing w:line="440" w:lineRule="exact"/>
              <w:rPr>
                <w:szCs w:val="21"/>
              </w:rPr>
            </w:pPr>
            <w:r>
              <w:rPr>
                <w:szCs w:val="21"/>
              </w:rPr>
            </w:r>
            <w:r/>
          </w:p>
        </w:tc>
        <w:tc>
          <w:tcPr>
            <w:tcW w:w="438"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1162" w:type="dxa"/>
            <w:vAlign w:val="top"/>
            <w:textDirection w:val="lrTb"/>
            <w:noWrap w:val="false"/>
          </w:tcPr>
          <w:p>
            <w:pPr>
              <w:pStyle w:val="1276"/>
              <w:spacing w:line="440" w:lineRule="exact"/>
              <w:rPr>
                <w:szCs w:val="21"/>
              </w:rPr>
            </w:pPr>
            <w:r>
              <w:rPr>
                <w:szCs w:val="21"/>
              </w:rPr>
            </w:r>
            <w:r/>
          </w:p>
        </w:tc>
        <w:tc>
          <w:tcPr>
            <w:tcW w:w="703" w:type="dxa"/>
            <w:vAlign w:val="top"/>
            <w:vMerge w:val="continue"/>
            <w:textDirection w:val="lrTb"/>
            <w:noWrap w:val="false"/>
          </w:tcPr>
          <w:p>
            <w:pPr>
              <w:pStyle w:val="1276"/>
              <w:spacing w:line="440" w:lineRule="exact"/>
              <w:rPr>
                <w:szCs w:val="21"/>
              </w:rPr>
            </w:pPr>
            <w:r>
              <w:rPr>
                <w:szCs w:val="21"/>
              </w:rPr>
            </w:r>
            <w:r/>
          </w:p>
        </w:tc>
      </w:tr>
      <w:tr>
        <w:trPr/>
        <w:tc>
          <w:tcPr>
            <w:tcW w:w="438" w:type="dxa"/>
            <w:vAlign w:val="top"/>
            <w:textDirection w:val="lrTb"/>
            <w:noWrap w:val="false"/>
          </w:tcPr>
          <w:p>
            <w:pPr>
              <w:pStyle w:val="1276"/>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510" w:type="dxa"/>
            <w:vAlign w:val="top"/>
            <w:textDirection w:val="lrTb"/>
            <w:noWrap w:val="false"/>
          </w:tcPr>
          <w:p>
            <w:pPr>
              <w:pStyle w:val="1276"/>
              <w:spacing w:line="440" w:lineRule="exact"/>
              <w:rPr>
                <w:szCs w:val="21"/>
              </w:rPr>
            </w:pPr>
            <w:r>
              <w:rPr>
                <w:szCs w:val="21"/>
              </w:rPr>
            </w:r>
            <w:r/>
          </w:p>
        </w:tc>
        <w:tc>
          <w:tcPr>
            <w:tcW w:w="438"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1162" w:type="dxa"/>
            <w:vAlign w:val="top"/>
            <w:textDirection w:val="lrTb"/>
            <w:noWrap w:val="false"/>
          </w:tcPr>
          <w:p>
            <w:pPr>
              <w:pStyle w:val="1276"/>
              <w:spacing w:line="440" w:lineRule="exact"/>
              <w:rPr>
                <w:szCs w:val="21"/>
              </w:rPr>
            </w:pPr>
            <w:r>
              <w:rPr>
                <w:szCs w:val="21"/>
              </w:rPr>
            </w:r>
            <w:r/>
          </w:p>
        </w:tc>
        <w:tc>
          <w:tcPr>
            <w:tcW w:w="703" w:type="dxa"/>
            <w:vAlign w:val="top"/>
            <w:vMerge w:val="continue"/>
            <w:textDirection w:val="lrTb"/>
            <w:noWrap w:val="false"/>
          </w:tcPr>
          <w:p>
            <w:pPr>
              <w:pStyle w:val="1276"/>
              <w:spacing w:line="440" w:lineRule="exact"/>
              <w:rPr>
                <w:szCs w:val="21"/>
              </w:rPr>
            </w:pPr>
            <w:r>
              <w:rPr>
                <w:szCs w:val="21"/>
              </w:rPr>
            </w:r>
            <w:r/>
          </w:p>
        </w:tc>
      </w:tr>
      <w:tr>
        <w:trPr/>
        <w:tc>
          <w:tcPr>
            <w:tcW w:w="438" w:type="dxa"/>
            <w:vAlign w:val="top"/>
            <w:textDirection w:val="lrTb"/>
            <w:noWrap w:val="false"/>
          </w:tcPr>
          <w:p>
            <w:pPr>
              <w:pStyle w:val="1276"/>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510" w:type="dxa"/>
            <w:vAlign w:val="top"/>
            <w:textDirection w:val="lrTb"/>
            <w:noWrap w:val="false"/>
          </w:tcPr>
          <w:p>
            <w:pPr>
              <w:pStyle w:val="1276"/>
              <w:spacing w:line="440" w:lineRule="exact"/>
              <w:rPr>
                <w:szCs w:val="21"/>
              </w:rPr>
            </w:pPr>
            <w:r>
              <w:rPr>
                <w:szCs w:val="21"/>
              </w:rPr>
            </w:r>
            <w:r/>
          </w:p>
        </w:tc>
        <w:tc>
          <w:tcPr>
            <w:tcW w:w="438"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1162" w:type="dxa"/>
            <w:vAlign w:val="top"/>
            <w:textDirection w:val="lrTb"/>
            <w:noWrap w:val="false"/>
          </w:tcPr>
          <w:p>
            <w:pPr>
              <w:pStyle w:val="1276"/>
              <w:spacing w:line="440" w:lineRule="exact"/>
              <w:rPr>
                <w:szCs w:val="21"/>
              </w:rPr>
            </w:pPr>
            <w:r>
              <w:rPr>
                <w:szCs w:val="21"/>
              </w:rPr>
            </w:r>
            <w:r/>
          </w:p>
        </w:tc>
        <w:tc>
          <w:tcPr>
            <w:tcW w:w="703" w:type="dxa"/>
            <w:vAlign w:val="top"/>
            <w:vMerge w:val="continue"/>
            <w:textDirection w:val="lrTb"/>
            <w:noWrap w:val="false"/>
          </w:tcPr>
          <w:p>
            <w:pPr>
              <w:pStyle w:val="1276"/>
              <w:spacing w:line="440" w:lineRule="exact"/>
              <w:rPr>
                <w:szCs w:val="21"/>
              </w:rPr>
            </w:pPr>
            <w:r>
              <w:rPr>
                <w:szCs w:val="21"/>
              </w:rPr>
            </w:r>
            <w:r/>
          </w:p>
        </w:tc>
      </w:tr>
      <w:tr>
        <w:trPr/>
        <w:tc>
          <w:tcPr>
            <w:tcW w:w="438" w:type="dxa"/>
            <w:vAlign w:val="top"/>
            <w:textDirection w:val="lrTb"/>
            <w:noWrap w:val="false"/>
          </w:tcPr>
          <w:p>
            <w:pPr>
              <w:pStyle w:val="1276"/>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510" w:type="dxa"/>
            <w:vAlign w:val="top"/>
            <w:textDirection w:val="lrTb"/>
            <w:noWrap w:val="false"/>
          </w:tcPr>
          <w:p>
            <w:pPr>
              <w:pStyle w:val="1276"/>
              <w:spacing w:line="440" w:lineRule="exact"/>
              <w:rPr>
                <w:szCs w:val="21"/>
              </w:rPr>
            </w:pPr>
            <w:r>
              <w:rPr>
                <w:szCs w:val="21"/>
              </w:rPr>
            </w:r>
            <w:r/>
          </w:p>
        </w:tc>
        <w:tc>
          <w:tcPr>
            <w:tcW w:w="438"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873" w:type="dxa"/>
            <w:vAlign w:val="top"/>
            <w:textDirection w:val="lrTb"/>
            <w:noWrap w:val="false"/>
          </w:tcPr>
          <w:p>
            <w:pPr>
              <w:pStyle w:val="1276"/>
              <w:spacing w:line="440" w:lineRule="exact"/>
              <w:rPr>
                <w:szCs w:val="21"/>
              </w:rPr>
            </w:pPr>
            <w:r>
              <w:rPr>
                <w:szCs w:val="21"/>
              </w:rPr>
            </w:r>
            <w:r/>
          </w:p>
        </w:tc>
        <w:tc>
          <w:tcPr>
            <w:tcW w:w="1162" w:type="dxa"/>
            <w:vAlign w:val="top"/>
            <w:textDirection w:val="lrTb"/>
            <w:noWrap w:val="false"/>
          </w:tcPr>
          <w:p>
            <w:pPr>
              <w:pStyle w:val="1276"/>
              <w:spacing w:line="440" w:lineRule="exact"/>
              <w:rPr>
                <w:szCs w:val="21"/>
              </w:rPr>
            </w:pPr>
            <w:r>
              <w:rPr>
                <w:szCs w:val="21"/>
              </w:rPr>
            </w:r>
            <w:r/>
          </w:p>
        </w:tc>
        <w:tc>
          <w:tcPr>
            <w:tcW w:w="703" w:type="dxa"/>
            <w:vAlign w:val="top"/>
            <w:vMerge w:val="continue"/>
            <w:textDirection w:val="lrTb"/>
            <w:noWrap w:val="false"/>
          </w:tcPr>
          <w:p>
            <w:pPr>
              <w:pStyle w:val="1276"/>
              <w:spacing w:line="440" w:lineRule="exact"/>
              <w:rPr>
                <w:szCs w:val="21"/>
              </w:rPr>
            </w:pPr>
            <w:r>
              <w:rPr>
                <w:szCs w:val="21"/>
              </w:rPr>
            </w:r>
            <w:r/>
          </w:p>
        </w:tc>
      </w:tr>
    </w:tbl>
    <w:p>
      <w:pPr>
        <w:pStyle w:val="1349"/>
        <w:ind w:firstLine="280"/>
        <w:rPr>
          <w:rFonts w:ascii="Arial" w:hAnsi="Arial" w:cs="Arial"/>
        </w:rPr>
      </w:pPr>
      <w:r>
        <w:rPr>
          <w:rFonts w:ascii="Arial" w:hAnsi="Arial" w:cs="Arial"/>
        </w:rPr>
      </w:r>
      <w:r/>
    </w:p>
    <w:p>
      <w:pPr>
        <w:pStyle w:val="1276"/>
        <w:spacing w:line="440" w:lineRule="exact"/>
        <w:rPr>
          <w:rFonts w:ascii="Arial" w:hAnsi="Arial" w:cs="Arial"/>
          <w:szCs w:val="21"/>
        </w:rPr>
      </w:pP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6"/>
        <w:spacing w:line="440" w:lineRule="exact"/>
        <w:rPr>
          <w:rFonts w:ascii="Arial" w:hAnsi="Arial" w:cs="Arial"/>
        </w:rPr>
      </w:pPr>
      <w:r>
        <w:rPr>
          <w:rFonts w:ascii="Arial" w:hAnsi="Arial" w:cs="Arial"/>
        </w:rPr>
      </w:r>
      <w:r/>
    </w:p>
    <w:p>
      <w:pPr>
        <w:pStyle w:val="1276"/>
        <w:spacing w:line="440" w:lineRule="exact"/>
        <w:rPr>
          <w:rFonts w:ascii="Arial" w:hAnsi="Arial" w:cs="Arial"/>
        </w:rPr>
      </w:pPr>
      <w:r>
        <w:rPr>
          <w:rFonts w:ascii="Arial" w:hAnsi="Arial" w:cs="Arial"/>
        </w:rPr>
      </w:r>
      <w:r/>
    </w:p>
    <w:p>
      <w:pPr>
        <w:pStyle w:val="1276"/>
        <w:spacing w:line="440" w:lineRule="exact"/>
        <w:rPr>
          <w:rFonts w:ascii="Arial" w:hAnsi="Arial" w:eastAsia="宋体" w:cs="Arial"/>
          <w:color w:val="000000"/>
          <w:lang w:val="en-US" w:eastAsia="zh-CN"/>
        </w:rPr>
      </w:pPr>
      <w:r>
        <w:rPr>
          <w:rFonts w:ascii="Arial" w:hAnsi="Arial" w:cs="Arial"/>
        </w:rPr>
        <w:t xml:space="preserve">注：1、供应商应</w:t>
      </w:r>
      <w:r>
        <w:rPr>
          <w:rFonts w:hint="eastAsia" w:ascii="Arial" w:hAnsi="Arial" w:cs="Arial"/>
          <w:lang w:val="en-US" w:eastAsia="zh-CN"/>
        </w:rPr>
        <w:t xml:space="preserve">按照第四章-★四、质量标准及数量中数量清单列明分项。</w:t>
      </w:r>
      <w:r>
        <w:rPr>
          <w:rFonts w:ascii="Times New Roman" w:hAnsi="Times New Roman" w:eastAsia="宋体" w:cs="Times New Roman"/>
          <w:color w:val="000000"/>
          <w:szCs w:val="24"/>
          <w:lang w:val="en-US" w:eastAsia="zh-CN"/>
        </w:rPr>
        <w:t xml:space="preserve">供应商根据实际情况在</w:t>
      </w:r>
      <w:r>
        <w:rPr>
          <w:rFonts w:hint="eastAsia" w:ascii="Times New Roman" w:hAnsi="Times New Roman" w:eastAsia="宋体" w:cs="Times New Roman"/>
          <w:color w:val="000000"/>
          <w:szCs w:val="24"/>
          <w:lang w:val="en-US" w:eastAsia="zh-CN"/>
        </w:rPr>
        <w:t xml:space="preserve">上</w:t>
      </w:r>
      <w:r>
        <w:rPr>
          <w:rFonts w:ascii="Times New Roman" w:hAnsi="Times New Roman" w:eastAsia="宋体" w:cs="Times New Roman"/>
          <w:color w:val="000000"/>
          <w:szCs w:val="24"/>
          <w:lang w:val="en-US" w:eastAsia="zh-CN"/>
        </w:rPr>
        <w:t xml:space="preserve">表中填写</w:t>
      </w:r>
      <w:r>
        <w:rPr>
          <w:rFonts w:hint="eastAsia" w:ascii="Times New Roman" w:hAnsi="Times New Roman" w:eastAsia="宋体" w:cs="Times New Roman"/>
          <w:color w:val="000000"/>
          <w:szCs w:val="24"/>
          <w:lang w:val="en-US" w:eastAsia="zh-CN"/>
        </w:rPr>
        <w:t xml:space="preserve">。</w:t>
      </w:r>
      <w:r>
        <w:rPr>
          <w:rFonts w:ascii="Arial" w:hAnsi="Arial" w:eastAsia="宋体" w:cs="Arial"/>
          <w:color w:val="000000"/>
          <w:lang w:val="en-US" w:eastAsia="zh-CN"/>
        </w:rPr>
      </w:r>
      <w:r/>
    </w:p>
    <w:p>
      <w:pPr>
        <w:pStyle w:val="1276"/>
        <w:spacing w:line="440" w:lineRule="exact"/>
        <w:rPr>
          <w:rFonts w:ascii="Arial" w:hAnsi="Arial" w:cs="Arial"/>
        </w:rPr>
      </w:pPr>
      <w:r>
        <w:rPr>
          <w:rFonts w:hint="eastAsia" w:ascii="Arial" w:hAnsi="Arial" w:cs="Arial"/>
          <w:b/>
          <w:bCs/>
          <w:color w:val="000000"/>
        </w:rPr>
        <w:t xml:space="preserve">2、</w:t>
      </w:r>
      <w:r>
        <w:rPr>
          <w:rFonts w:ascii="Arial" w:hAnsi="Arial" w:cs="Arial"/>
          <w:color w:val="000000"/>
        </w:rPr>
        <w:t xml:space="preserve">表</w:t>
      </w:r>
      <w:r>
        <w:rPr>
          <w:rFonts w:ascii="Arial" w:hAnsi="Arial" w:cs="Arial"/>
        </w:rPr>
        <w:t xml:space="preserve">中表格行数可自行添加。</w:t>
      </w:r>
      <w:r>
        <w:rPr>
          <w:rFonts w:ascii="Arial" w:hAnsi="Arial" w:cs="Arial"/>
        </w:rPr>
      </w:r>
      <w:r/>
    </w:p>
    <w:p>
      <w:pPr>
        <w:pStyle w:val="1276"/>
        <w:spacing w:line="440" w:lineRule="exact"/>
        <w:rPr>
          <w:szCs w:val="21"/>
        </w:rPr>
      </w:pPr>
      <w:r>
        <w:rPr>
          <w:szCs w:val="21"/>
        </w:rPr>
      </w:r>
      <w:r/>
    </w:p>
    <w:p>
      <w:pPr>
        <w:pStyle w:val="1276"/>
        <w:ind w:firstLine="420"/>
        <w:spacing w:line="440" w:lineRule="exact"/>
        <w:rPr>
          <w:rFonts w:ascii="Arial" w:hAnsi="Arial" w:cs="Arial"/>
        </w:rPr>
      </w:pPr>
      <w:r>
        <w:rPr>
          <w:rFonts w:ascii="Arial" w:hAnsi="Arial" w:cs="Arial"/>
        </w:rPr>
      </w:r>
      <w:r/>
    </w:p>
    <w:p>
      <w:pPr>
        <w:pStyle w:val="1276"/>
        <w:spacing w:after="156" w:line="440" w:lineRule="exact"/>
        <w:rPr>
          <w:rFonts w:ascii="Arial" w:hAnsi="Arial" w:cs="Arial"/>
          <w:b/>
          <w:bCs/>
          <w:sz w:val="24"/>
          <w:szCs w:val="22"/>
        </w:rPr>
        <w:outlineLvl w:val="1"/>
      </w:pPr>
      <w:r/>
      <w:bookmarkStart w:id="598" w:name="_Toc31558"/>
      <w:r>
        <w:rPr>
          <w:rFonts w:ascii="Arial" w:hAnsi="Arial" w:cs="Arial"/>
          <w:b/>
          <w:bCs/>
          <w:sz w:val="24"/>
          <w:szCs w:val="22"/>
        </w:rPr>
        <w:br w:type="page" w:clear="all"/>
      </w:r>
      <w:bookmarkStart w:id="599" w:name="_Toc12888"/>
      <w:r/>
      <w:bookmarkStart w:id="600" w:name="_Toc1217"/>
      <w:r/>
      <w:bookmarkStart w:id="601" w:name="_Toc27303"/>
      <w:r/>
      <w:bookmarkStart w:id="602" w:name="_Toc25574"/>
      <w:r/>
      <w:bookmarkStart w:id="603" w:name="_Toc29420"/>
      <w:r/>
      <w:bookmarkStart w:id="604" w:name="_Toc3733"/>
      <w:r>
        <w:rPr>
          <w:rFonts w:ascii="Arial" w:hAnsi="Arial" w:cs="Arial"/>
          <w:b/>
          <w:bCs/>
          <w:sz w:val="24"/>
          <w:szCs w:val="22"/>
        </w:rPr>
        <w:t xml:space="preserve">附件四 商务条款偏离表</w:t>
      </w:r>
      <w:bookmarkEnd w:id="598"/>
      <w:r/>
      <w:bookmarkEnd w:id="599"/>
      <w:r/>
      <w:bookmarkEnd w:id="600"/>
      <w:r/>
      <w:bookmarkEnd w:id="601"/>
      <w:r/>
      <w:bookmarkEnd w:id="602"/>
      <w:r/>
      <w:bookmarkEnd w:id="603"/>
      <w:r/>
      <w:bookmarkEnd w:id="604"/>
      <w:r>
        <w:rPr>
          <w:rFonts w:ascii="Arial" w:hAnsi="Arial" w:cs="Arial"/>
          <w:b/>
          <w:bCs/>
          <w:sz w:val="24"/>
          <w:szCs w:val="22"/>
        </w:rPr>
      </w:r>
      <w:r/>
    </w:p>
    <w:p>
      <w:pPr>
        <w:pStyle w:val="1276"/>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276"/>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6"/>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276"/>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6"/>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276"/>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6"/>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6"/>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276"/>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6"/>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6"/>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6"/>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6"/>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6"/>
              <w:spacing w:before="156" w:line="440" w:lineRule="exact"/>
              <w:rPr>
                <w:rFonts w:ascii="Arial" w:hAnsi="Arial" w:cs="Arial"/>
                <w:szCs w:val="21"/>
              </w:rPr>
            </w:pPr>
            <w:r>
              <w:rPr>
                <w:rFonts w:ascii="Arial" w:hAnsi="Arial" w:cs="Arial"/>
                <w:szCs w:val="21"/>
              </w:rPr>
            </w:r>
            <w:r/>
          </w:p>
        </w:tc>
      </w:tr>
    </w:tbl>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6"/>
        <w:spacing w:line="440" w:lineRule="exact"/>
        <w:rPr>
          <w:rFonts w:ascii="Arial" w:hAnsi="Arial" w:cs="Arial"/>
          <w:color w:val="000000"/>
          <w:szCs w:val="21"/>
        </w:rPr>
      </w:pPr>
      <w:r>
        <w:rPr>
          <w:rFonts w:ascii="Arial" w:hAnsi="Arial" w:cs="Arial"/>
          <w:color w:val="000000"/>
          <w:szCs w:val="21"/>
        </w:rPr>
      </w:r>
      <w:r/>
    </w:p>
    <w:p>
      <w:pPr>
        <w:pStyle w:val="1276"/>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276"/>
        <w:numPr>
          <w:ilvl w:val="0"/>
          <w:numId w:val="4"/>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276"/>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276"/>
        <w:ind w:firstLine="5494"/>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ind w:right="-334"/>
        <w:spacing w:line="440" w:lineRule="exact"/>
        <w:rPr>
          <w:rFonts w:ascii="Arial" w:hAnsi="Arial" w:cs="Arial"/>
          <w:sz w:val="24"/>
        </w:rPr>
      </w:pPr>
      <w:r>
        <w:rPr>
          <w:rFonts w:ascii="Arial" w:hAnsi="Arial" w:cs="Arial"/>
          <w:sz w:val="24"/>
        </w:rPr>
      </w:r>
      <w:r/>
    </w:p>
    <w:p>
      <w:pPr>
        <w:pStyle w:val="1276"/>
        <w:ind w:right="-334"/>
        <w:spacing w:line="440" w:lineRule="exact"/>
        <w:rPr>
          <w:rFonts w:ascii="Arial" w:hAnsi="Arial" w:cs="Arial"/>
          <w:sz w:val="24"/>
        </w:rPr>
      </w:pPr>
      <w:r>
        <w:rPr>
          <w:rFonts w:ascii="Arial" w:hAnsi="Arial" w:cs="Arial"/>
          <w:sz w:val="24"/>
        </w:rPr>
      </w:r>
      <w:r/>
    </w:p>
    <w:p>
      <w:pPr>
        <w:pStyle w:val="1276"/>
        <w:ind w:right="-334"/>
        <w:spacing w:line="440" w:lineRule="exact"/>
        <w:rPr>
          <w:rFonts w:ascii="Arial" w:hAnsi="Arial" w:cs="Arial"/>
          <w:sz w:val="24"/>
        </w:rPr>
      </w:pPr>
      <w:r>
        <w:rPr>
          <w:rFonts w:ascii="Arial" w:hAnsi="Arial" w:cs="Arial"/>
          <w:sz w:val="24"/>
        </w:rPr>
      </w:r>
      <w:r/>
    </w:p>
    <w:p>
      <w:pPr>
        <w:pStyle w:val="1276"/>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276"/>
        <w:spacing w:after="156" w:line="440" w:lineRule="exact"/>
        <w:rPr>
          <w:rFonts w:ascii="Arial" w:hAnsi="Arial" w:cs="Arial"/>
          <w:b/>
          <w:bCs/>
          <w:sz w:val="24"/>
          <w:szCs w:val="22"/>
        </w:rPr>
        <w:outlineLvl w:val="1"/>
      </w:pPr>
      <w:r/>
      <w:bookmarkStart w:id="605" w:name="_Toc20242"/>
      <w:r/>
      <w:bookmarkStart w:id="606" w:name="_Toc24669"/>
      <w:r/>
      <w:bookmarkStart w:id="607" w:name="_Toc5577"/>
      <w:r/>
      <w:bookmarkStart w:id="608" w:name="_Toc30719"/>
      <w:r/>
      <w:bookmarkStart w:id="609" w:name="_Toc15349"/>
      <w:r/>
      <w:bookmarkStart w:id="610" w:name="_Toc30878"/>
      <w:r>
        <w:rPr>
          <w:rFonts w:ascii="Arial" w:hAnsi="Arial" w:cs="Arial"/>
          <w:b/>
          <w:bCs/>
          <w:sz w:val="24"/>
          <w:szCs w:val="22"/>
        </w:rPr>
        <w:t xml:space="preserve">附件五 技术条款偏离表</w:t>
      </w:r>
      <w:bookmarkEnd w:id="605"/>
      <w:r/>
      <w:bookmarkEnd w:id="606"/>
      <w:r/>
      <w:bookmarkEnd w:id="607"/>
      <w:r/>
      <w:bookmarkEnd w:id="608"/>
      <w:r/>
      <w:bookmarkEnd w:id="609"/>
      <w:r/>
      <w:bookmarkEnd w:id="610"/>
      <w:r>
        <w:rPr>
          <w:rFonts w:ascii="Arial" w:hAnsi="Arial" w:cs="Arial"/>
          <w:b/>
          <w:bCs/>
          <w:sz w:val="24"/>
          <w:szCs w:val="22"/>
        </w:rPr>
      </w:r>
      <w:r/>
    </w:p>
    <w:p>
      <w:pPr>
        <w:pStyle w:val="1276"/>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276"/>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3182"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950"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1215" w:type="dxa"/>
            <w:vAlign w:val="center"/>
            <w:vMerge w:val="restart"/>
            <w:textDirection w:val="lrTb"/>
            <w:noWrap w:val="false"/>
          </w:tcPr>
          <w:p>
            <w:pPr>
              <w:pStyle w:val="1276"/>
              <w:jc w:val="center"/>
              <w:spacing w:line="440" w:lineRule="exact"/>
              <w:rPr>
                <w:rFonts w:ascii="Arial" w:hAnsi="Arial" w:cs="Arial"/>
                <w:color w:val="000000"/>
                <w:szCs w:val="21"/>
              </w:rPr>
            </w:pPr>
            <w:r>
              <w:rPr>
                <w:rFonts w:ascii="Arial" w:hAnsi="Arial" w:cs="Arial"/>
                <w:color w:val="000000"/>
                <w:szCs w:val="21"/>
              </w:rPr>
              <w:t xml:space="preserve">说明</w:t>
            </w:r>
            <w:r>
              <w:rPr>
                <w:rFonts w:ascii="Arial" w:hAnsi="Arial" w:cs="Arial"/>
                <w:color w:val="000000"/>
                <w:szCs w:val="21"/>
              </w:rPr>
            </w:r>
            <w:r/>
          </w:p>
        </w:tc>
        <w:tc>
          <w:tcPr>
            <w:tcW w:w="2392" w:type="dxa"/>
            <w:vAlign w:val="center"/>
            <w:vMerge w:val="restart"/>
            <w:textDirection w:val="lrTb"/>
            <w:noWrap w:val="false"/>
          </w:tcPr>
          <w:p>
            <w:pPr>
              <w:pStyle w:val="1276"/>
              <w:jc w:val="center"/>
              <w:spacing w:line="440" w:lineRule="exact"/>
              <w:rPr>
                <w:rFonts w:hint="eastAsia" w:ascii="Arial" w:hAnsi="Arial" w:eastAsia="宋体" w:cs="Arial"/>
                <w:color w:val="000000"/>
                <w:szCs w:val="21"/>
                <w:lang w:eastAsia="zh-CN"/>
              </w:rPr>
            </w:pPr>
            <w:r>
              <w:rPr>
                <w:rFonts w:ascii="Arial" w:hAnsi="Arial" w:eastAsia="宋体" w:cs="Arial"/>
                <w:color w:val="000000"/>
                <w:szCs w:val="21"/>
                <w:highlight w:val="none"/>
                <w:lang w:val="en-US" w:eastAsia="zh-CN"/>
              </w:rPr>
              <w:t xml:space="preserve">备注</w:t>
            </w:r>
            <w:r>
              <w:rPr>
                <w:rFonts w:hint="eastAsia" w:ascii="Arial" w:hAnsi="Arial" w:eastAsia="宋体" w:cs="Arial"/>
                <w:color w:val="000000"/>
                <w:szCs w:val="21"/>
                <w:lang w:eastAsia="zh-CN"/>
              </w:rPr>
            </w:r>
            <w:r/>
          </w:p>
        </w:tc>
      </w:tr>
      <w:tr>
        <w:trPr>
          <w:cantSplit/>
        </w:trPr>
        <w:tc>
          <w:tcPr>
            <w:tcW w:w="675" w:type="dxa"/>
            <w:vAlign w:val="center"/>
            <w:vMerge w:val="continue"/>
            <w:textDirection w:val="lrTb"/>
            <w:noWrap w:val="false"/>
          </w:tcPr>
          <w:p>
            <w:pPr>
              <w:pStyle w:val="1276"/>
              <w:jc w:val="center"/>
              <w:spacing w:line="440" w:lineRule="exact"/>
              <w:widowControl/>
              <w:rPr>
                <w:rFonts w:ascii="Arial" w:hAnsi="Arial" w:cs="Arial"/>
                <w:szCs w:val="21"/>
              </w:rPr>
            </w:pPr>
            <w:r>
              <w:rPr>
                <w:rFonts w:ascii="Arial" w:hAnsi="Arial" w:cs="Arial"/>
                <w:szCs w:val="21"/>
              </w:rPr>
            </w:r>
            <w:r/>
          </w:p>
        </w:tc>
        <w:tc>
          <w:tcPr>
            <w:tcW w:w="1277"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905" w:type="dxa"/>
            <w:vAlign w:val="center"/>
            <w:textDirection w:val="lrTb"/>
            <w:noWrap w:val="false"/>
          </w:tcPr>
          <w:p>
            <w:pPr>
              <w:pStyle w:val="1276"/>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950" w:type="dxa"/>
            <w:vAlign w:val="center"/>
            <w:textDirection w:val="lrTb"/>
            <w:noWrap w:val="false"/>
          </w:tcPr>
          <w:p>
            <w:pPr>
              <w:pStyle w:val="1276"/>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1215" w:type="dxa"/>
            <w:vAlign w:val="center"/>
            <w:vMerge w:val="continue"/>
            <w:textDirection w:val="lrTb"/>
            <w:noWrap w:val="false"/>
          </w:tcPr>
          <w:p>
            <w:pPr>
              <w:pStyle w:val="1276"/>
              <w:jc w:val="center"/>
              <w:spacing w:line="440" w:lineRule="exact"/>
              <w:rPr>
                <w:rFonts w:ascii="Arial" w:hAnsi="Arial" w:cs="Arial"/>
                <w:szCs w:val="21"/>
              </w:rPr>
            </w:pPr>
            <w:r>
              <w:rPr>
                <w:rFonts w:ascii="Arial" w:hAnsi="Arial" w:cs="Arial"/>
                <w:szCs w:val="21"/>
              </w:rPr>
            </w:r>
            <w:r/>
          </w:p>
        </w:tc>
        <w:tc>
          <w:tcPr>
            <w:tcW w:w="2392" w:type="dxa"/>
            <w:vAlign w:val="center"/>
            <w:vMerge w:val="continue"/>
            <w:textDirection w:val="lrTb"/>
            <w:noWrap w:val="false"/>
          </w:tcPr>
          <w:p>
            <w:pPr>
              <w:pStyle w:val="1276"/>
              <w:jc w:val="center"/>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6"/>
              <w:spacing w:line="440" w:lineRule="exact"/>
              <w:rPr>
                <w:rFonts w:ascii="Arial" w:hAnsi="Arial" w:cs="Arial"/>
                <w:szCs w:val="21"/>
              </w:rPr>
            </w:pPr>
            <w:r>
              <w:rPr>
                <w:rFonts w:ascii="Arial" w:hAnsi="Arial" w:cs="Arial"/>
                <w:szCs w:val="21"/>
              </w:rPr>
            </w:r>
            <w:r/>
          </w:p>
        </w:tc>
      </w:tr>
    </w:tbl>
    <w:p>
      <w:pPr>
        <w:pStyle w:val="1276"/>
        <w:spacing w:line="440" w:lineRule="exact"/>
        <w:rPr>
          <w:rFonts w:ascii="Arial" w:hAnsi="Arial" w:cs="Arial"/>
          <w:szCs w:val="21"/>
        </w:rPr>
      </w:pP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6"/>
        <w:spacing w:line="440" w:lineRule="exact"/>
        <w:rPr>
          <w:rFonts w:ascii="Arial" w:hAnsi="Arial" w:cs="Arial"/>
          <w:color w:val="000000"/>
          <w:szCs w:val="21"/>
        </w:rPr>
      </w:pPr>
      <w:r>
        <w:rPr>
          <w:rFonts w:ascii="Arial" w:hAnsi="Arial" w:cs="Arial"/>
          <w:color w:val="000000"/>
          <w:szCs w:val="21"/>
        </w:rPr>
      </w:r>
      <w:r/>
    </w:p>
    <w:p>
      <w:pPr>
        <w:pStyle w:val="1276"/>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276"/>
        <w:spacing w:line="440" w:lineRule="exact"/>
        <w:rPr>
          <w:rFonts w:ascii="Arial" w:hAnsi="Arial" w:cs="Arial"/>
          <w:b/>
          <w:bCs/>
          <w:szCs w:val="21"/>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ascii="Arial" w:hAnsi="Arial" w:cs="Arial"/>
          <w:szCs w:val="21"/>
        </w:rPr>
        <w:t xml:space="preserve">，</w:t>
      </w:r>
      <w:r>
        <w:rPr>
          <w:rFonts w:ascii="Arial" w:hAnsi="Arial" w:cs="Arial"/>
          <w:b/>
          <w:bCs/>
          <w:szCs w:val="21"/>
        </w:rPr>
        <w:t xml:space="preserve">并且标注针对</w:t>
      </w:r>
      <w:r>
        <w:rPr>
          <w:rFonts w:hint="eastAsia" w:ascii="Arial" w:hAnsi="Arial" w:cs="Arial"/>
          <w:b/>
          <w:bCs/>
          <w:szCs w:val="21"/>
        </w:rPr>
        <w:t xml:space="preserve">“</w:t>
      </w:r>
      <w:r>
        <w:rPr>
          <w:rFonts w:ascii="Arial" w:hAnsi="Arial" w:cs="Arial"/>
          <w:b/>
          <w:bCs/>
          <w:szCs w:val="21"/>
        </w:rPr>
        <w:t xml:space="preserve">★</w:t>
      </w:r>
      <w:r>
        <w:rPr>
          <w:rFonts w:hint="eastAsia" w:ascii="Arial" w:hAnsi="Arial" w:cs="Arial"/>
          <w:b/>
          <w:bCs/>
          <w:szCs w:val="21"/>
        </w:rPr>
        <w:t xml:space="preserve">”和“▲”</w:t>
      </w:r>
      <w:r>
        <w:rPr>
          <w:rFonts w:ascii="Arial" w:hAnsi="Arial" w:cs="Arial"/>
          <w:b/>
          <w:bCs/>
          <w:szCs w:val="21"/>
        </w:rPr>
        <w:t xml:space="preserve">技术规格响应的证明文件在投标文件中的页码及具体位置。</w:t>
      </w:r>
      <w:r>
        <w:rPr>
          <w:rFonts w:ascii="Arial" w:hAnsi="Arial" w:cs="Arial"/>
          <w:b/>
          <w:bCs/>
          <w:szCs w:val="21"/>
        </w:rPr>
      </w:r>
      <w:r/>
    </w:p>
    <w:p>
      <w:pPr>
        <w:pStyle w:val="1276"/>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276"/>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276"/>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276"/>
        <w:spacing w:after="156" w:line="440" w:lineRule="exact"/>
        <w:rPr>
          <w:rFonts w:ascii="Arial" w:hAnsi="Arial" w:cs="Arial"/>
          <w:b/>
          <w:bCs/>
          <w:sz w:val="24"/>
          <w:szCs w:val="22"/>
        </w:rPr>
        <w:outlineLvl w:val="1"/>
      </w:pPr>
      <w:r/>
      <w:bookmarkStart w:id="611" w:name="_Toc20842"/>
      <w:r>
        <w:rPr>
          <w:rFonts w:ascii="Arial" w:hAnsi="Arial" w:cs="Arial"/>
          <w:b/>
          <w:bCs/>
          <w:sz w:val="24"/>
          <w:szCs w:val="22"/>
        </w:rPr>
        <w:br w:type="page" w:clear="all"/>
      </w:r>
      <w:bookmarkStart w:id="612" w:name="_Toc31089"/>
      <w:r/>
      <w:bookmarkStart w:id="613" w:name="_Toc6818"/>
      <w:r/>
      <w:bookmarkStart w:id="614" w:name="_Toc25940"/>
      <w:r/>
      <w:bookmarkStart w:id="615" w:name="_Toc5933"/>
      <w:r/>
      <w:bookmarkStart w:id="616" w:name="_Toc7540"/>
      <w:r/>
      <w:bookmarkStart w:id="617" w:name="_Toc11841"/>
      <w:r>
        <w:rPr>
          <w:rFonts w:ascii="Arial" w:hAnsi="Arial" w:cs="Arial"/>
          <w:b/>
          <w:bCs/>
          <w:sz w:val="24"/>
          <w:szCs w:val="22"/>
        </w:rPr>
        <w:t xml:space="preserve">附件六 政府采购政策</w:t>
      </w:r>
      <w:bookmarkEnd w:id="611"/>
      <w:r/>
      <w:bookmarkEnd w:id="612"/>
      <w:r/>
      <w:bookmarkEnd w:id="613"/>
      <w:r/>
      <w:bookmarkEnd w:id="614"/>
      <w:r/>
      <w:bookmarkEnd w:id="615"/>
      <w:r/>
      <w:bookmarkEnd w:id="616"/>
      <w:r/>
      <w:bookmarkEnd w:id="617"/>
      <w:r>
        <w:rPr>
          <w:rFonts w:ascii="Arial" w:hAnsi="Arial" w:cs="Arial"/>
          <w:b/>
          <w:bCs/>
          <w:sz w:val="24"/>
          <w:szCs w:val="22"/>
        </w:rPr>
      </w:r>
      <w:r/>
    </w:p>
    <w:p>
      <w:pPr>
        <w:pStyle w:val="1349"/>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276"/>
        <w:jc w:val="center"/>
        <w:spacing w:line="360" w:lineRule="auto"/>
        <w:rPr>
          <w:rFonts w:ascii="Arial" w:hAnsi="Arial" w:eastAsia="宋体" w:cs="Arial"/>
          <w:b/>
          <w:bCs/>
          <w:szCs w:val="21"/>
        </w:rPr>
        <w:outlineLvl w:val="2"/>
      </w:pPr>
      <w:r/>
      <w:bookmarkStart w:id="618" w:name="_Toc16181"/>
      <w:r/>
      <w:bookmarkStart w:id="619" w:name="_Toc22161"/>
      <w:r>
        <w:rPr>
          <w:rFonts w:hint="eastAsia" w:ascii="Arial" w:hAnsi="Arial" w:eastAsia="宋体" w:cs="Arial"/>
          <w:b/>
          <w:bCs/>
          <w:szCs w:val="21"/>
          <w:lang w:eastAsia="zh-CN"/>
        </w:rPr>
        <w:t xml:space="preserve">（</w:t>
      </w:r>
      <w:r>
        <w:rPr>
          <w:rFonts w:hint="eastAsia" w:ascii="Arial" w:hAnsi="Arial" w:eastAsia="宋体" w:cs="Arial"/>
          <w:b/>
          <w:bCs/>
          <w:szCs w:val="21"/>
          <w:lang w:val="en-US" w:eastAsia="zh-CN"/>
        </w:rPr>
        <w:t xml:space="preserve">一</w:t>
      </w:r>
      <w:r>
        <w:rPr>
          <w:rFonts w:hint="eastAsia" w:ascii="Arial" w:hAnsi="Arial" w:eastAsia="宋体" w:cs="Arial"/>
          <w:b/>
          <w:bCs/>
          <w:szCs w:val="21"/>
          <w:lang w:eastAsia="zh-CN"/>
        </w:rPr>
        <w:t xml:space="preserve">）</w:t>
      </w:r>
      <w:r>
        <w:rPr>
          <w:rFonts w:ascii="Arial" w:hAnsi="Arial" w:eastAsia="宋体" w:cs="Arial"/>
          <w:b/>
          <w:bCs/>
          <w:szCs w:val="21"/>
        </w:rPr>
        <w:t xml:space="preserve">中小企业声明函（货物）</w:t>
      </w:r>
      <w:bookmarkEnd w:id="618"/>
      <w:r>
        <w:rPr>
          <w:rFonts w:ascii="Arial" w:hAnsi="Arial" w:eastAsia="宋体" w:cs="Arial"/>
          <w:b/>
          <w:bCs/>
          <w:szCs w:val="21"/>
        </w:rPr>
      </w:r>
      <w:r/>
    </w:p>
    <w:p>
      <w:pPr>
        <w:pStyle w:val="1276"/>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276"/>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76"/>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76"/>
        <w:ind w:firstLine="688"/>
        <w:spacing w:before="132" w:line="360" w:lineRule="auto"/>
        <w:rPr>
          <w:szCs w:val="21"/>
        </w:rPr>
      </w:pPr>
      <w:r>
        <w:rPr>
          <w:spacing w:val="-18"/>
          <w:position w:val="-7"/>
          <w:szCs w:val="21"/>
        </w:rPr>
        <w:t xml:space="preserve">……</w:t>
      </w:r>
      <w:r>
        <w:rPr>
          <w:szCs w:val="21"/>
        </w:rPr>
      </w:r>
      <w:r/>
    </w:p>
    <w:p>
      <w:pPr>
        <w:pStyle w:val="1276"/>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276"/>
        <w:ind w:firstLine="594"/>
        <w:spacing w:line="360" w:lineRule="auto"/>
        <w:rPr>
          <w:spacing w:val="-6"/>
          <w:szCs w:val="21"/>
        </w:rPr>
      </w:pPr>
      <w:r>
        <w:rPr>
          <w:spacing w:val="-6"/>
          <w:szCs w:val="21"/>
        </w:rPr>
      </w:r>
      <w:r/>
    </w:p>
    <w:p>
      <w:pPr>
        <w:pStyle w:val="1276"/>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276"/>
        <w:ind w:right="1560" w:firstLine="444"/>
        <w:jc w:val="center"/>
        <w:spacing w:line="360" w:lineRule="auto"/>
        <w:tabs>
          <w:tab w:val="left" w:pos="4860" w:leader="none"/>
        </w:tabs>
        <w:rPr>
          <w:spacing w:val="6"/>
          <w:szCs w:val="21"/>
        </w:rPr>
      </w:pPr>
      <w:r>
        <w:rPr>
          <w:spacing w:val="6"/>
          <w:szCs w:val="21"/>
        </w:rPr>
      </w:r>
      <w:r/>
    </w:p>
    <w:p>
      <w:pPr>
        <w:pStyle w:val="1276"/>
        <w:ind w:right="1560" w:firstLine="444"/>
        <w:jc w:val="center"/>
        <w:spacing w:line="360" w:lineRule="auto"/>
        <w:tabs>
          <w:tab w:val="left" w:pos="4860" w:leader="none"/>
        </w:tabs>
        <w:rPr>
          <w:spacing w:val="6"/>
          <w:szCs w:val="21"/>
        </w:rPr>
      </w:pPr>
      <w:r>
        <w:rPr>
          <w:spacing w:val="6"/>
          <w:szCs w:val="21"/>
        </w:rPr>
      </w:r>
      <w:r/>
    </w:p>
    <w:p>
      <w:pPr>
        <w:pStyle w:val="1276"/>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276"/>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276"/>
        <w:spacing w:line="360" w:lineRule="auto"/>
        <w:rPr>
          <w:b/>
          <w:bCs/>
          <w:szCs w:val="21"/>
        </w:rPr>
      </w:pPr>
      <w:r>
        <w:rPr>
          <w:b/>
          <w:bCs/>
          <w:szCs w:val="21"/>
        </w:rPr>
        <w:t xml:space="preserve">备注：</w:t>
      </w:r>
      <w:r>
        <w:rPr>
          <w:b/>
          <w:bCs/>
          <w:szCs w:val="21"/>
        </w:rPr>
      </w:r>
      <w:r/>
    </w:p>
    <w:p>
      <w:pPr>
        <w:pStyle w:val="1276"/>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276"/>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276"/>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276"/>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276"/>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276"/>
        <w:jc w:val="center"/>
        <w:spacing w:line="360" w:lineRule="auto"/>
        <w:rPr>
          <w:rFonts w:ascii="Arial" w:hAnsi="Arial" w:cs="Arial"/>
          <w:b/>
          <w:bCs/>
          <w:szCs w:val="21"/>
        </w:rPr>
        <w:outlineLvl w:val="2"/>
      </w:pPr>
      <w:r>
        <w:rPr>
          <w:rFonts w:ascii="Arial" w:hAnsi="Arial" w:cs="Arial"/>
          <w:b/>
          <w:bCs/>
          <w:szCs w:val="21"/>
        </w:rPr>
        <w:br w:type="page" w:clear="all"/>
      </w:r>
      <w:bookmarkStart w:id="620" w:name="_Toc9134"/>
      <w:r/>
      <w:bookmarkStart w:id="621" w:name="_Toc4844"/>
      <w:r/>
      <w:bookmarkStart w:id="622" w:name="_Toc12235"/>
      <w:r/>
      <w:bookmarkStart w:id="623" w:name="_Toc32568"/>
      <w:r/>
      <w:bookmarkStart w:id="624" w:name="_Toc5944"/>
      <w:r/>
      <w:bookmarkStart w:id="625" w:name="_Toc25796"/>
      <w:r>
        <w:rPr>
          <w:rFonts w:ascii="Arial" w:hAnsi="Arial" w:cs="Arial"/>
          <w:b/>
          <w:bCs/>
          <w:szCs w:val="21"/>
        </w:rPr>
        <w:t xml:space="preserve">（二）残疾人福利性单位声明函</w:t>
      </w:r>
      <w:bookmarkEnd w:id="619"/>
      <w:r/>
      <w:bookmarkEnd w:id="620"/>
      <w:r/>
      <w:bookmarkEnd w:id="621"/>
      <w:r/>
      <w:bookmarkEnd w:id="622"/>
      <w:r/>
      <w:bookmarkEnd w:id="623"/>
      <w:r/>
      <w:bookmarkEnd w:id="624"/>
      <w:r/>
      <w:bookmarkEnd w:id="625"/>
      <w:r>
        <w:rPr>
          <w:rFonts w:ascii="Arial" w:hAnsi="Arial" w:cs="Arial"/>
          <w:b/>
          <w:bCs/>
          <w:szCs w:val="21"/>
        </w:rPr>
      </w:r>
      <w:r/>
    </w:p>
    <w:p>
      <w:pPr>
        <w:pStyle w:val="1276"/>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276"/>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276"/>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276"/>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276"/>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276"/>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276"/>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276"/>
        <w:ind w:right="1560" w:firstLine="504"/>
        <w:jc w:val="center"/>
        <w:spacing w:line="360" w:lineRule="auto"/>
        <w:tabs>
          <w:tab w:val="left" w:pos="4860" w:leader="none"/>
        </w:tabs>
        <w:rPr>
          <w:rFonts w:ascii="Arial" w:hAnsi="Arial" w:cs="Arial"/>
          <w:spacing w:val="6"/>
          <w:sz w:val="24"/>
          <w:szCs w:val="24"/>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276"/>
        <w:jc w:val="center"/>
        <w:spacing w:line="360" w:lineRule="auto"/>
        <w:rPr>
          <w:rFonts w:hint="eastAsia"/>
          <w:b/>
          <w:bCs/>
          <w:color w:val="000000"/>
          <w:szCs w:val="21"/>
        </w:rPr>
        <w:outlineLvl w:val="2"/>
      </w:pPr>
      <w:r/>
      <w:bookmarkStart w:id="626" w:name="_Toc18965"/>
      <w:r/>
      <w:bookmarkStart w:id="627" w:name="_Toc16464"/>
      <w:r/>
      <w:bookmarkStart w:id="628" w:name="_Toc26426"/>
      <w:r/>
      <w:bookmarkStart w:id="629" w:name="_Toc24515"/>
      <w:r/>
      <w:bookmarkStart w:id="630" w:name="_Toc32527"/>
      <w:r>
        <w:rPr>
          <w:rFonts w:hint="eastAsia"/>
          <w:b/>
          <w:bCs/>
          <w:color w:val="000000"/>
          <w:szCs w:val="21"/>
        </w:rPr>
        <w:t xml:space="preserve">（三）采购本国产品的支持政策</w:t>
      </w:r>
      <w:bookmarkEnd w:id="626"/>
      <w:r/>
      <w:bookmarkEnd w:id="627"/>
      <w:r/>
      <w:bookmarkEnd w:id="628"/>
      <w:r/>
      <w:bookmarkEnd w:id="629"/>
      <w:r/>
      <w:bookmarkEnd w:id="630"/>
      <w:r>
        <w:rPr>
          <w:rFonts w:hint="eastAsia"/>
          <w:b/>
          <w:bCs/>
          <w:color w:val="000000"/>
          <w:szCs w:val="21"/>
        </w:rPr>
        <w:t xml:space="preserve">（如适用） </w:t>
      </w:r>
      <w:r>
        <w:rPr>
          <w:rFonts w:hint="eastAsia"/>
          <w:b/>
          <w:bCs/>
          <w:color w:val="000000"/>
          <w:szCs w:val="21"/>
        </w:rPr>
      </w:r>
      <w:r/>
    </w:p>
    <w:p>
      <w:pPr>
        <w:pStyle w:val="1276"/>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276"/>
        <w:jc w:val="center"/>
        <w:keepLines/>
        <w:keepNext/>
        <w:spacing w:line="360" w:lineRule="auto"/>
        <w:rPr>
          <w:rFonts w:hint="eastAsia" w:ascii="宋体" w:hAnsi="宋体" w:cs="宋体"/>
          <w:b/>
          <w:sz w:val="24"/>
        </w:rPr>
      </w:pPr>
      <w:r/>
      <w:bookmarkStart w:id="631" w:name="_Toc26786"/>
      <w:r/>
      <w:bookmarkStart w:id="632" w:name="_Toc30239"/>
      <w:r/>
      <w:bookmarkStart w:id="633" w:name="_Toc24678"/>
      <w:r/>
      <w:bookmarkStart w:id="634" w:name="_Toc3682"/>
      <w:r>
        <w:rPr>
          <w:rFonts w:hint="eastAsia" w:ascii="宋体" w:hAnsi="宋体" w:cs="宋体"/>
          <w:b/>
          <w:sz w:val="24"/>
        </w:rPr>
        <w:t xml:space="preserve">关于符合本国产品标准的声明函</w:t>
      </w:r>
      <w:bookmarkEnd w:id="631"/>
      <w:r/>
      <w:bookmarkEnd w:id="632"/>
      <w:r/>
      <w:bookmarkEnd w:id="633"/>
      <w:r/>
      <w:bookmarkEnd w:id="634"/>
      <w:r>
        <w:rPr>
          <w:rFonts w:hint="eastAsia" w:ascii="宋体" w:hAnsi="宋体" w:cs="宋体"/>
          <w:b/>
          <w:sz w:val="24"/>
        </w:rPr>
      </w:r>
      <w:r/>
    </w:p>
    <w:p>
      <w:pPr>
        <w:pStyle w:val="1276"/>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276"/>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356"/>
          <w:rFonts w:hint="eastAsia" w:ascii="宋体" w:hAnsi="宋体" w:cs="宋体"/>
          <w:i w:val="0"/>
          <w:szCs w:val="21"/>
          <w:u w:val="single"/>
          <w:shd w:val="clear" w:color="auto" w:fill="ffffff"/>
        </w:rPr>
        <w:t xml:space="preserve">（    ）</w:t>
      </w:r>
      <w:r>
        <w:rPr>
          <w:rStyle w:val="1356"/>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356"/>
          <w:rFonts w:hint="eastAsia" w:ascii="宋体" w:hAnsi="宋体" w:cs="宋体"/>
          <w:i w:val="0"/>
          <w:szCs w:val="21"/>
          <w:u w:val="single"/>
          <w:shd w:val="clear" w:color="auto" w:fill="ffffff"/>
        </w:rPr>
        <w:t xml:space="preserve">（厂名）</w:t>
      </w:r>
      <w:r>
        <w:rPr>
          <w:rStyle w:val="1356"/>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356"/>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356"/>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356"/>
          <w:rFonts w:hint="eastAsia" w:ascii="宋体" w:hAnsi="宋体" w:cs="宋体"/>
          <w:i w:val="0"/>
          <w:szCs w:val="21"/>
          <w:u w:val="single"/>
          <w:shd w:val="clear" w:color="auto" w:fill="ffffff"/>
        </w:rPr>
        <w:t xml:space="preserve">（规定比例）</w:t>
      </w:r>
      <w:r>
        <w:rPr>
          <w:rStyle w:val="1356"/>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356"/>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56"/>
          <w:rFonts w:hint="eastAsia" w:ascii="宋体" w:hAnsi="宋体" w:cs="宋体"/>
          <w:i w:val="0"/>
          <w:szCs w:val="21"/>
          <w:u w:val="single"/>
          <w:shd w:val="clear" w:color="auto" w:fill="ffffff"/>
        </w:rPr>
        <w:t xml:space="preserve">（关键组件）</w:t>
      </w:r>
      <w:r>
        <w:rPr>
          <w:rStyle w:val="1356"/>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356"/>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56"/>
          <w:rFonts w:hint="eastAsia" w:ascii="宋体" w:hAnsi="宋体" w:cs="宋体"/>
          <w:i w:val="0"/>
          <w:szCs w:val="21"/>
          <w:u w:val="single"/>
          <w:shd w:val="clear" w:color="auto" w:fill="ffffff"/>
        </w:rPr>
        <w:t xml:space="preserve">（关键工序）</w:t>
      </w:r>
      <w:r>
        <w:rPr>
          <w:rStyle w:val="1356"/>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276"/>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356"/>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356"/>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356"/>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356"/>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356"/>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356"/>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356"/>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356"/>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56"/>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276"/>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276"/>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276"/>
        <w:jc w:val="left"/>
        <w:spacing w:before="30" w:after="30" w:line="360" w:lineRule="auto"/>
        <w:widowControl/>
        <w:rPr>
          <w:rFonts w:hint="eastAsia" w:ascii="宋体" w:hAnsi="宋体" w:cs="宋体"/>
          <w:szCs w:val="21"/>
        </w:rPr>
      </w:pPr>
      <w:r>
        <w:rPr>
          <w:rFonts w:hint="eastAsia" w:ascii="宋体" w:hAnsi="宋体" w:cs="宋体"/>
          <w:szCs w:val="21"/>
        </w:rPr>
      </w:r>
      <w:r/>
    </w:p>
    <w:p>
      <w:pPr>
        <w:pStyle w:val="1276"/>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276"/>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276"/>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276"/>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276"/>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276"/>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276"/>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276"/>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276"/>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276"/>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276"/>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276"/>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276"/>
        <w:spacing w:after="156" w:line="440" w:lineRule="exact"/>
        <w:rPr>
          <w:b/>
          <w:bCs/>
          <w:color w:val="ff0000"/>
          <w:sz w:val="24"/>
          <w:szCs w:val="22"/>
          <w:lang w:val="zh-TW"/>
        </w:rPr>
        <w:outlineLvl w:val="1"/>
      </w:pPr>
      <w:r/>
      <w:bookmarkStart w:id="635" w:name="_Toc2842"/>
      <w:r/>
      <w:bookmarkStart w:id="636" w:name="_Toc20913"/>
      <w:r/>
      <w:bookmarkStart w:id="637" w:name="_Toc9081"/>
      <w:r>
        <w:rPr>
          <w:rFonts w:hint="eastAsia"/>
          <w:b/>
          <w:bCs/>
          <w:color w:val="ff0000"/>
          <w:sz w:val="24"/>
          <w:szCs w:val="22"/>
        </w:rPr>
        <w:t xml:space="preserve">附：</w:t>
      </w:r>
      <w:r>
        <w:rPr>
          <w:b/>
          <w:bCs/>
          <w:color w:val="ff0000"/>
          <w:sz w:val="24"/>
          <w:szCs w:val="22"/>
          <w:lang w:val="zh-TW"/>
        </w:rPr>
        <w:t xml:space="preserve">成本比例声明函（如适用）</w:t>
      </w:r>
      <w:bookmarkEnd w:id="635"/>
      <w:r/>
      <w:bookmarkEnd w:id="636"/>
      <w:r/>
      <w:bookmarkEnd w:id="637"/>
      <w:r>
        <w:rPr>
          <w:b/>
          <w:bCs/>
          <w:color w:val="ff0000"/>
          <w:sz w:val="24"/>
          <w:szCs w:val="22"/>
          <w:lang w:val="zh-TW"/>
        </w:rPr>
        <w:t xml:space="preserve"> </w:t>
      </w:r>
      <w:r>
        <w:rPr>
          <w:b/>
          <w:bCs/>
          <w:color w:val="ff0000"/>
          <w:sz w:val="24"/>
          <w:szCs w:val="22"/>
          <w:lang w:val="zh-TW"/>
        </w:rPr>
      </w:r>
      <w:r/>
    </w:p>
    <w:p>
      <w:pPr>
        <w:pStyle w:val="1276"/>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276"/>
        <w:jc w:val="center"/>
        <w:spacing w:line="360" w:lineRule="auto"/>
        <w:rPr>
          <w:sz w:val="24"/>
          <w:szCs w:val="24"/>
        </w:rPr>
      </w:pPr>
      <w:r>
        <w:rPr>
          <w:b/>
          <w:bCs/>
          <w:sz w:val="24"/>
          <w:szCs w:val="24"/>
        </w:rPr>
        <w:t xml:space="preserve">成本比例声明函</w:t>
      </w:r>
      <w:r>
        <w:rPr>
          <w:sz w:val="24"/>
          <w:szCs w:val="24"/>
        </w:rPr>
      </w:r>
      <w:r/>
    </w:p>
    <w:p>
      <w:pPr>
        <w:pStyle w:val="1276"/>
        <w:ind w:firstLine="420"/>
        <w:jc w:val="left"/>
        <w:spacing w:line="360" w:lineRule="auto"/>
        <w:rPr>
          <w:szCs w:val="21"/>
        </w:rPr>
      </w:pPr>
      <w:r>
        <w:rPr>
          <w:szCs w:val="21"/>
        </w:rPr>
      </w:r>
      <w:r/>
    </w:p>
    <w:p>
      <w:pPr>
        <w:pStyle w:val="1276"/>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276"/>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276"/>
        <w:ind w:left="562" w:firstLine="420"/>
        <w:jc w:val="center"/>
        <w:spacing w:line="360" w:lineRule="auto"/>
        <w:widowControl/>
        <w:rPr>
          <w:szCs w:val="21"/>
        </w:rPr>
      </w:pPr>
      <w:r>
        <w:rPr>
          <w:szCs w:val="21"/>
        </w:rPr>
      </w:r>
      <w:r/>
    </w:p>
    <w:p>
      <w:pPr>
        <w:pStyle w:val="1276"/>
        <w:ind w:left="562" w:firstLine="420"/>
        <w:jc w:val="center"/>
        <w:spacing w:line="360" w:lineRule="auto"/>
        <w:widowControl/>
        <w:rPr>
          <w:szCs w:val="21"/>
        </w:rPr>
      </w:pPr>
      <w:r>
        <w:rPr>
          <w:szCs w:val="21"/>
        </w:rPr>
        <w:t xml:space="preserve">公司（单位）名称（盖章）：</w:t>
      </w:r>
      <w:r>
        <w:rPr>
          <w:szCs w:val="21"/>
        </w:rPr>
      </w:r>
      <w:r/>
    </w:p>
    <w:p>
      <w:pPr>
        <w:pStyle w:val="1276"/>
        <w:ind w:left="562" w:firstLine="420"/>
        <w:jc w:val="center"/>
        <w:spacing w:line="360" w:lineRule="auto"/>
        <w:widowControl/>
        <w:rPr>
          <w:szCs w:val="21"/>
        </w:rPr>
      </w:pPr>
      <w:r>
        <w:rPr>
          <w:szCs w:val="21"/>
        </w:rPr>
        <w:t xml:space="preserve">日期： 年 月 日</w:t>
      </w:r>
      <w:r>
        <w:rPr>
          <w:szCs w:val="21"/>
        </w:rPr>
      </w:r>
      <w:r/>
    </w:p>
    <w:p>
      <w:pPr>
        <w:pStyle w:val="1276"/>
        <w:ind w:left="562" w:firstLine="420"/>
        <w:jc w:val="left"/>
        <w:spacing w:line="360" w:lineRule="auto"/>
        <w:rPr>
          <w:szCs w:val="21"/>
        </w:rPr>
      </w:pPr>
      <w:r>
        <w:rPr>
          <w:szCs w:val="21"/>
        </w:rPr>
      </w:r>
      <w:r/>
    </w:p>
    <w:p>
      <w:pPr>
        <w:pStyle w:val="1276"/>
        <w:ind w:left="562" w:firstLine="420"/>
        <w:jc w:val="left"/>
        <w:spacing w:line="360" w:lineRule="auto"/>
        <w:rPr>
          <w:szCs w:val="21"/>
        </w:rPr>
      </w:pPr>
      <w:r>
        <w:rPr>
          <w:szCs w:val="21"/>
        </w:rPr>
      </w:r>
      <w:r/>
    </w:p>
    <w:p>
      <w:pPr>
        <w:pStyle w:val="1276"/>
        <w:ind w:right="0" w:firstLine="420"/>
        <w:jc w:val="left"/>
        <w:spacing w:line="360" w:lineRule="auto"/>
        <w:widowControl/>
        <w:rPr>
          <w:rFonts w:ascii="Times New Roman" w:hAnsi="Times New Roman" w:eastAsia="宋体" w:cs="Times New Roman"/>
          <w:spacing w:val="0"/>
          <w:sz w:val="21"/>
          <w:szCs w:val="21"/>
        </w:rPr>
      </w:pPr>
      <w:r>
        <w:rPr>
          <w:rFonts w:ascii="Times New Roman" w:hAnsi="Times New Roman" w:eastAsia="宋体" w:cs="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eastAsia="宋体" w:cs="Times New Roman"/>
          <w:spacing w:val="0"/>
          <w:sz w:val="21"/>
          <w:szCs w:val="21"/>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bookmarkStart w:id="638" w:name="_Toc8200"/>
      <w:r/>
      <w:bookmarkStart w:id="639" w:name="_Toc18515"/>
      <w:r/>
      <w:bookmarkStart w:id="640" w:name="_Toc29014"/>
      <w:r/>
      <w:bookmarkStart w:id="641" w:name="_Toc2978"/>
      <w:r/>
      <w:bookmarkStart w:id="642" w:name="_Toc11315"/>
      <w:r/>
      <w:bookmarkStart w:id="643" w:name="_Toc509"/>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2"/>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276"/>
        <w:spacing w:after="156" w:line="440" w:lineRule="exact"/>
        <w:rPr>
          <w:rFonts w:ascii="Arial" w:hAnsi="Arial" w:cs="Arial"/>
          <w:b/>
          <w:bCs/>
          <w:sz w:val="24"/>
          <w:szCs w:val="22"/>
          <w:lang w:val="zh-CN"/>
        </w:rPr>
        <w:outlineLvl w:val="1"/>
      </w:pPr>
      <w:r/>
      <w:bookmarkStart w:id="644" w:name="_Toc24525"/>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638"/>
      <w:r/>
      <w:bookmarkEnd w:id="639"/>
      <w:r/>
      <w:bookmarkEnd w:id="640"/>
      <w:r/>
      <w:bookmarkEnd w:id="641"/>
      <w:r/>
      <w:bookmarkEnd w:id="642"/>
      <w:r/>
      <w:bookmarkEnd w:id="644"/>
      <w:r>
        <w:rPr>
          <w:rFonts w:ascii="Arial" w:hAnsi="Arial" w:cs="Arial"/>
          <w:b/>
          <w:bCs/>
          <w:sz w:val="24"/>
          <w:szCs w:val="22"/>
          <w:lang w:val="zh-CN"/>
        </w:rPr>
      </w:r>
      <w:r/>
    </w:p>
    <w:p>
      <w:pPr>
        <w:pStyle w:val="1276"/>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276"/>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276"/>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276"/>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276"/>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276"/>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276"/>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276"/>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276"/>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276"/>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276"/>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276"/>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276"/>
        <w:rPr>
          <w:rFonts w:ascii="Arial" w:hAnsi="Arial" w:cs="Arial"/>
          <w:lang w:val="zh-CN"/>
        </w:rPr>
      </w:pPr>
      <w:r>
        <w:rPr>
          <w:rFonts w:ascii="Arial" w:hAnsi="Arial" w:cs="Arial"/>
          <w:lang w:val="zh-CN"/>
        </w:rPr>
      </w:r>
      <w:r/>
    </w:p>
    <w:p>
      <w:pPr>
        <w:pStyle w:val="1276"/>
        <w:rPr>
          <w:rFonts w:ascii="Arial" w:hAnsi="Arial" w:cs="Arial"/>
          <w:lang w:val="zh-CN"/>
        </w:rPr>
      </w:pPr>
      <w:r>
        <w:rPr>
          <w:rFonts w:ascii="Arial" w:hAnsi="Arial" w:cs="Arial"/>
          <w:lang w:val="zh-CN"/>
        </w:rPr>
        <w:t xml:space="preserve">注：</w:t>
      </w:r>
      <w:r>
        <w:rPr>
          <w:rFonts w:ascii="Arial" w:hAnsi="Arial" w:cs="Arial"/>
          <w:lang w:val="zh-CN"/>
        </w:rPr>
      </w:r>
      <w:r/>
    </w:p>
    <w:p>
      <w:pPr>
        <w:pStyle w:val="1276"/>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276"/>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276"/>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276"/>
        <w:jc w:val="center"/>
        <w:spacing w:after="156" w:line="360" w:lineRule="auto"/>
        <w:rPr>
          <w:rFonts w:ascii="Arial" w:hAnsi="Arial" w:cs="Arial"/>
          <w:b/>
          <w:bCs/>
          <w:color w:val="000000"/>
          <w:sz w:val="24"/>
          <w:szCs w:val="24"/>
        </w:rPr>
      </w:pPr>
      <w:r>
        <w:rPr>
          <w:rFonts w:ascii="Arial" w:hAnsi="Arial" w:cs="Arial"/>
          <w:b/>
          <w:bCs/>
          <w:sz w:val="24"/>
          <w:szCs w:val="22"/>
          <w:lang w:val="zh-CN"/>
        </w:rPr>
        <w:br w:type="page" w:clear="all"/>
      </w:r>
      <w:bookmarkStart w:id="645" w:name="_Toc22775"/>
      <w:r/>
      <w:bookmarkStart w:id="646" w:name="_Toc17370"/>
      <w:r/>
      <w:bookmarkStart w:id="647" w:name="_Toc30383"/>
      <w:r/>
      <w:bookmarkStart w:id="648" w:name="_Toc30866"/>
      <w:r/>
      <w:bookmarkStart w:id="649" w:name="_Toc3222"/>
      <w:r/>
      <w:bookmarkStart w:id="650" w:name="_Toc83511040"/>
      <w:r/>
      <w:bookmarkStart w:id="651" w:name="_Toc6674"/>
      <w:r/>
      <w:bookmarkStart w:id="652" w:name="_Toc8578"/>
      <w:r/>
      <w:bookmarkStart w:id="653" w:name="_Toc12806"/>
      <w:r/>
      <w:bookmarkStart w:id="654" w:name="_Toc21692"/>
      <w:r/>
      <w:bookmarkStart w:id="655" w:name="_Toc2343"/>
      <w:r/>
      <w:bookmarkStart w:id="656" w:name="_Toc2696"/>
      <w:r>
        <w:rPr>
          <w:rFonts w:ascii="Arial" w:hAnsi="Arial" w:cs="Arial"/>
          <w:b/>
          <w:sz w:val="28"/>
          <w:szCs w:val="22"/>
          <w:lang w:val="zh-CN"/>
        </w:rPr>
        <w:t xml:space="preserve">供应商情况告知表—附表</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rFonts w:ascii="Arial" w:hAnsi="Arial" w:cs="Arial"/>
          <w:b/>
          <w:bCs/>
          <w:color w:val="000000"/>
          <w:sz w:val="24"/>
          <w:szCs w:val="24"/>
        </w:rPr>
      </w:r>
      <w:r/>
    </w:p>
    <w:p>
      <w:pPr>
        <w:pStyle w:val="1276"/>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276"/>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276"/>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276"/>
        <w:spacing w:after="156" w:line="360" w:lineRule="auto"/>
        <w:rPr>
          <w:rFonts w:ascii="Arial" w:hAnsi="Arial" w:cs="Arial"/>
          <w:b/>
          <w:bCs/>
          <w:color w:val="000000"/>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276"/>
        <w:spacing w:line="360" w:lineRule="auto"/>
        <w:rPr>
          <w:rFonts w:ascii="Arial" w:hAnsi="Arial" w:cs="Arial"/>
          <w:b/>
        </w:rPr>
        <w:outlineLvl w:val="1"/>
      </w:pPr>
      <w:r/>
      <w:bookmarkEnd w:id="643"/>
      <w:r/>
      <w:bookmarkStart w:id="657" w:name="_Toc3450"/>
      <w:r/>
      <w:bookmarkStart w:id="658" w:name="_Toc25549"/>
      <w:r/>
      <w:bookmarkStart w:id="659" w:name="_Toc21650"/>
      <w:r/>
      <w:bookmarkStart w:id="660" w:name="_Toc7871"/>
      <w:r/>
      <w:bookmarkStart w:id="661" w:name="_Toc26238"/>
      <w:r/>
      <w:bookmarkStart w:id="662" w:name="_Toc12377"/>
      <w:r/>
      <w:bookmarkStart w:id="663" w:name="_Toc20681"/>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657"/>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658"/>
      <w:r/>
      <w:bookmarkEnd w:id="659"/>
      <w:r/>
      <w:bookmarkEnd w:id="660"/>
      <w:r/>
      <w:bookmarkEnd w:id="661"/>
      <w:r/>
      <w:bookmarkEnd w:id="662"/>
      <w:r/>
      <w:bookmarkEnd w:id="663"/>
      <w:r>
        <w:rPr>
          <w:rFonts w:ascii="Arial" w:hAnsi="Arial" w:cs="Arial"/>
          <w:b/>
        </w:rPr>
      </w:r>
      <w:r/>
    </w:p>
    <w:p>
      <w:pPr>
        <w:pStyle w:val="1276"/>
        <w:jc w:val="left"/>
        <w:spacing w:line="360" w:lineRule="auto"/>
        <w:rPr>
          <w:rFonts w:ascii="Arial" w:hAnsi="Arial" w:cs="Arial"/>
          <w:b/>
          <w:bCs/>
          <w:szCs w:val="21"/>
          <w:lang w:val="zh-CN"/>
        </w:rPr>
        <w:outlineLvl w:val="2"/>
      </w:pPr>
      <w:r/>
      <w:bookmarkStart w:id="664" w:name="_Toc9883"/>
      <w:r/>
      <w:bookmarkStart w:id="665" w:name="_Toc28567"/>
      <w:r/>
      <w:bookmarkStart w:id="666" w:name="_Toc23747"/>
      <w:r/>
      <w:bookmarkStart w:id="667" w:name="_Toc19404"/>
      <w:r/>
      <w:bookmarkStart w:id="668" w:name="_Toc27229"/>
      <w:r/>
      <w:bookmarkStart w:id="669" w:name="_Toc17192"/>
      <w:r/>
      <w:bookmarkStart w:id="670" w:name="_Toc7706"/>
      <w:r/>
      <w:bookmarkStart w:id="671" w:name="_Toc6797"/>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664"/>
      <w:r/>
      <w:bookmarkEnd w:id="665"/>
      <w:r/>
      <w:bookmarkEnd w:id="666"/>
      <w:r/>
      <w:bookmarkEnd w:id="667"/>
      <w:r/>
      <w:bookmarkEnd w:id="668"/>
      <w:r/>
      <w:bookmarkEnd w:id="669"/>
      <w:r/>
      <w:bookmarkEnd w:id="670"/>
      <w:r/>
      <w:bookmarkEnd w:id="671"/>
      <w:r>
        <w:rPr>
          <w:rFonts w:ascii="Arial" w:hAnsi="Arial" w:cs="Arial"/>
          <w:b/>
          <w:bCs/>
          <w:szCs w:val="21"/>
          <w:lang w:val="zh-CN"/>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276"/>
        <w:jc w:val="left"/>
        <w:spacing w:line="360" w:lineRule="auto"/>
        <w:rPr>
          <w:rFonts w:ascii="Arial" w:hAnsi="Arial" w:cs="Arial"/>
          <w:b/>
          <w:bCs/>
          <w:szCs w:val="21"/>
          <w:lang w:val="zh-CN"/>
        </w:rPr>
        <w:outlineLvl w:val="2"/>
      </w:pPr>
      <w:r/>
      <w:bookmarkStart w:id="672" w:name="_Toc3569"/>
      <w:r/>
      <w:bookmarkStart w:id="673" w:name="_Toc6913"/>
      <w:r/>
      <w:bookmarkStart w:id="674" w:name="_Toc27092"/>
      <w:r/>
      <w:bookmarkStart w:id="675" w:name="_Toc23472"/>
      <w:r/>
      <w:bookmarkStart w:id="676" w:name="_Toc24390"/>
      <w:r/>
      <w:bookmarkStart w:id="677" w:name="_Toc7774"/>
      <w:r/>
      <w:bookmarkStart w:id="678" w:name="_Toc30489"/>
      <w:r/>
      <w:bookmarkStart w:id="679" w:name="_Toc21477"/>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672"/>
      <w:r/>
      <w:bookmarkEnd w:id="673"/>
      <w:r/>
      <w:bookmarkEnd w:id="674"/>
      <w:r/>
      <w:bookmarkEnd w:id="675"/>
      <w:r/>
      <w:bookmarkEnd w:id="676"/>
      <w:r/>
      <w:bookmarkEnd w:id="677"/>
      <w:r/>
      <w:bookmarkEnd w:id="678"/>
      <w:r/>
      <w:bookmarkEnd w:id="679"/>
      <w:r>
        <w:rPr>
          <w:rFonts w:ascii="Arial" w:hAnsi="Arial" w:cs="Arial"/>
          <w:b/>
          <w:bCs/>
          <w:szCs w:val="21"/>
          <w:lang w:val="zh-CN"/>
        </w:rPr>
      </w:r>
      <w:r/>
    </w:p>
    <w:p>
      <w:pPr>
        <w:pStyle w:val="1276"/>
        <w:jc w:val="left"/>
        <w:spacing w:line="360" w:lineRule="auto"/>
        <w:rPr>
          <w:rFonts w:ascii="Arial" w:hAnsi="Arial" w:cs="Arial"/>
          <w:b/>
          <w:bCs/>
          <w:szCs w:val="21"/>
          <w:lang w:val="zh-CN"/>
        </w:rPr>
      </w:pPr>
      <w:r>
        <w:rPr>
          <w:rFonts w:ascii="Arial" w:hAnsi="Arial" w:cs="Arial"/>
          <w:b/>
          <w:bCs/>
          <w:szCs w:val="21"/>
          <w:lang w:val="zh-CN"/>
        </w:rPr>
      </w:r>
      <w:r/>
    </w:p>
    <w:p>
      <w:pPr>
        <w:pStyle w:val="1276"/>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276"/>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276"/>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276"/>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276"/>
        <w:spacing w:line="360" w:lineRule="auto"/>
        <w:rPr>
          <w:rFonts w:ascii="Arial" w:hAnsi="Arial" w:cs="Arial"/>
          <w:szCs w:val="21"/>
        </w:rPr>
      </w:pPr>
      <w:r>
        <w:rPr>
          <w:rFonts w:ascii="Arial" w:hAnsi="Arial" w:cs="Arial"/>
          <w:szCs w:val="21"/>
        </w:rPr>
      </w:r>
      <w:r/>
    </w:p>
    <w:p>
      <w:pPr>
        <w:pStyle w:val="1276"/>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276"/>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276"/>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276"/>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6"/>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276"/>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76"/>
              <w:spacing w:line="440" w:lineRule="exact"/>
              <w:rPr>
                <w:rFonts w:ascii="Arial" w:hAnsi="Arial" w:cs="Arial"/>
                <w:b/>
              </w:rPr>
            </w:pPr>
            <w:r>
              <w:rPr>
                <w:rFonts w:ascii="Arial" w:hAnsi="Arial" w:cs="Arial"/>
                <w:b/>
              </w:rPr>
            </w:r>
            <w:r/>
          </w:p>
        </w:tc>
      </w:tr>
    </w:tbl>
    <w:p>
      <w:pPr>
        <w:pStyle w:val="1276"/>
        <w:spacing w:line="440" w:lineRule="exact"/>
        <w:rPr>
          <w:rFonts w:ascii="Arial" w:hAnsi="Arial" w:cs="Arial"/>
          <w:b/>
        </w:rPr>
      </w:pPr>
      <w:r>
        <w:rPr>
          <w:rFonts w:ascii="Arial" w:hAnsi="Arial" w:cs="Arial"/>
          <w:b/>
        </w:rPr>
      </w:r>
      <w:r/>
    </w:p>
    <w:p>
      <w:pPr>
        <w:pStyle w:val="1276"/>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349"/>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276"/>
        <w:jc w:val="left"/>
        <w:spacing w:line="360" w:lineRule="auto"/>
        <w:rPr>
          <w:rFonts w:ascii="Arial" w:hAnsi="Arial" w:cs="Arial"/>
          <w:b/>
          <w:bCs/>
          <w:szCs w:val="21"/>
          <w:lang w:val="zh-CN"/>
        </w:rPr>
        <w:outlineLvl w:val="2"/>
      </w:pPr>
      <w:r/>
      <w:bookmarkStart w:id="680" w:name="_Toc2567"/>
      <w:r/>
      <w:bookmarkStart w:id="681" w:name="_Toc28709"/>
      <w:r/>
      <w:bookmarkStart w:id="682" w:name="_Toc28740"/>
      <w:r/>
      <w:bookmarkStart w:id="683" w:name="_Toc17151"/>
      <w:r/>
      <w:bookmarkStart w:id="684" w:name="_Toc11832"/>
      <w:r/>
      <w:bookmarkStart w:id="685" w:name="_Toc21713"/>
      <w:r/>
      <w:bookmarkStart w:id="686" w:name="_Toc32562"/>
      <w:r/>
      <w:bookmarkStart w:id="687"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680"/>
      <w:r/>
      <w:bookmarkEnd w:id="681"/>
      <w:r/>
      <w:bookmarkEnd w:id="682"/>
      <w:r/>
      <w:bookmarkEnd w:id="683"/>
      <w:r/>
      <w:bookmarkEnd w:id="684"/>
      <w:r/>
      <w:bookmarkEnd w:id="685"/>
      <w:r/>
      <w:bookmarkEnd w:id="686"/>
      <w:r>
        <w:rPr>
          <w:rFonts w:ascii="Arial" w:hAnsi="Arial" w:cs="Arial"/>
          <w:b/>
          <w:bCs/>
          <w:szCs w:val="21"/>
          <w:lang w:val="zh-CN"/>
        </w:rPr>
      </w:r>
      <w:r/>
    </w:p>
    <w:p>
      <w:pPr>
        <w:pStyle w:val="1276"/>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276"/>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276"/>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276"/>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276"/>
        <w:ind w:firstLine="480"/>
        <w:spacing w:line="360" w:lineRule="auto"/>
        <w:rPr>
          <w:rFonts w:ascii="Arial" w:hAnsi="Arial" w:cs="Arial"/>
          <w:szCs w:val="21"/>
        </w:rPr>
      </w:pPr>
      <w:r>
        <w:rPr>
          <w:rFonts w:ascii="Arial" w:hAnsi="Arial" w:cs="Arial"/>
          <w:szCs w:val="21"/>
        </w:rPr>
      </w:r>
      <w:r/>
    </w:p>
    <w:p>
      <w:pPr>
        <w:pStyle w:val="1276"/>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276"/>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276"/>
        <w:spacing w:line="360" w:lineRule="auto"/>
        <w:rPr>
          <w:rFonts w:ascii="Arial" w:hAnsi="Arial" w:cs="Arial"/>
          <w:b/>
          <w:bCs/>
          <w:szCs w:val="21"/>
          <w:lang w:val="zh-CN"/>
        </w:rPr>
      </w:pPr>
      <w:r>
        <w:rPr>
          <w:rFonts w:ascii="Arial" w:hAnsi="Arial" w:cs="Arial"/>
          <w:b/>
          <w:bCs/>
          <w:szCs w:val="21"/>
          <w:lang w:val="zh-CN"/>
        </w:rPr>
      </w:r>
      <w:r/>
    </w:p>
    <w:p>
      <w:pPr>
        <w:pStyle w:val="1276"/>
        <w:spacing w:line="360" w:lineRule="auto"/>
        <w:rPr>
          <w:rFonts w:ascii="Arial" w:hAnsi="Arial" w:cs="Arial"/>
          <w:b/>
          <w:bCs/>
          <w:szCs w:val="21"/>
          <w:lang w:val="zh-CN"/>
        </w:rPr>
        <w:outlineLvl w:val="0"/>
      </w:pPr>
      <w:r>
        <w:rPr>
          <w:rFonts w:ascii="Arial" w:hAnsi="Arial" w:cs="Arial"/>
          <w:b/>
          <w:bCs/>
          <w:szCs w:val="21"/>
          <w:lang w:val="zh-CN"/>
        </w:rPr>
        <w:br w:type="page" w:clear="all"/>
      </w:r>
      <w:bookmarkStart w:id="688" w:name="_Toc710"/>
      <w:r/>
      <w:bookmarkStart w:id="689" w:name="_Toc28350"/>
      <w:r/>
      <w:bookmarkStart w:id="690" w:name="_Toc4840"/>
      <w:r/>
      <w:bookmarkStart w:id="691" w:name="_Toc28386"/>
      <w:r/>
      <w:bookmarkStart w:id="692" w:name="_Toc5852"/>
      <w:r/>
      <w:bookmarkStart w:id="693" w:name="_Toc2306"/>
      <w:r/>
      <w:bookmarkStart w:id="694" w:name="_Toc2701"/>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687"/>
      <w:r/>
      <w:bookmarkEnd w:id="688"/>
      <w:r/>
      <w:bookmarkEnd w:id="689"/>
      <w:r/>
      <w:bookmarkEnd w:id="690"/>
      <w:r/>
      <w:bookmarkEnd w:id="691"/>
      <w:r/>
      <w:bookmarkEnd w:id="692"/>
      <w:r/>
      <w:bookmarkEnd w:id="693"/>
      <w:r/>
      <w:bookmarkEnd w:id="694"/>
      <w:r>
        <w:rPr>
          <w:rFonts w:ascii="Arial" w:hAnsi="Arial" w:cs="Arial"/>
          <w:b/>
          <w:bCs/>
          <w:szCs w:val="21"/>
          <w:lang w:val="zh-CN"/>
        </w:rPr>
      </w:r>
      <w:r/>
    </w:p>
    <w:p>
      <w:pPr>
        <w:pStyle w:val="1276"/>
        <w:jc w:val="center"/>
        <w:spacing w:line="360" w:lineRule="auto"/>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276"/>
        <w:ind w:left="-2" w:right="-5"/>
        <w:spacing w:line="360" w:lineRule="auto"/>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rPr>
        <w:t xml:space="preserve">六个月</w:t>
      </w:r>
      <w:r>
        <w:rPr>
          <w:rFonts w:ascii="Arial" w:hAnsi="Arial" w:cs="Arial"/>
        </w:rPr>
        <w:t xml:space="preserve">内任意一</w:t>
      </w:r>
      <w:r>
        <w:rPr>
          <w:rFonts w:hint="eastAsia" w:ascii="Arial" w:hAnsi="Arial" w:cs="Arial"/>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w:t>
      </w:r>
      <w:r>
        <w:rPr>
          <w:rFonts w:hint="eastAsia" w:ascii="宋体" w:hAnsi="宋体" w:cs="宋体"/>
          <w:szCs w:val="21"/>
          <w:lang w:val="en-US" w:eastAsia="zh-CN"/>
        </w:rPr>
        <w:t xml:space="preserve">上一年度</w:t>
      </w:r>
      <w:r>
        <w:rPr>
          <w:rFonts w:hint="eastAsia" w:ascii="宋体" w:hAnsi="宋体" w:cs="宋体"/>
          <w:szCs w:val="21"/>
          <w:lang w:val="zh-CN"/>
        </w:rPr>
        <w:t xml:space="preserve">经审计</w:t>
      </w:r>
      <w:r>
        <w:rPr>
          <w:rFonts w:hint="eastAsia" w:ascii="宋体" w:hAnsi="宋体" w:cs="宋体"/>
          <w:szCs w:val="21"/>
          <w:lang w:val="en-US" w:eastAsia="zh-CN"/>
        </w:rPr>
        <w:t xml:space="preserve">的</w:t>
      </w:r>
      <w:r>
        <w:rPr>
          <w:rFonts w:hint="eastAsia" w:ascii="宋体" w:hAnsi="宋体" w:cs="宋体"/>
          <w:szCs w:val="21"/>
          <w:lang w:val="zh-CN"/>
        </w:rPr>
        <w:t xml:space="preserve">财务报告复印件加盖公章。</w:t>
      </w:r>
      <w:r>
        <w:rPr>
          <w:rFonts w:ascii="Arial" w:hAnsi="Arial" w:cs="Arial"/>
          <w:sz w:val="24"/>
        </w:rPr>
      </w:r>
      <w:r/>
    </w:p>
    <w:p>
      <w:pPr>
        <w:pStyle w:val="1276"/>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276"/>
        <w:ind w:left="-2" w:right="-5"/>
        <w:spacing w:line="360" w:lineRule="auto"/>
        <w:rPr>
          <w:rFonts w:ascii="Arial" w:hAnsi="Arial" w:cs="Arial"/>
          <w:sz w:val="24"/>
        </w:rPr>
      </w:pPr>
      <w:r>
        <w:rPr>
          <w:rFonts w:ascii="Arial" w:hAnsi="Arial" w:cs="Arial"/>
          <w:sz w:val="24"/>
        </w:rPr>
      </w:r>
      <w:r/>
    </w:p>
    <w:p>
      <w:pPr>
        <w:pStyle w:val="1276"/>
        <w:ind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right="-5"/>
        <w:spacing w:line="440" w:lineRule="exact"/>
        <w:rPr>
          <w:rFonts w:ascii="Arial" w:hAnsi="Arial" w:cs="Arial"/>
          <w:sz w:val="24"/>
        </w:rPr>
      </w:pPr>
      <w:r>
        <w:rPr>
          <w:rFonts w:ascii="Arial" w:hAnsi="Arial" w:cs="Arial"/>
          <w:sz w:val="24"/>
        </w:rPr>
      </w:r>
      <w:r/>
    </w:p>
    <w:p>
      <w:pPr>
        <w:pStyle w:val="1276"/>
        <w:ind w:right="-5"/>
        <w:spacing w:line="440" w:lineRule="exact"/>
        <w:rPr>
          <w:rFonts w:ascii="Arial" w:hAnsi="Arial" w:cs="Arial"/>
          <w:sz w:val="24"/>
        </w:rPr>
      </w:pPr>
      <w:r>
        <w:rPr>
          <w:rFonts w:ascii="Arial" w:hAnsi="Arial" w:cs="Arial"/>
          <w:sz w:val="24"/>
        </w:rPr>
      </w:r>
      <w:r/>
    </w:p>
    <w:p>
      <w:pPr>
        <w:pStyle w:val="1276"/>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276"/>
        <w:jc w:val="left"/>
        <w:spacing w:line="360" w:lineRule="auto"/>
        <w:rPr>
          <w:rFonts w:ascii="Arial" w:hAnsi="Arial" w:cs="Arial"/>
          <w:b/>
          <w:bCs/>
          <w:szCs w:val="21"/>
          <w:lang w:val="zh-CN"/>
        </w:rPr>
        <w:outlineLvl w:val="2"/>
      </w:pPr>
      <w:r/>
      <w:bookmarkStart w:id="695" w:name="_Toc27815"/>
      <w:r/>
      <w:bookmarkStart w:id="696" w:name="_Toc15262"/>
      <w:r/>
      <w:bookmarkStart w:id="697" w:name="_Toc645"/>
      <w:r/>
      <w:bookmarkStart w:id="698" w:name="_Toc28835"/>
      <w:r/>
      <w:bookmarkStart w:id="699" w:name="_Toc5011"/>
      <w:r/>
      <w:bookmarkStart w:id="700" w:name="_Toc2207"/>
      <w:r/>
      <w:bookmarkStart w:id="701" w:name="_Toc27528"/>
      <w:r/>
      <w:bookmarkStart w:id="702" w:name="_Toc8457"/>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695"/>
      <w:r/>
      <w:bookmarkEnd w:id="696"/>
      <w:r/>
      <w:bookmarkEnd w:id="697"/>
      <w:r/>
      <w:bookmarkEnd w:id="698"/>
      <w:r/>
      <w:bookmarkEnd w:id="699"/>
      <w:r/>
      <w:bookmarkEnd w:id="700"/>
      <w:r/>
      <w:bookmarkEnd w:id="701"/>
      <w:r/>
      <w:bookmarkEnd w:id="702"/>
      <w:r>
        <w:rPr>
          <w:rFonts w:ascii="Arial" w:hAnsi="Arial" w:cs="Arial"/>
          <w:b/>
          <w:bCs/>
          <w:szCs w:val="21"/>
          <w:lang w:val="zh-CN"/>
        </w:rPr>
      </w:r>
      <w:r/>
    </w:p>
    <w:p>
      <w:pPr>
        <w:pStyle w:val="1276"/>
        <w:jc w:val="center"/>
        <w:spacing w:line="360" w:lineRule="auto"/>
        <w:rPr>
          <w:rFonts w:ascii="Arial" w:hAnsi="Arial" w:cs="Arial"/>
          <w:b/>
          <w:bCs/>
          <w:szCs w:val="21"/>
          <w:lang w:val="zh-CN"/>
        </w:rPr>
      </w:pPr>
      <w:r/>
      <w:bookmarkStart w:id="703" w:name="_Toc8676"/>
      <w:r/>
      <w:bookmarkStart w:id="704" w:name="_Toc28613"/>
      <w:r/>
      <w:bookmarkStart w:id="705" w:name="_Toc14411"/>
      <w:r/>
      <w:bookmarkStart w:id="706" w:name="_Toc10077"/>
      <w:r/>
      <w:bookmarkStart w:id="707" w:name="_Toc3797"/>
      <w:r>
        <w:rPr>
          <w:rFonts w:ascii="Arial" w:hAnsi="Arial" w:cs="Arial"/>
          <w:b/>
          <w:sz w:val="28"/>
          <w:szCs w:val="22"/>
          <w:lang w:val="zh-CN"/>
        </w:rPr>
        <w:t xml:space="preserve">具有履行合同所必需的设备和专业技术能力</w:t>
      </w:r>
      <w:bookmarkEnd w:id="703"/>
      <w:r/>
      <w:bookmarkEnd w:id="704"/>
      <w:r/>
      <w:bookmarkEnd w:id="705"/>
      <w:r/>
      <w:bookmarkEnd w:id="706"/>
      <w:r/>
      <w:bookmarkEnd w:id="707"/>
      <w:r>
        <w:rPr>
          <w:rFonts w:ascii="Arial" w:hAnsi="Arial" w:cs="Arial"/>
          <w:b/>
          <w:bCs/>
          <w:szCs w:val="21"/>
          <w:lang w:val="zh-CN"/>
        </w:rPr>
      </w:r>
      <w:r/>
    </w:p>
    <w:p>
      <w:pPr>
        <w:pStyle w:val="1276"/>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349"/>
        <w:ind w:firstLine="280"/>
        <w:rPr>
          <w:rFonts w:ascii="Arial" w:hAnsi="Arial" w:cs="Arial"/>
        </w:rPr>
      </w:pPr>
      <w:r>
        <w:rPr>
          <w:rFonts w:ascii="Arial" w:hAnsi="Arial" w:cs="Arial"/>
        </w:rPr>
      </w:r>
      <w:r/>
    </w:p>
    <w:p>
      <w:pPr>
        <w:pStyle w:val="1276"/>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349"/>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349"/>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276"/>
        <w:jc w:val="left"/>
        <w:spacing w:line="440" w:lineRule="exact"/>
        <w:rPr>
          <w:rFonts w:ascii="Arial" w:hAnsi="Arial" w:cs="Arial"/>
          <w:sz w:val="24"/>
          <w:szCs w:val="24"/>
        </w:rPr>
      </w:pPr>
      <w:r>
        <w:rPr>
          <w:rFonts w:ascii="Arial" w:hAnsi="Arial" w:cs="Arial"/>
          <w:sz w:val="24"/>
          <w:szCs w:val="24"/>
        </w:rPr>
      </w:r>
      <w:r/>
    </w:p>
    <w:p>
      <w:pPr>
        <w:pStyle w:val="1276"/>
        <w:jc w:val="left"/>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6"/>
        <w:jc w:val="left"/>
        <w:spacing w:line="440" w:lineRule="exact"/>
        <w:rPr>
          <w:rFonts w:ascii="Arial" w:hAnsi="Arial" w:cs="Arial"/>
          <w:sz w:val="24"/>
          <w:szCs w:val="24"/>
        </w:rPr>
      </w:pPr>
      <w:r>
        <w:rPr>
          <w:rFonts w:ascii="Arial" w:hAnsi="Arial" w:cs="Arial"/>
          <w:sz w:val="24"/>
          <w:szCs w:val="24"/>
        </w:rPr>
      </w:r>
      <w:r/>
    </w:p>
    <w:p>
      <w:pPr>
        <w:pStyle w:val="1276"/>
        <w:jc w:val="left"/>
        <w:spacing w:line="440" w:lineRule="exact"/>
        <w:rPr>
          <w:rFonts w:ascii="Arial" w:hAnsi="Arial" w:cs="Arial"/>
          <w:sz w:val="24"/>
          <w:szCs w:val="24"/>
        </w:rPr>
      </w:pPr>
      <w:r>
        <w:rPr>
          <w:rFonts w:ascii="Arial" w:hAnsi="Arial" w:cs="Arial"/>
          <w:sz w:val="24"/>
          <w:szCs w:val="24"/>
        </w:rPr>
      </w:r>
      <w:r/>
    </w:p>
    <w:p>
      <w:pPr>
        <w:pStyle w:val="1276"/>
        <w:jc w:val="left"/>
        <w:spacing w:line="440" w:lineRule="exact"/>
        <w:rPr>
          <w:rFonts w:ascii="Arial" w:hAnsi="Arial" w:cs="Arial"/>
          <w:sz w:val="24"/>
          <w:szCs w:val="24"/>
        </w:rPr>
      </w:pPr>
      <w:r>
        <w:rPr>
          <w:rFonts w:ascii="Arial" w:hAnsi="Arial" w:cs="Arial"/>
          <w:sz w:val="24"/>
          <w:szCs w:val="24"/>
        </w:rPr>
      </w:r>
      <w:r/>
    </w:p>
    <w:p>
      <w:pPr>
        <w:pStyle w:val="1276"/>
        <w:jc w:val="left"/>
        <w:spacing w:line="440" w:lineRule="exact"/>
        <w:rPr>
          <w:rFonts w:ascii="Arial" w:hAnsi="Arial" w:cs="Arial"/>
          <w:sz w:val="24"/>
          <w:szCs w:val="24"/>
        </w:rPr>
      </w:pPr>
      <w:r>
        <w:rPr>
          <w:rFonts w:ascii="Arial" w:hAnsi="Arial" w:cs="Arial"/>
          <w:sz w:val="24"/>
          <w:szCs w:val="24"/>
        </w:rPr>
      </w:r>
      <w:r/>
    </w:p>
    <w:p>
      <w:pPr>
        <w:pStyle w:val="1276"/>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276"/>
        <w:jc w:val="left"/>
        <w:spacing w:line="360" w:lineRule="auto"/>
        <w:rPr>
          <w:rFonts w:ascii="Arial" w:hAnsi="Arial" w:cs="Arial"/>
          <w:b/>
          <w:bCs/>
          <w:szCs w:val="21"/>
        </w:rPr>
        <w:outlineLvl w:val="2"/>
      </w:pPr>
      <w:r/>
      <w:bookmarkStart w:id="708" w:name="_Toc17462"/>
      <w:r/>
      <w:bookmarkStart w:id="709" w:name="_Toc32231"/>
      <w:r/>
      <w:bookmarkStart w:id="710" w:name="_Toc22467"/>
      <w:r/>
      <w:bookmarkStart w:id="711" w:name="_Toc8577"/>
      <w:r/>
      <w:bookmarkStart w:id="712" w:name="_Toc1099"/>
      <w:r/>
      <w:bookmarkStart w:id="713" w:name="_Toc20117"/>
      <w:r/>
      <w:bookmarkStart w:id="714" w:name="_Toc2770"/>
      <w:r/>
      <w:bookmarkStart w:id="715" w:name="_Toc4330"/>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708"/>
      <w:r/>
      <w:bookmarkEnd w:id="709"/>
      <w:r/>
      <w:bookmarkEnd w:id="710"/>
      <w:r/>
      <w:bookmarkEnd w:id="711"/>
      <w:r/>
      <w:bookmarkEnd w:id="712"/>
      <w:r/>
      <w:bookmarkEnd w:id="713"/>
      <w:r/>
      <w:bookmarkEnd w:id="714"/>
      <w:r/>
      <w:bookmarkEnd w:id="715"/>
      <w:r>
        <w:rPr>
          <w:rFonts w:ascii="Arial" w:hAnsi="Arial" w:cs="Arial"/>
          <w:b/>
          <w:bCs/>
          <w:szCs w:val="21"/>
        </w:rPr>
      </w:r>
      <w:r/>
    </w:p>
    <w:p>
      <w:pPr>
        <w:pStyle w:val="1276"/>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276"/>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276"/>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276"/>
        <w:ind w:left="60" w:firstLine="560"/>
        <w:spacing w:line="540" w:lineRule="exact"/>
        <w:rPr>
          <w:rFonts w:ascii="Arial" w:hAnsi="Arial" w:cs="Arial"/>
          <w:szCs w:val="21"/>
        </w:rPr>
      </w:pPr>
      <w:r>
        <w:rPr>
          <w:rFonts w:ascii="Arial" w:hAnsi="Arial" w:cs="Arial"/>
          <w:szCs w:val="21"/>
        </w:rPr>
      </w:r>
      <w:r/>
    </w:p>
    <w:p>
      <w:pPr>
        <w:pStyle w:val="1276"/>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276"/>
        <w:spacing w:line="200" w:lineRule="exact"/>
        <w:rPr>
          <w:rFonts w:ascii="Arial" w:hAnsi="Arial" w:cs="Arial"/>
          <w:szCs w:val="21"/>
        </w:rPr>
      </w:pPr>
      <w:r>
        <w:rPr>
          <w:rFonts w:ascii="Arial" w:hAnsi="Arial" w:cs="Arial"/>
          <w:szCs w:val="21"/>
        </w:rPr>
      </w:r>
      <w:r/>
    </w:p>
    <w:p>
      <w:pPr>
        <w:pStyle w:val="1276"/>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276"/>
        <w:jc w:val="left"/>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spacing w:line="440" w:lineRule="exact"/>
        <w:rPr>
          <w:rFonts w:ascii="Arial" w:hAnsi="Arial" w:cs="Arial"/>
          <w:sz w:val="24"/>
          <w:szCs w:val="24"/>
        </w:rPr>
      </w:pPr>
      <w:r>
        <w:rPr>
          <w:rFonts w:ascii="Arial" w:hAnsi="Arial" w:cs="Arial"/>
          <w:sz w:val="24"/>
          <w:szCs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ind w:left="-2" w:right="-5"/>
        <w:spacing w:line="440" w:lineRule="exact"/>
        <w:rPr>
          <w:rFonts w:ascii="Arial" w:hAnsi="Arial" w:cs="Arial"/>
          <w:sz w:val="24"/>
        </w:rPr>
      </w:pPr>
      <w:r>
        <w:rPr>
          <w:rFonts w:ascii="Arial" w:hAnsi="Arial" w:cs="Arial"/>
          <w:sz w:val="24"/>
        </w:rPr>
      </w:r>
      <w:r/>
    </w:p>
    <w:p>
      <w:pPr>
        <w:pStyle w:val="1276"/>
        <w:jc w:val="left"/>
        <w:spacing w:line="360" w:lineRule="auto"/>
        <w:rPr>
          <w:rFonts w:ascii="Arial" w:hAnsi="Arial" w:cs="Arial"/>
          <w:b/>
          <w:bCs/>
          <w:szCs w:val="21"/>
        </w:rPr>
        <w:outlineLvl w:val="2"/>
      </w:pPr>
      <w:r/>
      <w:bookmarkStart w:id="716" w:name="_Toc13811"/>
      <w:r>
        <w:rPr>
          <w:rFonts w:ascii="Arial" w:hAnsi="Arial" w:cs="Arial"/>
          <w:b/>
          <w:bCs/>
          <w:szCs w:val="21"/>
        </w:rPr>
        <w:br w:type="page" w:clear="all"/>
      </w:r>
      <w:bookmarkStart w:id="717" w:name="_Toc19061"/>
      <w:r/>
      <w:bookmarkStart w:id="718" w:name="_Toc29548"/>
      <w:r/>
      <w:bookmarkStart w:id="719" w:name="_Toc14097"/>
      <w:r/>
      <w:bookmarkStart w:id="720" w:name="_Toc22266"/>
      <w:r/>
      <w:bookmarkStart w:id="721" w:name="_Toc30798"/>
      <w:r/>
      <w:bookmarkStart w:id="722" w:name="_Toc11810"/>
      <w:r/>
      <w:bookmarkStart w:id="723" w:name="_Toc23270"/>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716"/>
      <w:r/>
      <w:bookmarkEnd w:id="717"/>
      <w:r/>
      <w:bookmarkEnd w:id="718"/>
      <w:r/>
      <w:bookmarkEnd w:id="719"/>
      <w:r/>
      <w:bookmarkEnd w:id="720"/>
      <w:r/>
      <w:bookmarkEnd w:id="721"/>
      <w:r/>
      <w:bookmarkEnd w:id="722"/>
      <w:r/>
      <w:bookmarkEnd w:id="723"/>
      <w:r>
        <w:rPr>
          <w:rFonts w:ascii="Arial" w:hAnsi="Arial" w:cs="Arial"/>
          <w:b/>
          <w:bCs/>
          <w:szCs w:val="21"/>
        </w:rPr>
      </w:r>
      <w:r/>
    </w:p>
    <w:p>
      <w:pPr>
        <w:pStyle w:val="1276"/>
        <w:jc w:val="center"/>
        <w:spacing w:line="360" w:lineRule="auto"/>
        <w:rPr>
          <w:rFonts w:ascii="Arial" w:hAnsi="Arial" w:cs="Arial"/>
          <w:b/>
          <w:sz w:val="28"/>
          <w:szCs w:val="22"/>
          <w:lang w:val="zh-CN"/>
        </w:rPr>
      </w:pPr>
      <w:r/>
      <w:bookmarkStart w:id="724" w:name="_Toc28545"/>
      <w:r/>
      <w:bookmarkStart w:id="725" w:name="_Toc15882"/>
      <w:r>
        <w:rPr>
          <w:rFonts w:ascii="Arial" w:hAnsi="Arial" w:cs="Arial"/>
          <w:b/>
          <w:sz w:val="28"/>
          <w:szCs w:val="22"/>
          <w:lang w:val="zh-CN"/>
        </w:rPr>
        <w:t xml:space="preserve">依法缴纳税收的记录</w:t>
      </w:r>
      <w:bookmarkEnd w:id="724"/>
      <w:r/>
      <w:bookmarkEnd w:id="725"/>
      <w:r>
        <w:rPr>
          <w:rFonts w:ascii="Arial" w:hAnsi="Arial" w:cs="Arial"/>
          <w:b/>
          <w:sz w:val="28"/>
          <w:szCs w:val="22"/>
          <w:lang w:val="zh-CN"/>
        </w:rPr>
      </w:r>
      <w:r/>
    </w:p>
    <w:p>
      <w:pPr>
        <w:pStyle w:val="1276"/>
        <w:spacing w:after="120" w:line="440" w:lineRule="exact"/>
        <w:rPr>
          <w:rFonts w:hint="eastAsia" w:ascii="Arial" w:hAnsi="Arial" w:cs="Arial"/>
          <w:b/>
          <w:u w:val="single"/>
        </w:rPr>
      </w:pPr>
      <w:r>
        <w:rPr>
          <w:rFonts w:hint="eastAsia" w:ascii="Arial" w:hAnsi="Arial" w:cs="Arial"/>
        </w:rPr>
        <w:t xml:space="preserve">有依法缴纳税收的良好记录，提供距开标时间六个月内任意一个月份的纳税（企业代缴的个人所得税除外）凭据复印件加盖公章（依法免税的应提供相应文件说明）；</w:t>
      </w:r>
      <w:r>
        <w:rPr>
          <w:rFonts w:hint="eastAsia" w:ascii="Arial" w:hAnsi="Arial" w:cs="Arial"/>
          <w:b/>
          <w:u w:val="single"/>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 w:val="24"/>
        </w:rPr>
      </w:pPr>
      <w:r>
        <w:rPr>
          <w:rFonts w:ascii="Arial" w:hAnsi="Arial" w:cs="Arial"/>
          <w:sz w:val="24"/>
        </w:rPr>
      </w:r>
      <w:r/>
    </w:p>
    <w:p>
      <w:pPr>
        <w:pStyle w:val="1276"/>
        <w:jc w:val="left"/>
        <w:spacing w:line="360" w:lineRule="auto"/>
        <w:rPr>
          <w:rFonts w:ascii="Arial" w:hAnsi="Arial" w:cs="Arial"/>
          <w:b/>
          <w:bCs/>
          <w:szCs w:val="21"/>
        </w:rPr>
        <w:outlineLvl w:val="2"/>
      </w:pPr>
      <w:r/>
      <w:bookmarkStart w:id="726" w:name="_Toc17181"/>
      <w:r>
        <w:rPr>
          <w:rFonts w:ascii="Arial" w:hAnsi="Arial" w:cs="Arial"/>
          <w:b/>
          <w:bCs/>
          <w:szCs w:val="21"/>
        </w:rPr>
        <w:br w:type="page" w:clear="all"/>
      </w:r>
      <w:bookmarkStart w:id="727" w:name="_Toc12050"/>
      <w:r/>
      <w:bookmarkStart w:id="728" w:name="_Toc2992"/>
      <w:r/>
      <w:bookmarkStart w:id="729" w:name="_Toc14888"/>
      <w:r/>
      <w:bookmarkStart w:id="730" w:name="_Toc17996"/>
      <w:r/>
      <w:bookmarkStart w:id="731" w:name="_Toc19411"/>
      <w:r/>
      <w:bookmarkStart w:id="732" w:name="_Toc13863"/>
      <w:r/>
      <w:bookmarkStart w:id="733" w:name="_Toc19674"/>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726"/>
      <w:r/>
      <w:bookmarkEnd w:id="727"/>
      <w:r/>
      <w:bookmarkEnd w:id="728"/>
      <w:r/>
      <w:bookmarkEnd w:id="729"/>
      <w:r/>
      <w:bookmarkEnd w:id="730"/>
      <w:r/>
      <w:bookmarkEnd w:id="731"/>
      <w:r/>
      <w:bookmarkEnd w:id="732"/>
      <w:r/>
      <w:bookmarkEnd w:id="733"/>
      <w:r>
        <w:rPr>
          <w:rFonts w:ascii="Arial" w:hAnsi="Arial" w:cs="Arial"/>
          <w:b/>
          <w:bCs/>
          <w:szCs w:val="21"/>
        </w:rPr>
      </w:r>
      <w:r/>
    </w:p>
    <w:p>
      <w:pPr>
        <w:pStyle w:val="1276"/>
        <w:jc w:val="center"/>
        <w:spacing w:line="360" w:lineRule="auto"/>
        <w:rPr>
          <w:rFonts w:ascii="Arial" w:hAnsi="Arial" w:cs="Arial"/>
          <w:b/>
          <w:sz w:val="28"/>
          <w:szCs w:val="22"/>
          <w:lang w:val="zh-CN" w:bidi="en-US"/>
        </w:rPr>
      </w:pPr>
      <w:r/>
      <w:bookmarkStart w:id="734" w:name="_Toc17335"/>
      <w:r/>
      <w:bookmarkStart w:id="735" w:name="_Toc17619"/>
      <w:r>
        <w:rPr>
          <w:rFonts w:ascii="Arial" w:hAnsi="Arial" w:cs="Arial"/>
          <w:b/>
          <w:sz w:val="28"/>
          <w:szCs w:val="22"/>
          <w:lang w:val="zh-CN"/>
        </w:rPr>
        <w:t xml:space="preserve">依法缴纳社会保障资金的记录</w:t>
      </w:r>
      <w:bookmarkEnd w:id="734"/>
      <w:r/>
      <w:bookmarkEnd w:id="735"/>
      <w:r>
        <w:rPr>
          <w:rFonts w:ascii="Arial" w:hAnsi="Arial" w:cs="Arial"/>
          <w:b/>
          <w:sz w:val="28"/>
          <w:szCs w:val="22"/>
          <w:lang w:val="zh-CN" w:bidi="en-US"/>
        </w:rPr>
      </w:r>
      <w:r/>
    </w:p>
    <w:p>
      <w:pPr>
        <w:pStyle w:val="1276"/>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b/>
        </w:rPr>
      </w:pPr>
      <w:r>
        <w:rPr>
          <w:rFonts w:ascii="Arial" w:hAnsi="Arial" w:cs="Arial"/>
          <w:b/>
        </w:rPr>
        <w:t xml:space="preserve">  </w:t>
      </w:r>
      <w:r>
        <w:rPr>
          <w:rFonts w:ascii="Arial" w:hAnsi="Arial" w:cs="Arial"/>
          <w:b/>
        </w:rPr>
      </w:r>
      <w:r/>
    </w:p>
    <w:p>
      <w:pPr>
        <w:pStyle w:val="1276"/>
        <w:spacing w:line="440" w:lineRule="exact"/>
        <w:rPr>
          <w:rFonts w:ascii="Arial" w:hAnsi="Arial" w:cs="Arial"/>
          <w:b/>
        </w:rPr>
      </w:pPr>
      <w:r>
        <w:rPr>
          <w:rFonts w:ascii="Arial" w:hAnsi="Arial" w:cs="Arial"/>
          <w:b/>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276"/>
        <w:spacing w:line="440" w:lineRule="exact"/>
        <w:rPr>
          <w:rFonts w:ascii="Arial" w:hAnsi="Arial" w:cs="Arial"/>
          <w:sz w:val="24"/>
        </w:rPr>
      </w:pPr>
      <w:r>
        <w:rPr>
          <w:rFonts w:ascii="Arial" w:hAnsi="Arial" w:cs="Arial"/>
          <w:sz w:val="24"/>
        </w:rPr>
      </w:r>
      <w:r/>
    </w:p>
    <w:p>
      <w:pPr>
        <w:pStyle w:val="1276"/>
        <w:spacing w:line="440" w:lineRule="exact"/>
        <w:rPr>
          <w:rFonts w:ascii="Arial" w:hAnsi="Arial" w:cs="Arial"/>
          <w:b/>
        </w:rPr>
      </w:pPr>
      <w:r>
        <w:rPr>
          <w:rFonts w:ascii="Arial" w:hAnsi="Arial" w:cs="Arial"/>
          <w:b/>
        </w:rPr>
      </w:r>
      <w:r/>
    </w:p>
    <w:p>
      <w:pPr>
        <w:pStyle w:val="1276"/>
        <w:jc w:val="center"/>
        <w:spacing w:line="440" w:lineRule="exact"/>
        <w:rPr>
          <w:rFonts w:ascii="Arial" w:hAnsi="Arial" w:cs="Arial"/>
        </w:rPr>
      </w:pPr>
      <w:r>
        <w:rPr>
          <w:rFonts w:ascii="Arial" w:hAnsi="Arial" w:cs="Arial"/>
        </w:rPr>
      </w:r>
      <w:r/>
    </w:p>
    <w:p>
      <w:pPr>
        <w:pStyle w:val="1276"/>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276"/>
        <w:jc w:val="left"/>
        <w:widowControl/>
        <w:rPr>
          <w:rFonts w:ascii="Arial" w:hAnsi="Arial" w:cs="Arial"/>
          <w:b/>
          <w:bCs/>
          <w:szCs w:val="21"/>
        </w:rPr>
        <w:outlineLvl w:val="2"/>
      </w:pPr>
      <w:r/>
      <w:bookmarkStart w:id="736" w:name="_Toc2799"/>
      <w:r/>
      <w:bookmarkStart w:id="737" w:name="_Toc26455"/>
      <w:r/>
      <w:bookmarkStart w:id="738" w:name="_Toc23523"/>
      <w:r/>
      <w:bookmarkStart w:id="739" w:name="_Toc28652"/>
      <w:r/>
      <w:bookmarkStart w:id="740" w:name="_Toc6652"/>
      <w:r/>
      <w:bookmarkStart w:id="741" w:name="_Toc6441"/>
      <w:r/>
      <w:bookmarkStart w:id="742" w:name="_Toc14800"/>
      <w:r/>
      <w:bookmarkStart w:id="743" w:name="_Toc21312"/>
      <w:r/>
      <w:bookmarkStart w:id="744"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736"/>
      <w:r>
        <w:rPr>
          <w:rFonts w:ascii="Arial" w:hAnsi="Arial" w:cs="Arial"/>
          <w:b/>
          <w:bCs/>
          <w:szCs w:val="21"/>
          <w:lang w:bidi="ar"/>
        </w:rPr>
        <w:t xml:space="preserve">（如有）</w:t>
      </w:r>
      <w:bookmarkEnd w:id="737"/>
      <w:r/>
      <w:bookmarkEnd w:id="738"/>
      <w:r/>
      <w:bookmarkEnd w:id="739"/>
      <w:r/>
      <w:bookmarkEnd w:id="740"/>
      <w:r/>
      <w:bookmarkEnd w:id="741"/>
      <w:r/>
      <w:bookmarkEnd w:id="742"/>
      <w:r/>
      <w:bookmarkEnd w:id="743"/>
      <w:r>
        <w:rPr>
          <w:rFonts w:ascii="Arial" w:hAnsi="Arial" w:cs="Arial"/>
          <w:b/>
          <w:bCs/>
          <w:szCs w:val="21"/>
        </w:rPr>
      </w:r>
      <w:r/>
    </w:p>
    <w:p>
      <w:pPr>
        <w:pStyle w:val="1276"/>
        <w:spacing w:line="360" w:lineRule="auto"/>
        <w:rPr>
          <w:rFonts w:ascii="Arial" w:hAnsi="Arial" w:cs="Arial"/>
          <w:b/>
        </w:rPr>
      </w:pPr>
      <w:r>
        <w:rPr>
          <w:rFonts w:ascii="Arial" w:hAnsi="Arial" w:cs="Arial"/>
          <w:b/>
        </w:rPr>
      </w:r>
      <w:r/>
    </w:p>
    <w:p>
      <w:pPr>
        <w:pStyle w:val="1276"/>
        <w:spacing w:line="360" w:lineRule="auto"/>
        <w:rPr>
          <w:rFonts w:ascii="Arial" w:hAnsi="Arial" w:cs="Arial"/>
          <w:b/>
        </w:rPr>
      </w:pPr>
      <w:r>
        <w:rPr>
          <w:rFonts w:ascii="Arial" w:hAnsi="Arial" w:cs="Arial"/>
          <w:b/>
        </w:rPr>
      </w:r>
      <w:r/>
    </w:p>
    <w:p>
      <w:pPr>
        <w:pStyle w:val="1276"/>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276"/>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276"/>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276"/>
        <w:jc w:val="left"/>
        <w:spacing w:line="440" w:lineRule="exact"/>
        <w:rPr>
          <w:rFonts w:ascii="Arial" w:hAnsi="Arial" w:cs="Arial"/>
          <w:szCs w:val="21"/>
        </w:rPr>
        <w:outlineLvl w:val="2"/>
      </w:pPr>
      <w:r>
        <w:rPr>
          <w:rFonts w:ascii="Arial" w:hAnsi="Arial" w:cs="Arial"/>
          <w:b/>
          <w:bCs/>
          <w:szCs w:val="21"/>
        </w:rPr>
        <w:br w:type="page" w:clear="all"/>
      </w:r>
      <w:bookmarkStart w:id="745" w:name="_Toc2081"/>
      <w:r/>
      <w:bookmarkStart w:id="746" w:name="_Toc18646"/>
      <w:r/>
      <w:bookmarkStart w:id="747" w:name="_Toc16978"/>
      <w:r/>
      <w:bookmarkStart w:id="748" w:name="_Toc1282"/>
      <w:r/>
      <w:bookmarkStart w:id="749" w:name="_Toc1918"/>
      <w:r/>
      <w:bookmarkStart w:id="750" w:name="_Toc18315"/>
      <w:r/>
      <w:bookmarkStart w:id="751" w:name="_Toc1053"/>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745"/>
      <w:r/>
      <w:bookmarkEnd w:id="746"/>
      <w:r/>
      <w:bookmarkEnd w:id="747"/>
      <w:r/>
      <w:bookmarkEnd w:id="748"/>
      <w:r/>
      <w:bookmarkEnd w:id="749"/>
      <w:r/>
      <w:bookmarkEnd w:id="750"/>
      <w:r/>
      <w:bookmarkEnd w:id="751"/>
      <w:r>
        <w:rPr>
          <w:rFonts w:ascii="Arial" w:hAnsi="Arial" w:cs="Arial"/>
          <w:szCs w:val="21"/>
        </w:rPr>
      </w:r>
      <w:r/>
    </w:p>
    <w:p>
      <w:pPr>
        <w:pStyle w:val="1276"/>
        <w:jc w:val="center"/>
        <w:spacing w:line="360" w:lineRule="auto"/>
        <w:rPr>
          <w:rFonts w:ascii="Arial" w:hAnsi="Arial" w:cs="Arial"/>
          <w:b/>
          <w:sz w:val="28"/>
          <w:szCs w:val="22"/>
          <w:lang w:val="zh-CN"/>
        </w:rPr>
      </w:pPr>
      <w:r/>
      <w:bookmarkStart w:id="752" w:name="_Toc17661"/>
      <w:r/>
      <w:bookmarkStart w:id="753" w:name="_Toc5448"/>
      <w:r/>
      <w:bookmarkStart w:id="754" w:name="_Toc6435"/>
      <w:r/>
      <w:bookmarkStart w:id="755" w:name="_Toc8056"/>
      <w:r/>
      <w:bookmarkStart w:id="756" w:name="_Toc28365"/>
      <w:r>
        <w:rPr>
          <w:rFonts w:ascii="Arial" w:hAnsi="Arial" w:cs="Arial"/>
          <w:b/>
          <w:sz w:val="28"/>
          <w:szCs w:val="22"/>
          <w:lang w:val="zh-CN"/>
        </w:rPr>
        <w:t xml:space="preserve">承诺书</w:t>
      </w:r>
      <w:bookmarkEnd w:id="752"/>
      <w:r/>
      <w:bookmarkEnd w:id="753"/>
      <w:r/>
      <w:bookmarkEnd w:id="754"/>
      <w:r/>
      <w:bookmarkEnd w:id="755"/>
      <w:r/>
      <w:bookmarkEnd w:id="756"/>
      <w:r>
        <w:rPr>
          <w:rFonts w:ascii="Arial" w:hAnsi="Arial" w:cs="Arial"/>
          <w:b/>
          <w:sz w:val="28"/>
          <w:szCs w:val="22"/>
          <w:lang w:val="zh-CN"/>
        </w:rPr>
      </w:r>
      <w:r/>
    </w:p>
    <w:p>
      <w:pPr>
        <w:pStyle w:val="1276"/>
        <w:rPr>
          <w:rFonts w:ascii="Arial" w:hAnsi="Arial" w:cs="Arial"/>
          <w:sz w:val="24"/>
          <w:szCs w:val="22"/>
        </w:rPr>
      </w:pPr>
      <w:r>
        <w:rPr>
          <w:rFonts w:ascii="Arial" w:hAnsi="Arial" w:cs="Arial"/>
          <w:sz w:val="24"/>
          <w:szCs w:val="22"/>
        </w:rPr>
      </w:r>
      <w:r/>
    </w:p>
    <w:p>
      <w:pPr>
        <w:pStyle w:val="1276"/>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276"/>
        <w:rPr>
          <w:rFonts w:ascii="Arial" w:hAnsi="Arial" w:cs="Arial"/>
          <w:sz w:val="24"/>
          <w:szCs w:val="22"/>
        </w:rPr>
      </w:pPr>
      <w:r>
        <w:rPr>
          <w:rFonts w:ascii="Arial" w:hAnsi="Arial" w:cs="Arial"/>
          <w:sz w:val="24"/>
          <w:szCs w:val="22"/>
        </w:rPr>
      </w:r>
      <w:r/>
    </w:p>
    <w:p>
      <w:pPr>
        <w:pStyle w:val="1276"/>
        <w:ind w:left="-2" w:right="-5"/>
        <w:spacing w:line="360" w:lineRule="auto"/>
        <w:rPr>
          <w:rFonts w:ascii="Arial" w:hAnsi="Arial" w:cs="Arial"/>
          <w:szCs w:val="21"/>
        </w:rPr>
      </w:pPr>
      <w:r>
        <w:rPr>
          <w:rFonts w:ascii="Arial" w:hAnsi="Arial" w:cs="Arial"/>
          <w:szCs w:val="21"/>
        </w:rPr>
      </w:r>
      <w:r/>
    </w:p>
    <w:p>
      <w:pPr>
        <w:pStyle w:val="1276"/>
        <w:ind w:left="-2" w:right="-5"/>
        <w:spacing w:line="360" w:lineRule="auto"/>
        <w:rPr>
          <w:rFonts w:ascii="Arial" w:hAnsi="Arial" w:cs="Arial"/>
          <w:szCs w:val="21"/>
        </w:rPr>
      </w:pPr>
      <w:r>
        <w:rPr>
          <w:rFonts w:ascii="Arial" w:hAnsi="Arial" w:cs="Arial"/>
          <w:szCs w:val="21"/>
        </w:rPr>
      </w:r>
      <w:r/>
    </w:p>
    <w:p>
      <w:pPr>
        <w:pStyle w:val="1276"/>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276"/>
        <w:jc w:val="left"/>
        <w:spacing w:line="360" w:lineRule="auto"/>
        <w:rPr>
          <w:rFonts w:ascii="Arial" w:hAnsi="Arial" w:cs="Arial"/>
          <w:b/>
          <w:bCs/>
          <w:szCs w:val="21"/>
        </w:rPr>
        <w:outlineLvl w:val="2"/>
      </w:pPr>
      <w:r>
        <w:rPr>
          <w:rFonts w:ascii="Arial" w:hAnsi="Arial" w:cs="Arial"/>
          <w:b/>
          <w:bCs/>
          <w:szCs w:val="21"/>
        </w:rPr>
        <w:br w:type="page" w:clear="all"/>
      </w:r>
      <w:bookmarkStart w:id="757" w:name="_Toc14281"/>
      <w:r/>
      <w:bookmarkStart w:id="758" w:name="_Toc22770"/>
      <w:r/>
      <w:bookmarkStart w:id="759" w:name="_Toc6826"/>
      <w:r/>
      <w:bookmarkStart w:id="760" w:name="_Toc31305"/>
      <w:r/>
      <w:bookmarkStart w:id="761" w:name="_Toc9861"/>
      <w:r/>
      <w:bookmarkStart w:id="762" w:name="_Toc5050"/>
      <w:r/>
      <w:bookmarkStart w:id="763" w:name="_Toc25869"/>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744"/>
      <w:r/>
      <w:bookmarkEnd w:id="757"/>
      <w:r/>
      <w:bookmarkEnd w:id="758"/>
      <w:r/>
      <w:bookmarkEnd w:id="759"/>
      <w:r/>
      <w:bookmarkEnd w:id="760"/>
      <w:r/>
      <w:bookmarkEnd w:id="761"/>
      <w:r/>
      <w:bookmarkEnd w:id="762"/>
      <w:r/>
      <w:bookmarkEnd w:id="763"/>
      <w:r>
        <w:rPr>
          <w:rFonts w:ascii="Arial" w:hAnsi="Arial" w:cs="Arial"/>
          <w:b/>
          <w:bCs/>
          <w:szCs w:val="21"/>
        </w:rPr>
      </w:r>
      <w:r/>
    </w:p>
    <w:p>
      <w:pPr>
        <w:pStyle w:val="1276"/>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276"/>
        <w:spacing w:line="440" w:lineRule="exact"/>
        <w:rPr>
          <w:rFonts w:ascii="Arial" w:hAnsi="Arial" w:cs="Arial"/>
          <w:b/>
        </w:rPr>
      </w:pPr>
      <w:r>
        <w:rPr>
          <w:rFonts w:ascii="Arial" w:hAnsi="Arial" w:cs="Arial"/>
          <w:b/>
        </w:rPr>
      </w:r>
      <w:r/>
    </w:p>
    <w:p>
      <w:pPr>
        <w:pStyle w:val="1276"/>
        <w:spacing w:line="440" w:lineRule="exact"/>
        <w:rPr>
          <w:rFonts w:ascii="Arial" w:hAnsi="Arial" w:cs="Arial"/>
          <w:b/>
        </w:rPr>
      </w:pPr>
      <w:r>
        <w:rPr>
          <w:rFonts w:ascii="Arial" w:hAnsi="Arial" w:cs="Arial"/>
          <w:b/>
        </w:rPr>
      </w:r>
      <w:r/>
    </w:p>
    <w:p>
      <w:pPr>
        <w:pStyle w:val="1276"/>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6"/>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6"/>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276"/>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ind w:right="-5"/>
        <w:spacing w:line="440" w:lineRule="exact"/>
        <w:rPr>
          <w:rFonts w:ascii="Arial" w:hAnsi="Arial" w:cs="Arial"/>
          <w:b/>
        </w:rPr>
      </w:pPr>
      <w:r>
        <w:rPr>
          <w:rFonts w:ascii="Arial" w:hAnsi="Arial" w:cs="Arial"/>
          <w:b/>
        </w:rPr>
      </w:r>
      <w:r/>
    </w:p>
    <w:p>
      <w:pPr>
        <w:pStyle w:val="1276"/>
        <w:rPr>
          <w:rFonts w:ascii="Arial" w:hAnsi="Arial" w:cs="Arial"/>
          <w:b/>
          <w:color w:val="000000"/>
          <w:sz w:val="24"/>
          <w:lang w:val="zh-CN"/>
        </w:rPr>
        <w:outlineLvl w:val="1"/>
      </w:pPr>
      <w:r>
        <w:rPr>
          <w:rFonts w:ascii="Arial" w:hAnsi="Arial" w:cs="Arial"/>
          <w:b/>
          <w:color w:val="000000"/>
        </w:rPr>
        <w:br w:type="page" w:clear="all"/>
      </w:r>
      <w:bookmarkStart w:id="764" w:name="_Toc14905"/>
      <w:r/>
      <w:bookmarkStart w:id="765" w:name="_Toc15862"/>
      <w:r/>
      <w:bookmarkStart w:id="766" w:name="_Toc22079"/>
      <w:r/>
      <w:bookmarkStart w:id="767" w:name="_Toc18843"/>
      <w:r/>
      <w:bookmarkStart w:id="768" w:name="_Toc23009"/>
      <w:r/>
      <w:bookmarkStart w:id="769" w:name="_Toc18104"/>
      <w:r/>
      <w:bookmarkStart w:id="770" w:name="_Toc29732"/>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764"/>
      <w:r/>
      <w:bookmarkEnd w:id="765"/>
      <w:r/>
      <w:bookmarkEnd w:id="766"/>
      <w:r/>
      <w:bookmarkEnd w:id="767"/>
      <w:r/>
      <w:bookmarkEnd w:id="768"/>
      <w:r/>
      <w:bookmarkEnd w:id="769"/>
      <w:r/>
      <w:bookmarkEnd w:id="770"/>
      <w:r>
        <w:rPr>
          <w:rFonts w:ascii="Arial" w:hAnsi="Arial" w:cs="Arial"/>
          <w:b/>
          <w:color w:val="000000"/>
          <w:sz w:val="24"/>
          <w:lang w:val="zh-CN"/>
        </w:rPr>
      </w:r>
      <w:r/>
    </w:p>
    <w:p>
      <w:pPr>
        <w:pStyle w:val="1276"/>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276"/>
        <w:jc w:val="center"/>
        <w:spacing w:line="360" w:lineRule="auto"/>
        <w:rPr>
          <w:rFonts w:hint="eastAsia" w:ascii="Arial" w:hAnsi="Arial" w:cs="Arial"/>
          <w:b/>
          <w:bCs/>
          <w:szCs w:val="21"/>
          <w:lang w:val="zh-CN"/>
        </w:rPr>
      </w:pPr>
      <w:r/>
      <w:bookmarkStart w:id="771" w:name="_Toc29804"/>
      <w:r>
        <w:rPr>
          <w:rFonts w:hint="eastAsia" w:ascii="Arial" w:hAnsi="Arial" w:cs="Arial"/>
          <w:b/>
          <w:bCs/>
          <w:szCs w:val="21"/>
          <w:lang w:val="zh-CN"/>
        </w:rPr>
        <w:t xml:space="preserve">业绩清单（参考格式）</w:t>
      </w:r>
      <w:bookmarkEnd w:id="771"/>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276"/>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276"/>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276"/>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6"/>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6"/>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6"/>
              <w:jc w:val="center"/>
              <w:rPr>
                <w:rFonts w:ascii="Arial" w:hAnsi="Arial" w:cs="Arial"/>
                <w:szCs w:val="21"/>
              </w:rPr>
            </w:pPr>
            <w:r>
              <w:rPr>
                <w:rFonts w:ascii="Arial" w:hAnsi="Arial" w:cs="Arial"/>
                <w:szCs w:val="21"/>
              </w:rPr>
            </w:r>
            <w:r/>
          </w:p>
        </w:tc>
      </w:tr>
    </w:tbl>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ind w:firstLine="420"/>
        <w:spacing w:line="360" w:lineRule="auto"/>
        <w:rPr>
          <w:rFonts w:ascii="Arial" w:hAnsi="Arial" w:cs="Arial"/>
          <w:szCs w:val="21"/>
        </w:rPr>
      </w:pPr>
      <w:r>
        <w:rPr>
          <w:rFonts w:ascii="Arial" w:hAnsi="Arial" w:cs="Arial"/>
          <w:szCs w:val="21"/>
        </w:rPr>
      </w:r>
      <w:r/>
    </w:p>
    <w:p>
      <w:pPr>
        <w:pStyle w:val="1276"/>
        <w:rPr>
          <w:rFonts w:ascii="Arial" w:hAnsi="Arial" w:cs="Arial"/>
          <w:b/>
          <w:bCs/>
          <w:sz w:val="24"/>
          <w:szCs w:val="22"/>
          <w:lang w:val="zh-CN"/>
        </w:rPr>
        <w:outlineLvl w:val="1"/>
      </w:pPr>
      <w:r/>
      <w:bookmarkStart w:id="772" w:name="_Toc28926"/>
      <w:r/>
      <w:bookmarkStart w:id="773" w:name="_Toc11319"/>
      <w:r/>
      <w:bookmarkStart w:id="774" w:name="_Toc6778"/>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772"/>
      <w:r/>
      <w:bookmarkEnd w:id="773"/>
      <w:r/>
      <w:bookmarkEnd w:id="774"/>
      <w:r>
        <w:rPr>
          <w:rFonts w:ascii="Arial" w:hAnsi="Arial" w:cs="Arial"/>
          <w:b/>
          <w:bCs/>
          <w:sz w:val="24"/>
          <w:szCs w:val="22"/>
          <w:lang w:val="zh-CN"/>
        </w:rPr>
      </w:r>
      <w:r/>
    </w:p>
    <w:p>
      <w:pPr>
        <w:pStyle w:val="1276"/>
        <w:jc w:val="center"/>
        <w:rPr>
          <w:rFonts w:ascii="Arial" w:hAnsi="Arial" w:cs="Arial"/>
          <w:bCs/>
          <w:sz w:val="22"/>
          <w:szCs w:val="22"/>
        </w:rPr>
      </w:pPr>
      <w:r>
        <w:rPr>
          <w:rFonts w:ascii="Arial" w:hAnsi="Arial" w:cs="Arial"/>
          <w:bCs/>
          <w:sz w:val="22"/>
          <w:szCs w:val="22"/>
        </w:rPr>
      </w:r>
      <w:r/>
    </w:p>
    <w:p>
      <w:pPr>
        <w:pStyle w:val="1276"/>
        <w:jc w:val="center"/>
        <w:spacing w:line="360" w:lineRule="auto"/>
        <w:rPr>
          <w:rFonts w:ascii="Arial" w:hAnsi="Arial" w:cs="Arial"/>
          <w:bCs/>
          <w:sz w:val="24"/>
          <w:szCs w:val="24"/>
        </w:rPr>
      </w:pPr>
      <w:r/>
      <w:bookmarkStart w:id="775" w:name="_Toc7450"/>
      <w:r/>
      <w:bookmarkStart w:id="776" w:name="_Toc26713"/>
      <w:r/>
      <w:bookmarkStart w:id="777" w:name="_Toc23530"/>
      <w:r/>
      <w:bookmarkStart w:id="778" w:name="_Toc12816"/>
      <w:r/>
      <w:bookmarkStart w:id="779" w:name="_Toc5111"/>
      <w:r>
        <w:rPr>
          <w:rFonts w:ascii="Arial" w:hAnsi="Arial" w:cs="Arial"/>
          <w:b/>
          <w:sz w:val="28"/>
          <w:szCs w:val="22"/>
          <w:lang w:val="zh-CN"/>
        </w:rPr>
        <w:t xml:space="preserve">南京市政府采购供应商信用记录表暨信用承诺书</w:t>
      </w:r>
      <w:bookmarkEnd w:id="775"/>
      <w:r/>
      <w:bookmarkEnd w:id="776"/>
      <w:r/>
      <w:bookmarkEnd w:id="777"/>
      <w:r/>
      <w:bookmarkEnd w:id="778"/>
      <w:r/>
      <w:bookmarkEnd w:id="779"/>
      <w:r>
        <w:rPr>
          <w:rFonts w:ascii="Arial" w:hAnsi="Arial" w:cs="Arial"/>
          <w:bCs/>
          <w:sz w:val="24"/>
          <w:szCs w:val="24"/>
        </w:rPr>
      </w:r>
      <w:r/>
    </w:p>
    <w:p>
      <w:pPr>
        <w:pStyle w:val="1276"/>
        <w:rPr>
          <w:rFonts w:ascii="Arial" w:hAnsi="Arial" w:cs="Arial"/>
        </w:rPr>
      </w:pPr>
      <w:r>
        <w:rPr>
          <w:rFonts w:ascii="Arial" w:hAnsi="Arial" w:cs="Arial"/>
        </w:rPr>
      </w:r>
      <w:r/>
    </w:p>
    <w:p>
      <w:pPr>
        <w:pStyle w:val="1276"/>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276"/>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276"/>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276"/>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276"/>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276"/>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276"/>
              <w:spacing w:line="360" w:lineRule="auto"/>
              <w:rPr>
                <w:rFonts w:ascii="Arial" w:hAnsi="Arial" w:cs="Arial"/>
                <w:szCs w:val="21"/>
              </w:rPr>
            </w:pPr>
            <w:r>
              <w:rPr>
                <w:rFonts w:ascii="Arial" w:hAnsi="Arial" w:cs="Arial"/>
                <w:szCs w:val="21"/>
              </w:rPr>
            </w:r>
            <w:r/>
          </w:p>
          <w:p>
            <w:pPr>
              <w:pStyle w:val="1276"/>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276"/>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276"/>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276"/>
        <w:jc w:val="left"/>
        <w:widowControl/>
        <w:rPr>
          <w:rFonts w:ascii="Arial" w:hAnsi="Arial" w:cs="Arial"/>
          <w:b/>
          <w:bCs/>
          <w:szCs w:val="21"/>
          <w:lang w:bidi="ar"/>
        </w:rPr>
      </w:pPr>
      <w:r>
        <w:rPr>
          <w:rFonts w:ascii="Arial" w:hAnsi="Arial" w:cs="Arial"/>
          <w:b/>
          <w:bCs/>
          <w:szCs w:val="21"/>
          <w:lang w:bidi="ar"/>
        </w:rPr>
      </w:r>
      <w:r/>
    </w:p>
    <w:p>
      <w:pPr>
        <w:pStyle w:val="1276"/>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276"/>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276"/>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276"/>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276"/>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276"/>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tabs>
        <w:tab w:val="center" w:pos="4153" w:leader="none"/>
        <w:tab w:val="right" w:pos="8306" w:leader="none"/>
      </w:tabs>
      <w:rPr>
        <w:rStyle w:val="1355"/>
      </w:rPr>
      <w:framePr w:wrap="around" w:vAnchor="text" w:hAnchor="margin" w:xAlign="center" w:yAlign="top"/>
    </w:pPr>
    <w:r>
      <w:rPr>
        <w:rStyle w:val="1355"/>
      </w:rPr>
    </w:r>
    <w:r/>
  </w:p>
  <w:p>
    <w:pPr>
      <w:pStyle w:val="1327"/>
      <w:tabs>
        <w:tab w:val="center" w:pos="4153" w:leader="none"/>
        <w:tab w:val="right" w:pos="8306" w:leader="none"/>
      </w:tabs>
      <w:rPr>
        <w:rStyle w:val="1355"/>
      </w:rPr>
      <w:framePr w:wrap="around" w:vAnchor="text" w:hAnchor="page" w:x="6103" w:y="51"/>
    </w:pPr>
    <w:r>
      <w:rPr>
        <w:rStyle w:val="1355"/>
      </w:rPr>
    </w:r>
    <w:r/>
  </w:p>
  <w:p>
    <w:pPr>
      <w:pStyle w:val="1327"/>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276"/>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27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tabs>
        <w:tab w:val="center" w:pos="4153" w:leader="none"/>
        <w:tab w:val="right" w:pos="8306" w:leader="none"/>
      </w:tabs>
      <w:rPr>
        <w:rStyle w:val="1355"/>
      </w:rPr>
      <w:framePr w:wrap="around" w:vAnchor="text" w:hAnchor="margin" w:xAlign="center" w:yAlign="top"/>
    </w:pPr>
    <w:r>
      <w:rPr>
        <w:rStyle w:val="1355"/>
      </w:rPr>
    </w:r>
    <w:r/>
  </w:p>
  <w:p>
    <w:pPr>
      <w:pStyle w:val="1327"/>
      <w:tabs>
        <w:tab w:val="center" w:pos="4153" w:leader="none"/>
        <w:tab w:val="right" w:pos="8306" w:leader="none"/>
      </w:tabs>
      <w:rPr>
        <w:rStyle w:val="1355"/>
      </w:rPr>
      <w:framePr w:wrap="around" w:vAnchor="text" w:hAnchor="page" w:x="6103" w:y="51"/>
    </w:pPr>
    <w:r>
      <w:rPr>
        <w:rStyle w:val="1355"/>
      </w:rPr>
    </w:r>
    <w:r/>
  </w:p>
  <w:p>
    <w:pPr>
      <w:pStyle w:val="1327"/>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tabs>
        <w:tab w:val="center" w:pos="4153" w:leader="none"/>
        <w:tab w:val="right" w:pos="8306" w:leader="none"/>
      </w:tabs>
      <w:rPr>
        <w:rStyle w:val="135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6"/>
                    </w:pPr>
                    <w:r/>
                    <w:r/>
                  </w:p>
                </w:txbxContent>
              </v:textbox>
            </v:shape>
          </w:pict>
        </mc:Fallback>
      </mc:AlternateContent>
    </w:r>
    <w:r>
      <w:rPr>
        <w:rStyle w:val="1355"/>
      </w:rPr>
    </w:r>
    <w:r/>
  </w:p>
  <w:p>
    <w:pPr>
      <w:pStyle w:val="1327"/>
      <w:tabs>
        <w:tab w:val="center" w:pos="4153" w:leader="none"/>
        <w:tab w:val="right" w:pos="8306" w:leader="none"/>
      </w:tabs>
      <w:rPr>
        <w:rStyle w:val="1355"/>
      </w:rPr>
      <w:framePr w:wrap="around" w:vAnchor="text" w:hAnchor="page" w:x="6103" w:y="51"/>
    </w:pPr>
    <w:r>
      <w:rPr>
        <w:rStyle w:val="1355"/>
      </w:rPr>
    </w:r>
    <w:r/>
  </w:p>
  <w:p>
    <w:pPr>
      <w:pStyle w:val="1327"/>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76"/>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7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76"/>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7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76"/>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76"/>
                    </w:pPr>
                    <w:r/>
                    <w:r/>
                  </w:p>
                </w:txbxContent>
              </v:textbox>
            </v:shape>
          </w:pict>
        </mc:Fallback>
      </mc:AlternateContent>
    </w:r>
    <w:r/>
  </w:p>
  <w:p>
    <w:pPr>
      <w:pStyle w:val="1276"/>
    </w:pPr>
    <w:r/>
    <w:r/>
  </w:p>
  <w:p>
    <w:pPr>
      <w:pStyle w:val="127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276"/>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27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6"/>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6"/>
                    </w:pPr>
                    <w:r/>
                    <w:r/>
                  </w:p>
                </w:txbxContent>
              </v:textbox>
            </v:shape>
          </w:pict>
        </mc:Fallback>
      </mc:AlternateContent>
    </w:r>
    <w:r/>
  </w:p>
  <w:p>
    <w:pPr>
      <w:pStyle w:val="1327"/>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276"/>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327"/>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276"/>
                    </w:pPr>
                    <w:r/>
                    <w:r/>
                  </w:p>
                </w:txbxContent>
              </v:textbox>
            </v:shape>
          </w:pict>
        </mc:Fallback>
      </mc:AlternateContent>
    </w:r>
    <w:r/>
  </w:p>
  <w:p>
    <w:pPr>
      <w:pStyle w:val="13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276"/>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2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1276"/>
      </w:pPr>
    </w:lvl>
    <w:lvl w:ilvl="1">
      <w:start w:val="1"/>
      <w:numFmt w:val="bullet"/>
      <w:isLgl w:val="false"/>
      <w:suff w:val="tab"/>
      <w:lvlText w:val="o"/>
      <w:lvlJc w:val="left"/>
      <w:pPr>
        <w:pStyle w:val="1276"/>
        <w:ind w:left="1440" w:hanging="360"/>
      </w:pPr>
      <w:rPr>
        <w:rFonts w:ascii="Courier New" w:hAnsi="Courier New" w:eastAsia="Courier New" w:cs="Courier New"/>
      </w:rPr>
    </w:lvl>
    <w:lvl w:ilvl="2">
      <w:start w:val="1"/>
      <w:numFmt w:val="bullet"/>
      <w:isLgl w:val="false"/>
      <w:suff w:val="tab"/>
      <w:lvlText w:val="§"/>
      <w:lvlJc w:val="left"/>
      <w:pPr>
        <w:pStyle w:val="1276"/>
        <w:ind w:left="2160" w:hanging="360"/>
      </w:pPr>
      <w:rPr>
        <w:rFonts w:ascii="Wingdings" w:hAnsi="Wingdings" w:eastAsia="Wingdings" w:cs="Wingdings"/>
      </w:rPr>
    </w:lvl>
    <w:lvl w:ilvl="3">
      <w:start w:val="1"/>
      <w:numFmt w:val="bullet"/>
      <w:isLgl w:val="false"/>
      <w:suff w:val="tab"/>
      <w:lvlText w:val="·"/>
      <w:lvlJc w:val="left"/>
      <w:pPr>
        <w:pStyle w:val="1276"/>
        <w:ind w:left="2880" w:hanging="360"/>
      </w:pPr>
      <w:rPr>
        <w:rFonts w:ascii="Symbol" w:hAnsi="Symbol" w:eastAsia="Symbol" w:cs="Symbol"/>
      </w:rPr>
    </w:lvl>
    <w:lvl w:ilvl="4">
      <w:start w:val="1"/>
      <w:numFmt w:val="bullet"/>
      <w:isLgl w:val="false"/>
      <w:suff w:val="tab"/>
      <w:lvlText w:val="o"/>
      <w:lvlJc w:val="left"/>
      <w:pPr>
        <w:pStyle w:val="1276"/>
        <w:ind w:left="3600" w:hanging="360"/>
      </w:pPr>
      <w:rPr>
        <w:rFonts w:ascii="Courier New" w:hAnsi="Courier New" w:eastAsia="Courier New" w:cs="Courier New"/>
      </w:rPr>
    </w:lvl>
    <w:lvl w:ilvl="5">
      <w:start w:val="1"/>
      <w:numFmt w:val="bullet"/>
      <w:isLgl w:val="false"/>
      <w:suff w:val="tab"/>
      <w:lvlText w:val="§"/>
      <w:lvlJc w:val="left"/>
      <w:pPr>
        <w:pStyle w:val="1276"/>
        <w:ind w:left="4320" w:hanging="360"/>
      </w:pPr>
      <w:rPr>
        <w:rFonts w:ascii="Wingdings" w:hAnsi="Wingdings" w:eastAsia="Wingdings" w:cs="Wingdings"/>
      </w:rPr>
    </w:lvl>
    <w:lvl w:ilvl="6">
      <w:start w:val="1"/>
      <w:numFmt w:val="bullet"/>
      <w:isLgl w:val="false"/>
      <w:suff w:val="tab"/>
      <w:lvlText w:val="·"/>
      <w:lvlJc w:val="left"/>
      <w:pPr>
        <w:pStyle w:val="1276"/>
        <w:ind w:left="5040" w:hanging="360"/>
      </w:pPr>
      <w:rPr>
        <w:rFonts w:ascii="Symbol" w:hAnsi="Symbol" w:eastAsia="Symbol" w:cs="Symbol"/>
      </w:rPr>
    </w:lvl>
    <w:lvl w:ilvl="7">
      <w:start w:val="1"/>
      <w:numFmt w:val="bullet"/>
      <w:isLgl w:val="false"/>
      <w:suff w:val="tab"/>
      <w:lvlText w:val="o"/>
      <w:lvlJc w:val="left"/>
      <w:pPr>
        <w:pStyle w:val="1276"/>
        <w:ind w:left="5760" w:hanging="360"/>
      </w:pPr>
      <w:rPr>
        <w:rFonts w:ascii="Courier New" w:hAnsi="Courier New" w:eastAsia="Courier New" w:cs="Courier New"/>
      </w:rPr>
    </w:lvl>
    <w:lvl w:ilvl="8">
      <w:start w:val="1"/>
      <w:numFmt w:val="bullet"/>
      <w:isLgl w:val="false"/>
      <w:suff w:val="tab"/>
      <w:lvlText w:val="§"/>
      <w:lvlJc w:val="left"/>
      <w:pPr>
        <w:pStyle w:val="1276"/>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2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9">
    <w:name w:val="Heading 1"/>
    <w:basedOn w:val="1276"/>
    <w:next w:val="1276"/>
    <w:link w:val="1100"/>
    <w:uiPriority w:val="9"/>
    <w:qFormat/>
    <w:pPr>
      <w:keepLines/>
      <w:keepNext/>
      <w:spacing w:before="480" w:after="200"/>
      <w:outlineLvl w:val="0"/>
    </w:pPr>
    <w:rPr>
      <w:rFonts w:ascii="Arial" w:hAnsi="Arial" w:eastAsia="Arial" w:cs="Arial"/>
      <w:sz w:val="40"/>
      <w:szCs w:val="40"/>
    </w:rPr>
  </w:style>
  <w:style w:type="character" w:styleId="1100">
    <w:name w:val="Heading 1 Char"/>
    <w:link w:val="1099"/>
    <w:uiPriority w:val="9"/>
    <w:rPr>
      <w:rFonts w:ascii="Arial" w:hAnsi="Arial" w:eastAsia="Arial" w:cs="Arial"/>
      <w:sz w:val="40"/>
      <w:szCs w:val="40"/>
    </w:rPr>
  </w:style>
  <w:style w:type="paragraph" w:styleId="1101">
    <w:name w:val="Heading 2"/>
    <w:basedOn w:val="1276"/>
    <w:next w:val="1276"/>
    <w:link w:val="1102"/>
    <w:uiPriority w:val="9"/>
    <w:unhideWhenUsed/>
    <w:qFormat/>
    <w:pPr>
      <w:keepLines/>
      <w:keepNext/>
      <w:spacing w:before="360" w:after="200"/>
      <w:outlineLvl w:val="1"/>
    </w:pPr>
    <w:rPr>
      <w:rFonts w:ascii="Arial" w:hAnsi="Arial" w:eastAsia="Arial" w:cs="Arial"/>
      <w:sz w:val="34"/>
    </w:rPr>
  </w:style>
  <w:style w:type="character" w:styleId="1102">
    <w:name w:val="Heading 2 Char"/>
    <w:link w:val="1101"/>
    <w:uiPriority w:val="9"/>
    <w:rPr>
      <w:rFonts w:ascii="Arial" w:hAnsi="Arial" w:eastAsia="Arial" w:cs="Arial"/>
      <w:sz w:val="34"/>
    </w:rPr>
  </w:style>
  <w:style w:type="paragraph" w:styleId="1103">
    <w:name w:val="Heading 3"/>
    <w:basedOn w:val="1276"/>
    <w:next w:val="1276"/>
    <w:link w:val="1104"/>
    <w:uiPriority w:val="9"/>
    <w:unhideWhenUsed/>
    <w:qFormat/>
    <w:pPr>
      <w:keepLines/>
      <w:keepNext/>
      <w:spacing w:before="320" w:after="200"/>
      <w:outlineLvl w:val="2"/>
    </w:pPr>
    <w:rPr>
      <w:rFonts w:ascii="Arial" w:hAnsi="Arial" w:eastAsia="Arial" w:cs="Arial"/>
      <w:sz w:val="30"/>
      <w:szCs w:val="30"/>
    </w:rPr>
  </w:style>
  <w:style w:type="character" w:styleId="1104">
    <w:name w:val="Heading 3 Char"/>
    <w:link w:val="1103"/>
    <w:uiPriority w:val="9"/>
    <w:rPr>
      <w:rFonts w:ascii="Arial" w:hAnsi="Arial" w:eastAsia="Arial" w:cs="Arial"/>
      <w:sz w:val="30"/>
      <w:szCs w:val="30"/>
    </w:rPr>
  </w:style>
  <w:style w:type="paragraph" w:styleId="1105">
    <w:name w:val="Heading 4"/>
    <w:basedOn w:val="1276"/>
    <w:next w:val="1276"/>
    <w:link w:val="1106"/>
    <w:uiPriority w:val="9"/>
    <w:unhideWhenUsed/>
    <w:qFormat/>
    <w:pPr>
      <w:keepLines/>
      <w:keepNext/>
      <w:spacing w:before="320" w:after="200"/>
      <w:outlineLvl w:val="3"/>
    </w:pPr>
    <w:rPr>
      <w:rFonts w:ascii="Arial" w:hAnsi="Arial" w:eastAsia="Arial" w:cs="Arial"/>
      <w:b/>
      <w:bCs/>
      <w:sz w:val="26"/>
      <w:szCs w:val="26"/>
    </w:rPr>
  </w:style>
  <w:style w:type="character" w:styleId="1106">
    <w:name w:val="Heading 4 Char"/>
    <w:link w:val="1105"/>
    <w:uiPriority w:val="9"/>
    <w:rPr>
      <w:rFonts w:ascii="Arial" w:hAnsi="Arial" w:eastAsia="Arial" w:cs="Arial"/>
      <w:b/>
      <w:bCs/>
      <w:sz w:val="26"/>
      <w:szCs w:val="26"/>
    </w:rPr>
  </w:style>
  <w:style w:type="paragraph" w:styleId="1107">
    <w:name w:val="Heading 5"/>
    <w:basedOn w:val="1276"/>
    <w:next w:val="1276"/>
    <w:link w:val="1108"/>
    <w:uiPriority w:val="9"/>
    <w:unhideWhenUsed/>
    <w:qFormat/>
    <w:pPr>
      <w:keepLines/>
      <w:keepNext/>
      <w:spacing w:before="320" w:after="200"/>
      <w:outlineLvl w:val="4"/>
    </w:pPr>
    <w:rPr>
      <w:rFonts w:ascii="Arial" w:hAnsi="Arial" w:eastAsia="Arial" w:cs="Arial"/>
      <w:b/>
      <w:bCs/>
      <w:sz w:val="24"/>
      <w:szCs w:val="24"/>
    </w:rPr>
  </w:style>
  <w:style w:type="character" w:styleId="1108">
    <w:name w:val="Heading 5 Char"/>
    <w:link w:val="1107"/>
    <w:uiPriority w:val="9"/>
    <w:rPr>
      <w:rFonts w:ascii="Arial" w:hAnsi="Arial" w:eastAsia="Arial" w:cs="Arial"/>
      <w:b/>
      <w:bCs/>
      <w:sz w:val="24"/>
      <w:szCs w:val="24"/>
    </w:rPr>
  </w:style>
  <w:style w:type="paragraph" w:styleId="1109">
    <w:name w:val="Heading 6"/>
    <w:basedOn w:val="1276"/>
    <w:next w:val="1276"/>
    <w:link w:val="1110"/>
    <w:uiPriority w:val="9"/>
    <w:unhideWhenUsed/>
    <w:qFormat/>
    <w:pPr>
      <w:keepLines/>
      <w:keepNext/>
      <w:spacing w:before="320" w:after="200"/>
      <w:outlineLvl w:val="5"/>
    </w:pPr>
    <w:rPr>
      <w:rFonts w:ascii="Arial" w:hAnsi="Arial" w:eastAsia="Arial" w:cs="Arial"/>
      <w:b/>
      <w:bCs/>
      <w:sz w:val="22"/>
      <w:szCs w:val="22"/>
    </w:rPr>
  </w:style>
  <w:style w:type="character" w:styleId="1110">
    <w:name w:val="Heading 6 Char"/>
    <w:link w:val="1109"/>
    <w:uiPriority w:val="9"/>
    <w:rPr>
      <w:rFonts w:ascii="Arial" w:hAnsi="Arial" w:eastAsia="Arial" w:cs="Arial"/>
      <w:b/>
      <w:bCs/>
      <w:sz w:val="22"/>
      <w:szCs w:val="22"/>
    </w:rPr>
  </w:style>
  <w:style w:type="paragraph" w:styleId="1111">
    <w:name w:val="Heading 7"/>
    <w:basedOn w:val="1276"/>
    <w:next w:val="1276"/>
    <w:link w:val="1112"/>
    <w:uiPriority w:val="9"/>
    <w:unhideWhenUsed/>
    <w:qFormat/>
    <w:pPr>
      <w:keepLines/>
      <w:keepNext/>
      <w:spacing w:before="320" w:after="200"/>
      <w:outlineLvl w:val="6"/>
    </w:pPr>
    <w:rPr>
      <w:rFonts w:ascii="Arial" w:hAnsi="Arial" w:eastAsia="Arial" w:cs="Arial"/>
      <w:b/>
      <w:bCs/>
      <w:i/>
      <w:iCs/>
      <w:sz w:val="22"/>
      <w:szCs w:val="22"/>
    </w:rPr>
  </w:style>
  <w:style w:type="character" w:styleId="1112">
    <w:name w:val="Heading 7 Char"/>
    <w:link w:val="1111"/>
    <w:uiPriority w:val="9"/>
    <w:rPr>
      <w:rFonts w:ascii="Arial" w:hAnsi="Arial" w:eastAsia="Arial" w:cs="Arial"/>
      <w:b/>
      <w:bCs/>
      <w:i/>
      <w:iCs/>
      <w:sz w:val="22"/>
      <w:szCs w:val="22"/>
    </w:rPr>
  </w:style>
  <w:style w:type="paragraph" w:styleId="1113">
    <w:name w:val="Heading 8"/>
    <w:basedOn w:val="1276"/>
    <w:next w:val="1276"/>
    <w:link w:val="1114"/>
    <w:uiPriority w:val="9"/>
    <w:unhideWhenUsed/>
    <w:qFormat/>
    <w:pPr>
      <w:keepLines/>
      <w:keepNext/>
      <w:spacing w:before="320" w:after="200"/>
      <w:outlineLvl w:val="7"/>
    </w:pPr>
    <w:rPr>
      <w:rFonts w:ascii="Arial" w:hAnsi="Arial" w:eastAsia="Arial" w:cs="Arial"/>
      <w:i/>
      <w:iCs/>
      <w:sz w:val="22"/>
      <w:szCs w:val="22"/>
    </w:rPr>
  </w:style>
  <w:style w:type="character" w:styleId="1114">
    <w:name w:val="Heading 8 Char"/>
    <w:link w:val="1113"/>
    <w:uiPriority w:val="9"/>
    <w:rPr>
      <w:rFonts w:ascii="Arial" w:hAnsi="Arial" w:eastAsia="Arial" w:cs="Arial"/>
      <w:i/>
      <w:iCs/>
      <w:sz w:val="22"/>
      <w:szCs w:val="22"/>
    </w:rPr>
  </w:style>
  <w:style w:type="paragraph" w:styleId="1115">
    <w:name w:val="Heading 9"/>
    <w:basedOn w:val="1276"/>
    <w:next w:val="1276"/>
    <w:link w:val="1116"/>
    <w:uiPriority w:val="9"/>
    <w:unhideWhenUsed/>
    <w:qFormat/>
    <w:pPr>
      <w:keepLines/>
      <w:keepNext/>
      <w:spacing w:before="320" w:after="200"/>
      <w:outlineLvl w:val="8"/>
    </w:pPr>
    <w:rPr>
      <w:rFonts w:ascii="Arial" w:hAnsi="Arial" w:eastAsia="Arial" w:cs="Arial"/>
      <w:i/>
      <w:iCs/>
      <w:sz w:val="21"/>
      <w:szCs w:val="21"/>
    </w:rPr>
  </w:style>
  <w:style w:type="character" w:styleId="1116">
    <w:name w:val="Heading 9 Char"/>
    <w:link w:val="1115"/>
    <w:uiPriority w:val="9"/>
    <w:rPr>
      <w:rFonts w:ascii="Arial" w:hAnsi="Arial" w:eastAsia="Arial" w:cs="Arial"/>
      <w:i/>
      <w:iCs/>
      <w:sz w:val="21"/>
      <w:szCs w:val="21"/>
    </w:rPr>
  </w:style>
  <w:style w:type="paragraph" w:styleId="1117">
    <w:name w:val="No Spacing"/>
    <w:uiPriority w:val="1"/>
    <w:qFormat/>
    <w:pPr>
      <w:spacing w:before="0" w:after="0" w:line="240" w:lineRule="auto"/>
    </w:pPr>
  </w:style>
  <w:style w:type="paragraph" w:styleId="1118">
    <w:name w:val="Title"/>
    <w:basedOn w:val="1276"/>
    <w:next w:val="1276"/>
    <w:link w:val="1119"/>
    <w:uiPriority w:val="10"/>
    <w:qFormat/>
    <w:pPr>
      <w:contextualSpacing/>
      <w:spacing w:before="300" w:after="200"/>
    </w:pPr>
    <w:rPr>
      <w:sz w:val="48"/>
      <w:szCs w:val="48"/>
    </w:rPr>
  </w:style>
  <w:style w:type="character" w:styleId="1119">
    <w:name w:val="Title Char"/>
    <w:link w:val="1118"/>
    <w:uiPriority w:val="10"/>
    <w:rPr>
      <w:sz w:val="48"/>
      <w:szCs w:val="48"/>
    </w:rPr>
  </w:style>
  <w:style w:type="paragraph" w:styleId="1120">
    <w:name w:val="Subtitle"/>
    <w:basedOn w:val="1276"/>
    <w:next w:val="1276"/>
    <w:link w:val="1121"/>
    <w:uiPriority w:val="11"/>
    <w:qFormat/>
    <w:pPr>
      <w:spacing w:before="200" w:after="200"/>
    </w:pPr>
    <w:rPr>
      <w:sz w:val="24"/>
      <w:szCs w:val="24"/>
    </w:rPr>
  </w:style>
  <w:style w:type="character" w:styleId="1121">
    <w:name w:val="Subtitle Char"/>
    <w:link w:val="1120"/>
    <w:uiPriority w:val="11"/>
    <w:rPr>
      <w:sz w:val="24"/>
      <w:szCs w:val="24"/>
    </w:rPr>
  </w:style>
  <w:style w:type="paragraph" w:styleId="1122">
    <w:name w:val="Quote"/>
    <w:basedOn w:val="1276"/>
    <w:next w:val="1276"/>
    <w:link w:val="1123"/>
    <w:uiPriority w:val="29"/>
    <w:qFormat/>
    <w:pPr>
      <w:ind w:left="720" w:right="720"/>
    </w:pPr>
    <w:rPr>
      <w:i/>
    </w:rPr>
  </w:style>
  <w:style w:type="character" w:styleId="1123">
    <w:name w:val="Quote Char"/>
    <w:link w:val="1122"/>
    <w:uiPriority w:val="29"/>
    <w:rPr>
      <w:i/>
    </w:rPr>
  </w:style>
  <w:style w:type="paragraph" w:styleId="1124">
    <w:name w:val="Intense Quote"/>
    <w:basedOn w:val="1276"/>
    <w:next w:val="1276"/>
    <w:link w:val="11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5">
    <w:name w:val="Intense Quote Char"/>
    <w:link w:val="1124"/>
    <w:uiPriority w:val="30"/>
    <w:rPr>
      <w:i/>
    </w:rPr>
  </w:style>
  <w:style w:type="paragraph" w:styleId="1126">
    <w:name w:val="Header"/>
    <w:basedOn w:val="1276"/>
    <w:link w:val="1127"/>
    <w:uiPriority w:val="99"/>
    <w:unhideWhenUsed/>
    <w:pPr>
      <w:spacing w:after="0" w:line="240" w:lineRule="auto"/>
      <w:tabs>
        <w:tab w:val="center" w:pos="7143" w:leader="none"/>
        <w:tab w:val="right" w:pos="14287" w:leader="none"/>
      </w:tabs>
    </w:pPr>
  </w:style>
  <w:style w:type="character" w:styleId="1127">
    <w:name w:val="Header Char"/>
    <w:link w:val="1126"/>
    <w:uiPriority w:val="99"/>
  </w:style>
  <w:style w:type="paragraph" w:styleId="1128">
    <w:name w:val="Footer"/>
    <w:basedOn w:val="1276"/>
    <w:link w:val="1131"/>
    <w:uiPriority w:val="99"/>
    <w:unhideWhenUsed/>
    <w:pPr>
      <w:spacing w:after="0" w:line="240" w:lineRule="auto"/>
      <w:tabs>
        <w:tab w:val="center" w:pos="7143" w:leader="none"/>
        <w:tab w:val="right" w:pos="14287" w:leader="none"/>
      </w:tabs>
    </w:pPr>
  </w:style>
  <w:style w:type="character" w:styleId="1129">
    <w:name w:val="Footer Char"/>
    <w:link w:val="1128"/>
    <w:uiPriority w:val="99"/>
  </w:style>
  <w:style w:type="paragraph" w:styleId="1130">
    <w:name w:val="Caption"/>
    <w:basedOn w:val="1276"/>
    <w:next w:val="1276"/>
    <w:uiPriority w:val="35"/>
    <w:semiHidden/>
    <w:unhideWhenUsed/>
    <w:qFormat/>
    <w:pPr>
      <w:spacing w:line="276" w:lineRule="auto"/>
    </w:pPr>
    <w:rPr>
      <w:b/>
      <w:bCs/>
      <w:color w:val="4f81bd" w:themeColor="accent1"/>
      <w:sz w:val="18"/>
      <w:szCs w:val="18"/>
    </w:rPr>
  </w:style>
  <w:style w:type="character" w:styleId="1131">
    <w:name w:val="Caption Char"/>
    <w:basedOn w:val="1130"/>
    <w:link w:val="1128"/>
    <w:uiPriority w:val="99"/>
  </w:style>
  <w:style w:type="table" w:styleId="11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58">
    <w:name w:val="Hyperlink"/>
    <w:uiPriority w:val="99"/>
    <w:unhideWhenUsed/>
    <w:rPr>
      <w:color w:val="0000ff" w:themeColor="hyperlink"/>
      <w:u w:val="single"/>
    </w:rPr>
  </w:style>
  <w:style w:type="paragraph" w:styleId="1259">
    <w:name w:val="footnote text"/>
    <w:basedOn w:val="1276"/>
    <w:link w:val="1260"/>
    <w:uiPriority w:val="99"/>
    <w:semiHidden/>
    <w:unhideWhenUsed/>
    <w:pPr>
      <w:spacing w:after="40" w:line="240" w:lineRule="auto"/>
    </w:pPr>
    <w:rPr>
      <w:sz w:val="18"/>
    </w:rPr>
  </w:style>
  <w:style w:type="character" w:styleId="1260">
    <w:name w:val="Footnote Text Char"/>
    <w:link w:val="1259"/>
    <w:uiPriority w:val="99"/>
    <w:rPr>
      <w:sz w:val="18"/>
    </w:rPr>
  </w:style>
  <w:style w:type="character" w:styleId="1261">
    <w:name w:val="footnote reference"/>
    <w:uiPriority w:val="99"/>
    <w:unhideWhenUsed/>
    <w:rPr>
      <w:vertAlign w:val="superscript"/>
    </w:rPr>
  </w:style>
  <w:style w:type="paragraph" w:styleId="1262">
    <w:name w:val="endnote text"/>
    <w:basedOn w:val="1276"/>
    <w:link w:val="1263"/>
    <w:uiPriority w:val="99"/>
    <w:semiHidden/>
    <w:unhideWhenUsed/>
    <w:pPr>
      <w:spacing w:after="0" w:line="240" w:lineRule="auto"/>
    </w:pPr>
    <w:rPr>
      <w:sz w:val="20"/>
    </w:rPr>
  </w:style>
  <w:style w:type="character" w:styleId="1263">
    <w:name w:val="Endnote Text Char"/>
    <w:link w:val="1262"/>
    <w:uiPriority w:val="99"/>
    <w:rPr>
      <w:sz w:val="20"/>
    </w:rPr>
  </w:style>
  <w:style w:type="character" w:styleId="1264">
    <w:name w:val="endnote reference"/>
    <w:uiPriority w:val="99"/>
    <w:semiHidden/>
    <w:unhideWhenUsed/>
    <w:rPr>
      <w:vertAlign w:val="superscript"/>
    </w:rPr>
  </w:style>
  <w:style w:type="paragraph" w:styleId="1265">
    <w:name w:val="toc 1"/>
    <w:basedOn w:val="1276"/>
    <w:next w:val="1276"/>
    <w:uiPriority w:val="39"/>
    <w:unhideWhenUsed/>
    <w:pPr>
      <w:ind w:left="0" w:right="0" w:firstLine="0"/>
      <w:spacing w:after="57"/>
    </w:pPr>
  </w:style>
  <w:style w:type="paragraph" w:styleId="1266">
    <w:name w:val="toc 2"/>
    <w:basedOn w:val="1276"/>
    <w:next w:val="1276"/>
    <w:uiPriority w:val="39"/>
    <w:unhideWhenUsed/>
    <w:pPr>
      <w:ind w:left="283" w:right="0" w:firstLine="0"/>
      <w:spacing w:after="57"/>
    </w:pPr>
  </w:style>
  <w:style w:type="paragraph" w:styleId="1267">
    <w:name w:val="toc 3"/>
    <w:basedOn w:val="1276"/>
    <w:next w:val="1276"/>
    <w:uiPriority w:val="39"/>
    <w:unhideWhenUsed/>
    <w:pPr>
      <w:ind w:left="567" w:right="0" w:firstLine="0"/>
      <w:spacing w:after="57"/>
    </w:pPr>
  </w:style>
  <w:style w:type="paragraph" w:styleId="1268">
    <w:name w:val="toc 4"/>
    <w:basedOn w:val="1276"/>
    <w:next w:val="1276"/>
    <w:uiPriority w:val="39"/>
    <w:unhideWhenUsed/>
    <w:pPr>
      <w:ind w:left="850" w:right="0" w:firstLine="0"/>
      <w:spacing w:after="57"/>
    </w:pPr>
  </w:style>
  <w:style w:type="paragraph" w:styleId="1269">
    <w:name w:val="toc 5"/>
    <w:basedOn w:val="1276"/>
    <w:next w:val="1276"/>
    <w:uiPriority w:val="39"/>
    <w:unhideWhenUsed/>
    <w:pPr>
      <w:ind w:left="1134" w:right="0" w:firstLine="0"/>
      <w:spacing w:after="57"/>
    </w:pPr>
  </w:style>
  <w:style w:type="paragraph" w:styleId="1270">
    <w:name w:val="toc 6"/>
    <w:basedOn w:val="1276"/>
    <w:next w:val="1276"/>
    <w:uiPriority w:val="39"/>
    <w:unhideWhenUsed/>
    <w:pPr>
      <w:ind w:left="1417" w:right="0" w:firstLine="0"/>
      <w:spacing w:after="57"/>
    </w:pPr>
  </w:style>
  <w:style w:type="paragraph" w:styleId="1271">
    <w:name w:val="toc 7"/>
    <w:basedOn w:val="1276"/>
    <w:next w:val="1276"/>
    <w:uiPriority w:val="39"/>
    <w:unhideWhenUsed/>
    <w:pPr>
      <w:ind w:left="1701" w:right="0" w:firstLine="0"/>
      <w:spacing w:after="57"/>
    </w:pPr>
  </w:style>
  <w:style w:type="paragraph" w:styleId="1272">
    <w:name w:val="toc 8"/>
    <w:basedOn w:val="1276"/>
    <w:next w:val="1276"/>
    <w:uiPriority w:val="39"/>
    <w:unhideWhenUsed/>
    <w:pPr>
      <w:ind w:left="1984" w:right="0" w:firstLine="0"/>
      <w:spacing w:after="57"/>
    </w:pPr>
  </w:style>
  <w:style w:type="paragraph" w:styleId="1273">
    <w:name w:val="toc 9"/>
    <w:basedOn w:val="1276"/>
    <w:next w:val="1276"/>
    <w:uiPriority w:val="39"/>
    <w:unhideWhenUsed/>
    <w:pPr>
      <w:ind w:left="2268" w:right="0" w:firstLine="0"/>
      <w:spacing w:after="57"/>
    </w:pPr>
  </w:style>
  <w:style w:type="paragraph" w:styleId="1274">
    <w:name w:val="TOC Heading"/>
    <w:uiPriority w:val="39"/>
    <w:unhideWhenUsed/>
  </w:style>
  <w:style w:type="paragraph" w:styleId="1275">
    <w:name w:val="table of figures"/>
    <w:basedOn w:val="1276"/>
    <w:next w:val="1276"/>
    <w:uiPriority w:val="99"/>
    <w:unhideWhenUsed/>
    <w:pPr>
      <w:spacing w:after="0" w:afterAutospacing="0"/>
    </w:pPr>
  </w:style>
  <w:style w:type="paragraph" w:styleId="1276" w:default="1">
    <w:name w:val="Normal"/>
    <w:next w:val="1276"/>
    <w:link w:val="1276"/>
    <w:qFormat/>
    <w:pPr>
      <w:jc w:val="both"/>
      <w:widowControl w:val="off"/>
    </w:pPr>
    <w:rPr>
      <w:sz w:val="21"/>
      <w:lang w:val="en-US" w:eastAsia="zh-CN" w:bidi="ar-SA"/>
    </w:rPr>
  </w:style>
  <w:style w:type="paragraph" w:styleId="1277">
    <w:name w:val="标题 1"/>
    <w:basedOn w:val="1276"/>
    <w:next w:val="1276"/>
    <w:link w:val="1287"/>
    <w:qFormat/>
    <w:pPr>
      <w:jc w:val="center"/>
      <w:keepNext/>
      <w:spacing w:line="440" w:lineRule="exact"/>
      <w:outlineLvl w:val="0"/>
    </w:pPr>
    <w:rPr>
      <w:rFonts w:ascii="宋体"/>
      <w:sz w:val="28"/>
    </w:rPr>
  </w:style>
  <w:style w:type="paragraph" w:styleId="1278">
    <w:name w:val="标题 2"/>
    <w:basedOn w:val="1276"/>
    <w:next w:val="1276"/>
    <w:link w:val="1288"/>
    <w:qFormat/>
    <w:pPr>
      <w:keepLines/>
      <w:keepNext/>
      <w:spacing w:before="260" w:after="260" w:line="416" w:lineRule="auto"/>
      <w:outlineLvl w:val="1"/>
    </w:pPr>
    <w:rPr>
      <w:rFonts w:ascii="Arial" w:hAnsi="Arial" w:eastAsia="黑体"/>
      <w:b/>
      <w:bCs/>
      <w:sz w:val="32"/>
      <w:szCs w:val="32"/>
    </w:rPr>
  </w:style>
  <w:style w:type="paragraph" w:styleId="1279">
    <w:name w:val="标题 3"/>
    <w:basedOn w:val="1276"/>
    <w:next w:val="1290"/>
    <w:link w:val="1289"/>
    <w:qFormat/>
    <w:pPr>
      <w:ind w:left="480" w:hanging="480"/>
      <w:jc w:val="center"/>
      <w:keepNext/>
      <w:spacing w:line="400" w:lineRule="exact"/>
      <w:tabs>
        <w:tab w:val="left" w:pos="480" w:leader="none"/>
      </w:tabs>
      <w:outlineLvl w:val="2"/>
    </w:pPr>
    <w:rPr>
      <w:rFonts w:ascii="仿宋_GB2312" w:eastAsia="仿宋_GB2312"/>
      <w:sz w:val="32"/>
    </w:rPr>
  </w:style>
  <w:style w:type="paragraph" w:styleId="1280">
    <w:name w:val="标题 4"/>
    <w:basedOn w:val="1276"/>
    <w:next w:val="1276"/>
    <w:link w:val="1292"/>
    <w:qFormat/>
    <w:pPr>
      <w:keepLines/>
      <w:keepNext/>
      <w:spacing w:before="280" w:after="290" w:line="372" w:lineRule="auto"/>
      <w:outlineLvl w:val="3"/>
    </w:pPr>
    <w:rPr>
      <w:rFonts w:ascii="Arial" w:hAnsi="Arial" w:eastAsia="黑体"/>
      <w:b/>
      <w:bCs/>
      <w:sz w:val="28"/>
      <w:szCs w:val="28"/>
    </w:rPr>
  </w:style>
  <w:style w:type="paragraph" w:styleId="1281">
    <w:name w:val="标题 5"/>
    <w:basedOn w:val="1276"/>
    <w:next w:val="1276"/>
    <w:link w:val="1293"/>
    <w:qFormat/>
    <w:pPr>
      <w:jc w:val="left"/>
      <w:keepLines/>
      <w:keepNext/>
      <w:spacing w:before="280" w:after="290" w:line="376" w:lineRule="auto"/>
      <w:outlineLvl w:val="4"/>
    </w:pPr>
    <w:rPr>
      <w:rFonts w:ascii="宋体"/>
      <w:b/>
      <w:bCs/>
      <w:sz w:val="28"/>
      <w:szCs w:val="28"/>
    </w:rPr>
  </w:style>
  <w:style w:type="paragraph" w:styleId="1282">
    <w:name w:val="标题 6"/>
    <w:basedOn w:val="1276"/>
    <w:next w:val="1276"/>
    <w:link w:val="1294"/>
    <w:qFormat/>
    <w:pPr>
      <w:jc w:val="left"/>
      <w:keepLines/>
      <w:keepNext/>
      <w:spacing w:before="240" w:after="64" w:line="320" w:lineRule="auto"/>
      <w:outlineLvl w:val="5"/>
    </w:pPr>
    <w:rPr>
      <w:rFonts w:ascii="Arial" w:hAnsi="Arial" w:eastAsia="黑体"/>
      <w:b/>
      <w:bCs/>
      <w:sz w:val="24"/>
      <w:szCs w:val="24"/>
    </w:rPr>
  </w:style>
  <w:style w:type="paragraph" w:styleId="1283">
    <w:name w:val="标题 8"/>
    <w:basedOn w:val="1276"/>
    <w:next w:val="1276"/>
    <w:link w:val="1295"/>
    <w:qFormat/>
    <w:pPr>
      <w:jc w:val="left"/>
      <w:keepLines/>
      <w:keepNext/>
      <w:spacing w:before="240" w:after="64" w:line="320" w:lineRule="auto"/>
      <w:outlineLvl w:val="7"/>
    </w:pPr>
    <w:rPr>
      <w:rFonts w:ascii="Arial" w:hAnsi="Arial" w:eastAsia="黑体"/>
      <w:sz w:val="24"/>
      <w:szCs w:val="24"/>
    </w:rPr>
  </w:style>
  <w:style w:type="paragraph" w:styleId="1284">
    <w:name w:val="标题 9"/>
    <w:basedOn w:val="1276"/>
    <w:next w:val="1276"/>
    <w:link w:val="1296"/>
    <w:qFormat/>
    <w:pPr>
      <w:jc w:val="left"/>
      <w:keepLines/>
      <w:keepNext/>
      <w:spacing w:before="240" w:after="64" w:line="320" w:lineRule="auto"/>
      <w:outlineLvl w:val="8"/>
    </w:pPr>
    <w:rPr>
      <w:rFonts w:ascii="Arial" w:hAnsi="Arial" w:eastAsia="黑体"/>
      <w:szCs w:val="21"/>
    </w:rPr>
  </w:style>
  <w:style w:type="character" w:styleId="1285">
    <w:name w:val="默认段落字体"/>
    <w:next w:val="1285"/>
    <w:link w:val="1276"/>
    <w:uiPriority w:val="1"/>
    <w:unhideWhenUsed/>
  </w:style>
  <w:style w:type="table" w:styleId="1286">
    <w:name w:val="普通表格"/>
    <w:next w:val="1286"/>
    <w:link w:val="127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87">
    <w:name w:val="标题 1 字符"/>
    <w:next w:val="1287"/>
    <w:link w:val="1277"/>
    <w:qFormat/>
    <w:rPr>
      <w:rFonts w:ascii="宋体"/>
      <w:sz w:val="28"/>
    </w:rPr>
  </w:style>
  <w:style w:type="character" w:styleId="1288">
    <w:name w:val="标题 2 字符"/>
    <w:next w:val="1288"/>
    <w:link w:val="1278"/>
    <w:qFormat/>
    <w:rPr>
      <w:rFonts w:ascii="Arial" w:hAnsi="Arial" w:eastAsia="黑体"/>
      <w:b/>
      <w:bCs/>
      <w:sz w:val="32"/>
      <w:szCs w:val="32"/>
    </w:rPr>
  </w:style>
  <w:style w:type="character" w:styleId="1289">
    <w:name w:val="标题 3 字符"/>
    <w:next w:val="1289"/>
    <w:link w:val="1279"/>
    <w:qFormat/>
    <w:rPr>
      <w:rFonts w:ascii="仿宋_GB2312" w:eastAsia="仿宋_GB2312"/>
      <w:sz w:val="32"/>
    </w:rPr>
  </w:style>
  <w:style w:type="paragraph" w:styleId="1290">
    <w:name w:val="正文缩进"/>
    <w:basedOn w:val="1276"/>
    <w:next w:val="1276"/>
    <w:link w:val="1291"/>
    <w:qFormat/>
    <w:pPr>
      <w:ind w:firstLine="420"/>
    </w:pPr>
    <w:rPr>
      <w:b/>
      <w:sz w:val="24"/>
    </w:rPr>
  </w:style>
  <w:style w:type="character" w:styleId="1291">
    <w:name w:val="正文缩进 字符"/>
    <w:next w:val="1291"/>
    <w:link w:val="1290"/>
    <w:qFormat/>
    <w:rPr>
      <w:b/>
      <w:sz w:val="24"/>
    </w:rPr>
  </w:style>
  <w:style w:type="character" w:styleId="1292">
    <w:name w:val="标题 4 字符"/>
    <w:next w:val="1292"/>
    <w:link w:val="1280"/>
    <w:qFormat/>
    <w:rPr>
      <w:rFonts w:ascii="Arial" w:hAnsi="Arial" w:eastAsia="黑体" w:cs="Arial"/>
      <w:b/>
      <w:bCs/>
      <w:sz w:val="28"/>
      <w:szCs w:val="28"/>
    </w:rPr>
  </w:style>
  <w:style w:type="character" w:styleId="1293">
    <w:name w:val="标题 5 字符"/>
    <w:next w:val="1293"/>
    <w:link w:val="1281"/>
    <w:qFormat/>
    <w:rPr>
      <w:rFonts w:ascii="宋体"/>
      <w:b/>
      <w:bCs/>
      <w:sz w:val="28"/>
      <w:szCs w:val="28"/>
    </w:rPr>
  </w:style>
  <w:style w:type="character" w:styleId="1294">
    <w:name w:val="标题 6 字符"/>
    <w:next w:val="1294"/>
    <w:link w:val="1282"/>
    <w:qFormat/>
    <w:rPr>
      <w:rFonts w:ascii="Arial" w:hAnsi="Arial" w:eastAsia="黑体"/>
      <w:b/>
      <w:bCs/>
      <w:sz w:val="24"/>
      <w:szCs w:val="24"/>
    </w:rPr>
  </w:style>
  <w:style w:type="character" w:styleId="1295">
    <w:name w:val="标题 8 字符"/>
    <w:next w:val="1295"/>
    <w:link w:val="1283"/>
    <w:qFormat/>
    <w:rPr>
      <w:rFonts w:ascii="Arial" w:hAnsi="Arial" w:eastAsia="黑体"/>
      <w:sz w:val="24"/>
      <w:szCs w:val="24"/>
    </w:rPr>
  </w:style>
  <w:style w:type="character" w:styleId="1296">
    <w:name w:val="标题 9 字符"/>
    <w:next w:val="1296"/>
    <w:link w:val="1284"/>
    <w:qFormat/>
    <w:rPr>
      <w:rFonts w:ascii="Arial" w:hAnsi="Arial" w:eastAsia="黑体"/>
      <w:sz w:val="21"/>
      <w:szCs w:val="21"/>
    </w:rPr>
  </w:style>
  <w:style w:type="paragraph" w:styleId="1297">
    <w:name w:val="列表 3"/>
    <w:basedOn w:val="1276"/>
    <w:next w:val="1297"/>
    <w:link w:val="1276"/>
    <w:qFormat/>
    <w:pPr>
      <w:contextualSpacing/>
      <w:ind w:left="100" w:hanging="200"/>
    </w:pPr>
  </w:style>
  <w:style w:type="paragraph" w:styleId="1298">
    <w:name w:val="目录 7"/>
    <w:basedOn w:val="1276"/>
    <w:next w:val="1276"/>
    <w:link w:val="1276"/>
    <w:uiPriority w:val="39"/>
    <w:qFormat/>
    <w:pPr>
      <w:ind w:left="2520"/>
    </w:pPr>
  </w:style>
  <w:style w:type="paragraph" w:styleId="1299">
    <w:name w:val="题注"/>
    <w:basedOn w:val="1276"/>
    <w:next w:val="1276"/>
    <w:link w:val="1276"/>
    <w:qFormat/>
    <w:pPr>
      <w:ind w:firstLine="200"/>
      <w:spacing w:line="360" w:lineRule="auto"/>
    </w:pPr>
    <w:rPr>
      <w:rFonts w:ascii="Cambria" w:hAnsi="Cambria" w:eastAsia="黑体"/>
      <w:sz w:val="20"/>
    </w:rPr>
  </w:style>
  <w:style w:type="paragraph" w:styleId="1300">
    <w:name w:val="列表项目符号"/>
    <w:basedOn w:val="1276"/>
    <w:next w:val="1300"/>
    <w:link w:val="1276"/>
    <w:qFormat/>
    <w:pPr>
      <w:ind w:firstLine="288"/>
      <w:spacing w:line="360" w:lineRule="atLeast"/>
      <w:tabs>
        <w:tab w:val="left" w:pos="0" w:leader="none"/>
        <w:tab w:val="left" w:pos="360" w:leader="none"/>
      </w:tabs>
    </w:pPr>
    <w:rPr>
      <w:rFonts w:ascii="Arial" w:hAnsi="Arial"/>
      <w:szCs w:val="21"/>
    </w:rPr>
  </w:style>
  <w:style w:type="paragraph" w:styleId="1301">
    <w:name w:val="文档结构图"/>
    <w:basedOn w:val="1276"/>
    <w:next w:val="1301"/>
    <w:link w:val="1302"/>
    <w:qFormat/>
    <w:pPr>
      <w:jc w:val="left"/>
    </w:pPr>
    <w:rPr>
      <w:rFonts w:ascii="宋体" w:eastAsia="仿宋_GB2312"/>
      <w:sz w:val="18"/>
      <w:szCs w:val="18"/>
    </w:rPr>
  </w:style>
  <w:style w:type="character" w:styleId="1302">
    <w:name w:val="文档结构图 字符"/>
    <w:next w:val="1302"/>
    <w:link w:val="1301"/>
    <w:qFormat/>
    <w:rPr>
      <w:rFonts w:ascii="宋体" w:eastAsia="仿宋_GB2312"/>
      <w:sz w:val="18"/>
      <w:szCs w:val="18"/>
    </w:rPr>
  </w:style>
  <w:style w:type="paragraph" w:styleId="1303">
    <w:name w:val="引文目录标题"/>
    <w:basedOn w:val="1276"/>
    <w:next w:val="1276"/>
    <w:link w:val="1276"/>
    <w:qFormat/>
    <w:pPr>
      <w:spacing w:before="120"/>
    </w:pPr>
    <w:rPr>
      <w:rFonts w:ascii="Arial" w:hAnsi="Arial" w:cs="Arial"/>
      <w:sz w:val="24"/>
      <w:szCs w:val="24"/>
    </w:rPr>
  </w:style>
  <w:style w:type="paragraph" w:styleId="1304">
    <w:name w:val="批注文字"/>
    <w:basedOn w:val="1276"/>
    <w:next w:val="1304"/>
    <w:link w:val="1305"/>
    <w:qFormat/>
    <w:pPr>
      <w:jc w:val="left"/>
    </w:pPr>
  </w:style>
  <w:style w:type="character" w:styleId="1305">
    <w:name w:val="批注文字 字符"/>
    <w:next w:val="1305"/>
    <w:link w:val="1304"/>
    <w:qFormat/>
    <w:rPr>
      <w:sz w:val="21"/>
    </w:rPr>
  </w:style>
  <w:style w:type="paragraph" w:styleId="1306">
    <w:name w:val="正文文本"/>
    <w:basedOn w:val="1276"/>
    <w:next w:val="1276"/>
    <w:link w:val="1307"/>
    <w:qFormat/>
    <w:rPr>
      <w:rFonts w:ascii="宋体"/>
      <w:sz w:val="28"/>
    </w:rPr>
  </w:style>
  <w:style w:type="character" w:styleId="1307">
    <w:name w:val="正文文本 字符"/>
    <w:next w:val="1307"/>
    <w:link w:val="1306"/>
    <w:qFormat/>
    <w:rPr>
      <w:rFonts w:ascii="宋体" w:eastAsia="宋体"/>
      <w:sz w:val="28"/>
      <w:lang w:val="en-US" w:eastAsia="zh-CN" w:bidi="ar-SA"/>
    </w:rPr>
  </w:style>
  <w:style w:type="paragraph" w:styleId="1308">
    <w:name w:val="正文文本缩进"/>
    <w:basedOn w:val="1276"/>
    <w:next w:val="1310"/>
    <w:link w:val="1309"/>
    <w:qFormat/>
    <w:pPr>
      <w:ind w:firstLine="420"/>
      <w:spacing w:line="360" w:lineRule="auto"/>
    </w:pPr>
    <w:rPr>
      <w:rFonts w:ascii="宋体"/>
      <w:sz w:val="24"/>
    </w:rPr>
  </w:style>
  <w:style w:type="character" w:styleId="1309">
    <w:name w:val="正文文本缩进 字符"/>
    <w:next w:val="1309"/>
    <w:link w:val="1308"/>
    <w:qFormat/>
    <w:rPr>
      <w:rFonts w:ascii="宋体"/>
      <w:sz w:val="24"/>
    </w:rPr>
  </w:style>
  <w:style w:type="paragraph" w:styleId="1310">
    <w:name w:val="寄信人地址"/>
    <w:basedOn w:val="1276"/>
    <w:next w:val="1310"/>
    <w:link w:val="1276"/>
    <w:qFormat/>
    <w:rPr>
      <w:rFonts w:ascii="Arial" w:hAnsi="Arial" w:cs="Arial"/>
      <w:szCs w:val="24"/>
    </w:rPr>
  </w:style>
  <w:style w:type="paragraph" w:styleId="1311">
    <w:name w:val="列表 2"/>
    <w:basedOn w:val="1276"/>
    <w:next w:val="1311"/>
    <w:link w:val="1276"/>
    <w:qFormat/>
    <w:pPr>
      <w:ind w:left="100" w:hanging="200"/>
    </w:pPr>
  </w:style>
  <w:style w:type="paragraph" w:styleId="1312">
    <w:name w:val="文本块"/>
    <w:basedOn w:val="1276"/>
    <w:next w:val="1276"/>
    <w:link w:val="1276"/>
    <w:uiPriority w:val="99"/>
    <w:unhideWhenUsed/>
    <w:qFormat/>
    <w:pPr>
      <w:ind w:left="1440" w:right="1440"/>
      <w:spacing w:after="120"/>
    </w:pPr>
  </w:style>
  <w:style w:type="paragraph" w:styleId="1313">
    <w:name w:val="索引 4"/>
    <w:basedOn w:val="1276"/>
    <w:next w:val="1276"/>
    <w:link w:val="1276"/>
    <w:uiPriority w:val="99"/>
    <w:unhideWhenUsed/>
    <w:qFormat/>
    <w:pPr>
      <w:ind w:left="600"/>
    </w:pPr>
    <w:rPr>
      <w:rFonts w:ascii="Verdana" w:hAnsi="Verdana"/>
      <w:szCs w:val="20"/>
    </w:rPr>
  </w:style>
  <w:style w:type="paragraph" w:styleId="1314">
    <w:name w:val="目录 5"/>
    <w:basedOn w:val="1276"/>
    <w:next w:val="1276"/>
    <w:link w:val="1276"/>
    <w:uiPriority w:val="39"/>
    <w:qFormat/>
    <w:pPr>
      <w:ind w:left="1680"/>
    </w:pPr>
  </w:style>
  <w:style w:type="paragraph" w:styleId="1315">
    <w:name w:val="目录 3"/>
    <w:basedOn w:val="1276"/>
    <w:next w:val="1276"/>
    <w:link w:val="1276"/>
    <w:uiPriority w:val="39"/>
    <w:qFormat/>
    <w:pPr>
      <w:ind w:left="840"/>
    </w:pPr>
  </w:style>
  <w:style w:type="paragraph" w:styleId="1316">
    <w:name w:val="纯文本"/>
    <w:basedOn w:val="1276"/>
    <w:next w:val="1316"/>
    <w:link w:val="1317"/>
    <w:qFormat/>
    <w:rPr>
      <w:rFonts w:ascii="宋体" w:hAnsi="Courier New"/>
    </w:rPr>
  </w:style>
  <w:style w:type="character" w:styleId="1317">
    <w:name w:val="纯文本 字符"/>
    <w:next w:val="1317"/>
    <w:link w:val="1316"/>
    <w:qFormat/>
    <w:rPr>
      <w:rFonts w:ascii="宋体" w:hAnsi="Courier New" w:eastAsia="宋体"/>
      <w:sz w:val="21"/>
      <w:lang w:val="en-US" w:eastAsia="zh-CN" w:bidi="ar-SA"/>
    </w:rPr>
  </w:style>
  <w:style w:type="paragraph" w:styleId="1318">
    <w:name w:val="目录 8"/>
    <w:basedOn w:val="1276"/>
    <w:next w:val="1276"/>
    <w:link w:val="1276"/>
    <w:uiPriority w:val="39"/>
    <w:qFormat/>
    <w:pPr>
      <w:ind w:left="2940"/>
    </w:pPr>
  </w:style>
  <w:style w:type="paragraph" w:styleId="1319">
    <w:name w:val="日期"/>
    <w:basedOn w:val="1276"/>
    <w:next w:val="1276"/>
    <w:link w:val="1320"/>
    <w:qFormat/>
    <w:rPr>
      <w:rFonts w:ascii="宋体"/>
    </w:rPr>
  </w:style>
  <w:style w:type="character" w:styleId="1320">
    <w:name w:val="日期 字符"/>
    <w:next w:val="1320"/>
    <w:link w:val="1319"/>
    <w:qFormat/>
    <w:rPr>
      <w:rFonts w:ascii="宋体"/>
      <w:sz w:val="21"/>
    </w:rPr>
  </w:style>
  <w:style w:type="paragraph" w:styleId="1321">
    <w:name w:val="正文文本缩进 2"/>
    <w:basedOn w:val="1276"/>
    <w:next w:val="1321"/>
    <w:link w:val="1322"/>
    <w:qFormat/>
    <w:pPr>
      <w:ind w:firstLine="525"/>
      <w:spacing w:line="420" w:lineRule="exact"/>
    </w:pPr>
    <w:rPr>
      <w:rFonts w:ascii="宋体"/>
    </w:rPr>
  </w:style>
  <w:style w:type="character" w:styleId="1322">
    <w:name w:val="正文文本缩进 2 字符"/>
    <w:next w:val="1322"/>
    <w:link w:val="1321"/>
    <w:qFormat/>
    <w:rPr>
      <w:rFonts w:ascii="宋体"/>
      <w:sz w:val="21"/>
    </w:rPr>
  </w:style>
  <w:style w:type="paragraph" w:styleId="1323">
    <w:name w:val="尾注文本"/>
    <w:basedOn w:val="1276"/>
    <w:next w:val="1323"/>
    <w:link w:val="1324"/>
    <w:pPr>
      <w:jc w:val="left"/>
    </w:pPr>
  </w:style>
  <w:style w:type="character" w:styleId="1324">
    <w:name w:val="尾注文本 字符"/>
    <w:next w:val="1324"/>
    <w:link w:val="1323"/>
    <w:rPr>
      <w:sz w:val="21"/>
    </w:rPr>
  </w:style>
  <w:style w:type="paragraph" w:styleId="1325">
    <w:name w:val="批注框文本"/>
    <w:basedOn w:val="1276"/>
    <w:next w:val="1325"/>
    <w:link w:val="1326"/>
    <w:uiPriority w:val="99"/>
    <w:qFormat/>
    <w:rPr>
      <w:sz w:val="18"/>
      <w:szCs w:val="18"/>
    </w:rPr>
  </w:style>
  <w:style w:type="character" w:styleId="1326">
    <w:name w:val="批注框文本 字符"/>
    <w:next w:val="1326"/>
    <w:link w:val="1325"/>
    <w:uiPriority w:val="99"/>
    <w:semiHidden/>
    <w:qFormat/>
    <w:rPr>
      <w:sz w:val="18"/>
      <w:szCs w:val="18"/>
    </w:rPr>
  </w:style>
  <w:style w:type="paragraph" w:styleId="1327">
    <w:name w:val="页脚"/>
    <w:basedOn w:val="1276"/>
    <w:next w:val="1327"/>
    <w:link w:val="1328"/>
    <w:uiPriority w:val="99"/>
    <w:qFormat/>
    <w:pPr>
      <w:jc w:val="left"/>
      <w:tabs>
        <w:tab w:val="center" w:pos="4153" w:leader="none"/>
        <w:tab w:val="right" w:pos="8306" w:leader="none"/>
      </w:tabs>
    </w:pPr>
    <w:rPr>
      <w:sz w:val="18"/>
    </w:rPr>
  </w:style>
  <w:style w:type="character" w:styleId="1328">
    <w:name w:val="页脚 字符"/>
    <w:next w:val="1328"/>
    <w:link w:val="1327"/>
    <w:uiPriority w:val="99"/>
    <w:qFormat/>
    <w:rPr>
      <w:sz w:val="18"/>
    </w:rPr>
  </w:style>
  <w:style w:type="paragraph" w:styleId="1329">
    <w:name w:val="页眉"/>
    <w:basedOn w:val="1276"/>
    <w:next w:val="1329"/>
    <w:link w:val="1330"/>
    <w:uiPriority w:val="99"/>
    <w:qFormat/>
    <w:pPr>
      <w:jc w:val="center"/>
      <w:tabs>
        <w:tab w:val="center" w:pos="4153" w:leader="none"/>
        <w:tab w:val="right" w:pos="8306" w:leader="none"/>
      </w:tabs>
      <w:pBdr>
        <w:bottom w:val="single" w:color="000000" w:sz="6" w:space="1"/>
      </w:pBdr>
    </w:pPr>
    <w:rPr>
      <w:sz w:val="18"/>
    </w:rPr>
  </w:style>
  <w:style w:type="character" w:styleId="1330">
    <w:name w:val="页眉 字符"/>
    <w:next w:val="1330"/>
    <w:link w:val="1329"/>
    <w:uiPriority w:val="99"/>
    <w:qFormat/>
    <w:rPr>
      <w:sz w:val="18"/>
    </w:rPr>
  </w:style>
  <w:style w:type="paragraph" w:styleId="1331">
    <w:name w:val="目录 1"/>
    <w:basedOn w:val="1276"/>
    <w:next w:val="1276"/>
    <w:link w:val="1276"/>
    <w:uiPriority w:val="39"/>
    <w:qFormat/>
  </w:style>
  <w:style w:type="paragraph" w:styleId="1332">
    <w:name w:val="目录 4"/>
    <w:basedOn w:val="1276"/>
    <w:next w:val="1276"/>
    <w:link w:val="1276"/>
    <w:uiPriority w:val="39"/>
    <w:qFormat/>
    <w:pPr>
      <w:ind w:left="1260"/>
    </w:pPr>
  </w:style>
  <w:style w:type="paragraph" w:styleId="1333">
    <w:name w:val="副标题"/>
    <w:basedOn w:val="1276"/>
    <w:next w:val="1276"/>
    <w:link w:val="1334"/>
    <w:qFormat/>
    <w:pPr>
      <w:jc w:val="center"/>
      <w:spacing w:before="240" w:after="60" w:line="312" w:lineRule="auto"/>
      <w:outlineLvl w:val="1"/>
    </w:pPr>
    <w:rPr>
      <w:rFonts w:ascii="Cambria" w:hAnsi="Cambria"/>
      <w:b/>
      <w:bCs/>
      <w:sz w:val="32"/>
      <w:szCs w:val="32"/>
    </w:rPr>
  </w:style>
  <w:style w:type="character" w:styleId="1334">
    <w:name w:val="副标题 字符"/>
    <w:next w:val="1334"/>
    <w:link w:val="1333"/>
    <w:qFormat/>
    <w:rPr>
      <w:rFonts w:ascii="Cambria" w:hAnsi="Cambria"/>
      <w:b/>
      <w:bCs/>
      <w:sz w:val="32"/>
      <w:szCs w:val="32"/>
    </w:rPr>
  </w:style>
  <w:style w:type="paragraph" w:styleId="1335">
    <w:name w:val="脚注文本"/>
    <w:basedOn w:val="1276"/>
    <w:next w:val="1335"/>
    <w:link w:val="1336"/>
    <w:pPr>
      <w:jc w:val="left"/>
    </w:pPr>
    <w:rPr>
      <w:sz w:val="18"/>
      <w:szCs w:val="18"/>
    </w:rPr>
  </w:style>
  <w:style w:type="character" w:styleId="1336">
    <w:name w:val="脚注文本 字符"/>
    <w:next w:val="1336"/>
    <w:link w:val="1335"/>
    <w:rPr>
      <w:sz w:val="18"/>
      <w:szCs w:val="18"/>
    </w:rPr>
  </w:style>
  <w:style w:type="paragraph" w:styleId="1337">
    <w:name w:val="目录 6"/>
    <w:basedOn w:val="1276"/>
    <w:next w:val="1276"/>
    <w:link w:val="1276"/>
    <w:uiPriority w:val="39"/>
    <w:qFormat/>
    <w:pPr>
      <w:ind w:left="2100"/>
    </w:pPr>
  </w:style>
  <w:style w:type="paragraph" w:styleId="1338">
    <w:name w:val="正文文本缩进 3"/>
    <w:basedOn w:val="1276"/>
    <w:next w:val="1338"/>
    <w:link w:val="1339"/>
    <w:qFormat/>
    <w:pPr>
      <w:ind w:firstLine="841"/>
    </w:pPr>
    <w:rPr>
      <w:rFonts w:eastAsia="华文新魏"/>
      <w:b/>
      <w:bCs/>
      <w:sz w:val="84"/>
    </w:rPr>
  </w:style>
  <w:style w:type="character" w:styleId="1339">
    <w:name w:val="正文文本缩进 3 字符"/>
    <w:next w:val="1339"/>
    <w:link w:val="1338"/>
    <w:qFormat/>
    <w:rPr>
      <w:rFonts w:eastAsia="华文新魏"/>
      <w:b/>
      <w:bCs/>
      <w:sz w:val="84"/>
    </w:rPr>
  </w:style>
  <w:style w:type="paragraph" w:styleId="1340">
    <w:name w:val="目录 2"/>
    <w:basedOn w:val="1276"/>
    <w:next w:val="1276"/>
    <w:link w:val="1276"/>
    <w:uiPriority w:val="39"/>
    <w:qFormat/>
    <w:pPr>
      <w:ind w:left="420"/>
    </w:pPr>
  </w:style>
  <w:style w:type="paragraph" w:styleId="1341">
    <w:name w:val="目录 9"/>
    <w:basedOn w:val="1276"/>
    <w:next w:val="1276"/>
    <w:link w:val="1276"/>
    <w:uiPriority w:val="39"/>
    <w:qFormat/>
    <w:pPr>
      <w:ind w:left="3360"/>
    </w:pPr>
  </w:style>
  <w:style w:type="paragraph" w:styleId="1342">
    <w:name w:val="HTML 预设格式"/>
    <w:basedOn w:val="1276"/>
    <w:next w:val="1342"/>
    <w:link w:val="13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43">
    <w:name w:val="HTML 预设格式 字符"/>
    <w:next w:val="1343"/>
    <w:link w:val="1342"/>
    <w:qFormat/>
    <w:rPr>
      <w:rFonts w:ascii="黑体" w:hAnsi="Courier New" w:eastAsia="黑体" w:cs="Courier New"/>
    </w:rPr>
  </w:style>
  <w:style w:type="paragraph" w:styleId="1344">
    <w:name w:val="普通(网站)"/>
    <w:basedOn w:val="1276"/>
    <w:next w:val="1344"/>
    <w:link w:val="127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45">
    <w:name w:val="标题"/>
    <w:basedOn w:val="1276"/>
    <w:next w:val="1345"/>
    <w:link w:val="1346"/>
    <w:uiPriority w:val="10"/>
    <w:qFormat/>
    <w:pPr>
      <w:jc w:val="center"/>
    </w:pPr>
    <w:rPr>
      <w:sz w:val="30"/>
      <w:szCs w:val="24"/>
    </w:rPr>
  </w:style>
  <w:style w:type="character" w:styleId="1346">
    <w:name w:val="标题 字符"/>
    <w:next w:val="1346"/>
    <w:link w:val="1345"/>
    <w:uiPriority w:val="10"/>
    <w:qFormat/>
    <w:rPr>
      <w:sz w:val="30"/>
      <w:szCs w:val="24"/>
    </w:rPr>
  </w:style>
  <w:style w:type="paragraph" w:styleId="1347">
    <w:name w:val="批注主题"/>
    <w:basedOn w:val="1304"/>
    <w:next w:val="1304"/>
    <w:link w:val="1348"/>
    <w:qFormat/>
    <w:rPr>
      <w:b/>
      <w:bCs/>
    </w:rPr>
  </w:style>
  <w:style w:type="character" w:styleId="1348">
    <w:name w:val="批注主题 字符"/>
    <w:next w:val="1348"/>
    <w:link w:val="1347"/>
    <w:qFormat/>
    <w:rPr>
      <w:b/>
      <w:bCs/>
      <w:sz w:val="21"/>
    </w:rPr>
  </w:style>
  <w:style w:type="paragraph" w:styleId="1349">
    <w:name w:val="正文首行缩进"/>
    <w:basedOn w:val="1306"/>
    <w:next w:val="1349"/>
    <w:link w:val="1350"/>
    <w:qFormat/>
    <w:pPr>
      <w:ind w:firstLine="420"/>
      <w:spacing w:line="360" w:lineRule="auto"/>
    </w:pPr>
    <w:rPr>
      <w:rFonts w:hint="eastAsia" w:hAnsi="宋体"/>
    </w:rPr>
  </w:style>
  <w:style w:type="character" w:styleId="1350">
    <w:name w:val="正文文本首行缩进 字符"/>
    <w:next w:val="1350"/>
    <w:link w:val="1349"/>
    <w:rPr>
      <w:rFonts w:hint="eastAsia" w:ascii="宋体" w:hAnsi="宋体" w:eastAsia="宋体" w:cs="宋体"/>
      <w:sz w:val="28"/>
    </w:rPr>
  </w:style>
  <w:style w:type="paragraph" w:styleId="1351">
    <w:name w:val="正文首行缩进 2"/>
    <w:basedOn w:val="1308"/>
    <w:next w:val="1349"/>
    <w:link w:val="1276"/>
    <w:qFormat/>
    <w:pPr>
      <w:ind w:firstLine="420"/>
    </w:pPr>
  </w:style>
  <w:style w:type="table" w:styleId="1352">
    <w:name w:val="网格型"/>
    <w:basedOn w:val="1286"/>
    <w:next w:val="1352"/>
    <w:link w:val="1276"/>
    <w:qFormat/>
    <w:rPr>
      <w:sz w:val="21"/>
      <w:szCs w:val="22"/>
    </w:rPr>
    <w:tblPr/>
  </w:style>
  <w:style w:type="character" w:styleId="1353">
    <w:name w:val="要点"/>
    <w:next w:val="1353"/>
    <w:link w:val="1276"/>
    <w:qFormat/>
    <w:rPr>
      <w:b/>
      <w:bCs/>
    </w:rPr>
  </w:style>
  <w:style w:type="character" w:styleId="1354">
    <w:name w:val="尾注引用"/>
    <w:next w:val="1354"/>
    <w:link w:val="1276"/>
    <w:rPr>
      <w:vertAlign w:val="superscript"/>
    </w:rPr>
  </w:style>
  <w:style w:type="character" w:styleId="1355">
    <w:name w:val="页码"/>
    <w:next w:val="1355"/>
    <w:link w:val="1276"/>
    <w:qFormat/>
  </w:style>
  <w:style w:type="character" w:styleId="1356">
    <w:name w:val="强调"/>
    <w:next w:val="1356"/>
    <w:link w:val="1276"/>
    <w:uiPriority w:val="20"/>
    <w:qFormat/>
    <w:rPr>
      <w:i/>
    </w:rPr>
  </w:style>
  <w:style w:type="character" w:styleId="1357">
    <w:name w:val="超链接"/>
    <w:next w:val="1357"/>
    <w:link w:val="1276"/>
    <w:uiPriority w:val="99"/>
    <w:qFormat/>
    <w:rPr>
      <w:color w:val="333333"/>
      <w:u w:val="none"/>
    </w:rPr>
  </w:style>
  <w:style w:type="character" w:styleId="1358">
    <w:name w:val="批注引用"/>
    <w:next w:val="1358"/>
    <w:link w:val="1276"/>
    <w:qFormat/>
    <w:rPr>
      <w:sz w:val="21"/>
      <w:szCs w:val="21"/>
    </w:rPr>
  </w:style>
  <w:style w:type="character" w:styleId="1359">
    <w:name w:val="脚注引用"/>
    <w:next w:val="1359"/>
    <w:link w:val="1276"/>
    <w:rPr>
      <w:vertAlign w:val="superscript"/>
    </w:rPr>
  </w:style>
  <w:style w:type="paragraph" w:styleId="1360">
    <w:name w:val="正文首缩两字"/>
    <w:basedOn w:val="1276"/>
    <w:next w:val="1360"/>
    <w:link w:val="1276"/>
    <w:qFormat/>
    <w:pPr>
      <w:ind w:left="210" w:right="210" w:firstLine="480"/>
      <w:spacing w:line="360" w:lineRule="auto"/>
    </w:pPr>
    <w:rPr>
      <w:rFonts w:eastAsia="仿宋_GB2312"/>
      <w:sz w:val="24"/>
      <w:szCs w:val="24"/>
    </w:rPr>
  </w:style>
  <w:style w:type="paragraph" w:styleId="1361">
    <w:name w:val="段"/>
    <w:next w:val="1276"/>
    <w:link w:val="1276"/>
    <w:qFormat/>
    <w:pPr>
      <w:ind w:firstLine="420"/>
      <w:jc w:val="both"/>
      <w:tabs>
        <w:tab w:val="center" w:pos="4201" w:leader="none"/>
        <w:tab w:val="right" w:pos="9298" w:leader="dot"/>
      </w:tabs>
    </w:pPr>
    <w:rPr>
      <w:rFonts w:ascii="宋体"/>
      <w:sz w:val="21"/>
      <w:lang w:val="en-US" w:eastAsia="zh-CN" w:bidi="ar-SA"/>
    </w:rPr>
  </w:style>
  <w:style w:type="character" w:styleId="1362">
    <w:name w:val="表格标题_"/>
    <w:next w:val="1362"/>
    <w:link w:val="1363"/>
    <w:qFormat/>
    <w:rPr>
      <w:rFonts w:ascii="Gulim" w:hAnsi="Gulim" w:eastAsia="Gulim" w:cs="Gulim"/>
      <w:b/>
      <w:sz w:val="15"/>
      <w:szCs w:val="15"/>
      <w:shd w:val="clear" w:color="auto" w:fill="ffffff"/>
      <w:lang w:eastAsia="en-US" w:bidi="en-US"/>
    </w:rPr>
  </w:style>
  <w:style w:type="paragraph" w:styleId="1363">
    <w:name w:val="表格标题"/>
    <w:basedOn w:val="1276"/>
    <w:next w:val="1363"/>
    <w:link w:val="1362"/>
    <w:qFormat/>
    <w:pPr>
      <w:jc w:val="left"/>
      <w:spacing w:line="0" w:lineRule="atLeast"/>
      <w:shd w:val="clear" w:color="auto" w:fill="ffffff"/>
    </w:pPr>
    <w:rPr>
      <w:rFonts w:ascii="Gulim" w:hAnsi="Gulim" w:eastAsia="Gulim" w:cs="Gulim"/>
      <w:b/>
      <w:sz w:val="15"/>
      <w:szCs w:val="15"/>
      <w:lang w:eastAsia="en-US" w:bidi="en-US"/>
    </w:rPr>
  </w:style>
  <w:style w:type="character" w:styleId="1364">
    <w:name w:val="c lh15"/>
    <w:next w:val="1364"/>
    <w:link w:val="1276"/>
    <w:qFormat/>
  </w:style>
  <w:style w:type="character" w:styleId="1365">
    <w:name w:val="标题 2 Char1"/>
    <w:next w:val="1365"/>
    <w:link w:val="1276"/>
    <w:qFormat/>
    <w:rPr>
      <w:rFonts w:ascii="Arial" w:hAnsi="Arial" w:eastAsia="黑体"/>
      <w:b/>
      <w:bCs/>
      <w:sz w:val="32"/>
      <w:szCs w:val="32"/>
    </w:rPr>
  </w:style>
  <w:style w:type="character" w:styleId="1366">
    <w:name w:val="标题 1 Char1"/>
    <w:next w:val="1366"/>
    <w:link w:val="1276"/>
    <w:qFormat/>
    <w:rPr>
      <w:rFonts w:ascii="宋体"/>
      <w:sz w:val="28"/>
    </w:rPr>
  </w:style>
  <w:style w:type="character" w:styleId="1367">
    <w:name w:val="标题 Char2"/>
    <w:next w:val="1367"/>
    <w:link w:val="1276"/>
    <w:uiPriority w:val="10"/>
    <w:qFormat/>
    <w:rPr>
      <w:sz w:val="30"/>
      <w:szCs w:val="24"/>
    </w:rPr>
  </w:style>
  <w:style w:type="character" w:styleId="1368">
    <w:name w:val="标题 2 Char Char Char"/>
    <w:next w:val="1368"/>
    <w:link w:val="1276"/>
    <w:qFormat/>
    <w:rPr>
      <w:rFonts w:ascii="Arial" w:hAnsi="Arial" w:eastAsia="黑体"/>
      <w:b/>
      <w:bCs/>
      <w:sz w:val="32"/>
      <w:szCs w:val="32"/>
      <w:lang w:val="en-US" w:eastAsia="zh-CN" w:bidi="ar-SA"/>
    </w:rPr>
  </w:style>
  <w:style w:type="character" w:styleId="1369">
    <w:name w:val="列出段落 Char"/>
    <w:next w:val="1369"/>
    <w:link w:val="1276"/>
    <w:qFormat/>
    <w:rPr>
      <w:rFonts w:ascii="Calibri" w:hAnsi="Calibri"/>
      <w:sz w:val="21"/>
      <w:szCs w:val="22"/>
    </w:rPr>
  </w:style>
  <w:style w:type="character" w:styleId="1370">
    <w:name w:val="正文文本 (2)"/>
    <w:next w:val="1370"/>
    <w:link w:val="1276"/>
    <w:qFormat/>
    <w:rPr>
      <w:rFonts w:ascii="宋体" w:hAnsi="宋体" w:eastAsia="宋体" w:cs="宋体"/>
      <w:b/>
      <w:color w:val="000000"/>
      <w:spacing w:val="0"/>
      <w:position w:val="0"/>
      <w:sz w:val="17"/>
      <w:szCs w:val="17"/>
      <w:u w:val="none"/>
      <w:lang w:val="zh-CN" w:eastAsia="zh-CN" w:bidi="zh-CN"/>
    </w:rPr>
  </w:style>
  <w:style w:type="character" w:styleId="1371">
    <w:name w:val="正文文本缩进 Char"/>
    <w:next w:val="1371"/>
    <w:link w:val="1276"/>
    <w:uiPriority w:val="99"/>
    <w:semiHidden/>
    <w:qFormat/>
    <w:rPr>
      <w:rFonts w:ascii="宋体" w:hAnsi="Times New Roman" w:eastAsia="宋体" w:cs="Times New Roman"/>
      <w:sz w:val="20"/>
      <w:szCs w:val="20"/>
    </w:rPr>
  </w:style>
  <w:style w:type="character" w:styleId="1372">
    <w:name w:val="yy1"/>
    <w:next w:val="1372"/>
    <w:link w:val="1276"/>
    <w:qFormat/>
    <w:rPr>
      <w:rFonts w:ascii="宋体" w:hAnsi="宋体" w:eastAsia="宋体"/>
      <w:b/>
      <w:bCs/>
      <w:sz w:val="28"/>
    </w:rPr>
  </w:style>
  <w:style w:type="character" w:styleId="1373">
    <w:name w:val="正文文本 (2)_"/>
    <w:next w:val="1373"/>
    <w:link w:val="1276"/>
    <w:qFormat/>
    <w:rPr>
      <w:rFonts w:ascii="宋体" w:hAnsi="宋体" w:eastAsia="宋体" w:cs="宋体"/>
      <w:b/>
      <w:sz w:val="17"/>
      <w:szCs w:val="17"/>
      <w:u w:val="none"/>
      <w:lang w:val="en-US" w:eastAsia="zh-CN" w:bidi="ar-SA"/>
    </w:rPr>
  </w:style>
  <w:style w:type="character" w:styleId="1374">
    <w:name w:val="批注主题 Char"/>
    <w:next w:val="1374"/>
    <w:link w:val="1276"/>
    <w:qFormat/>
    <w:rPr>
      <w:b/>
      <w:bCs/>
      <w:sz w:val="21"/>
    </w:rPr>
  </w:style>
  <w:style w:type="character" w:styleId="1375">
    <w:name w:val="页眉 Char1"/>
    <w:next w:val="1375"/>
    <w:link w:val="1276"/>
    <w:uiPriority w:val="99"/>
    <w:qFormat/>
    <w:rPr>
      <w:sz w:val="18"/>
    </w:rPr>
  </w:style>
  <w:style w:type="character" w:styleId="1376">
    <w:name w:val="标题 8 Char"/>
    <w:next w:val="1376"/>
    <w:link w:val="1276"/>
    <w:qFormat/>
    <w:rPr>
      <w:rFonts w:ascii="Arial" w:hAnsi="Arial" w:eastAsia="黑体"/>
      <w:sz w:val="24"/>
      <w:szCs w:val="24"/>
    </w:rPr>
  </w:style>
  <w:style w:type="character" w:styleId="1377">
    <w:name w:val="纯文本 Char"/>
    <w:next w:val="1377"/>
    <w:link w:val="1276"/>
    <w:qFormat/>
    <w:rPr>
      <w:rFonts w:ascii="宋体" w:hAnsi="Courier New" w:eastAsia="宋体" w:cs="Courier New"/>
      <w:szCs w:val="21"/>
    </w:rPr>
  </w:style>
  <w:style w:type="character" w:styleId="1378">
    <w:name w:val="Char Char4"/>
    <w:next w:val="1378"/>
    <w:link w:val="1276"/>
    <w:qFormat/>
    <w:rPr>
      <w:rFonts w:eastAsia="宋体"/>
      <w:sz w:val="18"/>
      <w:szCs w:val="18"/>
      <w:lang w:val="en-US" w:eastAsia="zh-CN" w:bidi="ar-SA"/>
    </w:rPr>
  </w:style>
  <w:style w:type="character" w:styleId="1379">
    <w:name w:val="正文文本 (2) + MingLiU"/>
    <w:next w:val="1379"/>
    <w:link w:val="1276"/>
    <w:qFormat/>
    <w:rPr>
      <w:rFonts w:ascii="MingLiU" w:hAnsi="MingLiU" w:eastAsia="MingLiU" w:cs="MingLiU"/>
      <w:b/>
      <w:color w:val="000000"/>
      <w:spacing w:val="-20"/>
      <w:position w:val="0"/>
      <w:sz w:val="14"/>
      <w:szCs w:val="14"/>
      <w:u w:val="none"/>
      <w:lang w:val="zh-CN" w:eastAsia="zh-CN" w:bidi="zh-CN"/>
    </w:rPr>
  </w:style>
  <w:style w:type="character" w:styleId="1380">
    <w:name w:val="Andy_正文格式 Char"/>
    <w:next w:val="1380"/>
    <w:link w:val="1381"/>
    <w:qFormat/>
    <w:rPr>
      <w:rFonts w:ascii="仿宋_GB2312" w:eastAsia="仿宋_GB2312"/>
      <w:sz w:val="28"/>
      <w:szCs w:val="28"/>
    </w:rPr>
  </w:style>
  <w:style w:type="paragraph" w:styleId="1381">
    <w:name w:val="Andy_正文格式"/>
    <w:basedOn w:val="1276"/>
    <w:next w:val="1381"/>
    <w:link w:val="1380"/>
    <w:qFormat/>
    <w:pPr>
      <w:ind w:firstLine="560"/>
    </w:pPr>
    <w:rPr>
      <w:rFonts w:ascii="仿宋_GB2312" w:eastAsia="仿宋_GB2312"/>
      <w:sz w:val="28"/>
      <w:szCs w:val="28"/>
    </w:rPr>
  </w:style>
  <w:style w:type="character" w:styleId="1382">
    <w:name w:val="页眉 Char"/>
    <w:next w:val="1382"/>
    <w:link w:val="1276"/>
    <w:qFormat/>
    <w:rPr>
      <w:rFonts w:ascii="宋体" w:hAnsi="Times New Roman" w:eastAsia="宋体" w:cs="Times New Roman"/>
      <w:sz w:val="18"/>
      <w:szCs w:val="18"/>
    </w:rPr>
  </w:style>
  <w:style w:type="character" w:styleId="1383">
    <w:name w:val="新正文 Char Char"/>
    <w:next w:val="1383"/>
    <w:link w:val="1384"/>
    <w:qFormat/>
    <w:rPr>
      <w:rFonts w:ascii="宋体" w:hAnsi="宋体" w:cs="宋体"/>
      <w:b/>
      <w:bCs/>
      <w:color w:val="000000"/>
      <w:sz w:val="24"/>
      <w:szCs w:val="21"/>
    </w:rPr>
  </w:style>
  <w:style w:type="paragraph" w:styleId="1384">
    <w:name w:val="新正文"/>
    <w:basedOn w:val="1276"/>
    <w:next w:val="1384"/>
    <w:link w:val="1383"/>
    <w:qFormat/>
    <w:pPr>
      <w:ind w:firstLine="200"/>
      <w:spacing w:line="480" w:lineRule="exact"/>
    </w:pPr>
    <w:rPr>
      <w:rFonts w:ascii="宋体" w:hAnsi="宋体"/>
      <w:b/>
      <w:bCs/>
      <w:color w:val="000000"/>
      <w:sz w:val="24"/>
      <w:szCs w:val="21"/>
    </w:rPr>
  </w:style>
  <w:style w:type="character" w:styleId="1385">
    <w:name w:val="标题 4 Char1"/>
    <w:next w:val="1385"/>
    <w:link w:val="1276"/>
    <w:qFormat/>
    <w:rPr>
      <w:rFonts w:ascii="Arial" w:hAnsi="Arial" w:eastAsia="黑体" w:cs="Arial"/>
      <w:b/>
      <w:bCs/>
      <w:sz w:val="28"/>
      <w:szCs w:val="28"/>
    </w:rPr>
  </w:style>
  <w:style w:type="character" w:styleId="1386">
    <w:name w:val="批注框文本 Char"/>
    <w:next w:val="1386"/>
    <w:link w:val="1276"/>
    <w:uiPriority w:val="99"/>
    <w:semiHidden/>
    <w:qFormat/>
    <w:rPr>
      <w:rFonts w:ascii="宋体" w:hAnsi="Times New Roman" w:eastAsia="宋体" w:cs="Times New Roman"/>
      <w:sz w:val="18"/>
      <w:szCs w:val="18"/>
    </w:rPr>
  </w:style>
  <w:style w:type="character" w:styleId="1387">
    <w:name w:val="标题 3 Char"/>
    <w:next w:val="1387"/>
    <w:link w:val="1276"/>
    <w:qFormat/>
    <w:rPr>
      <w:rFonts w:ascii="仿宋_GB2312" w:eastAsia="仿宋_GB2312"/>
      <w:sz w:val="32"/>
    </w:rPr>
  </w:style>
  <w:style w:type="character" w:styleId="1388">
    <w:name w:val="style21"/>
    <w:next w:val="1388"/>
    <w:link w:val="1276"/>
    <w:qFormat/>
    <w:rPr>
      <w:sz w:val="18"/>
      <w:szCs w:val="18"/>
    </w:rPr>
  </w:style>
  <w:style w:type="character" w:styleId="1389">
    <w:name w:val="样式 样式 标题 3 + (中文) 黑体 Char + (中文) 宋体 小四 Char Char Char Char Char Char"/>
    <w:next w:val="1389"/>
    <w:link w:val="1276"/>
    <w:qFormat/>
    <w:rPr>
      <w:rFonts w:ascii="宋体" w:hAnsi="Courier New" w:eastAsia="宋体" w:cs="Courier New"/>
      <w:sz w:val="24"/>
      <w:szCs w:val="21"/>
      <w:lang w:val="en-US" w:eastAsia="zh-CN" w:bidi="ar-SA"/>
    </w:rPr>
  </w:style>
  <w:style w:type="character" w:styleId="1390">
    <w:name w:val="font31"/>
    <w:next w:val="1390"/>
    <w:link w:val="1276"/>
    <w:rPr>
      <w:rFonts w:ascii="Times New Roman" w:hAnsi="Times New Roman" w:cs="Times New Roman"/>
      <w:i w:val="0"/>
      <w:iCs w:val="0"/>
      <w:color w:val="000000"/>
      <w:sz w:val="21"/>
      <w:szCs w:val="21"/>
      <w:u w:val="none"/>
    </w:rPr>
  </w:style>
  <w:style w:type="character" w:styleId="1391">
    <w:name w:val="标题 1 Char"/>
    <w:next w:val="1391"/>
    <w:link w:val="1276"/>
    <w:qFormat/>
    <w:rPr>
      <w:rFonts w:ascii="宋体" w:hAnsi="Times New Roman" w:eastAsia="宋体" w:cs="Times New Roman"/>
      <w:b/>
      <w:bCs/>
      <w:sz w:val="44"/>
      <w:szCs w:val="44"/>
    </w:rPr>
  </w:style>
  <w:style w:type="character" w:styleId="1392">
    <w:name w:val="apple-converted-space"/>
    <w:next w:val="1392"/>
    <w:link w:val="1276"/>
    <w:qFormat/>
  </w:style>
  <w:style w:type="character" w:styleId="1393">
    <w:name w:val="fontstyle01"/>
    <w:next w:val="1393"/>
    <w:link w:val="1276"/>
    <w:rPr>
      <w:rFonts w:hint="eastAsia" w:ascii="宋体" w:hAnsi="宋体" w:eastAsia="宋体"/>
      <w:color w:val="000000"/>
      <w:sz w:val="24"/>
      <w:szCs w:val="24"/>
    </w:rPr>
  </w:style>
  <w:style w:type="character" w:styleId="1394">
    <w:name w:val="批注框文本 Char1"/>
    <w:next w:val="1394"/>
    <w:link w:val="1276"/>
    <w:uiPriority w:val="99"/>
    <w:semiHidden/>
    <w:qFormat/>
    <w:rPr>
      <w:sz w:val="18"/>
      <w:szCs w:val="18"/>
    </w:rPr>
  </w:style>
  <w:style w:type="character" w:styleId="1395">
    <w:name w:val="正文文本 (8)_"/>
    <w:next w:val="1395"/>
    <w:link w:val="1396"/>
    <w:qFormat/>
    <w:rPr>
      <w:rFonts w:ascii="Gulim" w:hAnsi="Gulim" w:eastAsia="Gulim" w:cs="Gulim"/>
      <w:b/>
      <w:sz w:val="15"/>
      <w:szCs w:val="15"/>
      <w:shd w:val="clear" w:color="auto" w:fill="ffffff"/>
      <w:lang w:eastAsia="en-US" w:bidi="en-US"/>
    </w:rPr>
  </w:style>
  <w:style w:type="paragraph" w:styleId="1396">
    <w:name w:val="正文文本 (8)"/>
    <w:basedOn w:val="1276"/>
    <w:next w:val="1396"/>
    <w:link w:val="1395"/>
    <w:qFormat/>
    <w:pPr>
      <w:jc w:val="left"/>
      <w:spacing w:line="0" w:lineRule="atLeast"/>
      <w:shd w:val="clear" w:color="auto" w:fill="ffffff"/>
    </w:pPr>
    <w:rPr>
      <w:rFonts w:ascii="Gulim" w:hAnsi="Gulim" w:eastAsia="Gulim" w:cs="Gulim"/>
      <w:b/>
      <w:sz w:val="15"/>
      <w:szCs w:val="15"/>
      <w:lang w:eastAsia="en-US" w:bidi="en-US"/>
    </w:rPr>
  </w:style>
  <w:style w:type="character" w:styleId="1397">
    <w:name w:val="标题 6 Char"/>
    <w:next w:val="1397"/>
    <w:link w:val="1276"/>
    <w:qFormat/>
    <w:rPr>
      <w:rFonts w:ascii="Arial" w:hAnsi="Arial" w:eastAsia="黑体"/>
      <w:b/>
      <w:bCs/>
      <w:sz w:val="24"/>
      <w:szCs w:val="24"/>
    </w:rPr>
  </w:style>
  <w:style w:type="character" w:styleId="1398">
    <w:name w:val="访问过的超链接1"/>
    <w:next w:val="1398"/>
    <w:link w:val="1276"/>
    <w:uiPriority w:val="99"/>
    <w:qFormat/>
    <w:rPr>
      <w:color w:val="333333"/>
      <w:u w:val="none"/>
    </w:rPr>
  </w:style>
  <w:style w:type="character" w:styleId="1399">
    <w:name w:val="标题 Char"/>
    <w:next w:val="1399"/>
    <w:link w:val="1276"/>
    <w:qFormat/>
    <w:rPr>
      <w:rFonts w:ascii="Cambria" w:hAnsi="Cambria" w:eastAsia="宋体" w:cs="Times New Roman"/>
      <w:b/>
      <w:bCs/>
      <w:sz w:val="32"/>
      <w:szCs w:val="32"/>
    </w:rPr>
  </w:style>
  <w:style w:type="character" w:styleId="1400">
    <w:name w:val="正文文本 (2) + Gulim"/>
    <w:next w:val="1400"/>
    <w:link w:val="1276"/>
    <w:qFormat/>
    <w:rPr>
      <w:rFonts w:ascii="Gulim" w:hAnsi="Gulim" w:eastAsia="Gulim" w:cs="Gulim"/>
      <w:b/>
      <w:color w:val="000000"/>
      <w:spacing w:val="0"/>
      <w:position w:val="0"/>
      <w:sz w:val="15"/>
      <w:szCs w:val="15"/>
      <w:u w:val="none"/>
      <w:lang w:val="en-US" w:eastAsia="en-US" w:bidi="en-US"/>
    </w:rPr>
  </w:style>
  <w:style w:type="character" w:styleId="1401">
    <w:name w:val="ask-title2"/>
    <w:next w:val="1401"/>
    <w:link w:val="1276"/>
    <w:qFormat/>
  </w:style>
  <w:style w:type="character" w:styleId="1402">
    <w:name w:val="样式 仿宋_GB2312 小四 加粗 黑色"/>
    <w:next w:val="1402"/>
    <w:link w:val="1276"/>
    <w:qFormat/>
    <w:rPr>
      <w:rFonts w:ascii="仿宋_GB2312" w:eastAsia="仿宋_GB2312"/>
      <w:b/>
      <w:bCs/>
      <w:color w:val="000000"/>
      <w:sz w:val="24"/>
      <w:szCs w:val="24"/>
      <w:lang w:val="en-US" w:eastAsia="zh-CN" w:bidi="ar-SA"/>
    </w:rPr>
  </w:style>
  <w:style w:type="character" w:styleId="1403">
    <w:name w:val="文档结构图 字符1"/>
    <w:next w:val="1403"/>
    <w:link w:val="1276"/>
    <w:qFormat/>
    <w:rPr>
      <w:rFonts w:ascii="Microsoft YaHei UI" w:eastAsia="Microsoft YaHei UI"/>
      <w:sz w:val="18"/>
      <w:szCs w:val="18"/>
    </w:rPr>
  </w:style>
  <w:style w:type="character" w:styleId="1404">
    <w:name w:val="正文文本缩进 Char1"/>
    <w:next w:val="1404"/>
    <w:link w:val="1276"/>
    <w:qFormat/>
    <w:rPr>
      <w:rFonts w:ascii="宋体"/>
      <w:sz w:val="24"/>
    </w:rPr>
  </w:style>
  <w:style w:type="character" w:styleId="1405">
    <w:name w:val="font01"/>
    <w:next w:val="1405"/>
    <w:link w:val="1276"/>
    <w:qFormat/>
    <w:rPr>
      <w:rFonts w:hint="eastAsia" w:ascii="宋体" w:hAnsi="宋体" w:eastAsia="宋体" w:cs="宋体"/>
      <w:color w:val="000000"/>
      <w:sz w:val="20"/>
      <w:szCs w:val="20"/>
      <w:u w:val="none"/>
    </w:rPr>
  </w:style>
  <w:style w:type="character" w:styleId="1406">
    <w:name w:val="news"/>
    <w:next w:val="1406"/>
    <w:link w:val="1276"/>
    <w:qFormat/>
    <w:rPr>
      <w:rFonts w:ascii="仿宋_GB2312" w:eastAsia="仿宋_GB2312"/>
      <w:sz w:val="24"/>
      <w:szCs w:val="24"/>
      <w:lang w:val="en-US" w:eastAsia="zh-CN" w:bidi="ar-SA"/>
    </w:rPr>
  </w:style>
  <w:style w:type="character" w:styleId="1407">
    <w:name w:val="列出段落 Char1"/>
    <w:next w:val="1407"/>
    <w:link w:val="1408"/>
    <w:qFormat/>
    <w:rPr>
      <w:rFonts w:ascii="Calibri" w:hAnsi="Calibri"/>
      <w:sz w:val="21"/>
      <w:szCs w:val="22"/>
    </w:rPr>
  </w:style>
  <w:style w:type="paragraph" w:styleId="1408">
    <w:name w:val="列出段落1"/>
    <w:basedOn w:val="1276"/>
    <w:next w:val="1408"/>
    <w:link w:val="1407"/>
    <w:qFormat/>
    <w:pPr>
      <w:ind w:firstLine="420"/>
    </w:pPr>
    <w:rPr>
      <w:rFonts w:ascii="Calibri" w:hAnsi="Calibri"/>
      <w:szCs w:val="22"/>
    </w:rPr>
  </w:style>
  <w:style w:type="character" w:styleId="1409">
    <w:name w:val="font211"/>
    <w:next w:val="1409"/>
    <w:link w:val="1276"/>
    <w:qFormat/>
    <w:rPr>
      <w:rFonts w:hint="eastAsia" w:ascii="新宋体" w:hAnsi="新宋体" w:eastAsia="新宋体" w:cs="新宋体"/>
      <w:color w:val="000000"/>
      <w:sz w:val="18"/>
      <w:szCs w:val="18"/>
      <w:u w:val="none"/>
    </w:rPr>
  </w:style>
  <w:style w:type="character" w:styleId="1410">
    <w:name w:val="apple-style-span"/>
    <w:next w:val="1410"/>
    <w:link w:val="1276"/>
    <w:qFormat/>
  </w:style>
  <w:style w:type="character" w:styleId="1411">
    <w:name w:val="HTML 预设格式 Char"/>
    <w:next w:val="1411"/>
    <w:link w:val="1276"/>
    <w:qFormat/>
    <w:rPr>
      <w:rFonts w:ascii="黑体" w:hAnsi="Courier New" w:eastAsia="黑体" w:cs="Courier New"/>
    </w:rPr>
  </w:style>
  <w:style w:type="character" w:styleId="1412">
    <w:name w:val="标准文本 Char"/>
    <w:next w:val="1412"/>
    <w:link w:val="1413"/>
    <w:qFormat/>
    <w:rPr>
      <w:rFonts w:ascii="宋体" w:hAnsi="宋体" w:eastAsia="宋体" w:cs="宋体"/>
      <w:sz w:val="21"/>
      <w:szCs w:val="21"/>
      <w:lang w:val="en-US" w:eastAsia="zh-CN" w:bidi="ar-SA"/>
    </w:rPr>
  </w:style>
  <w:style w:type="paragraph" w:styleId="1413">
    <w:name w:val="标准文本"/>
    <w:basedOn w:val="1276"/>
    <w:next w:val="1413"/>
    <w:link w:val="1412"/>
    <w:qFormat/>
    <w:pPr>
      <w:ind w:firstLine="420"/>
      <w:spacing w:line="300" w:lineRule="auto"/>
    </w:pPr>
    <w:rPr>
      <w:rFonts w:ascii="宋体" w:hAnsi="宋体" w:cs="宋体"/>
      <w:szCs w:val="21"/>
    </w:rPr>
  </w:style>
  <w:style w:type="character" w:styleId="1414">
    <w:name w:val="正文文本缩进 2 Char"/>
    <w:next w:val="1414"/>
    <w:link w:val="1276"/>
    <w:qFormat/>
    <w:rPr>
      <w:rFonts w:ascii="宋体"/>
      <w:sz w:val="21"/>
    </w:rPr>
  </w:style>
  <w:style w:type="character" w:styleId="1415">
    <w:name w:val="标题 Char1"/>
    <w:next w:val="1415"/>
    <w:link w:val="1276"/>
    <w:qFormat/>
    <w:rPr>
      <w:rFonts w:ascii="Cambria" w:hAnsi="Cambria" w:eastAsia="仿宋_GB2312" w:cs="Times New Roman"/>
      <w:b/>
      <w:bCs/>
      <w:sz w:val="32"/>
      <w:szCs w:val="32"/>
      <w:lang w:val="en-US" w:eastAsia="zh-CN" w:bidi="ar-SA"/>
    </w:rPr>
  </w:style>
  <w:style w:type="character" w:styleId="1416">
    <w:name w:val="正文文本缩进 3 Char"/>
    <w:next w:val="1416"/>
    <w:link w:val="1276"/>
    <w:qFormat/>
    <w:rPr>
      <w:rFonts w:eastAsia="华文新魏"/>
      <w:b/>
      <w:bCs/>
      <w:sz w:val="84"/>
    </w:rPr>
  </w:style>
  <w:style w:type="character" w:styleId="1417">
    <w:name w:val="font21"/>
    <w:next w:val="1417"/>
    <w:link w:val="1276"/>
    <w:qFormat/>
    <w:rPr>
      <w:rFonts w:hint="eastAsia" w:ascii="新宋体" w:hAnsi="新宋体" w:eastAsia="新宋体" w:cs="新宋体"/>
      <w:color w:val="000000"/>
      <w:sz w:val="18"/>
      <w:szCs w:val="18"/>
      <w:u w:val="none"/>
    </w:rPr>
  </w:style>
  <w:style w:type="character" w:styleId="1418">
    <w:name w:val="文档结构图 Char1"/>
    <w:next w:val="1418"/>
    <w:link w:val="1276"/>
    <w:qFormat/>
    <w:rPr>
      <w:rFonts w:ascii="宋体" w:eastAsia="仿宋_GB2312"/>
      <w:sz w:val="18"/>
      <w:szCs w:val="18"/>
    </w:rPr>
  </w:style>
  <w:style w:type="character" w:styleId="1419">
    <w:name w:val="页脚 Char"/>
    <w:next w:val="1419"/>
    <w:link w:val="1276"/>
    <w:uiPriority w:val="99"/>
    <w:qFormat/>
    <w:rPr>
      <w:rFonts w:ascii="宋体" w:hAnsi="Times New Roman" w:eastAsia="宋体" w:cs="Times New Roman"/>
      <w:sz w:val="18"/>
      <w:szCs w:val="18"/>
    </w:rPr>
  </w:style>
  <w:style w:type="character" w:styleId="1420">
    <w:name w:val="报告正文 Char"/>
    <w:next w:val="1420"/>
    <w:link w:val="1421"/>
    <w:qFormat/>
    <w:rPr>
      <w:rFonts w:eastAsia="仿宋_GB2312"/>
      <w:sz w:val="24"/>
      <w:szCs w:val="24"/>
    </w:rPr>
  </w:style>
  <w:style w:type="paragraph" w:styleId="1421">
    <w:name w:val="报告正文"/>
    <w:basedOn w:val="1276"/>
    <w:next w:val="1421"/>
    <w:link w:val="1420"/>
    <w:qFormat/>
    <w:pPr>
      <w:ind w:firstLine="480"/>
      <w:spacing w:line="360" w:lineRule="auto"/>
    </w:pPr>
    <w:rPr>
      <w:rFonts w:eastAsia="仿宋_GB2312"/>
      <w:sz w:val="24"/>
      <w:szCs w:val="24"/>
    </w:rPr>
  </w:style>
  <w:style w:type="character" w:styleId="1422">
    <w:name w:val="Char Char3"/>
    <w:next w:val="1422"/>
    <w:link w:val="1276"/>
    <w:qFormat/>
    <w:rPr>
      <w:rFonts w:ascii="宋体" w:hAnsi="宋体" w:eastAsia="宋体"/>
      <w:sz w:val="24"/>
      <w:szCs w:val="24"/>
      <w:lang w:val="en-US" w:eastAsia="zh-CN" w:bidi="ar-SA"/>
    </w:rPr>
  </w:style>
  <w:style w:type="character" w:styleId="1423">
    <w:name w:val="B正文 Char"/>
    <w:next w:val="1423"/>
    <w:link w:val="1424"/>
    <w:qFormat/>
    <w:rPr>
      <w:sz w:val="28"/>
      <w:szCs w:val="24"/>
    </w:rPr>
  </w:style>
  <w:style w:type="paragraph" w:styleId="1424">
    <w:name w:val="B正文"/>
    <w:basedOn w:val="1276"/>
    <w:next w:val="1424"/>
    <w:link w:val="1423"/>
    <w:qFormat/>
    <w:pPr>
      <w:ind w:firstLine="560"/>
      <w:spacing w:line="500" w:lineRule="exact"/>
    </w:pPr>
    <w:rPr>
      <w:sz w:val="28"/>
      <w:szCs w:val="24"/>
    </w:rPr>
  </w:style>
  <w:style w:type="character" w:styleId="1425">
    <w:name w:val="fontstyle11"/>
    <w:next w:val="1425"/>
    <w:link w:val="1276"/>
    <w:rPr>
      <w:rFonts w:ascii="Times New Roman" w:hAnsi="Times New Roman" w:cs="Times New Roman"/>
      <w:color w:val="000000"/>
      <w:sz w:val="24"/>
      <w:szCs w:val="24"/>
    </w:rPr>
  </w:style>
  <w:style w:type="character" w:styleId="1426">
    <w:name w:val="批注文字 Char"/>
    <w:next w:val="1426"/>
    <w:link w:val="1276"/>
    <w:qFormat/>
    <w:rPr>
      <w:sz w:val="21"/>
    </w:rPr>
  </w:style>
  <w:style w:type="character" w:styleId="1427">
    <w:name w:val="标题 3 Char Char Char Char Char Char Char Char Char"/>
    <w:next w:val="1427"/>
    <w:link w:val="1276"/>
    <w:qFormat/>
    <w:rPr>
      <w:rFonts w:eastAsia="宋体"/>
      <w:b/>
      <w:sz w:val="32"/>
      <w:lang w:val="en-US" w:eastAsia="zh-CN"/>
    </w:rPr>
  </w:style>
  <w:style w:type="character" w:styleId="1428">
    <w:name w:val="标题 5 Char"/>
    <w:next w:val="1428"/>
    <w:link w:val="1276"/>
    <w:qFormat/>
    <w:rPr>
      <w:rFonts w:ascii="宋体"/>
      <w:b/>
      <w:bCs/>
      <w:sz w:val="28"/>
      <w:szCs w:val="28"/>
    </w:rPr>
  </w:style>
  <w:style w:type="character" w:styleId="1429">
    <w:name w:val="纯文本 Char1"/>
    <w:next w:val="1429"/>
    <w:link w:val="1276"/>
    <w:qFormat/>
    <w:rPr>
      <w:rFonts w:ascii="宋体" w:hAnsi="Courier New" w:eastAsia="宋体" w:cs="Times New Roman"/>
      <w:sz w:val="21"/>
      <w:szCs w:val="20"/>
    </w:rPr>
  </w:style>
  <w:style w:type="character" w:styleId="1430">
    <w:name w:val="日期 Char"/>
    <w:next w:val="1430"/>
    <w:link w:val="1276"/>
    <w:qFormat/>
    <w:rPr>
      <w:rFonts w:ascii="宋体" w:hAnsi="Times New Roman" w:eastAsia="宋体" w:cs="Times New Roman"/>
      <w:sz w:val="20"/>
      <w:szCs w:val="20"/>
    </w:rPr>
  </w:style>
  <w:style w:type="character" w:styleId="1431">
    <w:name w:val="文档结构图 Char"/>
    <w:next w:val="1431"/>
    <w:link w:val="1276"/>
    <w:qFormat/>
    <w:rPr>
      <w:rFonts w:ascii="宋体" w:hAnsi="Times New Roman" w:eastAsia="宋体" w:cs="Times New Roman"/>
      <w:sz w:val="18"/>
      <w:szCs w:val="18"/>
    </w:rPr>
  </w:style>
  <w:style w:type="character" w:styleId="1432">
    <w:name w:val="标题 9 Char"/>
    <w:next w:val="1432"/>
    <w:link w:val="1276"/>
    <w:qFormat/>
    <w:rPr>
      <w:rFonts w:ascii="Arial" w:hAnsi="Arial" w:eastAsia="黑体"/>
      <w:sz w:val="21"/>
      <w:szCs w:val="21"/>
    </w:rPr>
  </w:style>
  <w:style w:type="character" w:styleId="1433">
    <w:name w:val="页脚 Char1"/>
    <w:next w:val="1433"/>
    <w:link w:val="1276"/>
    <w:uiPriority w:val="99"/>
    <w:qFormat/>
    <w:rPr>
      <w:sz w:val="18"/>
    </w:rPr>
  </w:style>
  <w:style w:type="character" w:styleId="1434">
    <w:name w:val="font241"/>
    <w:next w:val="1434"/>
    <w:link w:val="1276"/>
    <w:qFormat/>
    <w:rPr>
      <w:rFonts w:hint="eastAsia" w:ascii="宋体" w:hAnsi="宋体" w:eastAsia="宋体" w:cs="宋体"/>
      <w:color w:val="000000"/>
      <w:sz w:val="18"/>
      <w:szCs w:val="18"/>
      <w:u w:val="none"/>
    </w:rPr>
  </w:style>
  <w:style w:type="character" w:styleId="1435">
    <w:name w:val="副标题 Char"/>
    <w:next w:val="1435"/>
    <w:link w:val="1276"/>
    <w:qFormat/>
    <w:rPr>
      <w:rFonts w:ascii="Cambria" w:hAnsi="Cambria"/>
      <w:b/>
      <w:bCs/>
      <w:sz w:val="32"/>
      <w:szCs w:val="32"/>
    </w:rPr>
  </w:style>
  <w:style w:type="character" w:styleId="1436">
    <w:name w:val="标题 4 Char"/>
    <w:next w:val="1436"/>
    <w:link w:val="1276"/>
    <w:qFormat/>
    <w:rPr>
      <w:rFonts w:ascii="Cambria" w:hAnsi="Cambria" w:eastAsia="宋体" w:cs="Times New Roman"/>
      <w:b/>
      <w:bCs/>
      <w:sz w:val="28"/>
      <w:szCs w:val="28"/>
    </w:rPr>
  </w:style>
  <w:style w:type="character" w:styleId="1437">
    <w:name w:val="批注文字 字符1"/>
    <w:next w:val="1437"/>
    <w:link w:val="1276"/>
    <w:uiPriority w:val="99"/>
    <w:semiHidden/>
    <w:qFormat/>
    <w:rPr>
      <w:rFonts w:ascii="宋体" w:hAnsi="Times New Roman" w:eastAsia="宋体" w:cs="Times New Roman"/>
      <w:sz w:val="20"/>
      <w:szCs w:val="20"/>
    </w:rPr>
  </w:style>
  <w:style w:type="character" w:styleId="1438">
    <w:name w:val="标题 2 Char"/>
    <w:next w:val="1438"/>
    <w:link w:val="1276"/>
    <w:uiPriority w:val="9"/>
    <w:semiHidden/>
    <w:qFormat/>
    <w:rPr>
      <w:rFonts w:ascii="Cambria" w:hAnsi="Cambria" w:eastAsia="宋体" w:cs="Times New Roman"/>
      <w:b/>
      <w:bCs/>
      <w:sz w:val="32"/>
      <w:szCs w:val="32"/>
    </w:rPr>
  </w:style>
  <w:style w:type="character" w:styleId="1439">
    <w:name w:val="正文文本 Char"/>
    <w:next w:val="1439"/>
    <w:link w:val="1276"/>
    <w:qFormat/>
    <w:rPr>
      <w:rFonts w:ascii="宋体" w:eastAsia="宋体"/>
      <w:sz w:val="28"/>
      <w:lang w:val="en-US" w:eastAsia="zh-CN" w:bidi="ar-SA"/>
    </w:rPr>
  </w:style>
  <w:style w:type="character" w:styleId="1440">
    <w:name w:val="identication Char"/>
    <w:next w:val="1440"/>
    <w:link w:val="1276"/>
    <w:qFormat/>
    <w:rPr>
      <w:rFonts w:eastAsia="宋体"/>
      <w:sz w:val="21"/>
      <w:szCs w:val="24"/>
      <w:lang w:val="en-US" w:eastAsia="zh-CN" w:bidi="ar-SA"/>
    </w:rPr>
  </w:style>
  <w:style w:type="character" w:styleId="1441">
    <w:name w:val="纯文本 Char2"/>
    <w:next w:val="1441"/>
    <w:link w:val="1276"/>
    <w:qFormat/>
    <w:rPr>
      <w:rFonts w:ascii="宋体" w:hAnsi="Courier New" w:eastAsia="宋体"/>
      <w:sz w:val="21"/>
      <w:lang w:val="en-US" w:eastAsia="zh-CN" w:bidi="ar-SA"/>
    </w:rPr>
  </w:style>
  <w:style w:type="character" w:styleId="1442">
    <w:name w:val="font71"/>
    <w:next w:val="1442"/>
    <w:link w:val="1276"/>
    <w:qFormat/>
    <w:rPr>
      <w:rFonts w:hint="eastAsia" w:ascii="宋体" w:hAnsi="宋体" w:eastAsia="宋体" w:cs="宋体"/>
      <w:color w:val="000000"/>
      <w:sz w:val="18"/>
      <w:szCs w:val="18"/>
      <w:u w:val="none"/>
    </w:rPr>
  </w:style>
  <w:style w:type="character" w:styleId="1443">
    <w:name w:val="NormalCharacter1"/>
    <w:next w:val="1443"/>
    <w:link w:val="1276"/>
    <w:semiHidden/>
    <w:rPr>
      <w:sz w:val="21"/>
      <w:lang w:val="en-US" w:eastAsia="zh-CN" w:bidi="ar-SA"/>
    </w:rPr>
  </w:style>
  <w:style w:type="character" w:styleId="1444">
    <w:name w:val="表格标题 + SimSun"/>
    <w:next w:val="1444"/>
    <w:link w:val="1276"/>
    <w:qFormat/>
    <w:rPr>
      <w:rFonts w:ascii="宋体" w:hAnsi="宋体" w:eastAsia="宋体" w:cs="宋体"/>
      <w:b/>
      <w:color w:val="000000"/>
      <w:spacing w:val="0"/>
      <w:position w:val="0"/>
      <w:sz w:val="17"/>
      <w:szCs w:val="17"/>
      <w:shd w:val="clear" w:color="auto" w:fill="ffffff"/>
      <w:lang w:val="zh-CN" w:eastAsia="zh-CN" w:bidi="zh-CN"/>
    </w:rPr>
  </w:style>
  <w:style w:type="character" w:styleId="1445">
    <w:name w:val="正文缩进 Char"/>
    <w:next w:val="1445"/>
    <w:link w:val="1276"/>
    <w:qFormat/>
    <w:rPr>
      <w:b/>
      <w:sz w:val="24"/>
    </w:rPr>
  </w:style>
  <w:style w:type="character" w:styleId="1446">
    <w:name w:val="日期 Char1"/>
    <w:next w:val="1446"/>
    <w:link w:val="1276"/>
    <w:qFormat/>
    <w:rPr>
      <w:rFonts w:ascii="宋体"/>
      <w:sz w:val="21"/>
    </w:rPr>
  </w:style>
  <w:style w:type="paragraph" w:styleId="1447">
    <w:name w:val="yy目录"/>
    <w:basedOn w:val="1276"/>
    <w:next w:val="1447"/>
    <w:link w:val="1276"/>
    <w:qFormat/>
    <w:pPr>
      <w:spacing w:line="360" w:lineRule="auto"/>
    </w:pPr>
    <w:rPr>
      <w:rFonts w:ascii="楷体_GB2312"/>
      <w:bCs/>
      <w:sz w:val="28"/>
      <w:szCs w:val="72"/>
    </w:rPr>
  </w:style>
  <w:style w:type="paragraph" w:styleId="1448">
    <w:name w:val="xl84"/>
    <w:basedOn w:val="1276"/>
    <w:next w:val="1448"/>
    <w:link w:val="12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49">
    <w:name w:val="列表段落1"/>
    <w:basedOn w:val="1276"/>
    <w:next w:val="1449"/>
    <w:link w:val="1276"/>
    <w:uiPriority w:val="99"/>
    <w:qFormat/>
    <w:pPr>
      <w:ind w:firstLine="420"/>
    </w:pPr>
  </w:style>
  <w:style w:type="paragraph" w:styleId="1450">
    <w:name w:val="xl74"/>
    <w:basedOn w:val="1276"/>
    <w:next w:val="1450"/>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51">
    <w:name w:val="Char Char2 Char Char Char Char Char Char Char Char"/>
    <w:basedOn w:val="1276"/>
    <w:next w:val="1451"/>
    <w:link w:val="1276"/>
    <w:rPr>
      <w:rFonts w:ascii="Calibri" w:hAnsi="Calibri"/>
      <w:sz w:val="20"/>
    </w:rPr>
  </w:style>
  <w:style w:type="paragraph" w:styleId="1452">
    <w:name w:val="正文2"/>
    <w:basedOn w:val="1276"/>
    <w:next w:val="1452"/>
    <w:link w:val="1276"/>
    <w:qFormat/>
    <w:pPr>
      <w:ind w:firstLine="200"/>
      <w:jc w:val="left"/>
      <w:spacing w:after="160" w:line="360" w:lineRule="auto"/>
      <w:widowControl/>
    </w:pPr>
    <w:rPr>
      <w:rFonts w:ascii="Verdana" w:hAnsi="Verdana" w:eastAsia="黑体"/>
      <w:lang w:eastAsia="en-US"/>
    </w:rPr>
  </w:style>
  <w:style w:type="paragraph" w:styleId="1453">
    <w:name w:val="yy标题"/>
    <w:basedOn w:val="1447"/>
    <w:next w:val="1453"/>
    <w:link w:val="1276"/>
    <w:qFormat/>
    <w:rPr>
      <w:sz w:val="24"/>
    </w:rPr>
  </w:style>
  <w:style w:type="paragraph" w:styleId="1454">
    <w:name w:val="xl102"/>
    <w:basedOn w:val="1276"/>
    <w:next w:val="1454"/>
    <w:link w:val="127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55">
    <w:name w:val="BodyText1I1"/>
    <w:basedOn w:val="1456"/>
    <w:next w:val="1455"/>
    <w:link w:val="1276"/>
    <w:qFormat/>
    <w:pPr>
      <w:ind w:left="120" w:firstLine="420"/>
      <w:jc w:val="both"/>
      <w:spacing w:before="36"/>
    </w:pPr>
  </w:style>
  <w:style w:type="paragraph" w:styleId="1456">
    <w:name w:val="BodyText1"/>
    <w:basedOn w:val="1276"/>
    <w:next w:val="1276"/>
    <w:link w:val="1276"/>
    <w:qFormat/>
    <w:pPr>
      <w:ind w:left="120"/>
      <w:jc w:val="both"/>
      <w:spacing w:before="36"/>
    </w:pPr>
    <w:rPr>
      <w:rFonts w:ascii="宋体" w:hAnsi="宋体" w:eastAsia="宋体"/>
      <w:sz w:val="24"/>
      <w:szCs w:val="24"/>
      <w:lang w:val="en-US" w:eastAsia="zh-CN" w:bidi="ar-SA"/>
    </w:rPr>
  </w:style>
  <w:style w:type="paragraph" w:styleId="1457">
    <w:name w:val="格式1"/>
    <w:basedOn w:val="1276"/>
    <w:next w:val="1457"/>
    <w:link w:val="1276"/>
    <w:qFormat/>
    <w:pPr>
      <w:jc w:val="center"/>
    </w:pPr>
    <w:rPr>
      <w:rFonts w:ascii="黑体" w:hAnsi="宋体" w:eastAsia="黑体"/>
      <w:b/>
      <w:bCs/>
      <w:color w:val="000000"/>
      <w:sz w:val="32"/>
    </w:rPr>
  </w:style>
  <w:style w:type="paragraph" w:styleId="1458">
    <w:name w:val="flName"/>
    <w:basedOn w:val="1276"/>
    <w:next w:val="1458"/>
    <w:link w:val="1276"/>
    <w:qFormat/>
    <w:pPr>
      <w:jc w:val="center"/>
      <w:spacing w:before="320" w:after="160" w:line="360" w:lineRule="atLeast"/>
    </w:pPr>
    <w:rPr>
      <w:rFonts w:ascii="Arial" w:eastAsia="黑体"/>
      <w:sz w:val="32"/>
      <w:szCs w:val="24"/>
    </w:rPr>
  </w:style>
  <w:style w:type="paragraph" w:styleId="1459">
    <w:name w:val="彩色列表1"/>
    <w:basedOn w:val="1276"/>
    <w:next w:val="1459"/>
    <w:link w:val="1276"/>
    <w:qFormat/>
    <w:pPr>
      <w:ind w:firstLine="420"/>
    </w:pPr>
    <w:rPr>
      <w:rFonts w:ascii="Calibri" w:hAnsi="Calibri"/>
      <w:szCs w:val="22"/>
    </w:rPr>
  </w:style>
  <w:style w:type="paragraph" w:styleId="1460">
    <w:name w:val="标题9"/>
    <w:basedOn w:val="1284"/>
    <w:next w:val="1460"/>
    <w:link w:val="1276"/>
    <w:qFormat/>
    <w:pPr>
      <w:jc w:val="both"/>
      <w:keepLines w:val="0"/>
      <w:keepNext w:val="0"/>
      <w:spacing w:before="0" w:after="0" w:line="360" w:lineRule="auto"/>
      <w:tabs>
        <w:tab w:val="left" w:pos="0" w:leader="none"/>
      </w:tabs>
    </w:pPr>
    <w:rPr>
      <w:rFonts w:eastAsia="仿宋_GB2312"/>
      <w:sz w:val="30"/>
    </w:rPr>
  </w:style>
  <w:style w:type="paragraph" w:styleId="1461">
    <w:name w:val="xl73"/>
    <w:basedOn w:val="1276"/>
    <w:next w:val="1461"/>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62">
    <w:name w:val="yy标题3"/>
    <w:basedOn w:val="1463"/>
    <w:next w:val="1462"/>
    <w:link w:val="1276"/>
    <w:qFormat/>
  </w:style>
  <w:style w:type="paragraph" w:styleId="1463">
    <w:name w:val="yy标题2"/>
    <w:basedOn w:val="1447"/>
    <w:next w:val="1463"/>
    <w:link w:val="1276"/>
    <w:qFormat/>
    <w:rPr>
      <w:bCs w:val="0"/>
      <w:color w:val="000000"/>
      <w:sz w:val="24"/>
    </w:rPr>
  </w:style>
  <w:style w:type="paragraph" w:styleId="1464">
    <w:name w:val="标题1"/>
    <w:basedOn w:val="1276"/>
    <w:next w:val="1276"/>
    <w:link w:val="1276"/>
    <w:pPr>
      <w:jc w:val="center"/>
      <w:spacing w:line="700" w:lineRule="atLeast"/>
      <w:tabs>
        <w:tab w:val="left" w:pos="9193" w:leader="none"/>
        <w:tab w:val="left" w:pos="9827" w:leader="none"/>
      </w:tabs>
    </w:pPr>
    <w:rPr>
      <w:rFonts w:ascii="方正小标宋_GBK" w:eastAsia="方正小标宋_GBK"/>
      <w:sz w:val="44"/>
    </w:rPr>
  </w:style>
  <w:style w:type="paragraph" w:styleId="1465">
    <w:name w:val="首行缩进"/>
    <w:basedOn w:val="1276"/>
    <w:next w:val="1465"/>
    <w:link w:val="1276"/>
    <w:qFormat/>
    <w:pPr>
      <w:ind w:firstLine="420"/>
      <w:spacing w:line="360" w:lineRule="auto"/>
    </w:pPr>
  </w:style>
  <w:style w:type="paragraph" w:styleId="1466">
    <w:name w:val="Char1"/>
    <w:basedOn w:val="1276"/>
    <w:next w:val="1466"/>
    <w:link w:val="1276"/>
    <w:qFormat/>
    <w:pPr>
      <w:ind w:left="840" w:hanging="420"/>
      <w:tabs>
        <w:tab w:val="left" w:pos="840" w:leader="none"/>
      </w:tabs>
    </w:pPr>
    <w:rPr>
      <w:sz w:val="24"/>
      <w:szCs w:val="24"/>
    </w:rPr>
  </w:style>
  <w:style w:type="paragraph" w:styleId="1467">
    <w:name w:val="xl100"/>
    <w:basedOn w:val="1276"/>
    <w:next w:val="1467"/>
    <w:link w:val="127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68">
    <w:name w:val="三级条我的分类标题"/>
    <w:basedOn w:val="1276"/>
    <w:next w:val="1468"/>
    <w:link w:val="1276"/>
    <w:uiPriority w:val="99"/>
    <w:qFormat/>
    <w:pPr>
      <w:ind w:left="992" w:hanging="567"/>
    </w:pPr>
    <w:rPr>
      <w:rFonts w:ascii="黑体" w:hAnsi="黑体" w:eastAsia="黑体"/>
      <w:b/>
      <w:sz w:val="28"/>
      <w:szCs w:val="28"/>
    </w:rPr>
  </w:style>
  <w:style w:type="paragraph" w:styleId="1469">
    <w:name w:val="xl78"/>
    <w:basedOn w:val="1276"/>
    <w:next w:val="1469"/>
    <w:link w:val="12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70">
    <w:name w:val="_Style 1"/>
    <w:basedOn w:val="1276"/>
    <w:next w:val="1470"/>
    <w:link w:val="1276"/>
    <w:uiPriority w:val="99"/>
    <w:qFormat/>
    <w:pPr>
      <w:ind w:firstLine="420"/>
    </w:pPr>
    <w:rPr>
      <w:rFonts w:ascii="Calibri" w:hAnsi="Calibri"/>
      <w:szCs w:val="22"/>
    </w:rPr>
  </w:style>
  <w:style w:type="paragraph" w:styleId="1471">
    <w:name w:val="标题5"/>
    <w:basedOn w:val="1281"/>
    <w:next w:val="1471"/>
    <w:link w:val="1276"/>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72">
    <w:name w:val="xl68"/>
    <w:basedOn w:val="1276"/>
    <w:next w:val="1472"/>
    <w:link w:val="12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3">
    <w:name w:val="List Paragraph"/>
    <w:basedOn w:val="1276"/>
    <w:next w:val="1473"/>
    <w:link w:val="1276"/>
    <w:pPr>
      <w:ind w:firstLine="200"/>
      <w:jc w:val="left"/>
      <w:spacing w:line="300" w:lineRule="auto"/>
    </w:pPr>
    <w:rPr>
      <w:szCs w:val="22"/>
    </w:rPr>
  </w:style>
  <w:style w:type="paragraph" w:styleId="1474">
    <w:name w:val="xl82"/>
    <w:basedOn w:val="1276"/>
    <w:next w:val="1474"/>
    <w:link w:val="127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75">
    <w:name w:val="xl103"/>
    <w:basedOn w:val="1276"/>
    <w:next w:val="1475"/>
    <w:link w:val="12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76">
    <w:name w:val="font9"/>
    <w:basedOn w:val="1276"/>
    <w:next w:val="1476"/>
    <w:link w:val="1276"/>
    <w:qFormat/>
    <w:pPr>
      <w:jc w:val="left"/>
      <w:spacing w:before="100" w:beforeAutospacing="1" w:after="100" w:afterAutospacing="1"/>
      <w:widowControl/>
    </w:pPr>
    <w:rPr>
      <w:rFonts w:ascii="宋体" w:hAnsi="宋体" w:cs="宋体"/>
      <w:color w:val="000000"/>
      <w:szCs w:val="21"/>
    </w:rPr>
  </w:style>
  <w:style w:type="paragraph" w:styleId="1477">
    <w:name w:val="xl90"/>
    <w:basedOn w:val="1276"/>
    <w:next w:val="1477"/>
    <w:link w:val="12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78">
    <w:name w:val="列出段落11"/>
    <w:basedOn w:val="1276"/>
    <w:next w:val="1478"/>
    <w:link w:val="1276"/>
    <w:uiPriority w:val="34"/>
    <w:qFormat/>
    <w:pPr>
      <w:ind w:firstLine="420"/>
    </w:pPr>
    <w:rPr>
      <w:rFonts w:ascii="Calibri" w:hAnsi="Calibri"/>
      <w:szCs w:val="22"/>
    </w:rPr>
  </w:style>
  <w:style w:type="paragraph" w:styleId="1479">
    <w:name w:val="xl70"/>
    <w:basedOn w:val="1276"/>
    <w:next w:val="1479"/>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80">
    <w:name w:val="标题6"/>
    <w:basedOn w:val="1282"/>
    <w:next w:val="1480"/>
    <w:link w:val="1276"/>
    <w:qFormat/>
    <w:pPr>
      <w:jc w:val="both"/>
      <w:keepLines w:val="0"/>
      <w:keepNext w:val="0"/>
      <w:spacing w:before="0" w:after="0" w:line="360" w:lineRule="auto"/>
      <w:tabs>
        <w:tab w:val="left" w:pos="0" w:leader="none"/>
      </w:tabs>
    </w:pPr>
    <w:rPr>
      <w:rFonts w:eastAsia="仿宋_GB2312"/>
      <w:b w:val="0"/>
      <w:sz w:val="30"/>
    </w:rPr>
  </w:style>
  <w:style w:type="paragraph" w:styleId="1481">
    <w:name w:val="xl96"/>
    <w:basedOn w:val="1276"/>
    <w:next w:val="1481"/>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82">
    <w:name w:val="缺省文本"/>
    <w:basedOn w:val="1276"/>
    <w:next w:val="1482"/>
    <w:link w:val="1276"/>
    <w:qFormat/>
    <w:pPr>
      <w:ind w:firstLine="504"/>
      <w:jc w:val="left"/>
      <w:spacing w:before="20" w:after="20" w:line="400" w:lineRule="exact"/>
    </w:pPr>
    <w:rPr>
      <w:sz w:val="24"/>
    </w:rPr>
  </w:style>
  <w:style w:type="paragraph" w:styleId="1483">
    <w:name w:val="此正文"/>
    <w:basedOn w:val="1276"/>
    <w:next w:val="1483"/>
    <w:link w:val="1276"/>
    <w:qFormat/>
    <w:pPr>
      <w:ind w:firstLine="200"/>
      <w:spacing w:line="360" w:lineRule="auto"/>
    </w:pPr>
    <w:rPr>
      <w:sz w:val="24"/>
    </w:rPr>
  </w:style>
  <w:style w:type="paragraph" w:styleId="1484">
    <w:name w:val="节标题"/>
    <w:basedOn w:val="1276"/>
    <w:next w:val="1276"/>
    <w:link w:val="1276"/>
    <w:qFormat/>
    <w:pPr>
      <w:jc w:val="center"/>
      <w:spacing w:line="289" w:lineRule="atLeast"/>
    </w:pPr>
    <w:rPr>
      <w:sz w:val="28"/>
      <w:szCs w:val="24"/>
    </w:rPr>
  </w:style>
  <w:style w:type="paragraph" w:styleId="1485">
    <w:name w:val="p0"/>
    <w:basedOn w:val="1276"/>
    <w:next w:val="1485"/>
    <w:link w:val="1276"/>
    <w:qFormat/>
    <w:pPr>
      <w:jc w:val="left"/>
      <w:spacing w:before="100" w:beforeAutospacing="1" w:after="100" w:afterAutospacing="1"/>
      <w:widowControl/>
    </w:pPr>
    <w:rPr>
      <w:rFonts w:ascii="宋体" w:hAnsi="宋体" w:cs="宋体"/>
      <w:sz w:val="24"/>
      <w:szCs w:val="24"/>
    </w:rPr>
  </w:style>
  <w:style w:type="paragraph" w:styleId="1486">
    <w:name w:val="Char Char"/>
    <w:basedOn w:val="1276"/>
    <w:next w:val="1486"/>
    <w:link w:val="1276"/>
    <w:qFormat/>
    <w:pPr>
      <w:tabs>
        <w:tab w:val="left" w:pos="360" w:leader="none"/>
      </w:tabs>
    </w:pPr>
    <w:rPr>
      <w:sz w:val="24"/>
      <w:szCs w:val="24"/>
    </w:rPr>
  </w:style>
  <w:style w:type="paragraph" w:styleId="1487">
    <w:name w:val="xl71"/>
    <w:basedOn w:val="1276"/>
    <w:next w:val="1487"/>
    <w:link w:val="12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88">
    <w:name w:val="_Style 2"/>
    <w:basedOn w:val="1276"/>
    <w:next w:val="1488"/>
    <w:link w:val="1276"/>
    <w:uiPriority w:val="34"/>
    <w:qFormat/>
    <w:pPr>
      <w:ind w:firstLine="420"/>
    </w:pPr>
    <w:rPr>
      <w:szCs w:val="24"/>
    </w:rPr>
  </w:style>
  <w:style w:type="paragraph" w:styleId="1489">
    <w:name w:val="font5"/>
    <w:basedOn w:val="1276"/>
    <w:next w:val="1489"/>
    <w:link w:val="1276"/>
    <w:qFormat/>
    <w:pPr>
      <w:jc w:val="left"/>
      <w:spacing w:before="100" w:beforeAutospacing="1" w:after="100" w:afterAutospacing="1"/>
      <w:widowControl/>
    </w:pPr>
    <w:rPr>
      <w:color w:val="000000"/>
      <w:sz w:val="20"/>
    </w:rPr>
  </w:style>
  <w:style w:type="paragraph" w:styleId="1490">
    <w:name w:val="简单回函地址"/>
    <w:basedOn w:val="1276"/>
    <w:next w:val="1490"/>
    <w:link w:val="1276"/>
    <w:qFormat/>
    <w:rPr>
      <w:szCs w:val="24"/>
    </w:rPr>
  </w:style>
  <w:style w:type="paragraph" w:styleId="1491">
    <w:name w:val="BlockQuote1"/>
    <w:basedOn w:val="1276"/>
    <w:next w:val="1276"/>
    <w:link w:val="1276"/>
    <w:qFormat/>
    <w:pPr>
      <w:ind w:left="1440" w:right="1440"/>
      <w:jc w:val="both"/>
      <w:spacing w:after="120"/>
    </w:pPr>
  </w:style>
  <w:style w:type="paragraph" w:styleId="1492">
    <w:name w:val="xl93"/>
    <w:basedOn w:val="1276"/>
    <w:next w:val="1492"/>
    <w:link w:val="1276"/>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93">
    <w:name w:val="font8"/>
    <w:basedOn w:val="1276"/>
    <w:next w:val="1493"/>
    <w:link w:val="1276"/>
    <w:qFormat/>
    <w:pPr>
      <w:jc w:val="left"/>
      <w:spacing w:before="100" w:beforeAutospacing="1" w:after="100" w:afterAutospacing="1"/>
      <w:widowControl/>
    </w:pPr>
    <w:rPr>
      <w:rFonts w:ascii="宋体" w:hAnsi="宋体" w:cs="宋体"/>
      <w:b/>
      <w:bCs/>
      <w:color w:val="000000"/>
      <w:szCs w:val="21"/>
    </w:rPr>
  </w:style>
  <w:style w:type="paragraph" w:styleId="1494">
    <w:name w:val="Char Char Char Char Char Char Char"/>
    <w:basedOn w:val="1276"/>
    <w:next w:val="1494"/>
    <w:link w:val="1276"/>
    <w:semiHidden/>
    <w:qFormat/>
    <w:rPr>
      <w:rFonts w:ascii="Tahoma" w:hAnsi="Tahoma" w:cs="仿宋_GB2312"/>
      <w:sz w:val="24"/>
      <w:szCs w:val="28"/>
    </w:rPr>
  </w:style>
  <w:style w:type="paragraph" w:styleId="1495">
    <w:name w:val="xl72"/>
    <w:basedOn w:val="1276"/>
    <w:next w:val="1495"/>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96">
    <w:name w:val="a"/>
    <w:basedOn w:val="1276"/>
    <w:next w:val="1496"/>
    <w:link w:val="1276"/>
    <w:qFormat/>
    <w:pPr>
      <w:jc w:val="left"/>
      <w:spacing w:before="100" w:beforeAutospacing="1" w:after="100" w:afterAutospacing="1"/>
    </w:pPr>
    <w:rPr>
      <w:rFonts w:ascii="宋体" w:hAnsi="宋体" w:cs="宋体"/>
      <w:sz w:val="24"/>
      <w:szCs w:val="24"/>
    </w:rPr>
  </w:style>
  <w:style w:type="paragraph" w:styleId="1497">
    <w:name w:val="a0"/>
    <w:basedOn w:val="1276"/>
    <w:next w:val="1497"/>
    <w:link w:val="1276"/>
    <w:pPr>
      <w:jc w:val="left"/>
      <w:spacing w:before="100" w:beforeAutospacing="1" w:after="100" w:afterAutospacing="1"/>
      <w:widowControl/>
    </w:pPr>
    <w:rPr>
      <w:rFonts w:ascii="宋体" w:hAnsi="宋体" w:cs="宋体"/>
      <w:sz w:val="24"/>
      <w:szCs w:val="24"/>
    </w:rPr>
  </w:style>
  <w:style w:type="paragraph" w:styleId="1498">
    <w:name w:val="默认段落字体 Para Char Char Char Char Char Char Char"/>
    <w:basedOn w:val="1276"/>
    <w:next w:val="1498"/>
    <w:link w:val="1276"/>
    <w:qFormat/>
    <w:pPr>
      <w:spacing w:line="360" w:lineRule="auto"/>
    </w:pPr>
    <w:rPr>
      <w:rFonts w:ascii="Arial" w:hAnsi="Arial" w:eastAsia="黑体" w:cs="Verdana"/>
      <w:b/>
      <w:sz w:val="30"/>
      <w:szCs w:val="24"/>
      <w:lang w:eastAsia="en-US"/>
    </w:rPr>
  </w:style>
  <w:style w:type="paragraph" w:styleId="1499">
    <w:name w:val="修订1"/>
    <w:next w:val="1499"/>
    <w:link w:val="1276"/>
    <w:uiPriority w:val="99"/>
    <w:unhideWhenUsed/>
    <w:qFormat/>
    <w:rPr>
      <w:sz w:val="21"/>
      <w:lang w:val="en-US" w:eastAsia="zh-CN" w:bidi="ar-SA"/>
    </w:rPr>
  </w:style>
  <w:style w:type="paragraph" w:styleId="1500">
    <w:name w:val="xl65"/>
    <w:basedOn w:val="1276"/>
    <w:next w:val="1500"/>
    <w:link w:val="12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01">
    <w:name w:val="xl105"/>
    <w:basedOn w:val="1276"/>
    <w:next w:val="1501"/>
    <w:link w:val="1276"/>
    <w:qFormat/>
    <w:pPr>
      <w:jc w:val="left"/>
      <w:spacing w:before="100" w:beforeAutospacing="1" w:after="100" w:afterAutospacing="1"/>
      <w:widowControl/>
    </w:pPr>
    <w:rPr>
      <w:rFonts w:ascii="宋体" w:hAnsi="宋体" w:cs="宋体"/>
      <w:sz w:val="20"/>
    </w:rPr>
  </w:style>
  <w:style w:type="paragraph" w:styleId="1502">
    <w:name w:val="xl69"/>
    <w:basedOn w:val="1276"/>
    <w:next w:val="1502"/>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3">
    <w:name w:val="列出段落3"/>
    <w:basedOn w:val="1276"/>
    <w:next w:val="1503"/>
    <w:link w:val="1276"/>
    <w:qFormat/>
    <w:pPr>
      <w:ind w:firstLine="420"/>
    </w:pPr>
    <w:rPr>
      <w:rFonts w:ascii="Calibri" w:hAnsi="Calibri"/>
      <w:szCs w:val="22"/>
    </w:rPr>
  </w:style>
  <w:style w:type="paragraph" w:styleId="1504">
    <w:name w:val="Char"/>
    <w:basedOn w:val="1276"/>
    <w:next w:val="1504"/>
    <w:link w:val="1276"/>
    <w:qFormat/>
    <w:pPr>
      <w:tabs>
        <w:tab w:val="left" w:pos="360" w:leader="none"/>
      </w:tabs>
    </w:pPr>
    <w:rPr>
      <w:rFonts w:ascii="仿宋_GB2312" w:eastAsia="仿宋_GB2312"/>
      <w:b/>
      <w:sz w:val="24"/>
      <w:szCs w:val="24"/>
    </w:rPr>
  </w:style>
  <w:style w:type="paragraph" w:styleId="1505">
    <w:name w:val="标题4"/>
    <w:basedOn w:val="1280"/>
    <w:next w:val="1505"/>
    <w:link w:val="1276"/>
    <w:qFormat/>
    <w:pPr>
      <w:keepLines w:val="0"/>
      <w:keepNext w:val="0"/>
      <w:spacing w:before="0" w:after="0" w:line="360" w:lineRule="auto"/>
      <w:tabs>
        <w:tab w:val="left" w:pos="0" w:leader="none"/>
      </w:tabs>
    </w:pPr>
    <w:rPr>
      <w:rFonts w:eastAsia="仿宋_GB2312"/>
      <w:b w:val="0"/>
      <w:sz w:val="30"/>
      <w:szCs w:val="30"/>
    </w:rPr>
  </w:style>
  <w:style w:type="paragraph" w:styleId="1506">
    <w:name w:val="华宇段落1"/>
    <w:basedOn w:val="1276"/>
    <w:next w:val="1506"/>
    <w:link w:val="1276"/>
    <w:pPr>
      <w:ind w:left="-19" w:firstLine="480"/>
      <w:spacing w:line="360" w:lineRule="auto"/>
    </w:pPr>
    <w:rPr>
      <w:bCs/>
      <w:sz w:val="24"/>
      <w:szCs w:val="24"/>
    </w:rPr>
  </w:style>
  <w:style w:type="paragraph" w:styleId="1507">
    <w:name w:val="xl95"/>
    <w:basedOn w:val="1276"/>
    <w:next w:val="1507"/>
    <w:link w:val="1276"/>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08">
    <w:name w:val="Char Char2 Char"/>
    <w:basedOn w:val="1276"/>
    <w:next w:val="1508"/>
    <w:link w:val="1276"/>
    <w:qFormat/>
    <w:pPr>
      <w:ind w:left="390" w:hanging="390"/>
      <w:keepLines/>
      <w:keepNext/>
      <w:pageBreakBefore/>
      <w:tabs>
        <w:tab w:val="left" w:pos="390" w:leader="none"/>
      </w:tabs>
    </w:pPr>
    <w:rPr>
      <w:szCs w:val="24"/>
    </w:rPr>
  </w:style>
  <w:style w:type="paragraph" w:styleId="1509">
    <w:name w:val="！正文"/>
    <w:basedOn w:val="1276"/>
    <w:next w:val="1509"/>
    <w:link w:val="1276"/>
    <w:qFormat/>
    <w:pPr>
      <w:ind w:firstLine="200"/>
      <w:spacing w:line="360" w:lineRule="auto"/>
    </w:pPr>
    <w:rPr>
      <w:rFonts w:ascii="楷体_GB2312" w:hAnsi="楷体_GB2312" w:eastAsia="楷体_GB2312"/>
      <w:sz w:val="24"/>
      <w:szCs w:val="20"/>
    </w:rPr>
  </w:style>
  <w:style w:type="paragraph" w:styleId="1510">
    <w:name w:val="xl76"/>
    <w:basedOn w:val="1276"/>
    <w:next w:val="1510"/>
    <w:link w:val="12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11">
    <w:name w:val="xl94"/>
    <w:basedOn w:val="1276"/>
    <w:next w:val="1511"/>
    <w:link w:val="1276"/>
    <w:qFormat/>
    <w:pPr>
      <w:jc w:val="center"/>
      <w:spacing w:before="100" w:beforeAutospacing="1" w:after="100" w:afterAutospacing="1"/>
      <w:widowControl/>
      <w:pBdr>
        <w:left w:val="single" w:color="000000" w:sz="4" w:space="0"/>
        <w:right w:val="single" w:color="000000" w:sz="4" w:space="0"/>
      </w:pBdr>
    </w:pPr>
    <w:rPr>
      <w:szCs w:val="21"/>
    </w:rPr>
  </w:style>
  <w:style w:type="paragraph" w:styleId="1512">
    <w:name w:val="Default"/>
    <w:next w:val="1512"/>
    <w:link w:val="1276"/>
    <w:qFormat/>
    <w:pPr>
      <w:widowControl w:val="off"/>
    </w:pPr>
    <w:rPr>
      <w:rFonts w:ascii="微软雅黑" w:eastAsia="微软雅黑" w:cs="微软雅黑"/>
      <w:color w:val="000000"/>
      <w:sz w:val="24"/>
      <w:szCs w:val="24"/>
      <w:lang w:val="en-US" w:eastAsia="zh-CN" w:bidi="ar-SA"/>
    </w:rPr>
  </w:style>
  <w:style w:type="paragraph" w:styleId="1513">
    <w:name w:val="xl80"/>
    <w:basedOn w:val="1276"/>
    <w:next w:val="1513"/>
    <w:link w:val="1276"/>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14">
    <w:name w:val="xl85"/>
    <w:basedOn w:val="1276"/>
    <w:next w:val="1514"/>
    <w:link w:val="1276"/>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15">
    <w:name w:val="xl111"/>
    <w:basedOn w:val="1276"/>
    <w:next w:val="1515"/>
    <w:link w:val="1276"/>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16">
    <w:name w:val="文档正文"/>
    <w:basedOn w:val="1276"/>
    <w:next w:val="1516"/>
    <w:link w:val="1276"/>
    <w:unhideWhenUsed/>
    <w:qFormat/>
    <w:pPr>
      <w:ind w:firstLine="482"/>
      <w:jc w:val="left"/>
      <w:spacing w:before="60" w:after="60" w:line="360" w:lineRule="auto"/>
      <w:widowControl/>
    </w:pPr>
    <w:rPr>
      <w:rFonts w:ascii="Times New Roman" w:hAnsi="Times New Roman"/>
      <w:sz w:val="24"/>
      <w:szCs w:val="20"/>
    </w:rPr>
  </w:style>
  <w:style w:type="paragraph" w:styleId="1517">
    <w:name w:val="xl101"/>
    <w:basedOn w:val="1276"/>
    <w:next w:val="1517"/>
    <w:link w:val="12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18">
    <w:name w:val="xl109"/>
    <w:basedOn w:val="1276"/>
    <w:next w:val="1518"/>
    <w:link w:val="127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19">
    <w:name w:val="xl97"/>
    <w:basedOn w:val="1276"/>
    <w:next w:val="1519"/>
    <w:link w:val="1276"/>
    <w:qFormat/>
    <w:pPr>
      <w:jc w:val="left"/>
      <w:spacing w:before="100" w:beforeAutospacing="1" w:after="100" w:afterAutospacing="1"/>
      <w:widowControl/>
    </w:pPr>
    <w:rPr>
      <w:rFonts w:ascii="宋体" w:hAnsi="宋体" w:cs="宋体"/>
      <w:szCs w:val="21"/>
    </w:rPr>
  </w:style>
  <w:style w:type="paragraph" w:styleId="1520">
    <w:name w:val="xl104"/>
    <w:basedOn w:val="1276"/>
    <w:next w:val="1520"/>
    <w:link w:val="1276"/>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21">
    <w:name w:val="xl108"/>
    <w:basedOn w:val="1276"/>
    <w:next w:val="1521"/>
    <w:link w:val="127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name w:val="xl88"/>
    <w:basedOn w:val="1276"/>
    <w:next w:val="1522"/>
    <w:link w:val="1276"/>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23">
    <w:name w:val="默认段落字体 Para Char Char Char Char"/>
    <w:basedOn w:val="1276"/>
    <w:next w:val="1523"/>
    <w:link w:val="1276"/>
    <w:qFormat/>
  </w:style>
  <w:style w:type="paragraph" w:styleId="1524">
    <w:name w:val="font12"/>
    <w:basedOn w:val="1276"/>
    <w:next w:val="1524"/>
    <w:link w:val="1276"/>
    <w:qFormat/>
    <w:pPr>
      <w:jc w:val="left"/>
      <w:spacing w:before="100" w:beforeAutospacing="1" w:after="100" w:afterAutospacing="1"/>
      <w:widowControl/>
    </w:pPr>
    <w:rPr>
      <w:rFonts w:ascii="宋体" w:hAnsi="宋体" w:cs="宋体"/>
      <w:color w:val="000000"/>
      <w:sz w:val="20"/>
    </w:rPr>
  </w:style>
  <w:style w:type="paragraph" w:styleId="1525">
    <w:name w:val="_Style 53"/>
    <w:next w:val="1276"/>
    <w:link w:val="1276"/>
    <w:uiPriority w:val="99"/>
    <w:unhideWhenUsed/>
    <w:qFormat/>
    <w:pPr>
      <w:widowControl w:val="off"/>
    </w:pPr>
    <w:rPr>
      <w:rFonts w:ascii="宋体"/>
      <w:lang w:val="en-US" w:eastAsia="zh-CN" w:bidi="ar-SA"/>
    </w:rPr>
  </w:style>
  <w:style w:type="paragraph" w:styleId="1526">
    <w:name w:val="xl75"/>
    <w:basedOn w:val="1276"/>
    <w:next w:val="1526"/>
    <w:link w:val="12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27">
    <w:name w:val="TOC 标题1"/>
    <w:basedOn w:val="1277"/>
    <w:next w:val="1276"/>
    <w:link w:val="1276"/>
    <w:uiPriority w:val="39"/>
    <w:qFormat/>
    <w:pPr>
      <w:jc w:val="left"/>
      <w:keepLines/>
      <w:spacing w:before="480" w:line="276" w:lineRule="auto"/>
      <w:widowControl/>
      <w:outlineLvl w:val="9"/>
    </w:pPr>
    <w:rPr>
      <w:rFonts w:ascii="Cambria" w:hAnsi="Cambria"/>
      <w:b/>
      <w:bCs/>
      <w:color w:val="365f91"/>
      <w:szCs w:val="28"/>
    </w:rPr>
  </w:style>
  <w:style w:type="paragraph" w:styleId="1528">
    <w:name w:val="xl81"/>
    <w:basedOn w:val="1276"/>
    <w:next w:val="1528"/>
    <w:link w:val="1276"/>
    <w:qFormat/>
    <w:pPr>
      <w:jc w:val="left"/>
      <w:spacing w:before="100" w:beforeAutospacing="1" w:after="100" w:afterAutospacing="1"/>
      <w:widowControl/>
      <w:pBdr>
        <w:left w:val="single" w:color="000000" w:sz="4" w:space="0"/>
        <w:right w:val="single" w:color="000000" w:sz="4" w:space="0"/>
      </w:pBdr>
    </w:pPr>
    <w:rPr>
      <w:sz w:val="20"/>
    </w:rPr>
  </w:style>
  <w:style w:type="paragraph" w:styleId="1529">
    <w:name w:val="Char Char Char"/>
    <w:basedOn w:val="1276"/>
    <w:next w:val="1529"/>
    <w:link w:val="1276"/>
    <w:qFormat/>
    <w:pPr>
      <w:jc w:val="center"/>
      <w:spacing w:line="400" w:lineRule="exact"/>
      <w:widowControl/>
    </w:pPr>
    <w:rPr>
      <w:szCs w:val="24"/>
    </w:rPr>
  </w:style>
  <w:style w:type="paragraph" w:styleId="1530">
    <w:name w:val="xl92"/>
    <w:basedOn w:val="1276"/>
    <w:next w:val="1530"/>
    <w:link w:val="127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31">
    <w:name w:val="font14"/>
    <w:basedOn w:val="1276"/>
    <w:next w:val="1531"/>
    <w:link w:val="1276"/>
    <w:qFormat/>
    <w:pPr>
      <w:jc w:val="left"/>
      <w:spacing w:before="100" w:beforeAutospacing="1" w:after="100" w:afterAutospacing="1"/>
      <w:widowControl/>
    </w:pPr>
    <w:rPr>
      <w:rFonts w:ascii="宋体" w:hAnsi="宋体" w:cs="宋体"/>
      <w:color w:val="000000"/>
      <w:szCs w:val="21"/>
    </w:rPr>
  </w:style>
  <w:style w:type="paragraph" w:styleId="1532">
    <w:name w:val="普通正文"/>
    <w:basedOn w:val="1276"/>
    <w:next w:val="1532"/>
    <w:link w:val="1276"/>
    <w:pPr>
      <w:ind w:firstLine="480"/>
      <w:jc w:val="left"/>
      <w:spacing w:before="120" w:after="120" w:line="360" w:lineRule="auto"/>
    </w:pPr>
    <w:rPr>
      <w:rFonts w:ascii="Arial" w:hAnsi="Arial"/>
      <w:sz w:val="24"/>
      <w:szCs w:val="24"/>
    </w:rPr>
  </w:style>
  <w:style w:type="paragraph" w:styleId="1533">
    <w:name w:val="_Style 231"/>
    <w:next w:val="1533"/>
    <w:link w:val="1276"/>
    <w:uiPriority w:val="99"/>
    <w:qFormat/>
    <w:pPr>
      <w:jc w:val="both"/>
      <w:widowControl w:val="off"/>
    </w:pPr>
    <w:rPr>
      <w:sz w:val="21"/>
      <w:lang w:val="en-US" w:eastAsia="zh-CN" w:bidi="ar-SA"/>
    </w:rPr>
  </w:style>
  <w:style w:type="paragraph" w:styleId="1534">
    <w:name w:val="xl107"/>
    <w:basedOn w:val="1276"/>
    <w:next w:val="1534"/>
    <w:link w:val="1276"/>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35">
    <w:name w:val="标题3"/>
    <w:basedOn w:val="1279"/>
    <w:next w:val="1535"/>
    <w:link w:val="1276"/>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36">
    <w:name w:val="yy正文"/>
    <w:basedOn w:val="1447"/>
    <w:next w:val="1536"/>
    <w:link w:val="1276"/>
    <w:qFormat/>
    <w:pPr>
      <w:spacing w:line="300" w:lineRule="auto"/>
    </w:pPr>
    <w:rPr>
      <w:sz w:val="21"/>
    </w:rPr>
  </w:style>
  <w:style w:type="paragraph" w:styleId="1537">
    <w:name w:val="xl112"/>
    <w:basedOn w:val="1276"/>
    <w:next w:val="1537"/>
    <w:link w:val="1276"/>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38">
    <w:name w:val="font13"/>
    <w:basedOn w:val="1276"/>
    <w:next w:val="1538"/>
    <w:link w:val="1276"/>
    <w:qFormat/>
    <w:pPr>
      <w:jc w:val="left"/>
      <w:spacing w:before="100" w:beforeAutospacing="1" w:after="100" w:afterAutospacing="1"/>
      <w:widowControl/>
    </w:pPr>
    <w:rPr>
      <w:rFonts w:ascii="宋体" w:hAnsi="宋体" w:cs="宋体"/>
      <w:sz w:val="18"/>
      <w:szCs w:val="18"/>
    </w:rPr>
  </w:style>
  <w:style w:type="paragraph" w:styleId="1539">
    <w:name w:val="样式 样式 标题1 + 行距: 单倍行距 + 段前: 7.8 磅 段后: 7.8 磅"/>
    <w:basedOn w:val="1276"/>
    <w:next w:val="1539"/>
    <w:link w:val="1276"/>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40">
    <w:name w:val="List Paragraph_6047463f-bb80-4385-aee3-52b96e9a95d3"/>
    <w:basedOn w:val="1276"/>
    <w:next w:val="1540"/>
    <w:link w:val="1276"/>
    <w:uiPriority w:val="99"/>
    <w:qFormat/>
    <w:pPr>
      <w:ind w:firstLine="420"/>
    </w:pPr>
  </w:style>
  <w:style w:type="paragraph" w:styleId="1541">
    <w:name w:val="Char Char Char Char Char Char Char1"/>
    <w:basedOn w:val="1276"/>
    <w:next w:val="1541"/>
    <w:link w:val="1276"/>
    <w:qFormat/>
    <w:pPr>
      <w:ind w:left="432" w:hanging="432"/>
      <w:jc w:val="center"/>
      <w:tabs>
        <w:tab w:val="left" w:pos="432" w:leader="none"/>
      </w:tabs>
    </w:pPr>
    <w:rPr>
      <w:rFonts w:ascii="仿宋_GB2312" w:hAnsi="Tahoma" w:eastAsia="仿宋_GB2312"/>
      <w:sz w:val="24"/>
      <w:szCs w:val="24"/>
    </w:rPr>
  </w:style>
  <w:style w:type="paragraph" w:styleId="1542">
    <w:name w:val="xl83"/>
    <w:basedOn w:val="1276"/>
    <w:next w:val="1542"/>
    <w:link w:val="1276"/>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43">
    <w:name w:val="font7"/>
    <w:basedOn w:val="1276"/>
    <w:next w:val="1543"/>
    <w:link w:val="1276"/>
    <w:qFormat/>
    <w:pPr>
      <w:jc w:val="left"/>
      <w:spacing w:before="100" w:beforeAutospacing="1" w:after="100" w:afterAutospacing="1"/>
      <w:widowControl/>
    </w:pPr>
    <w:rPr>
      <w:b/>
      <w:bCs/>
      <w:color w:val="000000"/>
      <w:szCs w:val="21"/>
    </w:rPr>
  </w:style>
  <w:style w:type="paragraph" w:styleId="1544">
    <w:name w:val="yy一级标题"/>
    <w:basedOn w:val="1276"/>
    <w:next w:val="1544"/>
    <w:link w:val="1276"/>
    <w:qFormat/>
    <w:rPr>
      <w:rFonts w:ascii="宋体" w:hAnsi="宋体"/>
      <w:sz w:val="24"/>
      <w:szCs w:val="24"/>
    </w:rPr>
  </w:style>
  <w:style w:type="paragraph" w:styleId="1545">
    <w:name w:val="中等深浅网格 1 - 着色 21"/>
    <w:basedOn w:val="1276"/>
    <w:next w:val="1545"/>
    <w:link w:val="1276"/>
    <w:uiPriority w:val="99"/>
    <w:qFormat/>
    <w:pPr>
      <w:ind w:firstLine="420"/>
      <w:jc w:val="left"/>
      <w:spacing w:line="300" w:lineRule="auto"/>
    </w:pPr>
    <w:rPr>
      <w:szCs w:val="22"/>
    </w:rPr>
  </w:style>
  <w:style w:type="paragraph" w:styleId="1546">
    <w:name w:val="列出段落5"/>
    <w:basedOn w:val="1276"/>
    <w:next w:val="1546"/>
    <w:link w:val="1276"/>
    <w:uiPriority w:val="99"/>
    <w:unhideWhenUsed/>
    <w:qFormat/>
    <w:pPr>
      <w:ind w:firstLine="420"/>
    </w:pPr>
  </w:style>
  <w:style w:type="paragraph" w:styleId="1547">
    <w:name w:val="xl106"/>
    <w:basedOn w:val="1276"/>
    <w:next w:val="1547"/>
    <w:link w:val="1276"/>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48">
    <w:name w:val="font10"/>
    <w:basedOn w:val="1276"/>
    <w:next w:val="1548"/>
    <w:link w:val="1276"/>
    <w:qFormat/>
    <w:pPr>
      <w:jc w:val="left"/>
      <w:spacing w:before="100" w:beforeAutospacing="1" w:after="100" w:afterAutospacing="1"/>
      <w:widowControl/>
    </w:pPr>
    <w:rPr>
      <w:rFonts w:ascii="宋体" w:hAnsi="宋体" w:cs="宋体"/>
      <w:color w:val="000000"/>
      <w:sz w:val="22"/>
      <w:szCs w:val="22"/>
    </w:rPr>
  </w:style>
  <w:style w:type="paragraph" w:styleId="1549">
    <w:name w:val="正文宋体4"/>
    <w:basedOn w:val="1276"/>
    <w:next w:val="1549"/>
    <w:link w:val="1276"/>
    <w:qFormat/>
    <w:pPr>
      <w:ind w:firstLine="359"/>
      <w:tabs>
        <w:tab w:val="left" w:pos="0" w:leader="none"/>
      </w:tabs>
    </w:pPr>
    <w:rPr>
      <w:rFonts w:ascii="仿宋_GB2312" w:eastAsia="仿宋_GB2312"/>
      <w:b/>
      <w:color w:val="000000"/>
      <w:sz w:val="24"/>
      <w:szCs w:val="24"/>
    </w:rPr>
  </w:style>
  <w:style w:type="paragraph" w:styleId="1550">
    <w:name w:val="xl66"/>
    <w:basedOn w:val="1276"/>
    <w:next w:val="1550"/>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51">
    <w:name w:val="样式 首行缩进:  2 字符"/>
    <w:basedOn w:val="1276"/>
    <w:next w:val="1551"/>
    <w:link w:val="1276"/>
    <w:qFormat/>
    <w:pPr>
      <w:ind w:firstLine="200"/>
      <w:spacing w:line="400" w:lineRule="exact"/>
    </w:pPr>
    <w:rPr>
      <w:rFonts w:cs="宋体"/>
      <w:sz w:val="24"/>
      <w:szCs w:val="24"/>
    </w:rPr>
  </w:style>
  <w:style w:type="paragraph" w:styleId="1552">
    <w:name w:val="标题2"/>
    <w:basedOn w:val="1278"/>
    <w:next w:val="1552"/>
    <w:link w:val="1276"/>
    <w:qFormat/>
    <w:pPr>
      <w:keepLines w:val="0"/>
      <w:keepNext w:val="0"/>
      <w:spacing w:before="0" w:after="0" w:line="360" w:lineRule="auto"/>
      <w:tabs>
        <w:tab w:val="left" w:pos="0" w:leader="none"/>
      </w:tabs>
    </w:pPr>
    <w:rPr>
      <w:rFonts w:eastAsia="仿宋_GB2312"/>
      <w:b w:val="0"/>
      <w:sz w:val="30"/>
    </w:rPr>
  </w:style>
  <w:style w:type="paragraph" w:styleId="1553">
    <w:name w:val="font6"/>
    <w:basedOn w:val="1276"/>
    <w:next w:val="1553"/>
    <w:link w:val="1276"/>
    <w:qFormat/>
    <w:pPr>
      <w:jc w:val="left"/>
      <w:spacing w:before="100" w:beforeAutospacing="1" w:after="100" w:afterAutospacing="1"/>
      <w:widowControl/>
    </w:pPr>
    <w:rPr>
      <w:color w:val="000000"/>
      <w:szCs w:val="21"/>
    </w:rPr>
  </w:style>
  <w:style w:type="paragraph" w:styleId="1554">
    <w:name w:val="xl87"/>
    <w:basedOn w:val="1276"/>
    <w:next w:val="1554"/>
    <w:link w:val="1276"/>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55">
    <w:name w:val="列出段落4"/>
    <w:basedOn w:val="1276"/>
    <w:next w:val="1555"/>
    <w:link w:val="1276"/>
    <w:uiPriority w:val="34"/>
    <w:qFormat/>
    <w:pPr>
      <w:ind w:firstLine="420"/>
    </w:pPr>
  </w:style>
  <w:style w:type="paragraph" w:styleId="1556">
    <w:name w:val="xl67"/>
    <w:basedOn w:val="1276"/>
    <w:next w:val="1556"/>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57">
    <w:name w:val="xl79"/>
    <w:basedOn w:val="1276"/>
    <w:next w:val="1557"/>
    <w:link w:val="1276"/>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58">
    <w:name w:val="三级条带序号我的标题"/>
    <w:basedOn w:val="1276"/>
    <w:next w:val="1558"/>
    <w:link w:val="1276"/>
    <w:uiPriority w:val="99"/>
    <w:qFormat/>
    <w:pPr>
      <w:ind w:left="420" w:hanging="420"/>
      <w:outlineLvl w:val="2"/>
    </w:pPr>
    <w:rPr>
      <w:rFonts w:ascii="黑体" w:hAnsi="黑体" w:eastAsia="黑体"/>
      <w:b/>
      <w:sz w:val="28"/>
      <w:szCs w:val="28"/>
    </w:rPr>
  </w:style>
  <w:style w:type="paragraph" w:styleId="1559">
    <w:name w:val="正文缩进1"/>
    <w:basedOn w:val="1276"/>
    <w:next w:val="1559"/>
    <w:link w:val="1276"/>
    <w:qFormat/>
    <w:pPr>
      <w:ind w:firstLine="482"/>
      <w:spacing w:line="360" w:lineRule="atLeast"/>
    </w:pPr>
    <w:rPr>
      <w:sz w:val="24"/>
      <w:szCs w:val="24"/>
    </w:rPr>
  </w:style>
  <w:style w:type="paragraph" w:styleId="1560">
    <w:name w:val="xl86"/>
    <w:basedOn w:val="1276"/>
    <w:next w:val="1560"/>
    <w:link w:val="12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61">
    <w:name w:val="Char Char Char Char"/>
    <w:basedOn w:val="1301"/>
    <w:next w:val="1561"/>
    <w:link w:val="1276"/>
    <w:qFormat/>
    <w:pPr>
      <w:jc w:val="both"/>
      <w:spacing w:line="360" w:lineRule="auto"/>
      <w:shd w:val="clear" w:color="auto" w:fill="000080"/>
    </w:pPr>
    <w:rPr>
      <w:rFonts w:ascii="Tahoma" w:hAnsi="Tahoma"/>
      <w:sz w:val="24"/>
      <w:szCs w:val="24"/>
    </w:rPr>
  </w:style>
  <w:style w:type="paragraph" w:styleId="1562">
    <w:name w:val="xl99"/>
    <w:basedOn w:val="1276"/>
    <w:next w:val="1562"/>
    <w:link w:val="127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563">
    <w:name w:val="Char Char Char1"/>
    <w:basedOn w:val="1276"/>
    <w:next w:val="1563"/>
    <w:link w:val="1276"/>
    <w:qFormat/>
    <w:rPr>
      <w:szCs w:val="24"/>
    </w:rPr>
  </w:style>
  <w:style w:type="paragraph" w:styleId="1564">
    <w:name w:val="xl89"/>
    <w:basedOn w:val="1276"/>
    <w:next w:val="1564"/>
    <w:link w:val="1276"/>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65">
    <w:name w:val="彩色列表 - 强调文字颜色 11"/>
    <w:basedOn w:val="1276"/>
    <w:next w:val="1565"/>
    <w:link w:val="127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566">
    <w:name w:val="font11"/>
    <w:basedOn w:val="1276"/>
    <w:next w:val="1566"/>
    <w:link w:val="1276"/>
    <w:qFormat/>
    <w:pPr>
      <w:jc w:val="left"/>
      <w:spacing w:before="100" w:beforeAutospacing="1" w:after="100" w:afterAutospacing="1"/>
      <w:widowControl/>
    </w:pPr>
    <w:rPr>
      <w:rFonts w:ascii="宋体" w:hAnsi="宋体" w:cs="宋体"/>
      <w:color w:val="000000"/>
      <w:sz w:val="18"/>
      <w:szCs w:val="18"/>
    </w:rPr>
  </w:style>
  <w:style w:type="paragraph" w:styleId="1567">
    <w:name w:val="标题8"/>
    <w:basedOn w:val="1283"/>
    <w:next w:val="1567"/>
    <w:link w:val="1276"/>
    <w:qFormat/>
    <w:pPr>
      <w:jc w:val="both"/>
      <w:keepLines w:val="0"/>
      <w:keepNext w:val="0"/>
      <w:spacing w:before="0" w:after="0" w:line="360" w:lineRule="auto"/>
      <w:tabs>
        <w:tab w:val="left" w:pos="0" w:leader="none"/>
      </w:tabs>
    </w:pPr>
    <w:rPr>
      <w:rFonts w:eastAsia="仿宋_GB2312"/>
      <w:sz w:val="30"/>
    </w:rPr>
  </w:style>
  <w:style w:type="paragraph" w:styleId="1568">
    <w:name w:val="列出段落2"/>
    <w:basedOn w:val="1276"/>
    <w:next w:val="1568"/>
    <w:link w:val="1276"/>
    <w:uiPriority w:val="34"/>
    <w:qFormat/>
    <w:pPr>
      <w:ind w:firstLine="420"/>
    </w:pPr>
    <w:rPr>
      <w:rFonts w:ascii="Calibri" w:hAnsi="Calibri"/>
      <w:szCs w:val="21"/>
    </w:rPr>
  </w:style>
  <w:style w:type="paragraph" w:styleId="1569">
    <w:name w:val="Table Paragraph"/>
    <w:basedOn w:val="1276"/>
    <w:next w:val="1569"/>
    <w:link w:val="1276"/>
    <w:uiPriority w:val="1"/>
    <w:qFormat/>
    <w:pPr>
      <w:ind w:left="107"/>
      <w:spacing w:before="35"/>
    </w:pPr>
  </w:style>
  <w:style w:type="paragraph" w:styleId="1570">
    <w:name w:val="xl98"/>
    <w:basedOn w:val="1276"/>
    <w:next w:val="1570"/>
    <w:link w:val="1276"/>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71">
    <w:name w:val="*正文"/>
    <w:basedOn w:val="1276"/>
    <w:next w:val="1571"/>
    <w:link w:val="1276"/>
    <w:qFormat/>
    <w:pPr>
      <w:spacing w:line="360" w:lineRule="auto"/>
    </w:pPr>
    <w:rPr>
      <w:rFonts w:ascii="宋体" w:hAnsi="宋体"/>
      <w:sz w:val="24"/>
      <w:lang w:val="zh-CN"/>
    </w:rPr>
  </w:style>
  <w:style w:type="paragraph" w:styleId="1572">
    <w:name w:val="正文1"/>
    <w:next w:val="1573"/>
    <w:link w:val="1276"/>
    <w:qFormat/>
    <w:pPr>
      <w:jc w:val="both"/>
    </w:pPr>
    <w:rPr>
      <w:rFonts w:cs="宋体"/>
      <w:sz w:val="21"/>
      <w:szCs w:val="21"/>
      <w:lang w:val="en-US" w:eastAsia="zh-CN" w:bidi="ar-SA"/>
    </w:rPr>
  </w:style>
  <w:style w:type="paragraph" w:styleId="1573">
    <w:name w:val="索引 41"/>
    <w:basedOn w:val="1572"/>
    <w:next w:val="1276"/>
    <w:link w:val="1276"/>
    <w:uiPriority w:val="99"/>
    <w:unhideWhenUsed/>
    <w:qFormat/>
    <w:pPr>
      <w:ind w:left="600"/>
    </w:pPr>
    <w:rPr>
      <w:rFonts w:ascii="Verdana" w:hAnsi="Verdana"/>
      <w:szCs w:val="20"/>
    </w:rPr>
  </w:style>
  <w:style w:type="paragraph" w:styleId="1574">
    <w:name w:val="xl110"/>
    <w:basedOn w:val="1276"/>
    <w:next w:val="1574"/>
    <w:link w:val="1276"/>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75">
    <w:name w:val="列表段落"/>
    <w:basedOn w:val="1276"/>
    <w:next w:val="1575"/>
    <w:link w:val="1276"/>
    <w:uiPriority w:val="99"/>
    <w:qFormat/>
    <w:pPr>
      <w:ind w:firstLine="420"/>
    </w:pPr>
  </w:style>
  <w:style w:type="paragraph" w:styleId="1576">
    <w:name w:val="xl91"/>
    <w:basedOn w:val="1276"/>
    <w:next w:val="1576"/>
    <w:link w:val="127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77">
    <w:name w:val="_Style 4"/>
    <w:basedOn w:val="1276"/>
    <w:next w:val="1577"/>
    <w:link w:val="1276"/>
    <w:uiPriority w:val="99"/>
    <w:qFormat/>
    <w:pPr>
      <w:ind w:firstLine="420"/>
    </w:pPr>
  </w:style>
  <w:style w:type="paragraph" w:styleId="1578">
    <w:name w:val="2"/>
    <w:basedOn w:val="1276"/>
    <w:next w:val="1578"/>
    <w:link w:val="1276"/>
    <w:qFormat/>
    <w:pPr>
      <w:spacing w:line="360" w:lineRule="auto"/>
    </w:pPr>
    <w:rPr>
      <w:rFonts w:ascii="宋体" w:hAnsi="宋体"/>
      <w:b/>
      <w:sz w:val="24"/>
    </w:rPr>
  </w:style>
  <w:style w:type="paragraph" w:styleId="1579">
    <w:name w:val="xl77"/>
    <w:basedOn w:val="1276"/>
    <w:next w:val="1579"/>
    <w:link w:val="12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80">
    <w:name w:val="修订"/>
    <w:next w:val="1580"/>
    <w:link w:val="1276"/>
    <w:uiPriority w:val="99"/>
    <w:unhideWhenUsed/>
    <w:rPr>
      <w:sz w:val="21"/>
      <w:lang w:val="en-US" w:eastAsia="zh-CN" w:bidi="ar-SA"/>
    </w:rPr>
  </w:style>
  <w:style w:type="paragraph" w:styleId="1581">
    <w:name w:val="_Style 13"/>
    <w:next w:val="1581"/>
    <w:link w:val="1276"/>
    <w:qFormat/>
    <w:pPr>
      <w:spacing w:before="120" w:after="120" w:line="288" w:lineRule="auto"/>
    </w:pPr>
    <w:rPr>
      <w:rFonts w:ascii="Arial" w:hAnsi="Arial" w:eastAsia="等线" w:cs="Arial"/>
      <w:sz w:val="22"/>
      <w:szCs w:val="22"/>
      <w:lang w:val="en-US" w:eastAsia="zh-CN" w:bidi="ar-SA"/>
    </w:rPr>
  </w:style>
  <w:style w:type="paragraph" w:styleId="1582">
    <w:name w:val="正文11"/>
    <w:next w:val="1276"/>
    <w:link w:val="1276"/>
    <w:qFormat/>
    <w:pPr>
      <w:jc w:val="both"/>
      <w:widowControl w:val="off"/>
    </w:pPr>
    <w:rPr>
      <w:sz w:val="21"/>
      <w:szCs w:val="24"/>
      <w:lang w:val="en-US" w:eastAsia="zh-CN" w:bidi="ar-SA"/>
    </w:rPr>
  </w:style>
  <w:style w:type="character" w:styleId="1583">
    <w:name w:val="NormalCharacter1"/>
    <w:next w:val="1583"/>
    <w:link w:val="1276"/>
    <w:qFormat/>
  </w:style>
  <w:style w:type="character" w:styleId="1584">
    <w:name w:val="font81"/>
    <w:next w:val="1584"/>
    <w:link w:val="1276"/>
    <w:qFormat/>
    <w:rPr>
      <w:rFonts w:ascii="Calibri" w:hAnsi="Calibri" w:cs="Calibri"/>
      <w:color w:val="000000"/>
      <w:sz w:val="22"/>
      <w:szCs w:val="22"/>
      <w:u w:val="none"/>
    </w:rPr>
  </w:style>
  <w:style w:type="character" w:styleId="1585">
    <w:name w:val="font51"/>
    <w:next w:val="1585"/>
    <w:link w:val="1276"/>
    <w:rPr>
      <w:rFonts w:hint="eastAsia" w:ascii="宋体" w:hAnsi="宋体" w:eastAsia="宋体" w:cs="宋体"/>
      <w:b/>
      <w:bCs/>
      <w:i w:val="0"/>
      <w:iCs w:val="0"/>
      <w:color w:val="000000"/>
      <w:sz w:val="21"/>
      <w:szCs w:val="21"/>
      <w:u w:val="none"/>
    </w:rPr>
  </w:style>
  <w:style w:type="character" w:styleId="1586">
    <w:name w:val="font61"/>
    <w:next w:val="1586"/>
    <w:link w:val="1276"/>
    <w:rPr>
      <w:rFonts w:hint="eastAsia" w:ascii="宋体" w:hAnsi="宋体" w:eastAsia="宋体" w:cs="宋体"/>
      <w:i w:val="0"/>
      <w:iCs w:val="0"/>
      <w:color w:val="000000"/>
      <w:sz w:val="21"/>
      <w:szCs w:val="21"/>
      <w:u w:val="none"/>
    </w:rPr>
  </w:style>
  <w:style w:type="table" w:styleId="1587">
    <w:name w:val="_Style 23"/>
    <w:basedOn w:val="1588"/>
    <w:next w:val="1587"/>
    <w:link w:val="1276"/>
    <w:qFormat/>
    <w:rPr>
      <w:rFonts w:eastAsia="Calibri"/>
      <w:sz w:val="21"/>
      <w:szCs w:val="21"/>
    </w:rPr>
    <w:tblPr/>
  </w:style>
  <w:style w:type="table" w:styleId="1588">
    <w:name w:val="Table Normal"/>
    <w:next w:val="1588"/>
    <w:link w:val="1276"/>
    <w:uiPriority w:val="2"/>
    <w:unhideWhenUsed/>
    <w:qFormat/>
    <w:pPr>
      <w:widowControl w:val="off"/>
    </w:pPr>
    <w:rPr>
      <w:rFonts w:eastAsia="Calibri"/>
      <w:sz w:val="22"/>
      <w:szCs w:val="22"/>
      <w:lang w:val="en-US" w:eastAsia="en-US" w:bidi="ar-SA"/>
    </w:rPr>
    <w:tblPr/>
  </w:style>
  <w:style w:type="paragraph" w:styleId="1589">
    <w:name w:val="标题 11"/>
    <w:basedOn w:val="1276"/>
    <w:next w:val="1276"/>
    <w:link w:val="1276"/>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1590">
    <w:name w:val="列表段落2"/>
    <w:basedOn w:val="1276"/>
    <w:next w:val="1590"/>
    <w:link w:val="1276"/>
    <w:uiPriority w:val="34"/>
    <w:qFormat/>
    <w:pPr>
      <w:contextualSpacing/>
      <w:ind w:left="720"/>
      <w:jc w:val="left"/>
      <w:widowControl/>
    </w:pPr>
    <w:rPr>
      <w:rFonts w:ascii="Arial" w:hAnsi="Arial" w:eastAsia="黑体" w:cs="宋体"/>
      <w:sz w:val="24"/>
      <w:szCs w:val="24"/>
      <w:lang w:eastAsia="en-US"/>
    </w:rPr>
  </w:style>
  <w:style w:type="character" w:styleId="1591" w:default="1">
    <w:name w:val="Default Paragraph Font"/>
    <w:uiPriority w:val="1"/>
    <w:semiHidden/>
    <w:unhideWhenUsed/>
  </w:style>
  <w:style w:type="numbering" w:styleId="1592" w:default="1">
    <w:name w:val="No List"/>
    <w:uiPriority w:val="99"/>
    <w:semiHidden/>
    <w:unhideWhenUsed/>
  </w:style>
  <w:style w:type="table" w:styleId="15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2026-07-04T18:23:00Z</dcterms:created>
  <dcterms:modified xsi:type="dcterms:W3CDTF">2026-09-18T08:24:19Z</dcterms:modified>
</cp:coreProperties>
</file>