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江苏省计量科学研究院（江苏省能源计量数据中心）</w:t>
      </w:r>
      <w:r>
        <w:rPr>
          <w:rFonts w:hint="eastAsia" w:ascii="宋体" w:hAnsi="宋体" w:eastAsia="宋体" w:cs="宋体"/>
          <w:sz w:val="72"/>
          <w:szCs w:val="72"/>
          <w:highlight w:val="none"/>
        </w:rPr>
      </w:r>
      <w:r/>
    </w:p>
    <w:p>
      <w:pPr>
        <w:pStyle w:val="1047"/>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1047"/>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047"/>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104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JSZC-320000-HWZX-G2026-0653</w:t>
      </w:r>
      <w:r>
        <w:rPr>
          <w:rFonts w:hint="eastAsia" w:ascii="宋体" w:hAnsi="宋体" w:eastAsia="宋体" w:cs="宋体"/>
          <w:sz w:val="32"/>
          <w:szCs w:val="32"/>
          <w:highlight w:val="none"/>
          <w:lang w:eastAsia="zh-CN"/>
        </w:rPr>
      </w:r>
      <w:r/>
    </w:p>
    <w:p>
      <w:pPr>
        <w:pStyle w:val="1047"/>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代理机构内部编号：</w:t>
      </w:r>
      <w:r>
        <w:rPr>
          <w:rFonts w:hint="eastAsia" w:ascii="宋体" w:hAnsi="宋体" w:eastAsia="宋体" w:cs="宋体"/>
          <w:sz w:val="32"/>
          <w:szCs w:val="32"/>
          <w:highlight w:val="none"/>
          <w:lang w:eastAsia="zh-CN"/>
        </w:rPr>
        <w:t xml:space="preserve">0675-266JOC004776</w:t>
      </w:r>
      <w:r>
        <w:rPr>
          <w:rFonts w:hint="eastAsia" w:ascii="宋体" w:hAnsi="宋体" w:eastAsia="宋体" w:cs="宋体"/>
          <w:sz w:val="32"/>
          <w:szCs w:val="32"/>
          <w:highlight w:val="none"/>
          <w:lang w:eastAsia="zh-CN"/>
        </w:rPr>
      </w:r>
      <w:r/>
    </w:p>
    <w:p>
      <w:pPr>
        <w:pStyle w:val="1047"/>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项目名称：江苏省计量科学研究院燃料碳含量检测装置</w:t>
      </w:r>
      <w:r>
        <w:rPr>
          <w:rFonts w:hint="eastAsia" w:ascii="宋体" w:hAnsi="宋体" w:eastAsia="宋体" w:cs="宋体"/>
          <w:sz w:val="32"/>
          <w:szCs w:val="32"/>
          <w:highlight w:val="none"/>
        </w:rPr>
      </w:r>
      <w:r/>
    </w:p>
    <w:p>
      <w:pPr>
        <w:pStyle w:val="1047"/>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 购 人：江苏省计量科学研究院（江苏省能源计量数据中心）</w:t>
      </w:r>
      <w:r>
        <w:rPr>
          <w:rFonts w:hint="eastAsia" w:ascii="宋体" w:hAnsi="宋体" w:eastAsia="宋体" w:cs="宋体"/>
          <w:sz w:val="32"/>
          <w:szCs w:val="32"/>
          <w:highlight w:val="none"/>
        </w:rPr>
      </w:r>
      <w:r/>
    </w:p>
    <w:p>
      <w:pPr>
        <w:pStyle w:val="1047"/>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169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1104"/>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二〇二六年十月</w:t>
      </w:r>
      <w:r>
        <w:rPr>
          <w:rFonts w:hint="eastAsia" w:ascii="宋体" w:hAnsi="宋体" w:cs="宋体"/>
          <w:spacing w:val="30"/>
          <w:sz w:val="32"/>
          <w:szCs w:val="32"/>
          <w:highlight w:val="none"/>
        </w:rPr>
      </w:r>
      <w:r/>
    </w:p>
    <w:p>
      <w:pPr>
        <w:pStyle w:val="1104"/>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1104"/>
        <w:tabs>
          <w:tab w:val="right" w:pos="9746" w:leader="dot"/>
        </w:tabs>
        <w:rPr>
          <w:highlight w:val="none"/>
        </w:rPr>
      </w:pPr>
      <w:r/>
      <w:bookmarkStart w:id="1" w:name="_Toc32113"/>
      <w:r/>
      <w:bookmarkStart w:id="2" w:name="_Toc6351"/>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_Toc2527 </w:instrText>
      </w:r>
      <w:r>
        <w:rPr>
          <w:rFonts w:hint="eastAsia" w:ascii="宋体" w:hAnsi="宋体" w:cs="宋体"/>
          <w:szCs w:val="22"/>
          <w:highlight w:val="none"/>
        </w:rPr>
        <w:fldChar w:fldCharType="separate"/>
      </w:r>
      <w:r>
        <w:rPr>
          <w:rFonts w:hint="eastAsia" w:ascii="宋体" w:hAnsi="宋体" w:cs="宋体"/>
          <w:highlight w:val="none"/>
        </w:rPr>
        <w:t xml:space="preserve">第一章 招标公告</w:t>
      </w:r>
      <w:r>
        <w:rPr>
          <w:highlight w:val="none"/>
        </w:rPr>
        <w:tab/>
      </w:r>
      <w:r>
        <w:rPr>
          <w:highlight w:val="none"/>
        </w:rPr>
        <w:fldChar w:fldCharType="begin"/>
      </w:r>
      <w:r>
        <w:rPr>
          <w:highlight w:val="none"/>
        </w:rPr>
        <w:instrText xml:space="preserve"> PAGEREF _Toc2527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_Toc9416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_Toc9416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_Toc12976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_Toc12976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_Toc29311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_Toc29311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_Toc9771 </w:instrText>
      </w:r>
      <w:r>
        <w:rPr>
          <w:rFonts w:hint="eastAsia" w:ascii="宋体" w:hAnsi="宋体" w:cs="宋体"/>
          <w:szCs w:val="22"/>
          <w:highlight w:val="none"/>
        </w:rPr>
        <w:fldChar w:fldCharType="separate"/>
      </w:r>
      <w:r>
        <w:rPr>
          <w:rFonts w:hint="eastAsia" w:ascii="宋体" w:hAnsi="宋体" w:cs="宋体"/>
          <w:szCs w:val="24"/>
          <w:highlight w:val="none"/>
        </w:rPr>
        <w:t xml:space="preserve">四、</w:t>
      </w:r>
      <w:r>
        <w:rPr>
          <w:rFonts w:hint="eastAsia" w:ascii="宋体" w:hAnsi="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_Toc9771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_Toc25297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五、公告期限</w:t>
      </w:r>
      <w:r>
        <w:rPr>
          <w:highlight w:val="none"/>
        </w:rPr>
        <w:tab/>
      </w:r>
      <w:r>
        <w:rPr>
          <w:highlight w:val="none"/>
        </w:rPr>
        <w:fldChar w:fldCharType="begin"/>
      </w:r>
      <w:r>
        <w:rPr>
          <w:highlight w:val="none"/>
        </w:rPr>
        <w:instrText xml:space="preserve"> PAGEREF _Toc25297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_Toc21266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_Toc21266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_Toc18467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_Toc18467 \h </w:instrText>
      </w:r>
      <w:r>
        <w:rPr>
          <w:highlight w:val="none"/>
        </w:rPr>
        <w:fldChar w:fldCharType="separate"/>
      </w:r>
      <w:r>
        <w:rPr>
          <w:highlight w:val="none"/>
        </w:rPr>
        <w:t xml:space="preserve">- 6 -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_Toc11807 </w:instrText>
      </w:r>
      <w:r>
        <w:rPr>
          <w:rFonts w:hint="eastAsia" w:ascii="宋体" w:hAnsi="宋体" w:cs="宋体"/>
          <w:szCs w:val="22"/>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_Toc11807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_Toc10384 </w:instrText>
      </w:r>
      <w:r>
        <w:rPr>
          <w:rFonts w:hint="eastAsia" w:ascii="宋体" w:hAnsi="宋体" w:cs="宋体"/>
          <w:szCs w:val="22"/>
          <w:highlight w:val="none"/>
        </w:rPr>
        <w:fldChar w:fldCharType="separate"/>
      </w:r>
      <w:r>
        <w:rPr>
          <w:rFonts w:hint="eastAsia" w:cs="宋体"/>
          <w:highlight w:val="none"/>
        </w:rPr>
        <w:t xml:space="preserve">投标人须知前附表：</w:t>
      </w:r>
      <w:r>
        <w:rPr>
          <w:highlight w:val="none"/>
        </w:rPr>
        <w:tab/>
      </w:r>
      <w:r>
        <w:rPr>
          <w:highlight w:val="none"/>
        </w:rPr>
        <w:fldChar w:fldCharType="begin"/>
      </w:r>
      <w:r>
        <w:rPr>
          <w:highlight w:val="none"/>
        </w:rPr>
        <w:instrText xml:space="preserve"> PAGEREF _Toc10384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_Toc63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一、 </w:t>
      </w:r>
      <w:r>
        <w:rPr>
          <w:rFonts w:hint="eastAsia" w:ascii="宋体" w:hAnsi="宋体" w:cs="宋体"/>
          <w:bCs/>
          <w:szCs w:val="21"/>
          <w:highlight w:val="none"/>
          <w:lang w:val="zh-CN"/>
        </w:rPr>
        <w:t xml:space="preserve">总则</w:t>
      </w:r>
      <w:r>
        <w:rPr>
          <w:highlight w:val="none"/>
        </w:rPr>
        <w:tab/>
      </w:r>
      <w:r>
        <w:rPr>
          <w:highlight w:val="none"/>
        </w:rPr>
        <w:fldChar w:fldCharType="begin"/>
      </w:r>
      <w:r>
        <w:rPr>
          <w:highlight w:val="none"/>
        </w:rPr>
        <w:instrText xml:space="preserve"> PAGEREF _Toc63 \h </w:instrText>
      </w:r>
      <w:r>
        <w:rPr>
          <w:highlight w:val="none"/>
        </w:rPr>
        <w:fldChar w:fldCharType="separate"/>
      </w:r>
      <w:r>
        <w:rPr>
          <w:highlight w:val="none"/>
        </w:rPr>
        <w:t xml:space="preserve">- 10 -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_Toc32672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二、 招标文件构成</w:t>
      </w:r>
      <w:r>
        <w:rPr>
          <w:highlight w:val="none"/>
        </w:rPr>
        <w:tab/>
      </w:r>
      <w:r>
        <w:rPr>
          <w:highlight w:val="none"/>
        </w:rPr>
        <w:fldChar w:fldCharType="begin"/>
      </w:r>
      <w:r>
        <w:rPr>
          <w:highlight w:val="none"/>
        </w:rPr>
        <w:instrText xml:space="preserve"> PAGEREF _Toc32672 \h </w:instrText>
      </w:r>
      <w:r>
        <w:rPr>
          <w:highlight w:val="none"/>
        </w:rPr>
        <w:fldChar w:fldCharType="separate"/>
      </w:r>
      <w:r>
        <w:rPr>
          <w:highlight w:val="none"/>
        </w:rPr>
        <w:t xml:space="preserve">- 11 -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_Toc7135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三、 投标文件的编制</w:t>
      </w:r>
      <w:r>
        <w:rPr>
          <w:highlight w:val="none"/>
        </w:rPr>
        <w:tab/>
      </w:r>
      <w:r>
        <w:rPr>
          <w:highlight w:val="none"/>
        </w:rPr>
        <w:fldChar w:fldCharType="begin"/>
      </w:r>
      <w:r>
        <w:rPr>
          <w:highlight w:val="none"/>
        </w:rPr>
        <w:instrText xml:space="preserve"> PAGEREF _Toc7135 \h </w:instrText>
      </w:r>
      <w:r>
        <w:rPr>
          <w:highlight w:val="none"/>
        </w:rPr>
        <w:fldChar w:fldCharType="separate"/>
      </w:r>
      <w:r>
        <w:rPr>
          <w:highlight w:val="none"/>
        </w:rPr>
        <w:t xml:space="preserve">- 12 -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_Toc12016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四、 投标文件的递交</w:t>
      </w:r>
      <w:r>
        <w:rPr>
          <w:highlight w:val="none"/>
        </w:rPr>
        <w:tab/>
      </w:r>
      <w:r>
        <w:rPr>
          <w:highlight w:val="none"/>
        </w:rPr>
        <w:fldChar w:fldCharType="begin"/>
      </w:r>
      <w:r>
        <w:rPr>
          <w:highlight w:val="none"/>
        </w:rPr>
        <w:instrText xml:space="preserve"> PAGEREF _Toc12016 \h </w:instrText>
      </w:r>
      <w:r>
        <w:rPr>
          <w:highlight w:val="none"/>
        </w:rPr>
        <w:fldChar w:fldCharType="separate"/>
      </w:r>
      <w:r>
        <w:rPr>
          <w:highlight w:val="none"/>
        </w:rPr>
        <w:t xml:space="preserve">- 15 -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_Toc22917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五、 开标、评标与定标</w:t>
      </w:r>
      <w:r>
        <w:rPr>
          <w:highlight w:val="none"/>
        </w:rPr>
        <w:tab/>
      </w:r>
      <w:r>
        <w:rPr>
          <w:highlight w:val="none"/>
        </w:rPr>
        <w:fldChar w:fldCharType="begin"/>
      </w:r>
      <w:r>
        <w:rPr>
          <w:highlight w:val="none"/>
        </w:rPr>
        <w:instrText xml:space="preserve"> PAGEREF _Toc22917 \h </w:instrText>
      </w:r>
      <w:r>
        <w:rPr>
          <w:highlight w:val="none"/>
        </w:rPr>
        <w:fldChar w:fldCharType="separate"/>
      </w:r>
      <w:r>
        <w:rPr>
          <w:highlight w:val="none"/>
        </w:rPr>
        <w:t xml:space="preserve">- 16 -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_Toc7387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六、 签订合同</w:t>
      </w:r>
      <w:r>
        <w:rPr>
          <w:highlight w:val="none"/>
        </w:rPr>
        <w:tab/>
      </w:r>
      <w:r>
        <w:rPr>
          <w:highlight w:val="none"/>
        </w:rPr>
        <w:fldChar w:fldCharType="begin"/>
      </w:r>
      <w:r>
        <w:rPr>
          <w:highlight w:val="none"/>
        </w:rPr>
        <w:instrText xml:space="preserve"> PAGEREF _Toc7387 \h </w:instrText>
      </w:r>
      <w:r>
        <w:rPr>
          <w:highlight w:val="none"/>
        </w:rPr>
        <w:fldChar w:fldCharType="separate"/>
      </w:r>
      <w:r>
        <w:rPr>
          <w:highlight w:val="none"/>
        </w:rPr>
        <w:t xml:space="preserve">- 20 -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_Toc32328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七、 质疑和投诉</w:t>
      </w:r>
      <w:r>
        <w:rPr>
          <w:highlight w:val="none"/>
        </w:rPr>
        <w:tab/>
      </w:r>
      <w:r>
        <w:rPr>
          <w:highlight w:val="none"/>
        </w:rPr>
        <w:fldChar w:fldCharType="begin"/>
      </w:r>
      <w:r>
        <w:rPr>
          <w:highlight w:val="none"/>
        </w:rPr>
        <w:instrText xml:space="preserve"> PAGEREF _Toc32328 \h </w:instrText>
      </w:r>
      <w:r>
        <w:rPr>
          <w:highlight w:val="none"/>
        </w:rPr>
        <w:fldChar w:fldCharType="separate"/>
      </w:r>
      <w:r>
        <w:rPr>
          <w:highlight w:val="none"/>
        </w:rPr>
        <w:t xml:space="preserve">- 21 -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_Toc14754 </w:instrText>
      </w:r>
      <w:r>
        <w:rPr>
          <w:rFonts w:hint="eastAsia" w:ascii="宋体" w:hAnsi="宋体" w:cs="宋体"/>
          <w:szCs w:val="22"/>
          <w:highlight w:val="none"/>
        </w:rPr>
        <w:fldChar w:fldCharType="separate"/>
      </w:r>
      <w:r>
        <w:rPr>
          <w:rFonts w:hint="eastAsia" w:ascii="宋体" w:hAnsi="宋体" w:cs="宋体"/>
          <w:highlight w:val="none"/>
        </w:rPr>
        <w:t xml:space="preserve">第三章 评分标准</w:t>
      </w:r>
      <w:r>
        <w:rPr>
          <w:highlight w:val="none"/>
        </w:rPr>
        <w:tab/>
      </w:r>
      <w:r>
        <w:rPr>
          <w:highlight w:val="none"/>
        </w:rPr>
        <w:fldChar w:fldCharType="begin"/>
      </w:r>
      <w:r>
        <w:rPr>
          <w:highlight w:val="none"/>
        </w:rPr>
        <w:instrText xml:space="preserve"> PAGEREF _Toc14754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_Toc738 </w:instrText>
      </w:r>
      <w:r>
        <w:rPr>
          <w:rFonts w:hint="eastAsia" w:ascii="宋体" w:hAnsi="宋体" w:cs="宋体"/>
          <w:szCs w:val="22"/>
          <w:highlight w:val="none"/>
        </w:rPr>
        <w:fldChar w:fldCharType="separate"/>
      </w:r>
      <w:r>
        <w:rPr>
          <w:rFonts w:hint="eastAsia" w:ascii="宋体" w:hAnsi="宋体" w:cs="宋体"/>
          <w:szCs w:val="22"/>
          <w:highlight w:val="none"/>
        </w:rPr>
        <w:t xml:space="preserve">一、资格性审查</w:t>
      </w:r>
      <w:r>
        <w:rPr>
          <w:highlight w:val="none"/>
        </w:rPr>
        <w:tab/>
      </w:r>
      <w:r>
        <w:rPr>
          <w:highlight w:val="none"/>
        </w:rPr>
        <w:fldChar w:fldCharType="begin"/>
      </w:r>
      <w:r>
        <w:rPr>
          <w:highlight w:val="none"/>
        </w:rPr>
        <w:instrText xml:space="preserve"> PAGEREF _Toc738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_Toc9897 </w:instrText>
      </w:r>
      <w:r>
        <w:rPr>
          <w:rFonts w:hint="eastAsia" w:ascii="宋体" w:hAnsi="宋体" w:cs="宋体"/>
          <w:szCs w:val="22"/>
          <w:highlight w:val="none"/>
        </w:rPr>
        <w:fldChar w:fldCharType="separate"/>
      </w:r>
      <w:r>
        <w:rPr>
          <w:rFonts w:hint="eastAsia" w:ascii="宋体" w:hAnsi="宋体" w:cs="宋体"/>
          <w:szCs w:val="22"/>
          <w:highlight w:val="none"/>
        </w:rPr>
        <w:t xml:space="preserve">二、符合性审查</w:t>
      </w:r>
      <w:r>
        <w:rPr>
          <w:highlight w:val="none"/>
        </w:rPr>
        <w:tab/>
      </w:r>
      <w:r>
        <w:rPr>
          <w:highlight w:val="none"/>
        </w:rPr>
        <w:fldChar w:fldCharType="begin"/>
      </w:r>
      <w:r>
        <w:rPr>
          <w:highlight w:val="none"/>
        </w:rPr>
        <w:instrText xml:space="preserve"> PAGEREF _Toc9897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_Toc10350 </w:instrText>
      </w:r>
      <w:r>
        <w:rPr>
          <w:rFonts w:hint="eastAsia" w:ascii="宋体" w:hAnsi="宋体" w:cs="宋体"/>
          <w:szCs w:val="22"/>
          <w:highlight w:val="none"/>
        </w:rPr>
        <w:fldChar w:fldCharType="separate"/>
      </w:r>
      <w:r>
        <w:rPr>
          <w:rFonts w:hint="eastAsia" w:ascii="宋体" w:hAnsi="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_Toc10350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_Toc28697 </w:instrText>
      </w:r>
      <w:r>
        <w:rPr>
          <w:rFonts w:hint="eastAsia" w:ascii="宋体" w:hAnsi="宋体" w:cs="宋体"/>
          <w:szCs w:val="22"/>
          <w:highlight w:val="none"/>
        </w:rPr>
        <w:fldChar w:fldCharType="separate"/>
      </w:r>
      <w:r>
        <w:rPr>
          <w:rFonts w:hint="eastAsia" w:ascii="宋体" w:hAnsi="宋体" w:cs="宋体"/>
          <w:szCs w:val="22"/>
          <w:highlight w:val="none"/>
        </w:rPr>
        <w:t xml:space="preserve">四、评分表（综合评分法）</w:t>
      </w:r>
      <w:r>
        <w:rPr>
          <w:highlight w:val="none"/>
        </w:rPr>
        <w:tab/>
      </w:r>
      <w:r>
        <w:rPr>
          <w:highlight w:val="none"/>
        </w:rPr>
        <w:fldChar w:fldCharType="begin"/>
      </w:r>
      <w:r>
        <w:rPr>
          <w:highlight w:val="none"/>
        </w:rPr>
        <w:instrText xml:space="preserve"> PAGEREF _Toc28697 \h </w:instrText>
      </w:r>
      <w:r>
        <w:rPr>
          <w:highlight w:val="none"/>
        </w:rPr>
        <w:fldChar w:fldCharType="separate"/>
      </w:r>
      <w:r>
        <w:rPr>
          <w:highlight w:val="none"/>
        </w:rPr>
        <w:t xml:space="preserve">- 25 -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_Toc5522 </w:instrText>
      </w:r>
      <w:r>
        <w:rPr>
          <w:rFonts w:hint="eastAsia" w:ascii="宋体" w:hAnsi="宋体" w:cs="宋体"/>
          <w:szCs w:val="22"/>
          <w:highlight w:val="none"/>
        </w:rPr>
        <w:fldChar w:fldCharType="separate"/>
      </w:r>
      <w:r>
        <w:rPr>
          <w:rFonts w:hint="eastAsia" w:ascii="宋体" w:hAnsi="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_Toc5522 \h </w:instrText>
      </w:r>
      <w:r>
        <w:rPr>
          <w:highlight w:val="none"/>
        </w:rPr>
        <w:fldChar w:fldCharType="separate"/>
      </w:r>
      <w:r>
        <w:rPr>
          <w:highlight w:val="none"/>
        </w:rPr>
        <w:t xml:space="preserve">- 27 -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_Toc30025 </w:instrText>
      </w:r>
      <w:r>
        <w:rPr>
          <w:rFonts w:hint="eastAsia" w:ascii="宋体" w:hAnsi="宋体" w:cs="宋体"/>
          <w:szCs w:val="22"/>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_Toc30025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_Toc28080 </w:instrText>
      </w:r>
      <w:r>
        <w:rPr>
          <w:rFonts w:hint="eastAsia" w:ascii="宋体" w:hAnsi="宋体" w:cs="宋体"/>
          <w:szCs w:val="22"/>
          <w:highlight w:val="none"/>
        </w:rPr>
        <w:fldChar w:fldCharType="separate"/>
      </w:r>
      <w:r>
        <w:rPr>
          <w:rFonts w:hint="eastAsia" w:ascii="宋体" w:hAnsi="宋体" w:cs="宋体"/>
          <w:szCs w:val="28"/>
          <w:highlight w:val="none"/>
        </w:rPr>
        <w:t xml:space="preserve">一、 项目概况：</w:t>
      </w:r>
      <w:r>
        <w:rPr>
          <w:highlight w:val="none"/>
        </w:rPr>
        <w:tab/>
      </w:r>
      <w:r>
        <w:rPr>
          <w:highlight w:val="none"/>
        </w:rPr>
        <w:fldChar w:fldCharType="begin"/>
      </w:r>
      <w:r>
        <w:rPr>
          <w:highlight w:val="none"/>
        </w:rPr>
        <w:instrText xml:space="preserve"> PAGEREF _Toc28080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_Toc26117 </w:instrText>
      </w:r>
      <w:r>
        <w:rPr>
          <w:rFonts w:hint="eastAsia" w:ascii="宋体" w:hAnsi="宋体" w:cs="宋体"/>
          <w:szCs w:val="22"/>
          <w:highlight w:val="none"/>
        </w:rPr>
        <w:fldChar w:fldCharType="separate"/>
      </w:r>
      <w:r>
        <w:rPr>
          <w:rFonts w:hint="eastAsia" w:ascii="宋体" w:hAnsi="宋体" w:cs="宋体"/>
          <w:szCs w:val="28"/>
          <w:highlight w:val="none"/>
        </w:rPr>
        <w:t xml:space="preserve">二、 技术要求：</w:t>
      </w:r>
      <w:r>
        <w:rPr>
          <w:highlight w:val="none"/>
        </w:rPr>
        <w:tab/>
      </w:r>
      <w:r>
        <w:rPr>
          <w:highlight w:val="none"/>
        </w:rPr>
        <w:fldChar w:fldCharType="begin"/>
      </w:r>
      <w:r>
        <w:rPr>
          <w:highlight w:val="none"/>
        </w:rPr>
        <w:instrText xml:space="preserve"> PAGEREF _Toc26117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_Toc8149 </w:instrText>
      </w:r>
      <w:r>
        <w:rPr>
          <w:rFonts w:hint="eastAsia" w:ascii="宋体" w:hAnsi="宋体" w:cs="宋体"/>
          <w:szCs w:val="22"/>
          <w:highlight w:val="none"/>
        </w:rPr>
        <w:fldChar w:fldCharType="separate"/>
      </w:r>
      <w:r>
        <w:rPr>
          <w:rFonts w:hint="eastAsia" w:ascii="宋体" w:hAnsi="宋体" w:cs="宋体"/>
          <w:szCs w:val="24"/>
          <w:highlight w:val="none"/>
        </w:rPr>
        <w:t xml:space="preserve">三、 商务要求：</w:t>
      </w:r>
      <w:r>
        <w:rPr>
          <w:highlight w:val="none"/>
        </w:rPr>
        <w:tab/>
      </w:r>
      <w:r>
        <w:rPr>
          <w:highlight w:val="none"/>
        </w:rPr>
        <w:fldChar w:fldCharType="begin"/>
      </w:r>
      <w:r>
        <w:rPr>
          <w:highlight w:val="none"/>
        </w:rPr>
        <w:instrText xml:space="preserve"> PAGEREF _Toc8149 \h </w:instrText>
      </w:r>
      <w:r>
        <w:rPr>
          <w:highlight w:val="none"/>
        </w:rPr>
        <w:fldChar w:fldCharType="separate"/>
      </w:r>
      <w:r>
        <w:rPr>
          <w:highlight w:val="none"/>
        </w:rPr>
        <w:t xml:space="preserve">- 38 -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_Toc29611 </w:instrText>
      </w:r>
      <w:r>
        <w:rPr>
          <w:rFonts w:hint="eastAsia" w:ascii="宋体" w:hAnsi="宋体" w:cs="宋体"/>
          <w:szCs w:val="22"/>
          <w:highlight w:val="none"/>
        </w:rPr>
        <w:fldChar w:fldCharType="separate"/>
      </w:r>
      <w:r>
        <w:rPr>
          <w:rFonts w:hint="eastAsia" w:ascii="宋体" w:hAnsi="宋体" w:cs="宋体"/>
          <w:highlight w:val="none"/>
        </w:rPr>
        <w:t xml:space="preserve">第五章 拟签订的合同文本</w:t>
      </w:r>
      <w:r>
        <w:rPr>
          <w:highlight w:val="none"/>
        </w:rPr>
        <w:tab/>
      </w:r>
      <w:r>
        <w:rPr>
          <w:highlight w:val="none"/>
        </w:rPr>
        <w:fldChar w:fldCharType="begin"/>
      </w:r>
      <w:r>
        <w:rPr>
          <w:highlight w:val="none"/>
        </w:rPr>
        <w:instrText xml:space="preserve"> PAGEREF _Toc29611 \h </w:instrText>
      </w:r>
      <w:r>
        <w:rPr>
          <w:highlight w:val="none"/>
        </w:rPr>
        <w:fldChar w:fldCharType="separate"/>
      </w:r>
      <w:r>
        <w:rPr>
          <w:highlight w:val="none"/>
        </w:rPr>
        <w:t xml:space="preserve">- 42 -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_Toc30540 </w:instrText>
      </w:r>
      <w:r>
        <w:rPr>
          <w:rFonts w:hint="eastAsia" w:ascii="宋体" w:hAnsi="宋体" w:cs="宋体"/>
          <w:szCs w:val="22"/>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_Toc30540 \h </w:instrText>
      </w:r>
      <w:r>
        <w:rPr>
          <w:highlight w:val="none"/>
        </w:rPr>
        <w:fldChar w:fldCharType="separate"/>
      </w:r>
      <w:r>
        <w:rPr>
          <w:highlight w:val="none"/>
        </w:rPr>
        <w:t xml:space="preserve">- 48 -</w:t>
      </w:r>
      <w:r>
        <w:rPr>
          <w:highlight w:val="none"/>
        </w:rPr>
        <w:fldChar w:fldCharType="end"/>
      </w:r>
      <w:r>
        <w:rPr>
          <w:rFonts w:hint="eastAsia" w:ascii="宋体" w:hAnsi="宋体" w:cs="宋体"/>
          <w:szCs w:val="22"/>
          <w:highlight w:val="none"/>
        </w:rPr>
        <w:fldChar w:fldCharType="end"/>
      </w:r>
      <w:r>
        <w:rPr>
          <w:highlight w:val="none"/>
        </w:rPr>
      </w:r>
      <w:r/>
    </w:p>
    <w:p>
      <w:pPr>
        <w:pStyle w:val="1047"/>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1048"/>
        <w:ind w:firstLine="0"/>
        <w:spacing w:before="480"/>
        <w:tabs>
          <w:tab w:val="left" w:pos="1440" w:leader="none"/>
          <w:tab w:val="left" w:pos="5670" w:leader="none"/>
        </w:tabs>
        <w:rPr>
          <w:rStyle w:val="1142"/>
          <w:rFonts w:hint="eastAsia" w:ascii="宋体" w:hAnsi="宋体" w:cs="宋体"/>
          <w:szCs w:val="20"/>
          <w:highlight w:val="none"/>
        </w:rPr>
      </w:pPr>
      <w:r/>
      <w:bookmarkStart w:id="3" w:name="_Toc2527"/>
      <w:r>
        <w:rPr>
          <w:rFonts w:hint="eastAsia" w:ascii="宋体" w:hAnsi="宋体" w:eastAsia="宋体" w:cs="宋体"/>
          <w:highlight w:val="none"/>
        </w:rPr>
        <w:t xml:space="preserve">第一章 招标公告</w:t>
      </w:r>
      <w:bookmarkEnd w:id="1"/>
      <w:r/>
      <w:bookmarkEnd w:id="2"/>
      <w:r/>
      <w:bookmarkEnd w:id="3"/>
      <w:r>
        <w:rPr>
          <w:rStyle w:val="1142"/>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47"/>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highlight w:val="none"/>
              </w:rPr>
            </w:pPr>
            <w:r>
              <w:rPr>
                <w:rFonts w:hint="eastAsia" w:ascii="宋体" w:hAnsi="宋体" w:eastAsia="宋体" w:cs="宋体"/>
                <w:sz w:val="22"/>
                <w:highlight w:val="none"/>
              </w:rPr>
              <w:t xml:space="preserve">江苏省计量科学研究院燃料碳含量检测装置</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JSZC-320000-HWZX-G2026-0653</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江苏政府采购“苏采云”系统自行免费下载</w:t>
            </w:r>
            <w:r>
              <w:rPr>
                <w:rFonts w:hint="eastAsia" w:ascii="宋体" w:hAnsi="宋体" w:eastAsia="宋体" w:cs="宋体"/>
                <w:sz w:val="22"/>
                <w:highlight w:val="none"/>
              </w:rPr>
              <w:t xml:space="preserve">获取招标文件，并于</w:t>
            </w:r>
            <w:r>
              <w:rPr>
                <w:rFonts w:hint="eastAsia" w:ascii="宋体" w:hAnsi="宋体" w:eastAsia="宋体" w:cs="宋体"/>
                <w:sz w:val="22"/>
                <w:highlight w:val="none"/>
                <w:u w:val="single"/>
              </w:rPr>
              <w:t xml:space="preserve">2026年</w:t>
            </w:r>
            <w:r>
              <w:rPr>
                <w:rFonts w:hint="eastAsia" w:ascii="宋体" w:hAnsi="宋体" w:eastAsia="宋体" w:cs="宋体"/>
                <w:sz w:val="22"/>
                <w:highlight w:val="none"/>
                <w:u w:val="single"/>
                <w:lang w:eastAsia="zh-CN"/>
              </w:rPr>
              <w:t xml:space="preserve">11月12日</w:t>
            </w:r>
            <w:r>
              <w:rPr>
                <w:rFonts w:hint="eastAsia" w:ascii="宋体" w:hAnsi="宋体" w:eastAsia="宋体" w:cs="宋体"/>
                <w:sz w:val="22"/>
                <w:highlight w:val="none"/>
                <w:u w:val="single"/>
                <w:lang w:val="en-US" w:eastAsia="zh-CN"/>
              </w:rPr>
              <w:t xml:space="preserve">9</w:t>
            </w:r>
            <w:r>
              <w:rPr>
                <w:rFonts w:hint="eastAsia" w:ascii="宋体" w:hAnsi="宋体" w:eastAsia="宋体" w:cs="宋体"/>
                <w:sz w:val="22"/>
                <w:highlight w:val="none"/>
                <w:u w:val="single"/>
              </w:rPr>
              <w:t xml:space="preserve">:00（北京时间）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1047"/>
        <w:spacing w:before="0" w:after="0"/>
        <w:rPr>
          <w:rFonts w:hint="eastAsia" w:ascii="宋体" w:hAnsi="宋体" w:eastAsia="宋体" w:cs="宋体"/>
          <w:sz w:val="24"/>
          <w:szCs w:val="24"/>
          <w:highlight w:val="none"/>
        </w:rPr>
        <w:outlineLvl w:val="1"/>
      </w:pPr>
      <w:r/>
      <w:bookmarkStart w:id="4" w:name="_Toc9416"/>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JSZC-320000-HWZX-G2026-0653</w:t>
      </w:r>
      <w:r>
        <w:rPr>
          <w:rFonts w:hint="eastAsia" w:ascii="宋体" w:hAnsi="宋体" w:eastAsia="宋体" w:cs="宋体"/>
          <w:sz w:val="24"/>
          <w:szCs w:val="24"/>
          <w:highlight w:val="none"/>
          <w:lang w:eastAsia="zh-CN"/>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2.项目名称：江苏省计量科学研究院燃料碳含量检测装置</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3.项目预算：人民币347.5万元</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4.最高限价：人民币347.5万元，</w:t>
      </w:r>
      <w:r>
        <w:rPr>
          <w:rFonts w:hint="eastAsia" w:ascii="宋体" w:hAnsi="宋体" w:eastAsia="宋体" w:cs="宋体"/>
          <w:color w:val="c00000"/>
          <w:sz w:val="24"/>
          <w:szCs w:val="24"/>
          <w:highlight w:val="none"/>
        </w:rPr>
        <w:t xml:space="preserve">单台设备单项报价不得超过相应预算，超出最高限价或单套设备单项预算的投标文件作无效投标处理。</w:t>
      </w:r>
      <w:r>
        <w:rPr>
          <w:rFonts w:hint="eastAsia" w:ascii="宋体" w:hAnsi="宋体" w:eastAsia="宋体" w:cs="宋体"/>
          <w:sz w:val="24"/>
          <w:szCs w:val="24"/>
          <w:highlight w:val="none"/>
        </w:rPr>
        <w:t xml:space="preserve">具体报价格式参照招标文件附件中“报价一览表格式”。</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6.采购需求：本项目1个分包（标段），采购1套燃料碳含量检测装置，具体设备详见下表，技术要求详见招标文件“第四章采购需求”。</w:t>
      </w:r>
      <w:r>
        <w:rPr>
          <w:rFonts w:hint="eastAsia" w:ascii="宋体" w:hAnsi="宋体" w:eastAsia="宋体" w:cs="宋体"/>
          <w:sz w:val="24"/>
          <w:szCs w:val="24"/>
          <w:highlight w:val="none"/>
        </w:rPr>
      </w:r>
      <w:r/>
    </w:p>
    <w:tbl>
      <w:tblPr>
        <w:tblW w:w="505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620"/>
        <w:gridCol w:w="769"/>
        <w:gridCol w:w="750"/>
        <w:gridCol w:w="1213"/>
        <w:gridCol w:w="903"/>
        <w:gridCol w:w="1290"/>
        <w:gridCol w:w="784"/>
      </w:tblGrid>
      <w:tr>
        <w:trPr>
          <w:trHeight w:val="621"/>
        </w:trPr>
        <w:tc>
          <w:tcPr>
            <w:tcW w:w="370"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795"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381" w:type="dxa"/>
            <w:vAlign w:val="center"/>
            <w:textDirection w:val="lrTb"/>
            <w:noWrap/>
          </w:tcPr>
          <w:p>
            <w:pPr>
              <w:pStyle w:val="1047"/>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372"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602"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预算金额</w:t>
            </w:r>
            <w:r>
              <w:rPr>
                <w:rFonts w:hint="eastAsia" w:ascii="宋体" w:hAnsi="宋体" w:eastAsia="宋体" w:cs="宋体"/>
                <w:b/>
                <w:bCs/>
                <w:szCs w:val="21"/>
                <w:highlight w:val="none"/>
                <w:lang w:bidi="ar"/>
              </w:rPr>
            </w:r>
            <w:r/>
          </w:p>
          <w:p>
            <w:pPr>
              <w:pStyle w:val="1047"/>
              <w:jc w:val="center"/>
              <w:spacing w:before="0" w:after="0" w:line="240" w:lineRule="auto"/>
              <w:widowControl/>
              <w:rPr>
                <w:rFonts w:ascii="宋体" w:hAnsi="宋体" w:eastAsia="宋体" w:cs="宋体"/>
                <w:b/>
                <w:bCs/>
                <w:szCs w:val="21"/>
                <w:highlight w:val="none"/>
                <w:lang w:bidi="ar"/>
              </w:rPr>
            </w:pPr>
            <w:r>
              <w:rPr>
                <w:rFonts w:hint="eastAsia" w:ascii="宋体" w:hAnsi="宋体" w:eastAsia="宋体" w:cs="宋体"/>
                <w:b/>
                <w:bCs/>
                <w:szCs w:val="21"/>
                <w:highlight w:val="none"/>
                <w:lang w:bidi="ar"/>
              </w:rPr>
              <w:t xml:space="preserve">（万元）</w:t>
            </w:r>
            <w:r>
              <w:rPr>
                <w:rFonts w:ascii="宋体" w:hAnsi="宋体" w:eastAsia="宋体" w:cs="宋体"/>
                <w:b/>
                <w:bCs/>
                <w:szCs w:val="21"/>
                <w:highlight w:val="none"/>
                <w:lang w:bidi="ar"/>
              </w:rPr>
            </w:r>
            <w:r/>
          </w:p>
        </w:tc>
        <w:tc>
          <w:tcPr>
            <w:tcW w:w="448"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639"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喷气燃料热氧化安定性测定仪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气相色谱质谱联用仪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航煤自动冰点测定仪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全自动紫外荧光定硫仪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航空煤油烟点仪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全自动低温运动粘度仪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阿贝尔闭口闪点仪  </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自动蒸馏试验器</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喷气燃料铜片腐蚀试验器</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自动密度测定仪</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W w:w="1795"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燃料胶质含量试验器</w:t>
            </w:r>
            <w:r>
              <w:rPr>
                <w:rFonts w:hint="eastAsia" w:ascii="仿宋" w:hAnsi="仿宋" w:eastAsia="仿宋" w:cs="仿宋"/>
                <w:sz w:val="24"/>
                <w:szCs w:val="24"/>
                <w:highlight w:val="none"/>
              </w:rPr>
            </w:r>
            <w:r/>
          </w:p>
        </w:tc>
        <w:tc>
          <w:tcPr>
            <w:tcW w:w="381"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w:t>
            </w:r>
            <w:r>
              <w:rPr>
                <w:rFonts w:hint="eastAsia" w:ascii="宋体" w:hAnsi="宋体" w:eastAsia="宋体" w:cs="宋体"/>
                <w:sz w:val="24"/>
                <w:szCs w:val="24"/>
                <w:highlight w:val="none"/>
              </w:rPr>
            </w:r>
            <w:r/>
          </w:p>
        </w:tc>
        <w:tc>
          <w:tcPr>
            <w:shd w:val="clear" w:color="auto" w:fill="ffffff"/>
            <w:tcW w:w="44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63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r>
        <w:trPr>
          <w:trHeight w:val="759"/>
        </w:trPr>
        <w:tc>
          <w:tcPr>
            <w:tcW w:w="37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W w:w="179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航空燃料电导率仪</w:t>
            </w:r>
            <w:r>
              <w:rPr>
                <w:rFonts w:hint="eastAsia" w:ascii="仿宋" w:hAnsi="仿宋" w:eastAsia="仿宋" w:cs="仿宋"/>
                <w:sz w:val="24"/>
                <w:szCs w:val="24"/>
                <w:highlight w:val="none"/>
              </w:rPr>
            </w:r>
            <w:r/>
          </w:p>
        </w:tc>
        <w:tc>
          <w:tcPr>
            <w:tcW w:w="38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37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W w:w="60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448"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tcW w:w="639"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389" w:type="dxa"/>
            <w:vAlign w:val="top"/>
            <w:textDirection w:val="lrTb"/>
            <w:noWrap w:val="false"/>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bl>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7.合同履行期限（交货期）：</w:t>
      </w:r>
      <w:bookmarkStart w:id="5" w:name="OLE_LINK4"/>
      <w:r/>
      <w:bookmarkStart w:id="6" w:name="OLE_LINK3"/>
      <w:r>
        <w:rPr>
          <w:rFonts w:hint="eastAsia" w:ascii="宋体" w:hAnsi="宋体" w:eastAsia="宋体" w:cs="宋体"/>
          <w:color w:val="ff0000"/>
          <w:sz w:val="24"/>
          <w:szCs w:val="24"/>
          <w:highlight w:val="none"/>
        </w:rPr>
        <w:t xml:space="preserve">合同签订后12个月为备货期，备货期内或备货期满后（以接到采购人具体通知为准）6个月内将货物运输到买方指定地点并完成安装、调试、计量检测以及取得计量溯源合格证书。</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2"/>
          <w:szCs w:val="22"/>
          <w:highlight w:val="none"/>
        </w:rPr>
      </w:pPr>
      <w:r/>
      <w:bookmarkEnd w:id="5"/>
      <w:r/>
      <w:bookmarkEnd w:id="6"/>
      <w:r>
        <w:rPr>
          <w:rFonts w:hint="eastAsia" w:ascii="宋体" w:hAnsi="宋体" w:eastAsia="宋体" w:cs="宋体"/>
          <w:sz w:val="24"/>
          <w:szCs w:val="24"/>
          <w:highlight w:val="none"/>
        </w:rPr>
        <w:t xml:space="preserve">8.本项目（是/否）接受联合体投标：</w:t>
      </w:r>
      <w:r>
        <w:rPr>
          <w:rFonts w:hint="eastAsia" w:ascii="宋体" w:hAnsi="宋体" w:eastAsia="宋体" w:cs="宋体"/>
          <w:b/>
          <w:bCs/>
          <w:sz w:val="24"/>
          <w:szCs w:val="24"/>
          <w:highlight w:val="none"/>
        </w:rPr>
        <w:t xml:space="preserve">不接受联合体</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7" w:name="_Toc12976"/>
      <w:r>
        <w:rPr>
          <w:rFonts w:hint="eastAsia" w:ascii="宋体" w:hAnsi="宋体" w:eastAsia="宋体" w:cs="宋体"/>
          <w:b/>
          <w:bCs/>
          <w:sz w:val="24"/>
          <w:szCs w:val="24"/>
          <w:highlight w:val="none"/>
        </w:rPr>
        <w:t xml:space="preserve">二、申请人的资质要求</w:t>
      </w:r>
      <w:bookmarkEnd w:id="7"/>
      <w:r>
        <w:rPr>
          <w:rFonts w:hint="eastAsia" w:ascii="宋体" w:hAnsi="宋体" w:eastAsia="宋体" w:cs="宋体"/>
          <w:b/>
          <w:bCs/>
          <w:sz w:val="24"/>
          <w:szCs w:val="24"/>
          <w:highlight w:val="none"/>
        </w:rPr>
      </w:r>
      <w:r/>
    </w:p>
    <w:p>
      <w:pPr>
        <w:pStyle w:val="1047"/>
        <w:ind w:firstLine="442"/>
        <w:jc w:val="left"/>
        <w:spacing w:before="0" w:after="0"/>
        <w:tabs>
          <w:tab w:val="left" w:pos="0" w:leader="none"/>
        </w:tabs>
        <w:rPr>
          <w:rFonts w:hint="eastAsia" w:ascii="宋体" w:hAnsi="宋体" w:eastAsia="宋体" w:cs="宋体"/>
          <w:b/>
          <w:bCs/>
          <w:sz w:val="22"/>
          <w:szCs w:val="22"/>
          <w:highlight w:val="none"/>
        </w:rPr>
      </w:pPr>
      <w:r/>
      <w:bookmarkStart w:id="8"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End w:id="8"/>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1047"/>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1047"/>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w:t>
      </w:r>
      <w:r>
        <w:rPr>
          <w:rFonts w:hint="eastAsia" w:ascii="宋体" w:hAnsi="宋体" w:eastAsia="宋体" w:cs="宋体"/>
          <w:b/>
          <w:bCs/>
          <w:sz w:val="22"/>
          <w:szCs w:val="22"/>
          <w:highlight w:val="none"/>
        </w:rPr>
        <w:t xml:space="preserve">不接受</w:t>
      </w:r>
      <w:r>
        <w:rPr>
          <w:rFonts w:hint="eastAsia" w:ascii="宋体" w:hAnsi="宋体" w:eastAsia="宋体" w:cs="宋体"/>
          <w:sz w:val="22"/>
          <w:szCs w:val="22"/>
          <w:highlight w:val="none"/>
        </w:rPr>
        <w:t xml:space="preserve">进口产品投标（注：本文件所称进口产品是指通过中国海关报关验放进入中国境内且产自关境外的产品）。</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1047"/>
        <w:jc w:val="left"/>
        <w:spacing w:before="0" w:after="0"/>
        <w:tabs>
          <w:tab w:val="left" w:pos="0" w:leader="none"/>
        </w:tabs>
        <w:rPr>
          <w:rFonts w:hint="eastAsia" w:ascii="宋体" w:hAnsi="宋体" w:eastAsia="宋体" w:cs="宋体"/>
          <w:sz w:val="24"/>
          <w:szCs w:val="24"/>
          <w:highlight w:val="none"/>
        </w:rPr>
        <w:outlineLvl w:val="1"/>
      </w:pPr>
      <w:r/>
      <w:bookmarkStart w:id="9" w:name="_Toc29311"/>
      <w:r>
        <w:rPr>
          <w:rFonts w:hint="eastAsia" w:ascii="宋体" w:hAnsi="宋体" w:eastAsia="宋体" w:cs="宋体"/>
          <w:b/>
          <w:bCs/>
          <w:sz w:val="24"/>
          <w:szCs w:val="24"/>
          <w:highlight w:val="none"/>
        </w:rPr>
        <w:t xml:space="preserve">三、招标文件发售信息</w:t>
      </w:r>
      <w:bookmarkEnd w:id="9"/>
      <w:r>
        <w:rPr>
          <w:rFonts w:hint="eastAsia" w:ascii="宋体" w:hAnsi="宋体" w:eastAsia="宋体" w:cs="宋体"/>
          <w:sz w:val="24"/>
          <w:szCs w:val="24"/>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1.时间：自招标文件公告发布之日起5个工作日。</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Start w:id="10" w:name="OLE_LINK20"/>
      <w:r>
        <w:rPr>
          <w:rFonts w:hint="eastAsia" w:ascii="宋体" w:hAnsi="宋体" w:eastAsia="宋体" w:cs="宋体"/>
          <w:sz w:val="22"/>
          <w:szCs w:val="22"/>
          <w:highlight w:val="none"/>
        </w:rPr>
        <w:t xml:space="preserve">2.地址：江苏政府采购“苏采云”系统自行免费下载。</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End w:id="10"/>
      <w:r>
        <w:rPr>
          <w:rFonts w:hint="eastAsia" w:ascii="宋体" w:hAnsi="宋体" w:eastAsia="宋体" w:cs="宋体"/>
          <w:sz w:val="22"/>
          <w:szCs w:val="22"/>
          <w:highlight w:val="none"/>
        </w:rPr>
        <w:t xml:space="preserve">4.售价：0元，售出不退。</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2"/>
          <w:szCs w:val="22"/>
          <w:highlight w:val="none"/>
        </w:rPr>
        <w:outlineLvl w:val="1"/>
      </w:pPr>
      <w:r/>
      <w:bookmarkStart w:id="11" w:name="_Toc9771"/>
      <w:r>
        <w:rPr>
          <w:rFonts w:hint="eastAsia" w:ascii="宋体" w:hAnsi="宋体" w:eastAsia="宋体" w:cs="宋体"/>
          <w:b/>
          <w:sz w:val="24"/>
          <w:szCs w:val="24"/>
          <w:highlight w:val="none"/>
        </w:rPr>
        <w:t xml:space="preserve">四、</w:t>
      </w:r>
      <w:bookmarkStart w:id="12" w:name="OLE_LINK16"/>
      <w:r>
        <w:rPr>
          <w:rFonts w:hint="eastAsia" w:ascii="宋体" w:hAnsi="宋体" w:eastAsia="宋体" w:cs="宋体"/>
          <w:b/>
          <w:bCs/>
          <w:sz w:val="24"/>
          <w:szCs w:val="24"/>
          <w:highlight w:val="none"/>
        </w:rPr>
        <w:t xml:space="preserve">提交投标文件截止时间</w:t>
      </w:r>
      <w:bookmarkEnd w:id="12"/>
      <w:r>
        <w:rPr>
          <w:rFonts w:hint="eastAsia" w:ascii="宋体" w:hAnsi="宋体" w:eastAsia="宋体" w:cs="宋体"/>
          <w:b/>
          <w:bCs/>
          <w:sz w:val="24"/>
          <w:szCs w:val="24"/>
          <w:highlight w:val="none"/>
        </w:rPr>
        <w:t xml:space="preserve">、开标时间和地点</w:t>
      </w:r>
      <w:bookmarkEnd w:id="11"/>
      <w:r>
        <w:rPr>
          <w:rFonts w:hint="eastAsia" w:ascii="宋体" w:hAnsi="宋体" w:eastAsia="宋体" w:cs="宋体"/>
          <w:b/>
          <w:bCs/>
          <w:sz w:val="22"/>
          <w:szCs w:val="22"/>
          <w:highlight w:val="none"/>
        </w:rPr>
      </w:r>
      <w:r/>
    </w:p>
    <w:p>
      <w:pPr>
        <w:pStyle w:val="1047"/>
        <w:ind w:firstLine="440"/>
        <w:spacing w:before="0" w:after="0"/>
        <w:rPr>
          <w:rFonts w:hint="eastAsia" w:ascii="宋体" w:hAnsi="宋体" w:eastAsia="宋体" w:cs="宋体"/>
          <w:sz w:val="22"/>
          <w:szCs w:val="22"/>
          <w:highlight w:val="none"/>
        </w:rPr>
      </w:pPr>
      <w:r/>
      <w:bookmarkStart w:id="13" w:name="OLE_LINK17"/>
      <w:r>
        <w:rPr>
          <w:rFonts w:hint="eastAsia" w:ascii="宋体" w:hAnsi="宋体" w:eastAsia="宋体" w:cs="宋体"/>
          <w:sz w:val="22"/>
          <w:szCs w:val="22"/>
          <w:highlight w:val="none"/>
        </w:rPr>
        <w:t xml:space="preserve">1.提交投标文件截止时间：2026年</w:t>
      </w:r>
      <w:r>
        <w:rPr>
          <w:rFonts w:hint="eastAsia" w:ascii="宋体" w:hAnsi="宋体" w:eastAsia="宋体" w:cs="宋体"/>
          <w:sz w:val="22"/>
          <w:szCs w:val="22"/>
          <w:highlight w:val="none"/>
          <w:lang w:eastAsia="zh-CN"/>
        </w:rPr>
        <w:t xml:space="preserve">11月12日</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:00（北京时间）</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w:t>
      </w:r>
      <w:r>
        <w:rPr>
          <w:rFonts w:hint="eastAsia" w:ascii="宋体" w:hAnsi="宋体" w:eastAsia="宋体" w:cs="宋体"/>
          <w:sz w:val="22"/>
          <w:szCs w:val="22"/>
          <w:highlight w:val="none"/>
          <w:lang w:eastAsia="zh-CN"/>
        </w:rPr>
        <w:t xml:space="preserve">2026年11月12日9:00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3.地址：“苏采云”政府采购交易系统网上开标大厅。</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4" w:name="_Toc25297"/>
      <w:r>
        <w:rPr>
          <w:rFonts w:hint="eastAsia" w:ascii="宋体" w:hAnsi="宋体" w:eastAsia="宋体" w:cs="宋体"/>
          <w:b/>
          <w:bCs/>
          <w:sz w:val="24"/>
          <w:szCs w:val="24"/>
          <w:highlight w:val="none"/>
        </w:rPr>
        <w:t xml:space="preserve">五、公告期限</w:t>
      </w:r>
      <w:bookmarkEnd w:id="14"/>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招标公告及招标文件公告期限为自本公告发布之日起5个工作日。</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5" w:name="_Toc21266"/>
      <w:r>
        <w:rPr>
          <w:rFonts w:hint="eastAsia" w:ascii="宋体" w:hAnsi="宋体" w:eastAsia="宋体" w:cs="宋体"/>
          <w:b/>
          <w:bCs/>
          <w:sz w:val="24"/>
          <w:szCs w:val="24"/>
          <w:highlight w:val="none"/>
        </w:rPr>
        <w:t xml:space="preserve">六、其他补充事宜</w:t>
      </w:r>
      <w:bookmarkEnd w:id="15"/>
      <w:r>
        <w:rPr>
          <w:rFonts w:hint="eastAsia" w:ascii="宋体" w:hAnsi="宋体" w:eastAsia="宋体" w:cs="宋体"/>
          <w:b/>
          <w:bCs/>
          <w:sz w:val="24"/>
          <w:szCs w:val="24"/>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w:t>
      </w:r>
      <w:r>
        <w:rPr>
          <w:rFonts w:hint="eastAsia" w:ascii="宋体" w:hAnsi="宋体" w:eastAsia="宋体" w:cs="宋体"/>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供应商在开标前登录谷歌浏览器进入不见面大厅，并准备好耳麦和摄像设备，操作系统至少为win7，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本次招标请按“包”下载招标文件，编制、密封、提交投标文件，并按“包”开标、评标。</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6" w:name="OLE_LINK13"/>
      <w:r>
        <w:rPr>
          <w:rFonts w:hint="eastAsia" w:ascii="宋体" w:hAnsi="宋体" w:eastAsia="宋体" w:cs="宋体"/>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4.投标保证金数额及缴纳办法：本次招标不收取投标保证金。</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lang w:eastAsia="zh-CN"/>
        </w:rPr>
      </w:pPr>
      <w:r/>
      <w:bookmarkEnd w:id="16"/>
      <w:r/>
      <w:bookmarkStart w:id="17" w:name="OLE_LINK21"/>
      <w:r>
        <w:rPr>
          <w:rFonts w:hint="eastAsia" w:ascii="宋体" w:hAnsi="宋体" w:eastAsia="宋体" w:cs="宋体"/>
          <w:sz w:val="22"/>
          <w:szCs w:val="22"/>
          <w:highlight w:val="none"/>
        </w:rPr>
        <w:t xml:space="preserve">5.本项目代理机构内部编号：</w:t>
      </w:r>
      <w:r>
        <w:rPr>
          <w:rFonts w:hint="eastAsia" w:ascii="宋体" w:hAnsi="宋体" w:eastAsia="宋体" w:cs="宋体"/>
          <w:sz w:val="22"/>
          <w:szCs w:val="22"/>
          <w:highlight w:val="none"/>
          <w:lang w:eastAsia="zh-CN"/>
        </w:rPr>
        <w:t xml:space="preserve">0675-266JOC004776</w:t>
      </w:r>
      <w:r>
        <w:rPr>
          <w:rFonts w:hint="eastAsia" w:ascii="宋体" w:hAnsi="宋体" w:eastAsia="宋体" w:cs="宋体"/>
          <w:sz w:val="22"/>
          <w:szCs w:val="22"/>
          <w:highlight w:val="none"/>
          <w:lang w:eastAsia="zh-CN"/>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bookmarkEnd w:id="13"/>
      <w:r/>
      <w:bookmarkEnd w:id="17"/>
      <w:r>
        <w:rPr>
          <w:rFonts w:hint="eastAsia" w:ascii="宋体" w:hAnsi="宋体" w:eastAsia="宋体" w:cs="宋体"/>
          <w:sz w:val="22"/>
          <w:szCs w:val="22"/>
          <w:highlight w:val="none"/>
        </w:rPr>
        <w:t xml:space="preserve">获取招标文件咨询联系方式：</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地址：南京市建邺区云龙山路58号大唐科技大厦A座高区15楼</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8" w:name="_Toc18467"/>
      <w:r>
        <w:rPr>
          <w:rFonts w:hint="eastAsia" w:ascii="宋体" w:hAnsi="宋体" w:eastAsia="宋体" w:cs="宋体"/>
          <w:b/>
          <w:bCs/>
          <w:sz w:val="24"/>
          <w:szCs w:val="24"/>
          <w:highlight w:val="none"/>
        </w:rPr>
        <w:t xml:space="preserve">七、对本次招标提出询问，请按以下方式联系</w:t>
      </w:r>
      <w:bookmarkEnd w:id="18"/>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名称：江苏省计量科学研究院（江苏省能源计量数据中心）</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地址：南京市栖霞区文澜路95号</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联系人：曹老师 </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联系电话：025-86435533</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地址：南京市建邺区云龙山路58号大唐科技大厦A座高区14-15楼</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联系人：吴昊、方东、郭秀华</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w:t>
      </w:r>
      <w:bookmarkStart w:id="19" w:name="_Toc24439"/>
      <w:r/>
      <w:bookmarkStart w:id="20" w:name="_Toc17198"/>
      <w:r>
        <w:rPr>
          <w:rFonts w:hint="eastAsia" w:ascii="宋体" w:hAnsi="宋体" w:eastAsia="宋体" w:cs="宋体"/>
          <w:highlight w:val="none"/>
        </w:rPr>
      </w:r>
      <w:r/>
    </w:p>
    <w:p>
      <w:pPr>
        <w:pStyle w:val="1047"/>
        <w:ind w:firstLine="643"/>
        <w:jc w:val="center"/>
        <w:spacing w:before="0" w:after="0"/>
        <w:rPr>
          <w:rFonts w:hint="eastAsia" w:ascii="宋体" w:hAnsi="宋体" w:eastAsia="宋体" w:cs="宋体"/>
          <w:highlight w:val="none"/>
        </w:rPr>
      </w:pPr>
      <w:r/>
      <w:bookmarkStart w:id="21" w:name="_Toc11807"/>
      <w:r>
        <w:rPr>
          <w:rStyle w:val="1059"/>
          <w:rFonts w:hint="eastAsia" w:ascii="宋体" w:hAnsi="宋体" w:eastAsia="宋体" w:cs="宋体"/>
          <w:highlight w:val="none"/>
        </w:rPr>
        <w:t xml:space="preserve">第二章 投标人须知</w:t>
      </w:r>
      <w:bookmarkEnd w:id="19"/>
      <w:r/>
      <w:bookmarkEnd w:id="20"/>
      <w:r/>
      <w:bookmarkEnd w:id="21"/>
      <w:r>
        <w:rPr>
          <w:rFonts w:hint="eastAsia" w:ascii="宋体" w:hAnsi="宋体" w:eastAsia="宋体" w:cs="宋体"/>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燃料碳含量检测装置采用公开招标方式采购，兹邀请符合资格条件的投标人提交投标文件和相关材料。</w:t>
      </w:r>
      <w:r>
        <w:rPr>
          <w:rFonts w:hint="eastAsia" w:ascii="宋体" w:hAnsi="宋体" w:eastAsia="宋体" w:cs="宋体"/>
          <w:sz w:val="22"/>
          <w:szCs w:val="22"/>
          <w:highlight w:val="none"/>
        </w:rPr>
      </w:r>
      <w:r/>
    </w:p>
    <w:p>
      <w:pPr>
        <w:pStyle w:val="1049"/>
        <w:jc w:val="center"/>
        <w:rPr>
          <w:rFonts w:hint="eastAsia" w:eastAsia="宋体" w:cs="宋体"/>
          <w:sz w:val="24"/>
          <w:highlight w:val="none"/>
        </w:rPr>
      </w:pPr>
      <w:r/>
      <w:bookmarkStart w:id="22" w:name="_Toc10384"/>
      <w:r>
        <w:rPr>
          <w:rFonts w:hint="eastAsia" w:eastAsia="宋体" w:cs="宋体"/>
          <w:sz w:val="24"/>
          <w:highlight w:val="none"/>
        </w:rPr>
        <w:t xml:space="preserve">投标人须知前附表：</w:t>
      </w:r>
      <w:bookmarkEnd w:id="22"/>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江苏省计量科学研究院燃料碳含量检测装置</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JSZC-320000-HWZX-G2026-0653</w:t>
            </w:r>
            <w:r>
              <w:rPr>
                <w:rFonts w:hint="eastAsia" w:ascii="宋体" w:hAnsi="宋体" w:eastAsia="宋体" w:cs="宋体"/>
                <w:sz w:val="22"/>
                <w:highlight w:val="none"/>
                <w:lang w:eastAsia="zh-CN"/>
              </w:rPr>
            </w:r>
            <w:r/>
          </w:p>
          <w:p>
            <w:pPr>
              <w:pStyle w:val="1047"/>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代理机构内部编号：</w:t>
            </w:r>
            <w:r>
              <w:rPr>
                <w:rFonts w:hint="eastAsia" w:ascii="宋体" w:hAnsi="宋体" w:eastAsia="宋体" w:cs="宋体"/>
                <w:sz w:val="22"/>
                <w:highlight w:val="none"/>
                <w:lang w:eastAsia="zh-CN"/>
              </w:rPr>
              <w:t xml:space="preserve">0675-266JOC004776</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1</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1047"/>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江苏省计量科学研究院（江苏省能源计量数据中心）</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联系人：曹老师       </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电话：025-</w:t>
            </w:r>
            <w:r>
              <w:rPr>
                <w:rFonts w:ascii="宋体" w:hAnsi="宋体" w:eastAsia="宋体" w:cs="宋体"/>
                <w:sz w:val="22"/>
                <w:highlight w:val="none"/>
              </w:rPr>
              <w:t xml:space="preserve">86435533</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人民币347.5万元</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color w:val="c00000"/>
                <w:sz w:val="22"/>
                <w:highlight w:val="none"/>
              </w:rPr>
              <w:t xml:space="preserve">人民币347.5万元，</w:t>
            </w:r>
            <w:r>
              <w:rPr>
                <w:rFonts w:hint="eastAsia" w:ascii="宋体" w:hAnsi="宋体" w:eastAsia="宋体" w:cs="宋体"/>
                <w:b/>
                <w:bCs/>
                <w:color w:val="c00000"/>
                <w:sz w:val="22"/>
                <w:highlight w:val="none"/>
              </w:rPr>
              <w:t xml:space="preserve">同时单套设备单项报价不得超过相应预算，超出最高限价或单套设备单项预算的投标文件作无效投标处理</w:t>
            </w:r>
            <w:r>
              <w:rPr>
                <w:rFonts w:hint="eastAsia" w:ascii="宋体" w:hAnsi="宋体" w:eastAsia="宋体" w:cs="宋体"/>
                <w:color w:val="c00000"/>
                <w:sz w:val="22"/>
                <w:highlight w:val="none"/>
              </w:rPr>
              <w:t xml:space="preserve">。</w:t>
            </w:r>
            <w:r>
              <w:rPr>
                <w:rFonts w:hint="eastAsia" w:ascii="宋体" w:hAnsi="宋体" w:eastAsia="宋体" w:cs="宋体"/>
                <w:color w:val="c00000"/>
                <w:sz w:val="22"/>
                <w:highlight w:val="none"/>
              </w:rPr>
              <w:t xml:space="preserve">具体报价格式参照招标文件附件中“报价一览表格式”。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采购人现场的全部费用（含相关税费、运输费、保险费、安装费、计量检测费及相关服务费等一切可能发生的费用）。具体报价格式参照招标文件附件“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“苏采云”政府采购交易系统。</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复。</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接收地点：“苏采云”政府采购交易系统网上开标大厅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形式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240" w:lineRule="auto"/>
              <w:rPr>
                <w:rFonts w:hint="eastAsia" w:ascii="宋体" w:hAnsi="宋体" w:eastAsia="宋体" w:cs="宋体"/>
                <w:sz w:val="22"/>
                <w:highlight w:val="none"/>
              </w:rPr>
            </w:pPr>
            <w:r>
              <w:rPr>
                <w:rFonts w:hint="eastAsia" w:ascii="宋体" w:hAnsi="宋体" w:eastAsia="宋体" w:cs="宋体"/>
                <w:sz w:val="22"/>
                <w:highlight w:val="none"/>
                <w:lang w:eastAsia="zh-CN"/>
              </w:rPr>
              <w:t xml:space="preserve">2026年11月12日9:00</w:t>
            </w:r>
            <w:r>
              <w:rPr>
                <w:rFonts w:hint="eastAsia" w:ascii="宋体" w:hAnsi="宋体" w:eastAsia="宋体" w:cs="宋体"/>
                <w:sz w:val="22"/>
                <w:highlight w:val="none"/>
              </w:rPr>
              <w:t xml:space="preserve">后（北京时间）</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1047"/>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采购代理费用</w:t>
            </w:r>
            <w:r>
              <w:rPr>
                <w:rFonts w:hint="eastAsia" w:ascii="仿宋" w:hAnsi="仿宋" w:eastAsia="仿宋" w:cs="仿宋"/>
                <w:sz w:val="24"/>
                <w:szCs w:val="24"/>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一、服务费约定：</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bCs/>
                <w:sz w:val="22"/>
                <w:highlight w:val="none"/>
              </w:rPr>
            </w:pPr>
            <w:r>
              <w:rPr>
                <w:rFonts w:hint="eastAsia" w:ascii="宋体" w:hAnsi="宋体" w:eastAsia="宋体" w:cs="宋体"/>
                <w:sz w:val="22"/>
                <w:highlight w:val="none"/>
              </w:rPr>
              <w:t xml:space="preserve">二、</w:t>
            </w:r>
            <w:r>
              <w:rPr>
                <w:rFonts w:hint="eastAsia" w:ascii="宋体" w:hAnsi="宋体" w:eastAsia="宋体" w:cs="宋体"/>
                <w:bCs/>
                <w:sz w:val="22"/>
                <w:highlight w:val="none"/>
              </w:rPr>
              <w:t xml:space="preserve">支付主体及原因：</w:t>
            </w:r>
            <w:r>
              <w:rPr>
                <w:rFonts w:hint="eastAsia" w:ascii="宋体" w:hAnsi="宋体" w:eastAsia="宋体" w:cs="宋体"/>
                <w:bCs/>
                <w:sz w:val="22"/>
                <w:highlight w:val="none"/>
              </w:rPr>
            </w:r>
            <w:r/>
          </w:p>
          <w:p>
            <w:pPr>
              <w:pStyle w:val="1047"/>
              <w:spacing w:before="0" w:after="0" w:line="300" w:lineRule="auto"/>
              <w:rPr>
                <w:rFonts w:hint="eastAsia" w:ascii="宋体" w:hAnsi="宋体" w:eastAsia="宋体" w:cs="宋体"/>
                <w:bCs/>
                <w:sz w:val="22"/>
                <w:highlight w:val="none"/>
              </w:rPr>
            </w:pPr>
            <w:r>
              <w:rPr>
                <w:rFonts w:hint="eastAsia" w:ascii="宋体" w:hAnsi="宋体" w:eastAsia="宋体" w:cs="宋体"/>
                <w:bCs/>
                <w:sz w:val="22"/>
                <w:highlight w:val="none"/>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sz w:val="22"/>
                <w:highlight w:val="none"/>
              </w:rPr>
            </w:r>
            <w:r/>
          </w:p>
          <w:p>
            <w:pPr>
              <w:pStyle w:val="1047"/>
              <w:spacing w:before="0" w:after="0" w:line="300" w:lineRule="auto"/>
              <w:rPr>
                <w:rFonts w:hint="eastAsia" w:ascii="宋体" w:hAnsi="宋体" w:eastAsia="宋体" w:cs="宋体"/>
                <w:bCs/>
                <w:sz w:val="22"/>
                <w:highlight w:val="none"/>
              </w:rPr>
            </w:pPr>
            <w:r>
              <w:rPr>
                <w:rFonts w:hint="eastAsia" w:ascii="宋体" w:hAnsi="宋体" w:eastAsia="宋体" w:cs="宋体"/>
                <w:bCs/>
                <w:sz w:val="22"/>
                <w:highlight w:val="none"/>
              </w:rPr>
              <w:t xml:space="preserve">三、计费依据及标准:</w:t>
            </w:r>
            <w:r>
              <w:rPr>
                <w:rFonts w:hint="eastAsia" w:ascii="宋体" w:hAnsi="宋体" w:eastAsia="宋体" w:cs="宋体"/>
                <w:bCs/>
                <w:sz w:val="22"/>
                <w:highlight w:val="none"/>
              </w:rPr>
            </w:r>
            <w:r/>
          </w:p>
          <w:p>
            <w:pPr>
              <w:pStyle w:val="1047"/>
              <w:spacing w:before="0" w:after="0" w:line="300" w:lineRule="auto"/>
              <w:rPr>
                <w:rFonts w:hint="eastAsia" w:ascii="宋体" w:hAnsi="宋体" w:eastAsia="宋体" w:cs="宋体"/>
                <w:bCs/>
                <w:sz w:val="22"/>
                <w:highlight w:val="none"/>
              </w:rPr>
            </w:pPr>
            <w:r>
              <w:rPr>
                <w:rFonts w:hint="eastAsia" w:ascii="宋体" w:hAnsi="宋体" w:eastAsia="宋体" w:cs="宋体"/>
                <w:bCs/>
                <w:sz w:val="22"/>
                <w:highlight w:val="none"/>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sz w:val="22"/>
                <w:highlight w:val="none"/>
              </w:rPr>
            </w:r>
            <w:r/>
          </w:p>
          <w:p>
            <w:pPr>
              <w:pStyle w:val="1047"/>
              <w:spacing w:before="0" w:after="0" w:line="300" w:lineRule="auto"/>
              <w:rPr>
                <w:rFonts w:hint="eastAsia" w:ascii="宋体" w:hAnsi="宋体" w:eastAsia="宋体" w:cs="宋体"/>
                <w:sz w:val="22"/>
                <w:highlight w:val="none"/>
              </w:rPr>
            </w:pPr>
            <w:r>
              <w:rPr>
                <w:sz w:val="22"/>
                <w:highlight w:val="none"/>
              </w:rPr>
              <mc:AlternateContent>
                <mc:Choice Requires="wpg">
                  <w:drawing>
                    <wp:inline xmlns:wp="http://schemas.openxmlformats.org/drawingml/2006/wordprocessingDrawing" distT="0" distB="0" distL="0" distR="0">
                      <wp:extent cx="4097795" cy="21749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四、缴纳时间与方式</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缴纳时间：中标供应商在领取中标通知书，一次性足额缴纳全部代理服务费。</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缴纳方式：可采用银行电汇、对公转账方式缴纳（以代理机构指定账户/收款要求为准）。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21</w:t>
            </w:r>
            <w:r>
              <w:rPr>
                <w:rFonts w:ascii="宋体" w:hAnsi="宋体" w:eastAsia="宋体" w:cs="宋体"/>
                <w:sz w:val="22"/>
                <w:highlight w:val="none"/>
              </w:rPr>
            </w:r>
            <w:r/>
          </w:p>
        </w:tc>
        <w:tc>
          <w:tcPr>
            <w:tcW w:w="2285" w:type="dxa"/>
            <w:vAlign w:val="center"/>
            <w:textDirection w:val="lrTb"/>
            <w:noWrap w:val="false"/>
          </w:tcPr>
          <w:p>
            <w:pPr>
              <w:pStyle w:val="1047"/>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评审费用支付</w:t>
            </w:r>
            <w:r>
              <w:rPr>
                <w:rFonts w:hint="eastAsia" w:ascii="仿宋" w:hAnsi="仿宋" w:eastAsia="仿宋" w:cs="仿宋"/>
                <w:sz w:val="24"/>
                <w:szCs w:val="24"/>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22</w:t>
            </w:r>
            <w:r>
              <w:rPr>
                <w:rFonts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1047"/>
              <w:jc w:val="left"/>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请投标人务必认真阅读本招标文件，严格遵照上述要求应标。</w:t>
            </w:r>
            <w:r>
              <w:rPr>
                <w:rFonts w:hint="eastAsia" w:ascii="宋体" w:hAnsi="宋体" w:eastAsia="宋体" w:cs="宋体"/>
                <w:sz w:val="22"/>
                <w:highlight w:val="none"/>
              </w:rPr>
            </w:r>
            <w:r/>
          </w:p>
        </w:tc>
      </w:tr>
    </w:tbl>
    <w:p>
      <w:pPr>
        <w:pStyle w:val="1047"/>
        <w:numPr>
          <w:ilvl w:val="0"/>
          <w:numId w:val="5"/>
        </w:numPr>
        <w:rPr>
          <w:rFonts w:hint="eastAsia" w:ascii="宋体" w:hAnsi="宋体" w:eastAsia="宋体" w:cs="宋体"/>
          <w:b/>
          <w:bCs/>
          <w:szCs w:val="21"/>
          <w:highlight w:val="none"/>
        </w:rPr>
        <w:outlineLvl w:val="1"/>
      </w:pPr>
      <w:r/>
      <w:bookmarkStart w:id="23" w:name="_Toc27197"/>
      <w:r>
        <w:rPr>
          <w:rFonts w:hint="eastAsia" w:ascii="宋体" w:hAnsi="宋体" w:cs="宋体"/>
          <w:highlight w:val="none"/>
        </w:rPr>
        <w:br w:type="page" w:clear="all"/>
      </w:r>
      <w:bookmarkEnd w:id="23"/>
      <w:r/>
      <w:bookmarkStart w:id="24" w:name="_Toc17556"/>
      <w:r/>
      <w:bookmarkStart w:id="25" w:name="_Toc20838"/>
      <w:r/>
      <w:bookmarkStart w:id="26" w:name="_Toc209510674"/>
      <w:r/>
      <w:bookmarkStart w:id="27" w:name="_Toc63"/>
      <w:r/>
      <w:bookmarkStart w:id="28" w:name="_Toc28411"/>
      <w:r/>
      <w:bookmarkStart w:id="29" w:name="_Toc209510615"/>
      <w:r/>
      <w:bookmarkStart w:id="30" w:name="_Toc21658"/>
      <w:r/>
      <w:bookmarkStart w:id="31" w:name="_Toc1344"/>
      <w:r>
        <w:rPr>
          <w:rFonts w:hint="eastAsia" w:ascii="宋体" w:hAnsi="宋体" w:eastAsia="宋体" w:cs="宋体"/>
          <w:b/>
          <w:bCs/>
          <w:szCs w:val="21"/>
          <w:highlight w:val="none"/>
          <w:lang w:val="zh-CN"/>
        </w:rPr>
        <w:t xml:space="preserve">总则</w:t>
      </w:r>
      <w:bookmarkEnd w:id="24"/>
      <w:r/>
      <w:bookmarkEnd w:id="25"/>
      <w:r/>
      <w:bookmarkEnd w:id="26"/>
      <w:r/>
      <w:bookmarkEnd w:id="27"/>
      <w:r/>
      <w:bookmarkEnd w:id="28"/>
      <w:r/>
      <w:bookmarkEnd w:id="29"/>
      <w:r>
        <w:rPr>
          <w:rFonts w:hint="eastAsia" w:ascii="宋体" w:hAnsi="宋体" w:eastAsia="宋体" w:cs="宋体"/>
          <w:b/>
          <w:bCs/>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2" w:name="_Toc209510675"/>
      <w:r>
        <w:rPr>
          <w:rFonts w:hint="eastAsia" w:ascii="宋体" w:hAnsi="宋体" w:eastAsia="宋体" w:cs="宋体"/>
          <w:b/>
          <w:bCs/>
          <w:szCs w:val="21"/>
          <w:highlight w:val="none"/>
        </w:rPr>
        <w:t xml:space="preserve">适用法律</w:t>
      </w:r>
      <w:bookmarkEnd w:id="32"/>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3" w:name="_Toc209510676"/>
      <w:r>
        <w:rPr>
          <w:rFonts w:hint="eastAsia" w:ascii="宋体" w:hAnsi="宋体" w:eastAsia="宋体" w:cs="宋体"/>
          <w:b/>
          <w:bCs/>
          <w:szCs w:val="21"/>
          <w:highlight w:val="none"/>
        </w:rPr>
        <w:t xml:space="preserve">定义</w:t>
      </w:r>
      <w:bookmarkEnd w:id="33"/>
      <w:r>
        <w:rPr>
          <w:rFonts w:hint="eastAsia" w:ascii="宋体" w:hAnsi="宋体" w:eastAsia="宋体" w:cs="宋体"/>
          <w:b/>
          <w:bCs/>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“采购人”是指依法进行政府采购的国家机关、事业单位、团体组织。</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“投标人（供应商）”是指参加投标竞争，并符合招标文件规定资格条件的法人、其他组织或者自然人。</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“货物和服务”指本招标文件中所述产品及相关服务。</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“用户或使用单位”是指使用货物，接受服务的单位。</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4" w:name="_Toc209510677"/>
      <w:r>
        <w:rPr>
          <w:rFonts w:hint="eastAsia" w:ascii="宋体" w:hAnsi="宋体" w:eastAsia="宋体" w:cs="宋体"/>
          <w:b/>
          <w:bCs/>
          <w:szCs w:val="21"/>
          <w:highlight w:val="none"/>
        </w:rPr>
        <w:t xml:space="preserve">政策功能</w:t>
      </w:r>
      <w:bookmarkEnd w:id="34"/>
      <w:r>
        <w:rPr>
          <w:rFonts w:hint="eastAsia" w:ascii="宋体" w:hAnsi="宋体" w:eastAsia="宋体" w:cs="宋体"/>
          <w:b/>
          <w:bCs/>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进口产品政策</w:t>
      </w:r>
      <w:r>
        <w:rPr>
          <w:rFonts w:hint="eastAsia" w:ascii="宋体" w:hAnsi="宋体" w:eastAsia="宋体" w:cs="宋体"/>
          <w:szCs w:val="21"/>
          <w:highlight w:val="none"/>
          <w:lang w:eastAsia="en-US"/>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允许进口产品参加的，满足需求的国内产品可以参加。</w:t>
      </w:r>
      <w:r>
        <w:rPr>
          <w:rFonts w:hint="eastAsia" w:ascii="宋体" w:hAnsi="宋体" w:eastAsia="宋体" w:cs="宋体"/>
          <w:szCs w:val="21"/>
          <w:highlight w:val="none"/>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未按要求提供相关材料的，不享受相关政策。</w:t>
      </w:r>
      <w:r>
        <w:rPr>
          <w:rFonts w:hint="eastAsia" w:ascii="宋体" w:hAnsi="宋体" w:eastAsia="宋体" w:cs="宋体"/>
          <w:szCs w:val="21"/>
          <w:highlight w:val="none"/>
        </w:rPr>
      </w:r>
      <w:r/>
    </w:p>
    <w:p>
      <w:pPr>
        <w:pStyle w:val="1047"/>
        <w:numPr>
          <w:ilvl w:val="0"/>
          <w:numId w:val="5"/>
        </w:numPr>
        <w:rPr>
          <w:rFonts w:hint="eastAsia" w:ascii="宋体" w:hAnsi="宋体" w:eastAsia="宋体" w:cs="宋体"/>
          <w:b/>
          <w:bCs/>
          <w:szCs w:val="21"/>
          <w:highlight w:val="none"/>
        </w:rPr>
        <w:outlineLvl w:val="1"/>
      </w:pPr>
      <w:r/>
      <w:bookmarkStart w:id="35" w:name="_Toc20589"/>
      <w:r/>
      <w:bookmarkStart w:id="36" w:name="_Toc9697"/>
      <w:r/>
      <w:bookmarkStart w:id="37" w:name="_Toc7274"/>
      <w:r/>
      <w:bookmarkStart w:id="38" w:name="_Toc32672"/>
      <w:r/>
      <w:bookmarkStart w:id="39" w:name="_Toc17507"/>
      <w:r/>
      <w:bookmarkStart w:id="40" w:name="_Toc209510678"/>
      <w:r/>
      <w:bookmarkStart w:id="41" w:name="_Toc209510616"/>
      <w:r/>
      <w:bookmarkStart w:id="42" w:name="_Toc18152"/>
      <w:r>
        <w:rPr>
          <w:rFonts w:hint="eastAsia" w:ascii="宋体" w:hAnsi="宋体" w:eastAsia="宋体" w:cs="宋体"/>
          <w:b/>
          <w:bCs/>
          <w:szCs w:val="21"/>
          <w:highlight w:val="none"/>
        </w:rPr>
        <w:t xml:space="preserve">招标文件构成</w:t>
      </w:r>
      <w:bookmarkEnd w:id="35"/>
      <w:r/>
      <w:bookmarkEnd w:id="36"/>
      <w:r/>
      <w:bookmarkEnd w:id="37"/>
      <w:r/>
      <w:bookmarkEnd w:id="38"/>
      <w:r/>
      <w:bookmarkEnd w:id="39"/>
      <w:r/>
      <w:bookmarkEnd w:id="40"/>
      <w:r/>
      <w:bookmarkEnd w:id="41"/>
      <w:r/>
      <w:bookmarkEnd w:id="42"/>
      <w:r>
        <w:rPr>
          <w:rFonts w:hint="eastAsia" w:ascii="宋体" w:hAnsi="宋体" w:eastAsia="宋体" w:cs="宋体"/>
          <w:b/>
          <w:bCs/>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43" w:name="_Toc209510679"/>
      <w:r>
        <w:rPr>
          <w:rFonts w:hint="eastAsia" w:ascii="宋体" w:hAnsi="宋体" w:eastAsia="宋体" w:cs="宋体"/>
          <w:b/>
          <w:bCs/>
          <w:szCs w:val="21"/>
          <w:highlight w:val="none"/>
        </w:rPr>
        <w:t xml:space="preserve">招标文件组成</w:t>
      </w:r>
      <w:bookmarkEnd w:id="43"/>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招标文件包括以下主要内容：</w:t>
      </w:r>
      <w:r>
        <w:rPr>
          <w:rFonts w:hint="eastAsia" w:ascii="宋体" w:hAnsi="宋体" w:eastAsia="宋体" w:cs="宋体"/>
          <w:szCs w:val="21"/>
          <w:highlight w:val="none"/>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招标公告；</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投标人须知；</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评标标准；</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采购需求；</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合同主要条款及格式；</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投标文件格式及附件。</w:t>
      </w:r>
      <w:r>
        <w:rPr>
          <w:rFonts w:hint="eastAsia" w:ascii="宋体" w:hAnsi="宋体" w:eastAsia="宋体" w:cs="宋体"/>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44" w:name="_Toc209510680"/>
      <w:r>
        <w:rPr>
          <w:rFonts w:hint="eastAsia" w:ascii="宋体" w:hAnsi="宋体" w:eastAsia="宋体" w:cs="宋体"/>
          <w:b/>
          <w:bCs/>
          <w:szCs w:val="21"/>
          <w:highlight w:val="none"/>
        </w:rPr>
        <w:t xml:space="preserve">招标文件的澄清或者修改</w:t>
      </w:r>
      <w:bookmarkEnd w:id="44"/>
      <w:r>
        <w:rPr>
          <w:rFonts w:hint="eastAsia" w:ascii="宋体" w:hAnsi="宋体" w:eastAsia="宋体" w:cs="宋体"/>
          <w:b/>
          <w:bCs/>
          <w:szCs w:val="21"/>
          <w:highlight w:val="none"/>
        </w:rPr>
      </w:r>
      <w:r/>
    </w:p>
    <w:p>
      <w:pPr>
        <w:pStyle w:val="1047"/>
        <w:numPr>
          <w:ilvl w:val="0"/>
          <w:numId w:val="12"/>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highlight w:val="none"/>
          <w:lang w:eastAsia="en-US"/>
        </w:rPr>
        <w:t xml:space="preserve">澄清或者修改的内容为招标文件的组成部分。</w:t>
      </w:r>
      <w:r>
        <w:rPr>
          <w:rFonts w:hint="eastAsia" w:ascii="宋体" w:hAnsi="宋体" w:eastAsia="宋体" w:cs="宋体"/>
          <w:szCs w:val="21"/>
          <w:highlight w:val="none"/>
          <w:lang w:eastAsia="en-US"/>
        </w:rPr>
      </w:r>
      <w:r/>
    </w:p>
    <w:p>
      <w:pPr>
        <w:pStyle w:val="1047"/>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highlight w:val="none"/>
        </w:rPr>
      </w:r>
      <w:r/>
    </w:p>
    <w:p>
      <w:pPr>
        <w:pStyle w:val="1047"/>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highlight w:val="none"/>
        </w:rPr>
      </w:r>
      <w:r/>
    </w:p>
    <w:p>
      <w:pPr>
        <w:pStyle w:val="1047"/>
        <w:numPr>
          <w:ilvl w:val="0"/>
          <w:numId w:val="5"/>
        </w:numPr>
        <w:rPr>
          <w:rFonts w:hint="eastAsia" w:ascii="宋体" w:hAnsi="宋体" w:eastAsia="宋体" w:cs="宋体"/>
          <w:b/>
          <w:bCs/>
          <w:szCs w:val="21"/>
          <w:highlight w:val="none"/>
        </w:rPr>
        <w:outlineLvl w:val="1"/>
      </w:pPr>
      <w:r/>
      <w:bookmarkStart w:id="45" w:name="_Toc7135"/>
      <w:r/>
      <w:bookmarkStart w:id="46" w:name="_Toc209510617"/>
      <w:r/>
      <w:bookmarkStart w:id="47" w:name="_Toc3559"/>
      <w:r/>
      <w:bookmarkStart w:id="48" w:name="_Toc6845"/>
      <w:r/>
      <w:bookmarkStart w:id="49" w:name="_Toc209510681"/>
      <w:r/>
      <w:bookmarkStart w:id="50" w:name="_Toc22828"/>
      <w:r/>
      <w:bookmarkStart w:id="51" w:name="_Toc7702"/>
      <w:r/>
      <w:bookmarkStart w:id="52" w:name="_Toc19603"/>
      <w:r>
        <w:rPr>
          <w:rFonts w:hint="eastAsia" w:ascii="宋体" w:hAnsi="宋体" w:eastAsia="宋体" w:cs="宋体"/>
          <w:b/>
          <w:bCs/>
          <w:szCs w:val="21"/>
          <w:highlight w:val="none"/>
        </w:rPr>
        <w:t xml:space="preserve">投标文件的编制</w:t>
      </w:r>
      <w:bookmarkEnd w:id="45"/>
      <w:r/>
      <w:bookmarkEnd w:id="46"/>
      <w:r/>
      <w:bookmarkEnd w:id="47"/>
      <w:r/>
      <w:bookmarkEnd w:id="48"/>
      <w:r/>
      <w:bookmarkEnd w:id="49"/>
      <w:r/>
      <w:bookmarkEnd w:id="50"/>
      <w:r/>
      <w:bookmarkEnd w:id="51"/>
      <w:r/>
      <w:bookmarkEnd w:id="52"/>
      <w:r>
        <w:rPr>
          <w:rFonts w:hint="eastAsia" w:ascii="宋体" w:hAnsi="宋体" w:eastAsia="宋体" w:cs="宋体"/>
          <w:b/>
          <w:bCs/>
          <w:szCs w:val="21"/>
          <w:highlight w:val="none"/>
        </w:rPr>
      </w:r>
      <w:r/>
    </w:p>
    <w:p>
      <w:pPr>
        <w:pStyle w:val="1047"/>
        <w:numPr>
          <w:ilvl w:val="0"/>
          <w:numId w:val="13"/>
        </w:numPr>
        <w:ind w:left="0" w:firstLine="422"/>
        <w:rPr>
          <w:rFonts w:hint="eastAsia" w:ascii="宋体" w:hAnsi="宋体" w:eastAsia="宋体" w:cs="宋体"/>
          <w:b/>
          <w:bCs/>
          <w:szCs w:val="21"/>
          <w:highlight w:val="none"/>
        </w:rPr>
      </w:pPr>
      <w:r/>
      <w:bookmarkStart w:id="53" w:name="_Toc209510682"/>
      <w:r>
        <w:rPr>
          <w:rFonts w:hint="eastAsia" w:ascii="宋体" w:hAnsi="宋体" w:eastAsia="宋体" w:cs="宋体"/>
          <w:b/>
          <w:bCs/>
          <w:szCs w:val="21"/>
          <w:highlight w:val="none"/>
        </w:rPr>
        <w:t xml:space="preserve">投标文件的语言、计量单位、货币和编制</w:t>
      </w:r>
      <w:bookmarkEnd w:id="53"/>
      <w:r>
        <w:rPr>
          <w:rFonts w:hint="eastAsia" w:ascii="宋体" w:hAnsi="宋体" w:eastAsia="宋体" w:cs="宋体"/>
          <w:b/>
          <w:bCs/>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投标人所使用的计量单位应为国家法定计量单位。</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投标人应用人民币报价。投标产品如果是进口产品的，应提供人民币与</w:t>
      </w:r>
      <w:r>
        <w:rPr>
          <w:rFonts w:hint="eastAsia" w:ascii="宋体" w:hAnsi="宋体" w:eastAsia="宋体" w:cs="宋体"/>
          <w:b/>
          <w:szCs w:val="21"/>
          <w:highlight w:val="none"/>
        </w:rPr>
        <w:t xml:space="preserve">外币之间的汇率。</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投标文件应按照招标文件的规定编写并制作目录。</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投标人应在投标文件中写清相应的项目编号、项目名称、投标人全称、地址、电话、传真等。</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联合体投标（本项目不适用）</w:t>
      </w:r>
      <w:r>
        <w:rPr>
          <w:rFonts w:hint="eastAsia" w:ascii="宋体" w:hAnsi="宋体" w:eastAsia="宋体" w:cs="宋体"/>
          <w:b/>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投标文件的组成</w:t>
      </w:r>
      <w:r>
        <w:rPr>
          <w:rFonts w:hint="eastAsia" w:ascii="宋体" w:hAnsi="宋体" w:eastAsia="宋体" w:cs="宋体"/>
          <w:b/>
          <w:szCs w:val="21"/>
          <w:highlight w:val="none"/>
          <w:lang w:eastAsia="en-US"/>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szCs w:val="21"/>
          <w:highlight w:val="none"/>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供应商应当根据招标文件要求编制投标文件，投标文件应对招标文件提出的要求和条件作出实质性响</w:t>
      </w:r>
      <w:r>
        <w:rPr>
          <w:rFonts w:hint="eastAsia" w:ascii="宋体" w:hAnsi="宋体" w:eastAsia="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投标文件的商务内容</w:t>
      </w:r>
      <w:r>
        <w:rPr>
          <w:rFonts w:hint="eastAsia" w:ascii="宋体" w:hAnsi="宋体" w:eastAsia="宋体" w:cs="宋体"/>
          <w:b/>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b/>
          <w:szCs w:val="21"/>
          <w:highlight w:val="none"/>
        </w:rPr>
        <w:t xml:space="preserve">”所述材料不得有缺失或提供不全或不满足招标文件的实质性要求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投标函（投标申请及声明） ；</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法人授权书(法人代表授权书（原件）及法定代表人、授权代表身份证复印件)</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投标人资格资信证明文件：</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开标一览表（格式见附件） ；</w:t>
      </w:r>
      <w:r>
        <w:rPr>
          <w:rFonts w:hint="eastAsia" w:ascii="宋体" w:hAnsi="宋体" w:eastAsia="宋体" w:cs="宋体"/>
          <w:szCs w:val="21"/>
          <w:highlight w:val="none"/>
        </w:rPr>
      </w:r>
      <w:r/>
    </w:p>
    <w:p>
      <w:pPr>
        <w:pStyle w:val="1047"/>
        <w:numPr>
          <w:ilvl w:val="0"/>
          <w:numId w:val="1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《商务条款偏离表》；</w:t>
      </w:r>
      <w:r>
        <w:rPr>
          <w:rFonts w:hint="eastAsia" w:ascii="宋体" w:hAnsi="宋体" w:eastAsia="宋体" w:cs="宋体"/>
          <w:szCs w:val="21"/>
          <w:highlight w:val="none"/>
          <w:lang w:eastAsia="en-US"/>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投标文件的技术内容</w:t>
      </w:r>
      <w:r>
        <w:rPr>
          <w:rFonts w:hint="eastAsia" w:ascii="宋体" w:hAnsi="宋体" w:eastAsia="宋体" w:cs="宋体"/>
          <w:b/>
          <w:szCs w:val="21"/>
          <w:highlight w:val="none"/>
          <w:lang w:eastAsia="en-US"/>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（5）项目集成（实施）方案；</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投标文件的价格内容</w:t>
      </w:r>
      <w:r>
        <w:rPr>
          <w:rFonts w:hint="eastAsia" w:ascii="宋体" w:hAnsi="宋体" w:eastAsia="宋体" w:cs="宋体"/>
          <w:b/>
          <w:szCs w:val="21"/>
          <w:highlight w:val="none"/>
          <w:lang w:eastAsia="en-US"/>
        </w:rPr>
      </w:r>
      <w:r/>
    </w:p>
    <w:p>
      <w:pPr>
        <w:pStyle w:val="1047"/>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价格部分内容是对采购标的价格构成的说明，招标文件如无特别说明，每一项货物及服务仅接受一个价格。</w:t>
      </w:r>
      <w:r>
        <w:rPr>
          <w:rFonts w:hint="eastAsia" w:ascii="宋体" w:hAnsi="宋体" w:eastAsia="宋体" w:cs="宋体"/>
          <w:szCs w:val="21"/>
          <w:highlight w:val="none"/>
        </w:rPr>
      </w:r>
      <w:r/>
    </w:p>
    <w:p>
      <w:pPr>
        <w:pStyle w:val="1047"/>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47"/>
        <w:numPr>
          <w:ilvl w:val="0"/>
          <w:numId w:val="17"/>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投标文件的其他部分</w:t>
      </w:r>
      <w:r>
        <w:rPr>
          <w:rFonts w:hint="eastAsia" w:ascii="宋体" w:hAnsi="宋体" w:eastAsia="宋体" w:cs="宋体"/>
          <w:b/>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投标保证金（本项目无需缴纳投标保证金）</w:t>
      </w:r>
      <w:r>
        <w:rPr>
          <w:rFonts w:hint="eastAsia" w:ascii="宋体" w:hAnsi="宋体" w:eastAsia="宋体" w:cs="宋体"/>
          <w:b/>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投标有效期</w:t>
      </w:r>
      <w:r>
        <w:rPr>
          <w:rFonts w:hint="eastAsia" w:ascii="宋体" w:hAnsi="宋体" w:eastAsia="宋体" w:cs="宋体"/>
          <w:b/>
          <w:szCs w:val="21"/>
          <w:highlight w:val="none"/>
          <w:lang w:eastAsia="en-US"/>
        </w:rPr>
      </w:r>
      <w:r/>
    </w:p>
    <w:p>
      <w:pPr>
        <w:pStyle w:val="1047"/>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szCs w:val="21"/>
          <w:highlight w:val="none"/>
        </w:rPr>
      </w:r>
      <w:r/>
    </w:p>
    <w:p>
      <w:pPr>
        <w:pStyle w:val="1047"/>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投标文件签署</w:t>
      </w:r>
      <w:r>
        <w:rPr>
          <w:rFonts w:hint="eastAsia" w:ascii="宋体" w:hAnsi="宋体" w:eastAsia="宋体" w:cs="宋体"/>
          <w:b/>
          <w:szCs w:val="21"/>
          <w:highlight w:val="none"/>
          <w:lang w:eastAsia="en-US"/>
        </w:rPr>
      </w:r>
      <w:r/>
    </w:p>
    <w:p>
      <w:pPr>
        <w:pStyle w:val="1047"/>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投标费用</w:t>
      </w:r>
      <w:r>
        <w:rPr>
          <w:rFonts w:hint="eastAsia" w:ascii="宋体" w:hAnsi="宋体" w:eastAsia="宋体" w:cs="宋体"/>
          <w:b/>
          <w:szCs w:val="21"/>
          <w:highlight w:val="none"/>
          <w:lang w:eastAsia="en-US"/>
        </w:rPr>
      </w:r>
      <w:r/>
    </w:p>
    <w:p>
      <w:pPr>
        <w:pStyle w:val="1047"/>
        <w:numPr>
          <w:ilvl w:val="0"/>
          <w:numId w:val="1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szCs w:val="21"/>
          <w:highlight w:val="none"/>
        </w:rPr>
      </w:r>
      <w:r/>
    </w:p>
    <w:p>
      <w:pPr>
        <w:pStyle w:val="1047"/>
        <w:numPr>
          <w:ilvl w:val="0"/>
          <w:numId w:val="19"/>
        </w:numPr>
        <w:ind w:firstLine="420"/>
        <w:rPr>
          <w:rFonts w:hint="eastAsia" w:ascii="宋体" w:hAnsi="宋体" w:eastAsia="宋体" w:cs="宋体"/>
          <w:szCs w:val="21"/>
          <w:highlight w:val="none"/>
        </w:rPr>
      </w:pPr>
      <w:r/>
      <w:bookmarkStart w:id="54" w:name="_Toc30521"/>
      <w:r/>
      <w:bookmarkStart w:id="55" w:name="_Toc17969"/>
      <w:r/>
      <w:bookmarkStart w:id="56" w:name="_Toc19595"/>
      <w:r/>
      <w:bookmarkStart w:id="57" w:name="_Toc209510683"/>
      <w:r/>
      <w:bookmarkStart w:id="58" w:name="_Toc209510618"/>
      <w:r/>
      <w:bookmarkStart w:id="59" w:name="_Toc1619"/>
      <w:r/>
      <w:bookmarkStart w:id="60" w:name="_Toc3953"/>
      <w:r>
        <w:rPr>
          <w:rFonts w:hint="eastAsia" w:ascii="宋体" w:hAnsi="宋体" w:eastAsia="宋体" w:cs="宋体"/>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szCs w:val="21"/>
          <w:highlight w:val="none"/>
        </w:rPr>
      </w:r>
      <w:r/>
    </w:p>
    <w:p>
      <w:pPr>
        <w:pStyle w:val="1047"/>
        <w:ind w:firstLine="420"/>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47"/>
              <w:ind w:right="241"/>
              <w:jc w:val="right"/>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分类</w:t>
            </w:r>
            <w:r>
              <w:rPr>
                <w:rFonts w:hint="eastAsia" w:ascii="宋体" w:hAnsi="宋体" w:eastAsia="宋体" w:cs="宋体"/>
                <w:bCs/>
                <w:szCs w:val="21"/>
                <w:highlight w:val="none"/>
              </w:rPr>
            </w:r>
            <w:r/>
          </w:p>
          <w:p>
            <w:pPr>
              <w:pStyle w:val="1047"/>
              <w:ind w:firstLine="210"/>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费率</w:t>
            </w:r>
            <w:r>
              <w:rPr>
                <w:rFonts w:hint="eastAsia" w:ascii="宋体" w:hAnsi="宋体" w:eastAsia="宋体" w:cs="宋体"/>
                <w:szCs w:val="21"/>
                <w:highlight w:val="none"/>
              </w:rPr>
            </w:r>
            <w:r/>
          </w:p>
        </w:tc>
        <w:tc>
          <w:tcPr>
            <w:tcW w:w="2332"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货物项目</w:t>
            </w:r>
            <w:r>
              <w:rPr>
                <w:rFonts w:hint="eastAsia" w:ascii="宋体" w:hAnsi="宋体" w:eastAsia="宋体" w:cs="宋体"/>
                <w:szCs w:val="21"/>
                <w:highlight w:val="none"/>
              </w:rPr>
            </w:r>
            <w:r/>
          </w:p>
        </w:tc>
        <w:tc>
          <w:tcPr>
            <w:tcW w:w="2259"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服务项目</w:t>
            </w:r>
            <w:r>
              <w:rPr>
                <w:rFonts w:hint="eastAsia" w:ascii="宋体" w:hAnsi="宋体" w:eastAsia="宋体" w:cs="宋体"/>
                <w:szCs w:val="21"/>
                <w:highlight w:val="none"/>
              </w:rPr>
            </w:r>
            <w:r/>
          </w:p>
        </w:tc>
        <w:tc>
          <w:tcPr>
            <w:tcW w:w="2277"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工程项目</w:t>
            </w:r>
            <w:r>
              <w:rPr>
                <w:rFonts w:hint="eastAsia" w:ascii="宋体" w:hAnsi="宋体" w:eastAsia="宋体" w:cs="宋体"/>
                <w:szCs w:val="21"/>
                <w:highlight w:val="none"/>
              </w:rPr>
            </w:r>
            <w:r/>
          </w:p>
        </w:tc>
      </w:tr>
      <w:tr>
        <w:trPr>
          <w:trHeight w:val="449"/>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中标金额（万元）</w:t>
            </w:r>
            <w:r>
              <w:rPr>
                <w:rFonts w:hint="eastAsia" w:ascii="宋体" w:hAnsi="宋体" w:eastAsia="宋体" w:cs="宋体"/>
                <w:szCs w:val="21"/>
                <w:highlight w:val="none"/>
              </w:rPr>
            </w:r>
            <w:r/>
          </w:p>
        </w:tc>
        <w:tc>
          <w:tcPr>
            <w:tcW w:w="2332"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9"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77"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100以下</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100-500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0.8%</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0.7%</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500-1000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0.8%</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0.45%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0.55%</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1000-5000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0.35%</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5000-10000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0.1%</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10000-100000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r>
      <w:tr>
        <w:trPr>
          <w:trHeight w:val="507"/>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1000000以上</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r>
    </w:tbl>
    <w:p>
      <w:pPr>
        <w:pStyle w:val="1047"/>
        <w:ind w:firstLine="638"/>
        <w:spacing w:before="24" w:line="560" w:lineRule="exact"/>
        <w:rPr>
          <w:rFonts w:hint="eastAsia" w:ascii="宋体" w:hAnsi="宋体" w:eastAsia="宋体" w:cs="宋体"/>
          <w:b/>
          <w:szCs w:val="21"/>
          <w:highlight w:val="none"/>
        </w:rPr>
      </w:pPr>
      <w:r>
        <w:rPr>
          <w:rFonts w:hint="eastAsia" w:ascii="宋体" w:hAnsi="宋体" w:eastAsia="宋体" w:cs="宋体"/>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szCs w:val="21"/>
          <w:highlight w:val="none"/>
        </w:rPr>
      </w:r>
      <w:r/>
    </w:p>
    <w:p>
      <w:pPr>
        <w:pStyle w:val="1047"/>
        <w:ind w:firstLine="420"/>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szCs w:val="21"/>
          <w:highlight w:val="none"/>
        </w:rPr>
      </w:r>
      <w:r/>
    </w:p>
    <w:p>
      <w:pPr>
        <w:pStyle w:val="1047"/>
        <w:ind w:firstLine="420"/>
        <w:jc w:val="center"/>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附：江苏省公证服务收费项目和试行标准表</w:t>
      </w:r>
      <w:r>
        <w:rPr>
          <w:rFonts w:hint="eastAsia" w:ascii="宋体" w:hAnsi="宋体" w:eastAsia="宋体" w:cs="宋体"/>
          <w:bCs/>
          <w:szCs w:val="21"/>
          <w:highlight w:val="none"/>
        </w:rPr>
      </w:r>
      <w:r/>
    </w:p>
    <w:p>
      <w:pPr>
        <w:pStyle w:val="1047"/>
        <w:ind w:firstLine="420"/>
        <w:jc w:val="center"/>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单位：元</w:t>
      </w:r>
      <w:r>
        <w:rPr>
          <w:rFonts w:hint="eastAsia" w:ascii="宋体" w:hAnsi="宋体" w:eastAsia="宋体" w:cs="宋体"/>
          <w:bCs/>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类别</w:t>
            </w:r>
            <w:r>
              <w:rPr>
                <w:rFonts w:hint="eastAsia" w:ascii="宋体" w:hAnsi="宋体" w:eastAsia="宋体" w:cs="宋体"/>
                <w:bCs/>
                <w:szCs w:val="21"/>
                <w:highlight w:val="none"/>
              </w:rPr>
            </w:r>
            <w:r/>
          </w:p>
        </w:tc>
        <w:tc>
          <w:tcPr>
            <w:tcW w:w="1480"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收费项目</w:t>
            </w:r>
            <w:r>
              <w:rPr>
                <w:rFonts w:hint="eastAsia" w:ascii="宋体" w:hAnsi="宋体" w:eastAsia="宋体" w:cs="宋体"/>
                <w:bCs/>
                <w:szCs w:val="21"/>
                <w:highlight w:val="none"/>
              </w:rPr>
            </w:r>
            <w:r/>
          </w:p>
        </w:tc>
        <w:tc>
          <w:tcPr>
            <w:tcW w:w="5270"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收费标准</w:t>
            </w:r>
            <w:r>
              <w:rPr>
                <w:rFonts w:hint="eastAsia" w:ascii="宋体" w:hAnsi="宋体" w:eastAsia="宋体" w:cs="宋体"/>
                <w:bCs/>
                <w:szCs w:val="21"/>
                <w:highlight w:val="none"/>
              </w:rPr>
            </w:r>
            <w:r/>
          </w:p>
        </w:tc>
        <w:tc>
          <w:tcPr>
            <w:tcW w:w="693"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rPr>
                <w:rFonts w:hint="eastAsia" w:ascii="宋体" w:hAnsi="宋体" w:eastAsia="宋体" w:cs="宋体"/>
                <w:bCs/>
                <w:szCs w:val="21"/>
                <w:highlight w:val="none"/>
              </w:rPr>
            </w:r>
            <w:r/>
          </w:p>
        </w:tc>
      </w:tr>
      <w:tr>
        <w:trPr>
          <w:trHeight w:val="369"/>
        </w:trPr>
        <w:tc>
          <w:tcPr>
            <w:tcW w:w="2024" w:type="dxa"/>
            <w:vAlign w:val="top"/>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一、证明法律行为</w:t>
            </w:r>
            <w:r>
              <w:rPr>
                <w:rFonts w:hint="eastAsia" w:ascii="宋体" w:hAnsi="宋体" w:eastAsia="宋体" w:cs="宋体"/>
                <w:szCs w:val="21"/>
                <w:highlight w:val="none"/>
              </w:rPr>
            </w:r>
            <w:r/>
          </w:p>
        </w:tc>
        <w:tc>
          <w:tcPr>
            <w:tcW w:w="148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27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3"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10"/>
        </w:trPr>
        <w:tc>
          <w:tcPr>
            <w:tcW w:w="2024" w:type="dxa"/>
            <w:vAlign w:val="center"/>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现场监督公证</w:t>
            </w:r>
            <w:r>
              <w:rPr>
                <w:rFonts w:hint="eastAsia" w:ascii="宋体" w:hAnsi="宋体" w:eastAsia="宋体" w:cs="宋体"/>
                <w:szCs w:val="21"/>
                <w:highlight w:val="none"/>
              </w:rPr>
            </w:r>
            <w:r/>
          </w:p>
        </w:tc>
        <w:tc>
          <w:tcPr>
            <w:tcW w:w="1480" w:type="dxa"/>
            <w:vAlign w:val="center"/>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证明招标投标、拍卖、挂牌等竞争性交易行为公证</w:t>
            </w:r>
            <w:r>
              <w:rPr>
                <w:rFonts w:hint="eastAsia" w:ascii="宋体" w:hAnsi="宋体" w:eastAsia="宋体" w:cs="宋体"/>
                <w:szCs w:val="21"/>
                <w:highlight w:val="none"/>
              </w:rPr>
            </w:r>
            <w:r/>
          </w:p>
        </w:tc>
        <w:tc>
          <w:tcPr>
            <w:tcW w:w="5270" w:type="dxa"/>
            <w:vAlign w:val="center"/>
            <w:textDirection w:val="lrTb"/>
            <w:noWrap w:val="false"/>
          </w:tcPr>
          <w:p>
            <w:pPr>
              <w:pStyle w:val="1047"/>
              <w:ind w:right="-118"/>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Cs w:val="21"/>
                <w:highlight w:val="none"/>
              </w:rPr>
            </w:r>
            <w:r/>
          </w:p>
        </w:tc>
        <w:tc>
          <w:tcPr>
            <w:tcW w:w="693"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7"/>
        <w:numPr>
          <w:ilvl w:val="0"/>
          <w:numId w:val="5"/>
        </w:numPr>
        <w:ind w:firstLine="422"/>
        <w:rPr>
          <w:rFonts w:hint="eastAsia" w:ascii="宋体" w:hAnsi="宋体" w:eastAsia="宋体" w:cs="宋体"/>
          <w:b/>
          <w:bCs/>
          <w:szCs w:val="21"/>
          <w:highlight w:val="none"/>
        </w:rPr>
        <w:outlineLvl w:val="1"/>
      </w:pPr>
      <w:r/>
      <w:bookmarkStart w:id="61" w:name="_Toc12016"/>
      <w:r>
        <w:rPr>
          <w:rFonts w:hint="eastAsia" w:ascii="宋体" w:hAnsi="宋体" w:eastAsia="宋体" w:cs="宋体"/>
          <w:b/>
          <w:bCs/>
          <w:szCs w:val="21"/>
          <w:highlight w:val="none"/>
        </w:rPr>
        <w:t xml:space="preserve">投标文件的递交</w:t>
      </w:r>
      <w:bookmarkEnd w:id="54"/>
      <w:r/>
      <w:bookmarkEnd w:id="55"/>
      <w:r/>
      <w:bookmarkEnd w:id="56"/>
      <w:r/>
      <w:bookmarkEnd w:id="57"/>
      <w:r/>
      <w:bookmarkEnd w:id="58"/>
      <w:r/>
      <w:bookmarkEnd w:id="59"/>
      <w:r/>
      <w:bookmarkEnd w:id="60"/>
      <w:r/>
      <w:bookmarkEnd w:id="61"/>
      <w:r>
        <w:rPr>
          <w:rFonts w:hint="eastAsia" w:ascii="宋体" w:hAnsi="宋体" w:eastAsia="宋体" w:cs="宋体"/>
          <w:b/>
          <w:bCs/>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2" w:name="_Toc209510684"/>
      <w:r>
        <w:rPr>
          <w:rFonts w:hint="eastAsia" w:ascii="宋体" w:hAnsi="宋体" w:eastAsia="宋体" w:cs="宋体"/>
          <w:b/>
          <w:bCs/>
          <w:szCs w:val="21"/>
          <w:highlight w:val="none"/>
        </w:rPr>
        <w:t xml:space="preserve">投标文件的递交</w:t>
      </w:r>
      <w:bookmarkEnd w:id="62"/>
      <w:r>
        <w:rPr>
          <w:rFonts w:hint="eastAsia" w:ascii="宋体" w:hAnsi="宋体" w:eastAsia="宋体" w:cs="宋体"/>
          <w:b/>
          <w:bCs/>
          <w:szCs w:val="21"/>
          <w:highlight w:val="none"/>
        </w:rPr>
      </w:r>
      <w:r/>
    </w:p>
    <w:p>
      <w:pPr>
        <w:pStyle w:val="1047"/>
        <w:ind w:firstLine="422"/>
        <w:jc w:val="left"/>
        <w:rPr>
          <w:rFonts w:hint="eastAsia" w:ascii="宋体" w:hAnsi="宋体" w:eastAsia="宋体" w:cs="宋体"/>
          <w:b/>
          <w:szCs w:val="21"/>
          <w:highlight w:val="none"/>
        </w:rPr>
      </w:pPr>
      <w:r>
        <w:rPr>
          <w:rFonts w:hint="eastAsia" w:ascii="宋体" w:hAnsi="宋体" w:eastAsia="宋体" w:cs="宋体"/>
          <w:b/>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3" w:name="_Toc209510685"/>
      <w:r>
        <w:rPr>
          <w:rFonts w:hint="eastAsia" w:ascii="宋体" w:hAnsi="宋体" w:eastAsia="宋体" w:cs="宋体"/>
          <w:b/>
          <w:bCs/>
          <w:szCs w:val="21"/>
          <w:highlight w:val="none"/>
        </w:rPr>
        <w:t xml:space="preserve">投标文件的解密</w:t>
      </w:r>
      <w:bookmarkEnd w:id="63"/>
      <w:r>
        <w:rPr>
          <w:rFonts w:hint="eastAsia" w:ascii="宋体" w:hAnsi="宋体" w:eastAsia="宋体" w:cs="宋体"/>
          <w:b/>
          <w:bCs/>
          <w:szCs w:val="21"/>
          <w:highlight w:val="none"/>
        </w:rPr>
      </w:r>
      <w:r/>
    </w:p>
    <w:p>
      <w:pPr>
        <w:pStyle w:val="1047"/>
        <w:numPr>
          <w:ilvl w:val="0"/>
          <w:numId w:val="2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作无效投标处理</w:t>
      </w:r>
      <w:r>
        <w:rPr>
          <w:rFonts w:hint="eastAsia" w:ascii="宋体" w:hAnsi="宋体" w:eastAsia="宋体" w:cs="宋体"/>
          <w:b/>
          <w:szCs w:val="21"/>
          <w:highlight w:val="none"/>
        </w:rPr>
      </w:r>
      <w:r/>
    </w:p>
    <w:p>
      <w:pPr>
        <w:pStyle w:val="1047"/>
        <w:numPr>
          <w:ilvl w:val="0"/>
          <w:numId w:val="2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4" w:name="_Toc209510686"/>
      <w:r>
        <w:rPr>
          <w:rFonts w:hint="eastAsia" w:ascii="宋体" w:hAnsi="宋体" w:eastAsia="宋体" w:cs="宋体"/>
          <w:b/>
          <w:bCs/>
          <w:szCs w:val="21"/>
          <w:highlight w:val="none"/>
        </w:rPr>
        <w:t xml:space="preserve">投标文件的修改和撤回</w:t>
      </w:r>
      <w:bookmarkEnd w:id="64"/>
      <w:r>
        <w:rPr>
          <w:rFonts w:hint="eastAsia" w:ascii="宋体" w:hAnsi="宋体" w:eastAsia="宋体" w:cs="宋体"/>
          <w:b/>
          <w:bCs/>
          <w:szCs w:val="21"/>
          <w:highlight w:val="none"/>
        </w:rPr>
      </w:r>
      <w:r/>
    </w:p>
    <w:p>
      <w:pPr>
        <w:pStyle w:val="1047"/>
        <w:numPr>
          <w:ilvl w:val="0"/>
          <w:numId w:val="22"/>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投标文件的撤回</w:t>
      </w:r>
      <w:r>
        <w:rPr>
          <w:rFonts w:hint="eastAsia" w:ascii="宋体" w:hAnsi="宋体" w:eastAsia="宋体" w:cs="宋体"/>
          <w:b/>
          <w:szCs w:val="21"/>
          <w:highlight w:val="none"/>
        </w:rPr>
      </w:r>
      <w:r/>
    </w:p>
    <w:p>
      <w:pPr>
        <w:pStyle w:val="1047"/>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投标人可在投标截止时间前撤回其电子投标文件，具体操作方法见《操作手册》。</w:t>
      </w:r>
      <w:r>
        <w:rPr>
          <w:rFonts w:hint="eastAsia" w:ascii="宋体" w:hAnsi="宋体" w:eastAsia="宋体" w:cs="宋体"/>
          <w:szCs w:val="21"/>
          <w:highlight w:val="none"/>
        </w:rPr>
      </w:r>
      <w:r/>
    </w:p>
    <w:p>
      <w:pPr>
        <w:pStyle w:val="1047"/>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投标人撤回电子投标文件，则认为其不再参与本项目投标活动。</w:t>
      </w:r>
      <w:r>
        <w:rPr>
          <w:rFonts w:hint="eastAsia" w:ascii="宋体" w:hAnsi="宋体" w:eastAsia="宋体" w:cs="宋体"/>
          <w:szCs w:val="21"/>
          <w:highlight w:val="none"/>
        </w:rPr>
      </w:r>
      <w:r/>
    </w:p>
    <w:p>
      <w:pPr>
        <w:pStyle w:val="1047"/>
        <w:numPr>
          <w:ilvl w:val="0"/>
          <w:numId w:val="22"/>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投标文件的修改</w:t>
      </w:r>
      <w:r>
        <w:rPr>
          <w:rFonts w:hint="eastAsia" w:ascii="宋体" w:hAnsi="宋体" w:eastAsia="宋体" w:cs="宋体"/>
          <w:b/>
          <w:bCs/>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投标人可在投标截止时间前对其电子投标文件进行修改，具体操作方法见《操作手册》。</w:t>
      </w:r>
      <w:r>
        <w:rPr>
          <w:rFonts w:hint="eastAsia" w:ascii="宋体" w:hAnsi="宋体" w:eastAsia="宋体" w:cs="宋体"/>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投标截止时间之后，投标人不得对其电子投标文件作任何修改。</w:t>
      </w:r>
      <w:r>
        <w:rPr>
          <w:rFonts w:hint="eastAsia" w:ascii="宋体" w:hAnsi="宋体" w:eastAsia="宋体" w:cs="宋体"/>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在投标截止时间至招标文件中规定的投标有效期满之间的这段时间内，投标人不得撤回其投标。</w:t>
      </w:r>
      <w:r>
        <w:rPr>
          <w:rFonts w:hint="eastAsia" w:ascii="宋体" w:hAnsi="宋体" w:eastAsia="宋体" w:cs="宋体"/>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5" w:name="_Toc209510687"/>
      <w:r>
        <w:rPr>
          <w:rFonts w:hint="eastAsia" w:ascii="宋体" w:hAnsi="宋体" w:eastAsia="宋体" w:cs="宋体"/>
          <w:b/>
          <w:bCs/>
          <w:szCs w:val="21"/>
          <w:highlight w:val="none"/>
        </w:rPr>
        <w:t xml:space="preserve">诚实信用</w:t>
      </w:r>
      <w:bookmarkEnd w:id="65"/>
      <w:r>
        <w:rPr>
          <w:rFonts w:hint="eastAsia" w:ascii="宋体" w:hAnsi="宋体" w:eastAsia="宋体" w:cs="宋体"/>
          <w:b/>
          <w:bCs/>
          <w:szCs w:val="21"/>
          <w:highlight w:val="none"/>
        </w:rPr>
      </w:r>
      <w:r/>
    </w:p>
    <w:p>
      <w:pPr>
        <w:pStyle w:val="1047"/>
        <w:numPr>
          <w:ilvl w:val="0"/>
          <w:numId w:val="2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highlight w:val="none"/>
        </w:rPr>
      </w:r>
      <w:r/>
    </w:p>
    <w:p>
      <w:pPr>
        <w:pStyle w:val="1047"/>
        <w:numPr>
          <w:ilvl w:val="0"/>
          <w:numId w:val="2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在评标过程中发现投标人有上述情形的，评标委员会应当认定其投标无效，并书面报告本级财政部门。</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66" w:name="_Toc209510619"/>
      <w:r/>
      <w:bookmarkStart w:id="67" w:name="_Toc18325"/>
      <w:r/>
      <w:bookmarkStart w:id="68" w:name="_Toc22917"/>
      <w:r/>
      <w:bookmarkStart w:id="69" w:name="_Toc24742"/>
      <w:r/>
      <w:bookmarkStart w:id="70" w:name="_Toc9280"/>
      <w:r/>
      <w:bookmarkStart w:id="71" w:name="_Toc29919"/>
      <w:r/>
      <w:bookmarkStart w:id="72" w:name="_Toc209510688"/>
      <w:r/>
      <w:bookmarkStart w:id="73" w:name="_Toc1446"/>
      <w:r>
        <w:rPr>
          <w:rFonts w:hint="eastAsia" w:ascii="宋体" w:hAnsi="宋体" w:eastAsia="宋体" w:cs="宋体"/>
          <w:b/>
          <w:bCs/>
          <w:szCs w:val="21"/>
          <w:highlight w:val="none"/>
        </w:rPr>
        <w:t xml:space="preserve">开标、评标与定标</w:t>
      </w:r>
      <w:bookmarkEnd w:id="66"/>
      <w:r/>
      <w:bookmarkEnd w:id="67"/>
      <w:r/>
      <w:bookmarkEnd w:id="68"/>
      <w:r/>
      <w:bookmarkEnd w:id="69"/>
      <w:r/>
      <w:bookmarkEnd w:id="70"/>
      <w:r/>
      <w:bookmarkEnd w:id="71"/>
      <w:r/>
      <w:bookmarkEnd w:id="72"/>
      <w:r/>
      <w:bookmarkEnd w:id="73"/>
      <w:r>
        <w:rPr>
          <w:rFonts w:hint="eastAsia" w:ascii="宋体" w:hAnsi="宋体" w:eastAsia="宋体" w:cs="宋体"/>
          <w:b/>
          <w:bCs/>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4" w:name="_Toc209510689"/>
      <w:r>
        <w:rPr>
          <w:rFonts w:hint="eastAsia" w:ascii="宋体" w:hAnsi="宋体" w:eastAsia="宋体" w:cs="宋体"/>
          <w:b/>
          <w:bCs/>
          <w:szCs w:val="21"/>
          <w:highlight w:val="none"/>
        </w:rPr>
        <w:t xml:space="preserve">开标</w:t>
      </w:r>
      <w:bookmarkEnd w:id="74"/>
      <w:r>
        <w:rPr>
          <w:rFonts w:hint="eastAsia" w:ascii="宋体" w:hAnsi="宋体" w:eastAsia="宋体" w:cs="宋体"/>
          <w:b/>
          <w:bCs/>
          <w:szCs w:val="21"/>
          <w:highlight w:val="none"/>
        </w:rPr>
      </w:r>
      <w:r/>
    </w:p>
    <w:p>
      <w:pPr>
        <w:pStyle w:val="1047"/>
        <w:numPr>
          <w:ilvl w:val="0"/>
          <w:numId w:val="27"/>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highlight w:val="none"/>
          <w:lang w:eastAsia="en-US"/>
        </w:rPr>
        <w:t xml:space="preserve">苏采云系统公布各投标人名称和投标价格。</w:t>
      </w:r>
      <w:r>
        <w:rPr>
          <w:rFonts w:hint="eastAsia" w:ascii="宋体" w:hAnsi="宋体" w:eastAsia="宋体" w:cs="宋体"/>
          <w:szCs w:val="21"/>
          <w:highlight w:val="none"/>
          <w:lang w:eastAsia="en-US"/>
        </w:rPr>
      </w:r>
      <w:r/>
    </w:p>
    <w:p>
      <w:pPr>
        <w:pStyle w:val="1047"/>
        <w:numPr>
          <w:ilvl w:val="0"/>
          <w:numId w:val="2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投标人在开标过程中涉及的投标文件解密、开标结果确认等工作，应按照《操作手册》规定执行。</w:t>
      </w:r>
      <w:r>
        <w:rPr>
          <w:rFonts w:hint="eastAsia" w:ascii="宋体" w:hAnsi="宋体" w:eastAsia="宋体" w:cs="宋体"/>
          <w:szCs w:val="21"/>
          <w:highlight w:val="none"/>
        </w:rPr>
      </w:r>
      <w:r/>
    </w:p>
    <w:p>
      <w:pPr>
        <w:pStyle w:val="1047"/>
        <w:numPr>
          <w:ilvl w:val="0"/>
          <w:numId w:val="27"/>
        </w:numPr>
        <w:ind w:firstLine="420"/>
        <w:rPr>
          <w:rFonts w:hint="eastAsia" w:ascii="宋体" w:hAnsi="宋体" w:eastAsia="宋体" w:cs="宋体"/>
          <w:szCs w:val="21"/>
          <w:highlight w:val="none"/>
        </w:rPr>
      </w:pPr>
      <w:r/>
      <w:bookmarkStart w:id="75" w:name="OLE_LINK5"/>
      <w:r>
        <w:rPr>
          <w:rFonts w:hint="eastAsia" w:ascii="宋体" w:hAnsi="宋体" w:eastAsia="宋体" w:cs="宋体"/>
          <w:szCs w:val="21"/>
          <w:highlight w:val="none"/>
        </w:rPr>
        <w:t xml:space="preserve">投标人不足3家的，不得开标。</w:t>
      </w:r>
      <w:r>
        <w:rPr>
          <w:rFonts w:hint="eastAsia" w:ascii="宋体" w:hAnsi="宋体" w:eastAsia="宋体" w:cs="宋体"/>
          <w:szCs w:val="21"/>
          <w:highlight w:val="none"/>
        </w:rPr>
      </w:r>
      <w:r/>
    </w:p>
    <w:p>
      <w:pPr>
        <w:pStyle w:val="1047"/>
        <w:numPr>
          <w:ilvl w:val="0"/>
          <w:numId w:val="27"/>
        </w:numPr>
        <w:ind w:firstLine="420"/>
        <w:rPr>
          <w:rFonts w:hint="eastAsia" w:ascii="宋体" w:hAnsi="宋体" w:eastAsia="宋体" w:cs="宋体"/>
          <w:szCs w:val="21"/>
          <w:highlight w:val="none"/>
        </w:rPr>
      </w:pPr>
      <w:r/>
      <w:bookmarkEnd w:id="75"/>
      <w:r>
        <w:rPr>
          <w:rFonts w:hint="eastAsia" w:ascii="宋体" w:hAnsi="宋体" w:eastAsia="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6" w:name="_Toc209510690"/>
      <w:r>
        <w:rPr>
          <w:rFonts w:hint="eastAsia" w:ascii="宋体" w:hAnsi="宋体" w:eastAsia="宋体" w:cs="宋体"/>
          <w:b/>
          <w:bCs/>
          <w:szCs w:val="21"/>
          <w:highlight w:val="none"/>
        </w:rPr>
        <w:t xml:space="preserve">评标</w:t>
      </w:r>
      <w:bookmarkEnd w:id="76"/>
      <w:r>
        <w:rPr>
          <w:rFonts w:hint="eastAsia" w:ascii="宋体" w:hAnsi="宋体" w:eastAsia="宋体" w:cs="宋体"/>
          <w:b/>
          <w:bCs/>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评标委员会</w:t>
      </w:r>
      <w:r>
        <w:rPr>
          <w:rFonts w:hint="eastAsia" w:ascii="宋体" w:hAnsi="宋体" w:eastAsia="宋体" w:cs="宋体"/>
          <w:b/>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评标由评标委员会（以下简称“评委会”）进行。</w:t>
      </w:r>
      <w:r>
        <w:rPr>
          <w:rFonts w:hint="eastAsia" w:ascii="宋体" w:hAnsi="宋体" w:eastAsia="宋体" w:cs="宋体"/>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评委会由采购人代表和有关技术、经济等方面的专家组成，且人员构成符合政府采购有关规定。</w:t>
      </w:r>
      <w:r>
        <w:rPr>
          <w:rFonts w:hint="eastAsia" w:ascii="宋体" w:hAnsi="宋体" w:eastAsia="宋体" w:cs="宋体"/>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评委会独立工作，负责评审所有投标文件并推荐中标候选人，或根据采购人授权直接确定中标人。</w:t>
      </w:r>
      <w:r>
        <w:rPr>
          <w:rFonts w:hint="eastAsia" w:ascii="宋体" w:hAnsi="宋体" w:eastAsia="宋体" w:cs="宋体"/>
          <w:bCs/>
          <w:szCs w:val="21"/>
          <w:highlight w:val="none"/>
        </w:rPr>
      </w:r>
      <w:r/>
    </w:p>
    <w:p>
      <w:pPr>
        <w:pStyle w:val="1047"/>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22.1.1评标委员会负责具体评标事务，并独立履行下列职责：</w:t>
      </w:r>
      <w:r>
        <w:rPr>
          <w:rFonts w:hint="eastAsia" w:ascii="宋体" w:hAnsi="宋体" w:eastAsia="宋体" w:cs="宋体"/>
          <w:b/>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审查、评价投标文件是否符合招标文件的商务、技术等实质性要求；</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要求投标人对投标文件有关事项作出澄清或者说明；</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对投标文件进行比较和评价；</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确定中标候选人名单，以及根据采购人委托直接确定中标人；</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向采购人、采购代理机构或者有关部门报告评标中发现的违法行为。</w:t>
      </w:r>
      <w:r>
        <w:rPr>
          <w:rFonts w:hint="eastAsia" w:ascii="宋体" w:hAnsi="宋体" w:eastAsia="宋体" w:cs="宋体"/>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评标程序</w:t>
      </w:r>
      <w:r>
        <w:rPr>
          <w:rFonts w:hint="eastAsia" w:ascii="宋体" w:hAnsi="宋体" w:eastAsia="宋体" w:cs="宋体"/>
          <w:b/>
          <w:bCs/>
          <w:szCs w:val="21"/>
          <w:highlight w:val="none"/>
        </w:rPr>
      </w:r>
      <w:r/>
    </w:p>
    <w:p>
      <w:pPr>
        <w:pStyle w:val="1047"/>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投标文件的资格性检查。</w:t>
      </w:r>
      <w:r>
        <w:rPr>
          <w:rFonts w:hint="eastAsia" w:ascii="宋体" w:hAnsi="宋体" w:eastAsia="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highlight w:val="none"/>
        </w:rPr>
      </w:r>
      <w:r/>
    </w:p>
    <w:p>
      <w:pPr>
        <w:pStyle w:val="1047"/>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投标人在“苏采云”系统规定的时间内未成功解密电子投标文件的；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投标人未按照招标文件要求上传电子投标文件的；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同一投标人提交两个（含两个）以上不同的投标报价的；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投标文件未按照招标文件要求加盖电子公章的；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不具备招标文件中规定的资格要求的；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报价超过招标文件中规定的预算金额或者最高限价的；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投标文件含有采购人不能接受的附加条件的；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投标文件内容不全或不符合招标文件中规定的其他实质性要求的；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现行法律、法规、规章和招标文件规定的其他无效情形。</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实质性要求是指本招标文件中用带星号（“★”）等或者其他明确要求的废标的商务和技术要求。</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有下列情形之一的予以废标：</w:t>
      </w:r>
      <w:r>
        <w:rPr>
          <w:rFonts w:hint="eastAsia" w:ascii="宋体" w:hAnsi="宋体" w:eastAsia="宋体" w:cs="宋体"/>
          <w:b/>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符合专业条件的投标人或者对招标文件作实质性响应的投标人不足三家的；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出现影响采购公正的违法、违规行为的；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投标人的报价均超过了采购预算，采购人不能支付的；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因苏采云系统故障造成开标不成功的；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因重大变故，采购任务取消的。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szCs w:val="21"/>
          <w:highlight w:val="none"/>
        </w:rPr>
      </w:r>
      <w:r/>
    </w:p>
    <w:p>
      <w:pPr>
        <w:pStyle w:val="1047"/>
        <w:numPr>
          <w:ilvl w:val="0"/>
          <w:numId w:val="31"/>
        </w:numPr>
        <w:ind w:firstLine="422"/>
        <w:rPr>
          <w:rFonts w:hint="eastAsia" w:ascii="宋体" w:hAnsi="宋体" w:eastAsia="宋体" w:cs="宋体"/>
          <w:szCs w:val="21"/>
          <w:highlight w:val="none"/>
          <w:lang w:eastAsia="en-US"/>
        </w:rPr>
      </w:pPr>
      <w:r>
        <w:rPr>
          <w:rFonts w:hint="eastAsia" w:ascii="宋体" w:hAnsi="宋体" w:eastAsia="宋体" w:cs="宋体"/>
          <w:b/>
          <w:szCs w:val="21"/>
          <w:highlight w:val="none"/>
          <w:lang w:eastAsia="en-US"/>
        </w:rPr>
        <w:t xml:space="preserve">澄清有关问题</w:t>
      </w:r>
      <w:r>
        <w:rPr>
          <w:rFonts w:hint="eastAsia" w:ascii="宋体" w:hAnsi="宋体" w:eastAsia="宋体" w:cs="宋体"/>
          <w:szCs w:val="21"/>
          <w:highlight w:val="none"/>
          <w:lang w:eastAsia="en-US"/>
        </w:rPr>
        <w:t xml:space="preserve">。</w:t>
      </w:r>
      <w:r>
        <w:rPr>
          <w:rFonts w:hint="eastAsia" w:ascii="宋体" w:hAnsi="宋体" w:eastAsia="宋体" w:cs="宋体"/>
          <w:szCs w:val="21"/>
          <w:highlight w:val="none"/>
          <w:lang w:eastAsia="en-US"/>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评委会并非对每个投标人都作出澄清要求。</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接到评委会澄清、说明和补正要求的，投标人如未按规定作出澄清、说明和补正，其风险由投标人自行承担。</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highlight w:val="none"/>
        </w:rPr>
      </w:r>
      <w:r/>
    </w:p>
    <w:p>
      <w:pPr>
        <w:pStyle w:val="1047"/>
        <w:numPr>
          <w:ilvl w:val="0"/>
          <w:numId w:val="3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highlight w:val="none"/>
        </w:rPr>
      </w:r>
      <w:r/>
    </w:p>
    <w:p>
      <w:pPr>
        <w:pStyle w:val="1047"/>
        <w:numPr>
          <w:ilvl w:val="0"/>
          <w:numId w:val="31"/>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相同品牌产品的投标</w:t>
      </w:r>
      <w:r>
        <w:rPr>
          <w:rFonts w:hint="eastAsia" w:ascii="宋体" w:hAnsi="宋体" w:eastAsia="宋体" w:cs="宋体"/>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highlight w:val="none"/>
        </w:rPr>
      </w:r>
      <w:r/>
    </w:p>
    <w:p>
      <w:pPr>
        <w:pStyle w:val="1047"/>
        <w:ind w:left="118" w:firstLine="422"/>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highlight w:val="none"/>
        </w:rPr>
      </w:r>
      <w:r/>
    </w:p>
    <w:p>
      <w:pPr>
        <w:pStyle w:val="1047"/>
        <w:ind w:left="118" w:firstLine="422"/>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评标方法和标准</w:t>
      </w:r>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22.3.2评审过程中出现下列情形之一的，评审委员会应当启动异常低价投标(响应)审查程序:</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（3）投标（响应）报价低于采购项目最高限价45%的，即投标（响应）报价&lt;采购项目最高限价×45%；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（4）评审委员会基于专业判断，认为供应商报价过低，有可能影响产品质量或者不能诚信履约的其他情形。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7" w:name="_Toc209510691"/>
      <w:r>
        <w:rPr>
          <w:rFonts w:hint="eastAsia" w:ascii="宋体" w:hAnsi="宋体" w:eastAsia="宋体" w:cs="宋体"/>
          <w:b/>
          <w:bCs/>
          <w:szCs w:val="21"/>
          <w:highlight w:val="none"/>
        </w:rPr>
        <w:t xml:space="preserve">确定中标人</w:t>
      </w:r>
      <w:bookmarkEnd w:id="77"/>
      <w:r>
        <w:rPr>
          <w:rFonts w:hint="eastAsia" w:ascii="宋体" w:hAnsi="宋体" w:eastAsia="宋体" w:cs="宋体"/>
          <w:b/>
          <w:bCs/>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按以下第（2）种方式确定中标人：</w:t>
      </w:r>
      <w:r>
        <w:rPr>
          <w:rFonts w:hint="eastAsia" w:ascii="宋体" w:hAnsi="宋体" w:eastAsia="宋体" w:cs="宋体"/>
          <w:szCs w:val="21"/>
          <w:highlight w:val="none"/>
        </w:rPr>
      </w:r>
      <w:r/>
    </w:p>
    <w:p>
      <w:pPr>
        <w:pStyle w:val="1047"/>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评委会直接确定排名第一的中标候选人为中标人；</w:t>
      </w:r>
      <w:r>
        <w:rPr>
          <w:rFonts w:hint="eastAsia" w:ascii="宋体" w:hAnsi="宋体" w:eastAsia="宋体" w:cs="宋体"/>
          <w:szCs w:val="21"/>
          <w:highlight w:val="none"/>
        </w:rPr>
      </w:r>
      <w:r/>
    </w:p>
    <w:p>
      <w:pPr>
        <w:pStyle w:val="1047"/>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采购人在评委会推荐的中标候选人中按顺序确定中标人。</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中标人确定后，将在“江苏政府采购网”发布中标公告，公告期限为1个工作日。</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8" w:name="_Toc209510692"/>
      <w:r>
        <w:rPr>
          <w:rFonts w:hint="eastAsia" w:ascii="宋体" w:hAnsi="宋体" w:eastAsia="宋体" w:cs="宋体"/>
          <w:b/>
          <w:bCs/>
          <w:szCs w:val="21"/>
          <w:highlight w:val="none"/>
        </w:rPr>
        <w:t xml:space="preserve">中标通知书</w:t>
      </w:r>
      <w:bookmarkEnd w:id="78"/>
      <w:r>
        <w:rPr>
          <w:rFonts w:hint="eastAsia" w:ascii="宋体" w:hAnsi="宋体" w:eastAsia="宋体" w:cs="宋体"/>
          <w:b/>
          <w:bCs/>
          <w:szCs w:val="21"/>
          <w:highlight w:val="none"/>
        </w:rPr>
      </w:r>
      <w:r/>
    </w:p>
    <w:p>
      <w:pPr>
        <w:pStyle w:val="1047"/>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highlight w:val="none"/>
        </w:rPr>
      </w:r>
      <w:r/>
    </w:p>
    <w:p>
      <w:pPr>
        <w:pStyle w:val="1047"/>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9" w:name="_Toc209510693"/>
      <w:r>
        <w:rPr>
          <w:rFonts w:hint="eastAsia" w:ascii="宋体" w:hAnsi="宋体" w:eastAsia="宋体" w:cs="宋体"/>
          <w:b/>
          <w:bCs/>
          <w:szCs w:val="21"/>
          <w:highlight w:val="none"/>
        </w:rPr>
        <w:t xml:space="preserve">评标过程的保密性</w:t>
      </w:r>
      <w:bookmarkEnd w:id="79"/>
      <w:r>
        <w:rPr>
          <w:rFonts w:hint="eastAsia" w:ascii="宋体" w:hAnsi="宋体" w:eastAsia="宋体" w:cs="宋体"/>
          <w:b/>
          <w:bCs/>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凡是与审查、澄清、评价和比较投标有关的资料以及投标建议等，采购人、评委均不得向投标人或与评标无关的其他人员透露。</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投标人不得以任何方式影响评标，否则其投标文件将被作为无效投标文件。</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采购人和评委会不向未中标的投标人解释未中标原因，也不公布评标过程中的相关细节。</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80" w:name="_Toc464"/>
      <w:r/>
      <w:bookmarkStart w:id="81" w:name="_Toc22453"/>
      <w:r/>
      <w:bookmarkStart w:id="82" w:name="_Toc209510694"/>
      <w:r/>
      <w:bookmarkStart w:id="83" w:name="_Toc7293"/>
      <w:r/>
      <w:bookmarkStart w:id="84" w:name="_Toc15223"/>
      <w:r/>
      <w:bookmarkStart w:id="85" w:name="_Toc7387"/>
      <w:r/>
      <w:bookmarkStart w:id="86" w:name="_Toc209510620"/>
      <w:r/>
      <w:bookmarkStart w:id="87" w:name="_Toc17865"/>
      <w:r>
        <w:rPr>
          <w:rFonts w:hint="eastAsia" w:ascii="宋体" w:hAnsi="宋体" w:eastAsia="宋体" w:cs="宋体"/>
          <w:b/>
          <w:bCs/>
          <w:szCs w:val="21"/>
          <w:highlight w:val="none"/>
        </w:rPr>
        <w:t xml:space="preserve">签订合同</w:t>
      </w:r>
      <w:bookmarkEnd w:id="80"/>
      <w:r/>
      <w:bookmarkEnd w:id="81"/>
      <w:r/>
      <w:bookmarkEnd w:id="82"/>
      <w:r/>
      <w:bookmarkEnd w:id="83"/>
      <w:r/>
      <w:bookmarkEnd w:id="84"/>
      <w:r/>
      <w:bookmarkEnd w:id="85"/>
      <w:r/>
      <w:bookmarkEnd w:id="86"/>
      <w:r/>
      <w:bookmarkEnd w:id="87"/>
      <w:r>
        <w:rPr>
          <w:rFonts w:hint="eastAsia" w:ascii="宋体" w:hAnsi="宋体" w:eastAsia="宋体" w:cs="宋体"/>
          <w:b/>
          <w:bCs/>
          <w:szCs w:val="21"/>
          <w:highlight w:val="none"/>
        </w:rPr>
      </w:r>
      <w:r/>
    </w:p>
    <w:p>
      <w:pPr>
        <w:pStyle w:val="1047"/>
        <w:ind w:firstLine="422"/>
        <w:rPr>
          <w:rFonts w:hint="eastAsia" w:ascii="宋体" w:hAnsi="宋体" w:eastAsia="宋体" w:cs="宋体"/>
          <w:b/>
          <w:bCs/>
          <w:szCs w:val="21"/>
          <w:highlight w:val="none"/>
        </w:rPr>
      </w:pPr>
      <w:r/>
      <w:bookmarkStart w:id="88" w:name="_Toc209510695"/>
      <w:r>
        <w:rPr>
          <w:rFonts w:hint="eastAsia" w:ascii="宋体" w:hAnsi="宋体" w:eastAsia="宋体" w:cs="宋体"/>
          <w:b/>
          <w:bCs/>
          <w:szCs w:val="21"/>
          <w:highlight w:val="none"/>
        </w:rPr>
        <w:t xml:space="preserve">26、签订合同</w:t>
      </w:r>
      <w:bookmarkEnd w:id="88"/>
      <w:r>
        <w:rPr>
          <w:rFonts w:hint="eastAsia" w:ascii="宋体" w:hAnsi="宋体" w:eastAsia="宋体" w:cs="宋体"/>
          <w:b/>
          <w:bCs/>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中标人应当在《中标通知书》发出之日起三十日内，按照招标文件确定的事项与采购人签订政府采购合同。</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招标文件、中标人的投标文件及招标过程中有关澄清、承诺文件均作为合同附件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采购人与中标人应当根据合同的约定依法履行合同义务。</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89" w:name="_Toc28967"/>
      <w:r/>
      <w:bookmarkStart w:id="90" w:name="_Toc22926"/>
      <w:r/>
      <w:bookmarkStart w:id="91" w:name="_Toc10685"/>
      <w:r/>
      <w:bookmarkStart w:id="92" w:name="_Toc209510621"/>
      <w:r/>
      <w:bookmarkStart w:id="93" w:name="_Toc209510696"/>
      <w:r/>
      <w:bookmarkStart w:id="94" w:name="_Toc32328"/>
      <w:r/>
      <w:bookmarkStart w:id="95" w:name="_Toc8885"/>
      <w:r/>
      <w:bookmarkStart w:id="96" w:name="_Toc24959"/>
      <w:r>
        <w:rPr>
          <w:rFonts w:hint="eastAsia" w:ascii="宋体" w:hAnsi="宋体" w:eastAsia="宋体" w:cs="宋体"/>
          <w:b/>
          <w:bCs/>
          <w:szCs w:val="21"/>
          <w:highlight w:val="none"/>
        </w:rPr>
        <w:t xml:space="preserve">质疑和投诉</w:t>
      </w:r>
      <w:bookmarkEnd w:id="89"/>
      <w:r/>
      <w:bookmarkEnd w:id="90"/>
      <w:r/>
      <w:bookmarkEnd w:id="91"/>
      <w:r/>
      <w:bookmarkEnd w:id="92"/>
      <w:r/>
      <w:bookmarkEnd w:id="93"/>
      <w:r/>
      <w:bookmarkEnd w:id="94"/>
      <w:r/>
      <w:bookmarkEnd w:id="95"/>
      <w:r/>
      <w:bookmarkEnd w:id="96"/>
      <w:r>
        <w:rPr>
          <w:rFonts w:hint="eastAsia" w:ascii="宋体" w:hAnsi="宋体" w:eastAsia="宋体" w:cs="宋体"/>
          <w:b/>
          <w:bCs/>
          <w:szCs w:val="21"/>
          <w:highlight w:val="none"/>
        </w:rPr>
      </w:r>
      <w:r/>
    </w:p>
    <w:p>
      <w:pPr>
        <w:pStyle w:val="1047"/>
        <w:ind w:firstLine="422"/>
        <w:rPr>
          <w:rFonts w:hint="eastAsia" w:ascii="宋体" w:hAnsi="宋体" w:eastAsia="宋体" w:cs="宋体"/>
          <w:b/>
          <w:bCs/>
          <w:szCs w:val="21"/>
          <w:highlight w:val="none"/>
        </w:rPr>
      </w:pPr>
      <w:r/>
      <w:bookmarkStart w:id="97" w:name="_Toc209510622"/>
      <w:r/>
      <w:bookmarkStart w:id="98" w:name="_Toc29346"/>
      <w:r/>
      <w:bookmarkStart w:id="99" w:name="_Toc209510697"/>
      <w:r/>
      <w:bookmarkStart w:id="100" w:name="_Toc7947"/>
      <w:r>
        <w:rPr>
          <w:rFonts w:hint="eastAsia" w:ascii="宋体" w:hAnsi="宋体" w:eastAsia="宋体" w:cs="宋体"/>
          <w:b/>
          <w:bCs/>
          <w:szCs w:val="21"/>
          <w:highlight w:val="none"/>
        </w:rPr>
        <w:t xml:space="preserve">27.询问</w:t>
      </w:r>
      <w:bookmarkEnd w:id="97"/>
      <w:r/>
      <w:bookmarkEnd w:id="98"/>
      <w:r/>
      <w:bookmarkEnd w:id="99"/>
      <w:r/>
      <w:bookmarkEnd w:id="100"/>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highlight w:val="none"/>
        </w:rPr>
      </w:r>
      <w:r/>
    </w:p>
    <w:p>
      <w:pPr>
        <w:pStyle w:val="1047"/>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28.质疑</w:t>
      </w:r>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28.1供应商的质疑行为应符合《政府采购质疑和投诉办法》（财政部令第94号）相关规定，质疑供应商是指直接参加本次采购活动的供应商，对未参加采购活动的供应商或在采购活动中自身权益未受到损害的供应商所提出的质疑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28.3上述应知其权益受到损害之日是指：</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（1）对招标文件提出质疑的，自招标文件公告期限届满之日起计算；</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（2）对采购过程提出质疑的，自采购程序环节结束之日起计算；</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（3）对中标/成交结果提出质疑的，自中标/成交结果公告期限届满之日起计算。  </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28.4 质疑文件应包括以下主要内容，并按照“谁主张、谁举证”的原则，附上相关证明材料。否则，代理人不予受理：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（1）质疑项目名称、项目编号、采购公告发布时间、开标时间；</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（2）提起质疑的日期、具体的质疑事项及事实根据（具体条款）；</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（3）认为自己合法权益受到损害或可能受到损害的相关证据材料。</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（4）质疑供应商名称、地址、邮编、联系人、联系电话（包括座机、手机、传真号码等）；</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（6）供应商委托代理质疑的，应当提交授权委托书，并载明委托代理的具体权限和事项。</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28.5质疑材料接收信息：</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（3）联系电话：025-84795433/5991</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28.6 以下情形的质疑不予受理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（1）内容不符合《政府采购质疑和投诉办法》第十二条规定的质疑。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（2）超出政府采购法定期限的质疑。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（3）以传真、电子邮件等方式递交的非原件形式的质疑。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（4）未参加采购活动的供应商或在采购活动中自身权益未受到损害的供应商所提出的质疑。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（5）供应商组成联合体参加投标，联合体中任何一方或多方未按要求签字、盖章、加盖公章的质疑。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highlight w:val="none"/>
        </w:rPr>
      </w:r>
      <w:r/>
    </w:p>
    <w:p>
      <w:pPr>
        <w:pStyle w:val="1047"/>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29.投诉</w:t>
      </w:r>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29.2质疑供应商的投诉应当有明确的请求和必要的证明材料，其投诉的事项不得超出已质疑事项的范围。</w:t>
      </w:r>
      <w:r>
        <w:rPr>
          <w:rFonts w:hint="eastAsia" w:ascii="宋体" w:hAnsi="宋体" w:eastAsia="宋体" w:cs="宋体"/>
          <w:szCs w:val="21"/>
          <w:highlight w:val="none"/>
        </w:rPr>
      </w:r>
      <w:r/>
    </w:p>
    <w:p>
      <w:pPr>
        <w:pStyle w:val="1047"/>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r>
      <w:r/>
    </w:p>
    <w:p>
      <w:pPr>
        <w:pStyle w:val="1048"/>
        <w:ind w:firstLine="0"/>
        <w:spacing w:before="480"/>
        <w:tabs>
          <w:tab w:val="left" w:pos="1440" w:leader="none"/>
          <w:tab w:val="left" w:pos="5670" w:leader="none"/>
        </w:tabs>
        <w:rPr>
          <w:rFonts w:hint="eastAsia" w:ascii="宋体" w:hAnsi="宋体" w:eastAsia="宋体" w:cs="宋体"/>
          <w:highlight w:val="none"/>
        </w:rPr>
      </w:pPr>
      <w:r/>
      <w:bookmarkStart w:id="101" w:name="_Toc14754"/>
      <w:r>
        <w:rPr>
          <w:rFonts w:hint="eastAsia" w:ascii="宋体" w:hAnsi="宋体" w:eastAsia="宋体" w:cs="宋体"/>
          <w:highlight w:val="none"/>
        </w:rPr>
        <w:t xml:space="preserve">第三章 评分标准</w:t>
      </w:r>
      <w:bookmarkEnd w:id="30"/>
      <w:r/>
      <w:bookmarkEnd w:id="31"/>
      <w:r/>
      <w:bookmarkEnd w:id="101"/>
      <w:r>
        <w:rPr>
          <w:rFonts w:hint="eastAsia" w:ascii="宋体" w:hAnsi="宋体" w:eastAsia="宋体" w:cs="宋体"/>
          <w:highlight w:val="none"/>
        </w:rPr>
      </w:r>
      <w:r/>
    </w:p>
    <w:p>
      <w:pPr>
        <w:pStyle w:val="1047"/>
        <w:ind w:firstLine="440"/>
        <w:rPr>
          <w:rFonts w:hint="eastAsia" w:ascii="宋体" w:hAnsi="宋体" w:eastAsia="宋体" w:cs="宋体"/>
          <w:sz w:val="22"/>
          <w:szCs w:val="22"/>
          <w:highlight w:val="none"/>
        </w:rPr>
      </w:pPr>
      <w:r/>
      <w:bookmarkStart w:id="102"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1047"/>
        <w:ind w:firstLine="442"/>
        <w:rPr>
          <w:rFonts w:hint="eastAsia" w:ascii="宋体" w:hAnsi="宋体" w:eastAsia="宋体" w:cs="宋体"/>
          <w:sz w:val="22"/>
          <w:szCs w:val="22"/>
          <w:highlight w:val="none"/>
        </w:rPr>
      </w:pPr>
      <w:r/>
      <w:bookmarkEnd w:id="102"/>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1047"/>
        <w:ind w:firstLine="442"/>
        <w:rPr>
          <w:rFonts w:hint="eastAsia" w:ascii="宋体" w:hAnsi="宋体" w:eastAsia="宋体" w:cs="宋体"/>
          <w:b/>
          <w:sz w:val="22"/>
          <w:szCs w:val="22"/>
          <w:highlight w:val="none"/>
        </w:rPr>
        <w:outlineLvl w:val="1"/>
      </w:pPr>
      <w:r/>
      <w:bookmarkStart w:id="103" w:name="_Toc738"/>
      <w:r>
        <w:rPr>
          <w:rFonts w:hint="eastAsia" w:ascii="宋体" w:hAnsi="宋体" w:eastAsia="宋体" w:cs="宋体"/>
          <w:b/>
          <w:sz w:val="22"/>
          <w:szCs w:val="22"/>
          <w:highlight w:val="none"/>
        </w:rPr>
        <w:t xml:space="preserve">一、资格性审查</w:t>
      </w:r>
      <w:bookmarkEnd w:id="103"/>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47"/>
        <w:ind w:firstLine="442"/>
        <w:rPr>
          <w:rFonts w:hint="eastAsia" w:ascii="宋体" w:hAnsi="宋体" w:eastAsia="宋体" w:cs="宋体"/>
          <w:b/>
          <w:sz w:val="22"/>
          <w:szCs w:val="22"/>
          <w:highlight w:val="none"/>
        </w:rPr>
        <w:outlineLvl w:val="1"/>
      </w:pPr>
      <w:r/>
      <w:bookmarkStart w:id="104" w:name="_Toc9897"/>
      <w:r>
        <w:rPr>
          <w:rFonts w:hint="eastAsia" w:ascii="宋体" w:hAnsi="宋体" w:eastAsia="宋体" w:cs="宋体"/>
          <w:b/>
          <w:sz w:val="22"/>
          <w:szCs w:val="22"/>
          <w:highlight w:val="none"/>
        </w:rPr>
        <w:t xml:space="preserve">二、符合性审查</w:t>
      </w:r>
      <w:bookmarkEnd w:id="104"/>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47"/>
        <w:ind w:firstLine="442"/>
        <w:rPr>
          <w:rFonts w:hint="eastAsia" w:ascii="宋体" w:hAnsi="宋体" w:eastAsia="宋体" w:cs="宋体"/>
          <w:b/>
          <w:sz w:val="22"/>
          <w:szCs w:val="22"/>
          <w:highlight w:val="none"/>
        </w:rPr>
        <w:outlineLvl w:val="1"/>
      </w:pPr>
      <w:r/>
      <w:bookmarkStart w:id="105" w:name="_Toc7288"/>
      <w:r/>
      <w:bookmarkStart w:id="106" w:name="_Toc10350"/>
      <w:r>
        <w:rPr>
          <w:rFonts w:hint="eastAsia" w:ascii="宋体" w:hAnsi="宋体" w:eastAsia="宋体" w:cs="宋体"/>
          <w:b/>
          <w:sz w:val="22"/>
          <w:szCs w:val="22"/>
          <w:highlight w:val="none"/>
        </w:rPr>
        <w:t xml:space="preserve">三、异常低价投标（响应）审查</w:t>
      </w:r>
      <w:bookmarkEnd w:id="105"/>
      <w:r/>
      <w:bookmarkEnd w:id="106"/>
      <w:r>
        <w:rPr>
          <w:rFonts w:hint="eastAsia" w:ascii="宋体" w:hAnsi="宋体" w:eastAsia="宋体" w:cs="宋体"/>
          <w:b/>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（3）投标（响应）报价低于采购项目最高限价45%的，即投标（响应）报价&lt;采购项目最高限价×45%；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1047"/>
        <w:numPr>
          <w:ilvl w:val="0"/>
          <w:numId w:val="41"/>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outlineLvl w:val="1"/>
      </w:pPr>
      <w:r/>
      <w:bookmarkStart w:id="107" w:name="_Toc28697"/>
      <w:r>
        <w:rPr>
          <w:rFonts w:hint="eastAsia" w:ascii="宋体" w:hAnsi="宋体" w:eastAsia="宋体" w:cs="宋体"/>
          <w:b/>
          <w:sz w:val="22"/>
          <w:szCs w:val="22"/>
          <w:highlight w:val="none"/>
        </w:rPr>
        <w:t xml:space="preserve">四、评分表（综合评分法）</w:t>
      </w:r>
      <w:bookmarkEnd w:id="107"/>
      <w:r>
        <w:rPr>
          <w:rFonts w:hint="eastAsia" w:ascii="宋体" w:hAnsi="宋体" w:eastAsia="宋体" w:cs="宋体"/>
          <w:b/>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06"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968"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57"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406" w:type="dxa"/>
            <w:vAlign w:val="center"/>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技术响应（</w:t>
            </w:r>
            <w:r>
              <w:rPr>
                <w:rFonts w:ascii="宋体" w:hAnsi="宋体" w:eastAsia="宋体" w:cs="宋体"/>
                <w:szCs w:val="21"/>
                <w:highlight w:val="none"/>
              </w:rPr>
              <w:t xml:space="preserve">44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设备技术参数及商务要求全部满足招标要求的得满分</w:t>
            </w:r>
            <w:r>
              <w:rPr>
                <w:rFonts w:hint="eastAsia" w:ascii="宋体" w:hAnsi="宋体" w:eastAsia="宋体" w:cs="宋体"/>
                <w:b/>
                <w:bCs/>
                <w:szCs w:val="21"/>
                <w:highlight w:val="none"/>
              </w:rPr>
              <w:t xml:space="preserve">3</w:t>
            </w:r>
            <w:r>
              <w:rPr>
                <w:rFonts w:ascii="宋体" w:hAnsi="宋体" w:eastAsia="宋体" w:cs="宋体"/>
                <w:b/>
                <w:bCs/>
                <w:szCs w:val="21"/>
                <w:highlight w:val="none"/>
              </w:rPr>
              <w:t xml:space="preserve">6</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在此基础上，招标文件中标注“</w:t>
            </w:r>
            <w:r>
              <w:rPr>
                <w:rFonts w:hint="eastAsia" w:ascii="宋体" w:hAnsi="宋体" w:eastAsia="宋体" w:cs="宋体"/>
                <w:szCs w:val="21"/>
                <w:highlight w:val="none"/>
              </w:rPr>
              <w:t xml:space="preserve">★”的</w:t>
            </w:r>
            <w:r>
              <w:rPr>
                <w:rFonts w:hint="eastAsia" w:ascii="宋体" w:hAnsi="宋体" w:eastAsia="宋体" w:cs="宋体"/>
                <w:b/>
                <w:bCs/>
                <w:szCs w:val="21"/>
                <w:highlight w:val="none"/>
              </w:rPr>
              <w:t xml:space="preserve">条款为实质性要求，有一项负偏离，作无效投标处理。</w:t>
            </w:r>
            <w:r>
              <w:rPr>
                <w:rFonts w:ascii="宋体" w:hAnsi="宋体" w:eastAsia="宋体" w:cs="宋体"/>
                <w:b/>
                <w:bCs/>
                <w:szCs w:val="21"/>
                <w:highlight w:val="none"/>
              </w:rPr>
              <w:t xml:space="preserve">招标文件中标注“▲”的为重要参数，每负偏离一项扣</w:t>
            </w:r>
            <w:r>
              <w:rPr>
                <w:rFonts w:hint="eastAsia" w:ascii="宋体" w:hAnsi="宋体" w:eastAsia="宋体"/>
                <w:b/>
                <w:highlight w:val="none"/>
              </w:rPr>
              <w:t xml:space="preserve">1.5</w:t>
            </w:r>
            <w:r>
              <w:rPr>
                <w:rFonts w:ascii="宋体" w:hAnsi="宋体" w:eastAsia="宋体" w:cs="宋体"/>
                <w:b/>
                <w:bCs/>
                <w:szCs w:val="21"/>
                <w:highlight w:val="none"/>
              </w:rPr>
              <w:t xml:space="preserve">分</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其他非重要技术条款每有一项负偏离扣</w:t>
            </w:r>
            <w:r>
              <w:rPr>
                <w:rFonts w:hint="eastAsia" w:ascii="宋体" w:hAnsi="宋体" w:eastAsia="宋体" w:cs="宋体"/>
                <w:b/>
                <w:bCs/>
                <w:szCs w:val="21"/>
                <w:highlight w:val="none"/>
              </w:rPr>
              <w:t xml:space="preserve">0.2分</w:t>
            </w:r>
            <w:r>
              <w:rPr>
                <w:rFonts w:hint="eastAsia" w:ascii="宋体" w:hAnsi="宋体" w:eastAsia="宋体" w:cs="宋体"/>
                <w:szCs w:val="21"/>
                <w:highlight w:val="none"/>
              </w:rPr>
              <w:t xml:space="preserve">，扣完为止。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szCs w:val="21"/>
                <w:highlight w:val="none"/>
              </w:rPr>
              <w:t xml:space="preserve">所有对招标文件标注</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★”和</w:t>
            </w:r>
            <w:r>
              <w:rPr>
                <w:rFonts w:ascii="宋体" w:hAnsi="宋体" w:eastAsia="宋体" w:cs="宋体"/>
                <w:b/>
                <w:bCs/>
                <w:szCs w:val="21"/>
                <w:highlight w:val="none"/>
              </w:rPr>
              <w:t xml:space="preserve">“▲”</w:t>
            </w:r>
            <w:r>
              <w:rPr>
                <w:rFonts w:hint="eastAsia" w:ascii="宋体" w:hAnsi="宋体" w:eastAsia="宋体" w:cs="宋体"/>
                <w:b/>
                <w:szCs w:val="21"/>
                <w:highlight w:val="none"/>
              </w:rPr>
              <w:t xml:space="preserve">的具体要求、参数、数值指标的响应，要求投标供应商必须在投标文件中提供技术支持资料（技术支持资料种类以文件第四章要求为准，如无特殊要求，则为能明确说明该技术内容的公开发行的手册、彩页、官网截图、功能页面截图、检测报告、白皮书等）。</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t xml:space="preserve">6</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产品科研前瞻性、可升级性：</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根据供应商提供产品的科研前瞻性、整机设备迭代升级拓展能力及对应佐证材料综合评审：</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提供完整、真实有效的证明材料，产品科研行业前瞻优势突出，软硬件架构开放性强，具备长期迭代、模块化升级、功能拓展、兼容新一代科研配套设备等成熟落地条件，前瞻性与可升级性表现优异的得4分；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已提供有效佐证材料，产品科研前瞻性、整机可升级性二者其一表现良好，另一项水平普通，整体拓展升级空间常规，无明显短板但无突出领先优势的得2分；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已提供佐证材料，但产品科研前瞻性偏弱，或是整机硬件、系统架构固化严重，升级改造难度高、拓展空间狭小的得1分；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未提供任何有效佐证材料；或产品无科研前瞻设计、整机完全不支持后期升级拓展不得分。</w:t>
            </w:r>
            <w:r>
              <w:rPr>
                <w:rFonts w:hint="eastAsia" w:ascii="宋体" w:hAnsi="宋体" w:eastAsia="宋体" w:cs="宋体"/>
                <w:b/>
                <w:bCs/>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评委根据投标文件中产品技术方案进行打分：</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highlight w:val="none"/>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未提供本项对应的产品技术方案、材质说明、制造工艺等相关响应资料的，本项不得分。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评委根据投标文件中实施方案的内容（</w:t>
            </w:r>
            <w:r>
              <w:rPr>
                <w:rFonts w:hint="eastAsia" w:ascii="宋体" w:hAnsi="宋体" w:eastAsia="宋体" w:cs="宋体"/>
                <w:b/>
                <w:bCs/>
                <w:szCs w:val="21"/>
                <w:highlight w:val="none"/>
              </w:rPr>
              <w:t xml:space="preserve">包括但不限于项目技术方案、供货计划、质量保障措施、风险控制管理措施等）</w:t>
            </w:r>
            <w:r>
              <w:rPr>
                <w:rFonts w:hint="eastAsia" w:ascii="宋体" w:hAnsi="宋体" w:eastAsia="宋体" w:cs="宋体"/>
                <w:b/>
                <w:bCs/>
                <w:szCs w:val="21"/>
                <w:highlight w:val="none"/>
                <w:lang w:bidi="ar"/>
              </w:rPr>
              <w:t xml:space="preserve">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方案体系完整、内容详尽、落地性强，服务标准高于采购人要求，得</w:t>
            </w:r>
            <w:r>
              <w:rPr>
                <w:rFonts w:ascii="宋体" w:hAnsi="宋体" w:eastAsia="宋体" w:cs="宋体"/>
                <w:szCs w:val="21"/>
                <w:highlight w:val="none"/>
                <w:lang w:bidi="ar"/>
              </w:rPr>
              <w:t xml:space="preserve">5</w:t>
            </w:r>
            <w:r>
              <w:rPr>
                <w:rFonts w:hint="eastAsia" w:ascii="宋体" w:hAnsi="宋体" w:eastAsia="宋体" w:cs="宋体"/>
                <w:szCs w:val="21"/>
                <w:highlight w:val="none"/>
                <w:lang w:bidi="ar"/>
              </w:rPr>
              <w:t xml:space="preserve">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方案要素齐全、内容规范，可充分满足采购人各项需求，得 3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方案内容简略、表述空泛，存在内容缺失，无法完全匹配采购要求，得 1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投标文件未附实施方案，或方案逻辑混乱、不具备实际执行条件的，得 0 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vMerge w:val="continue"/>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w:t>
            </w:r>
            <w:r>
              <w:rPr>
                <w:rFonts w:ascii="宋体" w:hAnsi="宋体" w:eastAsia="宋体" w:cs="宋体"/>
                <w:bCs/>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售后服务方案完整，有明确的售后服务机构及人员、售后服务承诺、售后服务响应及处理时间，质保期内的售后服务范围、质保期满后的售后服务范围和收费情况满足</w:t>
            </w:r>
            <w:r>
              <w:rPr>
                <w:rFonts w:hint="eastAsia" w:ascii="宋体" w:hAnsi="宋体" w:eastAsia="宋体" w:cs="宋体"/>
                <w:szCs w:val="21"/>
                <w:highlight w:val="none"/>
                <w:lang w:bidi="ar"/>
              </w:rPr>
              <w:t xml:space="preserve">采购人要求，</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cantSplit/>
          <w:trHeight w:val="2529"/>
        </w:trPr>
        <w:tc>
          <w:tcPr>
            <w:tcW w:w="831"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培训内容详实丰富、科学贴合项目需求，培训形式多元灵活，方案落地性、可操作性强，培训计划详细，安排合理的，得</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w:t>
            </w:r>
            <w:r>
              <w:rPr>
                <w:rFonts w:ascii="宋体" w:hAnsi="宋体" w:eastAsia="宋体" w:cs="宋体"/>
                <w:szCs w:val="21"/>
                <w:highlight w:val="none"/>
              </w:rPr>
              <w:t xml:space="preserve">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trHeight w:val="90"/>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06" w:type="dxa"/>
            <w:vAlign w:val="center"/>
            <w:textDirection w:val="lrTb"/>
            <w:noWrap/>
          </w:tcPr>
          <w:p>
            <w:pPr>
              <w:pStyle w:val="1047"/>
              <w:ind w:right="-263"/>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p>
            <w:pPr>
              <w:pStyle w:val="1047"/>
              <w:ind w:right="-263"/>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提供20</w:t>
            </w:r>
            <w:r>
              <w:rPr>
                <w:rFonts w:ascii="宋体" w:hAnsi="宋体" w:eastAsia="宋体" w:cs="宋体"/>
                <w:szCs w:val="21"/>
                <w:highlight w:val="none"/>
              </w:rPr>
              <w:t xml:space="preserve">23</w:t>
            </w:r>
            <w:r>
              <w:rPr>
                <w:rFonts w:hint="eastAsia" w:ascii="宋体" w:hAnsi="宋体" w:eastAsia="宋体" w:cs="宋体"/>
                <w:szCs w:val="21"/>
                <w:highlight w:val="none"/>
              </w:rPr>
              <w:t xml:space="preserve">年1月1日（含）以来，</w:t>
            </w:r>
            <w:r>
              <w:rPr>
                <w:rFonts w:hint="eastAsia" w:ascii="宋体" w:hAnsi="宋体" w:eastAsia="宋体" w:cs="宋体"/>
                <w:b/>
                <w:bCs/>
                <w:szCs w:val="21"/>
                <w:highlight w:val="none"/>
              </w:rPr>
              <w:t xml:space="preserve">投标人或核心产品制造商具有同品牌同型号</w:t>
            </w:r>
            <w:r>
              <w:rPr>
                <w:rFonts w:hint="eastAsia" w:ascii="宋体" w:hAnsi="宋体" w:eastAsia="宋体" w:cs="宋体"/>
                <w:b/>
                <w:bCs/>
                <w:szCs w:val="21"/>
                <w:highlight w:val="none"/>
              </w:rPr>
              <w:t xml:space="preserve">产品</w:t>
            </w:r>
            <w:r>
              <w:rPr>
                <w:rFonts w:hint="eastAsia" w:ascii="宋体" w:hAnsi="宋体" w:eastAsia="宋体" w:cs="宋体"/>
                <w:b/>
                <w:bCs/>
                <w:szCs w:val="21"/>
                <w:highlight w:val="none"/>
              </w:rPr>
              <w:t xml:space="preserve">（核心产品）</w:t>
            </w:r>
            <w:r>
              <w:rPr>
                <w:rFonts w:hint="eastAsia" w:ascii="宋体" w:hAnsi="宋体" w:eastAsia="宋体" w:cs="宋体"/>
                <w:b/>
                <w:bCs/>
                <w:szCs w:val="21"/>
                <w:highlight w:val="none"/>
              </w:rPr>
              <w:t xml:space="preserve">或同品牌技术指标不低于此次招标技术要求的产品</w:t>
            </w:r>
            <w:r>
              <w:rPr>
                <w:rFonts w:hint="eastAsia" w:ascii="宋体" w:hAnsi="宋体" w:eastAsia="宋体" w:cs="宋体"/>
                <w:b/>
                <w:bCs/>
                <w:szCs w:val="21"/>
                <w:highlight w:val="none"/>
              </w:rPr>
              <w:t xml:space="preserve">（核心产品）</w:t>
            </w:r>
            <w:r>
              <w:rPr>
                <w:rFonts w:hint="eastAsia" w:ascii="宋体" w:hAnsi="宋体" w:eastAsia="宋体" w:cs="宋体"/>
                <w:szCs w:val="21"/>
                <w:highlight w:val="none"/>
              </w:rPr>
              <w:t xml:space="preserve">在国内的销售业绩合同。每提供一份产品销售合同得</w:t>
            </w:r>
            <w:r>
              <w:rPr>
                <w:rFonts w:ascii="宋体" w:hAnsi="宋体" w:eastAsia="宋体" w:cs="宋体"/>
                <w:b/>
                <w:bCs/>
                <w:szCs w:val="21"/>
                <w:highlight w:val="none"/>
              </w:rPr>
              <w:t xml:space="preserve">2</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，最高</w:t>
            </w:r>
            <w:r>
              <w:rPr>
                <w:rFonts w:ascii="宋体" w:hAnsi="宋体" w:eastAsia="宋体" w:cs="宋体"/>
                <w:b/>
                <w:bCs/>
                <w:szCs w:val="21"/>
                <w:highlight w:val="none"/>
              </w:rPr>
              <w:t xml:space="preserve">6</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t xml:space="preserve">（需同时提供合同及合同对应发票复印件，发票金额可以是部分或全部金额，未提供发票或合同或合同无法反应上述信息的均不得分，原件备查）</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6</w:t>
            </w:r>
            <w:r>
              <w:rPr>
                <w:rFonts w:hint="eastAsia" w:ascii="宋体" w:hAnsi="宋体" w:eastAsia="宋体" w:cs="宋体"/>
                <w:szCs w:val="21"/>
                <w:highlight w:val="none"/>
              </w:rPr>
            </w:r>
            <w:r/>
          </w:p>
        </w:tc>
      </w:tr>
    </w:tbl>
    <w:p>
      <w:pPr>
        <w:pStyle w:val="1047"/>
        <w:ind w:firstLine="480"/>
        <w:spacing w:before="0" w:after="0"/>
        <w:rPr>
          <w:rFonts w:hint="eastAsia" w:ascii="宋体" w:hAnsi="宋体" w:eastAsia="宋体" w:cs="宋体"/>
          <w:b/>
          <w:bCs/>
          <w:color w:val="c00000"/>
          <w:szCs w:val="21"/>
          <w:highlight w:val="none"/>
        </w:rPr>
        <w:pBdr>
          <w:top w:val="none" w:color="000000" w:sz="0" w:space="0"/>
          <w:left w:val="none" w:color="000000" w:sz="0" w:space="0"/>
          <w:bottom w:val="none" w:color="000000" w:sz="0" w:space="0"/>
          <w:right w:val="none" w:color="000000" w:sz="0" w:space="0"/>
        </w:pBdr>
      </w:pPr>
      <w:r/>
      <w:bookmarkStart w:id="108" w:name="_Toc5522"/>
      <w:r>
        <w:rPr>
          <w:rFonts w:hint="eastAsia" w:ascii="宋体" w:hAnsi="宋体" w:eastAsia="宋体" w:cs="宋体"/>
          <w:b/>
          <w:bCs/>
          <w:color w:val="c00000"/>
          <w:szCs w:val="21"/>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color w:val="c00000"/>
          <w:szCs w:val="21"/>
          <w:highlight w:val="none"/>
        </w:rPr>
      </w:r>
      <w:r/>
    </w:p>
    <w:p>
      <w:pPr>
        <w:pStyle w:val="1047"/>
        <w:ind w:firstLine="480"/>
        <w:spacing w:before="0" w:after="0"/>
        <w:rPr>
          <w:rFonts w:hint="eastAsia" w:ascii="宋体" w:hAnsi="宋体" w:eastAsia="宋体" w:cs="宋体"/>
          <w:b/>
          <w:bCs/>
          <w:color w:val="c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Cs w:val="21"/>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b/>
          <w:bCs/>
          <w:color w:val="c00000"/>
          <w:szCs w:val="21"/>
          <w:highlight w:val="none"/>
        </w:rPr>
      </w:r>
      <w:r/>
    </w:p>
    <w:p>
      <w:pPr>
        <w:pStyle w:val="1047"/>
        <w:ind w:firstLine="480"/>
        <w:spacing w:before="0" w:after="0"/>
        <w:rPr>
          <w:rFonts w:hint="eastAsia" w:ascii="宋体" w:hAnsi="宋体" w:eastAsia="宋体" w:cs="宋体"/>
          <w:b/>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五、评分因素及分值说明</w:t>
      </w:r>
      <w:bookmarkEnd w:id="108"/>
      <w:r>
        <w:rPr>
          <w:rFonts w:hint="eastAsia" w:ascii="宋体" w:hAnsi="宋体" w:eastAsia="宋体" w:cs="宋体"/>
          <w:b/>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bookmarkStart w:id="109" w:name="_Toc462837790"/>
      <w:r>
        <w:rPr>
          <w:rFonts w:hint="eastAsia" w:ascii="宋体" w:hAnsi="宋体" w:eastAsia="宋体" w:cs="宋体"/>
          <w:sz w:val="22"/>
          <w:szCs w:val="22"/>
          <w:highlight w:val="none"/>
        </w:rPr>
        <w:t xml:space="preserve">5.</w:t>
      </w:r>
      <w:bookmarkEnd w:id="109"/>
      <w:r>
        <w:rPr>
          <w:rFonts w:hint="eastAsia" w:ascii="宋体" w:hAnsi="宋体" w:eastAsia="宋体" w:cs="宋体"/>
          <w:sz w:val="22"/>
          <w:szCs w:val="22"/>
          <w:highlight w:val="none"/>
        </w:rPr>
        <w:t xml:space="preserve">政府采购政策功能落实</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（1）对小型和微型企业产品给予10%的扣除价格，用扣除后的价格参与评审。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10" w:name="_Toc150538845"/>
      <w:r>
        <w:rPr>
          <w:rFonts w:hint="eastAsia" w:ascii="宋体" w:hAnsi="宋体" w:eastAsia="宋体" w:cs="宋体"/>
          <w:sz w:val="22"/>
          <w:szCs w:val="22"/>
          <w:highlight w:val="none"/>
        </w:rPr>
      </w:r>
      <w:r/>
    </w:p>
    <w:p>
      <w:pPr>
        <w:pStyle w:val="1047"/>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11" w:name="_Toc649"/>
      <w:r>
        <w:rPr>
          <w:rFonts w:hint="eastAsia" w:ascii="宋体" w:hAnsi="宋体" w:eastAsia="宋体" w:cs="宋体"/>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6.对本国产品的支持政策</w:t>
      </w:r>
      <w:r>
        <w:rPr>
          <w:rFonts w:hint="eastAsia" w:ascii="宋体" w:hAnsi="宋体" w:eastAsia="宋体" w:cs="宋体"/>
          <w:sz w:val="22"/>
          <w:szCs w:val="22"/>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7.同品牌投标人的认定：</w:t>
      </w:r>
      <w:r>
        <w:rPr>
          <w:rFonts w:hint="eastAsia" w:ascii="宋体" w:hAnsi="宋体" w:eastAsia="宋体" w:cs="宋体"/>
          <w:highlight w:val="none"/>
        </w:rPr>
      </w:r>
      <w:r/>
    </w:p>
    <w:p>
      <w:pPr>
        <w:pStyle w:val="1047"/>
        <w:ind w:firstLine="420"/>
        <w:jc w:val="left"/>
        <w:rPr>
          <w:rFonts w:hint="eastAsia"/>
          <w:highlight w:val="none"/>
        </w:rPr>
      </w:pPr>
      <w:r>
        <w:rPr>
          <w:rFonts w:hint="eastAsia" w:ascii="宋体" w:hAnsi="宋体" w:eastAsia="宋体" w:cs="宋体"/>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8.本项目核心产品为：</w:t>
      </w:r>
      <w:r>
        <w:rPr>
          <w:rFonts w:hint="eastAsia" w:ascii="宋体" w:hAnsi="宋体" w:eastAsia="宋体" w:cs="宋体"/>
          <w:highlight w:val="none"/>
        </w:rPr>
      </w:r>
      <w:r/>
    </w:p>
    <w:p>
      <w:pPr>
        <w:pStyle w:val="1047"/>
        <w:jc w:val="left"/>
        <w:rPr>
          <w:rFonts w:hint="eastAsia" w:ascii="宋体" w:hAnsi="宋体" w:eastAsia="宋体" w:cs="宋体"/>
          <w:b/>
          <w:color w:val="ff0000"/>
          <w:highlight w:val="none"/>
        </w:rPr>
      </w:pPr>
      <w:r>
        <w:rPr>
          <w:rFonts w:hint="eastAsia" w:ascii="宋体" w:hAnsi="宋体" w:eastAsia="宋体" w:cs="宋体"/>
          <w:b/>
          <w:color w:val="ff0000"/>
          <w:highlight w:val="none"/>
        </w:rPr>
        <w:t xml:space="preserve">本项目核心产品为： 喷气燃料热氧化安定性测定仪。</w:t>
      </w:r>
      <w:r>
        <w:rPr>
          <w:rFonts w:hint="eastAsia" w:ascii="宋体" w:hAnsi="宋体" w:eastAsia="宋体" w:cs="宋体"/>
          <w:b/>
          <w:color w:val="ff0000"/>
          <w:highlight w:val="none"/>
        </w:rPr>
      </w:r>
      <w:r/>
    </w:p>
    <w:p>
      <w:pPr>
        <w:pStyle w:val="1047"/>
        <w:ind w:firstLine="422"/>
        <w:jc w:val="left"/>
        <w:rPr>
          <w:rFonts w:hint="eastAsia" w:ascii="宋体" w:hAnsi="宋体" w:eastAsia="宋体" w:cs="宋体"/>
          <w:b/>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highlight w:val="none"/>
        </w:rPr>
      </w:r>
      <w:r/>
    </w:p>
    <w:p>
      <w:pPr>
        <w:pStyle w:val="1048"/>
        <w:ind w:firstLine="0"/>
        <w:spacing w:before="480"/>
        <w:tabs>
          <w:tab w:val="left" w:pos="1440" w:leader="none"/>
          <w:tab w:val="left" w:pos="5670" w:leader="none"/>
        </w:tabs>
        <w:rPr>
          <w:rFonts w:hint="eastAsia"/>
          <w:highlight w:val="none"/>
        </w:rPr>
      </w:pPr>
      <w:r/>
      <w:bookmarkStart w:id="112" w:name="_Toc30025"/>
      <w:r>
        <w:rPr>
          <w:rFonts w:hint="eastAsia" w:ascii="宋体" w:hAnsi="宋体" w:eastAsia="宋体" w:cs="宋体"/>
          <w:highlight w:val="none"/>
        </w:rPr>
        <w:t xml:space="preserve">第四章 </w:t>
      </w:r>
      <w:bookmarkEnd w:id="110"/>
      <w:r/>
      <w:bookmarkEnd w:id="111"/>
      <w:r>
        <w:rPr>
          <w:rFonts w:hint="eastAsia" w:ascii="宋体" w:hAnsi="宋体" w:eastAsia="宋体" w:cs="宋体"/>
          <w:highlight w:val="none"/>
        </w:rPr>
        <w:t xml:space="preserve">采购需求</w:t>
      </w:r>
      <w:bookmarkEnd w:id="112"/>
      <w:r>
        <w:rPr>
          <w:rFonts w:hint="eastAsia"/>
          <w:highlight w:val="none"/>
        </w:rPr>
      </w:r>
      <w:r/>
    </w:p>
    <w:p>
      <w:pPr>
        <w:pStyle w:val="1047"/>
        <w:numPr>
          <w:ilvl w:val="0"/>
          <w:numId w:val="42"/>
        </w:numPr>
        <w:spacing w:after="5"/>
        <w:rPr>
          <w:rFonts w:hint="eastAsia" w:ascii="宋体" w:hAnsi="宋体" w:eastAsia="宋体" w:cs="宋体"/>
          <w:b/>
          <w:sz w:val="28"/>
          <w:szCs w:val="28"/>
          <w:highlight w:val="none"/>
        </w:rPr>
        <w:outlineLvl w:val="1"/>
      </w:pPr>
      <w:r/>
      <w:bookmarkStart w:id="113" w:name="_Toc28080"/>
      <w:r/>
      <w:bookmarkStart w:id="114" w:name="_Toc15398"/>
      <w:r/>
      <w:bookmarkStart w:id="115" w:name="_Toc22261"/>
      <w:r/>
      <w:bookmarkStart w:id="116" w:name="_Toc3459"/>
      <w:r>
        <w:rPr>
          <w:rFonts w:hint="eastAsia" w:ascii="宋体" w:hAnsi="宋体" w:eastAsia="宋体" w:cs="宋体"/>
          <w:b/>
          <w:sz w:val="28"/>
          <w:szCs w:val="28"/>
          <w:highlight w:val="none"/>
        </w:rPr>
        <w:t xml:space="preserve">项目概况：</w:t>
      </w:r>
      <w:bookmarkEnd w:id="113"/>
      <w:r/>
      <w:bookmarkEnd w:id="114"/>
      <w:r>
        <w:rPr>
          <w:rFonts w:hint="eastAsia" w:ascii="宋体" w:hAnsi="宋体" w:eastAsia="宋体" w:cs="宋体"/>
          <w:b/>
          <w:sz w:val="28"/>
          <w:szCs w:val="28"/>
          <w:highlight w:val="none"/>
        </w:rPr>
      </w:r>
      <w:r/>
    </w:p>
    <w:p>
      <w:pPr>
        <w:pStyle w:val="1047"/>
        <w:ind w:firstLine="480"/>
        <w:spacing w:before="0" w:after="0"/>
        <w:rPr>
          <w:rFonts w:hint="eastAsia"/>
          <w:highlight w:val="none"/>
        </w:rPr>
      </w:pPr>
      <w:r>
        <w:rPr>
          <w:rFonts w:hint="eastAsia" w:ascii="宋体" w:hAnsi="宋体" w:eastAsia="宋体" w:cs="宋体"/>
          <w:sz w:val="24"/>
          <w:szCs w:val="24"/>
          <w:highlight w:val="none"/>
        </w:rPr>
        <w:t xml:space="preserve">本项目1个分包（标段），采购1套燃料碳含量检测装置，相关要求详见技术要求及商务要求。</w:t>
      </w:r>
      <w:r>
        <w:rPr>
          <w:rFonts w:hint="eastAsia"/>
          <w:highlight w:val="none"/>
        </w:rPr>
      </w:r>
      <w:r/>
    </w:p>
    <w:p>
      <w:pPr>
        <w:pStyle w:val="1047"/>
        <w:numPr>
          <w:ilvl w:val="0"/>
          <w:numId w:val="42"/>
        </w:numPr>
        <w:rPr>
          <w:rFonts w:hint="eastAsia" w:ascii="宋体" w:hAnsi="宋体" w:eastAsia="宋体" w:cs="宋体"/>
          <w:b/>
          <w:sz w:val="28"/>
          <w:szCs w:val="28"/>
          <w:highlight w:val="none"/>
        </w:rPr>
        <w:outlineLvl w:val="1"/>
      </w:pPr>
      <w:r/>
      <w:bookmarkStart w:id="117" w:name="_Toc26117"/>
      <w:r/>
      <w:bookmarkStart w:id="118" w:name="_Toc21425"/>
      <w:r>
        <w:rPr>
          <w:rFonts w:hint="eastAsia" w:ascii="宋体" w:hAnsi="宋体" w:eastAsia="宋体" w:cs="宋体"/>
          <w:b/>
          <w:sz w:val="28"/>
          <w:szCs w:val="28"/>
          <w:highlight w:val="none"/>
        </w:rPr>
        <w:t xml:space="preserve">技术要求：</w:t>
      </w:r>
      <w:bookmarkEnd w:id="117"/>
      <w:r/>
      <w:bookmarkEnd w:id="118"/>
      <w:r>
        <w:rPr>
          <w:rFonts w:hint="eastAsia" w:ascii="宋体" w:hAnsi="宋体" w:eastAsia="宋体" w:cs="宋体"/>
          <w:b/>
          <w:sz w:val="28"/>
          <w:szCs w:val="28"/>
          <w:highlight w:val="none"/>
        </w:rPr>
      </w:r>
      <w:r/>
    </w:p>
    <w:p>
      <w:pPr>
        <w:pStyle w:val="1146"/>
        <w:ind w:firstLine="241"/>
        <w:rPr>
          <w:rFonts w:hint="eastAsia"/>
          <w:highlight w:val="none"/>
        </w:rPr>
      </w:pPr>
      <w:r>
        <w:rPr>
          <w:rFonts w:hint="eastAsia" w:ascii="宋体" w:hAnsi="宋体" w:eastAsia="宋体" w:cs="宋体"/>
          <w:b/>
          <w:bCs/>
          <w:szCs w:val="24"/>
          <w:highlight w:val="none"/>
        </w:rPr>
        <w:t xml:space="preserve">（一）单套燃料碳含量检测装置包含以下内容：</w:t>
      </w:r>
      <w:r>
        <w:rPr>
          <w:rFonts w:hint="eastAsia"/>
          <w:highlight w:val="none"/>
        </w:rPr>
      </w:r>
      <w:r/>
    </w:p>
    <w:tbl>
      <w:tblPr>
        <w:tblW w:w="10031"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3168"/>
        <w:gridCol w:w="1022"/>
        <w:gridCol w:w="941"/>
        <w:gridCol w:w="1418"/>
        <w:gridCol w:w="1249"/>
        <w:gridCol w:w="1341"/>
      </w:tblGrid>
      <w:tr>
        <w:trPr>
          <w:trHeight w:val="389"/>
        </w:trPr>
        <w:tc>
          <w:tcPr>
            <w:tcW w:w="892"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序号</w:t>
            </w:r>
            <w:r>
              <w:rPr>
                <w:rFonts w:hint="eastAsia" w:ascii="Times New Roman" w:hAnsi="Times New Roman" w:eastAsia="仿宋_GB2312"/>
                <w:b/>
                <w:bCs/>
                <w:sz w:val="28"/>
                <w:szCs w:val="21"/>
                <w:highlight w:val="none"/>
              </w:rPr>
            </w:r>
            <w:r/>
          </w:p>
        </w:tc>
        <w:tc>
          <w:tcPr>
            <w:tcW w:w="3168"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设    备    名    称</w:t>
            </w:r>
            <w:r>
              <w:rPr>
                <w:rFonts w:hint="eastAsia" w:ascii="Times New Roman" w:hAnsi="Times New Roman" w:eastAsia="仿宋_GB2312"/>
                <w:b/>
                <w:bCs/>
                <w:sz w:val="28"/>
                <w:szCs w:val="21"/>
                <w:highlight w:val="none"/>
              </w:rPr>
            </w:r>
            <w:r/>
          </w:p>
        </w:tc>
        <w:tc>
          <w:tcPr>
            <w:tcW w:w="1022"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单位</w:t>
            </w:r>
            <w:r>
              <w:rPr>
                <w:rFonts w:hint="eastAsia" w:ascii="Times New Roman" w:hAnsi="Times New Roman" w:eastAsia="仿宋_GB2312"/>
                <w:b/>
                <w:bCs/>
                <w:sz w:val="28"/>
                <w:szCs w:val="21"/>
                <w:highlight w:val="none"/>
              </w:rPr>
            </w:r>
            <w:r/>
          </w:p>
        </w:tc>
        <w:tc>
          <w:tcPr>
            <w:tcW w:w="941"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数 量</w:t>
            </w:r>
            <w:r>
              <w:rPr>
                <w:rFonts w:hint="eastAsia" w:ascii="Times New Roman" w:hAnsi="Times New Roman" w:eastAsia="仿宋_GB2312"/>
                <w:b/>
                <w:bCs/>
                <w:sz w:val="28"/>
                <w:szCs w:val="21"/>
                <w:highlight w:val="none"/>
              </w:rPr>
            </w:r>
            <w:r/>
          </w:p>
        </w:tc>
        <w:tc>
          <w:tcPr>
            <w:tcW w:w="1418"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到货期</w:t>
            </w:r>
            <w:r>
              <w:rPr>
                <w:rFonts w:hint="eastAsia" w:ascii="Times New Roman" w:hAnsi="Times New Roman" w:eastAsia="仿宋_GB2312"/>
                <w:b/>
                <w:bCs/>
                <w:sz w:val="28"/>
                <w:szCs w:val="21"/>
                <w:highlight w:val="none"/>
              </w:rPr>
            </w:r>
            <w:r/>
          </w:p>
        </w:tc>
        <w:tc>
          <w:tcPr>
            <w:tcW w:w="1249"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质保期</w:t>
            </w:r>
            <w:r>
              <w:rPr>
                <w:rFonts w:hint="eastAsia" w:ascii="Times New Roman" w:hAnsi="Times New Roman" w:eastAsia="仿宋_GB2312"/>
                <w:b/>
                <w:bCs/>
                <w:sz w:val="28"/>
                <w:szCs w:val="21"/>
                <w:highlight w:val="none"/>
              </w:rPr>
            </w:r>
            <w:r/>
          </w:p>
        </w:tc>
        <w:tc>
          <w:tcPr>
            <w:tcW w:w="1341" w:type="dxa"/>
            <w:vAlign w:val="center"/>
            <w:textDirection w:val="lrTb"/>
            <w:noWrap w:val="false"/>
          </w:tcPr>
          <w:p>
            <w:pPr>
              <w:pStyle w:val="1047"/>
              <w:jc w:val="center"/>
              <w:spacing w:line="240" w:lineRule="auto"/>
              <w:rPr>
                <w:rFonts w:hint="eastAsia" w:ascii="Times New Roman" w:hAnsi="Times New Roman" w:eastAsia="仿宋_GB2312"/>
                <w:b/>
                <w:bCs/>
                <w:sz w:val="28"/>
                <w:szCs w:val="21"/>
                <w:highlight w:val="none"/>
              </w:rPr>
            </w:pPr>
            <w:r>
              <w:rPr>
                <w:rFonts w:hint="eastAsia" w:ascii="Times New Roman" w:hAnsi="Times New Roman" w:eastAsia="仿宋_GB2312"/>
                <w:b/>
                <w:bCs/>
                <w:sz w:val="28"/>
                <w:szCs w:val="21"/>
                <w:highlight w:val="none"/>
              </w:rPr>
              <w:t xml:space="preserve">备注</w:t>
            </w:r>
            <w:r>
              <w:rPr>
                <w:rFonts w:hint="eastAsia" w:ascii="Times New Roman" w:hAnsi="Times New Roman" w:eastAsia="仿宋_GB2312"/>
                <w:b/>
                <w:bCs/>
                <w:sz w:val="28"/>
                <w:szCs w:val="21"/>
                <w:highlight w:val="none"/>
              </w:rPr>
            </w:r>
            <w:r/>
          </w:p>
        </w:tc>
      </w:tr>
      <w:tr>
        <w:trPr>
          <w:cantSplit/>
          <w:trHeight w:val="454"/>
        </w:trPr>
        <w:tc>
          <w:tcPr>
            <w:gridSpan w:val="4"/>
            <w:tcW w:w="6023"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本次采购1套燃料碳含量检测装置，该装置包含以下仪器设备，不得低于以下配置：</w:t>
            </w:r>
            <w:r>
              <w:rPr>
                <w:rFonts w:hint="eastAsia" w:ascii="仿宋" w:hAnsi="仿宋" w:eastAsia="仿宋" w:cs="仿宋"/>
                <w:sz w:val="24"/>
                <w:szCs w:val="24"/>
                <w:highlight w:val="none"/>
              </w:rPr>
            </w:r>
            <w:r/>
          </w:p>
        </w:tc>
        <w:tc>
          <w:tcPr>
            <w:tcW w:w="1418" w:type="dxa"/>
            <w:vAlign w:val="center"/>
            <w:vMerge w:val="restart"/>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合同签订后12个月为备货期，备货期内或备货期满后（以接到采购人具体通知为准）6个月内将货物运输到买方指定地点并完成安装、调试、计量检测以及取得计量溯源合格证书。</w:t>
            </w:r>
            <w:r>
              <w:rPr>
                <w:rFonts w:hint="eastAsia" w:ascii="仿宋" w:hAnsi="仿宋" w:eastAsia="仿宋" w:cs="仿宋"/>
                <w:sz w:val="24"/>
                <w:szCs w:val="24"/>
                <w:highlight w:val="none"/>
              </w:rPr>
            </w:r>
            <w:r/>
          </w:p>
        </w:tc>
        <w:tc>
          <w:tcPr>
            <w:tcW w:w="1249" w:type="dxa"/>
            <w:vAlign w:val="center"/>
            <w:vMerge w:val="restart"/>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验收合格后</w:t>
            </w:r>
            <w:r>
              <w:rPr>
                <w:rFonts w:ascii="仿宋" w:hAnsi="仿宋" w:eastAsia="仿宋" w:cs="仿宋"/>
                <w:sz w:val="24"/>
                <w:szCs w:val="24"/>
                <w:highlight w:val="none"/>
              </w:rPr>
              <w:t xml:space="preserve">2</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喷气燃料热氧化安定性测定仪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核心产品</w:t>
            </w:r>
            <w:r>
              <w:rPr>
                <w:rFonts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气相色谱质谱联用仪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航煤自动冰点测定仪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全自动紫外荧光定硫仪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航空煤油烟点仪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全自动低温运动粘度仪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阿贝尔闭口闪点仪  </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自动蒸馏试验器</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喷气燃料铜片腐蚀试验器</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自动密度测定仪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ascii="仿宋" w:hAnsi="仿宋" w:eastAsia="仿宋" w:cs="仿宋"/>
                <w:sz w:val="24"/>
                <w:szCs w:val="24"/>
                <w:highlight w:val="none"/>
              </w:rPr>
            </w:pPr>
            <w:r>
              <w:rPr>
                <w:rFonts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燃料胶质含量试验器</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54"/>
        </w:trPr>
        <w:tc>
          <w:tcPr>
            <w:tcW w:w="89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W w:w="3168"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航空燃料电导率仪</w:t>
            </w:r>
            <w:r>
              <w:rPr>
                <w:rFonts w:hint="eastAsia" w:ascii="仿宋" w:hAnsi="仿宋" w:eastAsia="仿宋" w:cs="仿宋"/>
                <w:sz w:val="24"/>
                <w:szCs w:val="24"/>
                <w:highlight w:val="none"/>
              </w:rPr>
            </w:r>
            <w:r/>
          </w:p>
        </w:tc>
        <w:tc>
          <w:tcPr>
            <w:tcW w:w="102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W w:w="9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418"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49" w:type="dxa"/>
            <w:vAlign w:val="center"/>
            <w:vMerge w:val="continue"/>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083"/>
        <w:rPr>
          <w:rFonts w:hint="eastAsia"/>
          <w:highlight w:val="none"/>
        </w:rPr>
      </w:pPr>
      <w:r>
        <w:rPr>
          <w:rFonts w:hint="eastAsia"/>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（二）技术参数（技术指标及功能要求）：</w:t>
      </w:r>
      <w:r>
        <w:rPr>
          <w:rFonts w:hint="eastAsia" w:ascii="宋体" w:hAnsi="宋体" w:eastAsia="宋体" w:cs="宋体"/>
          <w:b/>
          <w:bCs/>
          <w:szCs w:val="24"/>
          <w:highlight w:val="none"/>
        </w:rPr>
      </w:r>
      <w:r/>
    </w:p>
    <w:p>
      <w:pPr>
        <w:pStyle w:val="1047"/>
        <w:ind w:firstLine="422"/>
        <w:spacing w:line="288" w:lineRule="auto"/>
        <w:rPr>
          <w:rFonts w:hint="eastAsia" w:ascii="仿宋" w:hAnsi="仿宋" w:eastAsia="仿宋" w:cs="仿宋"/>
          <w:b/>
          <w:sz w:val="24"/>
          <w:szCs w:val="24"/>
          <w:highlight w:val="none"/>
        </w:rPr>
      </w:pPr>
      <w:r/>
      <w:bookmarkStart w:id="119" w:name="_Toc113485530"/>
      <w:r>
        <w:rPr>
          <w:rFonts w:hint="eastAsia" w:ascii="仿宋" w:hAnsi="仿宋" w:eastAsia="仿宋" w:cs="仿宋"/>
          <w:b/>
          <w:sz w:val="24"/>
          <w:szCs w:val="24"/>
          <w:highlight w:val="none"/>
        </w:rPr>
        <w:t xml:space="preserve">1、喷气燃料热氧化安定性测定仪</w:t>
      </w:r>
      <w:r>
        <w:rPr>
          <w:rFonts w:hint="eastAsia" w:ascii="仿宋" w:hAnsi="仿宋" w:eastAsia="仿宋" w:cs="仿宋"/>
          <w:b/>
          <w:sz w:val="24"/>
          <w:szCs w:val="24"/>
          <w:highlight w:val="none"/>
        </w:rPr>
      </w:r>
      <w:r/>
    </w:p>
    <w:p>
      <w:pPr>
        <w:pStyle w:val="1099"/>
        <w:ind w:firstLine="455"/>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pacing w:val="10"/>
          <w:sz w:val="24"/>
          <w:szCs w:val="24"/>
          <w:highlight w:val="none"/>
        </w:rPr>
        <w:t xml:space="preserve">★1</w:t>
      </w:r>
      <w:r>
        <w:rPr>
          <w:rFonts w:ascii="仿宋" w:hAnsi="仿宋" w:eastAsia="仿宋" w:cs="仿宋"/>
          <w:bCs/>
          <w:spacing w:val="10"/>
          <w:sz w:val="24"/>
          <w:szCs w:val="24"/>
          <w:highlight w:val="none"/>
        </w:rPr>
        <w:t xml:space="preserve">.1</w:t>
      </w:r>
      <w:r>
        <w:rPr>
          <w:rFonts w:hint="eastAsia" w:ascii="仿宋" w:hAnsi="仿宋" w:eastAsia="仿宋" w:cs="仿宋"/>
          <w:bCs/>
          <w:spacing w:val="10"/>
          <w:sz w:val="24"/>
          <w:szCs w:val="24"/>
          <w:highlight w:val="none"/>
        </w:rPr>
        <w:t xml:space="preserve">工作</w:t>
      </w:r>
      <w:r>
        <w:rPr>
          <w:rFonts w:hint="eastAsia" w:ascii="仿宋" w:hAnsi="仿宋" w:eastAsia="仿宋" w:cs="仿宋"/>
          <w:bCs/>
          <w:sz w:val="24"/>
          <w:szCs w:val="24"/>
          <w:highlight w:val="none"/>
        </w:rPr>
        <w:t xml:space="preserve">温度范围：(100～400)℃，分析过程中，加热管加热温度能自动控制在设定试验温度±1℃，试验温度可调；</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.2 </w:t>
      </w:r>
      <w:r>
        <w:rPr>
          <w:rFonts w:hint="eastAsia" w:ascii="仿宋" w:hAnsi="仿宋" w:eastAsia="仿宋" w:cs="仿宋"/>
          <w:bCs/>
          <w:sz w:val="24"/>
          <w:szCs w:val="24"/>
          <w:highlight w:val="none"/>
        </w:rPr>
        <w:t xml:space="preserve">压差传感器量程</w:t>
      </w:r>
      <w:r>
        <w:rPr>
          <w:rFonts w:ascii="仿宋" w:hAnsi="仿宋" w:eastAsia="仿宋" w:cs="仿宋"/>
          <w:bCs/>
          <w:sz w:val="24"/>
          <w:szCs w:val="24"/>
          <w:highlight w:val="none"/>
        </w:rPr>
        <w:t xml:space="preserve">(</w:t>
      </w:r>
      <w:r>
        <w:rPr>
          <w:rFonts w:hint="eastAsia" w:ascii="仿宋" w:hAnsi="仿宋" w:eastAsia="仿宋" w:cs="仿宋"/>
          <w:bCs/>
          <w:sz w:val="24"/>
          <w:szCs w:val="24"/>
          <w:highlight w:val="none"/>
        </w:rPr>
        <w:t xml:space="preserve">0～40</w:t>
      </w:r>
      <w:r>
        <w:rPr>
          <w:rFonts w:ascii="仿宋" w:hAnsi="仿宋" w:eastAsia="仿宋" w:cs="仿宋"/>
          <w:bCs/>
          <w:sz w:val="24"/>
          <w:szCs w:val="24"/>
          <w:highlight w:val="none"/>
        </w:rPr>
        <w:t xml:space="preserve">k)</w:t>
      </w:r>
      <w:r>
        <w:rPr>
          <w:rFonts w:hint="eastAsia" w:ascii="仿宋" w:hAnsi="仿宋" w:eastAsia="仿宋" w:cs="仿宋"/>
          <w:bCs/>
          <w:sz w:val="24"/>
          <w:szCs w:val="24"/>
          <w:highlight w:val="none"/>
        </w:rPr>
        <w:t xml:space="preserve">Pa，具备自动测量并记录试验过滤器两端压差数值功能，压差测量最大允许误差：±0.01kPa；</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ascii="仿宋" w:hAnsi="仿宋" w:eastAsia="仿宋" w:cs="仿宋"/>
          <w:bCs/>
          <w:sz w:val="24"/>
          <w:szCs w:val="24"/>
          <w:highlight w:val="none"/>
        </w:rPr>
      </w:pPr>
      <w:r>
        <w:rPr>
          <w:rFonts w:ascii="仿宋" w:hAnsi="仿宋" w:eastAsia="仿宋" w:cs="仿宋"/>
          <w:bCs/>
          <w:sz w:val="24"/>
          <w:szCs w:val="24"/>
          <w:highlight w:val="none"/>
        </w:rPr>
        <w:t xml:space="preserve">1.3</w:t>
      </w:r>
      <w:r>
        <w:rPr>
          <w:rFonts w:hint="eastAsia" w:ascii="仿宋" w:hAnsi="仿宋" w:eastAsia="仿宋" w:cs="仿宋"/>
          <w:bCs/>
          <w:sz w:val="24"/>
          <w:szCs w:val="24"/>
          <w:highlight w:val="none"/>
        </w:rPr>
        <w:t xml:space="preserve">系统压力需稳定维持在3.45 MPa±0.345MPa；</w:t>
      </w:r>
      <w:r>
        <w:rPr>
          <w:rFonts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.4</w:t>
      </w:r>
      <w:r>
        <w:rPr>
          <w:rFonts w:hint="eastAsia" w:ascii="仿宋" w:hAnsi="仿宋" w:eastAsia="仿宋" w:cs="仿宋"/>
          <w:bCs/>
          <w:sz w:val="24"/>
          <w:szCs w:val="24"/>
          <w:highlight w:val="none"/>
        </w:rPr>
        <w:t xml:space="preserve">具备自动进样、样品预处理功能，样品容量可以扩展，实验过程中，样品流量可实时监测；</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ascii="仿宋" w:hAnsi="仿宋" w:eastAsia="仿宋" w:cs="仿宋"/>
          <w:bCs/>
          <w:sz w:val="24"/>
          <w:szCs w:val="24"/>
          <w:highlight w:val="none"/>
        </w:rPr>
      </w:pPr>
      <w:r>
        <w:rPr>
          <w:rFonts w:ascii="仿宋" w:hAnsi="仿宋" w:eastAsia="仿宋" w:cs="仿宋"/>
          <w:bCs/>
          <w:sz w:val="24"/>
          <w:szCs w:val="24"/>
          <w:highlight w:val="none"/>
        </w:rPr>
        <w:t xml:space="preserve">1.5 </w:t>
      </w:r>
      <w:r>
        <w:rPr>
          <w:rFonts w:hint="eastAsia" w:ascii="仿宋" w:hAnsi="仿宋" w:eastAsia="仿宋" w:cs="仿宋"/>
          <w:bCs/>
          <w:sz w:val="24"/>
          <w:szCs w:val="24"/>
          <w:highlight w:val="none"/>
        </w:rPr>
        <w:t xml:space="preserve">测试时间可调；实验结果能存储打印；</w:t>
      </w:r>
      <w:r>
        <w:rPr>
          <w:rFonts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.6 </w:t>
      </w:r>
      <w:r>
        <w:rPr>
          <w:rFonts w:hint="eastAsia" w:ascii="仿宋" w:hAnsi="仿宋" w:eastAsia="仿宋" w:cs="仿宋"/>
          <w:bCs/>
          <w:sz w:val="24"/>
          <w:szCs w:val="24"/>
          <w:highlight w:val="none"/>
        </w:rPr>
        <w:t xml:space="preserve">具备保护功能，包括加热温度、样品流量、压力范围、环境湿度超过设定范围自动报警，保证仪器能安全运行；</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.7 </w:t>
      </w:r>
      <w:r>
        <w:rPr>
          <w:rFonts w:hint="eastAsia" w:ascii="仿宋" w:hAnsi="仿宋" w:eastAsia="仿宋" w:cs="仿宋"/>
          <w:bCs/>
          <w:sz w:val="24"/>
          <w:szCs w:val="24"/>
          <w:highlight w:val="none"/>
        </w:rPr>
        <w:t xml:space="preserve">具备管壁评级功能，含加热管沉积物评定仪，具备专用管夹及标准比色板，能够满足ASTM D3241或GB/T9169-2023标准；</w:t>
      </w:r>
      <w:r>
        <w:rPr>
          <w:rFonts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.8 </w:t>
      </w:r>
      <w:r>
        <w:rPr>
          <w:rFonts w:hint="eastAsia" w:ascii="仿宋" w:hAnsi="仿宋" w:eastAsia="仿宋" w:cs="仿宋"/>
          <w:bCs/>
          <w:sz w:val="24"/>
          <w:szCs w:val="24"/>
          <w:highlight w:val="none"/>
        </w:rPr>
        <w:t xml:space="preserve">仪器产品应有</w:t>
      </w:r>
      <w:r>
        <w:rPr>
          <w:rFonts w:hint="eastAsia" w:ascii="仿宋" w:hAnsi="仿宋" w:eastAsia="仿宋" w:cs="仿宋"/>
          <w:bCs/>
          <w:spacing w:val="10"/>
          <w:sz w:val="24"/>
          <w:szCs w:val="24"/>
          <w:highlight w:val="none"/>
        </w:rPr>
        <w:t xml:space="preserve">安全和环保方面考虑，具备样品密封系统，样品杯和回收杯需有密封盖。</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9</w:t>
      </w:r>
      <w:r>
        <w:rPr>
          <w:rFonts w:hint="eastAsia" w:ascii="仿宋" w:hAnsi="仿宋" w:eastAsia="仿宋" w:cs="仿宋"/>
          <w:bCs/>
          <w:sz w:val="24"/>
          <w:szCs w:val="24"/>
          <w:highlight w:val="none"/>
        </w:rPr>
        <w:t xml:space="preserve">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w:t>
      </w:r>
      <w:r>
        <w:rPr>
          <w:rFonts w:ascii="仿宋" w:hAnsi="仿宋" w:eastAsia="仿宋" w:cs="仿宋"/>
          <w:bCs/>
          <w:sz w:val="24"/>
          <w:szCs w:val="24"/>
          <w:highlight w:val="none"/>
        </w:rPr>
        <w:t xml:space="preserve">0</w:t>
      </w:r>
      <w:r>
        <w:rPr>
          <w:rFonts w:hint="eastAsia" w:ascii="仿宋" w:hAnsi="仿宋" w:eastAsia="仿宋" w:cs="仿宋"/>
          <w:bCs/>
          <w:sz w:val="24"/>
          <w:szCs w:val="24"/>
          <w:highlight w:val="none"/>
        </w:rPr>
        <w:t xml:space="preserve"> 控制软件导出数据到原始记录模板文件（excel格式），生成电子原始记录文件；</w:t>
      </w:r>
      <w:r>
        <w:rPr>
          <w:rFonts w:hint="eastAsia" w:ascii="仿宋" w:hAnsi="仿宋" w:eastAsia="仿宋" w:cs="仿宋"/>
          <w:bCs/>
          <w:sz w:val="24"/>
          <w:szCs w:val="24"/>
          <w:highlight w:val="none"/>
        </w:rPr>
      </w:r>
      <w:r/>
    </w:p>
    <w:p>
      <w:pPr>
        <w:pStyle w:val="1099"/>
        <w:ind w:firstLine="420"/>
        <w:spacing w:before="60" w:line="288" w:lineRule="auto"/>
        <w:tabs>
          <w:tab w:val="center" w:pos="4153" w:leader="none"/>
          <w:tab w:val="right" w:pos="8306"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w:t>
      </w: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控制软件通过将电子原始记录文件和唯一性号信息推送到业务系统；</w:t>
      </w:r>
      <w:r>
        <w:rPr>
          <w:rFonts w:hint="eastAsia"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2、气相色谱质谱联用仪</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r>
      <w:r/>
    </w:p>
    <w:p>
      <w:pPr>
        <w:pStyle w:val="1047"/>
        <w:ind w:firstLine="420"/>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w:t>
      </w:r>
      <w:r>
        <w:rPr>
          <w:rFonts w:hint="eastAsia" w:ascii="仿宋" w:hAnsi="仿宋" w:eastAsia="仿宋" w:cs="仿宋"/>
          <w:bCs/>
          <w:sz w:val="24"/>
          <w:szCs w:val="24"/>
          <w:highlight w:val="none"/>
        </w:rPr>
        <w:t xml:space="preserve">.1质谱部分</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w:t>
      </w:r>
      <w:r>
        <w:rPr>
          <w:rFonts w:hint="eastAsia" w:ascii="仿宋" w:hAnsi="仿宋" w:eastAsia="仿宋" w:cs="仿宋"/>
          <w:bCs/>
          <w:sz w:val="24"/>
          <w:szCs w:val="24"/>
          <w:highlight w:val="none"/>
        </w:rPr>
        <w:t xml:space="preserve">.1.1离子源</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.1.1.1</w:t>
      </w:r>
      <w:r>
        <w:rPr>
          <w:rFonts w:hint="eastAsia" w:ascii="仿宋" w:hAnsi="仿宋" w:eastAsia="仿宋" w:cs="仿宋"/>
          <w:bCs/>
          <w:sz w:val="24"/>
          <w:szCs w:val="21"/>
          <w:highlight w:val="none"/>
        </w:rPr>
        <w:t xml:space="preserve">配备电子轰击（EI）电离源，</w:t>
      </w:r>
      <w:r>
        <w:rPr>
          <w:rFonts w:hint="eastAsia" w:ascii="仿宋" w:hAnsi="仿宋" w:eastAsia="仿宋" w:cs="仿宋"/>
          <w:bCs/>
          <w:sz w:val="24"/>
          <w:szCs w:val="24"/>
          <w:highlight w:val="none"/>
        </w:rPr>
        <w:t xml:space="preserve">EI灵敏度：进样1</w:t>
      </w:r>
      <w:r>
        <w:rPr>
          <w:rFonts w:hint="eastAsia" w:ascii="宋体" w:hAnsi="宋体" w:cs="仿宋"/>
          <w:bCs/>
          <w:sz w:val="24"/>
          <w:szCs w:val="24"/>
          <w:highlight w:val="none"/>
        </w:rPr>
        <w:t xml:space="preserve">pg</w:t>
      </w:r>
      <w:r>
        <w:rPr>
          <w:rFonts w:hint="eastAsia" w:ascii="仿宋" w:hAnsi="仿宋" w:eastAsia="仿宋" w:cs="仿宋"/>
          <w:bCs/>
          <w:sz w:val="24"/>
          <w:szCs w:val="24"/>
          <w:highlight w:val="none"/>
        </w:rPr>
        <w:t xml:space="preserve">八氟萘（OFN），目标离子的信噪比S/N不小于2</w:t>
      </w:r>
      <w:r>
        <w:rPr>
          <w:rFonts w:ascii="仿宋" w:hAnsi="仿宋" w:eastAsia="仿宋" w:cs="仿宋"/>
          <w:bCs/>
          <w:sz w:val="24"/>
          <w:szCs w:val="24"/>
          <w:highlight w:val="none"/>
        </w:rPr>
        <w:t xml:space="preserve">7</w:t>
      </w:r>
      <w:r>
        <w:rPr>
          <w:rFonts w:hint="eastAsia" w:ascii="仿宋" w:hAnsi="仿宋" w:eastAsia="仿宋" w:cs="仿宋"/>
          <w:bCs/>
          <w:sz w:val="24"/>
          <w:szCs w:val="24"/>
          <w:highlight w:val="none"/>
        </w:rPr>
        <w:t xml:space="preserve">00:1；</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.1.1.2 </w:t>
      </w:r>
      <w:r>
        <w:rPr>
          <w:rFonts w:hint="eastAsia" w:ascii="仿宋" w:hAnsi="仿宋" w:eastAsia="仿宋" w:cs="仿宋"/>
          <w:bCs/>
          <w:sz w:val="24"/>
          <w:szCs w:val="24"/>
          <w:highlight w:val="none"/>
        </w:rPr>
        <w:t xml:space="preserve">仪器检出限（IDL）：八氟萘IDL低于10 fg； </w:t>
      </w:r>
      <w:r>
        <w:rPr>
          <w:rFonts w:hint="eastAsia"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.1.1.3 </w:t>
      </w:r>
      <w:r>
        <w:rPr>
          <w:rFonts w:hint="eastAsia" w:ascii="仿宋" w:hAnsi="仿宋" w:eastAsia="仿宋" w:cs="仿宋"/>
          <w:bCs/>
          <w:sz w:val="24"/>
          <w:szCs w:val="24"/>
          <w:highlight w:val="none"/>
        </w:rPr>
        <w:t xml:space="preserve">离子源材料需采用惰性陶瓷；</w:t>
      </w:r>
      <w:r>
        <w:rPr>
          <w:rFonts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.1.1.4</w:t>
      </w:r>
      <w:r>
        <w:rPr>
          <w:rFonts w:hint="eastAsia" w:ascii="仿宋" w:hAnsi="仿宋" w:eastAsia="仿宋" w:cs="仿宋"/>
          <w:bCs/>
          <w:sz w:val="24"/>
          <w:szCs w:val="24"/>
          <w:highlight w:val="none"/>
        </w:rPr>
        <w:t xml:space="preserve">需配置双灯丝，最大灯丝电流不小于400uA；</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w:t>
      </w:r>
      <w:r>
        <w:rPr>
          <w:rFonts w:hint="eastAsia" w:ascii="仿宋" w:hAnsi="仿宋" w:eastAsia="仿宋" w:cs="仿宋"/>
          <w:bCs/>
          <w:sz w:val="24"/>
          <w:szCs w:val="24"/>
          <w:highlight w:val="none"/>
        </w:rPr>
        <w:t xml:space="preserve">.1.2质量分析器</w:t>
      </w:r>
      <w:r>
        <w:rPr>
          <w:rFonts w:hint="eastAsia"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.1.2.1</w:t>
      </w:r>
      <w:r>
        <w:rPr>
          <w:rFonts w:hint="eastAsia" w:ascii="仿宋" w:hAnsi="仿宋" w:eastAsia="仿宋" w:cs="仿宋"/>
          <w:bCs/>
          <w:sz w:val="24"/>
          <w:szCs w:val="24"/>
          <w:highlight w:val="none"/>
        </w:rPr>
        <w:t xml:space="preserve">应能完全设置并检测质量范围不小于（1.5～1</w:t>
      </w:r>
      <w:r>
        <w:rPr>
          <w:rFonts w:ascii="仿宋" w:hAnsi="仿宋" w:eastAsia="仿宋" w:cs="仿宋"/>
          <w:bCs/>
          <w:sz w:val="24"/>
          <w:szCs w:val="24"/>
          <w:highlight w:val="none"/>
        </w:rPr>
        <w:t xml:space="preserve">000</w:t>
      </w:r>
      <w:r>
        <w:rPr>
          <w:rFonts w:hint="eastAsia" w:ascii="仿宋" w:hAnsi="仿宋" w:eastAsia="仿宋" w:cs="仿宋"/>
          <w:bCs/>
          <w:sz w:val="24"/>
          <w:szCs w:val="24"/>
          <w:highlight w:val="none"/>
        </w:rPr>
        <w:t xml:space="preserve">）amu；</w:t>
      </w:r>
      <w:r>
        <w:rPr>
          <w:rFonts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2.1.2.2 </w:t>
      </w:r>
      <w:r>
        <w:rPr>
          <w:rFonts w:hint="eastAsia" w:ascii="仿宋" w:hAnsi="仿宋" w:eastAsia="仿宋" w:cs="仿宋"/>
          <w:bCs/>
          <w:sz w:val="24"/>
          <w:szCs w:val="24"/>
          <w:highlight w:val="none"/>
        </w:rPr>
        <w:t xml:space="preserve">质量轴稳定性需优于0.10amu/48hrs； </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.1.2.3 </w:t>
      </w:r>
      <w:r>
        <w:rPr>
          <w:rFonts w:hint="eastAsia" w:ascii="仿宋" w:hAnsi="仿宋" w:eastAsia="仿宋" w:cs="仿宋"/>
          <w:bCs/>
          <w:sz w:val="24"/>
          <w:szCs w:val="24"/>
          <w:highlight w:val="none"/>
        </w:rPr>
        <w:t xml:space="preserve">至少具备全扫描、选择离子监测、全扫描和选择离子同步监测、交替扫描4种模式模式；</w:t>
      </w:r>
      <w:r>
        <w:rPr>
          <w:rFonts w:hint="eastAsia"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2.1.3检测器</w:t>
      </w:r>
      <w:r>
        <w:rPr>
          <w:rFonts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2.1.3.</w:t>
      </w: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最大扫描速度不小于20000 amu/s，速度全程可调；</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2.1.3.</w:t>
      </w:r>
      <w:r>
        <w:rPr>
          <w:rFonts w:ascii="仿宋" w:hAnsi="仿宋" w:eastAsia="仿宋" w:cs="仿宋"/>
          <w:bCs/>
          <w:sz w:val="24"/>
          <w:szCs w:val="24"/>
          <w:highlight w:val="none"/>
        </w:rPr>
        <w:t xml:space="preserve">2</w:t>
      </w:r>
      <w:r>
        <w:rPr>
          <w:rFonts w:hint="eastAsia" w:ascii="仿宋" w:hAnsi="仿宋" w:eastAsia="仿宋" w:cs="仿宋"/>
          <w:bCs/>
          <w:sz w:val="24"/>
          <w:szCs w:val="24"/>
          <w:highlight w:val="none"/>
        </w:rPr>
        <w:t xml:space="preserve">动态范围不小于10</w:t>
      </w:r>
      <w:r>
        <w:rPr>
          <w:rFonts w:hint="eastAsia" w:ascii="仿宋" w:hAnsi="仿宋" w:eastAsia="仿宋" w:cs="仿宋"/>
          <w:bCs/>
          <w:sz w:val="24"/>
          <w:szCs w:val="24"/>
          <w:highlight w:val="none"/>
          <w:vertAlign w:val="superscript"/>
        </w:rPr>
        <w:t xml:space="preserve">7</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▲2.1.</w:t>
      </w:r>
      <w:r>
        <w:rPr>
          <w:rFonts w:ascii="仿宋" w:hAnsi="仿宋" w:eastAsia="仿宋" w:cs="仿宋"/>
          <w:bCs/>
          <w:sz w:val="24"/>
          <w:szCs w:val="24"/>
          <w:highlight w:val="none"/>
        </w:rPr>
        <w:t xml:space="preserve">4</w:t>
      </w:r>
      <w:r>
        <w:rPr>
          <w:rFonts w:hint="eastAsia" w:ascii="仿宋" w:hAnsi="仿宋" w:eastAsia="仿宋" w:cs="仿宋"/>
          <w:bCs/>
          <w:sz w:val="24"/>
          <w:szCs w:val="24"/>
          <w:highlight w:val="none"/>
        </w:rPr>
        <w:t xml:space="preserve">设备应具备保证测试过程中四级杆不易污染的设计，正常使用过程中无需清洗四级杆；</w:t>
      </w:r>
      <w:r>
        <w:rPr>
          <w:rFonts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 色谱部分</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2.2.1</w:t>
      </w:r>
      <w:r>
        <w:rPr>
          <w:rFonts w:ascii="仿宋" w:hAnsi="仿宋" w:eastAsia="仿宋" w:cs="仿宋"/>
          <w:bCs/>
          <w:sz w:val="24"/>
          <w:szCs w:val="24"/>
          <w:highlight w:val="none"/>
        </w:rPr>
        <w:t xml:space="preserve"> </w:t>
      </w:r>
      <w:r>
        <w:rPr>
          <w:rFonts w:hint="eastAsia" w:ascii="仿宋" w:hAnsi="仿宋" w:eastAsia="仿宋" w:cs="仿宋"/>
          <w:bCs/>
          <w:sz w:val="24"/>
          <w:szCs w:val="24"/>
          <w:highlight w:val="none"/>
        </w:rPr>
        <w:t xml:space="preserve">柱温箱炉膛温度范围不小于（25～450）℃；</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2.2.2 进样口</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2.2.2.1</w:t>
      </w:r>
      <w:r>
        <w:rPr>
          <w:rFonts w:ascii="仿宋" w:hAnsi="仿宋" w:eastAsia="仿宋" w:cs="仿宋"/>
          <w:bCs/>
          <w:sz w:val="24"/>
          <w:szCs w:val="24"/>
          <w:highlight w:val="none"/>
        </w:rPr>
        <w:t xml:space="preserve"> </w:t>
      </w:r>
      <w:r>
        <w:rPr>
          <w:rFonts w:hint="eastAsia" w:ascii="仿宋" w:hAnsi="仿宋" w:eastAsia="仿宋" w:cs="仿宋"/>
          <w:bCs/>
          <w:sz w:val="24"/>
          <w:szCs w:val="24"/>
          <w:highlight w:val="none"/>
        </w:rPr>
        <w:t xml:space="preserve">具备分流或不分流进样口； </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2.2.2.2 </w:t>
      </w:r>
      <w:r>
        <w:rPr>
          <w:rFonts w:hint="eastAsia" w:ascii="仿宋" w:hAnsi="仿宋" w:eastAsia="仿宋" w:cs="仿宋"/>
          <w:bCs/>
          <w:sz w:val="24"/>
          <w:szCs w:val="24"/>
          <w:highlight w:val="none"/>
        </w:rPr>
        <w:t xml:space="preserve">样品瓶位不少于24位；</w:t>
      </w:r>
      <w:r>
        <w:rPr>
          <w:rFonts w:hint="eastAsia"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2.2.</w:t>
      </w:r>
      <w:r>
        <w:rPr>
          <w:rFonts w:ascii="仿宋" w:hAnsi="仿宋" w:eastAsia="仿宋" w:cs="仿宋"/>
          <w:bCs/>
          <w:sz w:val="24"/>
          <w:szCs w:val="24"/>
          <w:highlight w:val="none"/>
        </w:rPr>
        <w:t xml:space="preserve">3</w:t>
      </w:r>
      <w:r>
        <w:rPr>
          <w:rFonts w:hint="eastAsia" w:ascii="仿宋" w:hAnsi="仿宋" w:eastAsia="仿宋" w:cs="仿宋"/>
          <w:bCs/>
          <w:sz w:val="24"/>
          <w:szCs w:val="24"/>
          <w:highlight w:val="none"/>
        </w:rPr>
        <w:t xml:space="preserve"> 设备应具备远程操控功能；</w:t>
      </w:r>
      <w:r>
        <w:rPr>
          <w:rFonts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2.2.4</w:t>
      </w:r>
      <w:r>
        <w:rPr>
          <w:rFonts w:ascii="仿宋" w:hAnsi="仿宋" w:eastAsia="仿宋" w:cs="仿宋"/>
          <w:bCs/>
          <w:sz w:val="24"/>
          <w:szCs w:val="24"/>
          <w:highlight w:val="none"/>
        </w:rPr>
        <w:t xml:space="preserve"> </w:t>
      </w:r>
      <w:r>
        <w:rPr>
          <w:rFonts w:hint="eastAsia" w:ascii="仿宋" w:hAnsi="仿宋" w:eastAsia="仿宋" w:cs="仿宋"/>
          <w:bCs/>
          <w:sz w:val="24"/>
          <w:szCs w:val="24"/>
          <w:highlight w:val="none"/>
        </w:rPr>
        <w:t xml:space="preserve">具备运行中可设置时间区间关闭灯丝及电子倍增器功能；</w:t>
      </w:r>
      <w:r>
        <w:rPr>
          <w:rFonts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2.3</w:t>
      </w:r>
      <w:r>
        <w:rPr>
          <w:rFonts w:hint="eastAsia" w:ascii="仿宋" w:hAnsi="仿宋" w:eastAsia="仿宋" w:cs="仿宋"/>
          <w:bCs/>
          <w:sz w:val="24"/>
          <w:szCs w:val="24"/>
          <w:highlight w:val="none"/>
        </w:rPr>
        <w:t xml:space="preserve">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2.4</w:t>
      </w:r>
      <w:r>
        <w:rPr>
          <w:rFonts w:hint="eastAsia" w:ascii="仿宋" w:hAnsi="仿宋" w:eastAsia="仿宋" w:cs="仿宋"/>
          <w:bCs/>
          <w:sz w:val="24"/>
          <w:szCs w:val="24"/>
          <w:highlight w:val="none"/>
        </w:rPr>
        <w:t xml:space="preserve"> 控制软件导出数据到原始记录模板文件（excel格式），生成电子原始记录文件；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2.5</w:t>
      </w:r>
      <w:r>
        <w:rPr>
          <w:rFonts w:hint="eastAsia" w:ascii="仿宋" w:hAnsi="仿宋" w:eastAsia="仿宋" w:cs="仿宋"/>
          <w:bCs/>
          <w:sz w:val="24"/>
          <w:szCs w:val="24"/>
          <w:highlight w:val="none"/>
        </w:rPr>
        <w:t xml:space="preserve">控制软件通过将电子原始记录文件和唯一性号信息推送到业务系统；</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ascii="仿宋" w:hAnsi="仿宋" w:eastAsia="仿宋" w:cs="仿宋"/>
          <w:bCs/>
          <w:sz w:val="24"/>
          <w:szCs w:val="24"/>
          <w:highlight w:val="none"/>
        </w:rPr>
        <w:t xml:space="preserve">2.6</w:t>
      </w:r>
      <w:r>
        <w:rPr>
          <w:rFonts w:hint="eastAsia" w:ascii="仿宋" w:hAnsi="仿宋" w:eastAsia="仿宋" w:cs="仿宋"/>
          <w:bCs/>
          <w:sz w:val="24"/>
          <w:szCs w:val="24"/>
          <w:highlight w:val="none"/>
        </w:rPr>
        <w:t xml:space="preserve">控制软件配套工控机配置要求：CPU：桌面混合架构处理器，总核心不小于20核，总线程不小于28线程，最大睿频不小于5.4GHz，三级缓存不小于33MB；内存：不小于16G DDR5；硬盘：不小于1TB SSD；操作系统：win11；显示器：不小于27英寸；配备无线外设。</w:t>
      </w:r>
      <w:r>
        <w:rPr>
          <w:rFonts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3、航煤自动冰点测定仪</w:t>
      </w:r>
      <w:r>
        <w:rPr>
          <w:rFonts w:hint="eastAsia" w:ascii="仿宋" w:hAnsi="仿宋" w:eastAsia="仿宋" w:cs="仿宋"/>
          <w:b/>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 测试温度范围：（-</w:t>
      </w:r>
      <w:r>
        <w:rPr>
          <w:rFonts w:ascii="仿宋" w:hAnsi="仿宋" w:eastAsia="仿宋" w:cs="仿宋"/>
          <w:bCs/>
          <w:sz w:val="24"/>
          <w:szCs w:val="24"/>
          <w:highlight w:val="none"/>
        </w:rPr>
        <w:t xml:space="preserve">80</w:t>
      </w:r>
      <w:r>
        <w:rPr>
          <w:rFonts w:hint="eastAsia" w:ascii="仿宋" w:hAnsi="仿宋" w:eastAsia="仿宋" w:cs="仿宋"/>
          <w:bCs/>
          <w:sz w:val="24"/>
          <w:szCs w:val="24"/>
          <w:highlight w:val="none"/>
        </w:rPr>
        <w:t xml:space="preserve">～2</w:t>
      </w:r>
      <w:r>
        <w:rPr>
          <w:rFonts w:ascii="仿宋" w:hAnsi="仿宋" w:eastAsia="仿宋" w:cs="仿宋"/>
          <w:bCs/>
          <w:sz w:val="24"/>
          <w:szCs w:val="24"/>
          <w:highlight w:val="none"/>
        </w:rPr>
        <w:t xml:space="preserve">0</w:t>
      </w:r>
      <w:r>
        <w:rPr>
          <w:rFonts w:hint="eastAsia" w:ascii="仿宋" w:hAnsi="仿宋" w:eastAsia="仿宋" w:cs="仿宋"/>
          <w:bCs/>
          <w:sz w:val="24"/>
          <w:szCs w:val="24"/>
          <w:highlight w:val="none"/>
        </w:rPr>
        <w:t xml:space="preserve">）℃，最大允许误差：±0</w:t>
      </w:r>
      <w:r>
        <w:rPr>
          <w:rFonts w:ascii="仿宋" w:hAnsi="仿宋" w:eastAsia="仿宋" w:cs="仿宋"/>
          <w:bCs/>
          <w:sz w:val="24"/>
          <w:szCs w:val="24"/>
          <w:highlight w:val="none"/>
        </w:rPr>
        <w:t xml:space="preserve">.</w:t>
      </w: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ascii="仿宋" w:hAnsi="仿宋" w:eastAsia="仿宋" w:cs="仿宋"/>
          <w:bCs/>
          <w:sz w:val="24"/>
          <w:szCs w:val="24"/>
          <w:highlight w:val="none"/>
        </w:rPr>
        <w:t xml:space="preserve">3.2 </w:t>
      </w:r>
      <w:r>
        <w:rPr>
          <w:rFonts w:hint="eastAsia" w:ascii="仿宋" w:hAnsi="仿宋" w:eastAsia="仿宋" w:cs="仿宋"/>
          <w:bCs/>
          <w:sz w:val="24"/>
          <w:szCs w:val="24"/>
          <w:highlight w:val="none"/>
        </w:rPr>
        <w:t xml:space="preserve">冷却速率可调，不低于（15±5）℃/min；升温速率不低于（10±0.5）℃/min；</w:t>
      </w:r>
      <w:r>
        <w:rPr>
          <w:rFonts w:ascii="仿宋" w:hAnsi="仿宋" w:eastAsia="仿宋" w:cs="仿宋"/>
          <w:bCs/>
          <w:sz w:val="24"/>
          <w:szCs w:val="24"/>
          <w:highlight w:val="none"/>
        </w:rPr>
      </w:r>
      <w:r/>
    </w:p>
    <w:p>
      <w:pPr>
        <w:pStyle w:val="1288"/>
        <w:spacing w:line="288"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rPr>
          <w:rFonts w:ascii="仿宋" w:hAnsi="仿宋" w:eastAsia="仿宋" w:cs="仿宋"/>
          <w:bCs/>
          <w:sz w:val="24"/>
          <w:highlight w:val="none"/>
        </w:rPr>
        <w:t xml:space="preserve">.3 </w:t>
      </w:r>
      <w:r>
        <w:rPr>
          <w:rFonts w:hint="eastAsia" w:ascii="仿宋" w:hAnsi="仿宋" w:eastAsia="仿宋" w:cs="仿宋"/>
          <w:bCs/>
          <w:sz w:val="24"/>
          <w:highlight w:val="none"/>
        </w:rPr>
        <w:t xml:space="preserve">数据传输可连接至LIMS系统，能高速可靠实时上传，实现实验室信息管理。</w:t>
      </w:r>
      <w:r>
        <w:rPr>
          <w:rFonts w:hint="eastAsia" w:ascii="仿宋" w:hAnsi="仿宋" w:eastAsia="仿宋" w:cs="仿宋"/>
          <w:bCs/>
          <w:sz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4、全自动紫外荧光定硫仪</w:t>
      </w:r>
      <w:r>
        <w:rPr>
          <w:rFonts w:hint="eastAsia" w:ascii="仿宋" w:hAnsi="仿宋" w:eastAsia="仿宋" w:cs="仿宋"/>
          <w:b/>
          <w:sz w:val="24"/>
          <w:szCs w:val="24"/>
          <w:highlight w:val="none"/>
        </w:rPr>
      </w:r>
      <w:r/>
    </w:p>
    <w:p>
      <w:pPr>
        <w:pStyle w:val="1047"/>
        <w:ind w:firstLine="420"/>
        <w:spacing w:line="288" w:lineRule="auto"/>
        <w:tabs>
          <w:tab w:val="left" w:pos="993" w:leader="none"/>
        </w:tabs>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4</w:t>
      </w:r>
      <w:r>
        <w:rPr>
          <w:rFonts w:ascii="仿宋" w:hAnsi="仿宋" w:eastAsia="仿宋" w:cs="仿宋"/>
          <w:bCs/>
          <w:sz w:val="24"/>
          <w:szCs w:val="24"/>
          <w:highlight w:val="none"/>
        </w:rPr>
        <w:t xml:space="preserve">.1 </w:t>
      </w:r>
      <w:r>
        <w:rPr>
          <w:rFonts w:hint="eastAsia" w:ascii="仿宋" w:hAnsi="仿宋" w:eastAsia="仿宋" w:cs="仿宋"/>
          <w:bCs/>
          <w:sz w:val="24"/>
          <w:szCs w:val="24"/>
          <w:highlight w:val="none"/>
        </w:rPr>
        <w:t xml:space="preserve">测量范围不小于（0.1～10000）mg/L；</w:t>
      </w:r>
      <w:r>
        <w:rPr>
          <w:rFonts w:ascii="仿宋" w:hAnsi="仿宋" w:eastAsia="仿宋" w:cs="仿宋"/>
          <w:bCs/>
          <w:sz w:val="24"/>
          <w:szCs w:val="24"/>
          <w:highlight w:val="none"/>
        </w:rPr>
      </w:r>
      <w:r/>
    </w:p>
    <w:p>
      <w:pPr>
        <w:pStyle w:val="1047"/>
        <w:ind w:firstLine="420"/>
        <w:spacing w:line="288" w:lineRule="auto"/>
        <w:tabs>
          <w:tab w:val="left" w:pos="993"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ascii="仿宋" w:hAnsi="仿宋" w:eastAsia="仿宋" w:cs="仿宋"/>
          <w:bCs/>
          <w:sz w:val="24"/>
          <w:szCs w:val="24"/>
          <w:highlight w:val="none"/>
        </w:rPr>
        <w:t xml:space="preserve">4.2</w:t>
      </w:r>
      <w:r>
        <w:rPr>
          <w:rFonts w:hint="eastAsia" w:ascii="仿宋" w:hAnsi="仿宋" w:eastAsia="仿宋" w:cs="仿宋"/>
          <w:bCs/>
          <w:sz w:val="24"/>
          <w:szCs w:val="24"/>
          <w:highlight w:val="none"/>
        </w:rPr>
        <w:t xml:space="preserve">被测样品中硫的质量浓度X＜1.0mg/L时，最大允许误差：±0.1mg/L；1.0mg/L≤X＜10mg/L时，最大允许误差：±10%；X≥10mg/L时，最大允许误差：±</w:t>
      </w:r>
      <w:r>
        <w:rPr>
          <w:rFonts w:ascii="仿宋" w:hAnsi="仿宋" w:eastAsia="仿宋" w:cs="仿宋"/>
          <w:bCs/>
          <w:sz w:val="24"/>
          <w:szCs w:val="24"/>
          <w:highlight w:val="none"/>
        </w:rPr>
        <w:t xml:space="preserve">6</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4</w:t>
      </w:r>
      <w:r>
        <w:rPr>
          <w:rFonts w:ascii="仿宋" w:hAnsi="仿宋" w:eastAsia="仿宋" w:cs="仿宋"/>
          <w:bCs/>
          <w:sz w:val="24"/>
          <w:szCs w:val="24"/>
          <w:highlight w:val="none"/>
        </w:rPr>
        <w:t xml:space="preserve">.3 </w:t>
      </w:r>
      <w:r>
        <w:rPr>
          <w:rFonts w:hint="eastAsia" w:ascii="仿宋" w:hAnsi="仿宋" w:eastAsia="仿宋" w:cs="仿宋"/>
          <w:bCs/>
          <w:sz w:val="24"/>
          <w:szCs w:val="24"/>
          <w:highlight w:val="none"/>
        </w:rPr>
        <w:t xml:space="preserve">仪器进样系统与试验过程应自动化完成；</w:t>
      </w:r>
      <w:r>
        <w:rPr>
          <w:rFonts w:ascii="仿宋" w:hAnsi="仿宋" w:eastAsia="仿宋" w:cs="仿宋"/>
          <w:bCs/>
          <w:sz w:val="24"/>
          <w:szCs w:val="24"/>
          <w:highlight w:val="none"/>
        </w:rPr>
      </w:r>
      <w:r/>
    </w:p>
    <w:p>
      <w:pPr>
        <w:pStyle w:val="1288"/>
        <w:spacing w:line="288" w:lineRule="auto"/>
        <w:rPr>
          <w:rFonts w:hint="eastAsia" w:ascii="仿宋" w:hAnsi="仿宋" w:eastAsia="仿宋" w:cs="仿宋"/>
          <w:bCs/>
          <w:sz w:val="24"/>
          <w:highlight w:val="none"/>
        </w:rPr>
      </w:pPr>
      <w:r>
        <w:rPr>
          <w:rFonts w:ascii="仿宋" w:hAnsi="仿宋" w:eastAsia="仿宋" w:cs="仿宋"/>
          <w:bCs/>
          <w:sz w:val="24"/>
          <w:highlight w:val="none"/>
        </w:rPr>
        <w:t xml:space="preserve">4.4</w:t>
      </w:r>
      <w:r>
        <w:rPr>
          <w:rFonts w:hint="eastAsia" w:ascii="仿宋" w:hAnsi="仿宋" w:eastAsia="仿宋" w:cs="仿宋"/>
          <w:bCs/>
          <w:sz w:val="24"/>
          <w:highlight w:val="none"/>
        </w:rPr>
        <w:t xml:space="preserve"> 控制软件应能通过买方提供的接口从业务系统获取该项目的检测任务及基本信息（json格式）、最新原始记录模板文件；</w:t>
      </w:r>
      <w:r>
        <w:rPr>
          <w:rFonts w:hint="eastAsia" w:ascii="仿宋" w:hAnsi="仿宋" w:eastAsia="仿宋" w:cs="仿宋"/>
          <w:bCs/>
          <w:sz w:val="24"/>
          <w:highlight w:val="none"/>
        </w:rPr>
      </w:r>
      <w:r/>
    </w:p>
    <w:p>
      <w:pPr>
        <w:pStyle w:val="1288"/>
        <w:spacing w:line="288" w:lineRule="auto"/>
        <w:rPr>
          <w:rFonts w:hint="eastAsia" w:ascii="仿宋" w:hAnsi="仿宋" w:eastAsia="仿宋" w:cs="仿宋"/>
          <w:bCs/>
          <w:sz w:val="24"/>
          <w:highlight w:val="none"/>
        </w:rPr>
      </w:pPr>
      <w:r>
        <w:rPr>
          <w:rFonts w:ascii="仿宋" w:hAnsi="仿宋" w:eastAsia="仿宋" w:cs="仿宋"/>
          <w:bCs/>
          <w:sz w:val="24"/>
          <w:highlight w:val="none"/>
        </w:rPr>
        <w:t xml:space="preserve">4.5</w:t>
      </w:r>
      <w:r>
        <w:rPr>
          <w:rFonts w:hint="eastAsia" w:ascii="仿宋" w:hAnsi="仿宋" w:eastAsia="仿宋" w:cs="仿宋"/>
          <w:bCs/>
          <w:sz w:val="24"/>
          <w:highlight w:val="none"/>
        </w:rPr>
        <w:t xml:space="preserve">控制软件导出数据到原始记录模板文件（excel格式），生成电子原始记录文件；</w:t>
      </w:r>
      <w:r>
        <w:rPr>
          <w:rFonts w:hint="eastAsia" w:ascii="仿宋" w:hAnsi="仿宋" w:eastAsia="仿宋" w:cs="仿宋"/>
          <w:bCs/>
          <w:sz w:val="24"/>
          <w:highlight w:val="none"/>
        </w:rPr>
      </w:r>
      <w:r/>
    </w:p>
    <w:p>
      <w:pPr>
        <w:pStyle w:val="1288"/>
        <w:spacing w:line="288" w:lineRule="auto"/>
        <w:rPr>
          <w:rFonts w:hint="eastAsia" w:ascii="仿宋" w:hAnsi="仿宋" w:eastAsia="仿宋" w:cs="仿宋"/>
          <w:bCs/>
          <w:sz w:val="24"/>
          <w:highlight w:val="none"/>
        </w:rPr>
      </w:pPr>
      <w:r>
        <w:rPr>
          <w:rFonts w:ascii="仿宋" w:hAnsi="仿宋" w:eastAsia="仿宋" w:cs="仿宋"/>
          <w:bCs/>
          <w:sz w:val="24"/>
          <w:highlight w:val="none"/>
        </w:rPr>
        <w:t xml:space="preserve">4.6</w:t>
      </w:r>
      <w:r>
        <w:rPr>
          <w:rFonts w:hint="eastAsia" w:ascii="仿宋" w:hAnsi="仿宋" w:eastAsia="仿宋" w:cs="仿宋"/>
          <w:bCs/>
          <w:sz w:val="24"/>
          <w:highlight w:val="none"/>
        </w:rPr>
        <w:t xml:space="preserve">控制软件通过将电子原始记录文件和唯一性号信息推送到业务系统；</w:t>
      </w:r>
      <w:r>
        <w:rPr>
          <w:rFonts w:hint="eastAsia" w:ascii="仿宋" w:hAnsi="仿宋" w:eastAsia="仿宋" w:cs="仿宋"/>
          <w:bCs/>
          <w:sz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5、航空煤油烟点仪</w:t>
      </w:r>
      <w:r>
        <w:rPr>
          <w:rFonts w:hint="eastAsia" w:ascii="仿宋" w:hAnsi="仿宋" w:eastAsia="仿宋" w:cs="仿宋"/>
          <w:b/>
          <w:sz w:val="24"/>
          <w:szCs w:val="24"/>
          <w:highlight w:val="none"/>
        </w:rPr>
      </w:r>
      <w:r/>
    </w:p>
    <w:p>
      <w:pPr>
        <w:pStyle w:val="1288"/>
        <w:spacing w:line="288"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ascii="仿宋" w:hAnsi="仿宋" w:eastAsia="仿宋" w:cs="仿宋"/>
          <w:bCs/>
          <w:sz w:val="24"/>
          <w:highlight w:val="none"/>
        </w:rPr>
        <w:t xml:space="preserve">.1 </w:t>
      </w:r>
      <w:r>
        <w:rPr>
          <w:rFonts w:hint="eastAsia" w:ascii="仿宋" w:hAnsi="仿宋" w:eastAsia="仿宋" w:cs="仿宋"/>
          <w:bCs/>
          <w:sz w:val="24"/>
          <w:highlight w:val="none"/>
        </w:rPr>
        <w:t xml:space="preserve">设备具有自动点火装置，实现灯芯自动点燃，应能自动调节火焰大小，调节精度不低于0.05mm，结果分辨率不低于0</w:t>
      </w:r>
      <w:r>
        <w:rPr>
          <w:rFonts w:ascii="仿宋" w:hAnsi="仿宋" w:eastAsia="仿宋" w:cs="仿宋"/>
          <w:bCs/>
          <w:sz w:val="24"/>
          <w:highlight w:val="none"/>
        </w:rPr>
        <w:t xml:space="preserve">.1mm</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w:t>
      </w:r>
      <w:r>
        <w:rPr>
          <w:rFonts w:ascii="仿宋" w:hAnsi="仿宋" w:eastAsia="仿宋" w:cs="仿宋"/>
          <w:bCs/>
          <w:sz w:val="24"/>
          <w:szCs w:val="24"/>
          <w:highlight w:val="none"/>
        </w:rPr>
        <w:t xml:space="preserve">.2 </w:t>
      </w:r>
      <w:r>
        <w:rPr>
          <w:rFonts w:hint="eastAsia" w:ascii="仿宋" w:hAnsi="仿宋" w:eastAsia="仿宋" w:cs="仿宋"/>
          <w:bCs/>
          <w:sz w:val="24"/>
          <w:szCs w:val="24"/>
          <w:highlight w:val="none"/>
        </w:rPr>
        <w:t xml:space="preserve">能够实时显示测量温度、湿度和环境大气压，自动参与烟点值校正计算，无需人工输入；</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5.3</w:t>
      </w:r>
      <w:r>
        <w:rPr>
          <w:rFonts w:hint="eastAsia" w:ascii="仿宋" w:hAnsi="仿宋" w:eastAsia="仿宋" w:cs="仿宋"/>
          <w:bCs/>
          <w:sz w:val="24"/>
          <w:szCs w:val="24"/>
          <w:highlight w:val="none"/>
        </w:rPr>
        <w:t xml:space="preserve">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5.4</w:t>
      </w:r>
      <w:r>
        <w:rPr>
          <w:rFonts w:hint="eastAsia" w:ascii="仿宋" w:hAnsi="仿宋" w:eastAsia="仿宋" w:cs="仿宋"/>
          <w:bCs/>
          <w:sz w:val="24"/>
          <w:szCs w:val="24"/>
          <w:highlight w:val="none"/>
        </w:rPr>
        <w:t xml:space="preserve"> 控制软件导出数据到原始记录模板文件（excel格式），生成电子原始记录文件；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5.5</w:t>
      </w:r>
      <w:r>
        <w:rPr>
          <w:rFonts w:hint="eastAsia" w:ascii="仿宋" w:hAnsi="仿宋" w:eastAsia="仿宋" w:cs="仿宋"/>
          <w:bCs/>
          <w:sz w:val="24"/>
          <w:szCs w:val="24"/>
          <w:highlight w:val="none"/>
        </w:rPr>
        <w:t xml:space="preserve">控制软件通过将电子原始记录文件和唯一性号信息推送到业务系统。</w:t>
      </w:r>
      <w:r>
        <w:rPr>
          <w:rFonts w:hint="eastAsia"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6、全自动低温运动粘度仪</w:t>
      </w:r>
      <w:r>
        <w:rPr>
          <w:rFonts w:hint="eastAsia" w:ascii="仿宋" w:hAnsi="仿宋" w:eastAsia="仿宋" w:cs="仿宋"/>
          <w:b/>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w:t>
      </w:r>
      <w:r>
        <w:rPr>
          <w:rFonts w:ascii="仿宋" w:hAnsi="仿宋" w:eastAsia="仿宋" w:cs="仿宋"/>
          <w:bCs/>
          <w:sz w:val="24"/>
          <w:szCs w:val="24"/>
          <w:highlight w:val="none"/>
        </w:rPr>
        <w:t xml:space="preserve">.1 </w:t>
      </w:r>
      <w:r>
        <w:rPr>
          <w:rFonts w:hint="eastAsia" w:ascii="仿宋" w:hAnsi="仿宋" w:eastAsia="仿宋" w:cs="仿宋"/>
          <w:bCs/>
          <w:sz w:val="24"/>
          <w:szCs w:val="24"/>
          <w:highlight w:val="none"/>
        </w:rPr>
        <w:t xml:space="preserve">运动粘度测量范围不小于（1～3000）mm</w:t>
      </w:r>
      <w:r>
        <w:rPr>
          <w:rFonts w:hint="eastAsia" w:ascii="仿宋" w:hAnsi="仿宋" w:eastAsia="仿宋" w:cs="仿宋"/>
          <w:bCs/>
          <w:sz w:val="24"/>
          <w:szCs w:val="24"/>
          <w:highlight w:val="none"/>
          <w:vertAlign w:val="superscript"/>
        </w:rPr>
        <w:t xml:space="preserve">2</w:t>
      </w:r>
      <w:r>
        <w:rPr>
          <w:rFonts w:hint="eastAsia" w:ascii="仿宋" w:hAnsi="仿宋" w:eastAsia="仿宋" w:cs="仿宋"/>
          <w:bCs/>
          <w:sz w:val="24"/>
          <w:szCs w:val="24"/>
          <w:highlight w:val="none"/>
        </w:rPr>
        <w:t xml:space="preserve">/s；</w:t>
      </w:r>
      <w:r>
        <w:rPr>
          <w:rFonts w:hint="eastAsia" w:ascii="仿宋" w:hAnsi="仿宋" w:eastAsia="仿宋" w:cs="仿宋"/>
          <w:bCs/>
          <w:sz w:val="24"/>
          <w:szCs w:val="24"/>
          <w:highlight w:val="none"/>
        </w:rPr>
      </w:r>
      <w:r/>
    </w:p>
    <w:p>
      <w:pPr>
        <w:pStyle w:val="1047"/>
        <w:ind w:firstLine="455"/>
        <w:spacing w:line="288" w:lineRule="auto"/>
        <w:rPr>
          <w:rFonts w:hint="eastAsia" w:ascii="仿宋" w:hAnsi="仿宋" w:eastAsia="仿宋" w:cs="仿宋"/>
          <w:bCs/>
          <w:sz w:val="24"/>
          <w:szCs w:val="24"/>
          <w:highlight w:val="none"/>
        </w:rPr>
      </w:pPr>
      <w:r>
        <w:rPr>
          <w:rFonts w:hint="eastAsia" w:ascii="仿宋" w:hAnsi="仿宋" w:eastAsia="仿宋" w:cs="仿宋"/>
          <w:bCs/>
          <w:spacing w:val="10"/>
          <w:sz w:val="24"/>
          <w:szCs w:val="24"/>
          <w:highlight w:val="none"/>
        </w:rPr>
        <w:t xml:space="preserve">6</w:t>
      </w:r>
      <w:r>
        <w:rPr>
          <w:rFonts w:ascii="仿宋" w:hAnsi="仿宋" w:eastAsia="仿宋" w:cs="仿宋"/>
          <w:bCs/>
          <w:spacing w:val="10"/>
          <w:sz w:val="24"/>
          <w:szCs w:val="24"/>
          <w:highlight w:val="none"/>
        </w:rPr>
        <w:t xml:space="preserve">.2 </w:t>
      </w:r>
      <w:r>
        <w:rPr>
          <w:rFonts w:hint="eastAsia" w:ascii="仿宋" w:hAnsi="仿宋" w:eastAsia="仿宋" w:cs="仿宋"/>
          <w:bCs/>
          <w:spacing w:val="10"/>
          <w:sz w:val="24"/>
          <w:szCs w:val="24"/>
          <w:highlight w:val="none"/>
        </w:rPr>
        <w:t xml:space="preserve">设备测试温度</w:t>
      </w:r>
      <w:r>
        <w:rPr>
          <w:rFonts w:hint="eastAsia" w:ascii="仿宋" w:hAnsi="仿宋" w:eastAsia="仿宋" w:cs="仿宋"/>
          <w:bCs/>
          <w:sz w:val="24"/>
          <w:szCs w:val="24"/>
          <w:highlight w:val="none"/>
        </w:rPr>
        <w:t xml:space="preserve">范围不小于（-40～</w:t>
      </w:r>
      <w:r>
        <w:rPr>
          <w:rFonts w:ascii="仿宋" w:hAnsi="仿宋" w:eastAsia="仿宋" w:cs="仿宋"/>
          <w:bCs/>
          <w:sz w:val="24"/>
          <w:szCs w:val="24"/>
          <w:highlight w:val="none"/>
        </w:rPr>
        <w:t xml:space="preserve">20</w:t>
      </w:r>
      <w:r>
        <w:rPr>
          <w:rFonts w:hint="eastAsia" w:ascii="仿宋" w:hAnsi="仿宋" w:eastAsia="仿宋" w:cs="仿宋"/>
          <w:bCs/>
          <w:sz w:val="24"/>
          <w:szCs w:val="24"/>
          <w:highlight w:val="none"/>
        </w:rPr>
        <w:t xml:space="preserve">）℃，最大允许误差±0</w:t>
      </w: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w:t>
      </w:r>
      <w:r>
        <w:rPr>
          <w:rFonts w:ascii="仿宋" w:hAnsi="仿宋" w:eastAsia="仿宋" w:cs="仿宋"/>
          <w:bCs/>
          <w:sz w:val="24"/>
          <w:szCs w:val="24"/>
          <w:highlight w:val="none"/>
        </w:rPr>
        <w:t xml:space="preserve">.3 </w:t>
      </w:r>
      <w:r>
        <w:rPr>
          <w:rFonts w:hint="eastAsia" w:ascii="仿宋" w:hAnsi="仿宋" w:eastAsia="仿宋" w:cs="仿宋"/>
          <w:bCs/>
          <w:sz w:val="24"/>
          <w:szCs w:val="24"/>
          <w:highlight w:val="none"/>
        </w:rPr>
        <w:t xml:space="preserve">设备在测试时应不受样品颜色和环境亮度干扰，透明、深色以及不透明石油产品应具备同样精度；</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w:t>
      </w:r>
      <w:r>
        <w:rPr>
          <w:rFonts w:ascii="仿宋" w:hAnsi="仿宋" w:eastAsia="仿宋" w:cs="仿宋"/>
          <w:bCs/>
          <w:sz w:val="24"/>
          <w:szCs w:val="24"/>
          <w:highlight w:val="none"/>
        </w:rPr>
        <w:t xml:space="preserve">.4 </w:t>
      </w:r>
      <w:r>
        <w:rPr>
          <w:rFonts w:hint="eastAsia" w:ascii="仿宋" w:hAnsi="仿宋" w:eastAsia="仿宋" w:cs="仿宋"/>
          <w:bCs/>
          <w:sz w:val="24"/>
          <w:szCs w:val="24"/>
          <w:highlight w:val="none"/>
        </w:rPr>
        <w:t xml:space="preserve">仪器计时器最大允许误差：0.01s；</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6</w:t>
      </w:r>
      <w:r>
        <w:rPr>
          <w:rFonts w:ascii="仿宋" w:hAnsi="仿宋" w:eastAsia="仿宋" w:cs="仿宋"/>
          <w:bCs/>
          <w:sz w:val="24"/>
          <w:szCs w:val="24"/>
          <w:highlight w:val="none"/>
        </w:rPr>
        <w:t xml:space="preserve">.5 </w:t>
      </w:r>
      <w:r>
        <w:rPr>
          <w:rFonts w:hint="eastAsia" w:ascii="仿宋" w:hAnsi="仿宋" w:eastAsia="仿宋" w:cs="仿宋"/>
          <w:bCs/>
          <w:sz w:val="24"/>
          <w:szCs w:val="24"/>
          <w:highlight w:val="none"/>
        </w:rPr>
        <w:t xml:space="preserve">设备应具备耐腐蚀设计，可接受大部分腐蚀性的清洗溶剂；</w:t>
      </w:r>
      <w:r>
        <w:rPr>
          <w:rFonts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w:t>
      </w:r>
      <w:r>
        <w:rPr>
          <w:rFonts w:ascii="仿宋" w:hAnsi="仿宋" w:eastAsia="仿宋" w:cs="仿宋"/>
          <w:bCs/>
          <w:sz w:val="24"/>
          <w:szCs w:val="24"/>
          <w:highlight w:val="none"/>
        </w:rPr>
        <w:t xml:space="preserve">.6 </w:t>
      </w:r>
      <w:r>
        <w:rPr>
          <w:rFonts w:hint="eastAsia" w:ascii="仿宋" w:hAnsi="仿宋" w:eastAsia="仿宋" w:cs="仿宋"/>
          <w:bCs/>
          <w:sz w:val="24"/>
          <w:szCs w:val="24"/>
          <w:highlight w:val="none"/>
        </w:rPr>
        <w:t xml:space="preserve">设备包含吸油嘴保护装置，便于定期清理；</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6.7</w:t>
      </w:r>
      <w:r>
        <w:rPr>
          <w:rFonts w:hint="eastAsia" w:ascii="仿宋" w:hAnsi="仿宋" w:eastAsia="仿宋" w:cs="仿宋"/>
          <w:bCs/>
          <w:sz w:val="24"/>
          <w:szCs w:val="24"/>
          <w:highlight w:val="none"/>
        </w:rPr>
        <w:t xml:space="preserve">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6.8</w:t>
      </w:r>
      <w:r>
        <w:rPr>
          <w:rFonts w:hint="eastAsia" w:ascii="仿宋" w:hAnsi="仿宋" w:eastAsia="仿宋" w:cs="仿宋"/>
          <w:bCs/>
          <w:sz w:val="24"/>
          <w:szCs w:val="24"/>
          <w:highlight w:val="none"/>
        </w:rPr>
        <w:t xml:space="preserve"> 控制软件导出数据到原始记录模板文件（excel格式），生成电子原始记录文件；</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ascii="仿宋" w:hAnsi="仿宋" w:eastAsia="仿宋" w:cs="仿宋"/>
          <w:bCs/>
          <w:sz w:val="24"/>
          <w:szCs w:val="24"/>
          <w:highlight w:val="none"/>
        </w:rPr>
        <w:t xml:space="preserve">6.9</w:t>
      </w:r>
      <w:r>
        <w:rPr>
          <w:rFonts w:hint="eastAsia" w:ascii="仿宋" w:hAnsi="仿宋" w:eastAsia="仿宋" w:cs="仿宋"/>
          <w:bCs/>
          <w:sz w:val="24"/>
          <w:szCs w:val="24"/>
          <w:highlight w:val="none"/>
        </w:rPr>
        <w:t xml:space="preserve">控制软件通过将电子原始记录文件和唯一性号信息推送到业务系统。</w:t>
      </w:r>
      <w:r>
        <w:rPr>
          <w:rFonts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7、阿贝尔闭口闪点仪  </w:t>
      </w:r>
      <w:r>
        <w:rPr>
          <w:rFonts w:hint="eastAsia" w:ascii="仿宋" w:hAnsi="仿宋" w:eastAsia="仿宋" w:cs="仿宋"/>
          <w:b/>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w:t>
      </w:r>
      <w:r>
        <w:rPr>
          <w:rFonts w:ascii="仿宋" w:hAnsi="仿宋" w:eastAsia="仿宋" w:cs="仿宋"/>
          <w:bCs/>
          <w:sz w:val="24"/>
          <w:szCs w:val="24"/>
          <w:highlight w:val="none"/>
        </w:rPr>
        <w:t xml:space="preserve">.1 </w:t>
      </w:r>
      <w:r>
        <w:rPr>
          <w:rFonts w:hint="eastAsia" w:ascii="仿宋" w:hAnsi="仿宋" w:eastAsia="仿宋" w:cs="仿宋"/>
          <w:bCs/>
          <w:sz w:val="24"/>
          <w:szCs w:val="24"/>
          <w:highlight w:val="none"/>
        </w:rPr>
        <w:t xml:space="preserve">工作温度范围不小于（10～</w:t>
      </w:r>
      <w:r>
        <w:rPr>
          <w:rFonts w:ascii="仿宋" w:hAnsi="仿宋" w:eastAsia="仿宋" w:cs="仿宋"/>
          <w:bCs/>
          <w:sz w:val="24"/>
          <w:szCs w:val="24"/>
          <w:highlight w:val="none"/>
        </w:rPr>
        <w:t xml:space="preserve">70</w:t>
      </w:r>
      <w:r>
        <w:rPr>
          <w:rFonts w:hint="eastAsia" w:ascii="仿宋" w:hAnsi="仿宋" w:eastAsia="仿宋" w:cs="仿宋"/>
          <w:bCs/>
          <w:sz w:val="24"/>
          <w:szCs w:val="24"/>
          <w:highlight w:val="none"/>
        </w:rPr>
        <w:t xml:space="preserve">）℃, 最大允许误差：±0.1℃；</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w:t>
      </w:r>
      <w:r>
        <w:rPr>
          <w:rFonts w:ascii="仿宋" w:hAnsi="仿宋" w:eastAsia="仿宋" w:cs="仿宋"/>
          <w:bCs/>
          <w:sz w:val="24"/>
          <w:szCs w:val="24"/>
          <w:highlight w:val="none"/>
        </w:rPr>
        <w:t xml:space="preserve">.2 </w:t>
      </w:r>
      <w:r>
        <w:rPr>
          <w:rFonts w:hint="eastAsia" w:ascii="仿宋" w:hAnsi="仿宋" w:eastAsia="仿宋" w:cs="仿宋"/>
          <w:bCs/>
          <w:sz w:val="24"/>
          <w:szCs w:val="24"/>
          <w:highlight w:val="none"/>
        </w:rPr>
        <w:t xml:space="preserve">操作界面简洁，配备触摸屏；</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w:t>
      </w:r>
      <w:r>
        <w:rPr>
          <w:rFonts w:ascii="仿宋" w:hAnsi="仿宋" w:eastAsia="仿宋" w:cs="仿宋"/>
          <w:bCs/>
          <w:sz w:val="24"/>
          <w:szCs w:val="24"/>
          <w:highlight w:val="none"/>
        </w:rPr>
        <w:t xml:space="preserve">.3 </w:t>
      </w:r>
      <w:r>
        <w:rPr>
          <w:rFonts w:hint="eastAsia" w:ascii="仿宋" w:hAnsi="仿宋" w:eastAsia="仿宋" w:cs="仿宋"/>
          <w:bCs/>
          <w:sz w:val="24"/>
          <w:szCs w:val="24"/>
          <w:highlight w:val="none"/>
        </w:rPr>
        <w:t xml:space="preserve">设备配备无线传感器；</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w:t>
      </w:r>
      <w:r>
        <w:rPr>
          <w:rFonts w:ascii="仿宋" w:hAnsi="仿宋" w:eastAsia="仿宋" w:cs="仿宋"/>
          <w:bCs/>
          <w:sz w:val="24"/>
          <w:szCs w:val="24"/>
          <w:highlight w:val="none"/>
        </w:rPr>
        <w:t xml:space="preserve">.4</w:t>
      </w:r>
      <w:r>
        <w:rPr>
          <w:rFonts w:hint="eastAsia" w:ascii="仿宋" w:hAnsi="仿宋" w:eastAsia="仿宋" w:cs="仿宋"/>
          <w:bCs/>
          <w:sz w:val="24"/>
          <w:szCs w:val="24"/>
          <w:highlight w:val="none"/>
        </w:rPr>
        <w:t xml:space="preserve">点火器应具备耐高温、绝缘、防积碳、抗腐蚀性能，减少维护；</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w:t>
      </w:r>
      <w:r>
        <w:rPr>
          <w:rFonts w:ascii="仿宋" w:hAnsi="仿宋" w:eastAsia="仿宋" w:cs="仿宋"/>
          <w:bCs/>
          <w:sz w:val="24"/>
          <w:szCs w:val="24"/>
          <w:highlight w:val="none"/>
        </w:rPr>
        <w:t xml:space="preserve">.5 </w:t>
      </w:r>
      <w:r>
        <w:rPr>
          <w:rFonts w:hint="eastAsia" w:ascii="仿宋" w:hAnsi="仿宋" w:eastAsia="仿宋" w:cs="仿宋"/>
          <w:bCs/>
          <w:sz w:val="24"/>
          <w:szCs w:val="24"/>
          <w:highlight w:val="none"/>
        </w:rPr>
        <w:t xml:space="preserve">设备应可以对闪点测试结果进行自动校准，自动判断结果是否符合标准要求并提示；</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7</w:t>
      </w:r>
      <w:r>
        <w:rPr>
          <w:rFonts w:ascii="仿宋" w:hAnsi="仿宋" w:eastAsia="仿宋" w:cs="仿宋"/>
          <w:bCs/>
          <w:sz w:val="24"/>
          <w:szCs w:val="24"/>
          <w:highlight w:val="none"/>
        </w:rPr>
        <w:t xml:space="preserve">.6 </w:t>
      </w:r>
      <w:r>
        <w:rPr>
          <w:rFonts w:hint="eastAsia" w:ascii="仿宋" w:hAnsi="仿宋" w:eastAsia="仿宋" w:cs="仿宋"/>
          <w:bCs/>
          <w:sz w:val="24"/>
          <w:szCs w:val="24"/>
          <w:highlight w:val="none"/>
        </w:rPr>
        <w:t xml:space="preserve">测试杯，测试盖易拆卸组装，方便清洗；</w:t>
      </w:r>
      <w:r>
        <w:rPr>
          <w:rFonts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7</w:t>
      </w:r>
      <w:r>
        <w:rPr>
          <w:rFonts w:hint="eastAsia" w:ascii="仿宋" w:hAnsi="仿宋" w:eastAsia="仿宋" w:cs="仿宋"/>
          <w:bCs/>
          <w:sz w:val="24"/>
          <w:szCs w:val="24"/>
          <w:highlight w:val="none"/>
        </w:rPr>
        <w:t xml:space="preserve">.7控制软件应能通过买方提供的接口从业务系统获取该项目的检测任务及基本信息（json格式）、最新原始记录模板文件；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7</w:t>
      </w:r>
      <w:r>
        <w:rPr>
          <w:rFonts w:hint="eastAsia" w:ascii="仿宋" w:hAnsi="仿宋" w:eastAsia="仿宋" w:cs="仿宋"/>
          <w:bCs/>
          <w:sz w:val="24"/>
          <w:szCs w:val="24"/>
          <w:highlight w:val="none"/>
        </w:rPr>
        <w:t xml:space="preserve">.8 控制软件导出数据到原始记录模板文件（excel格式），生成电子原始记录文件；</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ascii="仿宋" w:hAnsi="仿宋" w:eastAsia="仿宋" w:cs="仿宋"/>
          <w:bCs/>
          <w:sz w:val="24"/>
          <w:szCs w:val="24"/>
          <w:highlight w:val="none"/>
        </w:rPr>
        <w:t xml:space="preserve">7</w:t>
      </w:r>
      <w:r>
        <w:rPr>
          <w:rFonts w:hint="eastAsia" w:ascii="仿宋" w:hAnsi="仿宋" w:eastAsia="仿宋" w:cs="仿宋"/>
          <w:bCs/>
          <w:sz w:val="24"/>
          <w:szCs w:val="24"/>
          <w:highlight w:val="none"/>
        </w:rPr>
        <w:t xml:space="preserve">.9控制软件通过将电子原始记录文件和唯一性号信息推送到业务系统。</w:t>
      </w:r>
      <w:r>
        <w:rPr>
          <w:rFonts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8、自动蒸馏试验器</w:t>
      </w:r>
      <w:r>
        <w:rPr>
          <w:rFonts w:hint="eastAsia" w:ascii="仿宋" w:hAnsi="仿宋" w:eastAsia="仿宋" w:cs="仿宋"/>
          <w:b/>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8</w:t>
      </w:r>
      <w:r>
        <w:rPr>
          <w:rFonts w:ascii="仿宋" w:hAnsi="仿宋" w:eastAsia="仿宋" w:cs="仿宋"/>
          <w:bCs/>
          <w:sz w:val="24"/>
          <w:szCs w:val="24"/>
          <w:highlight w:val="none"/>
        </w:rPr>
        <w:t xml:space="preserve">.1 </w:t>
      </w:r>
      <w:r>
        <w:rPr>
          <w:rFonts w:hint="eastAsia" w:ascii="仿宋" w:hAnsi="仿宋" w:eastAsia="仿宋" w:cs="仿宋"/>
          <w:bCs/>
          <w:sz w:val="24"/>
          <w:szCs w:val="24"/>
          <w:highlight w:val="none"/>
        </w:rPr>
        <w:t xml:space="preserve">温度控制范围：（0～450）℃，最大允许误差：±0.1℃；</w:t>
      </w:r>
      <w:r>
        <w:rPr>
          <w:rFonts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w:t>
      </w:r>
      <w:r>
        <w:rPr>
          <w:rFonts w:ascii="仿宋" w:hAnsi="仿宋" w:eastAsia="仿宋" w:cs="仿宋"/>
          <w:bCs/>
          <w:sz w:val="24"/>
          <w:szCs w:val="24"/>
          <w:highlight w:val="none"/>
        </w:rPr>
        <w:t xml:space="preserve">.2</w:t>
      </w:r>
      <w:r>
        <w:rPr>
          <w:rFonts w:hint="eastAsia" w:ascii="仿宋" w:hAnsi="仿宋" w:eastAsia="仿宋" w:cs="仿宋"/>
          <w:bCs/>
          <w:sz w:val="24"/>
          <w:szCs w:val="24"/>
          <w:highlight w:val="none"/>
        </w:rPr>
        <w:t xml:space="preserve">设备应具有体积检测功能，检测范围不小于（0～10</w:t>
      </w:r>
      <w:r>
        <w:rPr>
          <w:rFonts w:ascii="仿宋" w:hAnsi="仿宋" w:eastAsia="仿宋" w:cs="仿宋"/>
          <w:bCs/>
          <w:sz w:val="24"/>
          <w:szCs w:val="24"/>
          <w:highlight w:val="none"/>
        </w:rPr>
        <w:t xml:space="preserve">0</w:t>
      </w:r>
      <w:r>
        <w:rPr>
          <w:rFonts w:hint="eastAsia" w:ascii="仿宋" w:hAnsi="仿宋" w:eastAsia="仿宋" w:cs="仿宋"/>
          <w:bCs/>
          <w:sz w:val="24"/>
          <w:szCs w:val="24"/>
          <w:highlight w:val="none"/>
        </w:rPr>
        <w:t xml:space="preserve">）mL，最大允许误差：±0.1mL；</w:t>
      </w:r>
      <w:r>
        <w:rPr>
          <w:rFonts w:hint="eastAsia" w:ascii="仿宋" w:hAnsi="仿宋" w:eastAsia="仿宋" w:cs="仿宋"/>
          <w:bCs/>
          <w:sz w:val="24"/>
          <w:szCs w:val="24"/>
          <w:highlight w:val="none"/>
        </w:rPr>
      </w:r>
      <w:r/>
    </w:p>
    <w:p>
      <w:pPr>
        <w:pStyle w:val="1047"/>
        <w:ind w:firstLine="420"/>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8.3 </w:t>
      </w:r>
      <w:r>
        <w:rPr>
          <w:rFonts w:hint="eastAsia" w:ascii="仿宋" w:hAnsi="仿宋" w:eastAsia="仿宋" w:cs="仿宋"/>
          <w:bCs/>
          <w:sz w:val="24"/>
          <w:szCs w:val="24"/>
          <w:highlight w:val="none"/>
        </w:rPr>
        <w:t xml:space="preserve">实验应不受大气压变化的影响，具备自动完成气压修正功能；</w:t>
      </w:r>
      <w:r>
        <w:rPr>
          <w:rFonts w:hint="eastAsia"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▲8</w:t>
      </w:r>
      <w:r>
        <w:rPr>
          <w:rFonts w:ascii="仿宋" w:hAnsi="仿宋" w:eastAsia="仿宋" w:cs="仿宋"/>
          <w:bCs/>
          <w:sz w:val="24"/>
          <w:szCs w:val="24"/>
          <w:highlight w:val="none"/>
        </w:rPr>
        <w:t xml:space="preserve">.4 </w:t>
      </w:r>
      <w:r>
        <w:rPr>
          <w:rFonts w:hint="eastAsia" w:ascii="仿宋" w:hAnsi="仿宋" w:eastAsia="仿宋" w:cs="仿宋"/>
          <w:bCs/>
          <w:sz w:val="24"/>
          <w:szCs w:val="24"/>
          <w:highlight w:val="none"/>
        </w:rPr>
        <w:t xml:space="preserve">蒸馏烧瓶加热台和防护罩具备自动升降功能，并能检测烧瓶放置是否到位；</w:t>
      </w:r>
      <w:r>
        <w:rPr>
          <w:rFonts w:ascii="仿宋" w:hAnsi="仿宋" w:eastAsia="仿宋" w:cs="仿宋"/>
          <w:bCs/>
          <w:sz w:val="24"/>
          <w:szCs w:val="24"/>
          <w:highlight w:val="none"/>
        </w:rPr>
      </w:r>
      <w:r/>
    </w:p>
    <w:p>
      <w:pPr>
        <w:pStyle w:val="1047"/>
        <w:ind w:firstLine="420"/>
        <w:rPr>
          <w:rFonts w:ascii="仿宋" w:hAnsi="仿宋" w:eastAsia="仿宋" w:cs="仿宋"/>
          <w:bCs/>
          <w:sz w:val="24"/>
          <w:szCs w:val="24"/>
          <w:highlight w:val="none"/>
        </w:rPr>
      </w:pPr>
      <w:r>
        <w:rPr>
          <w:rFonts w:ascii="仿宋" w:hAnsi="仿宋" w:eastAsia="仿宋" w:cs="仿宋"/>
          <w:bCs/>
          <w:sz w:val="24"/>
          <w:szCs w:val="24"/>
          <w:highlight w:val="none"/>
        </w:rPr>
        <w:t xml:space="preserve">8.5 </w:t>
      </w:r>
      <w:r>
        <w:rPr>
          <w:rFonts w:hint="eastAsia" w:ascii="仿宋" w:hAnsi="仿宋" w:eastAsia="仿宋" w:cs="仿宋"/>
          <w:bCs/>
          <w:sz w:val="24"/>
          <w:szCs w:val="24"/>
          <w:highlight w:val="none"/>
        </w:rPr>
        <w:t xml:space="preserve">设备至少具有冷却液体积检测、量筒放置检测、回收室密封检测等自检测功能；</w:t>
      </w:r>
      <w:r>
        <w:rPr>
          <w:rFonts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8.6</w:t>
      </w:r>
      <w:r>
        <w:rPr>
          <w:rFonts w:hint="eastAsia" w:ascii="仿宋" w:hAnsi="仿宋" w:eastAsia="仿宋" w:cs="仿宋"/>
          <w:bCs/>
          <w:sz w:val="24"/>
          <w:szCs w:val="24"/>
          <w:highlight w:val="none"/>
        </w:rPr>
        <w:t xml:space="preserve">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8.7</w:t>
      </w:r>
      <w:r>
        <w:rPr>
          <w:rFonts w:hint="eastAsia" w:ascii="仿宋" w:hAnsi="仿宋" w:eastAsia="仿宋" w:cs="仿宋"/>
          <w:bCs/>
          <w:sz w:val="24"/>
          <w:szCs w:val="24"/>
          <w:highlight w:val="none"/>
        </w:rPr>
        <w:t xml:space="preserve"> 控制软件导出数据到原始记录模板文件（excel格式），生成电子原始记录文件；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8.8</w:t>
      </w:r>
      <w:r>
        <w:rPr>
          <w:rFonts w:hint="eastAsia" w:ascii="仿宋" w:hAnsi="仿宋" w:eastAsia="仿宋" w:cs="仿宋"/>
          <w:bCs/>
          <w:sz w:val="24"/>
          <w:szCs w:val="24"/>
          <w:highlight w:val="none"/>
        </w:rPr>
        <w:t xml:space="preserve">控制软件通过将电子原始记录文件和唯一性号信息推送到业务系统。</w:t>
      </w:r>
      <w:r>
        <w:rPr>
          <w:rFonts w:hint="eastAsia" w:ascii="仿宋" w:hAnsi="仿宋" w:eastAsia="仿宋" w:cs="仿宋"/>
          <w:bCs/>
          <w:sz w:val="24"/>
          <w:szCs w:val="24"/>
          <w:highlight w:val="none"/>
        </w:rPr>
      </w:r>
      <w:r/>
    </w:p>
    <w:p>
      <w:pPr>
        <w:pStyle w:val="1047"/>
        <w:ind w:firstLine="422"/>
        <w:spacing w:line="288"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9、喷气燃料铜片腐蚀试验器</w:t>
      </w:r>
      <w:r>
        <w:rPr>
          <w:rFonts w:ascii="仿宋" w:hAnsi="仿宋" w:eastAsia="仿宋" w:cs="仿宋"/>
          <w:b/>
          <w:sz w:val="24"/>
          <w:szCs w:val="24"/>
          <w:highlight w:val="none"/>
        </w:rPr>
      </w:r>
      <w:r/>
    </w:p>
    <w:p>
      <w:pPr>
        <w:pStyle w:val="1047"/>
        <w:ind w:firstLine="420"/>
        <w:spacing w:line="288"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9</w:t>
      </w:r>
      <w:r>
        <w:rPr>
          <w:rFonts w:ascii="仿宋" w:hAnsi="仿宋" w:eastAsia="仿宋" w:cs="仿宋"/>
          <w:bCs/>
          <w:sz w:val="24"/>
          <w:szCs w:val="24"/>
          <w:highlight w:val="none"/>
        </w:rPr>
        <w:t xml:space="preserve">.1 </w:t>
      </w:r>
      <w:r>
        <w:rPr>
          <w:rFonts w:hint="eastAsia" w:ascii="仿宋" w:hAnsi="仿宋" w:eastAsia="仿宋" w:cs="仿宋"/>
          <w:bCs/>
          <w:sz w:val="24"/>
          <w:szCs w:val="24"/>
          <w:highlight w:val="none"/>
        </w:rPr>
        <w:t xml:space="preserve">金属恒温浴能自动控制温度范围（40～200）℃（可调），控温精度：最大允许误差：±1℃，金属恒温浴应能承受0.7MPa试验压力；</w:t>
      </w:r>
      <w:r>
        <w:rPr>
          <w:rFonts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w:t>
      </w:r>
      <w:r>
        <w:rPr>
          <w:rFonts w:ascii="仿宋" w:hAnsi="仿宋" w:eastAsia="仿宋" w:cs="仿宋"/>
          <w:bCs/>
          <w:sz w:val="24"/>
          <w:szCs w:val="24"/>
          <w:highlight w:val="none"/>
        </w:rPr>
        <w:t xml:space="preserve">.2 </w:t>
      </w:r>
      <w:r>
        <w:rPr>
          <w:rFonts w:hint="eastAsia" w:ascii="仿宋" w:hAnsi="仿宋" w:eastAsia="仿宋" w:cs="仿宋"/>
          <w:bCs/>
          <w:sz w:val="24"/>
          <w:szCs w:val="24"/>
          <w:highlight w:val="none"/>
        </w:rPr>
        <w:t xml:space="preserve">加热时间：温度稳定至100℃，时间不大于30min；</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w:t>
      </w:r>
      <w:r>
        <w:rPr>
          <w:rFonts w:ascii="仿宋" w:hAnsi="仿宋" w:eastAsia="仿宋" w:cs="仿宋"/>
          <w:bCs/>
          <w:sz w:val="24"/>
          <w:szCs w:val="24"/>
          <w:highlight w:val="none"/>
        </w:rPr>
        <w:t xml:space="preserve">.3 </w:t>
      </w:r>
      <w:r>
        <w:rPr>
          <w:rFonts w:hint="eastAsia" w:ascii="仿宋" w:hAnsi="仿宋" w:eastAsia="仿宋" w:cs="仿宋"/>
          <w:bCs/>
          <w:sz w:val="24"/>
          <w:szCs w:val="24"/>
          <w:highlight w:val="none"/>
        </w:rPr>
        <w:t xml:space="preserve">设备应具备自动定时、自诊断功能。</w:t>
      </w:r>
      <w:r>
        <w:rPr>
          <w:rFonts w:hint="eastAsia"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10、自动密度测定仪</w:t>
      </w:r>
      <w:r>
        <w:rPr>
          <w:rFonts w:hint="eastAsia" w:ascii="仿宋" w:hAnsi="仿宋" w:eastAsia="仿宋" w:cs="仿宋"/>
          <w:b/>
          <w:sz w:val="24"/>
          <w:szCs w:val="24"/>
          <w:highlight w:val="none"/>
        </w:rPr>
      </w:r>
      <w:r/>
    </w:p>
    <w:p>
      <w:pPr>
        <w:pStyle w:val="1047"/>
        <w:ind w:firstLine="420"/>
        <w:spacing w:line="288" w:lineRule="auto"/>
        <w:tabs>
          <w:tab w:val="left" w:pos="99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ascii="仿宋" w:hAnsi="仿宋" w:eastAsia="仿宋" w:cs="仿宋"/>
          <w:bCs/>
          <w:sz w:val="24"/>
          <w:szCs w:val="24"/>
          <w:highlight w:val="none"/>
        </w:rPr>
        <w:t xml:space="preserve">10.1 </w:t>
      </w:r>
      <w:r>
        <w:rPr>
          <w:rFonts w:hint="eastAsia" w:ascii="仿宋" w:hAnsi="仿宋" w:eastAsia="仿宋" w:cs="仿宋"/>
          <w:bCs/>
          <w:sz w:val="24"/>
          <w:szCs w:val="24"/>
          <w:highlight w:val="none"/>
        </w:rPr>
        <w:t xml:space="preserve">密度测量范围不小于（0～3）g/cm³，最大允许误差：±0.0001 g/cm</w:t>
      </w:r>
      <w:r>
        <w:rPr>
          <w:rFonts w:ascii="Calibri" w:hAnsi="Calibri" w:eastAsia="仿宋" w:cs="Calibri"/>
          <w:bCs/>
          <w:sz w:val="24"/>
          <w:szCs w:val="24"/>
          <w:highlight w:val="none"/>
        </w:rPr>
        <w:t xml:space="preserve">³</w:t>
      </w:r>
      <w:r>
        <w:rPr>
          <w:rFonts w:hint="eastAsia" w:ascii="Calibri" w:hAnsi="Calibri" w:eastAsia="仿宋" w:cs="Calibri"/>
          <w:bCs/>
          <w:sz w:val="24"/>
          <w:szCs w:val="24"/>
          <w:highlight w:val="none"/>
        </w:rPr>
        <w:t xml:space="preserve">，</w:t>
      </w:r>
      <w:r>
        <w:rPr>
          <w:rFonts w:hint="eastAsia" w:ascii="仿宋" w:hAnsi="仿宋" w:eastAsia="仿宋" w:cs="仿宋"/>
          <w:bCs/>
          <w:sz w:val="24"/>
          <w:szCs w:val="24"/>
          <w:highlight w:val="none"/>
        </w:rPr>
        <w:t xml:space="preserve">重复性≤0.00005 g/cm</w:t>
      </w:r>
      <w:r>
        <w:rPr>
          <w:rFonts w:ascii="Calibri" w:hAnsi="Calibri" w:eastAsia="仿宋" w:cs="Calibri"/>
          <w:bCs/>
          <w:sz w:val="24"/>
          <w:szCs w:val="24"/>
          <w:highlight w:val="none"/>
        </w:rPr>
        <w:t xml:space="preserve">³</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47"/>
        <w:ind w:firstLine="420"/>
        <w:spacing w:line="288" w:lineRule="auto"/>
        <w:tabs>
          <w:tab w:val="left" w:pos="99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0.2 </w:t>
      </w:r>
      <w:r>
        <w:rPr>
          <w:rFonts w:hint="eastAsia" w:ascii="仿宋" w:hAnsi="仿宋" w:eastAsia="仿宋" w:cs="仿宋"/>
          <w:bCs/>
          <w:sz w:val="24"/>
          <w:szCs w:val="24"/>
          <w:highlight w:val="none"/>
        </w:rPr>
        <w:t xml:space="preserve">温度测量范围不小于（15～60）℃，最大允许误差：±0.</w:t>
      </w:r>
      <w:r>
        <w:rPr>
          <w:rFonts w:ascii="仿宋" w:hAnsi="仿宋" w:eastAsia="仿宋" w:cs="仿宋"/>
          <w:bCs/>
          <w:sz w:val="24"/>
          <w:szCs w:val="24"/>
          <w:highlight w:val="none"/>
        </w:rPr>
        <w:t xml:space="preserve">1</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0.3 </w:t>
      </w:r>
      <w:r>
        <w:rPr>
          <w:rFonts w:hint="eastAsia" w:ascii="仿宋" w:hAnsi="仿宋" w:eastAsia="仿宋" w:cs="仿宋"/>
          <w:bCs/>
          <w:sz w:val="24"/>
          <w:szCs w:val="24"/>
          <w:highlight w:val="none"/>
        </w:rPr>
        <w:t xml:space="preserve">应具备自动气泡检测功能，样品中有气泡能进行提示；</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0.4 </w:t>
      </w:r>
      <w:r>
        <w:rPr>
          <w:rFonts w:hint="eastAsia" w:ascii="仿宋" w:hAnsi="仿宋" w:eastAsia="仿宋" w:cs="仿宋"/>
          <w:bCs/>
          <w:sz w:val="24"/>
          <w:szCs w:val="24"/>
          <w:highlight w:val="none"/>
        </w:rPr>
        <w:t xml:space="preserve">具备全范围粘度自动修正功能;</w:t>
      </w:r>
      <w:r>
        <w:rPr>
          <w:rFonts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10.5</w:t>
      </w:r>
      <w:r>
        <w:rPr>
          <w:rFonts w:hint="eastAsia" w:ascii="仿宋" w:hAnsi="仿宋" w:eastAsia="仿宋" w:cs="仿宋"/>
          <w:bCs/>
          <w:sz w:val="24"/>
          <w:szCs w:val="24"/>
          <w:highlight w:val="none"/>
        </w:rPr>
        <w:t xml:space="preserve">控制软件应能通过买方提供的接口从业务系统获取该项目的检测任务及基本信息（json格式）、最新原始记录模板文件；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10.6</w:t>
      </w:r>
      <w:r>
        <w:rPr>
          <w:rFonts w:hint="eastAsia" w:ascii="仿宋" w:hAnsi="仿宋" w:eastAsia="仿宋" w:cs="仿宋"/>
          <w:bCs/>
          <w:sz w:val="24"/>
          <w:szCs w:val="24"/>
          <w:highlight w:val="none"/>
        </w:rPr>
        <w:t xml:space="preserve"> 控制软件导出数据到原始记录模板文件（excel格式），生成电子原始记录文件；</w:t>
      </w:r>
      <w:r>
        <w:rPr>
          <w:rFonts w:hint="eastAsia" w:ascii="仿宋" w:hAnsi="仿宋" w:eastAsia="仿宋" w:cs="仿宋"/>
          <w:bCs/>
          <w:sz w:val="24"/>
          <w:szCs w:val="24"/>
          <w:highlight w:val="none"/>
        </w:rPr>
      </w:r>
      <w:r/>
    </w:p>
    <w:p>
      <w:pPr>
        <w:pStyle w:val="1047"/>
        <w:ind w:firstLine="420"/>
        <w:spacing w:line="288" w:lineRule="auto"/>
        <w:rPr>
          <w:rFonts w:ascii="仿宋" w:hAnsi="仿宋" w:eastAsia="仿宋" w:cs="仿宋"/>
          <w:bCs/>
          <w:sz w:val="24"/>
          <w:szCs w:val="24"/>
          <w:highlight w:val="none"/>
        </w:rPr>
      </w:pPr>
      <w:r>
        <w:rPr>
          <w:rFonts w:ascii="仿宋" w:hAnsi="仿宋" w:eastAsia="仿宋" w:cs="仿宋"/>
          <w:bCs/>
          <w:sz w:val="24"/>
          <w:szCs w:val="24"/>
          <w:highlight w:val="none"/>
        </w:rPr>
        <w:t xml:space="preserve">10.7</w:t>
      </w:r>
      <w:r>
        <w:rPr>
          <w:rFonts w:hint="eastAsia" w:ascii="仿宋" w:hAnsi="仿宋" w:eastAsia="仿宋" w:cs="仿宋"/>
          <w:bCs/>
          <w:sz w:val="24"/>
          <w:szCs w:val="24"/>
          <w:highlight w:val="none"/>
        </w:rPr>
        <w:t xml:space="preserve">控制软件通过将电子原始记录文件和唯一性号信息推送到业务系统。</w:t>
      </w:r>
      <w:r>
        <w:rPr>
          <w:rFonts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11、燃料胶质含量试验器</w:t>
      </w:r>
      <w:r>
        <w:rPr>
          <w:rFonts w:hint="eastAsia" w:ascii="仿宋" w:hAnsi="仿宋" w:eastAsia="仿宋" w:cs="仿宋"/>
          <w:b/>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11.1 蒸发浴不少于五个试验孔，蒸发浴温度应能达到（232～246）℃，最大允许误差：±1 ℃；试验孔温度应能达到（229～235）℃，最大允许误差：±3 ℃；蒸发浴温度能自动控制；；</w:t>
      </w:r>
      <w:r>
        <w:rPr>
          <w:rFonts w:hint="eastAsia" w:ascii="仿宋" w:hAnsi="仿宋" w:eastAsia="仿宋" w:cs="仿宋"/>
          <w:bCs/>
          <w:sz w:val="24"/>
          <w:szCs w:val="24"/>
          <w:highlight w:val="none"/>
        </w:rPr>
      </w:r>
      <w:r/>
    </w:p>
    <w:p>
      <w:pPr>
        <w:pStyle w:val="1047"/>
        <w:ind w:firstLine="420"/>
        <w:spacing w:line="28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11.2 蒸汽发生装置能够在蒸发浴进气口处产生（232～246）℃、压力不低于 35 kPa的蒸汽；蒸汽流量：1000 mL/s±150mL/s，流量计控制。</w:t>
      </w:r>
      <w:r>
        <w:rPr>
          <w:rFonts w:hint="eastAsia" w:ascii="仿宋" w:hAnsi="仿宋" w:eastAsia="仿宋" w:cs="仿宋"/>
          <w:bCs/>
          <w:sz w:val="24"/>
          <w:szCs w:val="24"/>
          <w:highlight w:val="none"/>
        </w:rPr>
      </w:r>
      <w:r/>
    </w:p>
    <w:p>
      <w:pPr>
        <w:pStyle w:val="1047"/>
        <w:ind w:firstLine="422"/>
        <w:spacing w:line="28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12、航空燃料电导率仪</w:t>
      </w:r>
      <w:r>
        <w:rPr>
          <w:rFonts w:hint="eastAsia" w:ascii="仿宋" w:hAnsi="仿宋" w:eastAsia="仿宋" w:cs="仿宋"/>
          <w:b/>
          <w:sz w:val="24"/>
          <w:szCs w:val="24"/>
          <w:highlight w:val="none"/>
        </w:rPr>
      </w:r>
      <w:r/>
    </w:p>
    <w:p>
      <w:pPr>
        <w:pStyle w:val="1047"/>
        <w:ind w:firstLine="420"/>
        <w:jc w:val="left"/>
        <w:spacing w:line="288"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2.1 </w:t>
      </w:r>
      <w:r>
        <w:rPr>
          <w:rFonts w:hint="eastAsia" w:ascii="仿宋" w:hAnsi="仿宋" w:eastAsia="仿宋" w:cs="仿宋"/>
          <w:bCs/>
          <w:sz w:val="24"/>
          <w:szCs w:val="24"/>
          <w:highlight w:val="none"/>
        </w:rPr>
        <w:t xml:space="preserve">电导率测量范围不小于（0～1999） pS/m，最大允许误差：±</w:t>
      </w:r>
      <w:r>
        <w:rPr>
          <w:rFonts w:ascii="仿宋" w:hAnsi="仿宋" w:eastAsia="仿宋" w:cs="仿宋"/>
          <w:bCs/>
          <w:sz w:val="24"/>
          <w:szCs w:val="24"/>
          <w:highlight w:val="none"/>
        </w:rPr>
        <w:t xml:space="preserve">2%FS</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47"/>
        <w:ind w:firstLine="420"/>
        <w:spacing w:before="0" w:after="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ascii="仿宋" w:hAnsi="仿宋" w:eastAsia="仿宋" w:cs="仿宋"/>
          <w:bCs/>
          <w:sz w:val="24"/>
          <w:szCs w:val="24"/>
          <w:highlight w:val="none"/>
        </w:rPr>
        <w:t xml:space="preserve">2.2 </w:t>
      </w:r>
      <w:r>
        <w:rPr>
          <w:rFonts w:hint="eastAsia" w:ascii="仿宋" w:hAnsi="仿宋" w:eastAsia="仿宋" w:cs="仿宋"/>
          <w:bCs/>
          <w:sz w:val="24"/>
          <w:szCs w:val="24"/>
          <w:highlight w:val="none"/>
        </w:rPr>
        <w:t xml:space="preserve">仪器分辨率不低于1pS/m；</w:t>
      </w:r>
      <w:r>
        <w:rPr>
          <w:rFonts w:ascii="仿宋" w:hAnsi="仿宋" w:eastAsia="仿宋" w:cs="仿宋"/>
          <w:bCs/>
          <w:sz w:val="24"/>
          <w:szCs w:val="24"/>
          <w:highlight w:val="none"/>
        </w:rPr>
      </w:r>
      <w:r/>
    </w:p>
    <w:p>
      <w:pPr>
        <w:pStyle w:val="1047"/>
        <w:ind w:firstLine="420"/>
        <w:spacing w:before="0" w:after="0"/>
        <w:rPr>
          <w:rFonts w:hint="eastAsia" w:ascii="宋体" w:hAnsi="宋体" w:eastAsia="宋体" w:cs="宋体"/>
          <w:sz w:val="24"/>
          <w:szCs w:val="24"/>
          <w:highlight w:val="none"/>
        </w:rPr>
      </w:pPr>
      <w:r>
        <w:rPr>
          <w:rFonts w:hint="eastAsia" w:ascii="仿宋" w:hAnsi="仿宋" w:eastAsia="仿宋" w:cs="仿宋"/>
          <w:bCs/>
          <w:sz w:val="24"/>
          <w:szCs w:val="24"/>
          <w:highlight w:val="none"/>
        </w:rPr>
        <w:t xml:space="preserve">12.3</w:t>
      </w:r>
      <w:r>
        <w:rPr>
          <w:rFonts w:ascii="仿宋" w:hAnsi="仿宋" w:eastAsia="仿宋" w:cs="仿宋"/>
          <w:bCs/>
          <w:sz w:val="24"/>
          <w:szCs w:val="24"/>
          <w:highlight w:val="none"/>
        </w:rPr>
        <w:t xml:space="preserve"> </w:t>
      </w:r>
      <w:r>
        <w:rPr>
          <w:rFonts w:hint="eastAsia" w:ascii="仿宋" w:hAnsi="仿宋" w:eastAsia="仿宋" w:cs="仿宋"/>
          <w:bCs/>
          <w:sz w:val="24"/>
          <w:szCs w:val="24"/>
          <w:highlight w:val="none"/>
        </w:rPr>
        <w:t xml:space="preserve">可在危险防爆区域内使用。</w:t>
      </w:r>
      <w:r>
        <w:rPr>
          <w:rFonts w:hint="eastAsia" w:ascii="宋体" w:hAnsi="宋体" w:eastAsia="宋体" w:cs="宋体"/>
          <w:sz w:val="24"/>
          <w:szCs w:val="24"/>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（三）说明：</w:t>
      </w:r>
      <w:r>
        <w:rPr>
          <w:rFonts w:hint="eastAsia" w:ascii="宋体" w:hAnsi="宋体" w:eastAsia="宋体" w:cs="宋体"/>
          <w:b/>
          <w:bCs/>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sz w:val="24"/>
          <w:szCs w:val="24"/>
          <w:highlight w:val="none"/>
        </w:rPr>
      </w:r>
      <w:r/>
    </w:p>
    <w:p>
      <w:pPr>
        <w:pStyle w:val="1047"/>
        <w:spacing w:after="5"/>
        <w:rPr>
          <w:rFonts w:hint="eastAsia" w:ascii="宋体" w:hAnsi="宋体" w:eastAsia="宋体" w:cs="宋体"/>
          <w:b/>
          <w:sz w:val="24"/>
          <w:szCs w:val="24"/>
          <w:highlight w:val="none"/>
        </w:rPr>
        <w:outlineLvl w:val="1"/>
      </w:pPr>
      <w:r/>
      <w:bookmarkStart w:id="120" w:name="_Toc32321"/>
      <w:r/>
      <w:bookmarkStart w:id="121" w:name="_Toc8149"/>
      <w:r>
        <w:rPr>
          <w:rFonts w:hint="eastAsia" w:ascii="宋体" w:hAnsi="宋体" w:eastAsia="宋体" w:cs="宋体"/>
          <w:b/>
          <w:sz w:val="24"/>
          <w:szCs w:val="24"/>
          <w:highlight w:val="none"/>
        </w:rPr>
        <w:t xml:space="preserve">三、 商务要求：</w:t>
      </w:r>
      <w:bookmarkEnd w:id="119"/>
      <w:r/>
      <w:bookmarkEnd w:id="120"/>
      <w:r/>
      <w:bookmarkEnd w:id="121"/>
      <w:r>
        <w:rPr>
          <w:rFonts w:hint="eastAsia" w:ascii="宋体" w:hAnsi="宋体" w:eastAsia="宋体" w:cs="宋体"/>
          <w:b/>
          <w:sz w:val="24"/>
          <w:szCs w:val="24"/>
          <w:highlight w:val="none"/>
        </w:rPr>
      </w:r>
      <w:r/>
    </w:p>
    <w:p>
      <w:pPr>
        <w:pStyle w:val="1047"/>
        <w:ind w:firstLine="482"/>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（一）</w:t>
      </w:r>
      <w:r>
        <w:rPr>
          <w:rFonts w:hint="eastAsia" w:ascii="宋体" w:hAnsi="宋体" w:eastAsia="宋体" w:cs="宋体"/>
          <w:b/>
          <w:bCs/>
          <w:sz w:val="24"/>
          <w:szCs w:val="24"/>
          <w:highlight w:val="none"/>
        </w:rPr>
        <w:t xml:space="preserve">交货期及交货地点：</w:t>
      </w:r>
      <w:r>
        <w:rPr>
          <w:rFonts w:hint="eastAsia" w:ascii="宋体" w:hAnsi="宋体" w:eastAsia="宋体" w:cs="宋体"/>
          <w:b/>
          <w:bCs/>
          <w:sz w:val="24"/>
          <w:szCs w:val="24"/>
          <w:highlight w:val="none"/>
        </w:rPr>
      </w:r>
      <w:r/>
    </w:p>
    <w:p>
      <w:pPr>
        <w:pStyle w:val="104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（1）交货时间：合同签订后12个月为备货期，备货期内或备货期满后（以接到采购人具体通知为准）6个月内将货物运输到买方指定地点并完成安装、调试、计量检测以及取得计量溯源合格证书。</w:t>
      </w:r>
      <w:r>
        <w:rPr>
          <w:rFonts w:hint="eastAsia" w:ascii="宋体" w:hAnsi="宋体" w:eastAsia="宋体" w:cs="宋体"/>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江苏省计量科学研究院（江苏省能源计量数据中心）（南京市栖霞区文澜路95号）或买方指定地点。</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（二）付款方式：</w:t>
      </w:r>
      <w:r>
        <w:rPr>
          <w:rFonts w:hint="eastAsia" w:ascii="宋体" w:hAnsi="宋体" w:eastAsia="宋体" w:cs="宋体"/>
          <w:b/>
          <w:sz w:val="24"/>
          <w:szCs w:val="24"/>
          <w:highlight w:val="none"/>
        </w:rPr>
      </w:r>
      <w:r/>
    </w:p>
    <w:p>
      <w:pPr>
        <w:pStyle w:val="1047"/>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合同签订生效后一个月内，采购人向供应商支付合同金额3</w:t>
      </w:r>
      <w:r>
        <w:rPr>
          <w:rFonts w:ascii="宋体" w:hAnsi="宋体" w:eastAsia="宋体" w:cs="宋体"/>
          <w:bCs/>
          <w:sz w:val="24"/>
          <w:szCs w:val="24"/>
          <w:highlight w:val="none"/>
        </w:rPr>
        <w:t xml:space="preserve">0</w:t>
      </w:r>
      <w:r>
        <w:rPr>
          <w:rFonts w:hint="eastAsia" w:ascii="宋体" w:hAnsi="宋体" w:eastAsia="宋体" w:cs="宋体"/>
          <w:bCs/>
          <w:sz w:val="24"/>
          <w:szCs w:val="24"/>
          <w:highlight w:val="none"/>
        </w:rPr>
        <w:t xml:space="preserve">%的预付款，设备、材料全部运抵采购人指定地点，安装、调试完毕，并验收合格、供应商向采购人开具合同金额10%的银行保函（作为履约保证金）后，采购人向供应商支付合同金额</w:t>
      </w:r>
      <w:r>
        <w:rPr>
          <w:rFonts w:ascii="宋体" w:hAnsi="宋体" w:eastAsia="宋体" w:cs="宋体"/>
          <w:bCs/>
          <w:sz w:val="24"/>
          <w:szCs w:val="24"/>
          <w:highlight w:val="none"/>
        </w:rPr>
        <w:t xml:space="preserve">70</w:t>
      </w:r>
      <w:r>
        <w:rPr>
          <w:rFonts w:hint="eastAsia" w:ascii="宋体" w:hAnsi="宋体" w:eastAsia="宋体" w:cs="宋体"/>
          <w:bCs/>
          <w:sz w:val="24"/>
          <w:szCs w:val="24"/>
          <w:highlight w:val="none"/>
        </w:rPr>
        <w:t xml:space="preserve">%的货款。保函在合同履行完毕后无息退回。如供应商未能履行合同规定的义务，采购人有权从履约保证金中取得补偿。</w:t>
      </w:r>
      <w:r>
        <w:rPr>
          <w:rFonts w:hint="eastAsia" w:ascii="宋体" w:hAnsi="宋体" w:eastAsia="宋体" w:cs="宋体"/>
          <w:bCs/>
          <w:sz w:val="24"/>
          <w:szCs w:val="24"/>
          <w:highlight w:val="none"/>
        </w:rPr>
      </w:r>
      <w:r/>
    </w:p>
    <w:p>
      <w:pPr>
        <w:pStyle w:val="1047"/>
        <w:ind w:firstLine="482"/>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因供应商原因没有按期提供银行保函和发票，致使采购人未能及时付款所产生的责任由供应商承担，采购人不承担违约责任。</w:t>
      </w:r>
      <w:r>
        <w:rPr>
          <w:rFonts w:ascii="宋体" w:hAnsi="宋体" w:eastAsia="宋体" w:cs="宋体"/>
          <w:bCs/>
          <w:sz w:val="24"/>
          <w:szCs w:val="24"/>
          <w:highlight w:val="none"/>
        </w:rPr>
      </w:r>
      <w:r/>
    </w:p>
    <w:p>
      <w:pPr>
        <w:pStyle w:val="1047"/>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（三）验收依据、方法及单位</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bookmarkStart w:id="122" w:name="OLE_LINK7"/>
      <w:r/>
      <w:bookmarkStart w:id="123" w:name="OLE_LINK8"/>
      <w:r>
        <w:rPr>
          <w:rFonts w:hint="eastAsia" w:ascii="宋体" w:hAnsi="宋体" w:eastAsia="宋体" w:cs="宋体"/>
          <w:bCs/>
          <w:sz w:val="24"/>
          <w:szCs w:val="24"/>
          <w:highlight w:val="none"/>
        </w:rPr>
        <w:t xml:space="preserve">1、验收依据：</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1.1喷气燃料热氧化安定性测定仪：JJF 1366-2012《温度数据采集仪校准规范》；GB 6537-2025《3号喷气燃料》；GB/T 9169-2023 《喷气燃料热氧化安定性的测定 JFTOT法》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 气相色谱质谱联用仪：JJF 1164-2018 《气相色谱-质谱联用仪校准规范》；</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 航煤自动冰点测定仪：JJF 2019-2022《液体恒温试验设备温度性能测试规范》；GB 6537-2025《3号喷气燃料》；‌SH/T 0770-2005《航空燃料冰点测定法 (自动相转换法)》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1.4全自动紫外荧光定硫仪：JJF 1321-2011《元素分析仪校准规范》；GB 6537-2025《3号喷气燃料》；SH/T 0689-2000《轻质烃及发动机燃料和其他油品的总硫含量测定法（紫外荧光法）》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1.5航空煤油烟点仪：GB/T 1958-2017《产品几何技术规范(GPS)几何公差检测与验证参照 JJG 1-1999《钢直尺检定规程》；GB 6537-2025《3号喷气燃料》；GB/T 382-2025《煤油和喷气燃料烟点测定法》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1.6全自动低温运动粘度仪：JJF 1101-2019 《环境试验设备温度、湿度参数校准规范》；GB 6537-2025《3号喷气燃料》；GB/T 265-1988‌《石油产品运动粘度测定法和动力粘度计算法》；GB/T 30515-2014‌《透明和不透明液体石油产品运动黏度测定法及动力黏度计算法》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1.7阿贝尔闭口闪点仪：JJF 1384-2012 《开口/闭口闪点测定仪校准规范》；GB 6537-2025《3号喷气燃料》</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1.8自动蒸馏试验器：‌JJF 1366-2012《温度数据采集仪校准规范》；GB 6537-2025《3号喷气燃料》；GB/T 6536-2010《石油产品常压蒸馏特性测定法》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1.9喷气燃料铜片腐蚀试验器：JJF 1101-2019 《环境试验设备温度、湿度参数校准规范》；GB 6537-2025《3号喷气燃料》；GB/T 5096-2017《石油产品铜片腐蚀试验法》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1.10自动密度测定仪：JJF 2165-2024《实验室振动式液体密度仪校准规范》；GB 6537-2025《3号喷气燃料》</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1.11燃料胶质含量试验器：JJF 1101-2019 《环境试验设备温度、湿度参数校准规范》；GB 6537-2025《3号喷气燃料》；GB/T 8019-2025《燃料胶质含量的测定 喷射蒸发法》‌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1.12航空燃料电导率仪：JJG 376-2007《电导率仪检定规程》；GB 6537-2025《3号喷气燃料》；GB/T 6539-1997《航空燃料与馏分燃料电导率测定法》</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2.卖方负责将设备送检至省级及以上计量技术机构进行检定/校准，并出具检定/校准证书，检测费用由卖方承担。</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3.江苏省计量科学研究院根据以上证书、用户手册和本技术文件对整套设备的技术指标和功能进行最终验收。</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bookmarkEnd w:id="122"/>
      <w:r/>
      <w:bookmarkEnd w:id="123"/>
      <w:r>
        <w:rPr>
          <w:rFonts w:hint="eastAsia" w:ascii="宋体" w:hAnsi="宋体" w:eastAsia="宋体" w:cs="宋体"/>
          <w:b/>
          <w:sz w:val="24"/>
          <w:szCs w:val="24"/>
          <w:highlight w:val="none"/>
        </w:rPr>
        <w:t xml:space="preserve">（四）安装调试</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卖方向买方提供设备供货清单，由买方确认。当货物到达买方指定的交货地点后，买卖双方依据设备供货清单共同对设备进行开箱验收，并对设备的数量、品质进行逐项检查。如买方发现所提供设备的品质和技术规范不符合合同要求时，或有明显损坏，买方有权向卖方提出退、换和索赔；</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设备到达交货地点后，卖方应尽快安排技术人员完成整套设备的安装和调试，同时协助买方合理安排试验环境和条件的布置。在安装调试过程中如有任何软、硬件故障发生，卖方必须更换不合格的部件，并重新进行安装测试，由此引起的全部费用由卖方承担。</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3.在安装、调试过程中，卖方应向买方提供完整的技术说明书、用户手册及维修手册等相关技术文档资料，对买方技术人员所提出的技术问题给予满意的答复。</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（五）人员培训要求</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1.卖方应派技术工程师到买方现场对买方人员进行不少于3天的技术培训，使买方人员能掌握有关系统设备的使用、维护和管理，达到能独立进行操作、日常测试、运行维护等工作的目的。</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2.培训内容包括：基本理论和方法、仪器使用、仪器维护、安全注意事项以及其他相关内容。培训时应提供详细的培训文件。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3.所发生的培训费用由卖方承担。</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（六）技术支持以及售后服务</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★（1）燃料碳含量检测装置的整套设备的</w:t>
      </w:r>
      <w:r>
        <w:rPr>
          <w:rFonts w:hint="eastAsia" w:ascii="宋体" w:hAnsi="宋体" w:eastAsia="宋体" w:cs="宋体"/>
          <w:sz w:val="24"/>
          <w:szCs w:val="24"/>
          <w:highlight w:val="none"/>
        </w:rPr>
        <w:t xml:space="preserve">质保期为</w:t>
      </w:r>
      <w:r>
        <w:rPr>
          <w:rFonts w:hint="eastAsia" w:ascii="宋体" w:hAnsi="宋体" w:eastAsia="宋体" w:cs="宋体"/>
          <w:bCs/>
          <w:sz w:val="24"/>
          <w:szCs w:val="24"/>
          <w:highlight w:val="none"/>
        </w:rPr>
        <w:t xml:space="preserve">验收合格之日起</w:t>
      </w:r>
      <w:r>
        <w:rPr>
          <w:rFonts w:hint="eastAsia" w:ascii="宋体" w:hAnsi="宋体" w:eastAsia="宋体" w:cs="宋体"/>
          <w:sz w:val="24"/>
          <w:szCs w:val="24"/>
          <w:highlight w:val="none"/>
        </w:rPr>
        <w:t xml:space="preserve">2年</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（2）在质保期内，卖方负责为买方的设备提供免费维护、保养和免费更换损坏的和有缺陷的零部件。质保期之后，卖方提供终身维修，原则上卖方技术人员上门维修只收取更换的零部件费，不另收取工时费。</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（3）买方报修后，卖方应在24小时内作出响应，如果电话支持无法解决问题，则48小时内卖方技术人员到现场进行维修。</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（4）卖方提供备用设备服务，如买方仪器发生故障，无法在短时间内修复，而买方急需使用仪器，如卖方有类似的设备， 卖方将无偿提供计量合格的备用设备，直到产品修理完成为止。</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（5）卖方提供系统软件终生免费升级服务；如相应计量规程规范发生变更，免费升级软件。 </w:t>
      </w:r>
      <w:r>
        <w:rPr>
          <w:rFonts w:hint="eastAsia" w:ascii="宋体" w:hAnsi="宋体" w:eastAsia="宋体" w:cs="宋体"/>
          <w:bCs/>
          <w:sz w:val="24"/>
          <w:szCs w:val="24"/>
          <w:highlight w:val="none"/>
        </w:rPr>
      </w:r>
      <w:r/>
    </w:p>
    <w:p>
      <w:pPr>
        <w:pStyle w:val="1047"/>
        <w:ind w:firstLine="422"/>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（七）报价要求及违约责任：</w:t>
      </w:r>
      <w:r>
        <w:rPr>
          <w:rFonts w:hint="eastAsia" w:ascii="宋体" w:hAnsi="宋体" w:eastAsia="宋体" w:cs="宋体"/>
          <w:b/>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numPr>
          <w:ilvl w:val="0"/>
          <w:numId w:val="42"/>
        </w:numPr>
        <w:rPr>
          <w:rFonts w:hint="eastAsia" w:ascii="宋体" w:hAnsi="宋体" w:eastAsia="宋体" w:cs="宋体"/>
          <w:b/>
          <w:color w:val="c00000"/>
          <w:sz w:val="28"/>
          <w:szCs w:val="28"/>
          <w:highlight w:val="none"/>
        </w:rPr>
        <w:outlineLvl w:val="1"/>
      </w:pPr>
      <w:r>
        <w:rPr>
          <w:rFonts w:hint="eastAsia" w:ascii="宋体" w:hAnsi="宋体" w:eastAsia="宋体" w:cs="宋体"/>
          <w:b/>
          <w:color w:val="c00000"/>
          <w:sz w:val="28"/>
          <w:szCs w:val="28"/>
          <w:highlight w:val="none"/>
        </w:rPr>
        <w:t xml:space="preserve">备注：</w:t>
      </w:r>
      <w:r>
        <w:rPr>
          <w:rFonts w:hint="eastAsia" w:ascii="宋体" w:hAnsi="宋体" w:eastAsia="宋体" w:cs="宋体"/>
          <w:b/>
          <w:color w:val="c00000"/>
          <w:sz w:val="28"/>
          <w:szCs w:val="28"/>
          <w:highlight w:val="none"/>
        </w:rPr>
      </w:r>
      <w:r/>
    </w:p>
    <w:p>
      <w:pPr>
        <w:pStyle w:val="1047"/>
        <w:ind w:firstLine="480"/>
        <w:spacing w:before="0" w:after="0"/>
        <w:rPr>
          <w:rFonts w:hint="eastAsia" w:ascii="宋体" w:hAnsi="宋体" w:eastAsia="宋体" w:cs="宋体"/>
          <w:b/>
          <w:bCs/>
          <w:color w:val="c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color w:val="c00000"/>
          <w:sz w:val="24"/>
          <w:szCs w:val="24"/>
          <w:highlight w:val="none"/>
        </w:rPr>
      </w:r>
      <w:r/>
    </w:p>
    <w:p>
      <w:pPr>
        <w:pStyle w:val="1047"/>
        <w:ind w:firstLine="480"/>
        <w:spacing w:before="0" w:after="0"/>
        <w:rPr>
          <w:rFonts w:ascii="宋体" w:hAnsi="宋体" w:eastAsia="宋体" w:cs="宋体"/>
          <w:b/>
          <w:bCs/>
          <w:color w:val="c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c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b/>
          <w:bCs/>
          <w:color w:val="c00000"/>
          <w:highlight w:val="none"/>
        </w:rPr>
      </w:r>
      <w:r/>
    </w:p>
    <w:p>
      <w:pPr>
        <w:pStyle w:val="1048"/>
        <w:ind w:firstLine="0"/>
        <w:tabs>
          <w:tab w:val="left" w:pos="1440" w:leader="none"/>
          <w:tab w:val="left" w:pos="5670" w:leader="none"/>
        </w:tabs>
        <w:rPr>
          <w:rFonts w:hint="eastAsia" w:ascii="宋体" w:hAnsi="宋体" w:eastAsia="宋体" w:cs="宋体"/>
          <w:b w:val="0"/>
          <w:sz w:val="28"/>
          <w:highlight w:val="none"/>
        </w:rPr>
      </w:pPr>
      <w:r/>
      <w:bookmarkStart w:id="124" w:name="_Toc29611"/>
      <w:r>
        <w:rPr>
          <w:rFonts w:hint="eastAsia" w:ascii="宋体" w:hAnsi="宋体" w:eastAsia="宋体" w:cs="宋体"/>
          <w:highlight w:val="none"/>
        </w:rPr>
        <w:t xml:space="preserve">第五章 </w:t>
      </w:r>
      <w:bookmarkEnd w:id="115"/>
      <w:r>
        <w:rPr>
          <w:rFonts w:hint="eastAsia" w:ascii="宋体" w:hAnsi="宋体" w:eastAsia="宋体" w:cs="宋体"/>
          <w:highlight w:val="none"/>
        </w:rPr>
        <w:t xml:space="preserve">拟签订的合同文本</w:t>
      </w:r>
      <w:bookmarkEnd w:id="116"/>
      <w:r/>
      <w:bookmarkEnd w:id="124"/>
      <w:r>
        <w:rPr>
          <w:rFonts w:hint="eastAsia" w:ascii="宋体" w:hAnsi="宋体" w:eastAsia="宋体" w:cs="宋体"/>
          <w:b w:val="0"/>
          <w:sz w:val="28"/>
          <w:highlight w:val="none"/>
        </w:rPr>
      </w:r>
      <w:r/>
    </w:p>
    <w:p>
      <w:pPr>
        <w:pStyle w:val="1047"/>
        <w:ind w:left="108" w:firstLine="482"/>
        <w:jc w:val="left"/>
        <w:spacing w:line="480" w:lineRule="exact"/>
        <w:tabs>
          <w:tab w:val="left" w:pos="4785" w:leader="none"/>
        </w:tabs>
        <w:rPr>
          <w:rFonts w:ascii="宋体" w:hAnsi="宋体" w:eastAsia="宋体" w:cs="宋体"/>
          <w:b/>
          <w:bCs/>
          <w:i/>
          <w:iCs/>
          <w:sz w:val="24"/>
          <w:szCs w:val="24"/>
          <w:highlight w:val="none"/>
        </w:rPr>
      </w:pPr>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bookmarkStart w:id="125" w:name="_Toc4445"/>
      <w:r>
        <w:rPr>
          <w:rFonts w:ascii="宋体" w:hAnsi="宋体" w:eastAsia="宋体" w:cs="宋体"/>
          <w:b/>
          <w:bCs/>
          <w:i/>
          <w:iCs/>
          <w:sz w:val="24"/>
          <w:szCs w:val="24"/>
          <w:highlight w:val="none"/>
        </w:rPr>
      </w:r>
      <w:r/>
    </w:p>
    <w:p>
      <w:pPr>
        <w:pStyle w:val="1047"/>
        <w:ind w:left="108" w:firstLine="480"/>
        <w:jc w:val="left"/>
        <w:spacing w:line="480" w:lineRule="exact"/>
        <w:tabs>
          <w:tab w:val="left" w:pos="4785"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买方（甲方）：江苏省计量科学研究院（江苏省能源计量数据中心）</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卖方（乙方）： </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 江苏海外集团国际工程咨询有限公司</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一、说明：</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sz w:val="24"/>
          <w:szCs w:val="24"/>
          <w:highlight w:val="none"/>
        </w:rPr>
        <w:t xml:space="preserve">检测设备</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）的评审活动，经评委认真严格地评审，确定由卖方成交。</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二、合同条款：</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sz w:val="24"/>
          <w:szCs w:val="24"/>
          <w:highlight w:val="none"/>
        </w:rPr>
      </w:r>
      <w:r/>
    </w:p>
    <w:p>
      <w:pPr>
        <w:pStyle w:val="1047"/>
        <w:contextualSpacing/>
        <w:ind w:left="720" w:hanging="80"/>
        <w:jc w:val="left"/>
        <w:spacing w:before="100" w:after="100" w:line="480" w:lineRule="exact"/>
        <w:widowControl/>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1.设备名称、型号规格、数量及服务内容。</w:t>
      </w:r>
      <w:r>
        <w:rPr>
          <w:rFonts w:hint="eastAsia" w:ascii="宋体" w:hAnsi="宋体" w:eastAsia="宋体" w:cs="宋体"/>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329"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产品名称</w:t>
            </w:r>
            <w:r>
              <w:rPr>
                <w:rFonts w:hint="eastAsia" w:ascii="宋体" w:hAnsi="宋体" w:eastAsia="宋体" w:cs="宋体"/>
                <w:sz w:val="24"/>
                <w:szCs w:val="24"/>
                <w:highlight w:val="none"/>
              </w:rPr>
            </w:r>
            <w:r/>
          </w:p>
        </w:tc>
        <w:tc>
          <w:tcPr>
            <w:tcW w:w="655"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rPr>
                <w:rFonts w:hint="eastAsia" w:ascii="宋体" w:hAnsi="宋体" w:eastAsia="宋体" w:cs="宋体"/>
                <w:sz w:val="24"/>
                <w:szCs w:val="24"/>
                <w:highlight w:val="none"/>
              </w:rPr>
            </w:r>
            <w:r/>
          </w:p>
        </w:tc>
        <w:tc>
          <w:tcPr>
            <w:tcW w:w="494"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W w:w="504"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828"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rFonts w:hint="eastAsia" w:ascii="宋体" w:hAnsi="宋体" w:eastAsia="宋体" w:cs="宋体"/>
                <w:sz w:val="24"/>
                <w:szCs w:val="24"/>
                <w:highlight w:val="none"/>
              </w:rPr>
            </w:r>
            <w:r/>
          </w:p>
        </w:tc>
        <w:tc>
          <w:tcPr>
            <w:tcW w:w="735"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gridSpan w:val="4"/>
            <w:tcW w:w="5545" w:type="dxa"/>
            <w:vAlign w:val="center"/>
            <w:textDirection w:val="lrTb"/>
            <w:noWrap w:val="false"/>
          </w:tcPr>
          <w:p>
            <w:pPr>
              <w:pStyle w:val="1047"/>
              <w:ind w:firstLine="422"/>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合计（元）</w:t>
            </w:r>
            <w:r>
              <w:rPr>
                <w:rFonts w:hint="eastAsia" w:ascii="宋体" w:hAnsi="宋体" w:eastAsia="宋体" w:cs="宋体"/>
                <w:sz w:val="24"/>
                <w:szCs w:val="24"/>
                <w:highlight w:val="none"/>
              </w:rPr>
            </w:r>
            <w:r/>
          </w:p>
        </w:tc>
        <w:tc>
          <w:tcPr>
            <w:gridSpan w:val="3"/>
            <w:tcW w:w="3909" w:type="dxa"/>
            <w:vAlign w:val="center"/>
            <w:textDirection w:val="lrTb"/>
            <w:noWrap w:val="false"/>
          </w:tcPr>
          <w:p>
            <w:pPr>
              <w:pStyle w:val="1047"/>
              <w:ind w:firstLine="422"/>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tc>
      </w:tr>
    </w:tbl>
    <w:p>
      <w:pPr>
        <w:pStyle w:val="1047"/>
        <w:ind w:left="108" w:firstLine="4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2.合同总价（大写）：</w:t>
      </w:r>
      <w:r>
        <w:rPr>
          <w:rFonts w:hint="eastAsia" w:ascii="宋体" w:hAnsi="宋体" w:eastAsia="宋体" w:cs="宋体"/>
          <w:b/>
          <w:bCs/>
          <w:sz w:val="24"/>
          <w:szCs w:val="24"/>
          <w:highlight w:val="none"/>
          <w:u w:val="single"/>
        </w:rPr>
        <w:t xml:space="preserve">人民币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（含税）</w:t>
      </w:r>
      <w:r>
        <w:rPr>
          <w:rFonts w:hint="eastAsia" w:ascii="宋体" w:hAnsi="宋体" w:eastAsia="宋体" w:cs="宋体"/>
          <w:bCs/>
          <w:sz w:val="24"/>
          <w:szCs w:val="24"/>
          <w:highlight w:val="none"/>
        </w:rPr>
      </w:r>
      <w:r/>
    </w:p>
    <w:p>
      <w:pPr>
        <w:pStyle w:val="1047"/>
        <w:ind w:left="108" w:firstLine="16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（小写）：</w:t>
      </w:r>
      <w:r>
        <w:rPr>
          <w:rFonts w:hint="eastAsia" w:ascii="宋体" w:hAnsi="宋体" w:eastAsia="宋体" w:cs="宋体"/>
          <w:b/>
          <w:bCs/>
          <w:sz w:val="24"/>
          <w:szCs w:val="24"/>
          <w:highlight w:val="none"/>
          <w:u w:val="single"/>
        </w:rPr>
        <w:t xml:space="preserve">￥            元。</w:t>
      </w:r>
      <w:r>
        <w:rPr>
          <w:rFonts w:hint="eastAsia" w:ascii="宋体" w:hAnsi="宋体" w:eastAsia="宋体" w:cs="宋体"/>
          <w:bCs/>
          <w:sz w:val="24"/>
          <w:szCs w:val="24"/>
          <w:highlight w:val="none"/>
        </w:rPr>
      </w:r>
      <w:r/>
    </w:p>
    <w:p>
      <w:pPr>
        <w:pStyle w:val="104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Cs/>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3.交付使用时间：</w:t>
      </w:r>
      <w:r>
        <w:rPr>
          <w:rFonts w:hint="eastAsia" w:ascii="宋体" w:hAnsi="宋体" w:eastAsia="宋体" w:cs="宋体"/>
          <w:sz w:val="24"/>
          <w:szCs w:val="24"/>
          <w:highlight w:val="none"/>
          <w:u w:val="single"/>
        </w:rPr>
        <w:t xml:space="preserve">详见投标文件。</w:t>
      </w:r>
      <w:r>
        <w:rPr>
          <w:rFonts w:hint="eastAsia" w:ascii="宋体" w:hAnsi="宋体" w:eastAsia="宋体" w:cs="宋体"/>
          <w:sz w:val="24"/>
          <w:szCs w:val="24"/>
          <w:highlight w:val="none"/>
        </w:rPr>
      </w:r>
      <w:r/>
    </w:p>
    <w:p>
      <w:pPr>
        <w:pStyle w:val="1047"/>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4.收货人：</w:t>
      </w:r>
      <w:r>
        <w:rPr>
          <w:rFonts w:hint="eastAsia" w:ascii="宋体" w:hAnsi="宋体" w:eastAsia="宋体" w:cs="宋体"/>
          <w:b/>
          <w:sz w:val="24"/>
          <w:szCs w:val="24"/>
          <w:highlight w:val="none"/>
          <w:u w:val="single"/>
        </w:rPr>
        <w:t xml:space="preserve">江苏省计量科学研究院（江苏省能源计量数据中心）</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1047"/>
        <w:ind w:firstLine="600"/>
        <w:spacing w:line="480" w:lineRule="exact"/>
        <w:tabs>
          <w:tab w:val="left" w:pos="-23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5.交货地点：</w:t>
      </w:r>
      <w:r>
        <w:rPr>
          <w:rFonts w:hint="eastAsia" w:ascii="宋体" w:hAnsi="宋体" w:eastAsia="宋体" w:cs="宋体"/>
          <w:b/>
          <w:sz w:val="24"/>
          <w:szCs w:val="24"/>
          <w:highlight w:val="none"/>
          <w:u w:val="single"/>
        </w:rPr>
        <w:t xml:space="preserve">买方指定地点。</w:t>
      </w:r>
      <w:r>
        <w:rPr>
          <w:rFonts w:hint="eastAsia" w:ascii="宋体" w:hAnsi="宋体" w:eastAsia="宋体" w:cs="宋体"/>
          <w:b/>
          <w:sz w:val="24"/>
          <w:szCs w:val="24"/>
          <w:highlight w:val="none"/>
          <w:u w:val="single"/>
        </w:rPr>
      </w:r>
      <w:r/>
    </w:p>
    <w:p>
      <w:pPr>
        <w:pStyle w:val="1047"/>
        <w:ind w:firstLine="600"/>
        <w:spacing w:line="480" w:lineRule="exact"/>
        <w:tabs>
          <w:tab w:val="left" w:pos="-235"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6.设备的制造应符合下列标准或规范并据此验收：</w:t>
      </w:r>
      <w:r>
        <w:rPr>
          <w:rFonts w:hint="eastAsia" w:ascii="宋体" w:hAnsi="宋体" w:eastAsia="宋体" w:cs="宋体"/>
          <w:b/>
          <w:sz w:val="24"/>
          <w:szCs w:val="24"/>
          <w:highlight w:val="none"/>
          <w:u w:val="single"/>
        </w:rPr>
        <w:t xml:space="preserve">招标文件、投标文件、双方签订的技术协议和国家的相关标准。</w:t>
      </w:r>
      <w:r>
        <w:rPr>
          <w:rFonts w:hint="eastAsia" w:ascii="宋体" w:hAnsi="宋体" w:eastAsia="宋体" w:cs="宋体"/>
          <w:sz w:val="24"/>
          <w:szCs w:val="24"/>
          <w:highlight w:val="none"/>
          <w:u w:val="singl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7.包装要求：全部货物的外包装，必须采用防漏、防潮、防震、防锈、防盗和考虑到可能会发生的野蛮装卸等长途内陆运输及多次装卸之需要。</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8.买方付款方式及期限：</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合同签订生效后一个月内，买方向卖方支付合同金额3</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%的预付款；设备、材料全部运抵买方指定地点，安装、调试完毕，并全部设备验收合格、卖方向买方开具合同金额10%的银行保函（作为履约保证金）后，买方向卖方支付合同金额</w:t>
      </w:r>
      <w:r>
        <w:rPr>
          <w:rFonts w:ascii="宋体" w:hAnsi="宋体" w:eastAsia="宋体" w:cs="宋体"/>
          <w:sz w:val="24"/>
          <w:szCs w:val="24"/>
          <w:highlight w:val="none"/>
        </w:rPr>
        <w:t xml:space="preserve">70</w:t>
      </w:r>
      <w:r>
        <w:rPr>
          <w:rFonts w:hint="eastAsia" w:ascii="宋体" w:hAnsi="宋体" w:eastAsia="宋体" w:cs="宋体"/>
          <w:sz w:val="24"/>
          <w:szCs w:val="24"/>
          <w:highlight w:val="none"/>
        </w:rPr>
        <w:t xml:space="preserve">%的货款。履约保证金在设备验收合格并稳定运行满一年后无息退回。如卖方未能履行合同规定的义务，买方有权从履约保证金中取得补偿。</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因卖方原因没有按期提供银行保函和发票的，致使买方未能及时付款所产生的责任由卖方负责，买方不承担违约责任。</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rPr>
          <w:rFonts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9.验收</w:t>
      </w:r>
      <w:r>
        <w:rPr>
          <w:rFonts w:hint="eastAsia" w:ascii="宋体" w:hAnsi="宋体" w:eastAsia="宋体" w:cs="宋体"/>
          <w:sz w:val="24"/>
          <w:szCs w:val="24"/>
          <w:highlight w:val="none"/>
        </w:rPr>
      </w:r>
      <w:r/>
    </w:p>
    <w:p>
      <w:pPr>
        <w:pStyle w:val="1047"/>
        <w:ind w:left="8" w:firstLine="650"/>
        <w:jc w:val="left"/>
        <w:spacing w:line="480" w:lineRule="exact"/>
        <w:tabs>
          <w:tab w:val="left" w:pos="478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sz w:val="24"/>
          <w:szCs w:val="24"/>
          <w:highlight w:val="none"/>
          <w:u w:val="singl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10.质保期及售后服务</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卖方所供设备、材料及安装的质量保证期：</w:t>
      </w:r>
      <w:r>
        <w:rPr>
          <w:rFonts w:hint="eastAsia" w:ascii="宋体" w:hAnsi="宋体" w:eastAsia="宋体" w:cs="宋体"/>
          <w:sz w:val="24"/>
          <w:szCs w:val="24"/>
          <w:highlight w:val="none"/>
          <w:u w:val="single"/>
        </w:rPr>
        <w:t xml:space="preserve">详见投标文件要求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在质保期内，因卖方所供设备、材料制造质量或安装问题出现设备故障时，卖方在接到买方通知后，24小时内响应，并安排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在质保期内，因买方使用不当原因出现设备故障时，卖方在接到买方通知后，设备厂家工程师应在10.2条款中所述的时限内赶到买方现场，帮助排除故障、修复或更换零部件，需购买零部件时，仅收取成本费。</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11.技术资料</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按投标文件技术规格、参数及其他要求中的要求提供相关资料（见附件）。</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12.货物风险承担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12.2卖方将货物运输至买方指定的地点后，应当及时通知买方进行接收，由买方进行检验。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12.3在货物验收合格之前毁损、灭失的风险由卖方承担，因买方原因造成货物毁损、灭失的除外。</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13.卖方的违约责任</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13.4卖方不能交付或不能完成合同，买方有权解除本合同并要求卖方双倍返还买方已支付的货款。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13.6货物经买方验收不符合要求的，卖方应当在买方指定的时间内调换，调换后仍不符合要求的，买方有权解除合同并要求卖方赔偿因此造成的损失。</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13.7卖方履行义务不符合合同约定时，买方将扣减10%合同款。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14.买方的违约责任：</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14.1买方未按合同规定的时间和要求向卖方提供技术资料等，卖方交付时间顺延。</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16.卖方在设备安装、调试、验收过程中，买方提供下列条件和配合，超出下列范围的由卖方自理：无</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17.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sz w:val="24"/>
          <w:szCs w:val="24"/>
          <w:highlight w:val="none"/>
        </w:rPr>
      </w:r>
      <w:r/>
    </w:p>
    <w:p>
      <w:pPr>
        <w:pStyle w:val="1047"/>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18.合同的生效：本合同一式陆份，各份具有同等法律效力，自买卖双方签字、盖章并加盖骑缝章之日起生效。</w:t>
      </w:r>
      <w:r>
        <w:rPr>
          <w:rFonts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合同的变更和终止：除《中华人民共和国政府采购法》第五十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20.</w:t>
      </w:r>
      <w:r>
        <w:rPr>
          <w:rFonts w:hint="eastAsia" w:ascii="宋体" w:hAnsi="宋体" w:eastAsia="宋体" w:cs="宋体"/>
          <w:sz w:val="24"/>
          <w:szCs w:val="24"/>
          <w:highlight w:val="none"/>
        </w:rPr>
        <w:t xml:space="preserve">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21</w:t>
      </w:r>
      <w:r>
        <w:rPr>
          <w:rFonts w:hint="eastAsia" w:ascii="宋体" w:hAnsi="宋体" w:eastAsia="宋体" w:cs="宋体"/>
          <w:sz w:val="24"/>
          <w:szCs w:val="24"/>
          <w:highlight w:val="none"/>
        </w:rPr>
        <w:t xml:space="preserve">.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三、廉洁条款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得以任何理由为买方工作人员报销应由个人支付的费用。一旦发生上述事由，买方有权无条件解除本合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四、保密条款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五、送达条款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sz w:val="24"/>
          <w:szCs w:val="24"/>
          <w:highlight w:val="none"/>
        </w:rPr>
      </w:r>
      <w:r/>
    </w:p>
    <w:p>
      <w:pPr>
        <w:pStyle w:val="1047"/>
        <w:ind w:firstLine="480"/>
        <w:jc w:val="left"/>
        <w:spacing w:line="440" w:lineRule="exact"/>
        <w:widowControl/>
        <w:rPr>
          <w:rFonts w:hint="eastAsia" w:ascii="宋体" w:hAnsi="宋体" w:eastAsia="宋体" w:cs="宋体"/>
          <w:sz w:val="24"/>
          <w:szCs w:val="24"/>
          <w:highlight w:val="none"/>
        </w:rPr>
      </w:pPr>
      <w:r/>
      <w:bookmarkEnd w:id="125"/>
      <w:r>
        <w:rPr>
          <w:rFonts w:hint="eastAsia" w:ascii="宋体" w:hAnsi="宋体" w:eastAsia="宋体" w:cs="宋体"/>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买方（盖章）：</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单位名称：江苏省计量科学研究院（江苏省能源计量数据中心）</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c>
          <w:tcPr>
            <w:tcW w:w="4684" w:type="dxa"/>
            <w:vAlign w:val="top"/>
            <w:textDirection w:val="lrTb"/>
            <w:noWrap w:val="false"/>
          </w:tcPr>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卖方（盖章）：</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电话：</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传真：</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帐号：</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税号：</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r>
    </w:tbl>
    <w:p>
      <w:pPr>
        <w:pStyle w:val="1047"/>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sz w:val="24"/>
          <w:szCs w:val="24"/>
          <w:highlight w:val="none"/>
        </w:rPr>
        <w:t xml:space="preserve">     </w:t>
      </w:r>
      <w:bookmarkStart w:id="126" w:name="_Toc27786"/>
      <w:r/>
      <w:bookmarkStart w:id="127" w:name="_Toc15343"/>
      <w:r/>
      <w:bookmarkStart w:id="128" w:name="OLE_LINK6"/>
      <w:r>
        <w:rPr>
          <w:rFonts w:hint="eastAsia" w:ascii="宋体" w:hAnsi="宋体" w:eastAsia="宋体" w:cs="宋体"/>
          <w:highlight w:val="none"/>
        </w:rPr>
      </w:r>
      <w:r/>
    </w:p>
    <w:p>
      <w:pPr>
        <w:pStyle w:val="1048"/>
        <w:ind w:firstLine="0"/>
        <w:tabs>
          <w:tab w:val="left" w:pos="1440" w:leader="none"/>
          <w:tab w:val="left" w:pos="5670" w:leader="none"/>
        </w:tabs>
        <w:rPr>
          <w:rFonts w:hint="eastAsia" w:ascii="宋体" w:hAnsi="宋体" w:eastAsia="宋体" w:cs="宋体"/>
          <w:highlight w:val="none"/>
        </w:rPr>
      </w:pPr>
      <w:r/>
      <w:bookmarkStart w:id="129" w:name="_Toc30540"/>
      <w:r>
        <w:rPr>
          <w:rFonts w:hint="eastAsia" w:ascii="宋体" w:hAnsi="宋体" w:eastAsia="宋体" w:cs="宋体"/>
          <w:highlight w:val="none"/>
        </w:rPr>
        <w:t xml:space="preserve">第六章 </w:t>
      </w:r>
      <w:bookmarkEnd w:id="126"/>
      <w:r>
        <w:rPr>
          <w:rFonts w:hint="eastAsia" w:ascii="宋体" w:hAnsi="宋体" w:eastAsia="宋体" w:cs="宋体"/>
          <w:highlight w:val="none"/>
        </w:rPr>
        <w:t xml:space="preserve">投标文件格式及附件</w:t>
      </w:r>
      <w:bookmarkEnd w:id="127"/>
      <w:r/>
      <w:bookmarkEnd w:id="129"/>
      <w:r>
        <w:rPr>
          <w:rFonts w:hint="eastAsia" w:ascii="宋体" w:hAnsi="宋体" w:eastAsia="宋体" w:cs="宋体"/>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40"/>
          <w:szCs w:val="40"/>
          <w:highlight w:val="none"/>
        </w:rPr>
      </w:pPr>
      <w:r>
        <w:rPr>
          <w:rFonts w:hint="eastAsia" w:ascii="宋体" w:hAnsi="宋体" w:eastAsia="宋体" w:cs="宋体"/>
          <w:bCs/>
          <w:sz w:val="40"/>
          <w:szCs w:val="40"/>
          <w:highlight w:val="none"/>
        </w:rPr>
        <w:t xml:space="preserve">江苏省计量科学研究院燃料碳含量检测装置</w:t>
      </w:r>
      <w:r>
        <w:rPr>
          <w:rFonts w:hint="eastAsia" w:ascii="宋体" w:hAnsi="宋体" w:eastAsia="宋体" w:cs="宋体"/>
          <w:bCs/>
          <w:sz w:val="40"/>
          <w:szCs w:val="40"/>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1047"/>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104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1087"/>
        <w:ind w:left="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1047"/>
        <w:jc w:val="center"/>
        <w:rPr>
          <w:rFonts w:hint="eastAsia" w:ascii="宋体" w:hAnsi="宋体" w:eastAsia="宋体" w:cs="宋体"/>
          <w:b/>
          <w:bCs/>
          <w:sz w:val="30"/>
          <w:szCs w:val="30"/>
          <w:highlight w:val="none"/>
        </w:rPr>
      </w:pPr>
      <w:r/>
      <w:bookmarkStart w:id="130" w:name="_Toc22602"/>
      <w:r/>
      <w:bookmarkStart w:id="131" w:name="_Toc23512"/>
      <w:r/>
      <w:bookmarkStart w:id="132" w:name="_Toc489655320"/>
      <w:r>
        <w:rPr>
          <w:rFonts w:hint="eastAsia" w:ascii="宋体" w:hAnsi="宋体" w:eastAsia="宋体" w:cs="宋体"/>
          <w:b/>
          <w:bCs/>
          <w:sz w:val="30"/>
          <w:szCs w:val="30"/>
          <w:highlight w:val="none"/>
        </w:rPr>
        <w:t xml:space="preserve">评分索引表</w:t>
      </w:r>
      <w:bookmarkEnd w:id="130"/>
      <w:r/>
      <w:bookmarkEnd w:id="131"/>
      <w:r>
        <w:rPr>
          <w:rFonts w:hint="eastAsia" w:ascii="宋体" w:hAnsi="宋体" w:eastAsia="宋体" w:cs="宋体"/>
          <w:b/>
          <w:bCs/>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5392"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769"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472"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spacing w:line="460" w:lineRule="exact"/>
        <w:rPr>
          <w:rFonts w:hint="eastAsia" w:ascii="宋体" w:hAnsi="宋体" w:eastAsia="宋体" w:cs="宋体"/>
          <w:b/>
          <w:sz w:val="30"/>
          <w:szCs w:val="30"/>
          <w:highlight w:val="none"/>
        </w:rPr>
      </w:pPr>
      <w:r>
        <w:rPr>
          <w:rFonts w:hint="eastAsia" w:ascii="宋体" w:hAnsi="宋体" w:eastAsia="宋体" w:cs="宋体"/>
          <w:szCs w:val="21"/>
          <w:highlight w:val="none"/>
        </w:rPr>
        <w:t xml:space="preserve">注：此表为表样，供应商需根据第三章“评分表”自行调整，行数可自行添加，但表式不变。</w:t>
      </w:r>
      <w:r>
        <w:rPr>
          <w:rFonts w:hint="eastAsia" w:ascii="宋体" w:hAnsi="宋体" w:eastAsia="宋体" w:cs="宋体"/>
          <w:b/>
          <w:sz w:val="30"/>
          <w:szCs w:val="30"/>
          <w:highlight w:val="none"/>
        </w:rPr>
      </w:r>
      <w:r/>
    </w:p>
    <w:p>
      <w:pPr>
        <w:pStyle w:val="1047"/>
        <w:jc w:val="center"/>
        <w:rPr>
          <w:rFonts w:hint="eastAsia" w:ascii="宋体" w:hAnsi="宋体" w:eastAsia="宋体" w:cs="宋体"/>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highlight w:val="none"/>
        </w:rPr>
      </w:r>
      <w:r/>
    </w:p>
    <w:p>
      <w:pPr>
        <w:pStyle w:val="104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资格审查索引表</w:t>
      </w:r>
      <w:r>
        <w:rPr>
          <w:rFonts w:hint="eastAsia" w:ascii="宋体" w:hAnsi="宋体" w:eastAsia="宋体" w:cs="宋体"/>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6114"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236"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144"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jc w:val="left"/>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2"/>
      <w:r/>
      <w:bookmarkStart w:id="133" w:name="_Toc25564"/>
      <w:r/>
      <w:bookmarkStart w:id="134" w:name="_Toc19767"/>
      <w:r>
        <w:rPr>
          <w:rFonts w:hint="eastAsia" w:ascii="宋体" w:hAnsi="宋体" w:eastAsia="宋体" w:cs="宋体"/>
          <w:szCs w:val="21"/>
          <w:highlight w:val="none"/>
        </w:rPr>
        <w:t xml:space="preserve">注：此表为表样，供应商需根据第一章“招标公告”中“投标人资质要求”自行调整，行数可自行添加，但表式不变。</w:t>
      </w: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1.投标申请及声明</w:t>
      </w:r>
      <w:bookmarkEnd w:id="133"/>
      <w:r/>
      <w:bookmarkEnd w:id="134"/>
      <w:r>
        <w:rPr>
          <w:rFonts w:hint="eastAsia" w:ascii="宋体" w:hAnsi="宋体" w:eastAsia="宋体" w:cs="宋体"/>
          <w:sz w:val="32"/>
          <w:szCs w:val="32"/>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详见报价一览表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numPr>
          <w:ilvl w:val="0"/>
          <w:numId w:val="43"/>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135" w:name="_Toc3313"/>
      <w:r/>
      <w:bookmarkStart w:id="136" w:name="_Toc7351"/>
      <w:r>
        <w:rPr>
          <w:rFonts w:hint="eastAsia" w:ascii="宋体" w:hAnsi="宋体" w:eastAsia="宋体" w:cs="宋体"/>
          <w:sz w:val="32"/>
          <w:szCs w:val="32"/>
          <w:highlight w:val="none"/>
        </w:rPr>
        <w:t xml:space="preserve">授权委托书</w:t>
      </w:r>
      <w:bookmarkEnd w:id="135"/>
      <w:r/>
      <w:bookmarkEnd w:id="136"/>
      <w:r>
        <w:rPr>
          <w:rFonts w:hint="eastAsia" w:ascii="宋体" w:hAnsi="宋体" w:eastAsia="宋体" w:cs="宋体"/>
          <w:sz w:val="32"/>
          <w:szCs w:val="32"/>
          <w:highlight w:val="none"/>
        </w:rPr>
      </w:r>
      <w:r/>
    </w:p>
    <w:p>
      <w:pPr>
        <w:pStyle w:val="1047"/>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1047"/>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r>
    </w:tbl>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r>
    </w:tbl>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1047"/>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47"/>
              <w:rPr>
                <w:highlight w:val="none"/>
              </w:rPr>
            </w:pPr>
            <w:r>
              <w:rPr>
                <w:highlight w:val="none"/>
              </w:rPr>
            </w:r>
            <w:r/>
          </w:p>
        </w:tc>
      </w:tr>
    </w:tbl>
    <w:p>
      <w:pPr>
        <w:pStyle w:val="1047"/>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bookmarkStart w:id="137" w:name="_Toc23857"/>
      <w:r/>
      <w:bookmarkStart w:id="138" w:name="_Toc1942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1047"/>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137"/>
      <w:r/>
      <w:bookmarkEnd w:id="138"/>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1047"/>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1047"/>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9" w:name="_Toc403725575"/>
      <w:r/>
      <w:bookmarkStart w:id="140" w:name="_Toc25567"/>
      <w:r/>
      <w:bookmarkStart w:id="141" w:name="_Toc467065082"/>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7"/>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076"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80"/>
        <w:gridCol w:w="1161"/>
        <w:gridCol w:w="1005"/>
        <w:gridCol w:w="1800"/>
        <w:gridCol w:w="1659"/>
        <w:gridCol w:w="691"/>
        <w:gridCol w:w="742"/>
        <w:gridCol w:w="756"/>
        <w:gridCol w:w="664"/>
        <w:gridCol w:w="918"/>
      </w:tblGrid>
      <w:tr>
        <w:trPr>
          <w:trHeight w:val="2317"/>
        </w:trPr>
        <w:tc>
          <w:tcPr>
            <w:tcMar>
              <w:left w:w="15" w:type="dxa"/>
              <w:top w:w="15" w:type="dxa"/>
              <w:right w:w="15" w:type="dxa"/>
              <w:bottom w:w="0" w:type="dxa"/>
            </w:tcMar>
            <w:tcW w:w="680"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742"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756"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喷气燃料热氧化安定性测定仪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气相色谱质谱联用仪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航煤自动冰点测定仪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全自动紫外荧光定硫仪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航空煤油烟点仪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全自动低温运动粘度仪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阿贝尔闭口闪点仪  </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自动蒸馏试验器</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喷气燃料铜片腐蚀试验器</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自动密度测定仪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燃料胶质含量试验器</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航空燃料电导率仪</w:t>
            </w:r>
            <w:r>
              <w:rPr>
                <w:rFonts w:hint="eastAsia" w:ascii="仿宋" w:hAnsi="仿宋" w:eastAsia="仿宋" w:cs="仿宋"/>
                <w:sz w:val="24"/>
                <w:szCs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Mar>
              <w:left w:w="15" w:type="dxa"/>
              <w:top w:w="15" w:type="dxa"/>
              <w:right w:w="15" w:type="dxa"/>
              <w:bottom w:w="0" w:type="dxa"/>
            </w:tcMar>
            <w:tcW w:w="742" w:type="dxa"/>
            <w:vAlign w:val="center"/>
            <w:textDirection w:val="lrTb"/>
            <w:noWrap w:val="false"/>
          </w:tcPr>
          <w:p>
            <w:pPr>
              <w:pStyle w:val="1047"/>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trHeight w:val="802"/>
        </w:trPr>
        <w:tc>
          <w:tcPr>
            <w:gridSpan w:val="10"/>
            <w:tcMar>
              <w:left w:w="15" w:type="dxa"/>
              <w:top w:w="15" w:type="dxa"/>
              <w:right w:w="15" w:type="dxa"/>
              <w:bottom w:w="0" w:type="dxa"/>
            </w:tcMar>
            <w:tcW w:w="1007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r>
    </w:tbl>
    <w:p>
      <w:pPr>
        <w:pStyle w:val="1047"/>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47"/>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1047"/>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1047"/>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47"/>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sz w:val="24"/>
          <w:highlight w:val="none"/>
        </w:rPr>
      </w:r>
      <w:r/>
    </w:p>
    <w:p>
      <w:pPr>
        <w:pStyle w:val="1047"/>
        <w:ind w:firstLine="482"/>
        <w:rPr>
          <w:rFonts w:hint="eastAsia" w:ascii="宋体" w:hAnsi="宋体" w:eastAsia="宋体" w:cs="宋体"/>
          <w:sz w:val="24"/>
          <w:highlight w:val="none"/>
        </w:rPr>
      </w:pPr>
      <w:r>
        <w:rPr>
          <w:rFonts w:hint="eastAsia" w:ascii="宋体" w:hAnsi="宋体" w:eastAsia="宋体" w:cs="宋体"/>
          <w:b/>
          <w:bCs/>
          <w:sz w:val="24"/>
          <w:highlight w:val="none"/>
        </w:rPr>
        <w:t xml:space="preserve">6.在“货物中有无进口产品”栏后的“有”或“无”上打“√”，如果有进口设备，须填写货物名称。</w:t>
      </w:r>
      <w:r>
        <w:rPr>
          <w:rFonts w:hint="eastAsia" w:ascii="宋体" w:hAnsi="宋体" w:eastAsia="宋体" w:cs="宋体"/>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7．如果不提供详细分项报价将视为没有实质性响应招标文件。</w:t>
      </w:r>
      <w:r>
        <w:rPr>
          <w:rFonts w:hint="eastAsia" w:ascii="宋体" w:hAnsi="宋体" w:eastAsia="宋体" w:cs="宋体"/>
          <w:b/>
          <w:bCs/>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8.供应商对以上数据的真实性负责。</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9.采购人或采购代理机构有权将以上内容进行公示。</w:t>
      </w:r>
      <w:r>
        <w:rPr>
          <w:rFonts w:hint="eastAsia" w:ascii="宋体" w:hAnsi="宋体" w:eastAsia="宋体" w:cs="宋体"/>
          <w:sz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1047"/>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（3）备品备件配置清单</w:t>
      </w:r>
      <w:r>
        <w:rPr>
          <w:rFonts w:hint="eastAsia" w:ascii="宋体" w:hAnsi="宋体" w:eastAsia="宋体" w:cs="宋体"/>
          <w:b/>
          <w:sz w:val="24"/>
          <w:highlight w:val="none"/>
        </w:rPr>
      </w:r>
      <w:r/>
    </w:p>
    <w:tbl>
      <w:tblPr>
        <w:tblW w:w="972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037"/>
        <w:gridCol w:w="2373"/>
        <w:gridCol w:w="1748"/>
        <w:gridCol w:w="2325"/>
      </w:tblGrid>
      <w:tr>
        <w:trPr>
          <w:trHeight w:val="604"/>
        </w:trPr>
        <w:tc>
          <w:tcPr>
            <w:tcW w:w="1242" w:type="dxa"/>
            <w:vAlign w:val="center"/>
            <w:textDirection w:val="lrTb"/>
            <w:noWrap w:val="false"/>
          </w:tcPr>
          <w:p>
            <w:pPr>
              <w:pStyle w:val="1047"/>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037" w:type="dxa"/>
            <w:vAlign w:val="center"/>
            <w:textDirection w:val="lrTb"/>
            <w:noWrap w:val="false"/>
          </w:tcPr>
          <w:p>
            <w:pPr>
              <w:pStyle w:val="1047"/>
              <w:ind w:right="-5"/>
              <w:jc w:val="center"/>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备品备件名称</w:t>
            </w:r>
            <w:r>
              <w:rPr>
                <w:rFonts w:hint="eastAsia" w:ascii="宋体" w:hAnsi="宋体" w:eastAsia="宋体" w:cs="宋体"/>
                <w:szCs w:val="21"/>
                <w:highlight w:val="none"/>
              </w:rPr>
            </w:r>
            <w:r/>
          </w:p>
        </w:tc>
        <w:tc>
          <w:tcPr>
            <w:tcW w:w="2373" w:type="dxa"/>
            <w:vAlign w:val="center"/>
            <w:textDirection w:val="lrTb"/>
            <w:noWrap w:val="false"/>
          </w:tcPr>
          <w:p>
            <w:pPr>
              <w:pStyle w:val="1047"/>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1748" w:type="dxa"/>
            <w:vAlign w:val="center"/>
            <w:textDirection w:val="lrTb"/>
            <w:noWrap w:val="false"/>
          </w:tcPr>
          <w:p>
            <w:pPr>
              <w:pStyle w:val="1047"/>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单价（元）</w:t>
            </w:r>
            <w:r>
              <w:rPr>
                <w:rFonts w:hint="eastAsia" w:ascii="宋体" w:hAnsi="宋体" w:eastAsia="宋体" w:cs="宋体"/>
                <w:szCs w:val="21"/>
                <w:highlight w:val="none"/>
              </w:rPr>
            </w:r>
            <w:r/>
          </w:p>
        </w:tc>
        <w:tc>
          <w:tcPr>
            <w:tcW w:w="2325" w:type="dxa"/>
            <w:vAlign w:val="center"/>
            <w:textDirection w:val="lrTb"/>
            <w:noWrap w:val="false"/>
          </w:tcPr>
          <w:p>
            <w:pPr>
              <w:pStyle w:val="1047"/>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12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37"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73"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8"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25"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37"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73"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8"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25"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37"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73"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8"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25"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37"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73"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8"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25"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37" w:type="dxa"/>
            <w:vAlign w:val="center"/>
            <w:textDirection w:val="lrTb"/>
            <w:noWrap w:val="false"/>
          </w:tcPr>
          <w:p>
            <w:pPr>
              <w:pStyle w:val="1047"/>
              <w:ind w:right="-5"/>
              <w:jc w:val="center"/>
              <w:tabs>
                <w:tab w:val="left" w:pos="972" w:leader="none"/>
              </w:tabs>
              <w:rPr>
                <w:rFonts w:ascii="宋体" w:hAnsi="宋体" w:eastAsia="宋体" w:cs="宋体"/>
                <w:b/>
                <w:szCs w:val="21"/>
                <w:highlight w:val="none"/>
              </w:rPr>
            </w:pPr>
            <w:r>
              <w:rPr>
                <w:rFonts w:ascii="宋体" w:hAnsi="宋体" w:eastAsia="宋体" w:cs="宋体"/>
                <w:b/>
                <w:szCs w:val="21"/>
                <w:highlight w:val="none"/>
              </w:rPr>
            </w:r>
            <w:r/>
          </w:p>
        </w:tc>
        <w:tc>
          <w:tcPr>
            <w:tcW w:w="2373"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748"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25"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037" w:type="dxa"/>
            <w:vAlign w:val="top"/>
            <w:textDirection w:val="lrTb"/>
            <w:noWrap w:val="false"/>
          </w:tcPr>
          <w:p>
            <w:pPr>
              <w:pStyle w:val="1047"/>
              <w:ind w:right="-5"/>
              <w:tabs>
                <w:tab w:val="left" w:pos="972" w:leader="none"/>
              </w:tabs>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73"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748"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2325"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（5）中小企业声明函（货物类）</w:t>
      </w:r>
      <w:r>
        <w:rPr>
          <w:rFonts w:hint="eastAsia" w:ascii="宋体" w:hAnsi="宋体" w:eastAsia="宋体" w:cs="宋体"/>
          <w:b/>
          <w:sz w:val="24"/>
          <w:szCs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，属于（招标文件中明确的所属行业） 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1047"/>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1047"/>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47"/>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1047"/>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1047"/>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1047"/>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1047"/>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1047"/>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1047"/>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（6）残疾人福利性单位声明函（如需）</w:t>
      </w:r>
      <w:r>
        <w:rPr>
          <w:rFonts w:hint="eastAsia" w:ascii="宋体" w:hAnsi="宋体" w:eastAsia="宋体" w:cs="宋体"/>
          <w:b/>
          <w:sz w:val="24"/>
          <w:szCs w:val="24"/>
          <w:highlight w:val="none"/>
        </w:rPr>
      </w:r>
      <w:r/>
    </w:p>
    <w:p>
      <w:pPr>
        <w:pStyle w:val="1047"/>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47"/>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95"/>
        <w:rPr>
          <w:rFonts w:hint="eastAsia" w:ascii="宋体" w:hAnsi="宋体" w:eastAsia="宋体" w:cs="宋体"/>
          <w:highlight w:val="none"/>
        </w:rPr>
      </w:pPr>
      <w:r>
        <w:rPr>
          <w:rFonts w:hint="eastAsia" w:ascii="宋体" w:hAnsi="宋体" w:eastAsia="宋体" w:cs="宋体"/>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（7）属于监狱企业的证明文件（如需）</w:t>
      </w:r>
      <w:r>
        <w:rPr>
          <w:rFonts w:hint="eastAsia" w:ascii="宋体" w:hAnsi="宋体" w:eastAsia="宋体" w:cs="宋体"/>
          <w:b/>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7"/>
        <w:ind w:left="0"/>
        <w:rPr>
          <w:rFonts w:hint="eastAsia" w:ascii="宋体" w:hAnsi="宋体" w:cs="宋体"/>
          <w:highlight w:val="none"/>
        </w:rPr>
      </w:pPr>
      <w:r>
        <w:rPr>
          <w:rFonts w:hint="eastAsia" w:ascii="宋体" w:hAnsi="宋体" w:cs="宋体"/>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9"/>
      <w:r/>
      <w:bookmarkEnd w:id="140"/>
      <w:r/>
      <w:bookmarkEnd w:id="141"/>
      <w:r/>
      <w:bookmarkStart w:id="142" w:name="_Toc5019"/>
      <w:r/>
      <w:bookmarkStart w:id="143" w:name="_Toc788"/>
      <w:r/>
      <w:bookmarkStart w:id="144" w:name="_Toc27811"/>
      <w:r>
        <w:rPr>
          <w:rFonts w:hint="eastAsia" w:ascii="宋体" w:hAnsi="宋体" w:eastAsia="宋体" w:cs="宋体"/>
          <w:sz w:val="32"/>
          <w:szCs w:val="32"/>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（8）关于符合本国产品标准的声明函</w:t>
      </w:r>
      <w:r>
        <w:rPr>
          <w:rFonts w:hint="eastAsia" w:ascii="宋体" w:hAnsi="宋体" w:eastAsia="宋体" w:cs="宋体"/>
          <w:b/>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1047"/>
        <w:ind w:firstLine="482"/>
        <w:spacing w:before="0" w:after="0" w:line="240" w:lineRule="auto"/>
        <w:rPr>
          <w:rFonts w:hint="eastAsia" w:ascii="宋体" w:hAnsi="宋体" w:eastAsia="仿宋" w:cs="宋体"/>
          <w:sz w:val="24"/>
          <w:szCs w:val="24"/>
          <w:highlight w:val="none"/>
        </w:rPr>
      </w:pPr>
      <w:r>
        <w:rPr>
          <w:rStyle w:val="1134"/>
          <w:rFonts w:hint="eastAsia" w:ascii="仿宋" w:hAnsi="仿宋" w:eastAsia="仿宋" w:cs="仿宋"/>
          <w:i w:val="0"/>
          <w:iCs w:val="0"/>
          <w:spacing w:val="0"/>
          <w:sz w:val="24"/>
          <w:szCs w:val="24"/>
          <w:highlight w:val="none"/>
          <w:shd w:val="clear" w:color="auto" w:fill="ffffff"/>
        </w:rPr>
        <w:t xml:space="preserve">“（产品名称）</w:t>
      </w:r>
      <w:r>
        <w:rPr>
          <w:rStyle w:val="1134"/>
          <w:rFonts w:hint="eastAsia" w:ascii="仿宋" w:hAnsi="仿宋" w:eastAsia="仿宋" w:cs="仿宋"/>
          <w:i w:val="0"/>
          <w:iCs w:val="0"/>
          <w:spacing w:val="0"/>
          <w:sz w:val="24"/>
          <w:szCs w:val="24"/>
          <w:highlight w:val="none"/>
          <w:shd w:val="clear" w:color="auto" w:fill="ffffff"/>
          <w:vertAlign w:val="superscript"/>
        </w:rPr>
        <w:t xml:space="preserve">1</w:t>
      </w:r>
      <w:r>
        <w:rPr>
          <w:rFonts w:hint="eastAsia" w:ascii="仿宋" w:hAnsi="仿宋" w:eastAsia="仿宋" w:cs="仿宋"/>
          <w:sz w:val="24"/>
          <w:szCs w:val="24"/>
          <w:highlight w:val="none"/>
          <w:shd w:val="clear" w:color="auto" w:fill="ffffff"/>
        </w:rPr>
        <w:t xml:space="preserve">，生产厂为</w:t>
      </w:r>
      <w:r>
        <w:rPr>
          <w:rStyle w:val="1134"/>
          <w:rFonts w:hint="eastAsia" w:ascii="仿宋" w:hAnsi="仿宋" w:eastAsia="仿宋" w:cs="仿宋"/>
          <w:i w:val="0"/>
          <w:iCs w:val="0"/>
          <w:spacing w:val="0"/>
          <w:sz w:val="24"/>
          <w:szCs w:val="24"/>
          <w:highlight w:val="none"/>
          <w:shd w:val="clear" w:color="auto" w:fill="ffffff"/>
        </w:rPr>
        <w:t xml:space="preserve">（厂名）</w:t>
      </w:r>
      <w:r>
        <w:rPr>
          <w:rStyle w:val="1134"/>
          <w:rFonts w:hint="eastAsia" w:ascii="仿宋" w:hAnsi="仿宋" w:eastAsia="仿宋" w:cs="仿宋"/>
          <w:i w:val="0"/>
          <w:iCs w:val="0"/>
          <w:spacing w:val="0"/>
          <w:sz w:val="24"/>
          <w:szCs w:val="24"/>
          <w:highlight w:val="none"/>
          <w:shd w:val="clear" w:color="auto" w:fill="ffffff"/>
          <w:vertAlign w:val="superscript"/>
        </w:rPr>
        <w:t xml:space="preserve">2</w:t>
      </w:r>
      <w:r>
        <w:rPr>
          <w:rFonts w:hint="eastAsia" w:ascii="仿宋" w:hAnsi="仿宋" w:eastAsia="仿宋" w:cs="仿宋"/>
          <w:sz w:val="24"/>
          <w:szCs w:val="24"/>
          <w:highlight w:val="none"/>
          <w:shd w:val="clear" w:color="auto" w:fill="ffffff"/>
        </w:rPr>
        <w:t xml:space="preserve">，厂址为</w:t>
      </w:r>
      <w:r>
        <w:rPr>
          <w:rStyle w:val="1134"/>
          <w:rFonts w:hint="eastAsia" w:ascii="仿宋" w:hAnsi="仿宋" w:eastAsia="仿宋" w:cs="仿宋"/>
          <w:i w:val="0"/>
          <w:iCs w:val="0"/>
          <w:spacing w:val="0"/>
          <w:sz w:val="24"/>
          <w:szCs w:val="24"/>
          <w:highlight w:val="none"/>
          <w:shd w:val="clear" w:color="auto" w:fill="ffffff"/>
        </w:rPr>
        <w:t xml:space="preserve">（生产厂址）</w:t>
      </w:r>
      <w:r>
        <w:rPr>
          <w:rFonts w:hint="eastAsia" w:ascii="仿宋" w:hAnsi="仿宋" w:eastAsia="仿宋" w:cs="仿宋"/>
          <w:sz w:val="24"/>
          <w:szCs w:val="24"/>
          <w:highlight w:val="none"/>
          <w:shd w:val="clear" w:color="auto" w:fill="ffffff"/>
        </w:rPr>
        <w:t xml:space="preserve">。</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的中国境内生产的组件成本占比≥</w:t>
      </w:r>
      <w:r>
        <w:rPr>
          <w:rStyle w:val="1134"/>
          <w:rFonts w:hint="eastAsia" w:ascii="仿宋" w:hAnsi="仿宋" w:eastAsia="仿宋" w:cs="仿宋"/>
          <w:i w:val="0"/>
          <w:iCs w:val="0"/>
          <w:spacing w:val="0"/>
          <w:sz w:val="24"/>
          <w:szCs w:val="24"/>
          <w:highlight w:val="none"/>
          <w:shd w:val="clear" w:color="auto" w:fill="ffffff"/>
        </w:rPr>
        <w:t xml:space="preserve">（规定比例）</w:t>
      </w:r>
      <w:r>
        <w:rPr>
          <w:rStyle w:val="1134"/>
          <w:rFonts w:hint="eastAsia" w:ascii="仿宋" w:hAnsi="仿宋" w:eastAsia="仿宋" w:cs="仿宋"/>
          <w:i w:val="0"/>
          <w:iCs w:val="0"/>
          <w:spacing w:val="0"/>
          <w:sz w:val="24"/>
          <w:szCs w:val="24"/>
          <w:highlight w:val="none"/>
          <w:shd w:val="clear" w:color="auto" w:fill="ffffff"/>
          <w:vertAlign w:val="superscript"/>
        </w:rPr>
        <w:t xml:space="preserve">3</w:t>
      </w:r>
      <w:r>
        <w:rPr>
          <w:rFonts w:hint="eastAsia" w:ascii="仿宋" w:hAnsi="仿宋" w:eastAsia="仿宋" w:cs="仿宋"/>
          <w:sz w:val="24"/>
          <w:szCs w:val="24"/>
          <w:highlight w:val="none"/>
          <w:shd w:val="clear" w:color="auto" w:fill="ffffff"/>
        </w:rPr>
        <w:t xml:space="preserve">。</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34"/>
          <w:rFonts w:hint="eastAsia" w:ascii="仿宋" w:hAnsi="仿宋" w:eastAsia="仿宋" w:cs="仿宋"/>
          <w:i w:val="0"/>
          <w:iCs w:val="0"/>
          <w:spacing w:val="0"/>
          <w:sz w:val="24"/>
          <w:szCs w:val="24"/>
          <w:highlight w:val="none"/>
          <w:shd w:val="clear" w:color="auto" w:fill="ffffff"/>
        </w:rPr>
        <w:t xml:space="preserve">（关键组件）</w:t>
      </w:r>
      <w:r>
        <w:rPr>
          <w:rStyle w:val="1134"/>
          <w:rFonts w:hint="eastAsia" w:ascii="仿宋" w:hAnsi="仿宋" w:eastAsia="仿宋" w:cs="仿宋"/>
          <w:i w:val="0"/>
          <w:iCs w:val="0"/>
          <w:spacing w:val="0"/>
          <w:sz w:val="24"/>
          <w:szCs w:val="24"/>
          <w:highlight w:val="none"/>
          <w:shd w:val="clear" w:color="auto" w:fill="ffffff"/>
          <w:vertAlign w:val="superscript"/>
        </w:rPr>
        <w:t xml:space="preserve">4</w:t>
      </w:r>
      <w:r>
        <w:rPr>
          <w:rFonts w:hint="eastAsia" w:ascii="仿宋" w:hAnsi="仿宋" w:eastAsia="仿宋" w:cs="仿宋"/>
          <w:sz w:val="24"/>
          <w:szCs w:val="24"/>
          <w:highlight w:val="none"/>
          <w:shd w:val="clear" w:color="auto" w:fill="ffffff"/>
        </w:rPr>
        <w:t xml:space="preserve">在中国境内生产。</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34"/>
          <w:rFonts w:hint="eastAsia" w:ascii="仿宋" w:hAnsi="仿宋" w:eastAsia="仿宋" w:cs="仿宋"/>
          <w:i w:val="0"/>
          <w:iCs w:val="0"/>
          <w:spacing w:val="0"/>
          <w:sz w:val="24"/>
          <w:szCs w:val="24"/>
          <w:highlight w:val="none"/>
          <w:shd w:val="clear" w:color="auto" w:fill="ffffff"/>
        </w:rPr>
        <w:t xml:space="preserve">（关键工序）</w:t>
      </w:r>
      <w:r>
        <w:rPr>
          <w:rStyle w:val="1134"/>
          <w:rFonts w:hint="eastAsia" w:ascii="仿宋" w:hAnsi="仿宋" w:eastAsia="仿宋" w:cs="仿宋"/>
          <w:i w:val="0"/>
          <w:iCs w:val="0"/>
          <w:spacing w:val="0"/>
          <w:sz w:val="24"/>
          <w:szCs w:val="24"/>
          <w:highlight w:val="none"/>
          <w:shd w:val="clear" w:color="auto" w:fill="ffffff"/>
          <w:vertAlign w:val="superscript"/>
        </w:rPr>
        <w:t xml:space="preserve">5</w:t>
      </w:r>
      <w:r>
        <w:rPr>
          <w:rFonts w:hint="eastAsia" w:ascii="仿宋" w:hAnsi="仿宋" w:eastAsia="仿宋" w:cs="仿宋"/>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1047"/>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47"/>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1047"/>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1047"/>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1047"/>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1083"/>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1083"/>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1083"/>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1083"/>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（8）有依法缴纳税收的良好记录(提供距开标时间六个月内任一月份的缴纳税收凭据复印件并加盖公章(依法免税的应提供相应文件说明）)</w:t>
      </w: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1083"/>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1047"/>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83"/>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1083"/>
        <w:jc w:val="left"/>
        <w:spacing w:before="0" w:after="0"/>
        <w:rPr>
          <w:rFonts w:hint="eastAsia" w:ascii="宋体" w:hAnsi="宋体" w:eastAsia="宋体" w:cs="宋体"/>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sz w:val="24"/>
          <w:szCs w:val="24"/>
          <w:highlight w:val="none"/>
          <w:lang w:bidi="ar"/>
        </w:rPr>
      </w:r>
      <w:r/>
    </w:p>
    <w:p>
      <w:pPr>
        <w:pStyle w:val="1047"/>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142"/>
      <w:r/>
      <w:bookmarkEnd w:id="143"/>
      <w:r/>
      <w:bookmarkEnd w:id="144"/>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1047"/>
              <w:jc w:val="cente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0"/>
          <w:highlight w:val="none"/>
        </w:rPr>
      </w:pPr>
      <w:r>
        <w:rPr>
          <w:rFonts w:hint="eastAsia" w:ascii="宋体" w:hAnsi="宋体" w:eastAsia="宋体" w:cs="宋体"/>
          <w:sz w:val="20"/>
          <w:highlight w:val="none"/>
        </w:rPr>
      </w:r>
      <w:r/>
    </w:p>
    <w:p>
      <w:pPr>
        <w:pStyle w:val="1047"/>
        <w:rPr>
          <w:rFonts w:hint="eastAsia" w:ascii="宋体" w:hAnsi="宋体" w:eastAsia="宋体" w:cs="宋体"/>
          <w:szCs w:val="21"/>
          <w:highlight w:val="none"/>
        </w:rPr>
      </w:pPr>
      <w:r/>
      <w:bookmarkStart w:id="145" w:name="_Toc10292"/>
      <w:r/>
      <w:bookmarkStart w:id="146" w:name="_Toc11669"/>
      <w:r/>
      <w:bookmarkStart w:id="147" w:name="_Toc5552"/>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②是否偏离用符号“+、=、-”分别表示正偏离、完全响应、负偏离。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spacing w:line="420" w:lineRule="exact"/>
        <w:rPr>
          <w:rFonts w:hint="eastAsia" w:ascii="宋体" w:hAnsi="宋体" w:eastAsia="宋体" w:cs="宋体"/>
          <w:b/>
          <w:sz w:val="24"/>
          <w:szCs w:val="24"/>
          <w:highlight w:val="none"/>
          <w:lang w:val="zh-CN"/>
        </w:rPr>
      </w:pPr>
      <w:r/>
      <w:bookmarkStart w:id="148" w:name="_Toc23012"/>
      <w:r/>
      <w:bookmarkStart w:id="149" w:name="_Toc22168"/>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148"/>
      <w:r/>
      <w:bookmarkEnd w:id="149"/>
      <w:r>
        <w:rPr>
          <w:rFonts w:hint="eastAsia" w:ascii="宋体" w:hAnsi="宋体" w:eastAsia="宋体" w:cs="宋体"/>
          <w:b/>
          <w:sz w:val="24"/>
          <w:szCs w:val="24"/>
          <w:highlight w:val="none"/>
          <w:lang w:val="zh-CN"/>
        </w:rPr>
      </w:r>
      <w:r/>
    </w:p>
    <w:p>
      <w:pPr>
        <w:pStyle w:val="1087"/>
        <w:ind w:left="0"/>
        <w:rPr>
          <w:rFonts w:hint="eastAsia" w:ascii="宋体" w:hAnsi="宋体" w:cs="宋体"/>
          <w:highlight w:val="none"/>
        </w:rPr>
      </w:pPr>
      <w:r>
        <w:rPr>
          <w:rFonts w:hint="eastAsia" w:ascii="宋体" w:hAnsi="宋体" w:cs="宋体"/>
          <w:highlight w:val="none"/>
        </w:rPr>
      </w:r>
      <w:r/>
    </w:p>
    <w:p>
      <w:pPr>
        <w:pStyle w:val="1087"/>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highlight w:val="none"/>
        </w:rPr>
      </w:r>
      <w:r/>
    </w:p>
    <w:p>
      <w:pPr>
        <w:pStyle w:val="1087"/>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145"/>
      <w:r/>
      <w:bookmarkEnd w:id="146"/>
      <w:r/>
      <w:bookmarkEnd w:id="147"/>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1047"/>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numPr>
          <w:ilvl w:val="0"/>
          <w:numId w:val="44"/>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0" w:name="_Toc29152"/>
      <w:r/>
      <w:bookmarkStart w:id="151" w:name="_Toc25254"/>
      <w:r/>
      <w:bookmarkStart w:id="152" w:name="_Toc12051"/>
      <w:r/>
      <w:bookmarkStart w:id="153" w:name="_Toc12952"/>
      <w:r>
        <w:rPr>
          <w:rFonts w:hint="eastAsia" w:ascii="宋体" w:hAnsi="宋体" w:eastAsia="宋体" w:cs="宋体"/>
          <w:sz w:val="32"/>
          <w:szCs w:val="32"/>
          <w:highlight w:val="none"/>
        </w:rPr>
      </w:r>
      <w:r/>
    </w:p>
    <w:p>
      <w:pPr>
        <w:pStyle w:val="1047"/>
        <w:numPr>
          <w:ilvl w:val="0"/>
          <w:numId w:val="44"/>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150"/>
      <w:r/>
      <w:bookmarkEnd w:id="151"/>
      <w:r/>
      <w:bookmarkEnd w:id="152"/>
      <w:r/>
      <w:bookmarkEnd w:id="153"/>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154" w:name="_Toc3055"/>
      <w:r/>
      <w:bookmarkStart w:id="155" w:name="_Toc30172"/>
      <w:r/>
      <w:bookmarkStart w:id="156" w:name="_Toc17430"/>
      <w:r/>
      <w:bookmarkStart w:id="157" w:name="_Toc478493367"/>
      <w:r/>
      <w:bookmarkStart w:id="158" w:name="_Toc5435"/>
      <w:r/>
      <w:bookmarkStart w:id="159" w:name="_Toc448874878"/>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154"/>
      <w:r/>
      <w:bookmarkEnd w:id="155"/>
      <w:r/>
      <w:bookmarkEnd w:id="156"/>
      <w:r/>
      <w:bookmarkEnd w:id="157"/>
      <w:r/>
      <w:bookmarkEnd w:id="158"/>
      <w:r/>
      <w:bookmarkEnd w:id="159"/>
      <w:r>
        <w:rPr>
          <w:rFonts w:hint="eastAsia" w:ascii="宋体" w:hAnsi="宋体" w:eastAsia="宋体" w:cs="宋体"/>
          <w:b/>
          <w:bCs/>
          <w:sz w:val="32"/>
          <w:szCs w:val="32"/>
          <w:highlight w:val="none"/>
        </w:rPr>
      </w:r>
      <w:r/>
    </w:p>
    <w:p>
      <w:pPr>
        <w:pStyle w:val="1047"/>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1047"/>
        <w:numPr>
          <w:ilvl w:val="0"/>
          <w:numId w:val="45"/>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1047"/>
        <w:numPr>
          <w:ilvl w:val="0"/>
          <w:numId w:val="45"/>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jc w:val="center"/>
        <w:rPr>
          <w:rFonts w:hint="eastAsia" w:ascii="宋体" w:hAnsi="宋体" w:eastAsia="宋体" w:cs="宋体"/>
          <w:highlight w:val="none"/>
        </w:rPr>
      </w:pPr>
      <w:r/>
      <w:bookmarkStart w:id="160" w:name="_Toc8684"/>
      <w:r/>
      <w:bookmarkStart w:id="161" w:name="_Toc9040"/>
      <w:r>
        <w:rPr>
          <w:rFonts w:hint="eastAsia" w:ascii="宋体" w:hAnsi="宋体" w:eastAsia="宋体" w:cs="宋体"/>
          <w:highlight w:val="none"/>
        </w:rPr>
        <w:br w:type="page" w:clear="all"/>
      </w:r>
      <w:bookmarkStart w:id="162" w:name="_Toc1628"/>
      <w:r>
        <w:rPr>
          <w:rFonts w:hint="eastAsia" w:ascii="宋体" w:hAnsi="宋体" w:eastAsia="宋体" w:cs="宋体"/>
          <w:sz w:val="32"/>
          <w:szCs w:val="32"/>
          <w:highlight w:val="none"/>
        </w:rPr>
        <w:t xml:space="preserve">9.人员配备、资质及人员管理</w:t>
      </w:r>
      <w:bookmarkEnd w:id="160"/>
      <w:r/>
      <w:bookmarkEnd w:id="162"/>
      <w:r>
        <w:rPr>
          <w:rFonts w:hint="eastAsia" w:ascii="宋体" w:hAnsi="宋体" w:eastAsia="宋体" w:cs="宋体"/>
          <w:highlight w:val="none"/>
        </w:rPr>
      </w:r>
      <w:r/>
    </w:p>
    <w:p>
      <w:pPr>
        <w:pStyle w:val="1047"/>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1047"/>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28"/>
      <w:r/>
      <w:bookmarkEnd w:id="161"/>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1047"/>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47"/>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1047"/>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- 44 -</w:t>
                          </w:r>
                          <w:r>
                            <w:rPr>
                              <w:sz w:val="24"/>
                              <w:szCs w:val="28"/>
                            </w:rPr>
                            <w:fldChar w:fldCharType="end"/>
                          </w:r>
                          <w:r>
                            <w:rPr>
                              <w:sz w:val="24"/>
                              <w:szCs w:val="28"/>
                            </w:rPr>
                          </w:r>
                          <w:r/>
                        </w:p>
                        <w:p>
                          <w:pPr>
                            <w:pStyle w:val="104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- 44 -</w:t>
                    </w:r>
                    <w:r>
                      <w:rPr>
                        <w:sz w:val="24"/>
                        <w:szCs w:val="28"/>
                      </w:rPr>
                      <w:fldChar w:fldCharType="end"/>
                    </w:r>
                    <w:r>
                      <w:rPr>
                        <w:sz w:val="24"/>
                        <w:szCs w:val="28"/>
                      </w:rPr>
                    </w:r>
                    <w:r/>
                  </w:p>
                  <w:p>
                    <w:pPr>
                      <w:pStyle w:val="1047"/>
                    </w:pPr>
                    <w:r/>
                    <w:r/>
                  </w:p>
                </w:txbxContent>
              </v:textbox>
            </v:shape>
          </w:pict>
        </mc:Fallback>
      </mc:AlternateContent>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b/>
        <w:bCs/>
        <w:color w:val="2f5496"/>
        <w:sz w:val="16"/>
        <w:szCs w:val="15"/>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rFonts w:hint="eastAsia" w:eastAsia="宋体"/>
        <w:b/>
        <w:bCs/>
        <w:color w:val="243f61"/>
        <w:sz w:val="15"/>
        <w:szCs w:val="13"/>
      </w:rPr>
    </w:pPr>
    <w:r/>
    <w:bookmarkStart w:id="163" w:name="OLE_LINK11"/>
    <w:r>
      <mc:AlternateContent>
        <mc:Choice Requires="wpg">
          <w:drawing>
            <wp:inline xmlns:wp="http://schemas.openxmlformats.org/drawingml/2006/wordprocessingDrawing" distT="0" distB="0" distL="0" distR="0">
              <wp:extent cx="2309482" cy="3028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8pt;height:23.8pt;mso-wrap-distance-left:0.0pt;mso-wrap-distance-top:0.0pt;mso-wrap-distance-right:0.0pt;mso-wrap-distance-bottom:0.0pt;" stroked="f">
              <v:path textboxrect="0,0,0,0"/>
              <v:imagedata r:id="rId1" o:title=""/>
            </v:shape>
          </w:pict>
        </mc:Fallback>
      </mc:AlternateContent>
    </w:r>
    <w:r>
      <w:rPr>
        <w:rFonts w:hint="eastAsia"/>
        <w:b/>
        <w:bCs/>
        <w:color w:val="243f61"/>
        <w:sz w:val="20"/>
        <w:szCs w:val="18"/>
      </w:rPr>
      <w:t xml:space="preserve"> </w:t>
    </w:r>
    <w:bookmarkEnd w:id="163"/>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47"/>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61"/>
      <w:isLgl w:val="false"/>
      <w:suff w:val="tab"/>
      <w:lvlText w:val=""/>
      <w:lvlJc w:val="left"/>
      <w:pPr>
        <w:pStyle w:val="1047"/>
        <w:ind w:left="420" w:hanging="420"/>
        <w:tabs>
          <w:tab w:val="num" w:pos="420" w:leader="none"/>
        </w:tabs>
      </w:pPr>
      <w:rPr>
        <w:rFonts w:ascii="Wingdings" w:hAnsi="Wingdings"/>
      </w:rPr>
    </w:lvl>
    <w:lvl w:ilvl="1">
      <w:start w:val="1"/>
      <w:numFmt w:val="decimal"/>
      <w:isLgl w:val="false"/>
      <w:suff w:val="tab"/>
      <w:lvlText w:val="（%2）"/>
      <w:lvlJc w:val="left"/>
      <w:pPr>
        <w:pStyle w:val="1047"/>
        <w:ind w:left="1500" w:hanging="1080"/>
        <w:tabs>
          <w:tab w:val="num" w:pos="1500" w:leader="none"/>
        </w:tabs>
      </w:pPr>
      <w:rPr>
        <w:rFonts w:hint="eastAsia"/>
      </w:rPr>
    </w:lvl>
    <w:lvl w:ilvl="2">
      <w:start w:val="1"/>
      <w:numFmt w:val="decimal"/>
      <w:isLgl w:val="false"/>
      <w:suff w:val="tab"/>
      <w:lvlText w:val="（%3）"/>
      <w:lvlJc w:val="left"/>
      <w:pPr>
        <w:pStyle w:val="1047"/>
        <w:ind w:left="1560" w:hanging="720"/>
        <w:tabs>
          <w:tab w:val="num" w:pos="1560" w:leader="none"/>
        </w:tabs>
      </w:pPr>
      <w:rPr>
        <w:rFonts w:hint="eastAsia"/>
      </w:rPr>
    </w:lvl>
    <w:lvl w:ilvl="3">
      <w:start w:val="1"/>
      <w:numFmt w:val="decimal"/>
      <w:isLgl w:val="false"/>
      <w:suff w:val="tab"/>
      <w:lvlText w:val="%4."/>
      <w:lvlJc w:val="left"/>
      <w:pPr>
        <w:pStyle w:val="1047"/>
        <w:ind w:left="1680" w:hanging="420"/>
        <w:tabs>
          <w:tab w:val="num" w:pos="1680" w:leader="none"/>
        </w:tabs>
      </w:pPr>
    </w:lvl>
    <w:lvl w:ilvl="4">
      <w:start w:val="1"/>
      <w:numFmt w:val="lowerLetter"/>
      <w:isLgl w:val="false"/>
      <w:suff w:val="tab"/>
      <w:lvlText w:val="%5)"/>
      <w:lvlJc w:val="left"/>
      <w:pPr>
        <w:pStyle w:val="1047"/>
        <w:ind w:left="2100" w:hanging="420"/>
        <w:tabs>
          <w:tab w:val="num" w:pos="2100" w:leader="none"/>
        </w:tabs>
      </w:pPr>
    </w:lvl>
    <w:lvl w:ilvl="5">
      <w:start w:val="1"/>
      <w:numFmt w:val="lowerRoman"/>
      <w:isLgl w:val="false"/>
      <w:suff w:val="tab"/>
      <w:lvlText w:val="%6."/>
      <w:lvlJc w:val="right"/>
      <w:pPr>
        <w:pStyle w:val="1047"/>
        <w:ind w:left="2520" w:hanging="420"/>
        <w:tabs>
          <w:tab w:val="num" w:pos="2520" w:leader="none"/>
        </w:tabs>
      </w:pPr>
    </w:lvl>
    <w:lvl w:ilvl="6">
      <w:start w:val="1"/>
      <w:numFmt w:val="decimal"/>
      <w:isLgl w:val="false"/>
      <w:suff w:val="tab"/>
      <w:lvlText w:val="%7."/>
      <w:lvlJc w:val="left"/>
      <w:pPr>
        <w:pStyle w:val="1047"/>
        <w:ind w:left="2940" w:hanging="420"/>
        <w:tabs>
          <w:tab w:val="num" w:pos="2940" w:leader="none"/>
        </w:tabs>
      </w:pPr>
    </w:lvl>
    <w:lvl w:ilvl="7">
      <w:start w:val="1"/>
      <w:numFmt w:val="lowerLetter"/>
      <w:isLgl w:val="false"/>
      <w:suff w:val="tab"/>
      <w:lvlText w:val="%8)"/>
      <w:lvlJc w:val="left"/>
      <w:pPr>
        <w:pStyle w:val="1047"/>
        <w:ind w:left="3360" w:hanging="420"/>
        <w:tabs>
          <w:tab w:val="num" w:pos="3360" w:leader="none"/>
        </w:tabs>
      </w:pPr>
    </w:lvl>
    <w:lvl w:ilvl="8">
      <w:start w:val="1"/>
      <w:numFmt w:val="lowerRoman"/>
      <w:isLgl w:val="false"/>
      <w:suff w:val="tab"/>
      <w:lvlText w:val="%9."/>
      <w:lvlJc w:val="right"/>
      <w:pPr>
        <w:pStyle w:val="1047"/>
        <w:ind w:left="3780" w:hanging="420"/>
        <w:tabs>
          <w:tab w:val="num" w:pos="3780" w:leader="none"/>
        </w:tabs>
      </w:pPr>
    </w:lvl>
  </w:abstractNum>
  <w:abstractNum w:abstractNumId="20">
    <w:multiLevelType w:val="hybridMultilevel"/>
    <w:lvl w:ilvl="0">
      <w:start w:val="1"/>
      <w:numFmt w:val="decimal"/>
      <w:pStyle w:val="1429"/>
      <w:isLgl w:val="false"/>
      <w:suff w:val="tab"/>
      <w:lvlText w:val="(%1)"/>
      <w:lvlJc w:val="left"/>
      <w:pPr>
        <w:pStyle w:val="104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47"/>
        <w:ind w:left="840" w:hanging="420"/>
        <w:tabs>
          <w:tab w:val="num" w:pos="840" w:leader="none"/>
        </w:tabs>
      </w:pPr>
    </w:lvl>
    <w:lvl w:ilvl="2">
      <w:start w:val="1"/>
      <w:numFmt w:val="lowerRoman"/>
      <w:isLgl w:val="false"/>
      <w:suff w:val="tab"/>
      <w:lvlText w:val="%3."/>
      <w:lvlJc w:val="right"/>
      <w:pPr>
        <w:pStyle w:val="1047"/>
        <w:ind w:left="1260" w:hanging="420"/>
        <w:tabs>
          <w:tab w:val="num" w:pos="1260" w:leader="none"/>
        </w:tabs>
      </w:pPr>
    </w:lvl>
    <w:lvl w:ilvl="3">
      <w:start w:val="1"/>
      <w:numFmt w:val="decimal"/>
      <w:isLgl w:val="false"/>
      <w:suff w:val="tab"/>
      <w:lvlText w:val="%4."/>
      <w:lvlJc w:val="left"/>
      <w:pPr>
        <w:pStyle w:val="1047"/>
        <w:ind w:left="1680" w:hanging="420"/>
        <w:tabs>
          <w:tab w:val="num" w:pos="1680" w:leader="none"/>
        </w:tabs>
      </w:pPr>
    </w:lvl>
    <w:lvl w:ilvl="4">
      <w:start w:val="1"/>
      <w:numFmt w:val="lowerLetter"/>
      <w:pStyle w:val="1413"/>
      <w:isLgl w:val="false"/>
      <w:suff w:val="tab"/>
      <w:lvlText w:val="%5)"/>
      <w:lvlJc w:val="left"/>
      <w:pPr>
        <w:pStyle w:val="1047"/>
        <w:ind w:left="2100" w:hanging="420"/>
        <w:tabs>
          <w:tab w:val="num" w:pos="2100" w:leader="none"/>
        </w:tabs>
      </w:pPr>
    </w:lvl>
    <w:lvl w:ilvl="5">
      <w:start w:val="1"/>
      <w:numFmt w:val="lowerRoman"/>
      <w:isLgl w:val="false"/>
      <w:suff w:val="tab"/>
      <w:lvlText w:val="%6."/>
      <w:lvlJc w:val="right"/>
      <w:pPr>
        <w:pStyle w:val="1047"/>
        <w:ind w:left="2520" w:hanging="420"/>
        <w:tabs>
          <w:tab w:val="num" w:pos="2520" w:leader="none"/>
        </w:tabs>
      </w:pPr>
    </w:lvl>
    <w:lvl w:ilvl="6">
      <w:start w:val="1"/>
      <w:numFmt w:val="decimal"/>
      <w:isLgl w:val="false"/>
      <w:suff w:val="tab"/>
      <w:lvlText w:val="%7."/>
      <w:lvlJc w:val="left"/>
      <w:pPr>
        <w:pStyle w:val="1047"/>
        <w:ind w:left="2940" w:hanging="420"/>
        <w:tabs>
          <w:tab w:val="num" w:pos="2940" w:leader="none"/>
        </w:tabs>
      </w:pPr>
    </w:lvl>
    <w:lvl w:ilvl="7">
      <w:start w:val="1"/>
      <w:numFmt w:val="lowerLetter"/>
      <w:isLgl w:val="false"/>
      <w:suff w:val="tab"/>
      <w:lvlText w:val="%8)"/>
      <w:lvlJc w:val="left"/>
      <w:pPr>
        <w:pStyle w:val="1047"/>
        <w:ind w:left="3360" w:hanging="420"/>
        <w:tabs>
          <w:tab w:val="num" w:pos="3360" w:leader="none"/>
        </w:tabs>
      </w:pPr>
    </w:lvl>
    <w:lvl w:ilvl="8">
      <w:start w:val="1"/>
      <w:numFmt w:val="lowerRoman"/>
      <w:isLgl w:val="false"/>
      <w:suff w:val="tab"/>
      <w:lvlText w:val="%9."/>
      <w:lvlJc w:val="right"/>
      <w:pPr>
        <w:pStyle w:val="1047"/>
        <w:ind w:left="3780" w:hanging="420"/>
        <w:tabs>
          <w:tab w:val="num" w:pos="3780" w:leader="none"/>
        </w:tabs>
      </w:pPr>
    </w:lvl>
  </w:abstractNum>
  <w:abstractNum w:abstractNumId="21">
    <w:multiLevelType w:val="hybridMultilevel"/>
    <w:lvl w:ilvl="0">
      <w:start w:val="1"/>
      <w:numFmt w:val="bullet"/>
      <w:pStyle w:val="1310"/>
      <w:isLgl w:val="false"/>
      <w:suff w:val="tab"/>
      <w:lvlText w:val=""/>
      <w:lvlJc w:val="left"/>
      <w:pPr>
        <w:pStyle w:val="104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72"/>
      <w:isLgl w:val="false"/>
      <w:suff w:val="tab"/>
      <w:lvlText w:val="%1"/>
      <w:lvlJc w:val="left"/>
      <w:pPr>
        <w:pStyle w:val="1047"/>
        <w:ind w:left="567" w:hanging="567"/>
        <w:tabs>
          <w:tab w:val="num" w:pos="567" w:leader="none"/>
        </w:tabs>
      </w:pPr>
      <w:rPr>
        <w:rFonts w:hint="eastAsia"/>
      </w:rPr>
    </w:lvl>
    <w:lvl w:ilvl="1">
      <w:start w:val="1"/>
      <w:numFmt w:val="decimal"/>
      <w:pStyle w:val="1381"/>
      <w:isLgl w:val="false"/>
      <w:suff w:val="tab"/>
      <w:lvlText w:val="%1.%2"/>
      <w:lvlJc w:val="left"/>
      <w:pPr>
        <w:pStyle w:val="1047"/>
        <w:ind w:left="567" w:hanging="283"/>
        <w:tabs>
          <w:tab w:val="num" w:pos="1004" w:leader="none"/>
        </w:tabs>
      </w:pPr>
      <w:rPr>
        <w:rFonts w:hint="eastAsia"/>
      </w:rPr>
    </w:lvl>
    <w:lvl w:ilvl="2">
      <w:start w:val="1"/>
      <w:numFmt w:val="decimal"/>
      <w:pStyle w:val="1382"/>
      <w:isLgl w:val="false"/>
      <w:suff w:val="tab"/>
      <w:lvlText w:val="%1.%2.%3"/>
      <w:lvlJc w:val="left"/>
      <w:pPr>
        <w:pStyle w:val="1047"/>
        <w:ind w:left="1134" w:hanging="567"/>
        <w:tabs>
          <w:tab w:val="num" w:pos="1647" w:leader="none"/>
        </w:tabs>
      </w:pPr>
      <w:rPr>
        <w:rFonts w:hint="eastAsia"/>
      </w:rPr>
    </w:lvl>
    <w:lvl w:ilvl="3">
      <w:start w:val="1"/>
      <w:numFmt w:val="decimal"/>
      <w:isLgl w:val="false"/>
      <w:suff w:val="tab"/>
      <w:lvlText w:val="%1.%2.%3.%4"/>
      <w:lvlJc w:val="left"/>
      <w:pPr>
        <w:pStyle w:val="1047"/>
        <w:ind w:left="2851" w:hanging="708"/>
        <w:tabs>
          <w:tab w:val="num" w:pos="3223" w:leader="none"/>
        </w:tabs>
      </w:pPr>
      <w:rPr>
        <w:rFonts w:hint="eastAsia"/>
      </w:rPr>
    </w:lvl>
    <w:lvl w:ilvl="4">
      <w:start w:val="1"/>
      <w:numFmt w:val="decimal"/>
      <w:isLgl w:val="false"/>
      <w:suff w:val="tab"/>
      <w:lvlText w:val="%1.%2.%3.%4.%5"/>
      <w:lvlJc w:val="left"/>
      <w:pPr>
        <w:pStyle w:val="1047"/>
        <w:ind w:left="3418" w:hanging="850"/>
        <w:tabs>
          <w:tab w:val="num" w:pos="3648" w:leader="none"/>
        </w:tabs>
      </w:pPr>
      <w:rPr>
        <w:rFonts w:hint="eastAsia"/>
      </w:rPr>
    </w:lvl>
    <w:lvl w:ilvl="5">
      <w:start w:val="1"/>
      <w:numFmt w:val="decimal"/>
      <w:isLgl w:val="false"/>
      <w:suff w:val="tab"/>
      <w:lvlText w:val="%1.%2.%3.%4.%5.%6"/>
      <w:lvlJc w:val="left"/>
      <w:pPr>
        <w:pStyle w:val="1047"/>
        <w:ind w:left="4127" w:hanging="1134"/>
        <w:tabs>
          <w:tab w:val="num" w:pos="4433" w:leader="none"/>
        </w:tabs>
      </w:pPr>
      <w:rPr>
        <w:rFonts w:hint="eastAsia"/>
      </w:rPr>
    </w:lvl>
    <w:lvl w:ilvl="6">
      <w:start w:val="1"/>
      <w:numFmt w:val="decimal"/>
      <w:isLgl w:val="false"/>
      <w:suff w:val="tab"/>
      <w:lvlText w:val="%1.%2.%3.%4.%5.%6.%7"/>
      <w:lvlJc w:val="left"/>
      <w:pPr>
        <w:pStyle w:val="1047"/>
        <w:ind w:left="4694" w:hanging="1276"/>
        <w:tabs>
          <w:tab w:val="num" w:pos="4858" w:leader="none"/>
        </w:tabs>
      </w:pPr>
      <w:rPr>
        <w:rFonts w:hint="eastAsia"/>
      </w:rPr>
    </w:lvl>
    <w:lvl w:ilvl="7">
      <w:start w:val="1"/>
      <w:numFmt w:val="decimal"/>
      <w:isLgl w:val="false"/>
      <w:suff w:val="tab"/>
      <w:lvlText w:val="%1.%2.%3.%4.%5.%6.%7.%8"/>
      <w:lvlJc w:val="left"/>
      <w:pPr>
        <w:pStyle w:val="1047"/>
        <w:ind w:left="5261" w:hanging="1418"/>
        <w:tabs>
          <w:tab w:val="num" w:pos="5643" w:leader="none"/>
        </w:tabs>
      </w:pPr>
      <w:rPr>
        <w:rFonts w:hint="eastAsia"/>
      </w:rPr>
    </w:lvl>
    <w:lvl w:ilvl="8">
      <w:start w:val="1"/>
      <w:numFmt w:val="decimal"/>
      <w:isLgl w:val="false"/>
      <w:suff w:val="tab"/>
      <w:lvlText w:val="%1.%2.%3.%4.%5.%6.%7.%8.%9"/>
      <w:lvlJc w:val="left"/>
      <w:pPr>
        <w:pStyle w:val="1047"/>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47"/>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47"/>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1"/>
  </w:num>
  <w:num w:numId="7">
    <w:abstractNumId w:val="41"/>
  </w:num>
  <w:num w:numId="8">
    <w:abstractNumId w:val="42"/>
  </w:num>
  <w:num w:numId="9">
    <w:abstractNumId w:val="0"/>
  </w:num>
  <w:num w:numId="10">
    <w:abstractNumId w:val="2"/>
  </w:num>
  <w:num w:numId="11">
    <w:abstractNumId w:val="14"/>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5"/>
  </w:num>
  <w:num w:numId="20">
    <w:abstractNumId w:val="3"/>
  </w:num>
  <w:num w:numId="21">
    <w:abstractNumId w:val="13"/>
  </w:num>
  <w:num w:numId="22">
    <w:abstractNumId w:val="36"/>
  </w:num>
  <w:num w:numId="23">
    <w:abstractNumId w:val="37"/>
  </w:num>
  <w:num w:numId="24">
    <w:abstractNumId w:val="34"/>
  </w:num>
  <w:num w:numId="25">
    <w:abstractNumId w:val="40"/>
  </w:num>
  <w:num w:numId="26">
    <w:abstractNumId w:val="12"/>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6"/>
  </w:num>
  <w:num w:numId="42">
    <w:abstractNumId w:val="17"/>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7"/>
    <w:next w:val="1047"/>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7"/>
    <w:next w:val="1047"/>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7"/>
    <w:next w:val="1047"/>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7"/>
    <w:next w:val="1047"/>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7"/>
    <w:next w:val="1047"/>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7"/>
    <w:next w:val="1047"/>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7"/>
    <w:next w:val="1047"/>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7"/>
    <w:next w:val="1047"/>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7"/>
    <w:next w:val="1047"/>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Title"/>
    <w:basedOn w:val="1047"/>
    <w:next w:val="1047"/>
    <w:link w:val="890"/>
    <w:uiPriority w:val="10"/>
    <w:qFormat/>
    <w:pPr>
      <w:contextualSpacing/>
      <w:spacing w:before="300" w:after="200"/>
    </w:pPr>
    <w:rPr>
      <w:sz w:val="48"/>
      <w:szCs w:val="48"/>
    </w:rPr>
  </w:style>
  <w:style w:type="character" w:styleId="890">
    <w:name w:val="Title Char"/>
    <w:link w:val="889"/>
    <w:uiPriority w:val="10"/>
    <w:rPr>
      <w:sz w:val="48"/>
      <w:szCs w:val="48"/>
    </w:rPr>
  </w:style>
  <w:style w:type="paragraph" w:styleId="891">
    <w:name w:val="Subtitle"/>
    <w:basedOn w:val="1047"/>
    <w:next w:val="1047"/>
    <w:link w:val="892"/>
    <w:uiPriority w:val="11"/>
    <w:qFormat/>
    <w:pPr>
      <w:spacing w:before="200" w:after="200"/>
    </w:pPr>
    <w:rPr>
      <w:sz w:val="24"/>
      <w:szCs w:val="24"/>
    </w:rPr>
  </w:style>
  <w:style w:type="character" w:styleId="892">
    <w:name w:val="Subtitle Char"/>
    <w:link w:val="891"/>
    <w:uiPriority w:val="11"/>
    <w:rPr>
      <w:sz w:val="24"/>
      <w:szCs w:val="24"/>
    </w:rPr>
  </w:style>
  <w:style w:type="paragraph" w:styleId="893">
    <w:name w:val="Quote"/>
    <w:basedOn w:val="1047"/>
    <w:next w:val="1047"/>
    <w:link w:val="894"/>
    <w:uiPriority w:val="29"/>
    <w:qFormat/>
    <w:pPr>
      <w:ind w:left="720" w:right="720"/>
    </w:pPr>
    <w:rPr>
      <w:i/>
    </w:rPr>
  </w:style>
  <w:style w:type="character" w:styleId="894">
    <w:name w:val="Quote Char"/>
    <w:link w:val="893"/>
    <w:uiPriority w:val="29"/>
    <w:rPr>
      <w:i/>
    </w:rPr>
  </w:style>
  <w:style w:type="paragraph" w:styleId="895">
    <w:name w:val="Intense Quote"/>
    <w:basedOn w:val="1047"/>
    <w:next w:val="1047"/>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paragraph" w:styleId="897">
    <w:name w:val="Header"/>
    <w:basedOn w:val="1047"/>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7"/>
    <w:link w:val="902"/>
    <w:uiPriority w:val="99"/>
    <w:unhideWhenUsed/>
    <w:pPr>
      <w:spacing w:after="0" w:line="240" w:lineRule="auto"/>
      <w:tabs>
        <w:tab w:val="center" w:pos="7143" w:leader="none"/>
        <w:tab w:val="right" w:pos="14287" w:leader="none"/>
      </w:tabs>
    </w:pPr>
  </w:style>
  <w:style w:type="character" w:styleId="900">
    <w:name w:val="Footer Char"/>
    <w:link w:val="899"/>
    <w:uiPriority w:val="99"/>
  </w:style>
  <w:style w:type="paragraph" w:styleId="901">
    <w:name w:val="Caption"/>
    <w:basedOn w:val="1047"/>
    <w:next w:val="1047"/>
    <w:uiPriority w:val="35"/>
    <w:semiHidden/>
    <w:unhideWhenUsed/>
    <w:qFormat/>
    <w:pPr>
      <w:spacing w:line="276" w:lineRule="auto"/>
    </w:pPr>
    <w:rPr>
      <w:b/>
      <w:bCs/>
      <w:color w:val="4f81bd" w:themeColor="accent1"/>
      <w:sz w:val="18"/>
      <w:szCs w:val="18"/>
    </w:rPr>
  </w:style>
  <w:style w:type="character" w:styleId="902">
    <w:name w:val="Caption Char"/>
    <w:basedOn w:val="901"/>
    <w:link w:val="899"/>
    <w:uiPriority w:val="99"/>
  </w:style>
  <w:style w:type="table" w:styleId="9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47"/>
    <w:link w:val="1047"/>
    <w:qFormat/>
    <w:pPr>
      <w:jc w:val="both"/>
      <w:spacing w:before="120" w:after="120" w:line="360" w:lineRule="auto"/>
      <w:widowControl w:val="off"/>
    </w:pPr>
    <w:rPr>
      <w:rFonts w:eastAsia="微软雅黑"/>
      <w:sz w:val="21"/>
      <w:lang w:val="en-US" w:eastAsia="zh-CN" w:bidi="ar-SA"/>
    </w:rPr>
  </w:style>
  <w:style w:type="paragraph" w:styleId="1048">
    <w:name w:val="标题 1"/>
    <w:basedOn w:val="1047"/>
    <w:next w:val="1047"/>
    <w:link w:val="1059"/>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9">
    <w:name w:val="标题 2"/>
    <w:basedOn w:val="1047"/>
    <w:next w:val="1047"/>
    <w:link w:val="1060"/>
    <w:qFormat/>
    <w:pPr>
      <w:jc w:val="left"/>
      <w:keepLines/>
      <w:keepNext/>
      <w:outlineLvl w:val="1"/>
    </w:pPr>
    <w:rPr>
      <w:rFonts w:ascii="宋体" w:hAnsi="宋体"/>
      <w:b/>
      <w:sz w:val="28"/>
      <w:szCs w:val="24"/>
    </w:rPr>
  </w:style>
  <w:style w:type="paragraph" w:styleId="1050">
    <w:name w:val="标题 3"/>
    <w:basedOn w:val="1047"/>
    <w:next w:val="1047"/>
    <w:link w:val="1061"/>
    <w:qFormat/>
    <w:pPr>
      <w:keepLines/>
      <w:keepNext/>
      <w:spacing w:line="390" w:lineRule="atLeast"/>
      <w:shd w:val="clear" w:color="auto" w:fill="ffffff"/>
      <w:outlineLvl w:val="2"/>
    </w:pPr>
    <w:rPr>
      <w:rFonts w:ascii="宋体" w:hAnsi="宋体"/>
      <w:b/>
      <w:sz w:val="24"/>
      <w:szCs w:val="21"/>
    </w:rPr>
  </w:style>
  <w:style w:type="paragraph" w:styleId="1051">
    <w:name w:val="标题 4"/>
    <w:basedOn w:val="1047"/>
    <w:next w:val="1047"/>
    <w:link w:val="1062"/>
    <w:qFormat/>
    <w:pPr>
      <w:keepLines/>
      <w:keepNext/>
      <w:spacing w:before="120" w:after="120"/>
      <w:outlineLvl w:val="3"/>
    </w:pPr>
    <w:rPr>
      <w:rFonts w:ascii="Arial" w:hAnsi="Arial" w:eastAsia="黑体"/>
      <w:b/>
      <w:sz w:val="28"/>
    </w:rPr>
  </w:style>
  <w:style w:type="paragraph" w:styleId="1052">
    <w:name w:val="标题 5"/>
    <w:basedOn w:val="1047"/>
    <w:next w:val="1064"/>
    <w:link w:val="1063"/>
    <w:qFormat/>
    <w:pPr>
      <w:keepNext/>
      <w:spacing w:before="145" w:after="145"/>
      <w:outlineLvl w:val="4"/>
    </w:pPr>
    <w:rPr>
      <w:rFonts w:ascii="黑体" w:eastAsia="黑体"/>
      <w:b/>
      <w:color w:val="000000"/>
      <w:sz w:val="28"/>
    </w:rPr>
  </w:style>
  <w:style w:type="paragraph" w:styleId="1053">
    <w:name w:val="标题 6"/>
    <w:basedOn w:val="1047"/>
    <w:next w:val="1047"/>
    <w:link w:val="1065"/>
    <w:qFormat/>
    <w:pPr>
      <w:keepLines/>
      <w:keepNext/>
      <w:spacing w:before="240" w:after="64" w:line="320" w:lineRule="auto"/>
      <w:outlineLvl w:val="5"/>
    </w:pPr>
    <w:rPr>
      <w:rFonts w:ascii="Arial" w:hAnsi="Arial" w:eastAsia="黑体"/>
      <w:b/>
      <w:bCs/>
      <w:sz w:val="24"/>
      <w:szCs w:val="24"/>
    </w:rPr>
  </w:style>
  <w:style w:type="paragraph" w:styleId="1054">
    <w:name w:val="标题 7"/>
    <w:basedOn w:val="1047"/>
    <w:next w:val="1047"/>
    <w:link w:val="1066"/>
    <w:qFormat/>
    <w:pPr>
      <w:keepLines/>
      <w:keepNext/>
      <w:spacing w:before="240" w:after="64" w:line="320" w:lineRule="auto"/>
      <w:outlineLvl w:val="6"/>
    </w:pPr>
    <w:rPr>
      <w:rFonts w:eastAsia="宋体"/>
      <w:b/>
      <w:bCs/>
      <w:sz w:val="24"/>
      <w:szCs w:val="24"/>
    </w:rPr>
  </w:style>
  <w:style w:type="paragraph" w:styleId="1055">
    <w:name w:val="标题 8"/>
    <w:basedOn w:val="1047"/>
    <w:next w:val="1047"/>
    <w:link w:val="1067"/>
    <w:qFormat/>
    <w:pPr>
      <w:keepLines/>
      <w:keepNext/>
      <w:spacing w:before="240" w:after="64" w:line="320" w:lineRule="auto"/>
      <w:outlineLvl w:val="7"/>
    </w:pPr>
    <w:rPr>
      <w:rFonts w:ascii="Arial" w:hAnsi="Arial" w:eastAsia="黑体"/>
      <w:sz w:val="24"/>
      <w:szCs w:val="24"/>
    </w:rPr>
  </w:style>
  <w:style w:type="paragraph" w:styleId="1056">
    <w:name w:val="标题 9"/>
    <w:basedOn w:val="1047"/>
    <w:next w:val="1047"/>
    <w:link w:val="1068"/>
    <w:qFormat/>
    <w:pPr>
      <w:keepLines/>
      <w:keepNext/>
      <w:spacing w:before="240" w:after="64" w:line="320" w:lineRule="auto"/>
      <w:outlineLvl w:val="8"/>
    </w:pPr>
    <w:rPr>
      <w:rFonts w:ascii="Arial" w:hAnsi="Arial" w:eastAsia="黑体"/>
      <w:szCs w:val="21"/>
    </w:rPr>
  </w:style>
  <w:style w:type="character" w:styleId="1057">
    <w:name w:val="默认段落字体"/>
    <w:next w:val="1057"/>
    <w:link w:val="1047"/>
    <w:rPr>
      <w:rFonts w:ascii="Times New Roman" w:hAnsi="Times New Roman" w:eastAsia="宋体" w:cs="Times New Roman"/>
    </w:rPr>
  </w:style>
  <w:style w:type="table" w:styleId="1058">
    <w:name w:val="普通表格"/>
    <w:next w:val="1058"/>
    <w:link w:val="1047"/>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59">
    <w:name w:val="标题 1 字符"/>
    <w:next w:val="1059"/>
    <w:link w:val="1048"/>
    <w:rPr>
      <w:rFonts w:ascii="黑体" w:hAnsi="Times New Roman" w:eastAsia="微软雅黑" w:cs="Times New Roman"/>
      <w:b/>
      <w:sz w:val="32"/>
      <w:szCs w:val="28"/>
    </w:rPr>
  </w:style>
  <w:style w:type="character" w:styleId="1060">
    <w:name w:val="标题 2 字符"/>
    <w:next w:val="1060"/>
    <w:link w:val="1049"/>
    <w:rPr>
      <w:rFonts w:ascii="宋体" w:hAnsi="宋体" w:eastAsia="微软雅黑" w:cs="Times New Roman"/>
      <w:b/>
      <w:sz w:val="28"/>
      <w:szCs w:val="24"/>
    </w:rPr>
  </w:style>
  <w:style w:type="character" w:styleId="1061">
    <w:name w:val="标题 3 字符"/>
    <w:next w:val="1061"/>
    <w:link w:val="1050"/>
    <w:rPr>
      <w:rFonts w:ascii="宋体" w:hAnsi="宋体" w:eastAsia="微软雅黑" w:cs="Times New Roman"/>
      <w:b/>
      <w:sz w:val="24"/>
      <w:szCs w:val="21"/>
      <w:shd w:val="clear" w:color="auto" w:fill="ffffff"/>
    </w:rPr>
  </w:style>
  <w:style w:type="character" w:styleId="1062">
    <w:name w:val="标题 4 字符"/>
    <w:next w:val="1062"/>
    <w:link w:val="1051"/>
    <w:rPr>
      <w:rFonts w:ascii="Arial" w:hAnsi="Arial" w:eastAsia="黑体" w:cs="Times New Roman"/>
      <w:b/>
      <w:sz w:val="28"/>
      <w:lang w:val="en-US" w:eastAsia="zh-CN" w:bidi="ar-SA"/>
    </w:rPr>
  </w:style>
  <w:style w:type="character" w:styleId="1063">
    <w:name w:val="标题 5 字符"/>
    <w:next w:val="1063"/>
    <w:link w:val="1052"/>
    <w:rPr>
      <w:rFonts w:ascii="黑体" w:hAnsi="Times New Roman" w:eastAsia="黑体" w:cs="Times New Roman"/>
      <w:b/>
      <w:color w:val="000000"/>
      <w:sz w:val="28"/>
      <w:lang w:val="en-US" w:eastAsia="zh-CN" w:bidi="ar-SA"/>
    </w:rPr>
  </w:style>
  <w:style w:type="paragraph" w:styleId="1064">
    <w:name w:val="正文缩进"/>
    <w:basedOn w:val="1047"/>
    <w:next w:val="1064"/>
    <w:link w:val="1047"/>
    <w:pPr>
      <w:ind w:firstLine="420"/>
    </w:pPr>
    <w:rPr>
      <w:rFonts w:ascii="Times New Roman" w:hAnsi="Times New Roman" w:eastAsia="宋体" w:cs="Times New Roman"/>
    </w:rPr>
  </w:style>
  <w:style w:type="character" w:styleId="1065">
    <w:name w:val="标题 6 字符"/>
    <w:next w:val="1065"/>
    <w:link w:val="1053"/>
    <w:rPr>
      <w:rFonts w:ascii="Arial" w:hAnsi="Arial" w:eastAsia="黑体" w:cs="Times New Roman"/>
      <w:b/>
      <w:bCs/>
      <w:sz w:val="24"/>
      <w:szCs w:val="24"/>
      <w:lang w:val="en-US" w:eastAsia="zh-CN" w:bidi="ar-SA"/>
    </w:rPr>
  </w:style>
  <w:style w:type="character" w:styleId="1066">
    <w:name w:val="标题 7 字符"/>
    <w:next w:val="1066"/>
    <w:link w:val="1054"/>
    <w:rPr>
      <w:rFonts w:ascii="Times New Roman" w:hAnsi="Times New Roman" w:eastAsia="宋体" w:cs="Times New Roman"/>
      <w:b/>
      <w:bCs/>
      <w:sz w:val="24"/>
      <w:szCs w:val="24"/>
      <w:lang w:val="en-US" w:eastAsia="zh-CN" w:bidi="ar-SA"/>
    </w:rPr>
  </w:style>
  <w:style w:type="character" w:styleId="1067">
    <w:name w:val="标题 8 字符"/>
    <w:next w:val="1067"/>
    <w:link w:val="1055"/>
    <w:rPr>
      <w:rFonts w:ascii="Arial" w:hAnsi="Arial" w:eastAsia="黑体" w:cs="Times New Roman"/>
      <w:sz w:val="24"/>
      <w:szCs w:val="24"/>
      <w:lang w:val="en-US" w:eastAsia="zh-CN" w:bidi="ar-SA"/>
    </w:rPr>
  </w:style>
  <w:style w:type="character" w:styleId="1068">
    <w:name w:val="标题 9 字符"/>
    <w:next w:val="1068"/>
    <w:link w:val="1056"/>
    <w:rPr>
      <w:rFonts w:ascii="Arial" w:hAnsi="Arial" w:eastAsia="黑体" w:cs="Times New Roman"/>
      <w:sz w:val="21"/>
      <w:szCs w:val="21"/>
      <w:lang w:val="en-US" w:eastAsia="zh-CN" w:bidi="ar-SA"/>
    </w:rPr>
  </w:style>
  <w:style w:type="paragraph" w:styleId="1069">
    <w:name w:val="列表 3"/>
    <w:basedOn w:val="1047"/>
    <w:next w:val="1069"/>
    <w:link w:val="1047"/>
    <w:pPr>
      <w:ind w:left="1260" w:hanging="420"/>
    </w:pPr>
    <w:rPr>
      <w:rFonts w:ascii="Times New Roman" w:hAnsi="Times New Roman" w:eastAsia="宋体" w:cs="Times New Roman"/>
    </w:rPr>
  </w:style>
  <w:style w:type="paragraph" w:styleId="1070">
    <w:name w:val="目录 7"/>
    <w:basedOn w:val="1047"/>
    <w:next w:val="1047"/>
    <w:link w:val="1047"/>
    <w:pPr>
      <w:ind w:left="1680"/>
      <w:jc w:val="left"/>
      <w:spacing w:before="0" w:after="0"/>
    </w:pPr>
    <w:rPr>
      <w:rFonts w:ascii="Calibri" w:hAnsi="Calibri" w:eastAsia="宋体" w:cs="Times New Roman"/>
      <w:sz w:val="18"/>
      <w:szCs w:val="18"/>
    </w:rPr>
  </w:style>
  <w:style w:type="paragraph" w:styleId="1071">
    <w:name w:val="列表编号 2"/>
    <w:basedOn w:val="1047"/>
    <w:next w:val="1071"/>
    <w:link w:val="1047"/>
    <w:pPr>
      <w:ind w:left="1440" w:hanging="1440"/>
      <w:spacing w:line="360" w:lineRule="auto"/>
      <w:tabs>
        <w:tab w:val="left" w:pos="1440" w:leader="none"/>
      </w:tabs>
    </w:pPr>
    <w:rPr>
      <w:rFonts w:ascii="Times New Roman" w:hAnsi="Times New Roman" w:eastAsia="宋体" w:cs="Times New Roman"/>
      <w:sz w:val="24"/>
      <w:szCs w:val="24"/>
    </w:rPr>
  </w:style>
  <w:style w:type="paragraph" w:styleId="1072">
    <w:name w:val="索引 8"/>
    <w:basedOn w:val="1047"/>
    <w:next w:val="1047"/>
    <w:link w:val="1047"/>
    <w:pPr>
      <w:ind w:left="2940"/>
    </w:pPr>
    <w:rPr>
      <w:rFonts w:ascii="Times New Roman" w:hAnsi="Times New Roman" w:eastAsia="宋体" w:cs="Times New Roman"/>
    </w:rPr>
  </w:style>
  <w:style w:type="paragraph" w:styleId="1073">
    <w:name w:val="列表编号"/>
    <w:basedOn w:val="1047"/>
    <w:next w:val="1073"/>
    <w:link w:val="1047"/>
    <w:pPr>
      <w:ind w:left="2952" w:hanging="432"/>
      <w:tabs>
        <w:tab w:val="left" w:pos="2952" w:leader="none"/>
      </w:tabs>
    </w:pPr>
    <w:rPr>
      <w:rFonts w:ascii="Times New Roman" w:hAnsi="Times New Roman" w:eastAsia="宋体" w:cs="Times New Roman"/>
      <w:szCs w:val="24"/>
    </w:rPr>
  </w:style>
  <w:style w:type="paragraph" w:styleId="1074">
    <w:name w:val="索引 5"/>
    <w:basedOn w:val="1047"/>
    <w:next w:val="1047"/>
    <w:link w:val="1047"/>
    <w:pPr>
      <w:ind w:left="1680"/>
    </w:pPr>
    <w:rPr>
      <w:rFonts w:ascii="Times New Roman" w:hAnsi="Times New Roman" w:eastAsia="宋体" w:cs="Times New Roman"/>
    </w:rPr>
  </w:style>
  <w:style w:type="paragraph" w:styleId="1075">
    <w:name w:val="文档结构图"/>
    <w:basedOn w:val="1047"/>
    <w:next w:val="1075"/>
    <w:link w:val="1076"/>
    <w:pPr>
      <w:shd w:val="clear" w:color="auto" w:fill="000080"/>
    </w:pPr>
    <w:rPr>
      <w:rFonts w:eastAsia="宋体"/>
    </w:rPr>
  </w:style>
  <w:style w:type="character" w:styleId="1076">
    <w:name w:val="文档结构图 字符"/>
    <w:next w:val="1076"/>
    <w:link w:val="1075"/>
    <w:rPr>
      <w:rFonts w:ascii="Times New Roman" w:hAnsi="Times New Roman" w:eastAsia="宋体" w:cs="Times New Roman"/>
      <w:sz w:val="21"/>
      <w:lang w:val="en-US" w:eastAsia="zh-CN" w:bidi="ar-SA"/>
    </w:rPr>
  </w:style>
  <w:style w:type="paragraph" w:styleId="1077">
    <w:name w:val="引文目录标题"/>
    <w:basedOn w:val="1047"/>
    <w:next w:val="1047"/>
    <w:link w:val="1047"/>
    <w:uiPriority w:val="99"/>
    <w:qFormat/>
    <w:pPr>
      <w:spacing w:before="120"/>
    </w:pPr>
    <w:rPr>
      <w:rFonts w:ascii="Cambria" w:hAnsi="Cambria"/>
      <w:sz w:val="24"/>
    </w:rPr>
  </w:style>
  <w:style w:type="paragraph" w:styleId="1078">
    <w:name w:val="批注文字"/>
    <w:basedOn w:val="1047"/>
    <w:next w:val="1078"/>
    <w:link w:val="1079"/>
    <w:uiPriority w:val="99"/>
    <w:qFormat/>
    <w:pPr>
      <w:jc w:val="left"/>
    </w:pPr>
    <w:rPr>
      <w:rFonts w:hint="eastAsia" w:ascii="微软雅黑" w:hAnsi="微软雅黑"/>
    </w:rPr>
  </w:style>
  <w:style w:type="character" w:styleId="1079">
    <w:name w:val="批注文字 字符"/>
    <w:next w:val="1079"/>
    <w:link w:val="1078"/>
    <w:rPr>
      <w:rFonts w:hint="eastAsia" w:ascii="微软雅黑" w:hAnsi="微软雅黑" w:eastAsia="微软雅黑" w:cs="微软雅黑"/>
      <w:sz w:val="21"/>
    </w:rPr>
  </w:style>
  <w:style w:type="paragraph" w:styleId="1080">
    <w:name w:val="索引 6"/>
    <w:basedOn w:val="1047"/>
    <w:next w:val="1047"/>
    <w:link w:val="1047"/>
    <w:pPr>
      <w:ind w:left="2100"/>
    </w:pPr>
    <w:rPr>
      <w:rFonts w:ascii="Times New Roman" w:hAnsi="Times New Roman" w:eastAsia="宋体" w:cs="Times New Roman"/>
    </w:rPr>
  </w:style>
  <w:style w:type="paragraph" w:styleId="1081">
    <w:name w:val="称呼"/>
    <w:basedOn w:val="1047"/>
    <w:next w:val="1047"/>
    <w:link w:val="1047"/>
    <w:rPr>
      <w:rFonts w:ascii="仿宋_GB2312" w:hAnsi="Times New Roman" w:eastAsia="仿宋_GB2312" w:cs="Times New Roman"/>
      <w:sz w:val="28"/>
    </w:rPr>
  </w:style>
  <w:style w:type="paragraph" w:styleId="1082">
    <w:name w:val="正文文本 3"/>
    <w:basedOn w:val="1047"/>
    <w:next w:val="1082"/>
    <w:link w:val="1047"/>
    <w:rPr>
      <w:rFonts w:ascii="仿宋_GB2312" w:hAnsi="Arial" w:eastAsia="仿宋_GB2312" w:cs="Times New Roman"/>
      <w:sz w:val="32"/>
    </w:rPr>
  </w:style>
  <w:style w:type="paragraph" w:styleId="1083">
    <w:name w:val="正文文本"/>
    <w:basedOn w:val="1047"/>
    <w:next w:val="1083"/>
    <w:link w:val="1047"/>
    <w:rPr>
      <w:rFonts w:ascii="楷体_GB2312" w:hAnsi="Arial" w:eastAsia="楷体_GB2312" w:cs="Times New Roman"/>
      <w:sz w:val="28"/>
    </w:rPr>
  </w:style>
  <w:style w:type="paragraph" w:styleId="1084">
    <w:name w:val="正文文本缩进"/>
    <w:basedOn w:val="1047"/>
    <w:next w:val="1084"/>
    <w:link w:val="1085"/>
    <w:pPr>
      <w:ind w:firstLine="645"/>
    </w:pPr>
    <w:rPr>
      <w:rFonts w:ascii="楷体_GB2312" w:eastAsia="楷体_GB2312"/>
      <w:sz w:val="32"/>
    </w:rPr>
  </w:style>
  <w:style w:type="character" w:styleId="1085">
    <w:name w:val="正文文本缩进 字符"/>
    <w:next w:val="1085"/>
    <w:link w:val="1084"/>
    <w:rPr>
      <w:rFonts w:ascii="楷体_GB2312" w:hAnsi="Times New Roman" w:eastAsia="楷体_GB2312" w:cs="Times New Roman"/>
      <w:sz w:val="32"/>
      <w:lang w:val="en-US" w:eastAsia="zh-CN" w:bidi="ar-SA"/>
    </w:rPr>
  </w:style>
  <w:style w:type="paragraph" w:styleId="1086">
    <w:name w:val="文本块"/>
    <w:basedOn w:val="1047"/>
    <w:next w:val="1086"/>
    <w:link w:val="1047"/>
    <w:pPr>
      <w:ind w:left="1440" w:right="1440"/>
      <w:spacing w:after="120"/>
    </w:pPr>
    <w:rPr>
      <w:rFonts w:ascii="Times New Roman" w:hAnsi="Times New Roman" w:eastAsia="宋体" w:cs="Times New Roman"/>
    </w:rPr>
  </w:style>
  <w:style w:type="paragraph" w:styleId="1087">
    <w:name w:val="索引 4"/>
    <w:basedOn w:val="1047"/>
    <w:next w:val="1047"/>
    <w:link w:val="1047"/>
    <w:pPr>
      <w:ind w:left="1260"/>
    </w:pPr>
    <w:rPr>
      <w:rFonts w:ascii="Times New Roman" w:hAnsi="Times New Roman" w:eastAsia="宋体" w:cs="Times New Roman"/>
    </w:rPr>
  </w:style>
  <w:style w:type="paragraph" w:styleId="1088">
    <w:name w:val="目录 5"/>
    <w:basedOn w:val="1047"/>
    <w:next w:val="1047"/>
    <w:link w:val="1047"/>
    <w:pPr>
      <w:ind w:left="1120"/>
      <w:jc w:val="left"/>
      <w:spacing w:before="0" w:after="0"/>
    </w:pPr>
    <w:rPr>
      <w:rFonts w:ascii="Calibri" w:hAnsi="Calibri" w:eastAsia="宋体" w:cs="Times New Roman"/>
      <w:sz w:val="18"/>
      <w:szCs w:val="18"/>
    </w:rPr>
  </w:style>
  <w:style w:type="paragraph" w:styleId="1089">
    <w:name w:val="目录 3"/>
    <w:basedOn w:val="1047"/>
    <w:next w:val="1047"/>
    <w:link w:val="1047"/>
    <w:pPr>
      <w:ind w:left="560"/>
      <w:jc w:val="left"/>
      <w:spacing w:before="0" w:after="0"/>
    </w:pPr>
    <w:rPr>
      <w:rFonts w:ascii="Calibri" w:hAnsi="Calibri" w:eastAsia="宋体" w:cs="Times New Roman"/>
      <w:i/>
      <w:iCs/>
      <w:sz w:val="20"/>
    </w:rPr>
  </w:style>
  <w:style w:type="paragraph" w:styleId="1090">
    <w:name w:val="纯文本"/>
    <w:basedOn w:val="1047"/>
    <w:next w:val="1090"/>
    <w:link w:val="1091"/>
    <w:rPr>
      <w:rFonts w:ascii="宋体" w:hAnsi="Courier New" w:eastAsia="宋体"/>
    </w:rPr>
  </w:style>
  <w:style w:type="character" w:styleId="1091">
    <w:name w:val="纯文本 字符"/>
    <w:next w:val="1091"/>
    <w:link w:val="1090"/>
    <w:rPr>
      <w:rFonts w:ascii="宋体" w:hAnsi="Courier New" w:eastAsia="宋体" w:cs="Times New Roman"/>
      <w:sz w:val="21"/>
      <w:lang w:val="en-US" w:eastAsia="zh-CN" w:bidi="ar-SA"/>
    </w:rPr>
  </w:style>
  <w:style w:type="paragraph" w:styleId="1092">
    <w:name w:val="目录 8"/>
    <w:basedOn w:val="1047"/>
    <w:next w:val="1047"/>
    <w:link w:val="1047"/>
    <w:pPr>
      <w:ind w:left="1960"/>
      <w:jc w:val="left"/>
      <w:spacing w:before="0" w:after="0"/>
    </w:pPr>
    <w:rPr>
      <w:rFonts w:ascii="Calibri" w:hAnsi="Calibri" w:eastAsia="宋体" w:cs="Times New Roman"/>
      <w:sz w:val="18"/>
      <w:szCs w:val="18"/>
    </w:rPr>
  </w:style>
  <w:style w:type="paragraph" w:styleId="1093">
    <w:name w:val="索引 3"/>
    <w:basedOn w:val="1047"/>
    <w:next w:val="1047"/>
    <w:link w:val="1047"/>
    <w:pPr>
      <w:ind w:left="840"/>
    </w:pPr>
    <w:rPr>
      <w:rFonts w:ascii="Times New Roman" w:hAnsi="Times New Roman" w:eastAsia="宋体" w:cs="Times New Roman"/>
    </w:rPr>
  </w:style>
  <w:style w:type="paragraph" w:styleId="1094">
    <w:name w:val="日期"/>
    <w:basedOn w:val="1047"/>
    <w:next w:val="1047"/>
    <w:link w:val="1047"/>
    <w:pPr>
      <w:ind w:left="100"/>
    </w:pPr>
    <w:rPr>
      <w:rFonts w:ascii="Times New Roman" w:hAnsi="Times New Roman" w:eastAsia="宋体" w:cs="Times New Roman"/>
      <w:sz w:val="28"/>
    </w:rPr>
  </w:style>
  <w:style w:type="paragraph" w:styleId="1095">
    <w:name w:val="正文文本缩进 2"/>
    <w:basedOn w:val="1047"/>
    <w:next w:val="1095"/>
    <w:link w:val="1096"/>
    <w:pPr>
      <w:ind w:left="630" w:firstLine="645"/>
    </w:pPr>
    <w:rPr>
      <w:rFonts w:ascii="Arial" w:hAnsi="Arial" w:eastAsia="仿宋_GB2312"/>
      <w:sz w:val="32"/>
    </w:rPr>
  </w:style>
  <w:style w:type="character" w:styleId="1096">
    <w:name w:val="正文文本缩进 2 字符"/>
    <w:next w:val="1096"/>
    <w:link w:val="1095"/>
    <w:rPr>
      <w:rFonts w:ascii="Arial" w:hAnsi="Arial" w:eastAsia="仿宋_GB2312" w:cs="Times New Roman"/>
      <w:sz w:val="32"/>
      <w:lang w:val="en-US" w:eastAsia="zh-CN" w:bidi="ar-SA"/>
    </w:rPr>
  </w:style>
  <w:style w:type="paragraph" w:styleId="1097">
    <w:name w:val="尾注文本"/>
    <w:basedOn w:val="1047"/>
    <w:next w:val="1097"/>
    <w:link w:val="1047"/>
    <w:pPr>
      <w:jc w:val="left"/>
    </w:pPr>
    <w:rPr>
      <w:rFonts w:ascii="Times New Roman" w:hAnsi="Times New Roman" w:eastAsia="宋体" w:cs="Times New Roman"/>
      <w:sz w:val="20"/>
      <w:szCs w:val="24"/>
    </w:rPr>
  </w:style>
  <w:style w:type="paragraph" w:styleId="1098">
    <w:name w:val="批注框文本"/>
    <w:basedOn w:val="1047"/>
    <w:next w:val="1098"/>
    <w:link w:val="1047"/>
    <w:rPr>
      <w:rFonts w:ascii="Times New Roman" w:hAnsi="Times New Roman" w:eastAsia="宋体" w:cs="Times New Roman"/>
      <w:sz w:val="18"/>
      <w:szCs w:val="18"/>
    </w:rPr>
  </w:style>
  <w:style w:type="paragraph" w:styleId="1099">
    <w:name w:val="页脚"/>
    <w:basedOn w:val="1047"/>
    <w:next w:val="1099"/>
    <w:link w:val="1100"/>
    <w:pPr>
      <w:jc w:val="left"/>
      <w:tabs>
        <w:tab w:val="center" w:pos="4153" w:leader="none"/>
        <w:tab w:val="right" w:pos="8306" w:leader="none"/>
      </w:tabs>
    </w:pPr>
    <w:rPr>
      <w:rFonts w:eastAsia="宋体"/>
      <w:sz w:val="18"/>
    </w:rPr>
  </w:style>
  <w:style w:type="character" w:styleId="1100">
    <w:name w:val="页脚 字符"/>
    <w:next w:val="1100"/>
    <w:link w:val="1099"/>
    <w:rPr>
      <w:rFonts w:ascii="Times New Roman" w:hAnsi="Times New Roman" w:eastAsia="宋体" w:cs="Times New Roman"/>
      <w:sz w:val="18"/>
    </w:rPr>
  </w:style>
  <w:style w:type="paragraph" w:styleId="1101">
    <w:name w:val="寄信人地址"/>
    <w:basedOn w:val="1047"/>
    <w:next w:val="1101"/>
    <w:link w:val="1047"/>
    <w:rPr>
      <w:rFonts w:ascii="Arial" w:hAnsi="Arial" w:eastAsia="宋体" w:cs="Times New Roman"/>
    </w:rPr>
  </w:style>
  <w:style w:type="paragraph" w:styleId="1102">
    <w:name w:val="页眉"/>
    <w:basedOn w:val="1047"/>
    <w:next w:val="1102"/>
    <w:link w:val="104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03">
    <w:name w:val="签名"/>
    <w:basedOn w:val="1047"/>
    <w:next w:val="1103"/>
    <w:link w:val="1047"/>
    <w:pPr>
      <w:jc w:val="center"/>
      <w:spacing w:after="600" w:line="312" w:lineRule="atLeast"/>
    </w:pPr>
    <w:rPr>
      <w:rFonts w:ascii="Times New Roman" w:hAnsi="Times New Roman" w:eastAsia="仿宋_GB2312" w:cs="Times New Roman"/>
      <w:sz w:val="24"/>
    </w:rPr>
  </w:style>
  <w:style w:type="paragraph" w:styleId="1104">
    <w:name w:val="目录 1"/>
    <w:basedOn w:val="1047"/>
    <w:next w:val="1047"/>
    <w:link w:val="1047"/>
    <w:pPr>
      <w:jc w:val="left"/>
    </w:pPr>
    <w:rPr>
      <w:rFonts w:ascii="Calibri" w:hAnsi="Calibri" w:eastAsia="宋体" w:cs="Times New Roman"/>
      <w:b/>
      <w:bCs/>
      <w:caps/>
      <w:sz w:val="20"/>
    </w:rPr>
  </w:style>
  <w:style w:type="paragraph" w:styleId="1105">
    <w:name w:val="目录 4"/>
    <w:basedOn w:val="1047"/>
    <w:next w:val="1047"/>
    <w:link w:val="1047"/>
    <w:pPr>
      <w:ind w:left="840"/>
      <w:jc w:val="left"/>
      <w:spacing w:before="0" w:after="0"/>
    </w:pPr>
    <w:rPr>
      <w:rFonts w:ascii="Calibri" w:hAnsi="Calibri" w:eastAsia="宋体" w:cs="Times New Roman"/>
      <w:sz w:val="18"/>
      <w:szCs w:val="18"/>
    </w:rPr>
  </w:style>
  <w:style w:type="paragraph" w:styleId="1106">
    <w:name w:val="索引标题"/>
    <w:basedOn w:val="1047"/>
    <w:next w:val="1107"/>
    <w:link w:val="1047"/>
    <w:rPr>
      <w:rFonts w:ascii="Times New Roman" w:hAnsi="Times New Roman" w:eastAsia="宋体" w:cs="Times New Roman"/>
    </w:rPr>
  </w:style>
  <w:style w:type="paragraph" w:styleId="1107">
    <w:name w:val="索引 1"/>
    <w:basedOn w:val="1047"/>
    <w:next w:val="1047"/>
    <w:link w:val="1047"/>
    <w:rPr>
      <w:rFonts w:ascii="仿宋_GB2312" w:hAnsi="宋体" w:eastAsia="仿宋_GB2312" w:cs="Times New Roman"/>
      <w:sz w:val="30"/>
      <w:szCs w:val="24"/>
    </w:rPr>
  </w:style>
  <w:style w:type="paragraph" w:styleId="1108">
    <w:name w:val="副标题"/>
    <w:basedOn w:val="1047"/>
    <w:next w:val="1047"/>
    <w:link w:val="1047"/>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9">
    <w:name w:val="脚注文本"/>
    <w:basedOn w:val="1047"/>
    <w:next w:val="1109"/>
    <w:link w:val="1047"/>
    <w:pPr>
      <w:jc w:val="left"/>
    </w:pPr>
    <w:rPr>
      <w:rFonts w:ascii="Times New Roman" w:hAnsi="Times New Roman" w:eastAsia="宋体" w:cs="Times New Roman"/>
      <w:sz w:val="18"/>
      <w:szCs w:val="18"/>
    </w:rPr>
  </w:style>
  <w:style w:type="paragraph" w:styleId="1110">
    <w:name w:val="目录 6"/>
    <w:basedOn w:val="1047"/>
    <w:next w:val="1047"/>
    <w:link w:val="1047"/>
    <w:pPr>
      <w:ind w:left="1400"/>
      <w:jc w:val="left"/>
      <w:spacing w:before="0" w:after="0"/>
    </w:pPr>
    <w:rPr>
      <w:rFonts w:ascii="Calibri" w:hAnsi="Calibri" w:eastAsia="宋体" w:cs="Times New Roman"/>
      <w:sz w:val="18"/>
      <w:szCs w:val="18"/>
    </w:rPr>
  </w:style>
  <w:style w:type="paragraph" w:styleId="1111">
    <w:name w:val="正文文本缩进 3"/>
    <w:basedOn w:val="1047"/>
    <w:next w:val="1111"/>
    <w:link w:val="1112"/>
    <w:pPr>
      <w:ind w:left="645" w:firstLine="645"/>
    </w:pPr>
    <w:rPr>
      <w:rFonts w:ascii="Arial" w:hAnsi="Arial" w:eastAsia="仿宋_GB2312"/>
      <w:color w:val="ffff00"/>
      <w:sz w:val="32"/>
    </w:rPr>
  </w:style>
  <w:style w:type="character" w:styleId="1112">
    <w:name w:val="正文文本缩进 3 字符"/>
    <w:next w:val="1112"/>
    <w:link w:val="1111"/>
    <w:rPr>
      <w:rFonts w:ascii="Arial" w:hAnsi="Arial" w:eastAsia="仿宋_GB2312" w:cs="Times New Roman"/>
      <w:color w:val="ffff00"/>
      <w:sz w:val="32"/>
      <w:lang w:val="en-US" w:eastAsia="zh-CN" w:bidi="ar-SA"/>
    </w:rPr>
  </w:style>
  <w:style w:type="paragraph" w:styleId="1113">
    <w:name w:val="索引 7"/>
    <w:basedOn w:val="1047"/>
    <w:next w:val="1047"/>
    <w:link w:val="1047"/>
    <w:pPr>
      <w:ind w:left="2520"/>
    </w:pPr>
    <w:rPr>
      <w:rFonts w:ascii="Times New Roman" w:hAnsi="Times New Roman" w:eastAsia="宋体" w:cs="Times New Roman"/>
    </w:rPr>
  </w:style>
  <w:style w:type="paragraph" w:styleId="1114">
    <w:name w:val="索引 9"/>
    <w:basedOn w:val="1047"/>
    <w:next w:val="1047"/>
    <w:link w:val="1047"/>
    <w:pPr>
      <w:ind w:left="3360"/>
    </w:pPr>
    <w:rPr>
      <w:rFonts w:ascii="Times New Roman" w:hAnsi="Times New Roman" w:eastAsia="宋体" w:cs="Times New Roman"/>
    </w:rPr>
  </w:style>
  <w:style w:type="paragraph" w:styleId="1115">
    <w:name w:val="图表目录"/>
    <w:basedOn w:val="1047"/>
    <w:next w:val="1047"/>
    <w:link w:val="1047"/>
    <w:pPr>
      <w:ind w:left="840" w:hanging="420"/>
    </w:pPr>
    <w:rPr>
      <w:rFonts w:ascii="Times New Roman" w:hAnsi="Times New Roman" w:eastAsia="宋体" w:cs="Times New Roman"/>
    </w:rPr>
  </w:style>
  <w:style w:type="paragraph" w:styleId="1116">
    <w:name w:val="目录 2"/>
    <w:basedOn w:val="1047"/>
    <w:next w:val="1047"/>
    <w:link w:val="1047"/>
    <w:pPr>
      <w:ind w:left="280"/>
      <w:jc w:val="left"/>
      <w:spacing w:before="0" w:after="0"/>
    </w:pPr>
    <w:rPr>
      <w:rFonts w:ascii="Calibri" w:hAnsi="Calibri" w:eastAsia="宋体" w:cs="Times New Roman"/>
      <w:smallCaps/>
      <w:sz w:val="20"/>
    </w:rPr>
  </w:style>
  <w:style w:type="paragraph" w:styleId="1117">
    <w:name w:val="目录 9"/>
    <w:basedOn w:val="1047"/>
    <w:next w:val="1047"/>
    <w:link w:val="1047"/>
    <w:pPr>
      <w:ind w:left="2240"/>
      <w:jc w:val="left"/>
      <w:spacing w:before="0" w:after="0"/>
    </w:pPr>
    <w:rPr>
      <w:rFonts w:ascii="Calibri" w:hAnsi="Calibri" w:eastAsia="宋体" w:cs="Times New Roman"/>
      <w:sz w:val="18"/>
      <w:szCs w:val="18"/>
    </w:rPr>
  </w:style>
  <w:style w:type="paragraph" w:styleId="1118">
    <w:name w:val="正文文本 2"/>
    <w:basedOn w:val="1047"/>
    <w:next w:val="1118"/>
    <w:link w:val="1047"/>
    <w:pPr>
      <w:jc w:val="center"/>
      <w:widowControl/>
    </w:pPr>
    <w:rPr>
      <w:rFonts w:ascii="楷体_GB2312" w:hAnsi="Times New Roman" w:eastAsia="楷体_GB2312" w:cs="Times New Roman"/>
      <w:sz w:val="28"/>
    </w:rPr>
  </w:style>
  <w:style w:type="paragraph" w:styleId="1119">
    <w:name w:val="HTML 预设格式"/>
    <w:basedOn w:val="1047"/>
    <w:next w:val="1119"/>
    <w:link w:val="112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0">
    <w:name w:val="HTML 预设格式 字符"/>
    <w:next w:val="1120"/>
    <w:link w:val="1119"/>
    <w:rPr>
      <w:rFonts w:ascii="黑体" w:hAnsi="Courier New" w:eastAsia="黑体" w:cs="Courier New"/>
      <w:lang w:val="en-US" w:eastAsia="zh-CN" w:bidi="ar-SA"/>
    </w:rPr>
  </w:style>
  <w:style w:type="paragraph" w:styleId="1121">
    <w:name w:val="普通(网站)"/>
    <w:basedOn w:val="1047"/>
    <w:next w:val="1121"/>
    <w:link w:val="1047"/>
    <w:pPr>
      <w:jc w:val="left"/>
      <w:spacing w:before="100" w:beforeAutospacing="1" w:after="100" w:afterAutospacing="1"/>
      <w:widowControl/>
    </w:pPr>
    <w:rPr>
      <w:rFonts w:ascii="Arial" w:hAnsi="Arial" w:eastAsia="Arial Unicode MS" w:cs="Arial"/>
      <w:sz w:val="24"/>
      <w:szCs w:val="24"/>
    </w:rPr>
  </w:style>
  <w:style w:type="paragraph" w:styleId="1122">
    <w:name w:val="索引 2"/>
    <w:basedOn w:val="1047"/>
    <w:next w:val="1047"/>
    <w:link w:val="1047"/>
    <w:pPr>
      <w:ind w:left="420"/>
    </w:pPr>
    <w:rPr>
      <w:rFonts w:ascii="Times New Roman" w:hAnsi="Times New Roman" w:eastAsia="宋体" w:cs="Times New Roman"/>
    </w:rPr>
  </w:style>
  <w:style w:type="paragraph" w:styleId="1123">
    <w:name w:val="标题"/>
    <w:basedOn w:val="1047"/>
    <w:next w:val="1123"/>
    <w:link w:val="1124"/>
    <w:qFormat/>
    <w:pPr>
      <w:jc w:val="center"/>
      <w:spacing w:line="480" w:lineRule="auto"/>
      <w:widowControl/>
    </w:pPr>
    <w:rPr>
      <w:rFonts w:ascii="微软雅黑" w:hAnsi="微软雅黑"/>
      <w:sz w:val="36"/>
      <w:szCs w:val="24"/>
      <w:lang w:val="zh-CN"/>
    </w:rPr>
  </w:style>
  <w:style w:type="character" w:styleId="1124">
    <w:name w:val="标题 字符"/>
    <w:next w:val="1124"/>
    <w:link w:val="1123"/>
    <w:rPr>
      <w:rFonts w:ascii="微软雅黑" w:hAnsi="微软雅黑" w:eastAsia="微软雅黑" w:cs="Times New Roman"/>
      <w:sz w:val="36"/>
      <w:szCs w:val="24"/>
      <w:lang w:val="zh-CN"/>
    </w:rPr>
  </w:style>
  <w:style w:type="paragraph" w:styleId="1125">
    <w:name w:val="批注主题"/>
    <w:basedOn w:val="1078"/>
    <w:next w:val="1078"/>
    <w:link w:val="1126"/>
    <w:rPr>
      <w:rFonts w:ascii="Times New Roman" w:hAnsi="Times New Roman" w:eastAsia="宋体"/>
      <w:b/>
      <w:bCs/>
    </w:rPr>
  </w:style>
  <w:style w:type="character" w:styleId="1126">
    <w:name w:val="批注主题 字符"/>
    <w:next w:val="1126"/>
    <w:link w:val="1125"/>
    <w:rPr>
      <w:rFonts w:ascii="Times New Roman" w:hAnsi="Times New Roman" w:eastAsia="宋体" w:cs="Times New Roman"/>
      <w:b/>
      <w:bCs/>
      <w:sz w:val="21"/>
      <w:lang w:val="en-US" w:eastAsia="zh-CN" w:bidi="ar-SA"/>
    </w:rPr>
  </w:style>
  <w:style w:type="paragraph" w:styleId="1127">
    <w:name w:val="正文首行缩进"/>
    <w:basedOn w:val="1083"/>
    <w:next w:val="1128"/>
    <w:link w:val="1047"/>
    <w:pPr>
      <w:ind w:firstLine="420"/>
      <w:spacing w:after="120"/>
    </w:pPr>
    <w:rPr>
      <w:rFonts w:ascii="Times New Roman" w:hAnsi="Times New Roman" w:eastAsia="宋体" w:cs="Times New Roman"/>
      <w:sz w:val="21"/>
      <w:szCs w:val="24"/>
    </w:rPr>
  </w:style>
  <w:style w:type="paragraph" w:styleId="1128">
    <w:name w:val="正文首行缩进 2"/>
    <w:basedOn w:val="1084"/>
    <w:next w:val="1128"/>
    <w:link w:val="1047"/>
    <w:pPr>
      <w:ind w:left="420" w:firstLine="420"/>
      <w:spacing w:after="120" w:line="240" w:lineRule="auto"/>
    </w:pPr>
    <w:rPr>
      <w:rFonts w:ascii="Times New Roman" w:hAnsi="Times New Roman" w:eastAsia="宋体" w:cs="Times New Roman"/>
      <w:sz w:val="21"/>
    </w:rPr>
  </w:style>
  <w:style w:type="table" w:styleId="1129">
    <w:name w:val="网格型"/>
    <w:basedOn w:val="1058"/>
    <w:next w:val="1129"/>
    <w:link w:val="1047"/>
    <w:pPr>
      <w:jc w:val="both"/>
      <w:widowControl w:val="off"/>
    </w:pPr>
    <w:rPr>
      <w:rFonts w:ascii="Times New Roman" w:hAnsi="Times New Roman" w:eastAsia="宋体" w:cs="Times New Roman"/>
    </w:rPr>
    <w:tblPr/>
  </w:style>
  <w:style w:type="character" w:styleId="1130">
    <w:name w:val="要点"/>
    <w:next w:val="1130"/>
    <w:link w:val="1047"/>
    <w:qFormat/>
    <w:rPr>
      <w:rFonts w:ascii="Times New Roman" w:hAnsi="Times New Roman" w:eastAsia="宋体" w:cs="Times New Roman"/>
      <w:b/>
      <w:bCs/>
    </w:rPr>
  </w:style>
  <w:style w:type="character" w:styleId="1131">
    <w:name w:val="尾注引用"/>
    <w:next w:val="1131"/>
    <w:link w:val="1047"/>
    <w:rPr>
      <w:rFonts w:ascii="Times New Roman" w:hAnsi="Times New Roman" w:eastAsia="宋体" w:cs="Times New Roman"/>
      <w:b w:val="0"/>
      <w:bCs w:val="0"/>
      <w:i w:val="0"/>
      <w:iCs w:val="0"/>
      <w:vertAlign w:val="superscript"/>
    </w:rPr>
  </w:style>
  <w:style w:type="character" w:styleId="1132">
    <w:name w:val="页码"/>
    <w:next w:val="1132"/>
    <w:link w:val="1047"/>
    <w:rPr>
      <w:rFonts w:ascii="Times New Roman" w:hAnsi="Times New Roman" w:eastAsia="宋体" w:cs="Times New Roman"/>
    </w:rPr>
  </w:style>
  <w:style w:type="character" w:styleId="1133">
    <w:name w:val="已访问的超链接"/>
    <w:next w:val="1133"/>
    <w:link w:val="1047"/>
    <w:rPr>
      <w:rFonts w:ascii="Times New Roman" w:hAnsi="Times New Roman" w:eastAsia="宋体" w:cs="Times New Roman"/>
      <w:color w:val="0076be"/>
      <w:u w:val="none"/>
    </w:rPr>
  </w:style>
  <w:style w:type="character" w:styleId="1134">
    <w:name w:val="强调"/>
    <w:next w:val="1134"/>
    <w:link w:val="1047"/>
    <w:qFormat/>
    <w:rPr>
      <w:rFonts w:ascii="Times New Roman" w:hAnsi="Times New Roman" w:eastAsia="宋体" w:cs="Times New Roman"/>
      <w:b/>
      <w:bCs/>
      <w:i/>
      <w:iCs/>
      <w:spacing w:val="10"/>
      <w:shd w:val="clear" w:color="auto" w:fill="auto"/>
    </w:rPr>
  </w:style>
  <w:style w:type="character" w:styleId="1135">
    <w:name w:val="行号"/>
    <w:next w:val="1135"/>
    <w:link w:val="1047"/>
    <w:rPr>
      <w:rFonts w:ascii="Times New Roman" w:hAnsi="Times New Roman" w:eastAsia="宋体" w:cs="Times New Roman"/>
    </w:rPr>
  </w:style>
  <w:style w:type="character" w:styleId="1136">
    <w:name w:val="HTML 定义"/>
    <w:next w:val="1136"/>
    <w:link w:val="1047"/>
    <w:rPr>
      <w:rFonts w:ascii="Times New Roman" w:hAnsi="Times New Roman" w:eastAsia="宋体" w:cs="Times New Roman"/>
      <w:b w:val="0"/>
      <w:i w:val="0"/>
    </w:rPr>
  </w:style>
  <w:style w:type="character" w:styleId="1137">
    <w:name w:val="HTML 打字机"/>
    <w:next w:val="1137"/>
    <w:link w:val="1047"/>
    <w:rPr>
      <w:rFonts w:ascii="宋体" w:hAnsi="宋体" w:eastAsia="宋体" w:cs="宋体"/>
      <w:b w:val="0"/>
      <w:bCs w:val="0"/>
      <w:i w:val="0"/>
      <w:iCs w:val="0"/>
      <w:sz w:val="24"/>
      <w:szCs w:val="24"/>
    </w:rPr>
  </w:style>
  <w:style w:type="character" w:styleId="1138">
    <w:name w:val="HTML 缩写"/>
    <w:next w:val="1138"/>
    <w:link w:val="1047"/>
    <w:rPr>
      <w:rFonts w:ascii="Times New Roman" w:hAnsi="Times New Roman" w:eastAsia="宋体" w:cs="Times New Roman"/>
    </w:rPr>
  </w:style>
  <w:style w:type="character" w:styleId="1139">
    <w:name w:val="HTML 变量"/>
    <w:next w:val="1139"/>
    <w:link w:val="1047"/>
    <w:rPr>
      <w:rFonts w:ascii="Times New Roman" w:hAnsi="Times New Roman" w:eastAsia="宋体" w:cs="Times New Roman"/>
      <w:b w:val="0"/>
      <w:i w:val="0"/>
    </w:rPr>
  </w:style>
  <w:style w:type="character" w:styleId="1140">
    <w:name w:val="超链接"/>
    <w:next w:val="1140"/>
    <w:link w:val="1047"/>
    <w:rPr>
      <w:rFonts w:ascii="Times New Roman" w:hAnsi="Times New Roman" w:eastAsia="宋体" w:cs="Times New Roman"/>
      <w:color w:val="0076be"/>
      <w:u w:val="none"/>
    </w:rPr>
  </w:style>
  <w:style w:type="character" w:styleId="1141">
    <w:name w:val="HTML 代码"/>
    <w:next w:val="1141"/>
    <w:link w:val="1047"/>
    <w:rPr>
      <w:rFonts w:ascii="Courier New" w:hAnsi="Courier New" w:eastAsia="宋体" w:cs="Times New Roman"/>
      <w:b w:val="0"/>
      <w:i w:val="0"/>
      <w:sz w:val="20"/>
    </w:rPr>
  </w:style>
  <w:style w:type="character" w:styleId="1142">
    <w:name w:val="批注引用"/>
    <w:next w:val="1142"/>
    <w:link w:val="1047"/>
    <w:rPr>
      <w:rFonts w:ascii="Times New Roman" w:hAnsi="Times New Roman" w:eastAsia="宋体" w:cs="Times New Roman"/>
      <w:sz w:val="21"/>
    </w:rPr>
  </w:style>
  <w:style w:type="character" w:styleId="1143">
    <w:name w:val="HTML 引文"/>
    <w:next w:val="1143"/>
    <w:link w:val="1047"/>
    <w:rPr>
      <w:rFonts w:ascii="Times New Roman" w:hAnsi="Times New Roman" w:eastAsia="宋体" w:cs="Times New Roman"/>
      <w:b w:val="0"/>
      <w:i w:val="0"/>
    </w:rPr>
  </w:style>
  <w:style w:type="character" w:styleId="1144">
    <w:name w:val="脚注引用"/>
    <w:next w:val="1144"/>
    <w:link w:val="1047"/>
    <w:rPr>
      <w:rFonts w:ascii="Times New Roman" w:hAnsi="Times New Roman" w:eastAsia="宋体" w:cs="Times New Roman"/>
      <w:vertAlign w:val="superscript"/>
    </w:rPr>
  </w:style>
  <w:style w:type="character" w:styleId="1145">
    <w:name w:val="HTML 样本"/>
    <w:next w:val="1145"/>
    <w:link w:val="1047"/>
    <w:rPr>
      <w:rFonts w:ascii="Courier New" w:hAnsi="宋体" w:eastAsia="宋体" w:cs="Courier New"/>
      <w:b w:val="0"/>
      <w:bCs w:val="0"/>
      <w:i w:val="0"/>
      <w:iCs w:val="0"/>
    </w:rPr>
  </w:style>
  <w:style w:type="paragraph" w:styleId="1146">
    <w:name w:val="BodyText1I1"/>
    <w:basedOn w:val="1147"/>
    <w:next w:val="1047"/>
    <w:link w:val="1047"/>
    <w:qFormat/>
    <w:pPr>
      <w:ind w:firstLine="420"/>
      <w:spacing w:after="120"/>
    </w:pPr>
    <w:rPr>
      <w:sz w:val="24"/>
    </w:rPr>
  </w:style>
  <w:style w:type="paragraph" w:styleId="1147">
    <w:name w:val="BodyText1"/>
    <w:basedOn w:val="1047"/>
    <w:next w:val="1147"/>
    <w:link w:val="1047"/>
    <w:qFormat/>
    <w:rPr>
      <w:sz w:val="32"/>
    </w:rPr>
  </w:style>
  <w:style w:type="paragraph" w:styleId="1148">
    <w:name w:val="Default"/>
    <w:next w:val="1148"/>
    <w:link w:val="1047"/>
    <w:pPr>
      <w:widowControl w:val="off"/>
    </w:pPr>
    <w:rPr>
      <w:rFonts w:ascii="宋体" w:cs="宋体"/>
      <w:color w:val="000000"/>
      <w:sz w:val="24"/>
      <w:szCs w:val="24"/>
      <w:lang w:val="en-US" w:eastAsia="zh-CN" w:bidi="ar-SA"/>
    </w:rPr>
  </w:style>
  <w:style w:type="paragraph" w:styleId="1149">
    <w:name w:val="一级条标题"/>
    <w:basedOn w:val="1150"/>
    <w:next w:val="1151"/>
    <w:link w:val="1047"/>
    <w:qFormat/>
    <w:pPr>
      <w:outlineLvl w:val="2"/>
    </w:pPr>
    <w:rPr>
      <w:rFonts w:ascii="Calibri" w:hAnsi="Calibri" w:eastAsia="黑体" w:cs="Times New Roman"/>
      <w:sz w:val="21"/>
      <w:szCs w:val="21"/>
      <w:lang w:val="en-US" w:eastAsia="zh-CN" w:bidi="ar-SA"/>
    </w:rPr>
  </w:style>
  <w:style w:type="paragraph" w:styleId="1150">
    <w:name w:val="章标题"/>
    <w:next w:val="1151"/>
    <w:link w:val="1047"/>
    <w:pPr>
      <w:jc w:val="both"/>
      <w:spacing w:before="156" w:after="156"/>
      <w:outlineLvl w:val="1"/>
    </w:pPr>
    <w:rPr>
      <w:rFonts w:eastAsia="黑体"/>
      <w:sz w:val="21"/>
      <w:lang w:val="en-US" w:eastAsia="zh-CN" w:bidi="ar-SA"/>
    </w:rPr>
  </w:style>
  <w:style w:type="paragraph" w:styleId="1151">
    <w:name w:val="段"/>
    <w:next w:val="1047"/>
    <w:link w:val="1047"/>
    <w:pPr>
      <w:ind w:firstLine="200"/>
      <w:jc w:val="both"/>
    </w:pPr>
    <w:rPr>
      <w:rFonts w:ascii="宋体"/>
      <w:sz w:val="21"/>
      <w:lang w:val="en-US" w:eastAsia="zh-CN" w:bidi="ar-SA"/>
    </w:rPr>
  </w:style>
  <w:style w:type="paragraph" w:styleId="1152">
    <w:name w:val="[Normal]"/>
    <w:next w:val="1152"/>
    <w:link w:val="1047"/>
    <w:rPr>
      <w:rFonts w:ascii="方正仿宋简体" w:hAnsi="方正仿宋简体" w:eastAsia="方正仿宋简体" w:cs="Courier New"/>
      <w:sz w:val="24"/>
      <w:szCs w:val="22"/>
      <w:lang w:val="zh-CN" w:eastAsia="zh-CN" w:bidi="ar-SA"/>
    </w:rPr>
  </w:style>
  <w:style w:type="character" w:styleId="1153">
    <w:name w:val="font01"/>
    <w:next w:val="1153"/>
    <w:link w:val="1047"/>
    <w:rPr>
      <w:rFonts w:hint="eastAsia" w:ascii="宋体" w:hAnsi="宋体" w:eastAsia="宋体" w:cs="宋体"/>
      <w:color w:val="000000"/>
      <w:sz w:val="22"/>
      <w:szCs w:val="22"/>
      <w:u w:val="none"/>
    </w:rPr>
  </w:style>
  <w:style w:type="character" w:styleId="1154">
    <w:name w:val="书籍标题"/>
    <w:next w:val="1154"/>
    <w:link w:val="1047"/>
    <w:qFormat/>
    <w:rPr>
      <w:rFonts w:ascii="Times New Roman" w:hAnsi="Times New Roman" w:eastAsia="宋体" w:cs="Times New Roman"/>
      <w:i/>
      <w:iCs/>
      <w:smallCaps/>
      <w:spacing w:val="5"/>
    </w:rPr>
  </w:style>
  <w:style w:type="character" w:styleId="1155">
    <w:name w:val="纯文本 Char Char Char1"/>
    <w:next w:val="1155"/>
    <w:link w:val="1047"/>
    <w:rPr>
      <w:rFonts w:ascii="宋体" w:hAnsi="Courier New" w:eastAsia="宋体" w:cs="Times New Roman"/>
      <w:sz w:val="21"/>
      <w:szCs w:val="21"/>
      <w:lang w:val="en-US" w:eastAsia="zh-CN" w:bidi="ar-SA"/>
    </w:rPr>
  </w:style>
  <w:style w:type="character" w:styleId="1156">
    <w:name w:val="纯文本 Char1"/>
    <w:next w:val="1156"/>
    <w:link w:val="1047"/>
    <w:rPr>
      <w:rFonts w:ascii="宋体" w:hAnsi="Courier New" w:eastAsia="宋体" w:cs="Courier New"/>
      <w:sz w:val="21"/>
      <w:szCs w:val="21"/>
    </w:rPr>
  </w:style>
  <w:style w:type="character" w:styleId="1157">
    <w:name w:val="不明显参考"/>
    <w:next w:val="1157"/>
    <w:link w:val="1047"/>
    <w:qFormat/>
    <w:rPr>
      <w:rFonts w:ascii="Times New Roman" w:hAnsi="Times New Roman" w:eastAsia="宋体" w:cs="Times New Roman"/>
      <w:smallCaps/>
    </w:rPr>
  </w:style>
  <w:style w:type="character" w:styleId="1158">
    <w:name w:val="标准小四 Char Char"/>
    <w:next w:val="1158"/>
    <w:link w:val="1047"/>
    <w:rPr>
      <w:rFonts w:ascii="Arial" w:hAnsi="Arial" w:eastAsia="宋体" w:cs="Times New Roman"/>
      <w:sz w:val="24"/>
      <w:szCs w:val="21"/>
      <w:lang w:val="en-US" w:eastAsia="zh-CN" w:bidi="ar-SA"/>
    </w:rPr>
  </w:style>
  <w:style w:type="character" w:styleId="1159">
    <w:name w:val="style131"/>
    <w:next w:val="1159"/>
    <w:link w:val="1047"/>
    <w:rPr>
      <w:rFonts w:ascii="Times New Roman" w:hAnsi="Times New Roman" w:eastAsia="宋体" w:cs="Times New Roman"/>
      <w:sz w:val="18"/>
      <w:szCs w:val="18"/>
    </w:rPr>
  </w:style>
  <w:style w:type="character" w:styleId="1160">
    <w:name w:val=" Char Char24"/>
    <w:next w:val="1160"/>
    <w:link w:val="1047"/>
    <w:rPr>
      <w:rFonts w:ascii="Times New Roman" w:hAnsi="Times New Roman" w:eastAsia="宋体" w:cs="Times New Roman"/>
      <w:b/>
      <w:bCs/>
      <w:sz w:val="28"/>
      <w:szCs w:val="28"/>
    </w:rPr>
  </w:style>
  <w:style w:type="character" w:styleId="1161">
    <w:name w:val=" Char Char23"/>
    <w:next w:val="1161"/>
    <w:link w:val="1047"/>
    <w:rPr>
      <w:rFonts w:ascii="Arial" w:hAnsi="Arial" w:eastAsia="黑体" w:cs="Times New Roman"/>
      <w:b/>
      <w:bCs/>
      <w:sz w:val="24"/>
      <w:szCs w:val="24"/>
    </w:rPr>
  </w:style>
  <w:style w:type="character" w:styleId="1162">
    <w:name w:val="t1"/>
    <w:next w:val="1162"/>
    <w:link w:val="1047"/>
    <w:rPr>
      <w:rFonts w:ascii="Times New Roman" w:hAnsi="Times New Roman" w:eastAsia="宋体" w:cs="Times New Roman"/>
      <w:vanish w:val="0"/>
    </w:rPr>
  </w:style>
  <w:style w:type="character" w:styleId="1163">
    <w:name w:val="concon"/>
    <w:next w:val="1163"/>
    <w:link w:val="1047"/>
    <w:rPr>
      <w:rFonts w:ascii="Times New Roman" w:hAnsi="Times New Roman" w:eastAsia="宋体" w:cs="Times New Roman"/>
      <w:b w:val="0"/>
      <w:bCs w:val="0"/>
      <w:i w:val="0"/>
      <w:iCs w:val="0"/>
    </w:rPr>
  </w:style>
  <w:style w:type="character" w:styleId="1164">
    <w:name w:val="Title1 Char,H1 Char,Normal + Font: Helvetica Char,Bold Char,Space Before 12 pt Char,Not Bold Char,h1 Char,H11 Char,H12 Char,H111 Char,H13 Char,H112 Char,1 Char,h:1 Char,h:1app Char,level 1 Char,Level 1 Head Char,heading 1 Char,Huvudrubrik Char,章 Char"/>
    <w:next w:val="1164"/>
    <w:link w:val="1047"/>
    <w:rPr>
      <w:rFonts w:ascii="Times New Roman" w:hAnsi="Times New Roman" w:eastAsia="宋体" w:cs="Times New Roman"/>
      <w:b/>
      <w:bCs/>
      <w:sz w:val="44"/>
      <w:szCs w:val="44"/>
      <w:lang w:val="en-US" w:eastAsia="zh-CN" w:bidi="ar-SA"/>
    </w:rPr>
  </w:style>
  <w:style w:type="character" w:styleId="1165">
    <w:name w:val=" Char Char25"/>
    <w:next w:val="1165"/>
    <w:link w:val="1047"/>
    <w:rPr>
      <w:rFonts w:ascii="Arial" w:hAnsi="Arial" w:eastAsia="黑体" w:cs="Times New Roman"/>
      <w:b/>
      <w:sz w:val="28"/>
    </w:rPr>
  </w:style>
  <w:style w:type="character" w:styleId="1166">
    <w:name w:val=" Char Char20"/>
    <w:next w:val="1166"/>
    <w:link w:val="1047"/>
    <w:rPr>
      <w:rFonts w:ascii="Arial" w:hAnsi="Arial" w:eastAsia="黑体" w:cs="Times New Roman"/>
      <w:sz w:val="21"/>
      <w:szCs w:val="21"/>
    </w:rPr>
  </w:style>
  <w:style w:type="character" w:styleId="1167">
    <w:name w:val="小四 段落 宋体 Char Char Char Char Char"/>
    <w:next w:val="1167"/>
    <w:link w:val="1047"/>
    <w:rPr>
      <w:rFonts w:ascii="Times New Roman" w:hAnsi="Times New Roman" w:eastAsia="宋体" w:cs="Times New Roman"/>
      <w:sz w:val="24"/>
      <w:szCs w:val="24"/>
      <w:lang w:val="en-US" w:eastAsia="zh-CN" w:bidi="ar-SA"/>
    </w:rPr>
  </w:style>
  <w:style w:type="character" w:styleId="1168">
    <w:name w:val="style13"/>
    <w:next w:val="1168"/>
    <w:link w:val="1047"/>
    <w:rPr>
      <w:rFonts w:ascii="Times New Roman" w:hAnsi="Times New Roman" w:eastAsia="宋体" w:cs="Times New Roman"/>
      <w:sz w:val="18"/>
      <w:szCs w:val="18"/>
    </w:rPr>
  </w:style>
  <w:style w:type="character" w:styleId="1169">
    <w:name w:val="2nd level Char,h2 Char,2 Char,Header 2 Char,l2 Char,Titre2 Char,Head 2 Char,H2 Char,Heading 2 Hidden Char,Heading 2 CCBS Char,heading 2 Char,第一章 标题 2 Char,ISO1 Char,UNDERRUBRIK 1-2 Char,Underrubrik1 Char,prop2 Char,Level 2 Topic Heading Char,H21 Char"/>
    <w:next w:val="1169"/>
    <w:link w:val="1047"/>
    <w:rPr>
      <w:rFonts w:ascii="Arial" w:hAnsi="Arial" w:eastAsia="黑体" w:cs="Times New Roman"/>
      <w:b/>
      <w:bCs/>
      <w:sz w:val="32"/>
      <w:szCs w:val="32"/>
      <w:lang w:val="en-US" w:eastAsia="zh-CN" w:bidi="ar-SA"/>
    </w:rPr>
  </w:style>
  <w:style w:type="character" w:styleId="1170">
    <w:name w:val="l-selected"/>
    <w:next w:val="1170"/>
    <w:link w:val="1047"/>
    <w:rPr>
      <w:rFonts w:ascii="Times New Roman" w:hAnsi="Times New Roman" w:eastAsia="宋体" w:cs="Times New Roman"/>
      <w:color w:val="355686"/>
      <w:shd w:val="clear" w:color="auto" w:fill="ffffff"/>
    </w:rPr>
  </w:style>
  <w:style w:type="character" w:styleId="1171">
    <w:name w:val=" Char Char21"/>
    <w:next w:val="1171"/>
    <w:link w:val="1047"/>
    <w:rPr>
      <w:rFonts w:ascii="Arial" w:hAnsi="Arial" w:eastAsia="黑体" w:cs="Times New Roman"/>
      <w:sz w:val="24"/>
      <w:szCs w:val="24"/>
    </w:rPr>
  </w:style>
  <w:style w:type="character" w:styleId="1172">
    <w:name w:val="content"/>
    <w:next w:val="1172"/>
    <w:link w:val="1047"/>
    <w:rPr>
      <w:rFonts w:ascii="Times New Roman" w:hAnsi="Times New Roman" w:eastAsia="宋体" w:cs="Times New Roman"/>
    </w:rPr>
  </w:style>
  <w:style w:type="character" w:styleId="1173">
    <w:name w:val="l-open"/>
    <w:next w:val="1173"/>
    <w:link w:val="1047"/>
    <w:rPr>
      <w:rFonts w:ascii="Times New Roman" w:hAnsi="Times New Roman" w:eastAsia="宋体" w:cs="Times New Roman"/>
    </w:rPr>
  </w:style>
  <w:style w:type="character" w:styleId="1174">
    <w:name w:val="title_emph1"/>
    <w:next w:val="1174"/>
    <w:link w:val="1047"/>
    <w:rPr>
      <w:rFonts w:ascii="Arial" w:hAnsi="Times New Roman" w:eastAsia="宋体" w:cs="Arial"/>
      <w:b/>
      <w:bCs/>
      <w:i w:val="0"/>
      <w:iCs w:val="0"/>
      <w:sz w:val="18"/>
      <w:szCs w:val="18"/>
    </w:rPr>
  </w:style>
  <w:style w:type="character" w:styleId="1175">
    <w:name w:val="textcontents"/>
    <w:next w:val="1175"/>
    <w:link w:val="1047"/>
    <w:rPr>
      <w:rFonts w:ascii="Times New Roman" w:hAnsi="Times New Roman" w:eastAsia="宋体" w:cs="Times New Roman"/>
    </w:rPr>
  </w:style>
  <w:style w:type="character" w:styleId="1176">
    <w:name w:val="正文 + 宋体 Char,小四 Char,黑色 Char,行距: 1.5 倍行距 Char"/>
    <w:next w:val="1176"/>
    <w:link w:val="1047"/>
    <w:rPr>
      <w:rFonts w:ascii="Times New Roman" w:hAnsi="Times New Roman" w:eastAsia="宋体" w:cs="Times New Roman"/>
      <w:sz w:val="21"/>
      <w:szCs w:val="24"/>
      <w:lang w:val="en-US" w:eastAsia="zh-CN" w:bidi="ar-SA"/>
    </w:rPr>
  </w:style>
  <w:style w:type="character" w:styleId="1177">
    <w:name w:val="param-value"/>
    <w:next w:val="1177"/>
    <w:link w:val="1047"/>
    <w:rPr>
      <w:rFonts w:ascii="Times New Roman" w:hAnsi="Times New Roman" w:eastAsia="宋体" w:cs="Times New Roman"/>
    </w:rPr>
  </w:style>
  <w:style w:type="character" w:styleId="1178">
    <w:name w:val=" Char Char2"/>
    <w:next w:val="1178"/>
    <w:link w:val="1047"/>
    <w:rPr>
      <w:rFonts w:ascii="宋体" w:hAnsi="Courier New" w:eastAsia="宋体" w:cs="Times New Roman"/>
      <w:sz w:val="21"/>
      <w:szCs w:val="21"/>
      <w:lang w:val="en-US" w:eastAsia="zh-CN" w:bidi="ar-SA"/>
    </w:rPr>
  </w:style>
  <w:style w:type="character" w:styleId="1179">
    <w:name w:val="小四 段落 宋体 Char Char Char Char1"/>
    <w:next w:val="1179"/>
    <w:link w:val="1047"/>
    <w:rPr>
      <w:rFonts w:ascii="Times New Roman" w:hAnsi="Times New Roman" w:eastAsia="宋体" w:cs="Times New Roman"/>
      <w:sz w:val="24"/>
      <w:szCs w:val="24"/>
      <w:lang w:val="en-US" w:eastAsia="zh-CN" w:bidi="ar-SA"/>
    </w:rPr>
  </w:style>
  <w:style w:type="character" w:styleId="1180">
    <w:name w:val=" Char Char28"/>
    <w:next w:val="1180"/>
    <w:link w:val="1047"/>
    <w:rPr>
      <w:rFonts w:ascii="Arial" w:hAnsi="Arial" w:eastAsia="黑体" w:cs="Arial"/>
      <w:b/>
      <w:bCs/>
      <w:sz w:val="32"/>
      <w:szCs w:val="32"/>
    </w:rPr>
  </w:style>
  <w:style w:type="character" w:styleId="1181">
    <w:name w:val="普通文字1 Char,普通文字2 Char,普通文字3 Char,普通文字4 Char,普通文字5 Char,普通文字6 Char,普通文字11 Char,普通文字21 Char,普通文字31 Char,普通文字41 Char,普通文字7 Char Char,普通文字 Char1,普通文字 Char Char"/>
    <w:next w:val="1181"/>
    <w:link w:val="1047"/>
    <w:rPr>
      <w:rFonts w:ascii="宋体" w:hAnsi="Times New Roman" w:eastAsia="宋体" w:cs="Times New Roman"/>
      <w:b w:val="0"/>
      <w:bCs w:val="0"/>
      <w:i w:val="0"/>
      <w:iCs w:val="0"/>
      <w:sz w:val="21"/>
      <w:szCs w:val="21"/>
      <w:lang w:val="en-US" w:eastAsia="zh-CN" w:bidi="ar-SA"/>
    </w:rPr>
  </w:style>
  <w:style w:type="character" w:styleId="1182">
    <w:name w:val="font31"/>
    <w:next w:val="1182"/>
    <w:link w:val="1047"/>
    <w:rPr>
      <w:rFonts w:hint="eastAsia" w:ascii="宋体" w:hAnsi="宋体" w:eastAsia="宋体" w:cs="宋体"/>
      <w:i w:val="0"/>
      <w:iCs w:val="0"/>
      <w:color w:val="000000"/>
      <w:sz w:val="18"/>
      <w:szCs w:val="18"/>
      <w:u w:val="none"/>
    </w:rPr>
  </w:style>
  <w:style w:type="character" w:styleId="1183">
    <w:name w:val="￥正文 Char"/>
    <w:next w:val="1183"/>
    <w:link w:val="1184"/>
    <w:rPr>
      <w:rFonts w:ascii="Times New Roman" w:hAnsi="Times New Roman" w:eastAsia="宋体" w:cs="Times New Roman"/>
      <w:sz w:val="24"/>
    </w:rPr>
  </w:style>
  <w:style w:type="paragraph" w:styleId="1184">
    <w:name w:val="￥正文"/>
    <w:basedOn w:val="1047"/>
    <w:next w:val="1184"/>
    <w:link w:val="1183"/>
    <w:pPr>
      <w:ind w:firstLine="200"/>
      <w:spacing w:before="0" w:after="0"/>
    </w:pPr>
    <w:rPr>
      <w:rFonts w:eastAsia="宋体"/>
      <w:sz w:val="24"/>
    </w:rPr>
  </w:style>
  <w:style w:type="character" w:styleId="1185">
    <w:name w:val="已访问的超链接1"/>
    <w:next w:val="1185"/>
    <w:link w:val="1047"/>
    <w:rPr>
      <w:rFonts w:ascii="Times New Roman" w:hAnsi="Times New Roman" w:eastAsia="宋体" w:cs="Times New Roman"/>
      <w:b w:val="0"/>
      <w:bCs w:val="0"/>
      <w:i w:val="0"/>
      <w:iCs w:val="0"/>
      <w:color w:val="000000"/>
      <w:u w:val="none"/>
    </w:rPr>
  </w:style>
  <w:style w:type="character" w:styleId="1186">
    <w:name w:val="小四 段落 宋体 Char Char Char1"/>
    <w:next w:val="1186"/>
    <w:link w:val="1047"/>
    <w:rPr>
      <w:rFonts w:ascii="宋体" w:hAnsi="宋体" w:eastAsia="宋体" w:cs="Times New Roman"/>
      <w:sz w:val="24"/>
      <w:szCs w:val="24"/>
      <w:lang w:val="en-US" w:eastAsia="zh-CN" w:bidi="ar-SA"/>
    </w:rPr>
  </w:style>
  <w:style w:type="character" w:styleId="1187">
    <w:name w:val="批注文字 Char"/>
    <w:next w:val="1187"/>
    <w:link w:val="1047"/>
    <w:rPr>
      <w:rFonts w:ascii="Times New Roman" w:hAnsi="Times New Roman" w:eastAsia="宋体" w:cs="Times New Roman"/>
      <w:sz w:val="21"/>
      <w:lang w:val="en-US" w:eastAsia="zh-CN" w:bidi="ar-SA"/>
    </w:rPr>
  </w:style>
  <w:style w:type="character" w:styleId="118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8"/>
    <w:link w:val="1047"/>
    <w:rPr>
      <w:rFonts w:ascii="Times New Roman" w:hAnsi="Times New Roman" w:eastAsia="宋体" w:cs="Times New Roman"/>
      <w:b/>
      <w:bCs/>
      <w:sz w:val="32"/>
      <w:szCs w:val="32"/>
      <w:lang w:val="en-US" w:eastAsia="zh-CN" w:bidi="ar-SA"/>
    </w:rPr>
  </w:style>
  <w:style w:type="character" w:styleId="1189">
    <w:name w:val="标准文本 Char"/>
    <w:next w:val="1189"/>
    <w:link w:val="1047"/>
    <w:rPr>
      <w:rFonts w:ascii="Times New Roman" w:hAnsi="Times New Roman" w:eastAsia="宋体" w:cs="宋体"/>
      <w:sz w:val="24"/>
      <w:szCs w:val="24"/>
      <w:lang w:val="en-US" w:eastAsia="zh-CN" w:bidi="ar-SA"/>
    </w:rPr>
  </w:style>
  <w:style w:type="character" w:styleId="1190">
    <w:name w:val="point_normal1"/>
    <w:next w:val="1190"/>
    <w:link w:val="1047"/>
    <w:rPr>
      <w:rFonts w:ascii="Arial" w:hAnsi="Arial" w:eastAsia="宋体" w:cs="Arial"/>
      <w:sz w:val="18"/>
      <w:szCs w:val="18"/>
    </w:rPr>
  </w:style>
  <w:style w:type="character" w:styleId="1191">
    <w:name w:val="font101"/>
    <w:next w:val="1191"/>
    <w:link w:val="1047"/>
    <w:rPr>
      <w:rFonts w:hint="eastAsia" w:ascii="宋体" w:hAnsi="宋体" w:eastAsia="宋体" w:cs="宋体"/>
      <w:i w:val="0"/>
      <w:iCs w:val="0"/>
      <w:color w:val="000000"/>
      <w:sz w:val="16"/>
      <w:szCs w:val="16"/>
      <w:u w:val="none"/>
    </w:rPr>
  </w:style>
  <w:style w:type="character" w:styleId="1192">
    <w:name w:val="subtitle1"/>
    <w:next w:val="1192"/>
    <w:link w:val="1047"/>
    <w:rPr>
      <w:rFonts w:ascii="Georgia" w:hAnsi="Georgia" w:eastAsia="宋体" w:cs="Times New Roman"/>
      <w:b/>
      <w:bCs/>
      <w:i w:val="0"/>
      <w:iCs w:val="0"/>
      <w:color w:val="666666"/>
      <w:sz w:val="18"/>
      <w:szCs w:val="18"/>
    </w:rPr>
  </w:style>
  <w:style w:type="character" w:styleId="1193">
    <w:name w:val="l-selected2"/>
    <w:next w:val="1193"/>
    <w:link w:val="1047"/>
    <w:rPr>
      <w:rFonts w:ascii="Times New Roman" w:hAnsi="Times New Roman" w:eastAsia="宋体" w:cs="Times New Roman"/>
      <w:color w:val="355686"/>
      <w:shd w:val="clear" w:color="auto" w:fill="ffffff"/>
    </w:rPr>
  </w:style>
  <w:style w:type="character" w:styleId="1194">
    <w:name w:val="标题 Char1"/>
    <w:next w:val="1194"/>
    <w:link w:val="1047"/>
    <w:rPr>
      <w:rFonts w:ascii="Cambria" w:hAnsi="Times New Roman" w:eastAsia="宋体" w:cs="Times New Roman"/>
      <w:b/>
      <w:bCs/>
      <w:i w:val="0"/>
      <w:iCs w:val="0"/>
      <w:sz w:val="32"/>
      <w:szCs w:val="32"/>
    </w:rPr>
  </w:style>
  <w:style w:type="character" w:styleId="1195">
    <w:name w:val="小四 段落 宋体 Char1"/>
    <w:next w:val="1195"/>
    <w:link w:val="1047"/>
    <w:rPr>
      <w:rFonts w:ascii="Times New Roman" w:hAnsi="Times New Roman" w:eastAsia="宋体" w:cs="Times New Roman"/>
      <w:sz w:val="24"/>
      <w:szCs w:val="24"/>
      <w:lang w:val="en-US" w:eastAsia="zh-CN" w:bidi="ar-SA"/>
    </w:rPr>
  </w:style>
  <w:style w:type="character" w:styleId="119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96"/>
    <w:link w:val="1047"/>
    <w:rPr>
      <w:rFonts w:ascii="Times New Roman" w:hAnsi="Times New Roman" w:eastAsia="宋体" w:cs="Times New Roman"/>
      <w:sz w:val="21"/>
      <w:lang w:val="en-US" w:eastAsia="zh-CN" w:bidi="ar-SA"/>
    </w:rPr>
  </w:style>
  <w:style w:type="character" w:styleId="1197">
    <w:name w:val="标题 3 Char Char"/>
    <w:next w:val="1197"/>
    <w:link w:val="1047"/>
    <w:rPr>
      <w:rFonts w:ascii="Times New Roman" w:hAnsi="Times New Roman" w:eastAsia="仿宋_GB2312" w:cs="Times New Roman"/>
      <w:b/>
      <w:bCs/>
      <w:sz w:val="28"/>
      <w:szCs w:val="32"/>
      <w:lang w:val="en-US" w:eastAsia="zh-CN" w:bidi="ar-SA"/>
    </w:rPr>
  </w:style>
  <w:style w:type="character" w:styleId="1198">
    <w:name w:val="不明显强调"/>
    <w:next w:val="1198"/>
    <w:link w:val="1047"/>
    <w:qFormat/>
    <w:rPr>
      <w:rFonts w:ascii="Times New Roman" w:hAnsi="Times New Roman" w:eastAsia="宋体" w:cs="Times New Roman"/>
      <w:i/>
      <w:iCs/>
    </w:rPr>
  </w:style>
  <w:style w:type="character" w:styleId="1199">
    <w:name w:val=" Char Char26"/>
    <w:next w:val="1199"/>
    <w:link w:val="1047"/>
    <w:rPr>
      <w:rFonts w:ascii="Times New Roman" w:hAnsi="Times New Roman" w:eastAsia="宋体" w:cs="Times New Roman"/>
      <w:b/>
      <w:bCs/>
      <w:sz w:val="32"/>
      <w:szCs w:val="32"/>
    </w:rPr>
  </w:style>
  <w:style w:type="character" w:styleId="1200">
    <w:name w:val="l-over"/>
    <w:next w:val="1200"/>
    <w:link w:val="1047"/>
    <w:rPr>
      <w:rFonts w:ascii="Times New Roman" w:hAnsi="Times New Roman" w:eastAsia="宋体" w:cs="Times New Roman"/>
    </w:rPr>
  </w:style>
  <w:style w:type="character" w:styleId="1201">
    <w:name w:val="样式 首行缩进:  2 字符 Char"/>
    <w:next w:val="1201"/>
    <w:link w:val="1047"/>
    <w:rPr>
      <w:rFonts w:ascii="Times New Roman" w:hAnsi="Times New Roman" w:eastAsia="宋体" w:cs="宋体"/>
      <w:sz w:val="24"/>
      <w:lang w:val="en-US" w:eastAsia="zh-CN" w:bidi="ar-SA"/>
    </w:rPr>
  </w:style>
  <w:style w:type="character" w:styleId="1202">
    <w:name w:val="新图表正文 Char Char"/>
    <w:next w:val="1202"/>
    <w:link w:val="1203"/>
    <w:rPr>
      <w:rFonts w:ascii="宋体" w:hAnsi="宋体"/>
      <w:sz w:val="18"/>
      <w:szCs w:val="21"/>
      <w:lang w:val="en-US" w:eastAsia="zh-CN" w:bidi="ar-SA"/>
    </w:rPr>
  </w:style>
  <w:style w:type="paragraph" w:styleId="1203">
    <w:name w:val="新图表正文"/>
    <w:next w:val="1203"/>
    <w:link w:val="1202"/>
    <w:pPr>
      <w:jc w:val="both"/>
    </w:pPr>
    <w:rPr>
      <w:rFonts w:ascii="宋体" w:hAnsi="宋体"/>
      <w:sz w:val="18"/>
      <w:szCs w:val="21"/>
      <w:lang w:val="en-US" w:eastAsia="zh-CN" w:bidi="ar-SA"/>
    </w:rPr>
  </w:style>
  <w:style w:type="character" w:styleId="1204">
    <w:name w:val="listbenefit"/>
    <w:next w:val="1204"/>
    <w:link w:val="1047"/>
    <w:rPr>
      <w:rFonts w:ascii="Times New Roman" w:hAnsi="Times New Roman" w:eastAsia="宋体" w:cs="Times New Roman"/>
      <w:b w:val="0"/>
      <w:bCs w:val="0"/>
      <w:i w:val="0"/>
      <w:iCs w:val="0"/>
    </w:rPr>
  </w:style>
  <w:style w:type="character" w:styleId="1205">
    <w:name w:val="列出段落 Char,Bullet List Char,numbered Char,FooterText Char,List Paragraph1 Char,Paragraphe de liste1 Char"/>
    <w:next w:val="1205"/>
    <w:link w:val="1206"/>
    <w:rPr>
      <w:rFonts w:ascii="Arial" w:hAnsi="Arial" w:eastAsia="黑体" w:cs="Times New Roman"/>
      <w:sz w:val="24"/>
      <w:szCs w:val="24"/>
      <w:lang w:eastAsia="en-US"/>
    </w:rPr>
  </w:style>
  <w:style w:type="paragraph" w:styleId="1206">
    <w:name w:val="列出段落1"/>
    <w:basedOn w:val="1047"/>
    <w:next w:val="1206"/>
    <w:link w:val="1205"/>
    <w:pPr>
      <w:contextualSpacing/>
      <w:ind w:left="720"/>
      <w:jc w:val="left"/>
      <w:widowControl/>
    </w:pPr>
    <w:rPr>
      <w:rFonts w:ascii="Arial" w:hAnsi="Arial" w:eastAsia="黑体"/>
      <w:sz w:val="24"/>
      <w:szCs w:val="24"/>
      <w:lang w:eastAsia="en-US"/>
    </w:rPr>
  </w:style>
  <w:style w:type="character" w:styleId="1207">
    <w:name w:val="正文缩进 Char1"/>
    <w:next w:val="1207"/>
    <w:link w:val="1208"/>
    <w:rPr>
      <w:rFonts w:ascii="Times New Roman" w:hAnsi="Times New Roman" w:eastAsia="宋体" w:cs="Times New Roman"/>
      <w:lang w:bidi="ar-SA"/>
    </w:rPr>
  </w:style>
  <w:style w:type="paragraph" w:styleId="1208">
    <w:name w:val="Normal Indent1"/>
    <w:basedOn w:val="1047"/>
    <w:next w:val="1208"/>
    <w:link w:val="1207"/>
    <w:pPr>
      <w:ind w:firstLine="420"/>
    </w:pPr>
    <w:rPr>
      <w:rFonts w:eastAsia="宋体"/>
      <w:sz w:val="20"/>
    </w:rPr>
  </w:style>
  <w:style w:type="character" w:styleId="1209">
    <w:name w:val="font81"/>
    <w:next w:val="1209"/>
    <w:link w:val="1047"/>
    <w:rPr>
      <w:rFonts w:hint="eastAsia" w:ascii="宋体" w:hAnsi="宋体" w:eastAsia="宋体" w:cs="宋体"/>
      <w:i w:val="0"/>
      <w:iCs w:val="0"/>
      <w:color w:val="000000"/>
      <w:sz w:val="16"/>
      <w:szCs w:val="16"/>
      <w:u w:val="none"/>
    </w:rPr>
  </w:style>
  <w:style w:type="character" w:styleId="1210">
    <w:name w:val="ih151"/>
    <w:next w:val="1210"/>
    <w:link w:val="1047"/>
    <w:rPr>
      <w:rFonts w:ascii="Times New Roman" w:hAnsi="Times New Roman" w:eastAsia="宋体" w:cs="Times New Roman"/>
      <w:b w:val="0"/>
      <w:bCs w:val="0"/>
      <w:i w:val="0"/>
      <w:iCs w:val="0"/>
      <w:caps w:val="0"/>
      <w:smallCaps w:val="0"/>
      <w:color w:val="666666"/>
      <w:sz w:val="18"/>
      <w:szCs w:val="18"/>
      <w:u w:val="none"/>
    </w:rPr>
  </w:style>
  <w:style w:type="character" w:styleId="1211">
    <w:name w:val="纯文本 Char Char Char"/>
    <w:next w:val="1211"/>
    <w:link w:val="1047"/>
    <w:rPr>
      <w:rFonts w:ascii="宋体" w:hAnsi="Courier New" w:eastAsia="宋体" w:cs="Times New Roman"/>
      <w:sz w:val="21"/>
      <w:szCs w:val="21"/>
      <w:lang w:val="en-US" w:eastAsia="zh-CN" w:bidi="ar-SA"/>
    </w:rPr>
  </w:style>
  <w:style w:type="character" w:styleId="1212">
    <w:name w:val="引用 字符"/>
    <w:next w:val="1212"/>
    <w:link w:val="1213"/>
    <w:rPr>
      <w:rFonts w:ascii="Calibri" w:hAnsi="Calibri" w:eastAsia="宋体" w:cs="Times New Roman"/>
      <w:i/>
      <w:iCs/>
      <w:sz w:val="22"/>
      <w:szCs w:val="22"/>
      <w:lang w:val="en-US" w:eastAsia="en-US" w:bidi="en-US"/>
    </w:rPr>
  </w:style>
  <w:style w:type="paragraph" w:styleId="1213">
    <w:name w:val="引用"/>
    <w:basedOn w:val="1047"/>
    <w:next w:val="1047"/>
    <w:link w:val="1212"/>
    <w:qFormat/>
    <w:pPr>
      <w:ind w:left="360" w:right="360"/>
      <w:jc w:val="left"/>
      <w:spacing w:before="200" w:line="276" w:lineRule="auto"/>
      <w:widowControl/>
    </w:pPr>
    <w:rPr>
      <w:rFonts w:ascii="Calibri" w:hAnsi="Calibri" w:eastAsia="宋体"/>
      <w:i/>
      <w:iCs/>
      <w:sz w:val="22"/>
      <w:szCs w:val="22"/>
      <w:lang w:eastAsia="en-US" w:bidi="en-US"/>
    </w:rPr>
  </w:style>
  <w:style w:type="character" w:styleId="1214">
    <w:name w:val="font91"/>
    <w:next w:val="1214"/>
    <w:link w:val="1047"/>
    <w:rPr>
      <w:rFonts w:ascii="Arial" w:hAnsi="Arial" w:eastAsia="宋体" w:cs="Arial"/>
      <w:i w:val="0"/>
      <w:iCs w:val="0"/>
      <w:color w:val="000000"/>
      <w:sz w:val="16"/>
      <w:szCs w:val="16"/>
      <w:u w:val="none"/>
    </w:rPr>
  </w:style>
  <w:style w:type="character" w:styleId="1215">
    <w:name w:val="3zw"/>
    <w:next w:val="1215"/>
    <w:link w:val="1047"/>
    <w:rPr>
      <w:rFonts w:ascii="Times New Roman" w:hAnsi="Times New Roman" w:eastAsia="宋体" w:cs="Times New Roman"/>
    </w:rPr>
  </w:style>
  <w:style w:type="character" w:styleId="1216">
    <w:name w:val="样式 首行缩进:  2 字符 Char Char"/>
    <w:next w:val="1216"/>
    <w:link w:val="1217"/>
    <w:rPr>
      <w:rFonts w:ascii="Times New Roman" w:hAnsi="Times New Roman" w:eastAsia="宋体" w:cs="宋体"/>
      <w:sz w:val="24"/>
      <w:lang w:val="en-US" w:eastAsia="zh-CN" w:bidi="ar-SA"/>
    </w:rPr>
  </w:style>
  <w:style w:type="paragraph" w:styleId="1217">
    <w:name w:val="样式 首行缩进:  2 字符"/>
    <w:basedOn w:val="1047"/>
    <w:next w:val="1217"/>
    <w:link w:val="1216"/>
    <w:pPr>
      <w:ind w:firstLine="480"/>
      <w:spacing w:line="360" w:lineRule="auto"/>
    </w:pPr>
    <w:rPr>
      <w:rFonts w:eastAsia="宋体" w:cs="宋体"/>
      <w:sz w:val="24"/>
    </w:rPr>
  </w:style>
  <w:style w:type="character" w:styleId="1218">
    <w:name w:val="A2"/>
    <w:next w:val="1218"/>
    <w:link w:val="1047"/>
    <w:rPr>
      <w:rFonts w:ascii="Times New Roman" w:hAnsi="Times New Roman" w:eastAsia="宋体" w:cs="Helvetica"/>
      <w:color w:val="000000"/>
      <w:sz w:val="18"/>
      <w:szCs w:val="18"/>
    </w:rPr>
  </w:style>
  <w:style w:type="character" w:styleId="1219">
    <w:name w:val=" Char Char27"/>
    <w:next w:val="1219"/>
    <w:link w:val="1047"/>
    <w:rPr>
      <w:rFonts w:ascii="Times New Roman" w:hAnsi="Times New Roman" w:eastAsia="宋体" w:cs="Times New Roman"/>
      <w:b/>
      <w:bCs/>
      <w:sz w:val="44"/>
      <w:szCs w:val="44"/>
    </w:rPr>
  </w:style>
  <w:style w:type="character" w:styleId="1220">
    <w:name w:val="无间隔 字符"/>
    <w:next w:val="1220"/>
    <w:link w:val="1221"/>
    <w:rPr>
      <w:rFonts w:eastAsia="微软雅黑"/>
      <w:sz w:val="24"/>
      <w:szCs w:val="22"/>
      <w:lang w:val="en-US" w:eastAsia="zh-CN" w:bidi="ar-SA"/>
    </w:rPr>
  </w:style>
  <w:style w:type="paragraph" w:styleId="1221">
    <w:name w:val="无间隔"/>
    <w:next w:val="1221"/>
    <w:link w:val="1220"/>
    <w:qFormat/>
    <w:pPr>
      <w:jc w:val="both"/>
      <w:widowControl w:val="off"/>
    </w:pPr>
    <w:rPr>
      <w:rFonts w:eastAsia="微软雅黑"/>
      <w:sz w:val="24"/>
      <w:szCs w:val="22"/>
      <w:lang w:val="en-US" w:eastAsia="zh-CN" w:bidi="ar-SA"/>
    </w:rPr>
  </w:style>
  <w:style w:type="character" w:styleId="1222">
    <w:name w:val="标准文本 Char Char"/>
    <w:next w:val="1222"/>
    <w:link w:val="1047"/>
    <w:rPr>
      <w:rFonts w:ascii="Times New Roman" w:hAnsi="Times New Roman" w:eastAsia="宋体" w:cs="宋体"/>
      <w:sz w:val="24"/>
      <w:szCs w:val="24"/>
      <w:lang w:val="en-US" w:eastAsia="zh-CN" w:bidi="ar-SA"/>
    </w:rPr>
  </w:style>
  <w:style w:type="character" w:styleId="1223">
    <w:name w:val=" Char Char29"/>
    <w:next w:val="1223"/>
    <w:link w:val="1047"/>
    <w:rPr>
      <w:rFonts w:ascii="Times New Roman" w:hAnsi="Times New Roman" w:eastAsia="宋体" w:cs="Times New Roman"/>
      <w:b/>
      <w:bCs/>
      <w:sz w:val="44"/>
      <w:szCs w:val="44"/>
    </w:rPr>
  </w:style>
  <w:style w:type="character" w:styleId="1224">
    <w:name w:val="标准小四 Char"/>
    <w:next w:val="1224"/>
    <w:link w:val="1047"/>
    <w:rPr>
      <w:rFonts w:ascii="Arial" w:hAnsi="Arial" w:eastAsia="宋体" w:cs="Times New Roman"/>
      <w:sz w:val="24"/>
      <w:szCs w:val="21"/>
      <w:lang w:val="en-US" w:eastAsia="zh-CN" w:bidi="ar-SA"/>
    </w:rPr>
  </w:style>
  <w:style w:type="character" w:styleId="1225">
    <w:name w:val="华宇段落1 Char Char Char"/>
    <w:next w:val="1225"/>
    <w:link w:val="1047"/>
    <w:rPr>
      <w:rFonts w:ascii="Times New Roman" w:hAnsi="Times New Roman" w:eastAsia="宋体" w:cs="Times New Roman"/>
      <w:bCs/>
      <w:sz w:val="24"/>
      <w:szCs w:val="24"/>
      <w:lang w:val="en-US" w:eastAsia="zh-CN" w:bidi="ar-SA"/>
    </w:rPr>
  </w:style>
  <w:style w:type="character" w:styleId="1226">
    <w:name w:val="样式 非加粗"/>
    <w:next w:val="1226"/>
    <w:link w:val="1047"/>
    <w:rPr>
      <w:rFonts w:ascii="Times New Roman" w:hAnsi="Times New Roman" w:eastAsia="宋体" w:cs="Times New Roman"/>
      <w:sz w:val="28"/>
    </w:rPr>
  </w:style>
  <w:style w:type="character" w:styleId="1227">
    <w:name w:val="小四 段落 宋体 Char Char Char Char Char Char Char Char"/>
    <w:next w:val="1227"/>
    <w:link w:val="1047"/>
    <w:rPr>
      <w:rFonts w:ascii="Times New Roman" w:hAnsi="Times New Roman" w:eastAsia="宋体" w:cs="Times New Roman"/>
      <w:sz w:val="24"/>
      <w:szCs w:val="24"/>
      <w:lang w:val="en-US" w:eastAsia="zh-CN" w:bidi="ar-SA"/>
    </w:rPr>
  </w:style>
  <w:style w:type="character" w:styleId="1228">
    <w:name w:val="华宇段落1 Char Char"/>
    <w:next w:val="1228"/>
    <w:link w:val="1047"/>
    <w:rPr>
      <w:rFonts w:ascii="Times New Roman" w:hAnsi="Times New Roman" w:eastAsia="宋体" w:cs="Times New Roman"/>
      <w:bCs/>
      <w:sz w:val="24"/>
      <w:szCs w:val="24"/>
      <w:lang w:val="en-US" w:eastAsia="zh-CN" w:bidi="ar-SA"/>
    </w:rPr>
  </w:style>
  <w:style w:type="character" w:styleId="1229">
    <w:name w:val="小四 段落 宋体 Char Char Char Char Char Char"/>
    <w:next w:val="1229"/>
    <w:link w:val="1047"/>
    <w:rPr>
      <w:rFonts w:ascii="Times New Roman" w:hAnsi="Times New Roman" w:eastAsia="宋体" w:cs="Times New Roman"/>
      <w:sz w:val="24"/>
      <w:szCs w:val="24"/>
      <w:lang w:val="en-US" w:eastAsia="zh-CN" w:bidi="ar-SA"/>
    </w:rPr>
  </w:style>
  <w:style w:type="character" w:styleId="1230">
    <w:name w:val="表格抬头 Char"/>
    <w:next w:val="1230"/>
    <w:link w:val="1231"/>
    <w:rPr>
      <w:rFonts w:ascii="黑体" w:hAnsi="Times New Roman" w:eastAsia="黑体" w:cs="Times New Roman"/>
      <w:b/>
      <w:sz w:val="21"/>
      <w:lang w:bidi="ar-SA"/>
    </w:rPr>
  </w:style>
  <w:style w:type="paragraph" w:styleId="1231">
    <w:name w:val="表格抬头"/>
    <w:basedOn w:val="1047"/>
    <w:next w:val="1231"/>
    <w:link w:val="1230"/>
    <w:pPr>
      <w:jc w:val="center"/>
    </w:pPr>
    <w:rPr>
      <w:rFonts w:ascii="黑体" w:eastAsia="黑体"/>
      <w:b/>
    </w:rPr>
  </w:style>
  <w:style w:type="character" w:styleId="1232">
    <w:name w:val=" Char Char22"/>
    <w:next w:val="1232"/>
    <w:link w:val="1047"/>
    <w:rPr>
      <w:rFonts w:ascii="Times New Roman" w:hAnsi="Times New Roman" w:eastAsia="宋体" w:cs="Times New Roman"/>
      <w:b/>
      <w:bCs/>
      <w:sz w:val="24"/>
      <w:szCs w:val="24"/>
    </w:rPr>
  </w:style>
  <w:style w:type="character" w:styleId="1233">
    <w:name w:val="样式 宋体 小四"/>
    <w:next w:val="1233"/>
    <w:link w:val="1047"/>
    <w:rPr>
      <w:rFonts w:ascii="宋体" w:hAnsi="宋体" w:eastAsia="宋体" w:cs="Times New Roman"/>
      <w:sz w:val="24"/>
    </w:rPr>
  </w:style>
  <w:style w:type="character" w:styleId="1234">
    <w:name w:val="明显引用 字符"/>
    <w:next w:val="1234"/>
    <w:link w:val="1235"/>
    <w:rPr>
      <w:rFonts w:ascii="Calibri" w:hAnsi="Calibri" w:eastAsia="宋体" w:cs="Times New Roman"/>
      <w:b/>
      <w:bCs/>
      <w:i/>
      <w:iCs/>
      <w:sz w:val="22"/>
      <w:szCs w:val="22"/>
      <w:lang w:val="en-US" w:eastAsia="en-US" w:bidi="en-US"/>
    </w:rPr>
  </w:style>
  <w:style w:type="paragraph" w:styleId="1235">
    <w:name w:val="明显引用"/>
    <w:basedOn w:val="1047"/>
    <w:next w:val="1047"/>
    <w:link w:val="1234"/>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36">
    <w:name w:val="明显强调"/>
    <w:next w:val="1236"/>
    <w:link w:val="1047"/>
    <w:qFormat/>
    <w:rPr>
      <w:rFonts w:ascii="Times New Roman" w:hAnsi="Times New Roman" w:eastAsia="宋体" w:cs="Times New Roman"/>
      <w:b/>
      <w:bCs/>
    </w:rPr>
  </w:style>
  <w:style w:type="character" w:styleId="1237">
    <w:name w:val="标题 3 Char,h3 Char,3rd level Char,3 Char,标题4 Char,Heading 3 - old Char,标题 3 Char1,正文 + 小三 Char,H3 Char,sect1.2.3 Char,BOD 0 Char,l3 Char,CT Char,Level 3 Head Char,3rd lev...] Char Char,heading 3 Char,123456 Char,F Char Char,Map Char,H31 Char,level_3 Char"/>
    <w:next w:val="1237"/>
    <w:link w:val="1047"/>
    <w:rPr>
      <w:rFonts w:ascii="宋体" w:hAnsi="宋体" w:eastAsia="宋体" w:cs="Times New Roman"/>
      <w:b/>
      <w:bCs/>
      <w:sz w:val="24"/>
      <w:szCs w:val="32"/>
      <w:lang w:val="en-US" w:eastAsia="zh-CN" w:bidi="ar-SA"/>
    </w:rPr>
  </w:style>
  <w:style w:type="character" w:styleId="1238">
    <w:name w:val="normalfont1"/>
    <w:next w:val="1238"/>
    <w:link w:val="1047"/>
    <w:rPr>
      <w:rFonts w:ascii="ˎ̥" w:hAnsi="ˎ̥" w:eastAsia="宋体" w:cs="Times New Roman"/>
      <w:sz w:val="18"/>
      <w:szCs w:val="18"/>
      <w:u w:val="none"/>
    </w:rPr>
  </w:style>
  <w:style w:type="character" w:styleId="1239">
    <w:name w:val="111111 Char"/>
    <w:next w:val="1239"/>
    <w:link w:val="1240"/>
    <w:rPr>
      <w:rFonts w:ascii="宋体" w:hAnsi="宋体" w:eastAsia="黑体" w:cs="宋体"/>
      <w:b/>
      <w:bCs/>
      <w:sz w:val="21"/>
      <w:szCs w:val="21"/>
      <w:lang w:val="en-US" w:eastAsia="zh-CN" w:bidi="ar-SA"/>
    </w:rPr>
  </w:style>
  <w:style w:type="paragraph" w:styleId="1240">
    <w:name w:val="111111"/>
    <w:basedOn w:val="1047"/>
    <w:next w:val="1240"/>
    <w:link w:val="1239"/>
    <w:pPr>
      <w:jc w:val="center"/>
      <w:spacing w:before="120" w:after="120"/>
    </w:pPr>
    <w:rPr>
      <w:rFonts w:ascii="宋体" w:hAnsi="宋体" w:eastAsia="黑体" w:cs="宋体"/>
      <w:b/>
      <w:bCs/>
      <w:szCs w:val="21"/>
    </w:rPr>
  </w:style>
  <w:style w:type="character" w:styleId="1241">
    <w:name w:val="apple-converted-space"/>
    <w:next w:val="1241"/>
    <w:link w:val="1047"/>
    <w:rPr>
      <w:rFonts w:ascii="Times New Roman" w:hAnsi="Times New Roman" w:eastAsia="宋体" w:cs="Times New Roman"/>
    </w:rPr>
  </w:style>
  <w:style w:type="character" w:styleId="1242">
    <w:name w:val="纯文本 Char Char"/>
    <w:next w:val="1242"/>
    <w:link w:val="1047"/>
    <w:rPr>
      <w:rFonts w:ascii="宋体" w:hAnsi="Courier New" w:eastAsia="宋体" w:cs="Times New Roman"/>
      <w:sz w:val="21"/>
      <w:szCs w:val="21"/>
      <w:lang w:val="en-US" w:eastAsia="zh-CN" w:bidi="ar-SA"/>
    </w:rPr>
  </w:style>
  <w:style w:type="character" w:styleId="1243">
    <w:name w:val="NormalCharacter1"/>
    <w:next w:val="1243"/>
    <w:link w:val="1047"/>
    <w:rPr>
      <w:rFonts w:ascii="Times New Roman" w:hAnsi="Times New Roman" w:eastAsia="宋体" w:cs="Times New Roman"/>
      <w:sz w:val="21"/>
      <w:szCs w:val="22"/>
      <w:lang w:val="en-US" w:eastAsia="zh-CN" w:bidi="ar-SA"/>
    </w:rPr>
  </w:style>
  <w:style w:type="character" w:styleId="1244">
    <w:name w:val=" Char Char17"/>
    <w:next w:val="1244"/>
    <w:link w:val="1047"/>
    <w:rPr>
      <w:rFonts w:ascii="宋体" w:hAnsi="Courier New" w:eastAsia="宋体" w:cs="Times New Roman"/>
      <w:sz w:val="21"/>
      <w:szCs w:val="21"/>
    </w:rPr>
  </w:style>
  <w:style w:type="character" w:styleId="1245">
    <w:name w:val="明显参考"/>
    <w:next w:val="1245"/>
    <w:link w:val="1047"/>
    <w:qFormat/>
    <w:rPr>
      <w:rFonts w:ascii="Times New Roman" w:hAnsi="Times New Roman" w:eastAsia="宋体" w:cs="Times New Roman"/>
      <w:smallCaps/>
      <w:spacing w:val="5"/>
      <w:u w:val="single"/>
    </w:rPr>
  </w:style>
  <w:style w:type="character" w:styleId="1246">
    <w:name w:val="h Char Char"/>
    <w:next w:val="1246"/>
    <w:link w:val="1047"/>
    <w:rPr>
      <w:rFonts w:ascii="Times New Roman" w:hAnsi="Times New Roman" w:eastAsia="宋体" w:cs="Times New Roman"/>
      <w:b w:val="0"/>
      <w:bCs w:val="0"/>
      <w:i w:val="0"/>
      <w:iCs w:val="0"/>
      <w:sz w:val="18"/>
      <w:szCs w:val="18"/>
      <w:lang w:val="en-US" w:eastAsia="zh-CN" w:bidi="ar-SA"/>
    </w:rPr>
  </w:style>
  <w:style w:type="character" w:styleId="1247">
    <w:name w:val="case31"/>
    <w:next w:val="1247"/>
    <w:link w:val="1047"/>
    <w:rPr>
      <w:rFonts w:ascii="Times New Roman" w:hAnsi="Times New Roman" w:eastAsia="宋体" w:cs="Times New Roman"/>
      <w:b w:val="0"/>
      <w:bCs w:val="0"/>
      <w:i w:val="0"/>
      <w:iCs w:val="0"/>
      <w:sz w:val="21"/>
      <w:szCs w:val="21"/>
    </w:rPr>
  </w:style>
  <w:style w:type="character" w:styleId="1248">
    <w:name w:val="para_small"/>
    <w:next w:val="1248"/>
    <w:link w:val="1047"/>
    <w:rPr>
      <w:rFonts w:ascii="Times New Roman" w:hAnsi="Times New Roman" w:eastAsia="宋体" w:cs="Times New Roman"/>
    </w:rPr>
  </w:style>
  <w:style w:type="character" w:styleId="1249">
    <w:name w:val="content_lineheight1"/>
    <w:next w:val="1249"/>
    <w:link w:val="1047"/>
    <w:rPr>
      <w:rFonts w:ascii="Times New Roman" w:hAnsi="Times New Roman" w:eastAsia="宋体" w:cs="Times New Roman"/>
    </w:rPr>
  </w:style>
  <w:style w:type="paragraph" w:styleId="1250">
    <w:name w:val=" Char Char Char Char Char Char Char Char Char Char Char Char Char Char"/>
    <w:basedOn w:val="1047"/>
    <w:next w:val="1250"/>
    <w:link w:val="1047"/>
    <w:rPr>
      <w:rFonts w:ascii="Tahoma" w:hAnsi="Tahoma" w:eastAsia="宋体" w:cs="Times New Roman"/>
      <w:sz w:val="24"/>
    </w:rPr>
  </w:style>
  <w:style w:type="paragraph" w:styleId="1251">
    <w:name w:val="xl58"/>
    <w:basedOn w:val="1047"/>
    <w:next w:val="1251"/>
    <w:link w:val="104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52">
    <w:name w:val="正文缩进2字符"/>
    <w:basedOn w:val="1047"/>
    <w:next w:val="1252"/>
    <w:link w:val="1047"/>
    <w:pPr>
      <w:ind w:firstLine="200"/>
      <w:spacing w:line="300" w:lineRule="auto"/>
    </w:pPr>
    <w:rPr>
      <w:rFonts w:ascii="仿宋_GB2312" w:hAnsi="Times New Roman" w:eastAsia="仿宋_GB2312" w:cs="Times New Roman"/>
      <w:sz w:val="32"/>
      <w:szCs w:val="32"/>
    </w:rPr>
  </w:style>
  <w:style w:type="paragraph" w:styleId="1253">
    <w:name w:val="正文表标题"/>
    <w:next w:val="1151"/>
    <w:link w:val="1047"/>
    <w:pPr>
      <w:ind w:left="900" w:hanging="420"/>
      <w:jc w:val="center"/>
      <w:tabs>
        <w:tab w:val="left" w:pos="900" w:leader="none"/>
      </w:tabs>
    </w:pPr>
    <w:rPr>
      <w:rFonts w:ascii="黑体" w:eastAsia="黑体"/>
      <w:sz w:val="21"/>
      <w:lang w:val="en-US" w:eastAsia="zh-CN" w:bidi="ar-SA"/>
    </w:rPr>
  </w:style>
  <w:style w:type="paragraph" w:styleId="1254">
    <w:name w:val=" Char Char1 Char Char Char Char1 Char Char Char Char Char Char"/>
    <w:basedOn w:val="1047"/>
    <w:next w:val="1254"/>
    <w:link w:val="1047"/>
    <w:rPr>
      <w:rFonts w:ascii="Tahoma" w:hAnsi="Tahoma" w:eastAsia="宋体" w:cs="Times New Roman"/>
      <w:sz w:val="24"/>
    </w:rPr>
  </w:style>
  <w:style w:type="paragraph" w:styleId="1255">
    <w:name w:val="段落"/>
    <w:basedOn w:val="1047"/>
    <w:next w:val="1255"/>
    <w:link w:val="1047"/>
    <w:pPr>
      <w:ind w:firstLine="480"/>
      <w:spacing w:line="460" w:lineRule="exact"/>
    </w:pPr>
    <w:rPr>
      <w:rFonts w:ascii="Times New Roman" w:hAnsi="Times New Roman" w:eastAsia="宋体" w:cs="Times New Roman"/>
      <w:sz w:val="24"/>
    </w:rPr>
  </w:style>
  <w:style w:type="paragraph" w:styleId="1256">
    <w:name w:val=" Char Char"/>
    <w:basedOn w:val="1047"/>
    <w:next w:val="1256"/>
    <w:link w:val="1047"/>
    <w:rPr>
      <w:rFonts w:ascii="Tahoma" w:hAnsi="Tahoma" w:eastAsia="宋体" w:cs="Times New Roman"/>
      <w:sz w:val="24"/>
    </w:rPr>
  </w:style>
  <w:style w:type="paragraph" w:styleId="1257">
    <w:name w:val="xl44"/>
    <w:basedOn w:val="1047"/>
    <w:next w:val="1257"/>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58">
    <w:name w:val="flNote"/>
    <w:basedOn w:val="1047"/>
    <w:next w:val="1258"/>
    <w:link w:val="1047"/>
    <w:pPr>
      <w:jc w:val="center"/>
      <w:spacing w:before="567" w:line="360" w:lineRule="atLeast"/>
    </w:pPr>
    <w:rPr>
      <w:rFonts w:ascii="Times New Roman" w:hAnsi="Times New Roman" w:eastAsia="黑体" w:cs="Times New Roman"/>
      <w:b/>
      <w:sz w:val="24"/>
    </w:rPr>
  </w:style>
  <w:style w:type="paragraph" w:styleId="1259">
    <w:name w:val="正文文本 New New"/>
    <w:basedOn w:val="1047"/>
    <w:next w:val="1259"/>
    <w:link w:val="1047"/>
    <w:pPr>
      <w:ind w:firstLine="200"/>
      <w:spacing w:before="60" w:after="60" w:line="360" w:lineRule="auto"/>
      <w:widowControl/>
    </w:pPr>
    <w:rPr>
      <w:rFonts w:ascii="Times New Roman" w:hAnsi="Times New Roman" w:eastAsia="华文楷体" w:cs="Times New Roman"/>
      <w:sz w:val="24"/>
      <w:szCs w:val="24"/>
    </w:rPr>
  </w:style>
  <w:style w:type="paragraph" w:styleId="1260">
    <w:name w:val=" Char1"/>
    <w:basedOn w:val="1047"/>
    <w:next w:val="1260"/>
    <w:link w:val="1047"/>
    <w:pPr>
      <w:jc w:val="left"/>
      <w:spacing w:after="160" w:line="240" w:lineRule="exact"/>
      <w:widowControl/>
    </w:pPr>
    <w:rPr>
      <w:rFonts w:ascii="Verdana" w:hAnsi="Verdana" w:eastAsia="仿宋_GB2312" w:cs="Times New Roman"/>
      <w:sz w:val="24"/>
      <w:lang w:eastAsia="en-US"/>
    </w:rPr>
  </w:style>
  <w:style w:type="paragraph" w:styleId="1261">
    <w:name w:val="xl30"/>
    <w:basedOn w:val="1047"/>
    <w:next w:val="1261"/>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2">
    <w:name w:val="列表内容"/>
    <w:basedOn w:val="1047"/>
    <w:next w:val="1047"/>
    <w:link w:val="1047"/>
    <w:pPr>
      <w:ind w:left="840" w:hanging="420"/>
      <w:jc w:val="left"/>
      <w:widowControl/>
      <w:tabs>
        <w:tab w:val="left" w:pos="840" w:leader="none"/>
      </w:tabs>
    </w:pPr>
    <w:rPr>
      <w:rFonts w:ascii="Times New Roman" w:hAnsi="Times New Roman" w:eastAsia="宋体" w:cs="Times New Roman"/>
      <w:sz w:val="18"/>
      <w:szCs w:val="24"/>
    </w:rPr>
  </w:style>
  <w:style w:type="paragraph" w:styleId="1263">
    <w:name w:val="样式 样式 首行缩进:  0.74 厘米 行距: 1.5 倍行距 + 段后: 0.5 行"/>
    <w:basedOn w:val="1047"/>
    <w:next w:val="1263"/>
    <w:link w:val="1047"/>
    <w:pPr>
      <w:ind w:firstLine="420"/>
      <w:spacing w:line="360" w:lineRule="auto"/>
    </w:pPr>
    <w:rPr>
      <w:rFonts w:ascii="楷体_GB2312" w:hAnsi="Times New Roman" w:eastAsia="楷体_GB2312" w:cs="Times New Roman"/>
      <w:bCs/>
      <w:sz w:val="24"/>
    </w:rPr>
  </w:style>
  <w:style w:type="paragraph" w:styleId="1264">
    <w:name w:val="文档正文"/>
    <w:basedOn w:val="1047"/>
    <w:next w:val="1264"/>
    <w:link w:val="1047"/>
    <w:pPr>
      <w:spacing w:line="360" w:lineRule="auto"/>
    </w:pPr>
    <w:rPr>
      <w:rFonts w:ascii="宋体" w:hAnsi="宋体" w:eastAsia="宋体" w:cs="Times New Roman"/>
      <w:b/>
      <w:bCs/>
      <w:szCs w:val="24"/>
    </w:rPr>
  </w:style>
  <w:style w:type="paragraph" w:styleId="1265">
    <w:name w:val="_Style 1"/>
    <w:basedOn w:val="1047"/>
    <w:next w:val="1265"/>
    <w:link w:val="1047"/>
    <w:pPr>
      <w:ind w:firstLine="420"/>
    </w:pPr>
    <w:rPr>
      <w:rFonts w:ascii="Calibri" w:hAnsi="Calibri" w:eastAsia="宋体" w:cs="Times New Roman"/>
      <w:szCs w:val="22"/>
    </w:rPr>
  </w:style>
  <w:style w:type="paragraph" w:styleId="1266">
    <w:name w:val="马刚标题3"/>
    <w:basedOn w:val="1047"/>
    <w:next w:val="1047"/>
    <w:link w:val="1047"/>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67">
    <w:name w:val="马刚标题4"/>
    <w:basedOn w:val="1266"/>
    <w:next w:val="1047"/>
    <w:link w:val="1047"/>
    <w:pPr>
      <w:spacing w:before="100" w:after="40"/>
      <w:tabs>
        <w:tab w:val="left" w:pos="1050" w:leader="none"/>
      </w:tabs>
      <w:outlineLvl w:val="3"/>
    </w:pPr>
    <w:rPr>
      <w:rFonts w:ascii="Times New Roman" w:hAnsi="Times New Roman" w:eastAsia="宋体" w:cs="Times New Roman"/>
      <w:b w:val="0"/>
    </w:rPr>
  </w:style>
  <w:style w:type="paragraph" w:styleId="1268">
    <w:name w:val="四号正文"/>
    <w:basedOn w:val="1047"/>
    <w:next w:val="1268"/>
    <w:link w:val="1047"/>
    <w:pPr>
      <w:ind w:firstLine="560"/>
      <w:spacing w:before="0" w:after="0"/>
    </w:pPr>
    <w:rPr>
      <w:rFonts w:ascii="Times New Roman" w:hAnsi="Times New Roman" w:eastAsia="宋体" w:cs="Times New Roman"/>
      <w:sz w:val="28"/>
      <w:szCs w:val="28"/>
    </w:rPr>
  </w:style>
  <w:style w:type="paragraph" w:styleId="1269">
    <w:name w:val="flName"/>
    <w:basedOn w:val="1258"/>
    <w:next w:val="1269"/>
    <w:link w:val="1047"/>
    <w:pPr>
      <w:spacing w:before="0" w:line="113" w:lineRule="atLeast"/>
    </w:pPr>
    <w:rPr>
      <w:rFonts w:ascii="Times New Roman" w:hAnsi="Times New Roman" w:eastAsia="宋体" w:cs="Times New Roman"/>
    </w:rPr>
  </w:style>
  <w:style w:type="paragraph" w:styleId="1270">
    <w:name w:val="表格内容"/>
    <w:basedOn w:val="1047"/>
    <w:next w:val="1270"/>
    <w:link w:val="1047"/>
    <w:pPr>
      <w:jc w:val="center"/>
      <w:spacing w:before="60" w:line="300" w:lineRule="auto"/>
      <w:widowControl/>
    </w:pPr>
    <w:rPr>
      <w:rFonts w:ascii="Times New Roman" w:hAnsi="Times New Roman" w:eastAsia="宋体" w:cs="Times New Roman"/>
    </w:rPr>
  </w:style>
  <w:style w:type="paragraph" w:styleId="1271">
    <w:name w:val="丁华正文"/>
    <w:basedOn w:val="1111"/>
    <w:next w:val="1271"/>
    <w:link w:val="1047"/>
    <w:pPr>
      <w:ind w:left="0" w:firstLine="510"/>
      <w:spacing w:line="360" w:lineRule="auto"/>
    </w:pPr>
    <w:rPr>
      <w:rFonts w:ascii="Times New Roman" w:hAnsi="Times New Roman" w:eastAsia="宋体" w:cs="Times New Roman"/>
      <w:color w:val="000000"/>
      <w:sz w:val="24"/>
      <w:szCs w:val="16"/>
    </w:rPr>
  </w:style>
  <w:style w:type="paragraph" w:styleId="1272">
    <w:name w:val="丁华标题1"/>
    <w:basedOn w:val="1048"/>
    <w:next w:val="1271"/>
    <w:link w:val="1047"/>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73">
    <w:name w:val=" Char1 Char Char Char"/>
    <w:basedOn w:val="1047"/>
    <w:next w:val="1273"/>
    <w:link w:val="1047"/>
    <w:rPr>
      <w:rFonts w:ascii="Tahoma" w:hAnsi="Tahoma" w:eastAsia="宋体" w:cs="Times New Roman"/>
      <w:sz w:val="24"/>
    </w:rPr>
  </w:style>
  <w:style w:type="paragraph" w:styleId="1274">
    <w:name w:val="正文 + 宋体"/>
    <w:basedOn w:val="1047"/>
    <w:next w:val="1274"/>
    <w:link w:val="1047"/>
    <w:pPr>
      <w:ind w:firstLine="420"/>
      <w:spacing w:line="360" w:lineRule="auto"/>
    </w:pPr>
    <w:rPr>
      <w:rFonts w:ascii="Times New Roman" w:hAnsi="Times New Roman" w:eastAsia="宋体" w:cs="Times New Roman"/>
      <w:szCs w:val="24"/>
    </w:rPr>
  </w:style>
  <w:style w:type="paragraph" w:styleId="1275">
    <w:name w:val="二级标题"/>
    <w:basedOn w:val="1047"/>
    <w:next w:val="1275"/>
    <w:link w:val="1047"/>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76">
    <w:name w:val="Char Char Char Char Char Char Char Char Char Char Char"/>
    <w:basedOn w:val="1047"/>
    <w:next w:val="1276"/>
    <w:link w:val="1047"/>
    <w:rPr>
      <w:rFonts w:ascii="Tahoma" w:hAnsi="Tahoma" w:eastAsia="宋体" w:cs="Tahoma"/>
      <w:sz w:val="24"/>
    </w:rPr>
  </w:style>
  <w:style w:type="paragraph" w:styleId="1277">
    <w:name w:val="xl49"/>
    <w:basedOn w:val="1047"/>
    <w:next w:val="1277"/>
    <w:link w:val="104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78">
    <w:name w:val="Char Char1"/>
    <w:basedOn w:val="1047"/>
    <w:next w:val="1278"/>
    <w:link w:val="1047"/>
    <w:rPr>
      <w:rFonts w:ascii="Tahoma" w:hAnsi="Tahoma" w:eastAsia="宋体" w:cs="Tahoma"/>
      <w:sz w:val="24"/>
    </w:rPr>
  </w:style>
  <w:style w:type="paragraph" w:styleId="1279">
    <w:name w:val="List Paragraph"/>
    <w:basedOn w:val="1047"/>
    <w:next w:val="1279"/>
    <w:link w:val="1047"/>
    <w:pPr>
      <w:contextualSpacing/>
      <w:ind w:left="720"/>
      <w:jc w:val="left"/>
      <w:widowControl/>
    </w:pPr>
    <w:rPr>
      <w:rFonts w:ascii="Arial" w:hAnsi="Arial" w:eastAsia="黑体" w:cs="Times New Roman"/>
      <w:sz w:val="24"/>
      <w:szCs w:val="24"/>
      <w:lang w:eastAsia="en-US"/>
    </w:rPr>
  </w:style>
  <w:style w:type="paragraph" w:styleId="1280">
    <w:name w:val="样式"/>
    <w:basedOn w:val="1047"/>
    <w:next w:val="1280"/>
    <w:link w:val="1047"/>
    <w:pPr>
      <w:spacing w:before="120" w:after="120" w:line="360" w:lineRule="auto"/>
    </w:pPr>
    <w:rPr>
      <w:rFonts w:ascii="宋体" w:hAnsi="Times New Roman" w:eastAsia="宋体" w:cs="Times New Roman"/>
      <w:sz w:val="24"/>
    </w:rPr>
  </w:style>
  <w:style w:type="paragraph" w:styleId="1281">
    <w:name w:val="font14"/>
    <w:basedOn w:val="1047"/>
    <w:next w:val="1281"/>
    <w:link w:val="1047"/>
    <w:pPr>
      <w:jc w:val="left"/>
      <w:spacing w:before="100" w:beforeAutospacing="1" w:after="100" w:afterAutospacing="1"/>
      <w:widowControl/>
    </w:pPr>
    <w:rPr>
      <w:rFonts w:ascii="Times New Roman" w:hAnsi="Times New Roman" w:eastAsia="宋体" w:cs="Times New Roman"/>
      <w:sz w:val="36"/>
      <w:szCs w:val="36"/>
    </w:rPr>
  </w:style>
  <w:style w:type="paragraph" w:styleId="1282">
    <w:name w:val="正文 首行缩进:  2 字符 Char Char"/>
    <w:basedOn w:val="1047"/>
    <w:next w:val="1282"/>
    <w:link w:val="1047"/>
    <w:pPr>
      <w:ind w:firstLine="480"/>
      <w:spacing w:line="360" w:lineRule="auto"/>
    </w:pPr>
    <w:rPr>
      <w:rFonts w:ascii="楷体_GB2312" w:hAnsi="Times New Roman" w:eastAsia="楷体_GB2312" w:cs="Times New Roman"/>
      <w:bCs/>
      <w:sz w:val="24"/>
      <w:szCs w:val="24"/>
    </w:rPr>
  </w:style>
  <w:style w:type="paragraph" w:styleId="1283">
    <w:name w:val="样式1"/>
    <w:basedOn w:val="1047"/>
    <w:next w:val="1283"/>
    <w:link w:val="1047"/>
    <w:pPr>
      <w:ind w:firstLine="480"/>
      <w:spacing w:line="300" w:lineRule="auto"/>
    </w:pPr>
    <w:rPr>
      <w:rFonts w:ascii="Times New Roman" w:hAnsi="Times New Roman" w:eastAsia="宋体" w:cs="Times New Roman"/>
      <w:sz w:val="24"/>
      <w:szCs w:val="24"/>
    </w:rPr>
  </w:style>
  <w:style w:type="paragraph" w:styleId="1284">
    <w:name w:val="Char Char Char Char Char"/>
    <w:basedOn w:val="1047"/>
    <w:next w:val="1284"/>
    <w:link w:val="1047"/>
    <w:rPr>
      <w:rFonts w:ascii="Tahoma" w:hAnsi="Tahoma" w:eastAsia="宋体" w:cs="Tahoma"/>
      <w:sz w:val="24"/>
    </w:rPr>
  </w:style>
  <w:style w:type="paragraph" w:styleId="1285">
    <w:name w:val="xl31"/>
    <w:basedOn w:val="1047"/>
    <w:next w:val="1285"/>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6">
    <w:name w:val="正文 首行缩进:  2 字符 Char"/>
    <w:basedOn w:val="1047"/>
    <w:next w:val="1286"/>
    <w:link w:val="1047"/>
    <w:pPr>
      <w:ind w:firstLine="480"/>
      <w:spacing w:line="360" w:lineRule="auto"/>
    </w:pPr>
    <w:rPr>
      <w:rFonts w:ascii="Times New Roman" w:hAnsi="Times New Roman" w:eastAsia="宋体" w:cs="宋体"/>
      <w:sz w:val="24"/>
    </w:rPr>
  </w:style>
  <w:style w:type="paragraph" w:styleId="1287">
    <w:name w:val=" Char Char Char Char Char Char Char Char Char Char Char"/>
    <w:basedOn w:val="1047"/>
    <w:next w:val="1287"/>
    <w:link w:val="1047"/>
    <w:rPr>
      <w:rFonts w:ascii="Tahoma" w:hAnsi="Tahoma" w:eastAsia="宋体" w:cs="Times New Roman"/>
      <w:sz w:val="24"/>
    </w:rPr>
  </w:style>
  <w:style w:type="paragraph" w:styleId="1288">
    <w:name w:val="列出段落"/>
    <w:basedOn w:val="1047"/>
    <w:next w:val="1288"/>
    <w:link w:val="1047"/>
    <w:qFormat/>
    <w:pPr>
      <w:ind w:firstLine="420"/>
    </w:pPr>
    <w:rPr>
      <w:rFonts w:ascii="Times New Roman" w:hAnsi="Times New Roman" w:eastAsia="宋体" w:cs="Times New Roman"/>
      <w:szCs w:val="24"/>
    </w:rPr>
  </w:style>
  <w:style w:type="paragraph" w:styleId="1289">
    <w:name w:val="No Spacing"/>
    <w:next w:val="1289"/>
    <w:link w:val="1047"/>
    <w:pPr>
      <w:jc w:val="both"/>
      <w:widowControl w:val="off"/>
    </w:pPr>
    <w:rPr>
      <w:rFonts w:eastAsia="微软雅黑"/>
      <w:sz w:val="24"/>
      <w:szCs w:val="22"/>
      <w:lang w:val="en-US" w:eastAsia="zh-CN" w:bidi="ar-SA"/>
    </w:rPr>
  </w:style>
  <w:style w:type="paragraph" w:styleId="1290">
    <w:name w:val="retrait3"/>
    <w:basedOn w:val="1047"/>
    <w:next w:val="1290"/>
    <w:link w:val="1047"/>
    <w:pPr>
      <w:ind w:left="851"/>
      <w:jc w:val="left"/>
      <w:spacing w:before="20" w:after="20"/>
      <w:widowControl/>
    </w:pPr>
    <w:rPr>
      <w:rFonts w:ascii="Arial" w:hAnsi="Arial" w:eastAsia="宋体" w:cs="Times New Roman"/>
      <w:sz w:val="24"/>
      <w:lang w:val="en-GB"/>
    </w:rPr>
  </w:style>
  <w:style w:type="paragraph" w:styleId="1291">
    <w:name w:val="tableau"/>
    <w:basedOn w:val="1047"/>
    <w:next w:val="1291"/>
    <w:link w:val="1047"/>
    <w:pPr>
      <w:jc w:val="center"/>
      <w:spacing w:before="20" w:after="20"/>
      <w:widowControl/>
    </w:pPr>
    <w:rPr>
      <w:rFonts w:ascii="Arial" w:hAnsi="Arial" w:eastAsia="宋体" w:cs="Times New Roman"/>
      <w:sz w:val="16"/>
      <w:lang w:val="en-GB" w:eastAsia="en-US"/>
    </w:rPr>
  </w:style>
  <w:style w:type="paragraph" w:styleId="1292">
    <w:name w:val="xl36"/>
    <w:basedOn w:val="1047"/>
    <w:next w:val="1292"/>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3">
    <w:name w:val="Char Char1 Char Char Char Char"/>
    <w:basedOn w:val="1075"/>
    <w:next w:val="1293"/>
    <w:link w:val="1047"/>
    <w:pPr>
      <w:ind w:left="357"/>
      <w:jc w:val="left"/>
      <w:spacing w:line="436" w:lineRule="exact"/>
      <w:outlineLvl w:val="3"/>
    </w:pPr>
    <w:rPr>
      <w:rFonts w:ascii="Tahoma" w:hAnsi="Tahoma" w:eastAsia="宋体" w:cs="Tahoma"/>
      <w:b/>
      <w:sz w:val="24"/>
      <w:szCs w:val="24"/>
    </w:rPr>
  </w:style>
  <w:style w:type="paragraph" w:styleId="1294">
    <w:name w:val="_Style 42"/>
    <w:basedOn w:val="1047"/>
    <w:next w:val="1083"/>
    <w:link w:val="1047"/>
    <w:rPr>
      <w:rFonts w:ascii="楷体_GB2312" w:hAnsi="Arial" w:eastAsia="楷体_GB2312" w:cs="Times New Roman"/>
      <w:sz w:val="28"/>
    </w:rPr>
  </w:style>
  <w:style w:type="paragraph" w:styleId="1295">
    <w:name w:val="xl28"/>
    <w:basedOn w:val="1047"/>
    <w:next w:val="1295"/>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6">
    <w:name w:val="正文格式"/>
    <w:basedOn w:val="1047"/>
    <w:next w:val="1296"/>
    <w:link w:val="1047"/>
    <w:pPr>
      <w:ind w:left="178" w:right="44" w:hanging="178"/>
      <w:jc w:val="left"/>
      <w:spacing w:before="78" w:line="360" w:lineRule="auto"/>
      <w:widowControl/>
    </w:pPr>
    <w:rPr>
      <w:rFonts w:ascii="宋体" w:hAnsi="宋体" w:eastAsia="宋体" w:cs="Times New Roman"/>
      <w:bCs/>
      <w:szCs w:val="21"/>
    </w:rPr>
  </w:style>
  <w:style w:type="paragraph" w:styleId="1297">
    <w:name w:val="项目符号，一级"/>
    <w:basedOn w:val="1296"/>
    <w:next w:val="1296"/>
    <w:link w:val="1047"/>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98">
    <w:name w:val="xl37"/>
    <w:basedOn w:val="1047"/>
    <w:next w:val="1298"/>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9">
    <w:name w:val="项目符号，二级"/>
    <w:basedOn w:val="1296"/>
    <w:next w:val="1296"/>
    <w:link w:val="1047"/>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300">
    <w:name w:val="xl59"/>
    <w:basedOn w:val="1047"/>
    <w:next w:val="1300"/>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1">
    <w:name w:val="小四 段落 宋体 Char"/>
    <w:basedOn w:val="1073"/>
    <w:next w:val="1301"/>
    <w:link w:val="1047"/>
    <w:pPr>
      <w:ind w:left="0" w:right="-33" w:firstLine="600"/>
      <w:jc w:val="left"/>
      <w:tabs>
        <w:tab w:val="clear" w:pos="2952" w:leader="none"/>
      </w:tabs>
    </w:pPr>
    <w:rPr>
      <w:rFonts w:ascii="仿宋_GB2312" w:hAnsi="Times New Roman" w:eastAsia="仿宋_GB2312" w:cs="Times New Roman"/>
      <w:sz w:val="30"/>
      <w:szCs w:val="30"/>
    </w:rPr>
  </w:style>
  <w:style w:type="paragraph" w:styleId="1302">
    <w:name w:val="xl60"/>
    <w:basedOn w:val="1047"/>
    <w:next w:val="1302"/>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03">
    <w:name w:val="Char Char Char Char Char Char Char Char Char Char Char Char Char"/>
    <w:basedOn w:val="1047"/>
    <w:next w:val="1303"/>
    <w:link w:val="1047"/>
    <w:pPr>
      <w:jc w:val="left"/>
      <w:spacing w:after="160" w:line="240" w:lineRule="exact"/>
      <w:widowControl/>
    </w:pPr>
    <w:rPr>
      <w:rFonts w:ascii="Times New Roman" w:hAnsi="Times New Roman" w:eastAsia="宋体" w:cs="Times New Roman"/>
      <w:szCs w:val="24"/>
    </w:rPr>
  </w:style>
  <w:style w:type="paragraph" w:styleId="1304">
    <w:name w:val="表头_5"/>
    <w:basedOn w:val="1047"/>
    <w:next w:val="1304"/>
    <w:link w:val="1047"/>
    <w:pPr>
      <w:spacing w:line="360" w:lineRule="auto"/>
    </w:pPr>
    <w:rPr>
      <w:rFonts w:ascii="Times New Roman" w:hAnsi="Times New Roman" w:eastAsia="宋体" w:cs="Times New Roman"/>
      <w:b/>
      <w:bCs/>
      <w:sz w:val="28"/>
      <w:szCs w:val="21"/>
    </w:rPr>
  </w:style>
  <w:style w:type="paragraph" w:styleId="1305">
    <w:name w:val="样式 标题 3H3sect1.2.3BOD 0Heading 3 - oldh3l3CTLevel 3 Head..."/>
    <w:basedOn w:val="1050"/>
    <w:next w:val="1305"/>
    <w:link w:val="1047"/>
    <w:pPr>
      <w:jc w:val="left"/>
      <w:spacing w:before="156" w:after="156"/>
    </w:pPr>
    <w:rPr>
      <w:rFonts w:ascii="Times New Roman" w:hAnsi="Times New Roman" w:eastAsia="宋体" w:cs="宋体"/>
      <w:bCs/>
      <w:sz w:val="30"/>
    </w:rPr>
  </w:style>
  <w:style w:type="paragraph" w:styleId="1306">
    <w:name w:val="样式2"/>
    <w:basedOn w:val="1047"/>
    <w:next w:val="1306"/>
    <w:link w:val="1047"/>
    <w:pPr>
      <w:ind w:left="200"/>
      <w:spacing w:line="360" w:lineRule="auto"/>
    </w:pPr>
    <w:rPr>
      <w:rFonts w:ascii="宋体" w:hAnsi="宋体" w:eastAsia="宋体" w:cs="Times New Roman"/>
      <w:b/>
      <w:sz w:val="24"/>
      <w:szCs w:val="24"/>
    </w:rPr>
  </w:style>
  <w:style w:type="paragraph" w:styleId="1307">
    <w:name w:val=" Char Char Char Char Char Char Char"/>
    <w:basedOn w:val="1047"/>
    <w:next w:val="1307"/>
    <w:link w:val="1047"/>
    <w:rPr>
      <w:rFonts w:ascii="Tahoma" w:hAnsi="Tahoma" w:eastAsia="宋体" w:cs="Times New Roman"/>
      <w:sz w:val="24"/>
    </w:rPr>
  </w:style>
  <w:style w:type="paragraph" w:styleId="1308">
    <w:name w:val="Default Text"/>
    <w:basedOn w:val="1047"/>
    <w:next w:val="1308"/>
    <w:link w:val="1047"/>
    <w:pPr>
      <w:jc w:val="left"/>
      <w:widowControl/>
    </w:pPr>
    <w:rPr>
      <w:rFonts w:ascii="Times New Roman" w:hAnsi="Times New Roman" w:eastAsia="宋体" w:cs="Times New Roman"/>
      <w:sz w:val="24"/>
      <w:lang w:eastAsia="en-US"/>
    </w:rPr>
  </w:style>
  <w:style w:type="paragraph" w:styleId="1309">
    <w:name w:val="Char Char Char Char Char Char Char Char Char Char Char Char Char Char Char Char Char Char Char Char Char Char Char"/>
    <w:basedOn w:val="1047"/>
    <w:next w:val="1309"/>
    <w:link w:val="1047"/>
    <w:rPr>
      <w:rFonts w:ascii="Tahoma" w:hAnsi="Tahoma" w:eastAsia="宋体" w:cs="Tahoma"/>
      <w:sz w:val="24"/>
    </w:rPr>
  </w:style>
  <w:style w:type="paragraph" w:styleId="1310">
    <w:name w:val="Bullets L1"/>
    <w:basedOn w:val="1047"/>
    <w:next w:val="1310"/>
    <w:link w:val="1047"/>
    <w:pPr>
      <w:numPr>
        <w:ilvl w:val="0"/>
        <w:numId w:val="2"/>
      </w:numPr>
      <w:jc w:val="left"/>
      <w:spacing w:before="60" w:after="60"/>
      <w:widowControl/>
      <w:tabs>
        <w:tab w:val="left" w:pos="360" w:leader="none"/>
      </w:tabs>
    </w:pPr>
    <w:rPr>
      <w:rFonts w:ascii="Arial" w:hAnsi="Arial" w:eastAsia="宋体" w:cs="Times New Roman"/>
      <w:sz w:val="20"/>
    </w:rPr>
  </w:style>
  <w:style w:type="paragraph" w:styleId="1311">
    <w:name w:val=" Char Char Char Char Char Char Char Char Char Char Char Char Char"/>
    <w:basedOn w:val="1075"/>
    <w:next w:val="1311"/>
    <w:link w:val="1047"/>
    <w:rPr>
      <w:rFonts w:ascii="Tahoma" w:hAnsi="Tahoma" w:eastAsia="宋体" w:cs="Times New Roman"/>
      <w:sz w:val="24"/>
      <w:szCs w:val="24"/>
    </w:rPr>
  </w:style>
  <w:style w:type="paragraph" w:styleId="1312">
    <w:name w:val="默认段落字体 Para Char"/>
    <w:basedOn w:val="1047"/>
    <w:next w:val="1312"/>
    <w:link w:val="1047"/>
    <w:rPr>
      <w:rFonts w:ascii="Times New Roman" w:hAnsi="Times New Roman" w:eastAsia="宋体" w:cs="Times New Roman"/>
      <w:sz w:val="24"/>
      <w:szCs w:val="24"/>
    </w:rPr>
  </w:style>
  <w:style w:type="paragraph" w:styleId="1313">
    <w:name w:val="标准小四"/>
    <w:basedOn w:val="1047"/>
    <w:next w:val="1313"/>
    <w:link w:val="1047"/>
    <w:pPr>
      <w:ind w:firstLine="480"/>
      <w:spacing w:line="360" w:lineRule="auto"/>
    </w:pPr>
    <w:rPr>
      <w:rFonts w:ascii="Arial" w:hAnsi="Arial" w:eastAsia="宋体" w:cs="Times New Roman"/>
      <w:sz w:val="24"/>
      <w:szCs w:val="21"/>
    </w:rPr>
  </w:style>
  <w:style w:type="paragraph" w:styleId="1314">
    <w:name w:val="马刚标题1"/>
    <w:basedOn w:val="1048"/>
    <w:next w:val="1047"/>
    <w:link w:val="1047"/>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15">
    <w:name w:val="font13"/>
    <w:basedOn w:val="1047"/>
    <w:next w:val="1315"/>
    <w:link w:val="1047"/>
    <w:pPr>
      <w:jc w:val="left"/>
      <w:spacing w:before="100" w:beforeAutospacing="1" w:after="100" w:afterAutospacing="1"/>
      <w:widowControl/>
    </w:pPr>
    <w:rPr>
      <w:rFonts w:ascii="Times New Roman" w:hAnsi="Times New Roman" w:eastAsia="宋体" w:cs="Times New Roman"/>
      <w:i/>
      <w:iCs/>
      <w:sz w:val="36"/>
      <w:szCs w:val="36"/>
    </w:rPr>
  </w:style>
  <w:style w:type="paragraph" w:styleId="1316">
    <w:name w:val="font11"/>
    <w:basedOn w:val="1047"/>
    <w:next w:val="1316"/>
    <w:link w:val="1047"/>
    <w:pPr>
      <w:jc w:val="left"/>
      <w:spacing w:before="100" w:beforeAutospacing="1" w:after="100" w:afterAutospacing="1"/>
      <w:widowControl/>
    </w:pPr>
    <w:rPr>
      <w:rFonts w:ascii="Times New Roman" w:hAnsi="Times New Roman" w:eastAsia="宋体" w:cs="Times New Roman"/>
      <w:b/>
      <w:bCs/>
      <w:sz w:val="18"/>
      <w:szCs w:val="18"/>
    </w:rPr>
  </w:style>
  <w:style w:type="paragraph" w:styleId="1317">
    <w:name w:val="00-表格的正文"/>
    <w:basedOn w:val="1047"/>
    <w:next w:val="1317"/>
    <w:link w:val="1047"/>
    <w:pPr>
      <w:jc w:val="left"/>
      <w:spacing w:line="440" w:lineRule="exact"/>
    </w:pPr>
    <w:rPr>
      <w:rFonts w:ascii="楷体" w:hAnsi="楷体" w:eastAsia="宋体" w:cs="Times New Roman"/>
      <w:color w:val="000000"/>
      <w:sz w:val="20"/>
      <w:szCs w:val="24"/>
    </w:rPr>
  </w:style>
  <w:style w:type="paragraph" w:styleId="1318">
    <w:name w:val="a0"/>
    <w:basedOn w:val="1047"/>
    <w:next w:val="1318"/>
    <w:link w:val="1047"/>
    <w:pPr>
      <w:spacing w:before="100" w:beforeAutospacing="1" w:after="100" w:afterAutospacing="1"/>
      <w:widowControl/>
    </w:pPr>
    <w:rPr>
      <w:rFonts w:ascii="宋体" w:hAnsi="宋体" w:eastAsia="宋体" w:cs="宋体"/>
      <w:sz w:val="24"/>
      <w:szCs w:val="24"/>
    </w:rPr>
  </w:style>
  <w:style w:type="paragraph" w:styleId="1319">
    <w:name w:val="xl32"/>
    <w:basedOn w:val="1047"/>
    <w:next w:val="131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0">
    <w:name w:val="Char Char Char Char Char Char Char Char"/>
    <w:basedOn w:val="1047"/>
    <w:next w:val="1320"/>
    <w:link w:val="1047"/>
    <w:rPr>
      <w:rFonts w:ascii="Tahoma" w:hAnsi="Tahoma" w:eastAsia="宋体" w:cs="Tahoma"/>
      <w:sz w:val="24"/>
    </w:rPr>
  </w:style>
  <w:style w:type="paragraph" w:styleId="1321">
    <w:name w:val="正文文本 21"/>
    <w:basedOn w:val="1047"/>
    <w:next w:val="1321"/>
    <w:link w:val="1047"/>
    <w:pPr>
      <w:ind w:left="720" w:hanging="720"/>
      <w:widowControl/>
    </w:pPr>
    <w:rPr>
      <w:rFonts w:ascii="Times New Roman" w:hAnsi="Times New Roman" w:eastAsia="宋体" w:cs="Times New Roman"/>
      <w:sz w:val="24"/>
      <w:lang w:val="en-GB"/>
    </w:rPr>
  </w:style>
  <w:style w:type="paragraph" w:styleId="1322">
    <w:name w:val="项目符号：一级"/>
    <w:basedOn w:val="1296"/>
    <w:next w:val="1296"/>
    <w:link w:val="1047"/>
    <w:pPr>
      <w:ind w:right="-134"/>
    </w:pPr>
    <w:rPr>
      <w:rFonts w:ascii="Times New Roman" w:hAnsi="Times New Roman" w:eastAsia="宋体" w:cs="Times New Roman"/>
      <w:bCs w:val="0"/>
    </w:rPr>
  </w:style>
  <w:style w:type="paragraph" w:styleId="1323">
    <w:name w:val="符号与编号 Char"/>
    <w:basedOn w:val="1047"/>
    <w:next w:val="1323"/>
    <w:link w:val="1047"/>
    <w:pPr>
      <w:ind w:left="720"/>
      <w:spacing w:after="156" w:line="400" w:lineRule="atLeast"/>
      <w:tabs>
        <w:tab w:val="left" w:pos="720" w:leader="none"/>
      </w:tabs>
    </w:pPr>
    <w:rPr>
      <w:rFonts w:ascii="Times New Roman" w:hAnsi="Times New Roman" w:eastAsia="宋体" w:cs="Times New Roman"/>
      <w:sz w:val="24"/>
      <w:szCs w:val="24"/>
    </w:rPr>
  </w:style>
  <w:style w:type="paragraph" w:styleId="1324">
    <w:name w:val="a"/>
    <w:basedOn w:val="1047"/>
    <w:next w:val="1324"/>
    <w:link w:val="1047"/>
    <w:pPr>
      <w:spacing w:before="100" w:beforeAutospacing="1" w:after="100" w:afterAutospacing="1"/>
      <w:widowControl/>
    </w:pPr>
    <w:rPr>
      <w:rFonts w:ascii="宋体" w:hAnsi="宋体" w:eastAsia="宋体" w:cs="宋体"/>
      <w:sz w:val="24"/>
      <w:szCs w:val="24"/>
    </w:rPr>
  </w:style>
  <w:style w:type="paragraph" w:styleId="1325">
    <w:name w:val="xl57"/>
    <w:basedOn w:val="1047"/>
    <w:next w:val="1325"/>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26">
    <w:name w:val="正文1"/>
    <w:basedOn w:val="1047"/>
    <w:next w:val="1047"/>
    <w:link w:val="1047"/>
    <w:pPr>
      <w:ind w:firstLine="510"/>
      <w:spacing w:before="156" w:line="360" w:lineRule="auto"/>
    </w:pPr>
    <w:rPr>
      <w:rFonts w:ascii="Times New Roman" w:hAnsi="Times New Roman" w:eastAsia="宋体" w:cs="Times New Roman"/>
      <w:sz w:val="24"/>
    </w:rPr>
  </w:style>
  <w:style w:type="paragraph" w:styleId="1327">
    <w:name w:val="Char Char Char"/>
    <w:basedOn w:val="1047"/>
    <w:next w:val="1327"/>
    <w:link w:val="1047"/>
    <w:rPr>
      <w:rFonts w:ascii="Tahoma" w:hAnsi="Tahoma" w:eastAsia="宋体" w:cs="Times New Roman"/>
      <w:sz w:val="24"/>
    </w:rPr>
  </w:style>
  <w:style w:type="paragraph" w:styleId="1328">
    <w:name w:val="行文"/>
    <w:basedOn w:val="1047"/>
    <w:next w:val="1328"/>
    <w:link w:val="1047"/>
    <w:pPr>
      <w:ind w:firstLine="624"/>
      <w:spacing w:before="0" w:after="0" w:line="480" w:lineRule="exact"/>
    </w:pPr>
    <w:rPr>
      <w:rFonts w:ascii="Times New Roman" w:hAnsi="Times New Roman" w:eastAsia="仿宋_GB2312" w:cs="Times New Roman"/>
      <w:spacing w:val="8"/>
      <w:sz w:val="30"/>
    </w:rPr>
  </w:style>
  <w:style w:type="paragraph" w:styleId="1329">
    <w:name w:val="font7"/>
    <w:basedOn w:val="1047"/>
    <w:next w:val="1329"/>
    <w:link w:val="1047"/>
    <w:pPr>
      <w:jc w:val="left"/>
      <w:spacing w:before="100" w:beforeAutospacing="1" w:after="100" w:afterAutospacing="1"/>
      <w:widowControl/>
    </w:pPr>
    <w:rPr>
      <w:rFonts w:hint="eastAsia" w:ascii="宋体" w:hAnsi="宋体" w:eastAsia="宋体" w:cs="Times New Roman"/>
      <w:b/>
      <w:bCs/>
      <w:sz w:val="24"/>
      <w:szCs w:val="24"/>
    </w:rPr>
  </w:style>
  <w:style w:type="paragraph" w:styleId="1330">
    <w:name w:val=" Char Char Char Char Char Char Char Char"/>
    <w:basedOn w:val="1047"/>
    <w:next w:val="1330"/>
    <w:link w:val="1047"/>
    <w:rPr>
      <w:rFonts w:ascii="Tahoma" w:hAnsi="Tahoma" w:eastAsia="宋体" w:cs="Times New Roman"/>
      <w:sz w:val="24"/>
    </w:rPr>
  </w:style>
  <w:style w:type="paragraph" w:styleId="1331">
    <w:name w:val="样式 正文缩进2字符 + 左侧:  2 字符 首行缩进:  2 字符"/>
    <w:basedOn w:val="1047"/>
    <w:next w:val="1331"/>
    <w:link w:val="1047"/>
    <w:pPr>
      <w:ind w:firstLine="480"/>
      <w:spacing w:line="360" w:lineRule="auto"/>
    </w:pPr>
    <w:rPr>
      <w:rFonts w:ascii="Times New Roman" w:hAnsi="Times New Roman" w:eastAsia="宋体" w:cs="宋体"/>
      <w:bCs/>
      <w:sz w:val="24"/>
      <w:szCs w:val="20"/>
    </w:rPr>
  </w:style>
  <w:style w:type="paragraph" w:styleId="1332">
    <w:name w:val="表格内文字"/>
    <w:basedOn w:val="1047"/>
    <w:next w:val="1332"/>
    <w:link w:val="1047"/>
    <w:pPr>
      <w:spacing w:line="300" w:lineRule="atLeast"/>
    </w:pPr>
    <w:rPr>
      <w:rFonts w:ascii="Times New Roman" w:hAnsi="Times New Roman" w:eastAsia="宋体" w:cs="Times New Roman"/>
      <w:sz w:val="18"/>
      <w:szCs w:val="24"/>
    </w:rPr>
  </w:style>
  <w:style w:type="paragraph" w:styleId="1333">
    <w:name w:val="xl46"/>
    <w:basedOn w:val="1047"/>
    <w:next w:val="1333"/>
    <w:link w:val="1047"/>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34">
    <w:name w:val=" Char Char Char Char"/>
    <w:basedOn w:val="1047"/>
    <w:next w:val="1334"/>
    <w:link w:val="1047"/>
    <w:pPr>
      <w:jc w:val="center"/>
      <w:spacing w:after="160" w:line="240" w:lineRule="exact"/>
      <w:widowControl/>
    </w:pPr>
    <w:rPr>
      <w:rFonts w:ascii="黑体" w:hAnsi="Verdana" w:eastAsia="黑体" w:cs="Times New Roman"/>
      <w:sz w:val="32"/>
      <w:szCs w:val="32"/>
      <w:lang w:eastAsia="en-US"/>
    </w:rPr>
  </w:style>
  <w:style w:type="paragraph" w:styleId="1335">
    <w:name w:val="Normal1"/>
    <w:basedOn w:val="1047"/>
    <w:next w:val="1335"/>
    <w:link w:val="1047"/>
    <w:rPr>
      <w:rFonts w:ascii="Calibri" w:hAnsi="Calibri" w:eastAsia="Calibri" w:cs="宋体"/>
      <w:lang w:val="zh-CN"/>
    </w:rPr>
  </w:style>
  <w:style w:type="paragraph" w:styleId="1336">
    <w:name w:val="样式 小四 行距: 固定值 25 磅8"/>
    <w:basedOn w:val="1047"/>
    <w:next w:val="1047"/>
    <w:link w:val="1047"/>
    <w:pPr>
      <w:ind w:firstLine="464"/>
      <w:spacing w:line="500" w:lineRule="exact"/>
    </w:pPr>
    <w:rPr>
      <w:rFonts w:ascii="Times New Roman" w:hAnsi="Times New Roman" w:eastAsia="宋体" w:cs="宋体"/>
      <w:sz w:val="24"/>
    </w:rPr>
  </w:style>
  <w:style w:type="paragraph" w:styleId="1337">
    <w:name w:val=" Char Char1"/>
    <w:basedOn w:val="1047"/>
    <w:next w:val="1337"/>
    <w:link w:val="1047"/>
    <w:rPr>
      <w:rFonts w:ascii="Tahoma" w:hAnsi="Tahoma" w:eastAsia="宋体" w:cs="Times New Roman"/>
      <w:sz w:val="24"/>
    </w:rPr>
  </w:style>
  <w:style w:type="paragraph" w:styleId="1338">
    <w:name w:val="af17cgridlangnp1033langf"/>
    <w:next w:val="1338"/>
    <w:link w:val="1047"/>
    <w:pPr>
      <w:ind w:left="567" w:firstLine="510"/>
      <w:jc w:val="both"/>
      <w:spacing w:before="156" w:line="360" w:lineRule="atLeast"/>
      <w:widowControl w:val="off"/>
    </w:pPr>
    <w:rPr>
      <w:lang w:val="en-US" w:eastAsia="zh-CN" w:bidi="ar-SA"/>
    </w:rPr>
  </w:style>
  <w:style w:type="paragraph" w:styleId="1339">
    <w:name w:val="华宇段落1 Char"/>
    <w:basedOn w:val="1047"/>
    <w:next w:val="1339"/>
    <w:link w:val="1047"/>
    <w:pPr>
      <w:ind w:firstLine="200"/>
      <w:spacing w:line="360" w:lineRule="auto"/>
    </w:pPr>
    <w:rPr>
      <w:rFonts w:ascii="Times New Roman" w:hAnsi="Times New Roman" w:eastAsia="宋体" w:cs="Times New Roman"/>
      <w:bCs/>
      <w:sz w:val="24"/>
      <w:szCs w:val="24"/>
    </w:rPr>
  </w:style>
  <w:style w:type="paragraph" w:styleId="1340">
    <w:name w:val="正文lzq"/>
    <w:basedOn w:val="1047"/>
    <w:next w:val="1340"/>
    <w:link w:val="1047"/>
    <w:pPr>
      <w:ind w:firstLine="480"/>
      <w:spacing w:line="360" w:lineRule="auto"/>
    </w:pPr>
    <w:rPr>
      <w:rFonts w:ascii="Times New Roman" w:hAnsi="Times New Roman" w:eastAsia="宋体" w:cs="Times New Roman"/>
      <w:sz w:val="24"/>
    </w:rPr>
  </w:style>
  <w:style w:type="paragraph" w:styleId="1341">
    <w:name w:val="正文--表格内正文"/>
    <w:basedOn w:val="1047"/>
    <w:next w:val="1341"/>
    <w:link w:val="1047"/>
    <w:pPr>
      <w:jc w:val="center"/>
      <w:spacing w:before="156" w:line="0" w:lineRule="atLeast"/>
    </w:pPr>
    <w:rPr>
      <w:rFonts w:ascii="宋体" w:hAnsi="宋体" w:eastAsia="宋体" w:cs="Times New Roman"/>
      <w:color w:val="000000"/>
      <w:sz w:val="24"/>
      <w:szCs w:val="24"/>
    </w:rPr>
  </w:style>
  <w:style w:type="paragraph" w:styleId="1342">
    <w:name w:val="xl25"/>
    <w:basedOn w:val="1047"/>
    <w:next w:val="1342"/>
    <w:link w:val="1047"/>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43">
    <w:name w:val="xl34"/>
    <w:basedOn w:val="1047"/>
    <w:next w:val="1343"/>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44">
    <w:name w:val="表格1"/>
    <w:basedOn w:val="1047"/>
    <w:next w:val="1344"/>
    <w:link w:val="1047"/>
    <w:rPr>
      <w:rFonts w:ascii="宋体" w:hAnsi="Times New Roman" w:eastAsia="宋体" w:cs="Times New Roman"/>
      <w:szCs w:val="21"/>
    </w:rPr>
  </w:style>
  <w:style w:type="paragraph" w:styleId="1345">
    <w:name w:val="xl55"/>
    <w:basedOn w:val="1047"/>
    <w:next w:val="1345"/>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46">
    <w:name w:val=" Char Char Char"/>
    <w:basedOn w:val="1075"/>
    <w:next w:val="1346"/>
    <w:link w:val="1047"/>
    <w:pPr>
      <w:spacing w:line="436" w:lineRule="exact"/>
    </w:pPr>
    <w:rPr>
      <w:rFonts w:ascii="Times New Roman" w:hAnsi="Times New Roman" w:eastAsia="宋体" w:cs="Times New Roman"/>
      <w:szCs w:val="24"/>
    </w:rPr>
  </w:style>
  <w:style w:type="paragraph" w:styleId="1347">
    <w:name w:val="表蕊"/>
    <w:basedOn w:val="1047"/>
    <w:next w:val="1347"/>
    <w:link w:val="1047"/>
    <w:pPr>
      <w:jc w:val="left"/>
      <w:spacing w:line="320" w:lineRule="atLeast"/>
    </w:pPr>
    <w:rPr>
      <w:rFonts w:ascii="Times New Roman" w:hAnsi="Times New Roman" w:eastAsia="楷体_GB2312" w:cs="Times New Roman"/>
      <w:spacing w:val="-10"/>
    </w:rPr>
  </w:style>
  <w:style w:type="paragraph" w:styleId="1348">
    <w:name w:val="样式 段后: 0.25 行"/>
    <w:basedOn w:val="1047"/>
    <w:next w:val="1348"/>
    <w:link w:val="1047"/>
    <w:pPr>
      <w:ind w:firstLine="420"/>
      <w:jc w:val="left"/>
      <w:spacing w:after="78" w:line="300" w:lineRule="auto"/>
      <w:widowControl/>
    </w:pPr>
    <w:rPr>
      <w:rFonts w:ascii="Arial" w:hAnsi="Arial" w:eastAsia="宋体" w:cs="宋体"/>
      <w:sz w:val="22"/>
      <w:lang w:eastAsia="en-US" w:bidi="en-US"/>
    </w:rPr>
  </w:style>
  <w:style w:type="paragraph" w:styleId="1349">
    <w:name w:val="xl35"/>
    <w:basedOn w:val="1047"/>
    <w:next w:val="134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50">
    <w:name w:val="Char Char1 Char Char Char Char Char Char Char"/>
    <w:basedOn w:val="1047"/>
    <w:next w:val="1350"/>
    <w:link w:val="1047"/>
    <w:rPr>
      <w:rFonts w:ascii="Tahoma" w:hAnsi="Tahoma" w:eastAsia="宋体" w:cs="Tahoma"/>
      <w:sz w:val="24"/>
    </w:rPr>
  </w:style>
  <w:style w:type="paragraph" w:styleId="1351">
    <w:name w:val="00-合正"/>
    <w:basedOn w:val="1047"/>
    <w:next w:val="1351"/>
    <w:link w:val="1047"/>
    <w:pPr>
      <w:ind w:firstLine="200"/>
      <w:jc w:val="left"/>
      <w:spacing w:line="560" w:lineRule="exact"/>
    </w:pPr>
    <w:rPr>
      <w:rFonts w:ascii="楷体" w:hAnsi="楷体" w:eastAsia="楷体" w:cs="Times New Roman"/>
      <w:color w:val="000000"/>
      <w:sz w:val="28"/>
      <w:szCs w:val="24"/>
    </w:rPr>
  </w:style>
  <w:style w:type="paragraph" w:styleId="1352">
    <w:name w:val="xl48"/>
    <w:basedOn w:val="1047"/>
    <w:next w:val="1352"/>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53">
    <w:name w:val="xl47"/>
    <w:basedOn w:val="1047"/>
    <w:next w:val="1353"/>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54">
    <w:name w:val="Char Char Char Char Char Char Char Char Char Char Char1 Char Char Char1"/>
    <w:basedOn w:val="1047"/>
    <w:next w:val="1354"/>
    <w:link w:val="1047"/>
    <w:pPr>
      <w:ind w:firstLine="200"/>
      <w:jc w:val="left"/>
    </w:pPr>
    <w:rPr>
      <w:rFonts w:ascii="Tahoma" w:hAnsi="Tahoma" w:eastAsia="宋体" w:cs="Times New Roman"/>
      <w:sz w:val="24"/>
      <w:szCs w:val="24"/>
    </w:rPr>
  </w:style>
  <w:style w:type="paragraph" w:styleId="1355">
    <w:name w:val="一级标题"/>
    <w:basedOn w:val="1047"/>
    <w:next w:val="1355"/>
    <w:link w:val="1047"/>
    <w:pPr>
      <w:ind w:left="900" w:hanging="420"/>
      <w:spacing w:line="360" w:lineRule="auto"/>
      <w:tabs>
        <w:tab w:val="left" w:pos="903" w:leader="none"/>
      </w:tabs>
    </w:pPr>
    <w:rPr>
      <w:rFonts w:ascii="Arial" w:hAnsi="Arial" w:eastAsia="宋体" w:cs="Arial"/>
      <w:sz w:val="24"/>
    </w:rPr>
  </w:style>
  <w:style w:type="paragraph" w:styleId="1356">
    <w:name w:val="Char Char Char Char Char Char Char Char Char Char Char Char Char Char Char Char Char Char Char Char Char"/>
    <w:basedOn w:val="1047"/>
    <w:next w:val="1356"/>
    <w:link w:val="1047"/>
    <w:rPr>
      <w:rFonts w:ascii="Tahoma" w:hAnsi="Tahoma" w:eastAsia="宋体" w:cs="Tahoma"/>
      <w:sz w:val="24"/>
    </w:rPr>
  </w:style>
  <w:style w:type="paragraph" w:styleId="1357">
    <w:name w:val="xl38"/>
    <w:basedOn w:val="1047"/>
    <w:next w:val="1357"/>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8">
    <w:name w:val="xl40"/>
    <w:basedOn w:val="1047"/>
    <w:next w:val="1358"/>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9">
    <w:name w:val="普通正文"/>
    <w:basedOn w:val="1047"/>
    <w:next w:val="1359"/>
    <w:link w:val="1047"/>
    <w:pPr>
      <w:ind w:firstLine="480"/>
      <w:jc w:val="left"/>
    </w:pPr>
    <w:rPr>
      <w:rFonts w:ascii="Arial" w:hAnsi="Arial" w:eastAsia="宋体" w:cs="Times New Roman"/>
      <w:sz w:val="24"/>
      <w:szCs w:val="24"/>
    </w:rPr>
  </w:style>
  <w:style w:type="paragraph" w:styleId="1360">
    <w:name w:val="Char Char Char Char Char Char Char Char Char Char Char Char Char Char"/>
    <w:basedOn w:val="1047"/>
    <w:next w:val="1360"/>
    <w:link w:val="1047"/>
    <w:rPr>
      <w:rFonts w:ascii="Tahoma" w:hAnsi="Tahoma" w:eastAsia="宋体" w:cs="Tahoma"/>
      <w:sz w:val="24"/>
    </w:rPr>
  </w:style>
  <w:style w:type="paragraph" w:styleId="1361">
    <w:name w:val="标题6"/>
    <w:basedOn w:val="1052"/>
    <w:next w:val="1361"/>
    <w:link w:val="1047"/>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62">
    <w:name w:val="符号与编号 Char Char"/>
    <w:basedOn w:val="1047"/>
    <w:next w:val="1362"/>
    <w:link w:val="1047"/>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63">
    <w:name w:val="公文正文"/>
    <w:basedOn w:val="1084"/>
    <w:next w:val="1363"/>
    <w:link w:val="1047"/>
    <w:pPr>
      <w:ind w:firstLine="200"/>
    </w:pPr>
    <w:rPr>
      <w:rFonts w:ascii="仿宋_GB2312" w:hAnsi="宋体" w:eastAsia="仿宋_GB2312" w:cs="Times New Roman"/>
      <w:sz w:val="28"/>
      <w:szCs w:val="24"/>
    </w:rPr>
  </w:style>
  <w:style w:type="paragraph" w:styleId="1364">
    <w:name w:val="Pa6"/>
    <w:basedOn w:val="1047"/>
    <w:next w:val="1047"/>
    <w:link w:val="1047"/>
    <w:pPr>
      <w:jc w:val="left"/>
      <w:spacing w:line="241" w:lineRule="atLeast"/>
    </w:pPr>
    <w:rPr>
      <w:rFonts w:ascii="汉仪大黑简" w:hAnsi="Times New Roman" w:eastAsia="汉仪大黑简" w:cs="Times New Roman"/>
      <w:sz w:val="24"/>
      <w:szCs w:val="24"/>
    </w:rPr>
  </w:style>
  <w:style w:type="paragraph" w:styleId="1365">
    <w:name w:val="修订"/>
    <w:next w:val="1365"/>
    <w:link w:val="1047"/>
    <w:rPr>
      <w:sz w:val="21"/>
      <w:szCs w:val="24"/>
      <w:lang w:val="en-US" w:eastAsia="zh-CN" w:bidi="ar-SA"/>
    </w:rPr>
  </w:style>
  <w:style w:type="paragraph" w:styleId="1366">
    <w:name w:val="标准文本"/>
    <w:basedOn w:val="1047"/>
    <w:next w:val="1366"/>
    <w:link w:val="1047"/>
    <w:pPr>
      <w:ind w:firstLine="480"/>
      <w:spacing w:line="360" w:lineRule="auto"/>
    </w:pPr>
    <w:rPr>
      <w:rFonts w:ascii="Times New Roman" w:hAnsi="Times New Roman" w:eastAsia="宋体" w:cs="宋体"/>
      <w:sz w:val="24"/>
      <w:szCs w:val="24"/>
    </w:rPr>
  </w:style>
  <w:style w:type="paragraph" w:styleId="1367">
    <w:name w:val="公文标题 2"/>
    <w:basedOn w:val="1047"/>
    <w:next w:val="1363"/>
    <w:link w:val="1047"/>
    <w:pPr>
      <w:outlineLvl w:val="1"/>
    </w:pPr>
    <w:rPr>
      <w:rFonts w:ascii="仿宋_GB2312" w:hAnsi="宋体" w:eastAsia="仿宋_GB2312" w:cs="Times New Roman"/>
      <w:sz w:val="28"/>
      <w:szCs w:val="24"/>
    </w:rPr>
  </w:style>
  <w:style w:type="paragraph" w:styleId="1368">
    <w:name w:val="font12"/>
    <w:basedOn w:val="1047"/>
    <w:next w:val="1368"/>
    <w:link w:val="1047"/>
    <w:pPr>
      <w:jc w:val="left"/>
      <w:spacing w:before="100" w:beforeAutospacing="1" w:after="100" w:afterAutospacing="1"/>
      <w:widowControl/>
    </w:pPr>
    <w:rPr>
      <w:rFonts w:ascii="宋体" w:hAnsi="宋体" w:eastAsia="宋体" w:cs="宋体"/>
      <w:sz w:val="36"/>
      <w:szCs w:val="36"/>
    </w:rPr>
  </w:style>
  <w:style w:type="paragraph" w:styleId="1369">
    <w:name w:val="正文 + Arial Char"/>
    <w:basedOn w:val="1047"/>
    <w:next w:val="1369"/>
    <w:link w:val="1047"/>
    <w:pPr>
      <w:ind w:left="315" w:hanging="315"/>
      <w:spacing w:line="300" w:lineRule="auto"/>
      <w:widowControl/>
      <w:tabs>
        <w:tab w:val="left" w:pos="315" w:leader="none"/>
      </w:tabs>
    </w:pPr>
    <w:rPr>
      <w:rFonts w:ascii="Arial" w:hAnsi="Arial" w:eastAsia="宋体" w:cs="Arial"/>
      <w:b/>
      <w:color w:val="000000"/>
    </w:rPr>
  </w:style>
  <w:style w:type="paragraph" w:styleId="1370">
    <w:name w:val="我的正文"/>
    <w:basedOn w:val="1047"/>
    <w:next w:val="1370"/>
    <w:link w:val="1047"/>
    <w:pPr>
      <w:ind w:firstLine="420"/>
      <w:jc w:val="left"/>
      <w:spacing w:line="360" w:lineRule="auto"/>
      <w:widowControl/>
    </w:pPr>
    <w:rPr>
      <w:rFonts w:ascii="宋体" w:hAnsi="宋体" w:eastAsia="宋体" w:cs="宋体"/>
      <w:szCs w:val="21"/>
    </w:rPr>
  </w:style>
  <w:style w:type="paragraph" w:styleId="1371">
    <w:name w:val="xl24"/>
    <w:basedOn w:val="1047"/>
    <w:next w:val="1371"/>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2">
    <w:name w:val="标题4，章节第四层"/>
    <w:basedOn w:val="1047"/>
    <w:next w:val="1047"/>
    <w:link w:val="1047"/>
    <w:pPr>
      <w:spacing w:line="360" w:lineRule="auto"/>
      <w:tabs>
        <w:tab w:val="left" w:pos="0" w:leader="none"/>
      </w:tabs>
      <w:outlineLvl w:val="3"/>
    </w:pPr>
    <w:rPr>
      <w:rFonts w:ascii="宋体" w:hAnsi="宋体" w:eastAsia="宋体" w:cs="Times New Roman"/>
      <w:b/>
      <w:sz w:val="24"/>
      <w:szCs w:val="24"/>
    </w:rPr>
  </w:style>
  <w:style w:type="paragraph" w:styleId="1373">
    <w:name w:val="font10"/>
    <w:basedOn w:val="1047"/>
    <w:next w:val="1373"/>
    <w:link w:val="1047"/>
    <w:pPr>
      <w:jc w:val="left"/>
      <w:spacing w:before="100" w:beforeAutospacing="1" w:after="100" w:afterAutospacing="1"/>
      <w:widowControl/>
    </w:pPr>
    <w:rPr>
      <w:rFonts w:ascii="楷体_GB2312" w:hAnsi="宋体" w:eastAsia="楷体_GB2312" w:cs="宋体"/>
      <w:b/>
      <w:bCs/>
      <w:sz w:val="18"/>
      <w:szCs w:val="18"/>
    </w:rPr>
  </w:style>
  <w:style w:type="paragraph" w:styleId="1374">
    <w:name w:val="样式 加点正文 + 段前: 0.5 行 段后: 0.5 行1"/>
    <w:basedOn w:val="1047"/>
    <w:next w:val="1374"/>
    <w:link w:val="1047"/>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75">
    <w:name w:val="xl42"/>
    <w:basedOn w:val="1047"/>
    <w:next w:val="1375"/>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6">
    <w:name w:val="font5"/>
    <w:basedOn w:val="1047"/>
    <w:next w:val="1376"/>
    <w:link w:val="1047"/>
    <w:pPr>
      <w:jc w:val="left"/>
      <w:spacing w:before="100" w:beforeAutospacing="1" w:after="100" w:afterAutospacing="1"/>
      <w:widowControl/>
    </w:pPr>
    <w:rPr>
      <w:rFonts w:ascii="宋体" w:hAnsi="宋体" w:eastAsia="宋体" w:cs="宋体"/>
      <w:sz w:val="18"/>
      <w:szCs w:val="18"/>
    </w:rPr>
  </w:style>
  <w:style w:type="paragraph" w:styleId="1377">
    <w:name w:val="xl41"/>
    <w:basedOn w:val="1047"/>
    <w:next w:val="1377"/>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8">
    <w:name w:val="p0"/>
    <w:basedOn w:val="1047"/>
    <w:next w:val="1378"/>
    <w:link w:val="1047"/>
    <w:pPr>
      <w:jc w:val="left"/>
      <w:spacing w:before="100" w:beforeAutospacing="1" w:after="100" w:afterAutospacing="1"/>
      <w:widowControl/>
    </w:pPr>
    <w:rPr>
      <w:rFonts w:ascii="宋体" w:hAnsi="宋体" w:eastAsia="宋体" w:cs="宋体"/>
      <w:sz w:val="24"/>
      <w:szCs w:val="24"/>
    </w:rPr>
  </w:style>
  <w:style w:type="paragraph" w:styleId="1379">
    <w:name w:val="xl52"/>
    <w:basedOn w:val="1047"/>
    <w:next w:val="1379"/>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80">
    <w:name w:val="小四 段落 宋体 Char Char Char"/>
    <w:basedOn w:val="1073"/>
    <w:next w:val="1380"/>
    <w:link w:val="1047"/>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81">
    <w:name w:val="丁华标题2"/>
    <w:basedOn w:val="1049"/>
    <w:next w:val="1271"/>
    <w:link w:val="1047"/>
    <w:pPr>
      <w:numPr>
        <w:ilvl w:val="1"/>
        <w:numId w:val="1"/>
      </w:numPr>
      <w:spacing w:line="415" w:lineRule="auto"/>
      <w:tabs>
        <w:tab w:val="left" w:pos="1004" w:leader="none"/>
      </w:tabs>
    </w:pPr>
    <w:rPr>
      <w:rFonts w:ascii="Arial" w:hAnsi="Arial" w:eastAsia="黑体" w:cs="Times New Roman"/>
      <w:b w:val="0"/>
      <w:sz w:val="28"/>
      <w:szCs w:val="20"/>
    </w:rPr>
  </w:style>
  <w:style w:type="paragraph" w:styleId="1382">
    <w:name w:val="丁华标题3"/>
    <w:basedOn w:val="1381"/>
    <w:next w:val="1271"/>
    <w:link w:val="1047"/>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83">
    <w:name w:val="Char Char"/>
    <w:basedOn w:val="1047"/>
    <w:next w:val="1383"/>
    <w:link w:val="1047"/>
    <w:rPr>
      <w:rFonts w:ascii="Tahoma" w:hAnsi="Tahoma" w:eastAsia="宋体" w:cs="Tahoma"/>
      <w:sz w:val="24"/>
    </w:rPr>
  </w:style>
  <w:style w:type="paragraph" w:styleId="1384">
    <w:name w:val="Char Char Char Char Char Char Char"/>
    <w:basedOn w:val="1047"/>
    <w:next w:val="1384"/>
    <w:link w:val="1047"/>
    <w:pPr>
      <w:jc w:val="left"/>
    </w:pPr>
    <w:rPr>
      <w:rFonts w:ascii="Tahoma" w:hAnsi="Tahoma" w:eastAsia="宋体" w:cs="Times New Roman"/>
      <w:sz w:val="24"/>
    </w:rPr>
  </w:style>
  <w:style w:type="paragraph" w:styleId="1385">
    <w:name w:val=" Char Char Char Char Char Char Char Char Char Char Char Char Char Char Char Char Char Char Char Char Char"/>
    <w:basedOn w:val="1047"/>
    <w:next w:val="1385"/>
    <w:link w:val="1047"/>
    <w:rPr>
      <w:rFonts w:ascii="Tahoma" w:hAnsi="Tahoma" w:eastAsia="宋体" w:cs="Times New Roman"/>
      <w:sz w:val="24"/>
    </w:rPr>
  </w:style>
  <w:style w:type="paragraph" w:styleId="1386">
    <w:name w:val="小四 段落 宋体"/>
    <w:basedOn w:val="1073"/>
    <w:next w:val="1386"/>
    <w:link w:val="1047"/>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87">
    <w:name w:val="正文2"/>
    <w:basedOn w:val="1047"/>
    <w:next w:val="1387"/>
    <w:link w:val="1047"/>
    <w:pPr>
      <w:ind w:firstLine="510"/>
      <w:spacing w:before="156" w:line="360" w:lineRule="auto"/>
    </w:pPr>
    <w:rPr>
      <w:rFonts w:ascii="Times New Roman" w:hAnsi="Times New Roman" w:eastAsia="宋体" w:cs="Times New Roman"/>
      <w:sz w:val="24"/>
    </w:rPr>
  </w:style>
  <w:style w:type="paragraph" w:styleId="1388">
    <w:name w:val="插图"/>
    <w:basedOn w:val="1047"/>
    <w:next w:val="1388"/>
    <w:link w:val="1047"/>
    <w:pPr>
      <w:jc w:val="center"/>
      <w:tabs>
        <w:tab w:val="left" w:pos="1620" w:leader="none"/>
      </w:tabs>
    </w:pPr>
    <w:rPr>
      <w:rFonts w:ascii="Times New Roman" w:hAnsi="Times New Roman" w:eastAsia="宋体" w:cs="Times New Roman"/>
      <w:bCs/>
      <w:color w:val="000000"/>
      <w:szCs w:val="22"/>
    </w:rPr>
  </w:style>
  <w:style w:type="paragraph" w:styleId="1389">
    <w:name w:val="Char1"/>
    <w:basedOn w:val="1047"/>
    <w:next w:val="1389"/>
    <w:link w:val="1047"/>
    <w:rPr>
      <w:rFonts w:ascii="仿宋_GB2312" w:hAnsi="宋体" w:eastAsia="仿宋_GB2312" w:cs="宋体"/>
      <w:b/>
      <w:sz w:val="32"/>
      <w:szCs w:val="32"/>
    </w:rPr>
  </w:style>
  <w:style w:type="paragraph" w:styleId="1390">
    <w:name w:val=" Char Char Char Char Char"/>
    <w:basedOn w:val="1047"/>
    <w:next w:val="1390"/>
    <w:link w:val="1047"/>
    <w:rPr>
      <w:rFonts w:ascii="Tahoma" w:hAnsi="Tahoma" w:eastAsia="宋体" w:cs="Times New Roman"/>
      <w:sz w:val="24"/>
    </w:rPr>
  </w:style>
  <w:style w:type="paragraph" w:styleId="1391">
    <w:name w:val="zw"/>
    <w:basedOn w:val="1047"/>
    <w:next w:val="1391"/>
    <w:link w:val="1047"/>
    <w:pPr>
      <w:ind w:firstLine="480"/>
      <w:jc w:val="left"/>
      <w:spacing w:line="360" w:lineRule="auto"/>
      <w:widowControl/>
    </w:pPr>
    <w:rPr>
      <w:rFonts w:ascii="宋体" w:hAnsi="宋体" w:eastAsia="宋体" w:cs="Times New Roman"/>
      <w:bCs/>
      <w:sz w:val="24"/>
    </w:rPr>
  </w:style>
  <w:style w:type="paragraph" w:styleId="1392">
    <w:name w:val="xl56"/>
    <w:basedOn w:val="1047"/>
    <w:next w:val="1392"/>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3">
    <w:name w:val="正文 New New New New New New New New New New New New New New"/>
    <w:next w:val="1393"/>
    <w:link w:val="1047"/>
    <w:pPr>
      <w:jc w:val="both"/>
      <w:widowControl w:val="off"/>
    </w:pPr>
    <w:rPr>
      <w:rFonts w:hint="eastAsia"/>
      <w:sz w:val="21"/>
      <w:lang w:val="en-US" w:eastAsia="zh-CN" w:bidi="ar-SA"/>
    </w:rPr>
  </w:style>
  <w:style w:type="paragraph" w:styleId="1394">
    <w:name w:val="xl50"/>
    <w:basedOn w:val="1047"/>
    <w:next w:val="1394"/>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5">
    <w:name w:val="Char Char Char Char"/>
    <w:basedOn w:val="1075"/>
    <w:next w:val="1395"/>
    <w:link w:val="1047"/>
    <w:pPr>
      <w:spacing w:line="360" w:lineRule="auto"/>
    </w:pPr>
    <w:rPr>
      <w:rFonts w:ascii="Tahoma" w:hAnsi="Tahoma" w:eastAsia="宋体" w:cs="Times New Roman"/>
      <w:sz w:val="24"/>
      <w:szCs w:val="24"/>
    </w:rPr>
  </w:style>
  <w:style w:type="paragraph" w:styleId="1396">
    <w:name w:val="样式 样式 首行缩进:  2 字符 + 行距: 1.5 倍行距"/>
    <w:basedOn w:val="1047"/>
    <w:next w:val="1396"/>
    <w:link w:val="1047"/>
    <w:pPr>
      <w:ind w:firstLine="470"/>
      <w:spacing w:line="360" w:lineRule="auto"/>
    </w:pPr>
    <w:rPr>
      <w:rFonts w:ascii="Times New Roman" w:hAnsi="Times New Roman" w:eastAsia="宋体" w:cs="Times New Roman"/>
      <w:sz w:val="24"/>
    </w:rPr>
  </w:style>
  <w:style w:type="paragraph" w:styleId="1397">
    <w:name w:val="标题1，章节第一层"/>
    <w:basedOn w:val="1296"/>
    <w:next w:val="1296"/>
    <w:link w:val="1047"/>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98">
    <w:name w:val="标题3"/>
    <w:basedOn w:val="1050"/>
    <w:next w:val="1398"/>
    <w:link w:val="1047"/>
    <w:pPr>
      <w:keepLines w:val="0"/>
      <w:keepNext w:val="0"/>
      <w:spacing w:before="0" w:after="0" w:line="360" w:lineRule="auto"/>
    </w:pPr>
    <w:rPr>
      <w:rFonts w:ascii="Times New Roman" w:hAnsi="Times New Roman" w:eastAsia="仿宋_GB2312" w:cs="Times New Roman"/>
      <w:b w:val="0"/>
      <w:bCs/>
      <w:sz w:val="30"/>
      <w:szCs w:val="32"/>
    </w:rPr>
  </w:style>
  <w:style w:type="paragraph" w:styleId="1399">
    <w:name w:val="font9"/>
    <w:basedOn w:val="1047"/>
    <w:next w:val="1399"/>
    <w:link w:val="1047"/>
    <w:pPr>
      <w:jc w:val="left"/>
      <w:spacing w:before="100" w:beforeAutospacing="1" w:after="100" w:afterAutospacing="1"/>
      <w:widowControl/>
    </w:pPr>
    <w:rPr>
      <w:rFonts w:ascii="Times New Roman" w:hAnsi="Times New Roman" w:eastAsia="宋体" w:cs="Times New Roman"/>
      <w:b/>
      <w:bCs/>
      <w:sz w:val="20"/>
    </w:rPr>
  </w:style>
  <w:style w:type="paragraph" w:styleId="1400">
    <w:name w:val=" Char Char Char Char Char Char Char Char Char"/>
    <w:basedOn w:val="1047"/>
    <w:next w:val="1400"/>
    <w:link w:val="1047"/>
    <w:pPr>
      <w:ind w:left="360" w:hanging="360"/>
      <w:tabs>
        <w:tab w:val="left" w:pos="360" w:leader="none"/>
      </w:tabs>
    </w:pPr>
    <w:rPr>
      <w:rFonts w:ascii="Times New Roman" w:hAnsi="Times New Roman" w:eastAsia="宋体" w:cs="Times New Roman"/>
      <w:sz w:val="24"/>
      <w:szCs w:val="24"/>
    </w:rPr>
  </w:style>
  <w:style w:type="paragraph" w:styleId="1401">
    <w:name w:val="样式 段后: 0.5 行 左  0.75 字符"/>
    <w:basedOn w:val="1047"/>
    <w:next w:val="1401"/>
    <w:link w:val="1047"/>
    <w:pPr>
      <w:ind w:firstLine="420"/>
      <w:spacing w:line="360" w:lineRule="auto"/>
      <w:widowControl/>
    </w:pPr>
    <w:rPr>
      <w:rFonts w:ascii="Times New Roman" w:hAnsi="Arial" w:eastAsia="宋体" w:cs="Arial"/>
      <w:szCs w:val="21"/>
    </w:rPr>
  </w:style>
  <w:style w:type="paragraph" w:styleId="1402">
    <w:name w:val="font8"/>
    <w:basedOn w:val="1047"/>
    <w:next w:val="1402"/>
    <w:link w:val="1047"/>
    <w:pPr>
      <w:jc w:val="left"/>
      <w:spacing w:before="100" w:beforeAutospacing="1" w:after="100" w:afterAutospacing="1"/>
      <w:widowControl/>
    </w:pPr>
    <w:rPr>
      <w:rFonts w:ascii="宋体" w:hAnsi="宋体" w:eastAsia="宋体" w:cs="宋体"/>
      <w:b/>
      <w:bCs/>
      <w:i/>
      <w:iCs/>
      <w:sz w:val="20"/>
    </w:rPr>
  </w:style>
  <w:style w:type="paragraph" w:styleId="1403">
    <w:name w:val="标题 4宋体"/>
    <w:basedOn w:val="1051"/>
    <w:next w:val="1403"/>
    <w:link w:val="1047"/>
    <w:pPr>
      <w:jc w:val="left"/>
      <w:keepLines w:val="0"/>
      <w:spacing w:before="0" w:after="0" w:line="360" w:lineRule="auto"/>
    </w:pPr>
    <w:rPr>
      <w:rFonts w:ascii="宋体" w:hAnsi="宋体" w:eastAsia="宋体" w:cs="Times New Roman"/>
      <w:bCs/>
      <w:color w:val="000000"/>
      <w:sz w:val="24"/>
    </w:rPr>
  </w:style>
  <w:style w:type="paragraph" w:styleId="1404">
    <w:name w:val="小四 段落 宋体 Char Char"/>
    <w:basedOn w:val="1047"/>
    <w:next w:val="1404"/>
    <w:link w:val="1047"/>
    <w:pPr>
      <w:ind w:firstLine="480"/>
      <w:spacing w:line="360" w:lineRule="auto"/>
    </w:pPr>
    <w:rPr>
      <w:rFonts w:ascii="宋体" w:hAnsi="宋体" w:eastAsia="宋体" w:cs="Times New Roman"/>
      <w:sz w:val="24"/>
      <w:szCs w:val="24"/>
    </w:rPr>
  </w:style>
  <w:style w:type="paragraph" w:styleId="1405">
    <w:name w:val="纯文本1"/>
    <w:basedOn w:val="1047"/>
    <w:next w:val="1405"/>
    <w:link w:val="1047"/>
    <w:rPr>
      <w:rFonts w:ascii="宋体" w:hAnsi="宋体" w:eastAsia="楷体_GB2312" w:cs="宋体"/>
      <w:sz w:val="28"/>
    </w:rPr>
  </w:style>
  <w:style w:type="paragraph" w:styleId="1406">
    <w:name w:val="xl27"/>
    <w:basedOn w:val="1047"/>
    <w:next w:val="1406"/>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07">
    <w:name w:val="标题5，章节第五层"/>
    <w:basedOn w:val="1047"/>
    <w:next w:val="1047"/>
    <w:link w:val="1047"/>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08">
    <w:name w:val="content_lineheight"/>
    <w:basedOn w:val="1047"/>
    <w:next w:val="1408"/>
    <w:link w:val="1047"/>
    <w:pPr>
      <w:jc w:val="left"/>
      <w:spacing w:before="100" w:beforeAutospacing="1" w:after="100" w:afterAutospacing="1"/>
      <w:widowControl/>
    </w:pPr>
    <w:rPr>
      <w:rFonts w:ascii="宋体" w:hAnsi="宋体" w:eastAsia="宋体" w:cs="Times New Roman"/>
      <w:sz w:val="24"/>
      <w:szCs w:val="24"/>
    </w:rPr>
  </w:style>
  <w:style w:type="paragraph" w:styleId="1409">
    <w:name w:val="Pa5"/>
    <w:basedOn w:val="1047"/>
    <w:next w:val="1047"/>
    <w:link w:val="1047"/>
    <w:pPr>
      <w:jc w:val="left"/>
      <w:spacing w:line="241" w:lineRule="atLeast"/>
    </w:pPr>
    <w:rPr>
      <w:rFonts w:ascii="汉仪大黑简" w:hAnsi="Times New Roman" w:eastAsia="汉仪大黑简" w:cs="Times New Roman"/>
      <w:sz w:val="24"/>
      <w:szCs w:val="24"/>
    </w:rPr>
  </w:style>
  <w:style w:type="paragraph" w:styleId="1410">
    <w:name w:val="xl63"/>
    <w:basedOn w:val="1047"/>
    <w:next w:val="1410"/>
    <w:link w:val="1047"/>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11">
    <w:name w:val="小四 段落 宋体 Char Char Char Char"/>
    <w:basedOn w:val="1047"/>
    <w:next w:val="1411"/>
    <w:link w:val="1047"/>
    <w:pPr>
      <w:ind w:right="-33" w:firstLine="480"/>
      <w:jc w:val="left"/>
      <w:spacing w:line="360" w:lineRule="auto"/>
    </w:pPr>
    <w:rPr>
      <w:rFonts w:ascii="Times New Roman" w:hAnsi="Times New Roman" w:eastAsia="宋体" w:cs="Times New Roman"/>
      <w:sz w:val="24"/>
      <w:szCs w:val="24"/>
    </w:rPr>
  </w:style>
  <w:style w:type="paragraph" w:styleId="1412">
    <w:name w:val="列出段落2"/>
    <w:basedOn w:val="1047"/>
    <w:next w:val="1412"/>
    <w:link w:val="1047"/>
    <w:pPr>
      <w:ind w:left="720"/>
      <w:jc w:val="left"/>
      <w:widowControl/>
    </w:pPr>
    <w:rPr>
      <w:rFonts w:ascii="Arial" w:hAnsi="Arial" w:eastAsia="黑体" w:cs="Arial"/>
      <w:sz w:val="24"/>
      <w:szCs w:val="24"/>
      <w:lang w:eastAsia="en-US"/>
    </w:rPr>
  </w:style>
  <w:style w:type="paragraph" w:styleId="1413">
    <w:name w:val="标题2，章节第二层"/>
    <w:basedOn w:val="1047"/>
    <w:next w:val="1296"/>
    <w:link w:val="104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14">
    <w:name w:val="Test2"/>
    <w:basedOn w:val="1049"/>
    <w:next w:val="1414"/>
    <w:link w:val="1047"/>
    <w:pPr>
      <w:jc w:val="center"/>
      <w:spacing w:before="156" w:after="156" w:line="480" w:lineRule="exact"/>
      <w:widowControl/>
    </w:pPr>
    <w:rPr>
      <w:rFonts w:ascii="黑体" w:hAnsi="Arial" w:eastAsia="黑体" w:cs="Times New Roman"/>
      <w:bCs/>
      <w:sz w:val="24"/>
    </w:rPr>
  </w:style>
  <w:style w:type="paragraph" w:styleId="1415">
    <w:name w:val="样式 样式 标题 3H3sect1.2.3BOD 0Heading 3 - oldh3l3CTLevel 3 Head... +..."/>
    <w:basedOn w:val="1047"/>
    <w:next w:val="1415"/>
    <w:link w:val="1047"/>
    <w:pPr>
      <w:jc w:val="left"/>
      <w:keepLines/>
      <w:keepNext/>
      <w:spacing w:before="156" w:after="156"/>
      <w:outlineLvl w:val="2"/>
    </w:pPr>
    <w:rPr>
      <w:rFonts w:ascii="Times New Roman" w:hAnsi="Times New Roman" w:eastAsia="宋体" w:cs="宋体"/>
      <w:b/>
      <w:bCs/>
      <w:sz w:val="24"/>
    </w:rPr>
  </w:style>
  <w:style w:type="paragraph" w:styleId="1416">
    <w:name w:val="Char Char Char Char Char Char Char1 Char"/>
    <w:basedOn w:val="1047"/>
    <w:next w:val="1416"/>
    <w:link w:val="1047"/>
    <w:rPr>
      <w:rFonts w:ascii="Tahoma" w:hAnsi="Tahoma" w:eastAsia="宋体" w:cs="Tahoma"/>
      <w:sz w:val="24"/>
    </w:rPr>
  </w:style>
  <w:style w:type="paragraph" w:styleId="1417">
    <w:name w:val="xl51"/>
    <w:basedOn w:val="1047"/>
    <w:next w:val="1417"/>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18">
    <w:name w:val="qw"/>
    <w:next w:val="1418"/>
    <w:link w:val="1047"/>
    <w:pPr>
      <w:jc w:val="both"/>
      <w:spacing w:line="312" w:lineRule="atLeast"/>
      <w:widowControl w:val="off"/>
    </w:pPr>
    <w:rPr>
      <w:rFonts w:ascii="宋体"/>
      <w:sz w:val="24"/>
      <w:lang w:val="en-US" w:eastAsia="zh-CN" w:bidi="ar-SA"/>
    </w:rPr>
  </w:style>
  <w:style w:type="paragraph" w:styleId="1419">
    <w:name w:val="xl26"/>
    <w:basedOn w:val="1047"/>
    <w:next w:val="1419"/>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20">
    <w:name w:val="1"/>
    <w:basedOn w:val="1047"/>
    <w:next w:val="1118"/>
    <w:link w:val="1047"/>
    <w:pPr>
      <w:spacing w:line="360" w:lineRule="auto"/>
    </w:pPr>
    <w:rPr>
      <w:rFonts w:ascii="Times New Roman" w:hAnsi="Times New Roman" w:eastAsia="仿宋_GB2312" w:cs="Times New Roman"/>
      <w:sz w:val="24"/>
      <w:szCs w:val="24"/>
    </w:rPr>
  </w:style>
  <w:style w:type="paragraph" w:styleId="1421">
    <w:name w:val=" Char"/>
    <w:basedOn w:val="1047"/>
    <w:next w:val="1421"/>
    <w:link w:val="1047"/>
    <w:pPr>
      <w:spacing w:after="156" w:line="360" w:lineRule="auto"/>
    </w:pPr>
    <w:rPr>
      <w:rFonts w:ascii="Tahoma" w:hAnsi="Tahoma" w:eastAsia="宋体" w:cs="Times New Roman"/>
      <w:sz w:val="24"/>
    </w:rPr>
  </w:style>
  <w:style w:type="paragraph" w:styleId="1422">
    <w:name w:val="Body Text 21"/>
    <w:basedOn w:val="1047"/>
    <w:next w:val="1422"/>
    <w:link w:val="1047"/>
    <w:pPr>
      <w:ind w:left="720" w:hanging="720"/>
      <w:widowControl/>
    </w:pPr>
    <w:rPr>
      <w:rFonts w:ascii="Times New Roman" w:hAnsi="Times New Roman" w:eastAsia="宋体" w:cs="Times New Roman"/>
      <w:sz w:val="24"/>
      <w:lang w:val="en-GB"/>
    </w:rPr>
  </w:style>
  <w:style w:type="paragraph" w:styleId="1423">
    <w:name w:val="大标题"/>
    <w:basedOn w:val="1047"/>
    <w:next w:val="1047"/>
    <w:link w:val="1047"/>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24">
    <w:name w:val="xl43"/>
    <w:basedOn w:val="1047"/>
    <w:next w:val="1424"/>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25">
    <w:name w:val="font6"/>
    <w:basedOn w:val="1047"/>
    <w:next w:val="1425"/>
    <w:link w:val="1047"/>
    <w:pPr>
      <w:jc w:val="left"/>
      <w:spacing w:before="100" w:beforeAutospacing="1" w:after="100" w:afterAutospacing="1"/>
      <w:widowControl/>
    </w:pPr>
    <w:rPr>
      <w:rFonts w:ascii="宋体" w:hAnsi="宋体" w:eastAsia="宋体" w:cs="宋体"/>
      <w:b/>
      <w:bCs/>
      <w:sz w:val="20"/>
    </w:rPr>
  </w:style>
  <w:style w:type="paragraph" w:styleId="1426">
    <w:name w:val="Char Char1 Char"/>
    <w:basedOn w:val="1047"/>
    <w:next w:val="1426"/>
    <w:link w:val="1047"/>
    <w:pPr>
      <w:jc w:val="left"/>
      <w:spacing w:after="160" w:line="240" w:lineRule="exact"/>
      <w:widowControl/>
    </w:pPr>
    <w:rPr>
      <w:rFonts w:ascii="Verdana" w:hAnsi="Verdana" w:eastAsia="宋体" w:cs="Times New Roman"/>
      <w:sz w:val="20"/>
      <w:lang w:eastAsia="en-US"/>
    </w:rPr>
  </w:style>
  <w:style w:type="paragraph" w:styleId="1427">
    <w:name w:val="Body Text 22"/>
    <w:basedOn w:val="1047"/>
    <w:next w:val="1427"/>
    <w:link w:val="1047"/>
    <w:pPr>
      <w:ind w:left="720" w:hanging="720"/>
      <w:widowControl/>
    </w:pPr>
    <w:rPr>
      <w:rFonts w:ascii="Times New Roman" w:hAnsi="Times New Roman" w:eastAsia="宋体" w:cs="Times New Roman"/>
      <w:sz w:val="24"/>
      <w:lang w:val="en-GB"/>
    </w:rPr>
  </w:style>
  <w:style w:type="paragraph" w:styleId="1428">
    <w:name w:val="xl54"/>
    <w:basedOn w:val="1047"/>
    <w:next w:val="1428"/>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9">
    <w:name w:val="Item Step in Table"/>
    <w:next w:val="1429"/>
    <w:link w:val="104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30">
    <w:name w:val=" Char Char1 Char"/>
    <w:basedOn w:val="1047"/>
    <w:next w:val="1430"/>
    <w:link w:val="1047"/>
    <w:pPr>
      <w:jc w:val="left"/>
      <w:spacing w:after="160" w:line="240" w:lineRule="exact"/>
      <w:widowControl/>
    </w:pPr>
    <w:rPr>
      <w:rFonts w:ascii="Verdana" w:hAnsi="Verdana" w:eastAsia="宋体" w:cs="Times New Roman"/>
      <w:sz w:val="20"/>
      <w:lang w:eastAsia="en-US"/>
    </w:rPr>
  </w:style>
  <w:style w:type="paragraph" w:styleId="1431">
    <w:name w:val="部分1"/>
    <w:basedOn w:val="1047"/>
    <w:next w:val="1431"/>
    <w:link w:val="1047"/>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32">
    <w:name w:val="Item List Char Char"/>
    <w:next w:val="1432"/>
    <w:link w:val="1047"/>
    <w:pPr>
      <w:jc w:val="both"/>
      <w:spacing w:line="288" w:lineRule="auto"/>
    </w:pPr>
    <w:rPr>
      <w:rFonts w:ascii="Arial" w:hAnsi="Arial" w:cs="Arial"/>
      <w:b/>
      <w:bCs/>
      <w:sz w:val="21"/>
      <w:szCs w:val="28"/>
      <w:lang w:val="en-US" w:eastAsia="zh-CN" w:bidi="ar-SA"/>
    </w:rPr>
  </w:style>
  <w:style w:type="paragraph" w:styleId="1433">
    <w:name w:val="中等深浅网格 1 - 强调文字颜色 21"/>
    <w:basedOn w:val="1047"/>
    <w:next w:val="1433"/>
    <w:link w:val="1047"/>
    <w:pPr>
      <w:ind w:firstLine="420"/>
    </w:pPr>
    <w:rPr>
      <w:rFonts w:ascii="Calibri" w:hAnsi="Calibri" w:eastAsia="宋体" w:cs="Times New Roman"/>
      <w:szCs w:val="22"/>
    </w:rPr>
  </w:style>
  <w:style w:type="paragraph" w:styleId="1434">
    <w:name w:val="Normal2"/>
    <w:basedOn w:val="1047"/>
    <w:next w:val="1434"/>
    <w:link w:val="1047"/>
    <w:rPr>
      <w:rFonts w:ascii="Calibri" w:hAnsi="Calibri" w:eastAsia="Calibri" w:cs="宋体"/>
      <w:lang w:val="zh-CN"/>
    </w:rPr>
  </w:style>
  <w:style w:type="paragraph" w:styleId="1435">
    <w:name w:val=" Char Char Char Char Char Char Char Char Char Char Char Char Char Char Char Char Char Char Char Char Char Char Char"/>
    <w:basedOn w:val="1047"/>
    <w:next w:val="1435"/>
    <w:link w:val="1047"/>
    <w:rPr>
      <w:rFonts w:ascii="Tahoma" w:hAnsi="Tahoma" w:eastAsia="宋体" w:cs="Times New Roman"/>
      <w:sz w:val="24"/>
    </w:rPr>
  </w:style>
  <w:style w:type="paragraph" w:styleId="1436">
    <w:name w:val="样式3"/>
    <w:basedOn w:val="1047"/>
    <w:next w:val="1047"/>
    <w:link w:val="1047"/>
    <w:pPr>
      <w:spacing w:line="360" w:lineRule="auto"/>
    </w:pPr>
    <w:rPr>
      <w:rFonts w:ascii="Times New Roman" w:hAnsi="Times New Roman" w:eastAsia="宋体" w:cs="Times New Roman"/>
    </w:rPr>
  </w:style>
  <w:style w:type="paragraph" w:styleId="1437">
    <w:name w:val="样式 标题 2第一章 标题 2Heading 2 HiddenHeading 2 CCBSheading 2H2h2..."/>
    <w:basedOn w:val="1049"/>
    <w:next w:val="1437"/>
    <w:link w:val="104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8">
    <w:name w:val="xl61"/>
    <w:basedOn w:val="1047"/>
    <w:next w:val="1438"/>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9">
    <w:name w:val="xl53"/>
    <w:basedOn w:val="1047"/>
    <w:next w:val="1439"/>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0">
    <w:name w:val="xl62"/>
    <w:basedOn w:val="1047"/>
    <w:next w:val="1440"/>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1">
    <w:name w:val="条1"/>
    <w:basedOn w:val="1047"/>
    <w:next w:val="1441"/>
    <w:link w:val="1047"/>
    <w:pPr>
      <w:ind w:left="780" w:hanging="360"/>
      <w:spacing w:before="156" w:line="360" w:lineRule="auto"/>
      <w:tabs>
        <w:tab w:val="left" w:pos="780" w:leader="none"/>
      </w:tabs>
    </w:pPr>
    <w:rPr>
      <w:rFonts w:ascii="Times New Roman" w:hAnsi="Times New Roman" w:eastAsia="黑体" w:cs="Times New Roman"/>
      <w:sz w:val="24"/>
    </w:rPr>
  </w:style>
  <w:style w:type="paragraph" w:styleId="1442">
    <w:name w:val="样式4 Char"/>
    <w:basedOn w:val="1047"/>
    <w:next w:val="1442"/>
    <w:link w:val="1047"/>
    <w:pPr>
      <w:ind w:firstLine="480"/>
      <w:jc w:val="left"/>
      <w:spacing w:line="360" w:lineRule="auto"/>
      <w:widowControl/>
    </w:pPr>
    <w:rPr>
      <w:rFonts w:ascii="Times New Roman" w:hAnsi="Times New Roman" w:eastAsia="宋体" w:cs="宋体"/>
      <w:color w:val="000000"/>
      <w:sz w:val="24"/>
      <w:szCs w:val="24"/>
    </w:rPr>
  </w:style>
  <w:style w:type="paragraph" w:styleId="1443">
    <w:name w:val="Char Char Char Char Char Char"/>
    <w:basedOn w:val="1047"/>
    <w:next w:val="1443"/>
    <w:link w:val="1047"/>
    <w:rPr>
      <w:rFonts w:ascii="Tahoma" w:hAnsi="Tahoma" w:eastAsia="宋体" w:cs="Tahoma"/>
      <w:sz w:val="24"/>
    </w:rPr>
  </w:style>
  <w:style w:type="paragraph" w:styleId="1444">
    <w:name w:val="7"/>
    <w:basedOn w:val="1047"/>
    <w:next w:val="1121"/>
    <w:link w:val="1047"/>
    <w:pPr>
      <w:jc w:val="left"/>
      <w:spacing w:before="100" w:beforeAutospacing="1" w:after="100" w:afterAutospacing="1"/>
      <w:widowControl/>
    </w:pPr>
    <w:rPr>
      <w:rFonts w:ascii="宋体" w:hAnsi="宋体" w:eastAsia="宋体" w:cs="Times New Roman"/>
      <w:sz w:val="24"/>
    </w:rPr>
  </w:style>
  <w:style w:type="paragraph" w:styleId="1445">
    <w:name w:val="普通文字"/>
    <w:basedOn w:val="1047"/>
    <w:next w:val="1047"/>
    <w:link w:val="1047"/>
    <w:rPr>
      <w:rFonts w:ascii="宋体" w:hAnsi="宋体" w:eastAsia="宋体" w:cs="宋体"/>
      <w:sz w:val="24"/>
    </w:rPr>
  </w:style>
  <w:style w:type="paragraph" w:styleId="1446">
    <w:name w:val="Char1 Char Char Char"/>
    <w:basedOn w:val="1047"/>
    <w:next w:val="1446"/>
    <w:link w:val="1047"/>
    <w:rPr>
      <w:rFonts w:ascii="Tahoma" w:hAnsi="Tahoma" w:eastAsia="宋体" w:cs="Tahoma"/>
      <w:sz w:val="24"/>
    </w:rPr>
  </w:style>
  <w:style w:type="paragraph" w:styleId="1447">
    <w:name w:val="Char2 Char Char Char Char Char Char1"/>
    <w:basedOn w:val="1047"/>
    <w:next w:val="1447"/>
    <w:link w:val="1047"/>
    <w:pPr>
      <w:ind w:hanging="425"/>
      <w:keepNext/>
      <w:spacing w:before="80" w:after="80"/>
      <w:widowControl/>
      <w:tabs>
        <w:tab w:val="left" w:pos="425" w:leader="none"/>
      </w:tabs>
    </w:pPr>
    <w:rPr>
      <w:rFonts w:ascii="Arial" w:hAnsi="Arial" w:eastAsia="宋体" w:cs="Arial"/>
      <w:sz w:val="20"/>
    </w:rPr>
  </w:style>
  <w:style w:type="paragraph" w:styleId="1448">
    <w:name w:val="默认段落字体 Para Char Char Char Char Char Char Char"/>
    <w:basedOn w:val="1047"/>
    <w:next w:val="1448"/>
    <w:link w:val="1047"/>
    <w:rPr>
      <w:rFonts w:ascii="Times New Roman" w:hAnsi="Times New Roman" w:eastAsia="宋体" w:cs="Times New Roman"/>
    </w:rPr>
  </w:style>
  <w:style w:type="paragraph" w:styleId="1449">
    <w:name w:val="正文文本缩进1"/>
    <w:basedOn w:val="1047"/>
    <w:next w:val="1449"/>
    <w:link w:val="1047"/>
    <w:pPr>
      <w:ind w:left="420"/>
      <w:spacing w:after="120"/>
    </w:pPr>
    <w:rPr>
      <w:rFonts w:ascii="Times New Roman" w:hAnsi="Times New Roman" w:eastAsia="宋体" w:cs="Times New Roman"/>
      <w:szCs w:val="24"/>
    </w:rPr>
  </w:style>
  <w:style w:type="paragraph" w:styleId="1450">
    <w:name w:val="Table Text Char"/>
    <w:next w:val="1450"/>
    <w:link w:val="1047"/>
    <w:pPr>
      <w:spacing w:before="80" w:after="80"/>
    </w:pPr>
    <w:rPr>
      <w:rFonts w:ascii="Arial" w:hAnsi="Arial" w:cs="Arial"/>
      <w:sz w:val="18"/>
      <w:szCs w:val="28"/>
      <w:lang w:val="en-US" w:eastAsia="zh-CN" w:bidi="ar-SA"/>
    </w:rPr>
  </w:style>
  <w:style w:type="paragraph" w:styleId="1451">
    <w:name w:val="方案正文"/>
    <w:basedOn w:val="1047"/>
    <w:next w:val="1451"/>
    <w:link w:val="1047"/>
    <w:pPr>
      <w:ind w:firstLine="359"/>
      <w:jc w:val="left"/>
      <w:spacing w:before="156" w:line="360" w:lineRule="auto"/>
    </w:pPr>
    <w:rPr>
      <w:rFonts w:ascii="Arial" w:hAnsi="Arial" w:eastAsia="宋体" w:cs="宋体"/>
      <w:sz w:val="24"/>
      <w:szCs w:val="21"/>
    </w:rPr>
  </w:style>
  <w:style w:type="paragraph" w:styleId="1452">
    <w:name w:val="Char Char Char Char Char Char Char Char Char"/>
    <w:basedOn w:val="1047"/>
    <w:next w:val="1452"/>
    <w:link w:val="1047"/>
    <w:pPr>
      <w:ind w:left="200" w:hanging="200"/>
      <w:tabs>
        <w:tab w:val="left" w:pos="360" w:leader="none"/>
      </w:tabs>
    </w:pPr>
    <w:rPr>
      <w:rFonts w:ascii="Times New Roman" w:hAnsi="Times New Roman" w:eastAsia="宋体" w:cs="Times New Roman"/>
      <w:sz w:val="24"/>
      <w:szCs w:val="24"/>
    </w:rPr>
  </w:style>
  <w:style w:type="paragraph" w:styleId="1453">
    <w:name w:val="Char"/>
    <w:basedOn w:val="1047"/>
    <w:next w:val="1453"/>
    <w:link w:val="1047"/>
    <w:rPr>
      <w:rFonts w:ascii="Tahoma" w:hAnsi="Tahoma" w:eastAsia="宋体" w:cs="仿宋_GB2312"/>
      <w:sz w:val="24"/>
      <w:szCs w:val="28"/>
    </w:rPr>
  </w:style>
  <w:style w:type="paragraph" w:styleId="1454">
    <w:name w:val="标题3，章节第三层"/>
    <w:basedOn w:val="1047"/>
    <w:next w:val="1296"/>
    <w:link w:val="1047"/>
    <w:pPr>
      <w:spacing w:before="78" w:line="300" w:lineRule="auto"/>
      <w:outlineLvl w:val="2"/>
    </w:pPr>
    <w:rPr>
      <w:rFonts w:ascii="Arial" w:hAnsi="Arial" w:eastAsia="华文细黑" w:cs="Times New Roman"/>
      <w:sz w:val="30"/>
      <w:szCs w:val="24"/>
    </w:rPr>
  </w:style>
  <w:style w:type="paragraph" w:styleId="1455">
    <w:name w:val="表格文字"/>
    <w:basedOn w:val="1047"/>
    <w:next w:val="1455"/>
    <w:link w:val="1047"/>
    <w:pPr>
      <w:ind w:firstLine="200"/>
      <w:jc w:val="left"/>
      <w:spacing w:line="360" w:lineRule="auto"/>
    </w:pPr>
    <w:rPr>
      <w:rFonts w:ascii="Arial" w:hAnsi="Arial" w:eastAsia="宋体" w:cs="Times New Roman"/>
      <w:sz w:val="24"/>
    </w:rPr>
  </w:style>
  <w:style w:type="paragraph" w:styleId="1456">
    <w:name w:val="xl45"/>
    <w:basedOn w:val="1047"/>
    <w:next w:val="1456"/>
    <w:link w:val="1047"/>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57">
    <w:name w:val="正文 居中"/>
    <w:basedOn w:val="1047"/>
    <w:next w:val="1457"/>
    <w:link w:val="1047"/>
    <w:pPr>
      <w:jc w:val="center"/>
      <w:spacing w:line="360" w:lineRule="auto"/>
    </w:pPr>
    <w:rPr>
      <w:rFonts w:ascii="Times New Roman" w:hAnsi="Times New Roman" w:eastAsia="宋体" w:cs="Times New Roman"/>
      <w:sz w:val="24"/>
    </w:rPr>
  </w:style>
  <w:style w:type="paragraph" w:styleId="1458">
    <w:name w:val="表格"/>
    <w:basedOn w:val="1047"/>
    <w:next w:val="1458"/>
    <w:link w:val="1047"/>
    <w:pPr>
      <w:ind w:firstLine="21"/>
    </w:pPr>
    <w:rPr>
      <w:rFonts w:ascii="宋体" w:hAnsi="宋体" w:eastAsia="宋体" w:cs="宋体"/>
      <w:sz w:val="20"/>
    </w:rPr>
  </w:style>
  <w:style w:type="paragraph" w:styleId="1459">
    <w:name w:val="greytypebeni"/>
    <w:basedOn w:val="1047"/>
    <w:next w:val="1459"/>
    <w:link w:val="1047"/>
    <w:pPr>
      <w:jc w:val="left"/>
      <w:widowControl/>
    </w:pPr>
    <w:rPr>
      <w:rFonts w:ascii="宋体" w:hAnsi="宋体" w:eastAsia="宋体" w:cs="宋体"/>
      <w:sz w:val="24"/>
      <w:szCs w:val="24"/>
    </w:rPr>
  </w:style>
  <w:style w:type="paragraph" w:styleId="1460">
    <w:name w:val="flType"/>
    <w:basedOn w:val="1269"/>
    <w:next w:val="1460"/>
    <w:link w:val="1047"/>
    <w:pPr>
      <w:spacing w:after="284"/>
    </w:pPr>
    <w:rPr>
      <w:rFonts w:ascii="Times New Roman" w:hAnsi="Times New Roman" w:eastAsia="宋体" w:cs="Times New Roman"/>
      <w:b/>
    </w:rPr>
  </w:style>
  <w:style w:type="paragraph" w:styleId="1461">
    <w:name w:val="符号与编号"/>
    <w:basedOn w:val="1047"/>
    <w:next w:val="1461"/>
    <w:link w:val="1047"/>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62">
    <w:name w:val="xl33"/>
    <w:basedOn w:val="1047"/>
    <w:next w:val="1462"/>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63">
    <w:name w:val="段 Char"/>
    <w:next w:val="1463"/>
    <w:link w:val="1047"/>
    <w:pPr>
      <w:ind w:firstLine="200"/>
      <w:jc w:val="both"/>
    </w:pPr>
    <w:rPr>
      <w:rFonts w:ascii="宋体"/>
      <w:sz w:val="21"/>
      <w:lang w:val="en-US" w:eastAsia="zh-CN" w:bidi="ar-SA"/>
    </w:rPr>
  </w:style>
  <w:style w:type="paragraph" w:styleId="1464">
    <w:name w:val="论文正文"/>
    <w:basedOn w:val="1095"/>
    <w:next w:val="1464"/>
    <w:link w:val="1047"/>
    <w:pPr>
      <w:ind w:left="0" w:firstLine="200"/>
      <w:jc w:val="left"/>
      <w:spacing w:line="360" w:lineRule="auto"/>
    </w:pPr>
    <w:rPr>
      <w:rFonts w:ascii="Times New Roman" w:hAnsi="Times New Roman" w:eastAsia="宋体" w:cs="Times New Roman"/>
      <w:sz w:val="28"/>
      <w:szCs w:val="24"/>
    </w:rPr>
  </w:style>
  <w:style w:type="paragraph" w:styleId="1465">
    <w:name w:val="默认段落字体 Para Char Char Char Char Char Char Char Char Char1 Char Char Char Char Char Char Char"/>
    <w:basedOn w:val="1075"/>
    <w:next w:val="1465"/>
    <w:link w:val="1047"/>
    <w:rPr>
      <w:rFonts w:ascii="Times New Roman" w:hAnsi="Times New Roman" w:eastAsia="宋体" w:cs="Times New Roman"/>
    </w:rPr>
  </w:style>
  <w:style w:type="paragraph" w:styleId="1466">
    <w:name w:val="二级条标题"/>
    <w:basedOn w:val="1047"/>
    <w:next w:val="1151"/>
    <w:link w:val="1047"/>
    <w:pPr>
      <w:ind w:hanging="420"/>
      <w:widowControl/>
      <w:tabs>
        <w:tab w:val="left" w:pos="2240" w:leader="none"/>
      </w:tabs>
      <w:outlineLvl w:val="3"/>
    </w:pPr>
    <w:rPr>
      <w:rFonts w:ascii="Times New Roman" w:hAnsi="Times New Roman" w:eastAsia="黑体" w:cs="Times New Roman"/>
    </w:rPr>
  </w:style>
  <w:style w:type="paragraph" w:styleId="1467">
    <w:name w:val="xl29"/>
    <w:basedOn w:val="1047"/>
    <w:next w:val="1467"/>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68">
    <w:name w:val="TOC 71"/>
    <w:next w:val="1047"/>
    <w:link w:val="1047"/>
    <w:qFormat/>
    <w:pPr>
      <w:ind w:left="2550"/>
      <w:jc w:val="both"/>
    </w:pPr>
    <w:rPr>
      <w:sz w:val="21"/>
      <w:szCs w:val="22"/>
      <w:lang w:val="en-US" w:eastAsia="zh-CN" w:bidi="ar-SA"/>
    </w:rPr>
  </w:style>
  <w:style w:type="paragraph" w:styleId="1469">
    <w:name w:val="xl39"/>
    <w:basedOn w:val="1047"/>
    <w:next w:val="146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0">
    <w:name w:val="A."/>
    <w:basedOn w:val="1047"/>
    <w:next w:val="1470"/>
    <w:link w:val="1047"/>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71">
    <w:name w:val="font61"/>
    <w:next w:val="1471"/>
    <w:link w:val="1047"/>
    <w:rPr>
      <w:rFonts w:ascii="Times New Roman" w:hAnsi="Times New Roman" w:eastAsia="宋体" w:cs="Times New Roman"/>
      <w:color w:val="000000"/>
      <w:sz w:val="22"/>
      <w:szCs w:val="22"/>
      <w:u w:val="none"/>
    </w:rPr>
  </w:style>
  <w:style w:type="character" w:styleId="1472">
    <w:name w:val="font51"/>
    <w:next w:val="1472"/>
    <w:link w:val="1047"/>
    <w:rPr>
      <w:rFonts w:hint="eastAsia" w:ascii="宋体" w:hAnsi="宋体" w:eastAsia="宋体" w:cs="宋体"/>
      <w:color w:val="000000"/>
      <w:sz w:val="22"/>
      <w:szCs w:val="22"/>
      <w:u w:val="none"/>
      <w:vertAlign w:val="subscript"/>
    </w:rPr>
  </w:style>
  <w:style w:type="character" w:styleId="1473">
    <w:name w:val="font41"/>
    <w:next w:val="1473"/>
    <w:link w:val="1047"/>
    <w:rPr>
      <w:rFonts w:hint="eastAsia" w:ascii="宋体" w:hAnsi="宋体" w:eastAsia="宋体" w:cs="宋体"/>
      <w:color w:val="000000"/>
      <w:sz w:val="22"/>
      <w:szCs w:val="22"/>
      <w:u w:val="none"/>
    </w:rPr>
  </w:style>
  <w:style w:type="character" w:styleId="1474">
    <w:name w:val="font71"/>
    <w:next w:val="1474"/>
    <w:link w:val="1047"/>
    <w:rPr>
      <w:rFonts w:ascii="Times New Roman" w:hAnsi="Times New Roman" w:eastAsia="宋体" w:cs="Times New Roman"/>
      <w:color w:val="000000"/>
      <w:sz w:val="22"/>
      <w:szCs w:val="22"/>
      <w:u w:val="none"/>
    </w:rPr>
  </w:style>
  <w:style w:type="character" w:styleId="1475">
    <w:name w:val="font21"/>
    <w:next w:val="1475"/>
    <w:link w:val="1047"/>
    <w:rPr>
      <w:rFonts w:ascii="Times New Roman" w:hAnsi="Times New Roman" w:eastAsia="宋体" w:cs="Times New Roman"/>
      <w:color w:val="000000"/>
      <w:sz w:val="22"/>
      <w:szCs w:val="22"/>
      <w:u w:val="none"/>
      <w:vertAlign w:val="superscript"/>
    </w:rPr>
  </w:style>
  <w:style w:type="paragraph" w:styleId="1476">
    <w:name w:val="06列出段落"/>
    <w:basedOn w:val="1047"/>
    <w:next w:val="1288"/>
    <w:link w:val="1047"/>
    <w:pPr>
      <w:ind w:firstLine="420"/>
    </w:pPr>
    <w:rPr>
      <w:rFonts w:ascii="Calibri" w:hAnsi="Calibri" w:eastAsia="宋体" w:cs="Times New Roman"/>
    </w:rPr>
  </w:style>
  <w:style w:type="paragraph" w:styleId="1477">
    <w:name w:val="彩色列表 - 强调文字颜色 11"/>
    <w:basedOn w:val="1047"/>
    <w:next w:val="1477"/>
    <w:link w:val="1047"/>
    <w:qFormat/>
    <w:pPr>
      <w:contextualSpacing/>
      <w:ind w:left="720"/>
      <w:jc w:val="left"/>
      <w:spacing w:before="100" w:after="100" w:line="276" w:lineRule="auto"/>
      <w:widowControl/>
    </w:pPr>
    <w:rPr>
      <w:rFonts w:ascii="Arial" w:hAnsi="Arial" w:cs="Arial"/>
      <w:color w:val="0f0f0f"/>
      <w:sz w:val="20"/>
      <w:lang w:eastAsia="en-US"/>
    </w:rPr>
  </w:style>
  <w:style w:type="paragraph" w:styleId="1478">
    <w:name w:val="讲话正文"/>
    <w:basedOn w:val="1047"/>
    <w:next w:val="1478"/>
    <w:link w:val="1047"/>
    <w:qFormat/>
    <w:pPr>
      <w:ind w:firstLine="200"/>
      <w:spacing w:before="0" w:after="0"/>
    </w:pPr>
    <w:rPr>
      <w:rFonts w:ascii="仿宋" w:hAnsi="仿宋" w:eastAsia="仿宋"/>
      <w:sz w:val="32"/>
      <w:szCs w:val="32"/>
    </w:rPr>
  </w:style>
  <w:style w:type="paragraph" w:styleId="1479">
    <w:name w:val="首行缩进"/>
    <w:basedOn w:val="1047"/>
    <w:next w:val="1479"/>
    <w:link w:val="1047"/>
    <w:qFormat/>
    <w:pPr>
      <w:ind w:firstLine="480"/>
    </w:pPr>
    <w:rPr>
      <w:szCs w:val="20"/>
      <w:lang w:val="zh-CN"/>
    </w:rPr>
  </w:style>
  <w:style w:type="paragraph" w:styleId="1480">
    <w:name w:val="正文首行缩进 21"/>
    <w:basedOn w:val="1449"/>
    <w:next w:val="1480"/>
    <w:link w:val="1047"/>
    <w:qFormat/>
    <w:pPr>
      <w:ind w:firstLine="420"/>
    </w:pPr>
  </w:style>
  <w:style w:type="paragraph" w:styleId="1481">
    <w:name w:val="Table Text"/>
    <w:basedOn w:val="1047"/>
    <w:next w:val="1481"/>
    <w:link w:val="1047"/>
    <w:semiHidden/>
    <w:qFormat/>
    <w:rPr>
      <w:rFonts w:ascii="宋体" w:hAnsi="宋体" w:cs="宋体"/>
      <w:sz w:val="24"/>
    </w:rPr>
  </w:style>
  <w:style w:type="table" w:styleId="1482">
    <w:name w:val="Table Normal"/>
    <w:next w:val="1482"/>
    <w:link w:val="1047"/>
    <w:unhideWhenUsed/>
    <w:qFormat/>
    <w:rPr>
      <w:lang w:val="en-US" w:eastAsia="zh-CN" w:bidi="ar-SA"/>
    </w:rPr>
    <w:tblPr/>
  </w:style>
  <w:style w:type="paragraph" w:styleId="1483">
    <w:name w:val="一级目录"/>
    <w:next w:val="1047"/>
    <w:link w:val="1047"/>
    <w:uiPriority w:val="99"/>
    <w:qFormat/>
    <w:pPr>
      <w:jc w:val="center"/>
      <w:outlineLvl w:val="0"/>
    </w:pPr>
    <w:rPr>
      <w:rFonts w:ascii="黑体" w:eastAsia="黑体"/>
      <w:b/>
      <w:bCs/>
      <w:sz w:val="44"/>
      <w:szCs w:val="44"/>
      <w:lang w:val="en-US" w:eastAsia="zh-CN" w:bidi="ar-SA"/>
    </w:rPr>
  </w:style>
  <w:style w:type="paragraph" w:styleId="1484">
    <w:name w:val="MdHeading2"/>
    <w:next w:val="1484"/>
    <w:link w:val="1047"/>
    <w:qFormat/>
    <w:pPr>
      <w:keepNext/>
      <w:spacing w:before="400" w:after="200"/>
      <w:outlineLvl w:val="1"/>
    </w:pPr>
    <w:rPr>
      <w:rFonts w:ascii="Calibri" w:hAnsi="Calibri"/>
      <w:b/>
      <w:bCs/>
      <w:sz w:val="32"/>
      <w:szCs w:val="32"/>
      <w:lang w:val="en-US" w:eastAsia="zh-CN" w:bidi="ar-SA"/>
    </w:rPr>
  </w:style>
  <w:style w:type="paragraph" w:styleId="1485">
    <w:name w:val="MdParagraph"/>
    <w:next w:val="1485"/>
    <w:link w:val="1047"/>
    <w:qFormat/>
    <w:pPr>
      <w:spacing w:before="120" w:after="120"/>
    </w:pPr>
    <w:rPr>
      <w:rFonts w:ascii="Calibri" w:hAnsi="Calibri"/>
      <w:sz w:val="24"/>
      <w:szCs w:val="24"/>
      <w:lang w:val="en-US" w:eastAsia="zh-CN" w:bidi="ar-SA"/>
    </w:rPr>
  </w:style>
  <w:style w:type="paragraph" w:styleId="1486">
    <w:name w:val="MdSpace"/>
    <w:next w:val="1486"/>
    <w:link w:val="1047"/>
    <w:qFormat/>
    <w:rPr>
      <w:rFonts w:ascii="Calibri" w:hAnsi="Calibri"/>
      <w:sz w:val="12"/>
      <w:szCs w:val="12"/>
      <w:lang w:val="en-US" w:eastAsia="zh-CN" w:bidi="ar-SA"/>
    </w:rPr>
  </w:style>
  <w:style w:type="paragraph" w:styleId="1487">
    <w:name w:val="MdTableHeader"/>
    <w:next w:val="1487"/>
    <w:link w:val="1047"/>
    <w:qFormat/>
    <w:pPr>
      <w:spacing w:before="60" w:after="60"/>
    </w:pPr>
    <w:rPr>
      <w:rFonts w:ascii="Calibri" w:hAnsi="Calibri"/>
      <w:b/>
      <w:bCs/>
      <w:sz w:val="22"/>
      <w:szCs w:val="22"/>
      <w:lang w:val="en-US" w:eastAsia="zh-CN" w:bidi="ar-SA"/>
    </w:rPr>
  </w:style>
  <w:style w:type="paragraph" w:styleId="1488">
    <w:name w:val="MdTableCell"/>
    <w:next w:val="1488"/>
    <w:link w:val="1047"/>
    <w:qFormat/>
    <w:pPr>
      <w:spacing w:before="40" w:after="40"/>
    </w:pPr>
    <w:rPr>
      <w:rFonts w:ascii="Calibri" w:hAnsi="Calibri"/>
      <w:lang w:val="en-US" w:eastAsia="zh-CN" w:bidi="ar-SA"/>
    </w:rPr>
  </w:style>
  <w:style w:type="character" w:styleId="1489">
    <w:name w:val="MdStrong"/>
    <w:next w:val="1489"/>
    <w:link w:val="1047"/>
    <w:uiPriority w:val="99"/>
    <w:unhideWhenUsed/>
    <w:qFormat/>
    <w:rPr>
      <w:b/>
      <w:bCs/>
    </w:rPr>
  </w:style>
  <w:style w:type="paragraph" w:styleId="1490">
    <w:name w:val="标题 21"/>
    <w:basedOn w:val="1047"/>
    <w:next w:val="1047"/>
    <w:link w:val="1047"/>
    <w:qFormat/>
    <w:pPr>
      <w:jc w:val="center"/>
      <w:keepLines/>
      <w:keepNext/>
      <w:spacing w:before="260" w:after="260" w:line="416" w:lineRule="auto"/>
      <w:outlineLvl w:val="1"/>
    </w:pPr>
    <w:rPr>
      <w:rFonts w:ascii="Arial" w:hAnsi="Arial" w:eastAsia="幼圆"/>
      <w:b/>
      <w:bCs/>
      <w:sz w:val="44"/>
      <w:szCs w:val="44"/>
    </w:rPr>
  </w:style>
  <w:style w:type="character" w:styleId="1491">
    <w:name w:val="批注文字 字符2"/>
    <w:next w:val="1491"/>
    <w:link w:val="1047"/>
    <w:uiPriority w:val="99"/>
    <w:semiHidden/>
    <w:qFormat/>
    <w:rPr>
      <w:rFonts w:ascii="Times New Roman" w:hAnsi="Times New Roman" w:eastAsia="宋体" w:cs="Times New Roman"/>
      <w:sz w:val="21"/>
    </w:rPr>
  </w:style>
  <w:style w:type="character" w:styleId="1492" w:default="1">
    <w:name w:val="Default Paragraph Font"/>
    <w:uiPriority w:val="1"/>
    <w:semiHidden/>
    <w:unhideWhenUsed/>
  </w:style>
  <w:style w:type="numbering" w:styleId="1493" w:default="1">
    <w:name w:val="No List"/>
    <w:uiPriority w:val="99"/>
    <w:semiHidden/>
    <w:unhideWhenUsed/>
  </w:style>
  <w:style w:type="table" w:styleId="14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7</cp:revision>
  <dcterms:created xsi:type="dcterms:W3CDTF">2026-10-16T02:36:00Z</dcterms:created>
  <dcterms:modified xsi:type="dcterms:W3CDTF">2026-10-21T09:02:21Z</dcterms:modified>
</cp:coreProperties>
</file>