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400" w:lineRule="exact"/>
        <w:rPr>
          <w:rFonts w:hint="eastAsia" w:ascii="方正小标宋_GBK" w:hAnsi="方正小标宋_GBK" w:eastAsia="方正小标宋_GBK" w:cs="方正小标宋_GBK"/>
          <w:color w:val="000000"/>
          <w:sz w:val="40"/>
          <w:szCs w:val="40"/>
          <w:highlight w:val="none"/>
        </w:rPr>
      </w:pPr>
      <w:r>
        <w:rPr>
          <w:rFonts w:hint="eastAsia" w:ascii="方正小标宋_GBK" w:hAnsi="方正小标宋_GBK" w:eastAsia="方正小标宋_GBK" w:cs="方正小标宋_GBK"/>
          <w:color w:val="000000"/>
          <w:sz w:val="40"/>
          <w:szCs w:val="40"/>
          <w:highlight w:val="none"/>
        </w:rPr>
      </w:r>
      <w:r/>
    </w:p>
    <w:p>
      <w:pPr>
        <w:jc w:val="center"/>
        <w:spacing w:before="120" w:after="120" w:line="400" w:lineRule="exact"/>
        <w:rPr>
          <w:rFonts w:hint="eastAsia" w:ascii="方正小标宋_GBK" w:hAnsi="方正小标宋_GBK" w:eastAsia="方正小标宋_GBK" w:cs="方正小标宋_GBK"/>
          <w:color w:val="000000"/>
          <w:sz w:val="40"/>
          <w:szCs w:val="40"/>
          <w:highlight w:val="none"/>
        </w:rPr>
      </w:pPr>
      <w:r>
        <w:rPr>
          <w:rFonts w:hint="eastAsia" w:ascii="方正小标宋_GBK" w:hAnsi="方正小标宋_GBK" w:eastAsia="方正小标宋_GBK" w:cs="方正小标宋_GBK"/>
          <w:color w:val="000000"/>
          <w:sz w:val="40"/>
          <w:szCs w:val="40"/>
          <w:highlight w:val="none"/>
        </w:rPr>
      </w:r>
      <w:r/>
    </w:p>
    <w:p>
      <w:pPr>
        <w:jc w:val="center"/>
        <w:spacing w:before="120" w:after="120" w:line="400" w:lineRule="exact"/>
        <w:rPr>
          <w:rFonts w:hint="eastAsia" w:ascii="方正小标宋_GBK" w:hAnsi="方正小标宋_GBK" w:eastAsia="方正小标宋_GBK" w:cs="方正小标宋_GBK"/>
          <w:color w:val="000000"/>
          <w:sz w:val="40"/>
          <w:szCs w:val="40"/>
          <w:highlight w:val="none"/>
        </w:rPr>
      </w:pPr>
      <w:r>
        <w:rPr>
          <w:rFonts w:hint="eastAsia" w:ascii="方正小标宋_GBK" w:hAnsi="方正小标宋_GBK" w:eastAsia="方正小标宋_GBK" w:cs="方正小标宋_GBK"/>
          <w:color w:val="000000"/>
          <w:sz w:val="40"/>
          <w:szCs w:val="40"/>
          <w:highlight w:val="none"/>
        </w:rPr>
      </w:r>
      <w:r/>
    </w:p>
    <w:p>
      <w:pPr>
        <w:jc w:val="center"/>
        <w:spacing w:before="120" w:after="120" w:line="400" w:lineRule="exact"/>
        <w:rPr>
          <w:rFonts w:hint="eastAsia" w:ascii="方正小标宋_GBK" w:hAnsi="方正小标宋_GBK" w:eastAsia="方正小标宋_GBK" w:cs="方正小标宋_GBK"/>
          <w:color w:val="000000"/>
          <w:sz w:val="40"/>
          <w:szCs w:val="40"/>
          <w:highlight w:val="none"/>
        </w:rPr>
      </w:pPr>
      <w:r>
        <w:rPr>
          <w:rFonts w:hint="eastAsia" w:ascii="方正小标宋_GBK" w:hAnsi="方正小标宋_GBK" w:eastAsia="方正小标宋_GBK" w:cs="方正小标宋_GBK"/>
          <w:color w:val="000000"/>
          <w:sz w:val="40"/>
          <w:szCs w:val="40"/>
          <w:highlight w:val="none"/>
        </w:rPr>
      </w:r>
      <w:r/>
    </w:p>
    <w:p>
      <w:pPr>
        <w:jc w:val="center"/>
        <w:spacing w:before="120" w:after="120" w:line="400" w:lineRule="exact"/>
        <w:rPr>
          <w:rFonts w:hint="eastAsia" w:ascii="方正小标宋_GBK" w:hAnsi="方正小标宋_GBK" w:eastAsia="方正小标宋_GBK" w:cs="方正小标宋_GBK"/>
          <w:color w:val="000000"/>
          <w:sz w:val="40"/>
          <w:szCs w:val="40"/>
          <w:highlight w:val="none"/>
        </w:rPr>
      </w:pPr>
      <w:r>
        <w:rPr>
          <w:rFonts w:hint="eastAsia" w:ascii="方正小标宋_GBK" w:hAnsi="方正小标宋_GBK" w:eastAsia="方正小标宋_GBK" w:cs="方正小标宋_GBK"/>
          <w:color w:val="000000"/>
          <w:sz w:val="40"/>
          <w:szCs w:val="40"/>
          <w:highlight w:val="none"/>
        </w:rPr>
        <w:t xml:space="preserve">招　标　文　件</w:t>
      </w:r>
      <w:r/>
    </w:p>
    <w:p>
      <w:pPr>
        <w:ind w:firstLine="560"/>
        <w:jc w:val="left"/>
        <w:spacing w:before="120" w:after="120" w:line="400" w:lineRule="exact"/>
        <w:rPr>
          <w:rFonts w:ascii="Arial" w:hAnsi="Arial"/>
          <w:b/>
          <w:bCs/>
          <w:color w:val="000000"/>
          <w:sz w:val="28"/>
          <w:szCs w:val="28"/>
          <w:highlight w:val="none"/>
        </w:rPr>
      </w:pPr>
      <w:r>
        <w:rPr>
          <w:rFonts w:ascii="Arial" w:hAnsi="Arial"/>
          <w:b/>
          <w:bCs/>
          <w:color w:val="000000"/>
          <w:sz w:val="28"/>
          <w:szCs w:val="28"/>
          <w:highlight w:val="none"/>
        </w:rPr>
      </w:r>
      <w:r/>
    </w:p>
    <w:p>
      <w:pPr>
        <w:ind w:firstLine="560"/>
        <w:jc w:val="center"/>
        <w:spacing w:before="120" w:after="120" w:line="400" w:lineRule="exact"/>
        <w:rPr>
          <w:rFonts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项目名称：手语数智化同传演训中心实验室建设项目相关电脑等设备采购</w:t>
      </w:r>
      <w:r/>
    </w:p>
    <w:p>
      <w:pPr>
        <w:ind w:firstLine="560"/>
        <w:jc w:val="center"/>
        <w:spacing w:before="120" w:after="120" w:line="400" w:lineRule="exact"/>
        <w:rPr>
          <w:rFonts w:hint="eastAsia" w:ascii="方正黑体_GBK" w:hAnsi="方正黑体_GBK" w:eastAsia="方正黑体_GBK" w:cs="方正黑体_GBK"/>
          <w:color w:val="000000"/>
          <w:sz w:val="28"/>
          <w:szCs w:val="28"/>
          <w:highlight w:val="none"/>
          <w:lang w:eastAsia="zh-CN"/>
        </w:rPr>
      </w:pPr>
      <w:r>
        <w:rPr>
          <w:rFonts w:hint="eastAsia" w:ascii="方正黑体_GBK" w:hAnsi="方正黑体_GBK" w:eastAsia="方正黑体_GBK" w:cs="方正黑体_GBK"/>
          <w:sz w:val="28"/>
          <w:szCs w:val="28"/>
          <w:highlight w:val="none"/>
        </w:rPr>
        <w:t xml:space="preserve">采购编号：JSZC-320000-SCZX-G2026-0</w:t>
      </w:r>
      <w:r>
        <w:rPr>
          <w:rFonts w:hint="eastAsia" w:ascii="方正黑体_GBK" w:hAnsi="方正黑体_GBK" w:eastAsia="方正黑体_GBK" w:cs="方正黑体_GBK"/>
          <w:sz w:val="28"/>
          <w:szCs w:val="28"/>
          <w:highlight w:val="none"/>
          <w:lang w:eastAsia="zh-CN"/>
        </w:rPr>
        <w:t xml:space="preserve">526</w:t>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660" w:lineRule="exact"/>
        <w:rPr>
          <w:rFonts w:ascii="方正黑体_GBK" w:hAnsi="方正黑体_GBK" w:eastAsia="方正黑体_GBK" w:cs="方正黑体_GBK"/>
          <w:color w:val="000000"/>
          <w:sz w:val="28"/>
          <w:szCs w:val="28"/>
          <w:highlight w:val="none"/>
        </w:rPr>
      </w:pPr>
      <w:r>
        <w:rPr>
          <w:rFonts w:ascii="方正黑体_GBK" w:hAnsi="方正黑体_GBK" w:eastAsia="方正黑体_GBK" w:cs="方正黑体_GBK"/>
          <w:color w:val="000000"/>
          <w:sz w:val="28"/>
          <w:szCs w:val="28"/>
          <w:highlight w:val="none"/>
        </w:rPr>
      </w:r>
      <w:r/>
    </w:p>
    <w:p>
      <w:pPr>
        <w:jc w:val="center"/>
        <w:spacing w:before="120" w:after="120" w:line="400" w:lineRule="exact"/>
        <w:rPr>
          <w:rFonts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江苏省政府采购中心</w:t>
      </w:r>
      <w:r/>
    </w:p>
    <w:p>
      <w:pPr>
        <w:jc w:val="center"/>
        <w:spacing w:before="120" w:after="120" w:line="400" w:lineRule="exact"/>
        <w:rPr>
          <w:rFonts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2026年</w:t>
      </w:r>
      <w:r>
        <w:rPr>
          <w:rFonts w:hint="eastAsia" w:ascii="方正黑体_GBK" w:hAnsi="方正黑体_GBK" w:eastAsia="方正黑体_GBK" w:cs="方正黑体_GBK"/>
          <w:color w:val="000000"/>
          <w:sz w:val="28"/>
          <w:szCs w:val="28"/>
          <w:highlight w:val="none"/>
          <w:lang w:val="en-US" w:eastAsia="zh-CN"/>
        </w:rPr>
        <w:t xml:space="preserve">10</w:t>
      </w:r>
      <w:r>
        <w:rPr>
          <w:rFonts w:hint="eastAsia" w:ascii="方正黑体_GBK" w:hAnsi="方正黑体_GBK" w:eastAsia="方正黑体_GBK" w:cs="方正黑体_GBK"/>
          <w:color w:val="000000"/>
          <w:sz w:val="28"/>
          <w:szCs w:val="28"/>
          <w:highlight w:val="none"/>
        </w:rPr>
        <w:t xml:space="preserve">月</w:t>
      </w:r>
      <w:r/>
    </w:p>
    <w:p>
      <w:pPr>
        <w:jc w:val="left"/>
        <w:spacing w:before="120" w:after="120" w:line="360" w:lineRule="auto"/>
        <w:rPr>
          <w:rFonts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ascii="Arial" w:hAnsi="Arial"/>
          <w:color w:val="000000"/>
          <w:sz w:val="24"/>
          <w:szCs w:val="24"/>
          <w:highlight w:val="none"/>
        </w:rPr>
      </w:pPr>
      <w:r>
        <w:rPr>
          <w:rFonts w:ascii="Arial" w:hAnsi="Arial"/>
          <w:color w:val="000000"/>
          <w:sz w:val="24"/>
          <w:szCs w:val="24"/>
          <w:highlight w:val="none"/>
        </w:rPr>
      </w:r>
      <w:r/>
    </w:p>
    <w:p>
      <w:pPr>
        <w:jc w:val="center"/>
        <w:spacing w:line="660" w:lineRule="exact"/>
        <w:rPr>
          <w:rFonts w:ascii="黑体" w:hAnsi="Arial" w:eastAsia="黑体"/>
          <w:b/>
          <w:color w:val="000000"/>
          <w:sz w:val="28"/>
          <w:szCs w:val="28"/>
          <w:highlight w:val="none"/>
        </w:rPr>
        <w:outlineLvl w:val="0"/>
      </w:pPr>
      <w:r>
        <w:rPr>
          <w:color w:val="000000"/>
          <w:szCs w:val="21"/>
          <w:highlight w:val="none"/>
        </w:rPr>
        <w:br w:type="page" w:clear="all"/>
      </w:r>
      <w:bookmarkStart w:id="0" w:name="_Toc120614210"/>
      <w:r/>
      <w:bookmarkStart w:id="1" w:name="_Toc513029200"/>
      <w:r/>
      <w:bookmarkStart w:id="2" w:name="_Toc20823272"/>
      <w:r/>
      <w:bookmarkStart w:id="3" w:name="_Toc523127445"/>
      <w:r/>
      <w:bookmarkStart w:id="4" w:name="_Toc16938516"/>
      <w:r/>
      <w:bookmarkStart w:id="5" w:name="_Toc479757206"/>
      <w:r>
        <w:rPr>
          <w:rFonts w:hint="eastAsia" w:ascii="方正黑体_GBK" w:hAnsi="方正黑体_GBK" w:eastAsia="方正黑体_GBK" w:cs="方正黑体_GBK"/>
          <w:bCs/>
          <w:color w:val="000000"/>
          <w:sz w:val="28"/>
          <w:szCs w:val="28"/>
          <w:highlight w:val="none"/>
        </w:rPr>
        <w:t xml:space="preserve">总  目  录</w:t>
      </w:r>
      <w:r/>
    </w:p>
    <w:p>
      <w:pPr>
        <w:jc w:val="center"/>
        <w:spacing w:line="400" w:lineRule="exact"/>
        <w:rPr>
          <w:rFonts w:ascii="方正黑体_GBK" w:hAnsi="方正黑体_GBK" w:eastAsia="方正黑体_GBK" w:cs="方正黑体_GBK"/>
          <w:color w:val="000000"/>
          <w:sz w:val="28"/>
          <w:szCs w:val="28"/>
          <w:highlight w:val="none"/>
        </w:rPr>
        <w:outlineLvl w:val="0"/>
      </w:pPr>
      <w:r>
        <w:rPr>
          <w:rFonts w:ascii="方正黑体_GBK" w:hAnsi="方正黑体_GBK" w:eastAsia="方正黑体_GBK" w:cs="方正黑体_GBK"/>
          <w:color w:val="000000"/>
          <w:sz w:val="28"/>
          <w:szCs w:val="28"/>
          <w:highlight w:val="none"/>
        </w:rPr>
      </w:r>
      <w:r/>
    </w:p>
    <w:p>
      <w:pPr>
        <w:jc w:val="center"/>
        <w:spacing w:line="400" w:lineRule="exact"/>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投标邀请……………………………………3</w:t>
      </w:r>
      <w:r/>
    </w:p>
    <w:p>
      <w:pPr>
        <w:jc w:val="center"/>
        <w:spacing w:line="400" w:lineRule="exact"/>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t xml:space="preserve">第二章 投标人须知</w:t>
      </w:r>
      <w:r>
        <w:rPr>
          <w:rFonts w:hint="eastAsia" w:ascii="方正黑体_GBK" w:hAnsi="方正黑体_GBK" w:eastAsia="方正黑体_GBK" w:cs="方正黑体_GBK"/>
          <w:color w:val="000000"/>
          <w:sz w:val="28"/>
          <w:szCs w:val="28"/>
          <w:highlight w:val="none"/>
        </w:rPr>
        <w:t xml:space="preserve">…………………………………6</w:t>
      </w:r>
      <w:r/>
    </w:p>
    <w:p>
      <w:pPr>
        <w:jc w:val="center"/>
        <w:spacing w:line="400" w:lineRule="exact"/>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 第三章 合同文本……………………………………18</w:t>
      </w:r>
      <w:r/>
    </w:p>
    <w:p>
      <w:pPr>
        <w:jc w:val="center"/>
        <w:spacing w:line="400" w:lineRule="exact"/>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 第四章 采购需求……………………………………29</w:t>
      </w:r>
      <w:r/>
    </w:p>
    <w:p>
      <w:pPr>
        <w:jc w:val="center"/>
        <w:spacing w:line="400" w:lineRule="exact"/>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t xml:space="preserve"> 第五章 评标方法与评标标准</w:t>
      </w:r>
      <w:r>
        <w:rPr>
          <w:rFonts w:hint="eastAsia" w:ascii="方正黑体_GBK" w:hAnsi="方正黑体_GBK" w:eastAsia="方正黑体_GBK" w:cs="方正黑体_GBK"/>
          <w:color w:val="000000"/>
          <w:sz w:val="28"/>
          <w:szCs w:val="28"/>
          <w:highlight w:val="none"/>
        </w:rPr>
        <w:t xml:space="preserve">………………………60</w:t>
      </w:r>
      <w:r/>
    </w:p>
    <w:p>
      <w:pPr>
        <w:ind w:firstLine="1120"/>
        <w:spacing w:line="400" w:lineRule="exact"/>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第六章 投标文件格式…………………………… 64</w:t>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jc w:val="center"/>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jc w:val="center"/>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jc w:val="center"/>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jc w:val="center"/>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jc w:val="center"/>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jc w:val="center"/>
        <w:keepNext/>
        <w:spacing w:line="400" w:lineRule="exact"/>
        <w:rPr>
          <w:rFonts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w:t>
      </w:r>
      <w:bookmarkEnd w:id="0"/>
      <w:r>
        <w:rPr>
          <w:rFonts w:hint="eastAsia" w:ascii="方正黑体_GBK" w:hAnsi="方正黑体_GBK" w:eastAsia="方正黑体_GBK" w:cs="方正黑体_GBK"/>
          <w:color w:val="000000"/>
          <w:sz w:val="28"/>
          <w:szCs w:val="28"/>
          <w:highlight w:val="none"/>
        </w:rPr>
        <w:t xml:space="preserve">投标邀请</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受南京特殊教育师范学院的委托，江苏省政府采购中心就手语数智化同传演训中心实验室建设项目相关电脑等设备采购(JSZC-320000-SCZX-G2026-0</w:t>
      </w:r>
      <w:r>
        <w:rPr>
          <w:rFonts w:hint="eastAsia" w:ascii="方正仿宋_GBK" w:hAnsi="方正仿宋_GBK" w:eastAsia="方正仿宋_GBK" w:cs="方正仿宋_GBK"/>
          <w:color w:val="000000"/>
          <w:sz w:val="28"/>
          <w:szCs w:val="28"/>
          <w:highlight w:val="none"/>
          <w:lang w:eastAsia="zh-CN"/>
        </w:rPr>
        <w:t xml:space="preserve">526</w:t>
      </w:r>
      <w:r>
        <w:rPr>
          <w:rFonts w:hint="eastAsia" w:ascii="方正仿宋_GBK" w:hAnsi="方正仿宋_GBK" w:eastAsia="方正仿宋_GBK" w:cs="方正仿宋_GBK"/>
          <w:color w:val="000000"/>
          <w:sz w:val="28"/>
          <w:szCs w:val="28"/>
          <w:highlight w:val="none"/>
        </w:rPr>
        <w:t xml:space="preserve">)项目进行公开招标采购，欢迎符合条件的供应商投标</w:t>
      </w:r>
      <w:r/>
    </w:p>
    <w:p>
      <w:pPr>
        <w:ind w:firstLine="560"/>
        <w:spacing w:line="400" w:lineRule="exact"/>
        <w:rPr>
          <w:rFonts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r>
      <w:r/>
    </w:p>
    <w:p>
      <w:pPr>
        <w:ind w:firstLine="560"/>
        <w:spacing w:line="400" w:lineRule="exact"/>
        <w:rPr>
          <w:rFonts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rPr>
        <w:t xml:space="preserve">项目概况</w:t>
      </w:r>
      <w:r/>
    </w:p>
    <w:p>
      <w:pPr>
        <w:ind w:firstLine="560"/>
        <w:spacing w:line="400" w:lineRule="exact"/>
        <w:rPr>
          <w:rFonts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bookmarkStart w:id="6" w:name="_Toc35393790"/>
      <w:r/>
      <w:bookmarkStart w:id="7" w:name="_Toc35393621"/>
      <w:r/>
      <w:bookmarkStart w:id="8" w:name="_Toc28359079"/>
      <w:r/>
      <w:bookmarkStart w:id="9" w:name="_Toc38985263"/>
      <w:r/>
      <w:bookmarkStart w:id="10" w:name="_Toc28359002"/>
      <w:r/>
      <w:bookmarkStart w:id="11" w:name="_Hlk24379207"/>
      <w:r>
        <w:rPr>
          <w:rFonts w:hint="eastAsia" w:ascii="方正仿宋_GBK" w:hAnsi="方正仿宋_GBK" w:eastAsia="方正仿宋_GBK" w:cs="方正仿宋_GBK"/>
          <w:color w:val="000000"/>
          <w:sz w:val="28"/>
          <w:szCs w:val="28"/>
          <w:highlight w:val="none"/>
          <w:u w:val="single"/>
        </w:rPr>
        <w:t xml:space="preserve">(手语数智化同传演训中心实验室建设项目相关电脑等设备采购)</w:t>
      </w:r>
      <w:r>
        <w:rPr>
          <w:rFonts w:hint="eastAsia" w:ascii="方正仿宋_GBK" w:hAnsi="方正仿宋_GBK" w:eastAsia="方正仿宋_GBK" w:cs="方正仿宋_GBK"/>
          <w:color w:val="000000"/>
          <w:sz w:val="28"/>
          <w:szCs w:val="28"/>
          <w:highlight w:val="none"/>
        </w:rPr>
        <w:t xml:space="preserve"> 招标项目的潜在投标人可在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招标文件，并于</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olor w:val="000000"/>
          <w:sz w:val="28"/>
          <w:szCs w:val="28"/>
          <w:highlight w:val="none"/>
          <w:lang w:val="en-US" w:eastAsia="zh-CN"/>
        </w:rPr>
        <w:t xml:space="preserve">11</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color w:val="000000"/>
          <w:sz w:val="28"/>
          <w:szCs w:val="28"/>
          <w:highlight w:val="none"/>
          <w:lang w:val="en-US" w:eastAsia="zh-CN"/>
        </w:rPr>
        <w:t xml:space="preserve">5</w:t>
      </w:r>
      <w:r>
        <w:rPr>
          <w:rFonts w:hint="eastAsia" w:ascii="方正仿宋_GBK" w:hAnsi="方正仿宋_GBK" w:eastAsia="方正仿宋_GBK" w:cs="方正仿宋_GBK"/>
          <w:bCs/>
          <w:color w:val="000000"/>
          <w:sz w:val="28"/>
          <w:szCs w:val="28"/>
          <w:highlight w:val="none"/>
        </w:rPr>
        <w:t xml:space="preserve">日9</w:t>
      </w:r>
      <w:r>
        <w:rPr>
          <w:rFonts w:hint="eastAsia" w:ascii="方正仿宋_GBK" w:hAnsi="方正仿宋_GBK" w:eastAsia="方正仿宋_GBK" w:cs="方正仿宋_GBK"/>
          <w:color w:val="000000"/>
          <w:sz w:val="28"/>
          <w:szCs w:val="28"/>
          <w:highlight w:val="none"/>
        </w:rPr>
        <w:t xml:space="preserve">时30</w:t>
      </w:r>
      <w:r>
        <w:rPr>
          <w:rFonts w:hint="eastAsia" w:ascii="方正仿宋_GBK" w:hAnsi="方正仿宋_GBK" w:eastAsia="方正仿宋_GBK" w:cs="方正仿宋_GBK"/>
          <w:bCs/>
          <w:color w:val="000000"/>
          <w:sz w:val="28"/>
          <w:szCs w:val="28"/>
          <w:highlight w:val="none"/>
        </w:rPr>
        <w:t xml:space="preserve">分（北京时间）前递交投标文件</w:t>
      </w:r>
      <w:r>
        <w:rPr>
          <w:rFonts w:hint="eastAsia" w:ascii="方正仿宋_GBK" w:hAnsi="方正仿宋_GBK" w:eastAsia="方正仿宋_GBK" w:cs="方正仿宋_GBK"/>
          <w:color w:val="000000"/>
          <w:sz w:val="28"/>
          <w:szCs w:val="28"/>
          <w:highlight w:val="none"/>
        </w:rPr>
        <w:t xml:space="preserve">。</w:t>
      </w:r>
      <w:r/>
    </w:p>
    <w:p>
      <w:pPr>
        <w:ind w:firstLine="560"/>
        <w:jc w:val="left"/>
        <w:keepNext/>
        <w:spacing w:line="400" w:lineRule="exact"/>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一、项目基本情况</w:t>
      </w:r>
      <w:bookmarkEnd w:id="6"/>
      <w:r/>
      <w:bookmarkEnd w:id="7"/>
      <w:r/>
      <w:bookmarkEnd w:id="8"/>
      <w:r/>
      <w:bookmarkEnd w:id="9"/>
      <w:r/>
      <w:bookmarkEnd w:id="10"/>
      <w:r/>
      <w:r/>
    </w:p>
    <w:p>
      <w:pPr>
        <w:ind w:firstLine="560"/>
        <w:spacing w:line="40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1.采购编号：</w:t>
      </w:r>
      <w:r>
        <w:rPr>
          <w:rFonts w:hint="eastAsia" w:eastAsia="方正仿宋_GBK"/>
          <w:color w:val="000000"/>
          <w:sz w:val="28"/>
          <w:szCs w:val="28"/>
          <w:highlight w:val="none"/>
        </w:rPr>
        <w:t xml:space="preserve">JSZC-320000-SCZX-G2026-0</w:t>
      </w:r>
      <w:r>
        <w:rPr>
          <w:rFonts w:hint="eastAsia" w:eastAsia="方正仿宋_GBK"/>
          <w:color w:val="000000"/>
          <w:sz w:val="28"/>
          <w:szCs w:val="28"/>
          <w:highlight w:val="none"/>
          <w:lang w:eastAsia="zh-CN"/>
        </w:rPr>
        <w:t xml:space="preserve">526</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2.项目名称：手语数智化同传演训中心实验室建设项目相关电脑等设备采购</w:t>
      </w:r>
      <w:bookmarkEnd w:id="11"/>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3.预算金额</w:t>
      </w:r>
      <w:r/>
    </w:p>
    <w:tbl>
      <w:tblPr>
        <w:tblStyle w:val="78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3312"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p>
        </w:tc>
      </w:tr>
      <w:tr>
        <w:trPr/>
        <w:tc>
          <w:tcPr>
            <w:tcW w:w="1092"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312" w:type="dxa"/>
            <w:textDirection w:val="lrTb"/>
            <w:noWrap w:val="false"/>
          </w:tcPr>
          <w:p>
            <w:pPr>
              <w:ind w:firstLine="1120"/>
              <w:spacing w:line="400" w:lineRule="exact"/>
              <w:rPr>
                <w:rFonts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24.06</w:t>
            </w:r>
            <w:r/>
          </w:p>
        </w:tc>
      </w:tr>
    </w:tbl>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p>
    <w:tbl>
      <w:tblPr>
        <w:tblStyle w:val="78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textDirection w:val="lrTb"/>
            <w:noWrap w:val="false"/>
          </w:tcPr>
          <w:p>
            <w:pPr>
              <w:jc w:val="center"/>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3296" w:type="dxa"/>
            <w:textDirection w:val="lrTb"/>
            <w:noWrap w:val="false"/>
          </w:tcPr>
          <w:p>
            <w:pPr>
              <w:jc w:val="center"/>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最高限价</w:t>
            </w:r>
            <w:r/>
          </w:p>
          <w:p>
            <w:pPr>
              <w:jc w:val="center"/>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p>
        </w:tc>
      </w:tr>
      <w:tr>
        <w:trPr/>
        <w:tc>
          <w:tcPr>
            <w:tcW w:w="1085" w:type="dxa"/>
            <w:textDirection w:val="lrTb"/>
            <w:noWrap w:val="false"/>
          </w:tcPr>
          <w:p>
            <w:pPr>
              <w:jc w:val="center"/>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296" w:type="dxa"/>
            <w:textDirection w:val="lrTb"/>
            <w:noWrap w:val="false"/>
          </w:tcPr>
          <w:p>
            <w:pPr>
              <w:jc w:val="center"/>
              <w:spacing w:line="400" w:lineRule="exact"/>
              <w:rPr>
                <w:rFonts w:eastAsia="方正仿宋_GBK"/>
                <w:color w:val="000000"/>
                <w:sz w:val="28"/>
                <w:szCs w:val="28"/>
                <w:highlight w:val="none"/>
              </w:rPr>
            </w:pPr>
            <w:r>
              <w:rPr>
                <w:rFonts w:hint="eastAsia" w:eastAsia="方正仿宋_GBK"/>
                <w:color w:val="000000"/>
                <w:sz w:val="28"/>
                <w:szCs w:val="28"/>
                <w:highlight w:val="none"/>
              </w:rPr>
              <w:t xml:space="preserve">24.06</w:t>
            </w:r>
            <w:r/>
          </w:p>
        </w:tc>
      </w:tr>
    </w:tbl>
    <w:p>
      <w:pPr>
        <w:ind w:firstLine="560"/>
        <w:spacing w:line="400" w:lineRule="exact"/>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5.采购需求(简介)：详细内容见本招标文件第四章</w:t>
      </w:r>
      <w:r/>
    </w:p>
    <w:p>
      <w:pPr>
        <w:ind w:firstLine="560"/>
        <w:spacing w:line="400" w:lineRule="exact"/>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6.合同履行期限：详细内容见本招标文件第四章</w:t>
      </w:r>
      <w:r/>
    </w:p>
    <w:p>
      <w:pPr>
        <w:ind w:firstLine="560"/>
        <w:jc w:val="left"/>
        <w:keepNext/>
        <w:spacing w:line="400" w:lineRule="exact"/>
        <w:rPr>
          <w:rFonts w:ascii="方正黑体_GBK" w:hAnsi="方正黑体_GBK" w:eastAsia="方正黑体_GBK" w:cs="方正黑体_GBK"/>
          <w:color w:val="000000"/>
          <w:sz w:val="28"/>
          <w:szCs w:val="28"/>
          <w:highlight w:val="none"/>
        </w:rPr>
        <w:outlineLvl w:val="0"/>
      </w:pPr>
      <w:r/>
      <w:bookmarkStart w:id="12" w:name="_Toc35393791"/>
      <w:r/>
      <w:bookmarkStart w:id="13" w:name="_Toc35393622"/>
      <w:r/>
      <w:bookmarkStart w:id="14" w:name="_Toc28359003"/>
      <w:r/>
      <w:bookmarkStart w:id="15" w:name="_Toc38985264"/>
      <w:r/>
      <w:bookmarkStart w:id="16" w:name="_Toc28359080"/>
      <w:r>
        <w:rPr>
          <w:rFonts w:hint="eastAsia" w:ascii="方正黑体_GBK" w:hAnsi="方正黑体_GBK" w:eastAsia="方正黑体_GBK" w:cs="方正黑体_GBK"/>
          <w:color w:val="000000"/>
          <w:sz w:val="28"/>
          <w:szCs w:val="28"/>
          <w:highlight w:val="none"/>
        </w:rPr>
        <w:t xml:space="preserve">二、申请人的资格要求</w:t>
      </w:r>
      <w:bookmarkEnd w:id="12"/>
      <w:r/>
      <w:bookmarkEnd w:id="13"/>
      <w:r/>
      <w:bookmarkEnd w:id="14"/>
      <w:r/>
      <w:bookmarkEnd w:id="15"/>
      <w:r/>
      <w:bookmarkEnd w:id="16"/>
      <w:r/>
      <w:r/>
    </w:p>
    <w:p>
      <w:pPr>
        <w:ind w:firstLine="560"/>
        <w:spacing w:line="400" w:lineRule="exact"/>
        <w:rPr>
          <w:rFonts w:ascii="方正楷体_GBK" w:hAnsi="方正楷体_GBK" w:eastAsia="方正楷体_GBK" w:cs="方正楷体_GBK"/>
          <w:color w:val="000000"/>
          <w:sz w:val="28"/>
          <w:szCs w:val="28"/>
          <w:highlight w:val="none"/>
        </w:rPr>
      </w:pPr>
      <w:r/>
      <w:bookmarkStart w:id="17" w:name="_Toc28359004"/>
      <w:r/>
      <w:bookmarkStart w:id="18" w:name="_Toc35393792"/>
      <w:r/>
      <w:bookmarkStart w:id="19" w:name="_Toc35393623"/>
      <w:r/>
      <w:bookmarkStart w:id="20" w:name="_Toc28359081"/>
      <w:r/>
      <w:bookmarkStart w:id="21" w:name="_Toc38985265"/>
      <w:r>
        <w:rPr>
          <w:rFonts w:hint="eastAsia" w:ascii="方正楷体_GBK" w:hAnsi="方正楷体_GBK" w:eastAsia="方正楷体_GBK" w:cs="方正楷体_GBK"/>
          <w:color w:val="000000"/>
          <w:sz w:val="28"/>
          <w:szCs w:val="28"/>
          <w:highlight w:val="none"/>
        </w:rPr>
        <w:t xml:space="preserve">（一）通用资格要求</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3.落实政府采购政策需满足的资格要求：无</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4.联合体投标</w:t>
      </w:r>
      <w:r/>
    </w:p>
    <w:tbl>
      <w:tblPr>
        <w:tblStyle w:val="78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2968"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是否接受联合体投标（是/否）</w:t>
            </w:r>
            <w:r/>
          </w:p>
        </w:tc>
        <w:tc>
          <w:tcPr>
            <w:tcW w:w="2967"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该采购包中联合体成员数量上限</w:t>
            </w:r>
            <w:r/>
          </w:p>
        </w:tc>
      </w:tr>
      <w:tr>
        <w:trPr/>
        <w:tc>
          <w:tcPr>
            <w:tcW w:w="1148"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2968"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p>
        </w:tc>
        <w:tc>
          <w:tcPr>
            <w:tcW w:w="2967"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r>
    </w:tbl>
    <w:p>
      <w:pPr>
        <w:ind w:firstLine="560"/>
        <w:spacing w:line="400" w:lineRule="exact"/>
        <w:rPr>
          <w:rFonts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p>
    <w:tbl>
      <w:tblPr>
        <w:tblStyle w:val="78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5921"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p>
        </w:tc>
      </w:tr>
      <w:tr>
        <w:trPr/>
        <w:tc>
          <w:tcPr>
            <w:tcW w:w="1148"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5921"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w:t>
            </w:r>
            <w:r/>
          </w:p>
        </w:tc>
      </w:tr>
    </w:tbl>
    <w:p>
      <w:pPr>
        <w:ind w:firstLine="560"/>
        <w:jc w:val="left"/>
        <w:keepNext/>
        <w:spacing w:line="400" w:lineRule="exact"/>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三、获取招标文件</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1.时间：自招标文件公告发布之日起5个工作日。</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2.方式：在“江苏政府采购网”自行免费下载招标文件。</w:t>
      </w:r>
      <w:bookmarkEnd w:id="17"/>
      <w:bookmarkEnd w:id="18"/>
      <w:bookmarkEnd w:id="19"/>
      <w:bookmarkEnd w:id="20"/>
      <w:bookmarkEnd w:id="21"/>
      <w:r/>
    </w:p>
    <w:p>
      <w:pPr>
        <w:ind w:firstLine="560"/>
        <w:jc w:val="left"/>
        <w:keepNext/>
        <w:spacing w:line="400" w:lineRule="exact"/>
        <w:rPr>
          <w:rFonts w:ascii="方正黑体_GBK" w:hAnsi="方正黑体_GBK" w:eastAsia="方正黑体_GBK" w:cs="方正黑体_GBK"/>
          <w:color w:val="000000"/>
          <w:sz w:val="28"/>
          <w:szCs w:val="28"/>
          <w:highlight w:val="none"/>
        </w:rPr>
        <w:outlineLvl w:val="0"/>
      </w:pPr>
      <w:r/>
      <w:bookmarkStart w:id="22" w:name="_Toc28359082"/>
      <w:r/>
      <w:bookmarkStart w:id="23" w:name="_Toc28359005"/>
      <w:r/>
      <w:bookmarkStart w:id="24" w:name="_Toc38985266"/>
      <w:r/>
      <w:bookmarkStart w:id="25" w:name="_Toc35393624"/>
      <w:r/>
      <w:bookmarkStart w:id="26" w:name="_Toc35393793"/>
      <w:r>
        <w:rPr>
          <w:rFonts w:hint="eastAsia" w:ascii="方正黑体_GBK" w:hAnsi="方正黑体_GBK" w:eastAsia="方正黑体_GBK" w:cs="方正黑体_GBK"/>
          <w:color w:val="000000"/>
          <w:sz w:val="28"/>
          <w:szCs w:val="28"/>
          <w:highlight w:val="none"/>
        </w:rPr>
        <w:t xml:space="preserve">四、提交投标文件</w:t>
      </w:r>
      <w:bookmarkEnd w:id="22"/>
      <w:r/>
      <w:bookmarkEnd w:id="23"/>
      <w:r>
        <w:rPr>
          <w:rFonts w:hint="eastAsia" w:ascii="方正黑体_GBK" w:hAnsi="方正黑体_GBK" w:eastAsia="方正黑体_GBK" w:cs="方正黑体_GBK"/>
          <w:color w:val="000000"/>
          <w:sz w:val="28"/>
          <w:szCs w:val="28"/>
          <w:highlight w:val="none"/>
        </w:rPr>
        <w:t xml:space="preserve">截止时间、开标时间和地点</w:t>
      </w:r>
      <w:bookmarkEnd w:id="24"/>
      <w:r/>
      <w:bookmarkEnd w:id="25"/>
      <w:r/>
      <w:bookmarkEnd w:id="26"/>
      <w:r/>
      <w:r/>
    </w:p>
    <w:p>
      <w:pPr>
        <w:ind w:firstLine="560"/>
        <w:spacing w:line="400" w:lineRule="exact"/>
        <w:rPr>
          <w:rFonts w:hint="eastAsia" w:ascii="宋体" w:hAnsi="宋体"/>
          <w:bCs/>
          <w:color w:val="000000"/>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olor w:val="000000"/>
          <w:sz w:val="28"/>
          <w:szCs w:val="28"/>
          <w:highlight w:val="none"/>
          <w:lang w:val="en-US" w:eastAsia="zh-CN"/>
        </w:rPr>
        <w:t xml:space="preserve">11</w:t>
      </w:r>
      <w:r>
        <w:rPr>
          <w:rFonts w:hint="eastAsia" w:ascii="方正仿宋_GBK" w:hAnsi="方正仿宋_GBK" w:eastAsia="方正仿宋_GBK" w:cs="方正仿宋_GBK"/>
          <w:bCs/>
          <w:color w:val="000000"/>
          <w:sz w:val="28"/>
          <w:szCs w:val="28"/>
          <w:highlight w:val="none"/>
        </w:rPr>
        <w:t xml:space="preserve">月</w:t>
      </w:r>
      <w:r>
        <w:rPr>
          <w:rFonts w:hint="eastAsia" w:ascii="方正仿宋_GBK" w:hAnsi="方正仿宋_GBK" w:eastAsia="方正仿宋_GBK" w:cs="方正仿宋_GBK"/>
          <w:bCs/>
          <w:color w:val="000000"/>
          <w:sz w:val="28"/>
          <w:szCs w:val="28"/>
          <w:highlight w:val="none"/>
          <w:lang w:val="en-US" w:eastAsia="zh-CN"/>
        </w:rPr>
        <w:t xml:space="preserve">5</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color w:val="000000"/>
          <w:sz w:val="28"/>
          <w:szCs w:val="28"/>
          <w:highlight w:val="none"/>
        </w:rPr>
        <w:t xml:space="preserve">9</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w:t>
      </w:r>
      <w:r>
        <w:rPr>
          <w:rFonts w:hint="eastAsia" w:ascii="方正仿宋_GBK" w:hAnsi="方正仿宋_GBK" w:eastAsia="方正仿宋_GBK" w:cs="方正仿宋_GBK"/>
          <w:sz w:val="28"/>
          <w:szCs w:val="28"/>
          <w:highlight w:val="none"/>
        </w:rPr>
        <w:t xml:space="preserve">。</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r/>
    </w:p>
    <w:p>
      <w:pPr>
        <w:ind w:firstLine="560"/>
        <w:jc w:val="left"/>
        <w:keepNext/>
        <w:spacing w:line="400" w:lineRule="exact"/>
        <w:rPr>
          <w:rFonts w:ascii="方正黑体_GBK" w:hAnsi="方正黑体_GBK" w:eastAsia="方正黑体_GBK" w:cs="方正黑体_GBK"/>
          <w:color w:val="000000"/>
          <w:sz w:val="28"/>
          <w:szCs w:val="28"/>
          <w:highlight w:val="none"/>
        </w:rPr>
        <w:outlineLvl w:val="0"/>
      </w:pPr>
      <w:r/>
      <w:bookmarkStart w:id="27" w:name="_Toc38985267"/>
      <w:r/>
      <w:bookmarkStart w:id="28" w:name="_Toc28359084"/>
      <w:r/>
      <w:bookmarkStart w:id="29" w:name="_Toc28359007"/>
      <w:r/>
      <w:bookmarkStart w:id="30" w:name="_Toc35393794"/>
      <w:r/>
      <w:bookmarkStart w:id="31" w:name="_Toc35393625"/>
      <w:r>
        <w:rPr>
          <w:rFonts w:hint="eastAsia" w:ascii="方正黑体_GBK" w:hAnsi="方正黑体_GBK" w:eastAsia="方正黑体_GBK" w:cs="方正黑体_GBK"/>
          <w:color w:val="000000"/>
          <w:sz w:val="28"/>
          <w:szCs w:val="28"/>
          <w:highlight w:val="none"/>
        </w:rPr>
        <w:t xml:space="preserve">五、公告期限</w:t>
      </w:r>
      <w:bookmarkEnd w:id="27"/>
      <w:r/>
      <w:bookmarkEnd w:id="28"/>
      <w:r/>
      <w:bookmarkEnd w:id="29"/>
      <w:r/>
      <w:bookmarkEnd w:id="30"/>
      <w:r/>
      <w:bookmarkEnd w:id="31"/>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招标公告及招标文件公告期限为自本公告发布之日起5个工作日。</w:t>
      </w:r>
      <w:r/>
    </w:p>
    <w:p>
      <w:pPr>
        <w:ind w:firstLine="560"/>
        <w:jc w:val="left"/>
        <w:keepNext/>
        <w:spacing w:line="400" w:lineRule="exact"/>
        <w:rPr>
          <w:rFonts w:ascii="方正黑体_GBK" w:hAnsi="方正黑体_GBK" w:eastAsia="方正黑体_GBK" w:cs="方正黑体_GBK"/>
          <w:color w:val="000000"/>
          <w:sz w:val="28"/>
          <w:szCs w:val="28"/>
          <w:highlight w:val="none"/>
        </w:rPr>
        <w:outlineLvl w:val="0"/>
      </w:pPr>
      <w:r/>
      <w:bookmarkStart w:id="32" w:name="_Toc35393626"/>
      <w:r/>
      <w:bookmarkStart w:id="33" w:name="_Toc35393795"/>
      <w:r/>
      <w:bookmarkStart w:id="34" w:name="_Toc38985268"/>
      <w:r>
        <w:rPr>
          <w:rFonts w:hint="eastAsia" w:ascii="方正黑体_GBK" w:hAnsi="方正黑体_GBK" w:eastAsia="方正黑体_GBK" w:cs="方正黑体_GBK"/>
          <w:color w:val="000000"/>
          <w:sz w:val="28"/>
          <w:szCs w:val="28"/>
          <w:highlight w:val="none"/>
        </w:rPr>
        <w:t xml:space="preserve">六、其他补充事宜</w:t>
      </w:r>
      <w:bookmarkEnd w:id="32"/>
      <w:r/>
      <w:bookmarkEnd w:id="33"/>
      <w:r/>
      <w:bookmarkEnd w:id="34"/>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无</w:t>
      </w:r>
      <w:r/>
    </w:p>
    <w:p>
      <w:pPr>
        <w:ind w:firstLine="560"/>
        <w:jc w:val="left"/>
        <w:keepNext/>
        <w:spacing w:line="400" w:lineRule="exact"/>
        <w:rPr>
          <w:rFonts w:ascii="方正黑体_GBK" w:hAnsi="方正黑体_GBK" w:eastAsia="方正黑体_GBK" w:cs="方正黑体_GBK"/>
          <w:color w:val="000000"/>
          <w:sz w:val="28"/>
          <w:szCs w:val="28"/>
          <w:highlight w:val="none"/>
        </w:rPr>
        <w:outlineLvl w:val="0"/>
      </w:pPr>
      <w:r/>
      <w:bookmarkStart w:id="35" w:name="_Toc35393627"/>
      <w:r/>
      <w:bookmarkStart w:id="36" w:name="_Toc28359085"/>
      <w:r/>
      <w:bookmarkStart w:id="37" w:name="_Toc38985269"/>
      <w:r/>
      <w:bookmarkStart w:id="38" w:name="_Toc35393796"/>
      <w:r/>
      <w:bookmarkStart w:id="39" w:name="_Toc28359008"/>
      <w:r>
        <w:rPr>
          <w:rFonts w:hint="eastAsia" w:ascii="方正黑体_GBK" w:hAnsi="方正黑体_GBK" w:eastAsia="方正黑体_GBK" w:cs="方正黑体_GBK"/>
          <w:color w:val="000000"/>
          <w:sz w:val="28"/>
          <w:szCs w:val="28"/>
          <w:highlight w:val="none"/>
        </w:rPr>
        <w:t xml:space="preserve">七、本次招标联系方式</w:t>
      </w:r>
      <w:bookmarkEnd w:id="35"/>
      <w:r/>
      <w:bookmarkEnd w:id="36"/>
      <w:r/>
      <w:bookmarkEnd w:id="37"/>
      <w:r/>
      <w:bookmarkEnd w:id="38"/>
      <w:r/>
      <w:bookmarkEnd w:id="39"/>
      <w:r/>
      <w:r/>
    </w:p>
    <w:p>
      <w:pPr>
        <w:jc w:val="left"/>
        <w:spacing w:line="400" w:lineRule="exact"/>
        <w:widowControl/>
        <w:rPr>
          <w:rFonts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p>
    <w:p>
      <w:pPr>
        <w:ind w:firstLine="560"/>
        <w:jc w:val="left"/>
        <w:spacing w:line="400" w:lineRule="exact"/>
        <w:rPr>
          <w:rFonts w:ascii="方正仿宋_GBK" w:hAnsi="方正仿宋_GBK" w:eastAsia="方正仿宋_GBK" w:cs="方正仿宋_GBK"/>
          <w:color w:val="000000"/>
          <w:sz w:val="28"/>
          <w:szCs w:val="28"/>
          <w:highlight w:val="none"/>
        </w:rPr>
      </w:pPr>
      <w:r/>
      <w:bookmarkStart w:id="40" w:name="_Toc28359009"/>
      <w:r/>
      <w:bookmarkStart w:id="41" w:name="_Toc28359086"/>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南京特殊教育师范学院　</w:t>
      </w:r>
      <w:r/>
    </w:p>
    <w:p>
      <w:pPr>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江苏南京栖霞区神农路1号　　</w:t>
      </w:r>
      <w:r/>
    </w:p>
    <w:p>
      <w:pPr>
        <w:ind w:firstLine="560"/>
        <w:jc w:val="left"/>
        <w:spacing w:line="400" w:lineRule="exact"/>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严老师             </w:t>
      </w:r>
      <w:r/>
    </w:p>
    <w:p>
      <w:pPr>
        <w:ind w:firstLine="560"/>
        <w:jc w:val="left"/>
        <w:spacing w:line="400" w:lineRule="exact"/>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　　025-89668043　　 </w:t>
      </w:r>
      <w:r/>
    </w:p>
    <w:p>
      <w:pPr>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0"/>
      <w:r/>
      <w:bookmarkEnd w:id="41"/>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　南京市汉中门大街145号省政务中心二期3楼南区　　　</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时富荣、许滢                      </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bookmarkStart w:id="42" w:name="_Toc28359087"/>
      <w:r/>
      <w:bookmarkStart w:id="43" w:name="_Toc28359010"/>
      <w:r>
        <w:rPr>
          <w:rFonts w:hint="eastAsia" w:ascii="方正仿宋_GBK" w:hAnsi="方正仿宋_GBK" w:eastAsia="方正仿宋_GBK" w:cs="方正仿宋_GBK"/>
          <w:color w:val="000000"/>
          <w:sz w:val="28"/>
          <w:szCs w:val="28"/>
          <w:highlight w:val="none"/>
          <w:u w:val="single"/>
        </w:rPr>
        <w:t xml:space="preserve">　　025-83668559　　　　　　　　　　</w:t>
      </w:r>
      <w:bookmarkEnd w:id="42"/>
      <w:bookmarkEnd w:id="43"/>
      <w:r/>
    </w:p>
    <w:p>
      <w:pPr>
        <w:ind w:firstLine="560"/>
        <w:jc w:val="left"/>
        <w:keepNext/>
        <w:spacing w:line="400" w:lineRule="exact"/>
        <w:rPr>
          <w:rFonts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八、其他</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bCs/>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highlight w:val="none"/>
        </w:rPr>
        <w:t xml:space="preserve">“苏采云”政府采购交易系统（以下简称苏采云系统）</w:t>
      </w:r>
      <w:r>
        <w:rPr>
          <w:rFonts w:hint="eastAsia" w:ascii="方正仿宋_GBK" w:hAnsi="方正仿宋_GBK" w:eastAsia="方正仿宋_GBK" w:cs="方正仿宋_GBK"/>
          <w:bCs/>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highlight w:val="none"/>
        </w:rPr>
        <w:t xml:space="preserve">http://www.ccgp-jiangsu.gov.cn/jiangsu/zlxz/ee/ee3a4bc5a3454aa2b0d9312230633ce9.html。</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3.本次招标不收取投标保证金。</w:t>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keepNext/>
        <w:spacing w:line="400" w:lineRule="exact"/>
        <w:rPr>
          <w:rFonts w:ascii="方正黑体_GBK" w:hAnsi="方正黑体_GBK" w:eastAsia="方正黑体_GBK" w:cs="方正黑体_GBK"/>
          <w:color w:val="000000"/>
          <w:sz w:val="28"/>
          <w:szCs w:val="28"/>
          <w:highlight w:val="none"/>
        </w:rPr>
        <w:outlineLvl w:val="0"/>
      </w:pPr>
      <w:r/>
      <w:bookmarkStart w:id="44" w:name="_Toc120614211"/>
      <w:r>
        <w:rPr>
          <w:rFonts w:hint="eastAsia" w:ascii="方正黑体_GBK" w:hAnsi="方正黑体_GBK" w:eastAsia="方正黑体_GBK" w:cs="方正黑体_GBK"/>
          <w:color w:val="000000"/>
          <w:sz w:val="28"/>
          <w:szCs w:val="28"/>
          <w:highlight w:val="none"/>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16938518"/>
      <w:r/>
      <w:bookmarkStart w:id="48" w:name="_Toc513029202"/>
      <w:r>
        <w:rPr>
          <w:rFonts w:hint="eastAsia" w:ascii="方正黑体_GBK" w:hAnsi="方正黑体_GBK" w:eastAsia="方正黑体_GBK" w:cs="方正黑体_GBK"/>
          <w:color w:val="000000"/>
          <w:sz w:val="28"/>
          <w:szCs w:val="28"/>
          <w:highlight w:val="none"/>
        </w:rPr>
        <w:t xml:space="preserve">投标人须知</w:t>
      </w:r>
      <w:bookmarkEnd w:id="45"/>
      <w:r/>
      <w:bookmarkEnd w:id="46"/>
      <w:r/>
      <w:bookmarkEnd w:id="47"/>
      <w:r/>
      <w:bookmarkEnd w:id="48"/>
      <w:r/>
      <w:r/>
    </w:p>
    <w:p>
      <w:pPr>
        <w:ind w:firstLine="560"/>
        <w:jc w:val="left"/>
        <w:keepNext/>
        <w:spacing w:line="400" w:lineRule="exact"/>
        <w:rPr>
          <w:rFonts w:ascii="方正黑体_GBK" w:hAnsi="方正黑体_GBK" w:eastAsia="方正黑体_GBK" w:cs="方正黑体_GBK"/>
          <w:color w:val="000000"/>
          <w:sz w:val="28"/>
          <w:szCs w:val="28"/>
          <w:highlight w:val="none"/>
        </w:rPr>
        <w:outlineLvl w:val="0"/>
      </w:pPr>
      <w:r/>
      <w:bookmarkStart w:id="49" w:name="_Toc16938519"/>
      <w:r/>
      <w:bookmarkStart w:id="50" w:name="_Toc120614214"/>
      <w:r/>
      <w:bookmarkStart w:id="51" w:name="_Toc513029203"/>
      <w:r/>
      <w:bookmarkStart w:id="52" w:name="_Toc20823275"/>
      <w:r>
        <w:rPr>
          <w:rFonts w:hint="eastAsia" w:ascii="方正黑体_GBK" w:hAnsi="方正黑体_GBK" w:eastAsia="方正黑体_GBK" w:cs="方正黑体_GBK"/>
          <w:color w:val="000000"/>
          <w:sz w:val="28"/>
          <w:szCs w:val="28"/>
          <w:highlight w:val="none"/>
        </w:rPr>
        <w:t xml:space="preserve">一、总则</w:t>
      </w:r>
      <w:bookmarkEnd w:id="49"/>
      <w:r/>
      <w:bookmarkEnd w:id="50"/>
      <w:r/>
      <w:bookmarkEnd w:id="51"/>
      <w:r/>
      <w:bookmarkEnd w:id="52"/>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bookmarkStart w:id="53" w:name="_Hlt16619475"/>
      <w:r/>
      <w:bookmarkEnd w:id="53"/>
      <w:r/>
      <w:bookmarkStart w:id="54" w:name="_Toc458694821"/>
      <w:r/>
      <w:bookmarkStart w:id="55" w:name="_Toc20823276"/>
      <w:r/>
      <w:bookmarkStart w:id="56" w:name="_Toc513029204"/>
      <w:r/>
      <w:bookmarkStart w:id="57" w:name="_Toc16938520"/>
      <w:r>
        <w:rPr>
          <w:rFonts w:hint="eastAsia" w:ascii="方正仿宋_GBK" w:hAnsi="方正仿宋_GBK" w:eastAsia="方正仿宋_GBK" w:cs="方正仿宋_GBK"/>
          <w:bCs/>
          <w:sz w:val="28"/>
          <w:szCs w:val="28"/>
          <w:highlight w:val="none"/>
        </w:rPr>
        <w:t xml:space="preserve">1</w:t>
      </w:r>
      <w:bookmarkEnd w:id="54"/>
      <w:r>
        <w:rPr>
          <w:rFonts w:hint="eastAsia" w:ascii="方正仿宋_GBK" w:hAnsi="方正仿宋_GBK" w:eastAsia="方正仿宋_GBK" w:cs="方正仿宋_GBK"/>
          <w:bCs/>
          <w:sz w:val="28"/>
          <w:szCs w:val="28"/>
          <w:highlight w:val="none"/>
        </w:rPr>
        <w:t xml:space="preserve">.招标方式</w:t>
      </w:r>
      <w:bookmarkEnd w:id="55"/>
      <w:r/>
      <w:bookmarkEnd w:id="56"/>
      <w:r/>
      <w:bookmarkEnd w:id="57"/>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 本次招标采取公开招标方式，本招标文件仅适用于招标公告中所述项目。</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bookmarkStart w:id="58" w:name="_Toc513029205"/>
      <w:r/>
      <w:bookmarkStart w:id="59" w:name="_Toc20823277"/>
      <w:r/>
      <w:bookmarkStart w:id="60" w:name="_Toc16938521"/>
      <w:r>
        <w:rPr>
          <w:rFonts w:hint="eastAsia" w:ascii="方正仿宋_GBK" w:hAnsi="方正仿宋_GBK" w:eastAsia="方正仿宋_GBK" w:cs="方正仿宋_GBK"/>
          <w:bCs/>
          <w:sz w:val="28"/>
          <w:szCs w:val="28"/>
          <w:highlight w:val="none"/>
        </w:rPr>
        <w:t xml:space="preserve">2.合格的投标人</w:t>
      </w:r>
      <w:bookmarkEnd w:id="58"/>
      <w:r/>
      <w:bookmarkEnd w:id="59"/>
      <w:r/>
      <w:bookmarkEnd w:id="60"/>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2.1满足招标公告中供应商的资格要求的规定。</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 满足本文件实质性要求的规定。</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bookmarkStart w:id="61" w:name="_Toc16938522"/>
      <w:r/>
      <w:bookmarkStart w:id="62" w:name="_Toc20823278"/>
      <w:r/>
      <w:bookmarkStart w:id="63" w:name="_Toc513029206"/>
      <w:r>
        <w:rPr>
          <w:rFonts w:hint="eastAsia" w:ascii="方正仿宋_GBK" w:hAnsi="方正仿宋_GBK" w:eastAsia="方正仿宋_GBK" w:cs="方正仿宋_GBK"/>
          <w:bCs/>
          <w:sz w:val="28"/>
          <w:szCs w:val="28"/>
          <w:highlight w:val="none"/>
        </w:rPr>
        <w:t xml:space="preserve">3.适用法律</w:t>
      </w:r>
      <w:bookmarkEnd w:id="61"/>
      <w:r/>
      <w:bookmarkEnd w:id="62"/>
      <w:r/>
      <w:bookmarkEnd w:id="63"/>
      <w:r>
        <w:rPr>
          <w:rFonts w:hint="eastAsia" w:ascii="方正仿宋_GBK" w:hAnsi="方正仿宋_GBK" w:eastAsia="方正仿宋_GBK" w:cs="方正仿宋_GBK"/>
          <w:bCs/>
          <w:sz w:val="28"/>
          <w:szCs w:val="28"/>
          <w:highlight w:val="none"/>
        </w:rPr>
        <w:t xml:space="preserve">和标准</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3.1 本次招标及由此产生的合同受中华人民共和国有关的法律法规制约和保护。</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3.2 在本项目政府采购活动过程中，如果所执行的标准有更新的，按照最新标准执行。</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bookmarkStart w:id="64" w:name="_Toc513029207"/>
      <w:r/>
      <w:bookmarkStart w:id="65" w:name="_Toc16938523"/>
      <w:r/>
      <w:bookmarkStart w:id="66" w:name="_Toc20823279"/>
      <w:r/>
      <w:bookmarkStart w:id="67" w:name="_Toc462564067"/>
      <w:r>
        <w:rPr>
          <w:rFonts w:hint="eastAsia" w:ascii="方正仿宋_GBK" w:hAnsi="方正仿宋_GBK" w:eastAsia="方正仿宋_GBK" w:cs="方正仿宋_GBK"/>
          <w:bCs/>
          <w:sz w:val="28"/>
          <w:szCs w:val="28"/>
          <w:highlight w:val="none"/>
        </w:rPr>
        <w:t xml:space="preserve">4.投标费用</w:t>
      </w:r>
      <w:bookmarkEnd w:id="64"/>
      <w:r/>
      <w:bookmarkEnd w:id="65"/>
      <w:r/>
      <w:bookmarkEnd w:id="66"/>
      <w:r/>
      <w:bookmarkEnd w:id="67"/>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4.2本次招标采购中心和采购人不收取标书工本费与中标服务费。</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5.招标文件的约束力</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5.1 投标人一旦参加本项目采购活动，即被认为接受了本招标文件的规定和约束。</w:t>
      </w:r>
      <w:r/>
    </w:p>
    <w:p>
      <w:pPr>
        <w:ind w:firstLine="560"/>
        <w:jc w:val="left"/>
        <w:keepNext/>
        <w:spacing w:line="400" w:lineRule="exact"/>
        <w:rPr>
          <w:rFonts w:ascii="方正黑体_GBK" w:hAnsi="方正黑体_GBK" w:eastAsia="方正黑体_GBK" w:cs="方正黑体_GBK"/>
          <w:color w:val="000000"/>
          <w:sz w:val="28"/>
          <w:szCs w:val="28"/>
          <w:highlight w:val="none"/>
        </w:rPr>
        <w:outlineLvl w:val="0"/>
      </w:pPr>
      <w:r/>
      <w:bookmarkStart w:id="68" w:name="_Toc16938525"/>
      <w:r/>
      <w:bookmarkStart w:id="69" w:name="_Toc513029209"/>
      <w:r/>
      <w:bookmarkStart w:id="70" w:name="_Toc20823281"/>
      <w:r/>
      <w:bookmarkStart w:id="71" w:name="_Toc120614215"/>
      <w:r>
        <w:rPr>
          <w:rFonts w:hint="eastAsia" w:ascii="方正黑体_GBK" w:hAnsi="方正黑体_GBK" w:eastAsia="方正黑体_GBK" w:cs="方正黑体_GBK"/>
          <w:color w:val="000000"/>
          <w:sz w:val="28"/>
          <w:szCs w:val="28"/>
          <w:highlight w:val="none"/>
        </w:rPr>
        <w:t xml:space="preserve">二、招标文件</w:t>
      </w:r>
      <w:bookmarkEnd w:id="68"/>
      <w:r/>
      <w:bookmarkEnd w:id="69"/>
      <w:r/>
      <w:bookmarkEnd w:id="70"/>
      <w:r/>
      <w:bookmarkEnd w:id="71"/>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bookmarkStart w:id="72" w:name="_Toc20823282"/>
      <w:r/>
      <w:bookmarkStart w:id="73" w:name="_Toc16938526"/>
      <w:r/>
      <w:bookmarkStart w:id="74" w:name="_Toc513029210"/>
      <w:r>
        <w:rPr>
          <w:rFonts w:hint="eastAsia" w:ascii="方正仿宋_GBK" w:hAnsi="方正仿宋_GBK" w:eastAsia="方正仿宋_GBK" w:cs="方正仿宋_GBK"/>
          <w:bCs/>
          <w:sz w:val="28"/>
          <w:szCs w:val="28"/>
          <w:highlight w:val="none"/>
        </w:rPr>
        <w:t xml:space="preserve">6.招标文件构成</w:t>
      </w:r>
      <w:bookmarkEnd w:id="72"/>
      <w:r/>
      <w:bookmarkEnd w:id="73"/>
      <w:r/>
      <w:bookmarkEnd w:id="74"/>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6.1 招标文件由以下部分组成：</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（1）投标邀请</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（2）投标人须知</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（3）合同文本</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（4）采购需求</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（5）评标方法与评标标准</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（6）投标文件格式</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请仔细检查招标文件是否齐全，如有缺漏请立即与采购中心联系解决。</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bookmarkStart w:id="75" w:name="_Toc513029212"/>
      <w:r/>
      <w:bookmarkStart w:id="76" w:name="_Toc16938528"/>
      <w:r/>
      <w:bookmarkStart w:id="77" w:name="_Toc462564071"/>
      <w:r/>
      <w:bookmarkStart w:id="78" w:name="_Toc20823284"/>
      <w:r>
        <w:rPr>
          <w:rFonts w:hint="eastAsia" w:ascii="方正仿宋_GBK" w:hAnsi="方正仿宋_GBK" w:eastAsia="方正仿宋_GBK" w:cs="方正仿宋_GBK"/>
          <w:bCs/>
          <w:sz w:val="28"/>
          <w:szCs w:val="28"/>
          <w:highlight w:val="none"/>
        </w:rPr>
        <w:t xml:space="preserve">7.招标文件的修改</w:t>
      </w:r>
      <w:bookmarkEnd w:id="75"/>
      <w:r/>
      <w:bookmarkEnd w:id="76"/>
      <w:r/>
      <w:bookmarkEnd w:id="77"/>
      <w:r/>
      <w:bookmarkEnd w:id="78"/>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7.1 在投标截止时间前，采购中心可以对招标文件进行修改。</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7.2 采购中心有权按照法定的要求推迟投标截止日期和开标日期。</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7.3 招标文件的修改将在江苏政府采购网公布，补充文件将作为招标文件的组成部分，并对投标人具有约束力。</w:t>
      </w:r>
      <w:r/>
    </w:p>
    <w:p>
      <w:pPr>
        <w:ind w:firstLine="560"/>
        <w:jc w:val="left"/>
        <w:keepNext/>
        <w:spacing w:line="400" w:lineRule="exact"/>
        <w:rPr>
          <w:rFonts w:ascii="方正黑体_GBK" w:hAnsi="方正黑体_GBK" w:eastAsia="方正黑体_GBK" w:cs="方正黑体_GBK"/>
          <w:color w:val="000000"/>
          <w:sz w:val="28"/>
          <w:szCs w:val="28"/>
          <w:highlight w:val="none"/>
        </w:rPr>
        <w:outlineLvl w:val="0"/>
      </w:pPr>
      <w:r/>
      <w:bookmarkStart w:id="79" w:name="_Toc462564072"/>
      <w:r/>
      <w:bookmarkStart w:id="80" w:name="_Toc16938529"/>
      <w:r/>
      <w:bookmarkStart w:id="81" w:name="_Toc513029213"/>
      <w:r/>
      <w:bookmarkStart w:id="82" w:name="_Toc120614216"/>
      <w:r/>
      <w:bookmarkStart w:id="83" w:name="_Toc20823285"/>
      <w:r>
        <w:rPr>
          <w:rFonts w:hint="eastAsia" w:ascii="方正黑体_GBK" w:hAnsi="方正黑体_GBK" w:eastAsia="方正黑体_GBK" w:cs="方正黑体_GBK"/>
          <w:color w:val="000000"/>
          <w:sz w:val="28"/>
          <w:szCs w:val="28"/>
          <w:highlight w:val="none"/>
        </w:rPr>
        <w:t xml:space="preserve">三、投标文件的编制</w:t>
      </w:r>
      <w:bookmarkEnd w:id="79"/>
      <w:r/>
      <w:bookmarkEnd w:id="80"/>
      <w:r/>
      <w:bookmarkEnd w:id="81"/>
      <w:r/>
      <w:bookmarkEnd w:id="82"/>
      <w:r/>
      <w:bookmarkEnd w:id="83"/>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bookmarkStart w:id="84" w:name="_Toc462564073"/>
      <w:r/>
      <w:bookmarkStart w:id="85" w:name="_Toc16938530"/>
      <w:r/>
      <w:bookmarkStart w:id="86" w:name="_Toc20823286"/>
      <w:r/>
      <w:bookmarkStart w:id="87" w:name="_Toc513029214"/>
      <w:r>
        <w:rPr>
          <w:rFonts w:hint="eastAsia" w:ascii="方正仿宋_GBK" w:hAnsi="方正仿宋_GBK" w:eastAsia="方正仿宋_GBK" w:cs="方正仿宋_GBK"/>
          <w:bCs/>
          <w:sz w:val="28"/>
          <w:szCs w:val="28"/>
          <w:highlight w:val="none"/>
        </w:rPr>
        <w:t xml:space="preserve">8.投标文件的语言及度量衡单位</w:t>
      </w:r>
      <w:bookmarkEnd w:id="84"/>
      <w:r/>
      <w:bookmarkEnd w:id="85"/>
      <w:r/>
      <w:bookmarkEnd w:id="86"/>
      <w:r/>
      <w:bookmarkEnd w:id="87"/>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8.1 投标人提交的投标文件以及投标人与采购中心就有关投标的所有来往通知、函件和文件均应使用简体中文。</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8.2 除技术性能另有规定外，投标文件所使用的度量衡单位，均须采用国家法定计量单位。</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bookmarkStart w:id="88" w:name="_Toc16938531"/>
      <w:r/>
      <w:bookmarkStart w:id="89" w:name="_Toc462564074"/>
      <w:r/>
      <w:bookmarkStart w:id="90" w:name="_Toc20823287"/>
      <w:r/>
      <w:bookmarkStart w:id="91" w:name="_Toc513029215"/>
      <w:r>
        <w:rPr>
          <w:rFonts w:hint="eastAsia" w:ascii="方正仿宋_GBK" w:hAnsi="方正仿宋_GBK" w:eastAsia="方正仿宋_GBK" w:cs="方正仿宋_GBK"/>
          <w:bCs/>
          <w:sz w:val="28"/>
          <w:szCs w:val="28"/>
          <w:highlight w:val="none"/>
        </w:rPr>
        <w:t xml:space="preserve">9.投标文件构成</w:t>
      </w:r>
      <w:bookmarkEnd w:id="88"/>
      <w:r/>
      <w:bookmarkEnd w:id="89"/>
      <w:r/>
      <w:bookmarkEnd w:id="90"/>
      <w:r/>
      <w:bookmarkEnd w:id="91"/>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9.2 如标书制作工具中格式和内容与“江苏政府采购网”发布的招标文件不一致，请以“江苏政府采购网”发布的招标文件为准。</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bookmarkStart w:id="92" w:name="_Hlt26670360"/>
      <w:r/>
      <w:bookmarkEnd w:id="92"/>
      <w:r/>
      <w:bookmarkStart w:id="93" w:name="_Hlt26954838"/>
      <w:r/>
      <w:bookmarkEnd w:id="93"/>
      <w:r/>
      <w:bookmarkStart w:id="94" w:name="_Hlt26668975"/>
      <w:r/>
      <w:bookmarkEnd w:id="94"/>
      <w:r/>
      <w:bookmarkStart w:id="95" w:name="_Toc513029219"/>
      <w:r/>
      <w:bookmarkStart w:id="96" w:name="_Toc14577357"/>
      <w:r/>
      <w:bookmarkStart w:id="97" w:name="_Toc49090509"/>
      <w:r/>
      <w:bookmarkStart w:id="98" w:name="_Toc513029216"/>
      <w:r/>
      <w:bookmarkStart w:id="99" w:name="_Toc49090507"/>
      <w:r/>
      <w:bookmarkStart w:id="100" w:name="_Toc14577354"/>
      <w:r/>
      <w:bookmarkStart w:id="101" w:name="_Toc49090508"/>
      <w:r/>
      <w:bookmarkStart w:id="102" w:name="_Toc14577355"/>
      <w:r>
        <w:rPr>
          <w:rFonts w:hint="eastAsia" w:ascii="方正仿宋_GBK" w:hAnsi="方正仿宋_GBK" w:eastAsia="方正仿宋_GBK" w:cs="方正仿宋_GBK"/>
          <w:bCs/>
          <w:sz w:val="28"/>
          <w:szCs w:val="28"/>
          <w:highlight w:val="none"/>
        </w:rPr>
        <w:t xml:space="preserve">10.证明投标人及投标标的符合招标文件规定的文件</w:t>
      </w:r>
      <w:bookmarkEnd w:id="95"/>
      <w:r/>
      <w:bookmarkEnd w:id="96"/>
      <w:r/>
      <w:bookmarkEnd w:id="97"/>
      <w:r/>
      <w:bookmarkEnd w:id="98"/>
      <w:bookmarkEnd w:id="99"/>
      <w:bookmarkEnd w:id="100"/>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10.1 投标人应按照招标文件要求提交证明文件，证明其及投标标的符合招标文件规定。</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10.2招标文件对证明文件无明确形式要求的，证明文件可以以文字资料、图纸和数据等形式提交。</w:t>
      </w:r>
      <w:bookmarkEnd w:id="101"/>
      <w:bookmarkEnd w:id="102"/>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11.投标分项报价表</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 投</w:t>
      </w:r>
      <w:bookmarkStart w:id="103" w:name="_Hlt26954840"/>
      <w:r/>
      <w:bookmarkEnd w:id="103"/>
      <w:r>
        <w:rPr>
          <w:rFonts w:hint="eastAsia" w:ascii="方正仿宋_GBK" w:hAnsi="方正仿宋_GBK" w:eastAsia="方正仿宋_GBK" w:cs="方正仿宋_GBK"/>
          <w:bCs/>
          <w:sz w:val="28"/>
          <w:szCs w:val="28"/>
          <w:highlight w:val="none"/>
        </w:rPr>
        <w:t xml:space="preserve">标人按照招标文件规定格式填报投标分项报价表</w:t>
      </w:r>
      <w:bookmarkStart w:id="104" w:name="_Hlt26670399"/>
      <w:r/>
      <w:bookmarkEnd w:id="104"/>
      <w:r>
        <w:rPr>
          <w:rFonts w:hint="eastAsia" w:ascii="方正仿宋_GBK" w:hAnsi="方正仿宋_GBK" w:eastAsia="方正仿宋_GBK" w:cs="方正仿宋_GBK"/>
          <w:bCs/>
          <w:sz w:val="28"/>
          <w:szCs w:val="28"/>
          <w:highlight w:val="none"/>
        </w:rPr>
        <w:t xml:space="preserve">。</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11.2投标货币。投标文件中的单价和总价无特殊规定的采用人民币报价，以元为单位标注。招标文件中另有规定的按规定执行。</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bookmarkStart w:id="105" w:name="_Hlt26954848"/>
      <w:r/>
      <w:bookmarkEnd w:id="105"/>
      <w:r/>
      <w:bookmarkStart w:id="106" w:name="_Hlt26954731"/>
      <w:r/>
      <w:bookmarkEnd w:id="106"/>
      <w:r/>
      <w:bookmarkStart w:id="107" w:name="_Hlt26670486"/>
      <w:r/>
      <w:bookmarkEnd w:id="107"/>
      <w:r/>
      <w:bookmarkStart w:id="108" w:name="_Hlt26954846"/>
      <w:r/>
      <w:bookmarkEnd w:id="108"/>
      <w:r/>
      <w:bookmarkStart w:id="109" w:name="_Hlt26670482"/>
      <w:r/>
      <w:bookmarkEnd w:id="109"/>
      <w:r>
        <w:rPr>
          <w:rFonts w:hint="eastAsia" w:ascii="方正仿宋_GBK" w:hAnsi="方正仿宋_GBK" w:eastAsia="方正仿宋_GBK" w:cs="方正仿宋_GBK"/>
          <w:bCs/>
          <w:sz w:val="28"/>
          <w:szCs w:val="28"/>
          <w:highlight w:val="none"/>
        </w:rPr>
        <w:t xml:space="preserve">12.技术要求响应及偏离表、商务要求响应及偏离表</w:t>
      </w:r>
      <w:r/>
    </w:p>
    <w:p>
      <w:pPr>
        <w:ind w:firstLine="560"/>
        <w:spacing w:line="400" w:lineRule="exact"/>
        <w:tabs>
          <w:tab w:val="left" w:pos="900" w:leader="none"/>
        </w:tabs>
        <w:rPr>
          <w:rFonts w:ascii="方正仿宋_GBK" w:hAnsi="方正仿宋_GBK" w:eastAsia="方正仿宋_GBK" w:cs="方正仿宋_GBK"/>
          <w:bCs/>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12.1 投标人需对招标文件中的技术要求与商务要求逐项作出响应或偏离，并说明原因。</w:t>
      </w:r>
      <w:r/>
    </w:p>
    <w:p>
      <w:pPr>
        <w:ind w:firstLine="560"/>
        <w:spacing w:line="400" w:lineRule="exact"/>
        <w:tabs>
          <w:tab w:val="left" w:pos="900" w:leader="none"/>
        </w:tabs>
        <w:rPr>
          <w:rFonts w:ascii="方正仿宋_GBK" w:hAnsi="方正仿宋_GBK" w:eastAsia="方正仿宋_GBK" w:cs="方正仿宋_GBK"/>
          <w:bCs/>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12.2 投标人需按照招标文件要求，在投标文件中提供与技术要求和商务要求相关的证明材料。</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13.服务承诺、培训计划、人员安排及其他</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13.2 投标人需根据招标文件要求提供培训计划。</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13.3 投标人需根据招标文件要求提供</w:t>
      </w:r>
      <w:r>
        <w:rPr>
          <w:rFonts w:hint="eastAsia" w:ascii="方正仿宋_GBK" w:hAnsi="方正仿宋_GBK" w:eastAsia="方正仿宋_GBK" w:cs="方正仿宋_GBK"/>
          <w:bCs/>
          <w:sz w:val="28"/>
          <w:szCs w:val="28"/>
          <w:highlight w:val="none"/>
          <w:lang w:val="zh-CN"/>
        </w:rPr>
        <w:t xml:space="preserve">所投标的的主要组成部分、功能设计、实现思路及关键技术等。</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bookmarkStart w:id="110" w:name="_Toc49090510"/>
      <w:r/>
      <w:bookmarkStart w:id="111" w:name="_Toc14577359"/>
      <w:r>
        <w:rPr>
          <w:rFonts w:hint="eastAsia" w:ascii="方正仿宋_GBK" w:hAnsi="方正仿宋_GBK" w:eastAsia="方正仿宋_GBK" w:cs="方正仿宋_GBK"/>
          <w:bCs/>
          <w:sz w:val="28"/>
          <w:szCs w:val="28"/>
          <w:highlight w:val="none"/>
        </w:rPr>
        <w:t xml:space="preserve">14.投标函和开标一览表</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14.1 投标人应按照招标文件中提供的格式完整、正确填写投标函、开标一览表。</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110"/>
      <w:bookmarkEnd w:id="111"/>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bookmarkStart w:id="112" w:name="_Toc14577360"/>
      <w:r/>
      <w:bookmarkStart w:id="113" w:name="_Toc49090511"/>
      <w:r>
        <w:rPr>
          <w:rFonts w:hint="eastAsia" w:ascii="方正仿宋_GBK" w:hAnsi="方正仿宋_GBK" w:eastAsia="方正仿宋_GBK" w:cs="方正仿宋_GBK"/>
          <w:bCs/>
          <w:sz w:val="28"/>
          <w:szCs w:val="28"/>
          <w:highlight w:val="none"/>
        </w:rPr>
        <w:t xml:space="preserve">15.投标有效期</w:t>
      </w:r>
      <w:bookmarkEnd w:id="112"/>
      <w:r/>
      <w:bookmarkEnd w:id="113"/>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15.1投标有效期为采购中心规定的开标之日后六十（60）天。投标有效期比规定短的将被视为未实质性响应招标文件而予以拒绝。</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16.投标有效期的延长</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560"/>
        <w:jc w:val="left"/>
        <w:keepNext/>
        <w:spacing w:line="400" w:lineRule="exact"/>
        <w:rPr>
          <w:rFonts w:ascii="方正黑体_GBK" w:hAnsi="方正黑体_GBK" w:eastAsia="方正黑体_GBK" w:cs="方正黑体_GBK"/>
          <w:color w:val="000000"/>
          <w:sz w:val="28"/>
          <w:szCs w:val="28"/>
          <w:highlight w:val="none"/>
        </w:rPr>
        <w:outlineLvl w:val="0"/>
      </w:pPr>
      <w:r/>
      <w:bookmarkStart w:id="114" w:name="_Hlt26954739"/>
      <w:r/>
      <w:bookmarkEnd w:id="114"/>
      <w:r/>
      <w:bookmarkStart w:id="115" w:name="_Hlt26954852"/>
      <w:r/>
      <w:bookmarkEnd w:id="115"/>
      <w:r/>
      <w:bookmarkStart w:id="116" w:name="_Toc20823296"/>
      <w:r/>
      <w:bookmarkStart w:id="117" w:name="_Toc513029224"/>
      <w:r/>
      <w:bookmarkStart w:id="118" w:name="_Toc120614217"/>
      <w:r/>
      <w:bookmarkStart w:id="119" w:name="_Toc16938540"/>
      <w:r>
        <w:rPr>
          <w:rFonts w:hint="eastAsia" w:ascii="方正黑体_GBK" w:hAnsi="方正黑体_GBK" w:eastAsia="方正黑体_GBK" w:cs="方正黑体_GBK"/>
          <w:color w:val="000000"/>
          <w:sz w:val="28"/>
          <w:szCs w:val="28"/>
          <w:highlight w:val="none"/>
        </w:rPr>
        <w:t xml:space="preserve">四、投标文件的递交</w:t>
      </w:r>
      <w:bookmarkEnd w:id="116"/>
      <w:r/>
      <w:bookmarkEnd w:id="117"/>
      <w:r/>
      <w:bookmarkEnd w:id="118"/>
      <w:r/>
      <w:bookmarkEnd w:id="119"/>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bookmarkStart w:id="120" w:name="_Toc16938541"/>
      <w:r/>
      <w:bookmarkStart w:id="121" w:name="_Toc20823297"/>
      <w:r/>
      <w:bookmarkStart w:id="122" w:name="_Toc513029225"/>
      <w:r/>
      <w:bookmarkStart w:id="123" w:name="_Toc462564084"/>
      <w:r>
        <w:rPr>
          <w:rFonts w:hint="eastAsia" w:ascii="方正仿宋_GBK" w:hAnsi="方正仿宋_GBK" w:eastAsia="方正仿宋_GBK" w:cs="方正仿宋_GBK"/>
          <w:bCs/>
          <w:sz w:val="28"/>
          <w:szCs w:val="28"/>
          <w:highlight w:val="none"/>
        </w:rPr>
        <w:t xml:space="preserve">17.电子投标文件</w:t>
      </w:r>
      <w:bookmarkEnd w:id="120"/>
      <w:r/>
      <w:bookmarkEnd w:id="121"/>
      <w:r/>
      <w:bookmarkEnd w:id="122"/>
      <w:r/>
      <w:bookmarkEnd w:id="123"/>
      <w:r>
        <w:rPr>
          <w:rFonts w:hint="eastAsia" w:ascii="方正仿宋_GBK" w:hAnsi="方正仿宋_GBK" w:eastAsia="方正仿宋_GBK" w:cs="方正仿宋_GBK"/>
          <w:bCs/>
          <w:sz w:val="28"/>
          <w:szCs w:val="28"/>
          <w:highlight w:val="none"/>
        </w:rPr>
        <w:t xml:space="preserve">的递交</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17.1投标人应当按照《操作手册》规定，在投标截止时间前制作并上传电子投标文件。</w:t>
      </w:r>
      <w:bookmarkStart w:id="124" w:name="_Toc16938542"/>
      <w:r/>
      <w:bookmarkStart w:id="125" w:name="_Toc513029226"/>
      <w:r/>
      <w:bookmarkStart w:id="126" w:name="_Toc20823298"/>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18.投标截止日期</w:t>
      </w:r>
      <w:bookmarkEnd w:id="124"/>
      <w:r/>
      <w:bookmarkEnd w:id="125"/>
      <w:r/>
      <w:bookmarkEnd w:id="126"/>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18.1 投标人上传电子投标文件的时间不得迟于招标公告中规定的投标截止时间。</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18.2 采购中心可以按照规定，通过修改招标文件酌情延长投标截止日期，在此情况下，投标人的所有权利和义务以及投标人受制的截止日期均应以延长后新的截止日期为准。</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bookmarkStart w:id="127" w:name="_Toc20823299"/>
      <w:r/>
      <w:bookmarkStart w:id="128" w:name="_Toc513029227"/>
      <w:r/>
      <w:bookmarkStart w:id="129" w:name="_Toc16938543"/>
      <w:r>
        <w:rPr>
          <w:rFonts w:hint="eastAsia" w:ascii="方正仿宋_GBK" w:hAnsi="方正仿宋_GBK" w:eastAsia="方正仿宋_GBK" w:cs="方正仿宋_GBK"/>
          <w:bCs/>
          <w:sz w:val="28"/>
          <w:szCs w:val="28"/>
          <w:highlight w:val="none"/>
        </w:rPr>
        <w:t xml:space="preserve">19.投标文件</w:t>
      </w:r>
      <w:bookmarkEnd w:id="127"/>
      <w:r/>
      <w:bookmarkEnd w:id="128"/>
      <w:r/>
      <w:bookmarkEnd w:id="129"/>
      <w:r>
        <w:rPr>
          <w:rFonts w:hint="eastAsia" w:ascii="方正仿宋_GBK" w:hAnsi="方正仿宋_GBK" w:eastAsia="方正仿宋_GBK" w:cs="方正仿宋_GBK"/>
          <w:bCs/>
          <w:sz w:val="28"/>
          <w:szCs w:val="28"/>
          <w:highlight w:val="none"/>
        </w:rPr>
        <w:t xml:space="preserve">的拒收</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19.1 采购中心拒绝接收在其规定的投标截止时间后上传的任何投标文件。</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bookmarkStart w:id="130" w:name="_Toc513029228"/>
      <w:r/>
      <w:bookmarkStart w:id="131" w:name="_Toc16938544"/>
      <w:r/>
      <w:bookmarkStart w:id="132" w:name="_Toc20823300"/>
      <w:r>
        <w:rPr>
          <w:rFonts w:hint="eastAsia" w:ascii="方正仿宋_GBK" w:hAnsi="方正仿宋_GBK" w:eastAsia="方正仿宋_GBK" w:cs="方正仿宋_GBK"/>
          <w:bCs/>
          <w:sz w:val="28"/>
          <w:szCs w:val="28"/>
          <w:highlight w:val="none"/>
        </w:rPr>
        <w:t xml:space="preserve">20.投标文件的撤回和修改</w:t>
      </w:r>
      <w:bookmarkEnd w:id="130"/>
      <w:r/>
      <w:bookmarkEnd w:id="131"/>
      <w:r/>
      <w:bookmarkEnd w:id="132"/>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20.1 投标文件的撤回</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20.1.1 电子投标文件的撤回</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投标人可在投标截止时间前，撤回其电子投标文件，具体操作方法见《操作手册》。</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20.1.2 投标人撤回电子投标文件，则认为其不再参与本项目投标活动。</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20.2 投标文件的修改</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20.2.1投标人可在投标截止时间前，对其电子投标文件进行修改，具体操作方法见《操作手册》。</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20.2.2 在投标截止时间之后，投标人不得对其电子投标文件作任何修改。</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20.3 在投标截止时间至招标文件中规定的投标有效期满之间的这段时间内，投标人不得撤回其投标。</w:t>
      </w:r>
      <w:r/>
    </w:p>
    <w:p>
      <w:pPr>
        <w:ind w:firstLine="560"/>
        <w:jc w:val="left"/>
        <w:keepNext/>
        <w:spacing w:line="400" w:lineRule="exact"/>
        <w:rPr>
          <w:rFonts w:ascii="方正黑体_GBK" w:hAnsi="方正黑体_GBK" w:eastAsia="方正黑体_GBK" w:cs="方正黑体_GBK"/>
          <w:color w:val="000000"/>
          <w:sz w:val="28"/>
          <w:szCs w:val="28"/>
          <w:highlight w:val="none"/>
        </w:rPr>
        <w:outlineLvl w:val="0"/>
      </w:pPr>
      <w:r/>
      <w:bookmarkStart w:id="133" w:name="_Toc120614218"/>
      <w:r/>
      <w:bookmarkStart w:id="134" w:name="_Toc513029229"/>
      <w:r/>
      <w:bookmarkStart w:id="135" w:name="_Toc16938545"/>
      <w:r/>
      <w:bookmarkStart w:id="136" w:name="_Toc20823301"/>
      <w:r>
        <w:rPr>
          <w:rFonts w:hint="eastAsia" w:ascii="方正黑体_GBK" w:hAnsi="方正黑体_GBK" w:eastAsia="方正黑体_GBK" w:cs="方正黑体_GBK"/>
          <w:color w:val="000000"/>
          <w:sz w:val="28"/>
          <w:szCs w:val="28"/>
          <w:highlight w:val="none"/>
        </w:rPr>
        <w:t xml:space="preserve">五、开标与评标</w:t>
      </w:r>
      <w:bookmarkEnd w:id="133"/>
      <w:r/>
      <w:bookmarkEnd w:id="134"/>
      <w:r/>
      <w:bookmarkEnd w:id="135"/>
      <w:r/>
      <w:bookmarkEnd w:id="136"/>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bookmarkStart w:id="137" w:name="_Toc20823302"/>
      <w:r/>
      <w:bookmarkStart w:id="138" w:name="_Toc513029230"/>
      <w:r/>
      <w:bookmarkStart w:id="139" w:name="_Toc16938546"/>
      <w:r>
        <w:rPr>
          <w:rFonts w:hint="eastAsia" w:ascii="方正仿宋_GBK" w:hAnsi="方正仿宋_GBK" w:eastAsia="方正仿宋_GBK" w:cs="方正仿宋_GBK"/>
          <w:bCs/>
          <w:sz w:val="28"/>
          <w:szCs w:val="28"/>
          <w:highlight w:val="none"/>
        </w:rPr>
        <w:t xml:space="preserve">21.开标</w:t>
      </w:r>
      <w:bookmarkEnd w:id="137"/>
      <w:r/>
      <w:bookmarkEnd w:id="138"/>
      <w:r/>
      <w:bookmarkEnd w:id="139"/>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21.1 采购中心将在招标公告中规定的时间和地点组织公开开标。投标人应当按照《操作手册》规定，参加开标活动和在苏采云系统规定的时间内对投标文件进行解密。</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21.2开标仪式由采购中心组织。苏采云系统将自动对项目进行开标，并宣布各投标人名称和投标价格。</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21.3投标人在开标过程中涉及到的投标文件解密、开标结果确认等工作，应按照《操作手册》规定执行。</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21.4投标人如果对开标过程和开标记录有疑义，应当根据《操作手册》规定提出，如苏采云系统中《开标记录表》宣布后5分钟内未提出的，视同认可开标结果。</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bookmarkStart w:id="140" w:name="_Toc20823303"/>
      <w:r/>
      <w:bookmarkStart w:id="141" w:name="_Toc16938547"/>
      <w:r/>
      <w:bookmarkStart w:id="142" w:name="_Toc513029231"/>
      <w:r>
        <w:rPr>
          <w:rFonts w:hint="eastAsia" w:ascii="方正仿宋_GBK" w:hAnsi="方正仿宋_GBK" w:eastAsia="方正仿宋_GBK" w:cs="方正仿宋_GBK"/>
          <w:bCs/>
          <w:sz w:val="28"/>
          <w:szCs w:val="28"/>
          <w:highlight w:val="none"/>
        </w:rPr>
        <w:t xml:space="preserve">22.评标委员会</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22.1 开标后，采购中心将立即组织评标委员会进行评标。</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22.2 评标委员会由采购人代表和有关技术、经济等方面的专家组成，且人员构成符合政府采购有关规定。</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22.3评标委员会独立工作，负责评审所有投标文件并确定中标侯选人。</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23.评标过程的保密与公正</w:t>
      </w:r>
      <w:bookmarkEnd w:id="140"/>
      <w:bookmarkEnd w:id="141"/>
      <w:bookmarkEnd w:id="142"/>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23.1凡是与审查、澄清、评价和比较投标的有关资料以及授标建议等，采购人、评委、采购中心均不得向投标人或与评标无关的其他人员透露。</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23.2在评标过程中，投标人不得以任何行为影响评标过程，否则其投标文件将被作为无效投标文件。</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23.3 采购中心和评标委员会不向未中标的投标人解释未中标原因，也不公布评标过程中的相关细节。</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23.4 采用综合评分法的项目，未中标的投标人可于中标结果公告期限届满之日起通过苏采云系统查看自己的评审得分及排序情况。</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bookmarkStart w:id="143" w:name="_Toc16938548"/>
      <w:r/>
      <w:bookmarkStart w:id="144" w:name="_Toc513029232"/>
      <w:r/>
      <w:bookmarkStart w:id="145" w:name="_Toc20823304"/>
      <w:r>
        <w:rPr>
          <w:rFonts w:hint="eastAsia" w:ascii="方正仿宋_GBK" w:hAnsi="方正仿宋_GBK" w:eastAsia="方正仿宋_GBK" w:cs="方正仿宋_GBK"/>
          <w:bCs/>
          <w:sz w:val="28"/>
          <w:szCs w:val="28"/>
          <w:highlight w:val="none"/>
        </w:rPr>
        <w:t xml:space="preserve">24.投标文件的澄清</w:t>
      </w:r>
      <w:bookmarkEnd w:id="143"/>
      <w:r/>
      <w:bookmarkEnd w:id="144"/>
      <w:r/>
      <w:bookmarkEnd w:id="145"/>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bookmarkStart w:id="146" w:name="_Toc513029233"/>
      <w:r/>
      <w:bookmarkStart w:id="147" w:name="_Toc20823305"/>
      <w:r/>
      <w:bookmarkStart w:id="148" w:name="_Toc16938549"/>
      <w:r>
        <w:rPr>
          <w:rFonts w:hint="eastAsia" w:ascii="方正仿宋_GBK" w:hAnsi="方正仿宋_GBK" w:eastAsia="方正仿宋_GBK" w:cs="方正仿宋_GBK"/>
          <w:bCs/>
          <w:sz w:val="28"/>
          <w:szCs w:val="28"/>
          <w:highlight w:val="none"/>
        </w:rPr>
        <w:t xml:space="preserve">24.1评标期间，评标委员会对投标文件中含义不明确、同类问题表述不一致或者有明显文字和计算错误的内容 ，有权要求投标人作出必要的澄清、说明或者补正。</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投标人的澄清、说明或者补正不得超出投标文件的范围或者改变投标文件的实质性内容。</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评标委员会并非对每个投标人都做澄清要求。</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24.3 接到评标委员会澄清、说明和补正要求的投标人如未按规定做出澄清、说明和补正，其风险由投标人自行承担。</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25.对投标文件的初审</w:t>
      </w:r>
      <w:bookmarkEnd w:id="146"/>
      <w:r/>
      <w:bookmarkEnd w:id="147"/>
      <w:r/>
      <w:bookmarkEnd w:id="148"/>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25.1投标文件初审分为资格审查和符合性审查。</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25.1.1 资格审查：依据法律法规和招标文件的规定，由采购人对投标文件中的资格证明文件进行审查。资格审查的结论，采购人以书面形式向评标委员会进行反馈。</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采购人在进行资格性审查的同时，将在“信用中国”网站（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bCs/>
          <w:sz w:val="28"/>
          <w:szCs w:val="28"/>
          <w:highlight w:val="none"/>
        </w:rPr>
        <w:t xml:space="preserve">）查询投标人的信用记录，以确定投标人是否具备投标资格,查询结果留存并归档。</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25.1.2 符合性审查：依据招标文件的规定，由评标委员会从投标文件的有效性、完整性和对招标文件的响应程度进行审查，以确定是否对招标文件的实质性要求作出响应。</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25.3如果投标文件实质上没有响应招标文件的要求，评标委员会将予以拒绝，投标人不得通过修改或撤销不符合要求的偏离或保留而使其投标成为实质性响应的投标。</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25.4评标委员会将对确定为实质性响应的投标进行进一步审核，看其是否有计算上或累加上的算术错误，修正错误的原则如下：</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（1）投标文件中开标一览表内容与投标文件中相应内容不一致的，以开标一览表为准。</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（2）大写金额和小写金额不一致的，以大写金额为准。</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（3）单价金额小数点或者百分比有明显错位的，以开标一览表的总价为准，并修改单价。</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（4）总价金额与按单价汇总金额不一致的，以单价金额计算结果为准。</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同时出现两种以上错误的，按照前款规定的顺序修正。</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bookmarkStart w:id="149" w:name="_Toc20823306"/>
      <w:r/>
      <w:bookmarkStart w:id="150" w:name="_Toc16938550"/>
      <w:r/>
      <w:bookmarkStart w:id="151" w:name="_Toc513029234"/>
      <w:r>
        <w:rPr>
          <w:rFonts w:hint="eastAsia" w:ascii="方正仿宋_GBK" w:hAnsi="方正仿宋_GBK" w:eastAsia="方正仿宋_GBK" w:cs="方正仿宋_GBK"/>
          <w:bCs/>
          <w:sz w:val="28"/>
          <w:szCs w:val="28"/>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非单一产品采购项目，招标文件中将载明其中的核心产品。多家投标人提供的核心产品品牌相同的，按前两款规定处理。</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25.7投标人在开、评标全过程中应保持通讯畅通，及时登录苏采云系统查阅、答复相关信息，并安排专人与采购中心及评标委员会联系。</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25.8 异常低价投标审查</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25.8.1 评标过程中出现下列情形之一的，评标委员会应当启动异常低价投标审查程序：</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（1）投标报价低于全部通过符合性审查供应商投标报价平均值50%的，即投标报价&lt;全部通过符合性审查供应商投标报价平均值×50%；</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（2）投标报价低于通过符合性审查的次低报价供应商投标报价50%的，即投标报价&lt;通过符合性审查的次低报价供应商投标报价×50%；</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（3）投标报价低于采购项目最高限价45%的，即投标报价&lt;采购项目最高限价×45%；</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（4）评标委员会基于专业判断，认为供应商报价过低，有可能影响产品质量或者不能诚信履约的其他情形。</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tabs>
          <w:tab w:val="left" w:pos="900" w:leader="none"/>
        </w:tabs>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keepNext/>
        <w:spacing w:line="400" w:lineRule="exact"/>
        <w:rPr>
          <w:rFonts w:ascii="方正仿宋_GBK" w:hAnsi="方正仿宋_GBK" w:eastAsia="方正仿宋_GBK" w:cs="方正仿宋_GBK"/>
          <w:sz w:val="28"/>
          <w:szCs w:val="28"/>
          <w:highlight w:val="none"/>
        </w:rPr>
        <w:outlineLvl w:val="3"/>
      </w:pPr>
      <w:r>
        <w:rPr>
          <w:rFonts w:hint="eastAsia" w:ascii="方正仿宋_GBK" w:hAnsi="方正仿宋_GBK" w:eastAsia="方正仿宋_GBK" w:cs="方正仿宋_GBK"/>
          <w:sz w:val="28"/>
          <w:szCs w:val="28"/>
          <w:highlight w:val="none"/>
        </w:rPr>
        <w:t xml:space="preserve">2</w:t>
      </w:r>
      <w:bookmarkEnd w:id="149"/>
      <w:r/>
      <w:bookmarkEnd w:id="150"/>
      <w:r/>
      <w:bookmarkEnd w:id="151"/>
      <w:r>
        <w:rPr>
          <w:rFonts w:hint="eastAsia" w:ascii="方正仿宋_GBK" w:hAnsi="方正仿宋_GBK" w:eastAsia="方正仿宋_GBK" w:cs="方正仿宋_GBK"/>
          <w:sz w:val="28"/>
          <w:szCs w:val="28"/>
          <w:highlight w:val="none"/>
        </w:rPr>
        <w:t xml:space="preserve">6.无效投标条款和废标条款</w:t>
      </w:r>
      <w:bookmarkStart w:id="152" w:name="_Toc20823307"/>
      <w:r/>
      <w:bookmarkStart w:id="153" w:name="_Toc16938551"/>
      <w:r/>
      <w:bookmarkStart w:id="154" w:name="_Toc513029235"/>
      <w:r/>
      <w:r/>
    </w:p>
    <w:p>
      <w:pPr>
        <w:ind w:firstLine="560"/>
        <w:keepLines/>
        <w:keepNext/>
        <w:spacing w:line="400" w:lineRule="exact"/>
        <w:rPr>
          <w:rFonts w:ascii="方正仿宋_GBK" w:hAnsi="方正仿宋_GBK" w:eastAsia="方正仿宋_GBK" w:cs="方正仿宋_GBK"/>
          <w:bCs/>
          <w:sz w:val="28"/>
          <w:szCs w:val="28"/>
          <w:highlight w:val="none"/>
        </w:rPr>
        <w:outlineLvl w:val="3"/>
      </w:pPr>
      <w:r>
        <w:rPr>
          <w:rFonts w:hint="eastAsia" w:ascii="方正仿宋_GBK" w:hAnsi="方正仿宋_GBK" w:eastAsia="方正仿宋_GBK" w:cs="方正仿宋_GBK"/>
          <w:bCs/>
          <w:sz w:val="28"/>
          <w:szCs w:val="28"/>
          <w:highlight w:val="none"/>
        </w:rPr>
        <w:t xml:space="preserve">26.1无效投标条款</w:t>
      </w:r>
      <w:r/>
    </w:p>
    <w:p>
      <w:pPr>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26.1.1 投标人在</w:t>
      </w:r>
      <w:r>
        <w:rPr>
          <w:rFonts w:hint="eastAsia" w:ascii="方正仿宋_GBK" w:hAnsi="方正仿宋_GBK" w:eastAsia="方正仿宋_GBK" w:cs="方正仿宋_GBK"/>
          <w:sz w:val="28"/>
          <w:szCs w:val="28"/>
          <w:highlight w:val="none"/>
        </w:rPr>
        <w:t xml:space="preserve">苏采云系统</w:t>
      </w:r>
      <w:r>
        <w:rPr>
          <w:rFonts w:hint="eastAsia" w:ascii="方正仿宋_GBK" w:hAnsi="方正仿宋_GBK" w:eastAsia="方正仿宋_GBK" w:cs="方正仿宋_GBK"/>
          <w:bCs/>
          <w:sz w:val="28"/>
          <w:szCs w:val="28"/>
          <w:highlight w:val="none"/>
        </w:rPr>
        <w:t xml:space="preserve">规定的时间内未成功解密电子投标文件的。</w:t>
      </w:r>
      <w:r/>
    </w:p>
    <w:p>
      <w:pPr>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sz w:val="28"/>
          <w:szCs w:val="28"/>
          <w:highlight w:val="none"/>
        </w:rPr>
        <w:t xml:space="preserve">26.1.2 投标人未按照招标文件</w:t>
      </w:r>
      <w:r>
        <w:rPr>
          <w:rFonts w:hint="eastAsia" w:ascii="方正仿宋_GBK" w:hAnsi="方正仿宋_GBK" w:eastAsia="方正仿宋_GBK" w:cs="方正仿宋_GBK"/>
          <w:bCs/>
          <w:color w:val="000000"/>
          <w:sz w:val="28"/>
          <w:szCs w:val="28"/>
          <w:highlight w:val="none"/>
        </w:rPr>
        <w:t xml:space="preserve">要求上传电子投标文件的。</w:t>
      </w:r>
      <w:r/>
    </w:p>
    <w:p>
      <w:pPr>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.1.3 投标人</w:t>
      </w:r>
      <w:r>
        <w:rPr>
          <w:rFonts w:hint="eastAsia" w:ascii="方正仿宋_GBK" w:hAnsi="方正仿宋_GBK" w:eastAsia="方正仿宋_GBK" w:cs="方正仿宋_GBK"/>
          <w:bCs/>
          <w:sz w:val="28"/>
          <w:szCs w:val="28"/>
          <w:highlight w:val="none"/>
        </w:rPr>
        <w:t xml:space="preserve">同一采购包提</w:t>
      </w:r>
      <w:r>
        <w:rPr>
          <w:rFonts w:hint="eastAsia" w:ascii="方正仿宋_GBK" w:hAnsi="方正仿宋_GBK" w:eastAsia="方正仿宋_GBK" w:cs="方正仿宋_GBK"/>
          <w:bCs/>
          <w:color w:val="000000"/>
          <w:sz w:val="28"/>
          <w:szCs w:val="28"/>
          <w:highlight w:val="none"/>
        </w:rPr>
        <w:t xml:space="preserve">交两个（含两个）以上不同的投标报价的。</w:t>
      </w:r>
      <w:r/>
    </w:p>
    <w:p>
      <w:pPr>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.1.4投标人不具备招标文件中规定资格要求的。</w:t>
      </w:r>
      <w:r/>
    </w:p>
    <w:p>
      <w:pPr>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.1.5投标人的报价超过了采购预算或最高限价的。</w:t>
      </w:r>
      <w:r/>
    </w:p>
    <w:p>
      <w:pPr>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.1.6未通过符合性审查的。</w:t>
      </w:r>
      <w:r/>
    </w:p>
    <w:p>
      <w:pPr>
        <w:ind w:firstLine="560"/>
        <w:spacing w:line="400" w:lineRule="exact"/>
        <w:rPr>
          <w:rFonts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.1.7不符合招标文件中规定的实质性要求的</w:t>
      </w:r>
      <w:r>
        <w:rPr>
          <w:rFonts w:hint="eastAsia" w:ascii="方正仿宋_GBK" w:hAnsi="方正仿宋_GBK" w:eastAsia="方正仿宋_GBK" w:cs="方正仿宋_GBK"/>
          <w:b/>
          <w:bCs/>
          <w:sz w:val="28"/>
          <w:szCs w:val="28"/>
          <w:highlight w:val="none"/>
        </w:rPr>
        <w:t xml:space="preserve">（本招标文件中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p>
    <w:p>
      <w:pPr>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.1.8 投标人被 “信用中国”网站（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bCs/>
          <w:color w:val="000000"/>
          <w:sz w:val="28"/>
          <w:szCs w:val="28"/>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.1.9 投标文件含有采购人不能接受的附加条件的。</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26.1.10 评标委员会按照本招标文件规定对投标人进行异常低价投标审查后，认为投标人不能证明其报价合理性的。</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.1.12 投标文件未按照招标文件要求加盖CA电子公章的。</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26.1.13 投标人所投标产品不符合招标文件中所列国家强制性标准的。</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26.1.14 专门面向中小微型企业采购的采购项目采购包，供应商未提供本项目所投采购包提供服务的人员均为依照《中华人民共和国劳动合同法》订立劳动合同的从业人员的书面声明（书面声明格式见招标文件第六章附件14）</w:t>
      </w:r>
      <w:r/>
    </w:p>
    <w:p>
      <w:pPr>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.1.15其他法律、法规及本招标文件规定的属无效投标的情形。</w:t>
      </w:r>
      <w:r/>
    </w:p>
    <w:p>
      <w:pPr>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.2废标条款 </w:t>
      </w:r>
      <w:r/>
    </w:p>
    <w:p>
      <w:pPr>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.2.1符合专业条件的供应商或者对招标文件作实质响应的供应商不足三家的。</w:t>
      </w:r>
      <w:r/>
    </w:p>
    <w:p>
      <w:pPr>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26.2.2出现影响采购公正的违法、违规行为的。</w:t>
      </w:r>
      <w:r/>
    </w:p>
    <w:p>
      <w:pPr>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color w:val="000000"/>
          <w:sz w:val="28"/>
          <w:szCs w:val="28"/>
          <w:highlight w:val="none"/>
        </w:rPr>
        <w:t xml:space="preserve">.2.3因重大变故，采购任务取消的。</w:t>
      </w:r>
      <w:r/>
    </w:p>
    <w:p>
      <w:pPr>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26.2.4评标委员会认定招标文件存在歧义、重大缺陷导致评审工作无法进行。</w:t>
      </w:r>
      <w:r/>
    </w:p>
    <w:p>
      <w:pPr>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color w:val="000000"/>
          <w:sz w:val="28"/>
          <w:szCs w:val="28"/>
          <w:highlight w:val="none"/>
        </w:rPr>
        <w:t xml:space="preserve">26.2</w:t>
      </w:r>
      <w:r>
        <w:rPr>
          <w:rFonts w:hint="eastAsia" w:ascii="方正仿宋_GBK" w:hAnsi="方正仿宋_GBK" w:eastAsia="方正仿宋_GBK" w:cs="方正仿宋_GBK"/>
          <w:bCs/>
          <w:sz w:val="28"/>
          <w:szCs w:val="28"/>
          <w:highlight w:val="none"/>
        </w:rPr>
        <w:t xml:space="preserve">.5 因</w:t>
      </w:r>
      <w:r>
        <w:rPr>
          <w:rFonts w:hint="eastAsia" w:ascii="方正仿宋_GBK" w:hAnsi="方正仿宋_GBK" w:eastAsia="方正仿宋_GBK" w:cs="方正仿宋_GBK"/>
          <w:sz w:val="28"/>
          <w:szCs w:val="28"/>
          <w:highlight w:val="none"/>
        </w:rPr>
        <w:t xml:space="preserve">苏采云</w:t>
      </w:r>
      <w:r>
        <w:rPr>
          <w:rFonts w:hint="eastAsia" w:ascii="方正仿宋_GBK" w:hAnsi="方正仿宋_GBK" w:eastAsia="方正仿宋_GBK" w:cs="方正仿宋_GBK"/>
          <w:bCs/>
          <w:sz w:val="28"/>
          <w:szCs w:val="28"/>
          <w:highlight w:val="none"/>
        </w:rPr>
        <w:t xml:space="preserve">系统故障原因造成开标不成功的。  </w:t>
      </w:r>
      <w:r/>
    </w:p>
    <w:p>
      <w:pPr>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sz w:val="28"/>
          <w:szCs w:val="28"/>
          <w:highlight w:val="none"/>
        </w:rPr>
        <w:t xml:space="preserve">26.3 投标截止时间结束后</w:t>
      </w:r>
      <w:r>
        <w:rPr>
          <w:rFonts w:hint="eastAsia" w:ascii="方正仿宋_GBK" w:hAnsi="方正仿宋_GBK" w:eastAsia="方正仿宋_GBK" w:cs="方正仿宋_GBK"/>
          <w:bCs/>
          <w:color w:val="000000"/>
          <w:sz w:val="28"/>
          <w:szCs w:val="28"/>
          <w:highlight w:val="none"/>
        </w:rPr>
        <w:t xml:space="preserve">参加投标的供应商不足三家的处理：</w:t>
      </w:r>
      <w:r/>
    </w:p>
    <w:p>
      <w:pPr>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26.3.1如出现投标截止时间结束后参加投标的供应商或者在评标期间对招标文件做出实质响应的供应商不足三家情况，按政府采购相关规定执行。</w:t>
      </w:r>
      <w:r/>
    </w:p>
    <w:p>
      <w:pPr>
        <w:ind w:firstLine="560"/>
        <w:jc w:val="left"/>
        <w:keepNext/>
        <w:spacing w:line="400" w:lineRule="exact"/>
        <w:rPr>
          <w:rFonts w:ascii="方正黑体_GBK" w:hAnsi="方正黑体_GBK" w:eastAsia="方正黑体_GBK" w:cs="方正黑体_GBK"/>
          <w:color w:val="000000"/>
          <w:sz w:val="28"/>
          <w:szCs w:val="28"/>
          <w:highlight w:val="none"/>
        </w:rPr>
        <w:outlineLvl w:val="0"/>
      </w:pPr>
      <w:r/>
      <w:bookmarkStart w:id="155" w:name="_Toc120614219"/>
      <w:r>
        <w:rPr>
          <w:rFonts w:hint="eastAsia" w:ascii="方正黑体_GBK" w:hAnsi="方正黑体_GBK" w:eastAsia="方正黑体_GBK" w:cs="方正黑体_GBK"/>
          <w:color w:val="000000"/>
          <w:sz w:val="28"/>
          <w:szCs w:val="28"/>
          <w:highlight w:val="none"/>
        </w:rPr>
        <w:t xml:space="preserve">六、</w:t>
      </w:r>
      <w:bookmarkEnd w:id="152"/>
      <w:r/>
      <w:bookmarkEnd w:id="153"/>
      <w:r/>
      <w:bookmarkEnd w:id="154"/>
      <w:r>
        <w:rPr>
          <w:rFonts w:hint="eastAsia" w:ascii="方正黑体_GBK" w:hAnsi="方正黑体_GBK" w:eastAsia="方正黑体_GBK" w:cs="方正黑体_GBK"/>
          <w:color w:val="000000"/>
          <w:sz w:val="28"/>
          <w:szCs w:val="28"/>
          <w:highlight w:val="none"/>
        </w:rPr>
        <w:t xml:space="preserve">定标</w:t>
      </w:r>
      <w:bookmarkEnd w:id="155"/>
      <w:r/>
      <w:r/>
    </w:p>
    <w:p>
      <w:pPr>
        <w:ind w:firstLine="560"/>
        <w:keepLines/>
        <w:keepNext/>
        <w:spacing w:line="400" w:lineRule="exact"/>
        <w:rPr>
          <w:rFonts w:ascii="方正仿宋_GBK" w:hAnsi="方正仿宋_GBK" w:eastAsia="方正仿宋_GBK" w:cs="方正仿宋_GBK"/>
          <w:bCs/>
          <w:color w:val="000000"/>
          <w:sz w:val="28"/>
          <w:szCs w:val="28"/>
          <w:highlight w:val="none"/>
        </w:rPr>
        <w:outlineLvl w:val="3"/>
      </w:pPr>
      <w:r/>
      <w:bookmarkStart w:id="156" w:name="_Toc513029238"/>
      <w:r/>
      <w:bookmarkStart w:id="157" w:name="_Toc20823310"/>
      <w:r/>
      <w:bookmarkStart w:id="158" w:name="_Toc16938554"/>
      <w:r>
        <w:rPr>
          <w:rFonts w:hint="eastAsia" w:ascii="方正仿宋_GBK" w:hAnsi="方正仿宋_GBK" w:eastAsia="方正仿宋_GBK" w:cs="方正仿宋_GBK"/>
          <w:bCs/>
          <w:color w:val="000000"/>
          <w:sz w:val="28"/>
          <w:szCs w:val="28"/>
          <w:highlight w:val="none"/>
        </w:rPr>
        <w:t xml:space="preserve">27</w:t>
      </w:r>
      <w:bookmarkEnd w:id="156"/>
      <w:r>
        <w:rPr>
          <w:rFonts w:hint="eastAsia" w:ascii="方正仿宋_GBK" w:hAnsi="方正仿宋_GBK" w:eastAsia="方正仿宋_GBK" w:cs="方正仿宋_GBK"/>
          <w:bCs/>
          <w:color w:val="000000"/>
          <w:sz w:val="28"/>
          <w:szCs w:val="28"/>
          <w:highlight w:val="none"/>
        </w:rPr>
        <w:t xml:space="preserve">.确定</w:t>
      </w:r>
      <w:bookmarkEnd w:id="157"/>
      <w:r/>
      <w:bookmarkEnd w:id="158"/>
      <w:r>
        <w:rPr>
          <w:rFonts w:hint="eastAsia" w:ascii="方正仿宋_GBK" w:hAnsi="方正仿宋_GBK" w:eastAsia="方正仿宋_GBK" w:cs="方正仿宋_GBK"/>
          <w:bCs/>
          <w:color w:val="000000"/>
          <w:sz w:val="28"/>
          <w:szCs w:val="28"/>
          <w:highlight w:val="none"/>
        </w:rPr>
        <w:t xml:space="preserve">中标单位</w:t>
      </w:r>
      <w:r/>
    </w:p>
    <w:p>
      <w:pPr>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27.1中标候选人的选取原则和数量见招标文件第五章规定。 </w:t>
      </w:r>
      <w:r/>
    </w:p>
    <w:p>
      <w:pPr>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27.2 采购人应根据评标委员会推荐的中标候选人确定中标供应商。</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27.3 </w:t>
      </w:r>
      <w:r>
        <w:rPr>
          <w:rFonts w:hint="eastAsia" w:ascii="方正仿宋_GBK" w:hAnsi="方正仿宋_GBK" w:eastAsia="方正仿宋_GBK" w:cs="方正仿宋_GBK"/>
          <w:color w:val="000000"/>
          <w:sz w:val="28"/>
          <w:szCs w:val="28"/>
          <w:highlight w:val="none"/>
        </w:rPr>
        <w:t xml:space="preserve">采购中心将在“江苏政府采购网”发布中标公告，公告期限为1个工作日。</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 若有充分证据证明，中标供应商出现下列情况之一的，一经查实，将被取消中标资格：</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27.4.1提供虚假材料谋取中标的。</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27.4.2向采购人、采购中心行贿或者提供其他不正当利益的。</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27.4.3属于本文件规定的无效条件，但在评标过程中又未被评标委员会发现的。</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27.4.4与采购人或者其他供应商恶意串通的。</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27.4.5采取不正当手段诋毁、排挤其他供应商的。</w:t>
      </w:r>
      <w:r/>
    </w:p>
    <w:p>
      <w:pPr>
        <w:ind w:firstLine="560"/>
        <w:spacing w:line="400" w:lineRule="exact"/>
        <w:rPr>
          <w:rFonts w:ascii="方正仿宋_GBK" w:hAnsi="方正仿宋_GBK" w:eastAsia="方正仿宋_GBK" w:cs="方正仿宋_GBK"/>
          <w:color w:val="000000"/>
          <w:sz w:val="28"/>
          <w:szCs w:val="28"/>
          <w:highlight w:val="none"/>
        </w:rPr>
      </w:pPr>
      <w:r/>
      <w:bookmarkStart w:id="159" w:name="_Toc200451960"/>
      <w:r>
        <w:rPr>
          <w:rFonts w:hint="eastAsia" w:ascii="方正仿宋_GBK" w:hAnsi="方正仿宋_GBK" w:eastAsia="方正仿宋_GBK" w:cs="方正仿宋_GBK"/>
          <w:color w:val="000000"/>
          <w:sz w:val="28"/>
          <w:szCs w:val="28"/>
          <w:highlight w:val="none"/>
        </w:rPr>
        <w:t xml:space="preserve">27.5 有下列情形之一的，视为投标人串通投标，投标无效：</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27.5.1不同投标人的投标文件由同一单位或者个人编制。</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27.5.2不同投标人委托同一单位或者个人办理投标事宜。</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27.5.3 不同投标人的投标文件载明的项目管理成员或者联系人员为同一人。</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27.5.4不同投标人的投标文件异常一致或者投标报价呈规律性差异。</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28.质疑处理</w:t>
      </w:r>
      <w:bookmarkEnd w:id="159"/>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28.1 提出质疑的供应商应当是参与所质疑项目采购活动的供应商。潜在供应商依法获取其可质疑的采购文件的，可以对采购文件提出质疑。</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highlight w:val="none"/>
        </w:rPr>
        <w:br w:type="textWrapping" w:clear="all"/>
      </w:r>
      <w:r>
        <w:rPr>
          <w:rFonts w:hint="eastAsia" w:ascii="方正仿宋_GBK" w:hAnsi="方正仿宋_GBK" w:eastAsia="方正仿宋_GBK" w:cs="方正仿宋_GBK"/>
          <w:color w:val="000000"/>
          <w:sz w:val="28"/>
          <w:szCs w:val="28"/>
          <w:highlight w:val="none"/>
        </w:rPr>
        <w:t xml:space="preserve">　　28.2.2对采购过程提出质疑的，为各采购程序环节结束之日；</w:t>
      </w:r>
      <w:r>
        <w:rPr>
          <w:rFonts w:hint="eastAsia" w:ascii="方正仿宋_GBK" w:hAnsi="方正仿宋_GBK" w:eastAsia="方正仿宋_GBK" w:cs="方正仿宋_GBK"/>
          <w:color w:val="000000"/>
          <w:sz w:val="28"/>
          <w:szCs w:val="28"/>
          <w:highlight w:val="none"/>
        </w:rPr>
        <w:br w:type="textWrapping" w:clear="all"/>
      </w:r>
      <w:r>
        <w:rPr>
          <w:rFonts w:hint="eastAsia" w:ascii="方正仿宋_GBK" w:hAnsi="方正仿宋_GBK" w:eastAsia="方正仿宋_GBK" w:cs="方正仿宋_GBK"/>
          <w:color w:val="000000"/>
          <w:sz w:val="28"/>
          <w:szCs w:val="28"/>
          <w:highlight w:val="none"/>
        </w:rPr>
        <w:t xml:space="preserve">　　28.2.3对中标或者成交结果提出质疑的，为中标或者成交结果公告期限届满之日。</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采购人及采购中心只接收以纸质原件形式送达的质疑,建议供应商尽量通过邮寄方式提交质疑（采购人和采购中心不接受无快递运单号的快递）。</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采购中心质疑接收部门为质疑处理科（快递运单上的收件人填写“质疑处理科”即可），联系地址：南京市汉中门大街145号省政务中心二期3楼南区3029室，联系电话：025-83668531。</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采购人质疑接收人及联系方式见招标文件第一章。</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 以下情形的质疑不予受理</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28.5.1 内容不符合《政府采购质疑和投诉办法》第十二条规定的质疑。</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28.5.2 超出政府采购法定期限的质疑。</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28.5.3 以传真、电子邮件等方式递交的非原件形式的质疑。</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28.5.4 未参加投标活动的供应商或在投标活动中自身权益未受到损害的供应商所提出的质疑。</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28.5.5供应商组成联合体参加投标，联合体中任何一方或多方未按要求签字、盖章、加盖公章的质疑。</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29.中标通知书</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Next/>
        <w:spacing w:line="400" w:lineRule="exact"/>
        <w:rPr>
          <w:rFonts w:ascii="方正黑体_GBK" w:hAnsi="方正黑体_GBK" w:eastAsia="方正黑体_GBK" w:cs="方正黑体_GBK"/>
          <w:color w:val="000000"/>
          <w:sz w:val="28"/>
          <w:szCs w:val="28"/>
          <w:highlight w:val="none"/>
        </w:rPr>
        <w:outlineLvl w:val="0"/>
      </w:pPr>
      <w:r/>
      <w:bookmarkStart w:id="160" w:name="_Toc120614220"/>
      <w:r/>
      <w:bookmarkStart w:id="161" w:name="_Toc20823308"/>
      <w:r/>
      <w:bookmarkStart w:id="162" w:name="_Toc513029236"/>
      <w:r/>
      <w:bookmarkStart w:id="163" w:name="_Toc16938552"/>
      <w:r>
        <w:rPr>
          <w:rFonts w:hint="eastAsia" w:ascii="方正黑体_GBK" w:hAnsi="方正黑体_GBK" w:eastAsia="方正黑体_GBK" w:cs="方正黑体_GBK"/>
          <w:color w:val="000000"/>
          <w:sz w:val="28"/>
          <w:szCs w:val="28"/>
          <w:highlight w:val="none"/>
        </w:rPr>
        <w:t xml:space="preserve">七、授予合同</w:t>
      </w:r>
      <w:bookmarkEnd w:id="160"/>
      <w:r/>
      <w:bookmarkEnd w:id="161"/>
      <w:bookmarkEnd w:id="162"/>
      <w:bookmarkEnd w:id="163"/>
      <w:r/>
    </w:p>
    <w:p>
      <w:pPr>
        <w:ind w:firstLine="560"/>
        <w:spacing w:line="400" w:lineRule="exact"/>
        <w:rPr>
          <w:rFonts w:ascii="方正仿宋_GBK" w:hAnsi="方正仿宋_GBK" w:eastAsia="方正仿宋_GBK" w:cs="方正仿宋_GBK"/>
          <w:color w:val="000000"/>
          <w:sz w:val="28"/>
          <w:szCs w:val="28"/>
          <w:highlight w:val="none"/>
        </w:rPr>
      </w:pPr>
      <w:r/>
      <w:bookmarkStart w:id="164" w:name="_Toc20823309"/>
      <w:r/>
      <w:bookmarkStart w:id="165" w:name="_Toc16938553"/>
      <w:r/>
      <w:bookmarkStart w:id="166" w:name="_Toc513029237"/>
      <w:r>
        <w:rPr>
          <w:rFonts w:hint="eastAsia" w:ascii="方正仿宋_GBK" w:hAnsi="方正仿宋_GBK" w:eastAsia="方正仿宋_GBK" w:cs="方正仿宋_GBK"/>
          <w:color w:val="000000"/>
          <w:sz w:val="28"/>
          <w:szCs w:val="28"/>
          <w:highlight w:val="none"/>
        </w:rPr>
        <w:t xml:space="preserve">30.签订合同</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30.l中标供应商应当在中标通知书发出之日起三十日内，按照招标文件确定的事项与采购人签订政府采购合同。</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30.2 招标文件、中标供应商的投标文件及招标过程中有关澄清、承诺文件均应作为合同附件。</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31.货物（包含与货物相关的服务）的追加</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4"/>
      <w:bookmarkEnd w:id="165"/>
      <w:bookmarkEnd w:id="166"/>
      <w:r/>
    </w:p>
    <w:p>
      <w:pPr>
        <w:ind w:firstLine="560"/>
        <w:spacing w:line="400" w:lineRule="exact"/>
        <w:rPr>
          <w:rFonts w:ascii="方正仿宋_GBK" w:hAnsi="方正仿宋_GBK" w:eastAsia="方正仿宋_GBK" w:cs="方正仿宋_GBK"/>
          <w:color w:val="000000"/>
          <w:sz w:val="28"/>
          <w:szCs w:val="28"/>
          <w:highlight w:val="none"/>
        </w:rPr>
      </w:pPr>
      <w:r/>
      <w:bookmarkStart w:id="167" w:name="_Toc513029242"/>
      <w:r/>
      <w:bookmarkStart w:id="168" w:name="_Toc120614221"/>
      <w:r/>
      <w:bookmarkStart w:id="169" w:name="_Toc16938558"/>
      <w:r/>
      <w:bookmarkStart w:id="170" w:name="_Toc479757207"/>
      <w:r/>
      <w:bookmarkStart w:id="171" w:name="_Toc20823314"/>
      <w:r>
        <w:rPr>
          <w:rFonts w:hint="eastAsia" w:ascii="方正仿宋_GBK" w:hAnsi="方正仿宋_GBK" w:eastAsia="方正仿宋_GBK" w:cs="方正仿宋_GBK"/>
          <w:color w:val="000000"/>
          <w:sz w:val="28"/>
          <w:szCs w:val="28"/>
          <w:highlight w:val="none"/>
        </w:rPr>
        <w:t xml:space="preserve">32.政府采购履约资金扶持政策</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中标供应商可凭政府采购合同办理融资贷款，详情请见江苏政府采购网“政采贷”专栏。</w:t>
      </w:r>
      <w:r/>
    </w:p>
    <w:p>
      <w:pPr>
        <w:ind w:firstLine="420"/>
        <w:spacing w:line="400" w:lineRule="exact"/>
        <w:rPr>
          <w:color w:val="000000"/>
          <w:szCs w:val="21"/>
          <w:highlight w:val="none"/>
        </w:rPr>
      </w:pPr>
      <w:r>
        <w:rPr>
          <w:color w:val="000000"/>
          <w:szCs w:val="21"/>
          <w:highlight w:val="none"/>
        </w:rPr>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240"/>
        <w:keepNext/>
        <w:spacing w:line="660" w:lineRule="exact"/>
        <w:rPr>
          <w:rFonts w:ascii="方正黑体_GBK" w:hAnsi="方正黑体_GBK" w:eastAsia="方正黑体_GBK" w:cs="方正黑体_GBK"/>
          <w:bCs/>
          <w:color w:val="000000"/>
          <w:sz w:val="28"/>
          <w:szCs w:val="28"/>
          <w:highlight w:val="none"/>
        </w:rPr>
        <w:outlineLvl w:val="0"/>
      </w:pPr>
      <w:r>
        <w:rPr>
          <w:rFonts w:ascii="方正黑体_GBK" w:hAnsi="方正黑体_GBK" w:eastAsia="方正黑体_GBK" w:cs="方正黑体_GBK"/>
          <w:bCs/>
          <w:color w:val="000000"/>
          <w:sz w:val="28"/>
          <w:szCs w:val="28"/>
          <w:highlight w:val="none"/>
        </w:rPr>
      </w:r>
      <w:r/>
    </w:p>
    <w:p>
      <w:pPr>
        <w:ind w:firstLine="2240"/>
        <w:keepNext/>
        <w:spacing w:line="660" w:lineRule="exact"/>
        <w:rPr>
          <w:rFonts w:ascii="方正黑体_GBK" w:hAnsi="方正黑体_GBK" w:eastAsia="方正黑体_GBK" w:cs="方正黑体_GBK"/>
          <w:bCs/>
          <w:color w:val="000000"/>
          <w:sz w:val="28"/>
          <w:szCs w:val="28"/>
          <w:highlight w:val="none"/>
        </w:rPr>
        <w:outlineLvl w:val="0"/>
      </w:pPr>
      <w:r>
        <w:rPr>
          <w:rFonts w:ascii="方正黑体_GBK" w:hAnsi="方正黑体_GBK" w:eastAsia="方正黑体_GBK" w:cs="方正黑体_GBK"/>
          <w:bCs/>
          <w:color w:val="000000"/>
          <w:sz w:val="28"/>
          <w:szCs w:val="28"/>
          <w:highlight w:val="none"/>
        </w:rPr>
      </w:r>
      <w:r/>
    </w:p>
    <w:p>
      <w:pPr>
        <w:ind w:firstLine="2240"/>
        <w:keepNext/>
        <w:spacing w:line="660" w:lineRule="exact"/>
        <w:rPr>
          <w:rFonts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t xml:space="preserve">第三章  合同</w:t>
      </w:r>
      <w:bookmarkEnd w:id="167"/>
      <w:r/>
      <w:bookmarkEnd w:id="168"/>
      <w:r/>
      <w:bookmarkEnd w:id="169"/>
      <w:r/>
      <w:bookmarkEnd w:id="170"/>
      <w:r/>
      <w:bookmarkEnd w:id="171"/>
      <w:r>
        <w:rPr>
          <w:rFonts w:hint="eastAsia" w:ascii="方正黑体_GBK" w:hAnsi="方正黑体_GBK" w:eastAsia="方正黑体_GBK" w:cs="方正黑体_GBK"/>
          <w:bCs/>
          <w:color w:val="000000"/>
          <w:sz w:val="28"/>
          <w:szCs w:val="28"/>
          <w:highlight w:val="none"/>
        </w:rPr>
        <w:t xml:space="preserve">文本</w:t>
      </w:r>
      <w:r/>
    </w:p>
    <w:p>
      <w:pPr>
        <w:spacing w:line="400" w:lineRule="exact"/>
        <w:rPr>
          <w:rFonts w:hint="eastAsia" w:ascii="宋体" w:hAnsi="宋体"/>
          <w:bCs/>
          <w:color w:val="ff0000"/>
          <w:sz w:val="28"/>
          <w:szCs w:val="28"/>
          <w:highlight w:val="none"/>
        </w:rPr>
      </w:pPr>
      <w:r/>
      <w:bookmarkStart w:id="172" w:name="_Toc513029243"/>
      <w:r/>
      <w:bookmarkStart w:id="173" w:name="_Toc3995"/>
      <w:r/>
      <w:bookmarkStart w:id="174" w:name="_Toc16938559"/>
      <w:r/>
      <w:bookmarkStart w:id="175" w:name="_Toc20823315"/>
      <w:r/>
      <w:bookmarkStart w:id="176" w:name="_Hlt16619350"/>
      <w:r/>
      <w:bookmarkStart w:id="177" w:name="_Toc16938590"/>
      <w:r/>
      <w:bookmarkStart w:id="178" w:name="_Toc20823346"/>
      <w:r/>
      <w:bookmarkStart w:id="179" w:name="_Toc120614244"/>
      <w:r/>
      <w:bookmarkStart w:id="180" w:name="_Toc479757211"/>
      <w:r/>
      <w:bookmarkStart w:id="181" w:name="_Toc462564139"/>
      <w:r/>
      <w:r/>
    </w:p>
    <w:p>
      <w:pPr>
        <w:spacing w:line="5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bookmarkEnd w:id="172"/>
      <w:bookmarkEnd w:id="173"/>
      <w:bookmarkEnd w:id="174"/>
      <w:bookmarkEnd w:id="175"/>
      <w:r/>
    </w:p>
    <w:p>
      <w:pPr>
        <w:pStyle w:val="982"/>
        <w:jc w:val="center"/>
        <w:rPr>
          <w:rFonts w:hint="eastAsia" w:ascii="宋体" w:hAnsi="宋体" w:eastAsia="宋体" w:cs="宋体"/>
          <w:b/>
          <w:bCs/>
          <w:spacing w:val="-20"/>
          <w:highlight w:val="none"/>
        </w:rPr>
      </w:pPr>
      <w:r>
        <w:rPr>
          <w:rFonts w:hint="eastAsia" w:ascii="宋体" w:hAnsi="宋体" w:eastAsia="宋体" w:cs="宋体"/>
          <w:b/>
          <w:bCs/>
          <w:spacing w:val="-20"/>
          <w:highlight w:val="none"/>
        </w:rPr>
      </w:r>
      <w:r/>
    </w:p>
    <w:p>
      <w:pPr>
        <w:pStyle w:val="982"/>
        <w:jc w:val="center"/>
        <w:rPr>
          <w:rFonts w:hint="eastAsia" w:ascii="宋体" w:hAnsi="宋体" w:eastAsia="宋体" w:cs="宋体"/>
          <w:spacing w:val="-20"/>
          <w:highlight w:val="none"/>
        </w:rPr>
      </w:pPr>
      <w:r>
        <w:rPr>
          <w:rFonts w:hint="eastAsia" w:ascii="宋体" w:hAnsi="宋体" w:eastAsia="宋体" w:cs="宋体"/>
          <w:spacing w:val="-20"/>
          <w:highlight w:val="none"/>
        </w:rPr>
      </w:r>
      <w:r/>
    </w:p>
    <w:p>
      <w:pPr>
        <w:pStyle w:val="982"/>
        <w:jc w:val="center"/>
        <w:spacing w:line="660" w:lineRule="exact"/>
        <w:rPr>
          <w:rFonts w:ascii="方正黑体_GBK" w:hAnsi="方正黑体_GBK" w:eastAsia="方正黑体_GBK" w:cs="方正黑体_GBK"/>
          <w:spacing w:val="-20"/>
          <w:highlight w:val="none"/>
        </w:rPr>
      </w:pPr>
      <w:r>
        <w:rPr>
          <w:rFonts w:hint="eastAsia" w:ascii="方正黑体_GBK" w:hAnsi="方正黑体_GBK" w:eastAsia="方正黑体_GBK" w:cs="方正黑体_GBK"/>
          <w:spacing w:val="-20"/>
          <w:highlight w:val="none"/>
        </w:rPr>
        <w:t xml:space="preserve">财政部 政府采购货物买卖合同（试行）</w:t>
      </w:r>
      <w:r/>
    </w:p>
    <w:p>
      <w:pPr>
        <w:pStyle w:val="982"/>
        <w:jc w:val="center"/>
        <w:spacing w:line="660" w:lineRule="exact"/>
        <w:rPr>
          <w:rFonts w:ascii="方正黑体_GBK" w:hAnsi="方正黑体_GBK" w:eastAsia="方正黑体_GBK" w:cs="方正黑体_GBK"/>
          <w:spacing w:val="-20"/>
          <w:highlight w:val="none"/>
        </w:rPr>
      </w:pPr>
      <w:r>
        <w:rPr>
          <w:rFonts w:hint="eastAsia" w:ascii="方正黑体_GBK" w:hAnsi="方正黑体_GBK" w:eastAsia="方正黑体_GBK" w:cs="方正黑体_GBK"/>
          <w:spacing w:val="-20"/>
          <w:highlight w:val="none"/>
        </w:rPr>
        <w:t xml:space="preserve">范    本</w:t>
      </w:r>
      <w:r/>
    </w:p>
    <w:p>
      <w:pPr>
        <w:spacing w:line="660" w:lineRule="exact"/>
        <w:rPr>
          <w:rFonts w:hint="eastAsia" w:ascii="宋体" w:hAnsi="宋体" w:cs="宋体"/>
          <w:b/>
          <w:bCs/>
          <w:spacing w:val="-20"/>
          <w:sz w:val="28"/>
          <w:szCs w:val="28"/>
          <w:highlight w:val="none"/>
        </w:rPr>
      </w:pPr>
      <w:r>
        <w:rPr>
          <w:rFonts w:hint="eastAsia" w:ascii="宋体" w:hAnsi="宋体" w:cs="宋体"/>
          <w:b/>
          <w:bCs/>
          <w:spacing w:val="-20"/>
          <w:sz w:val="28"/>
          <w:szCs w:val="28"/>
          <w:highlight w:val="none"/>
        </w:rPr>
      </w:r>
      <w:r/>
    </w:p>
    <w:p>
      <w:pPr>
        <w:spacing w:line="660" w:lineRule="exact"/>
        <w:rPr>
          <w:rFonts w:hint="eastAsia" w:ascii="宋体" w:hAnsi="宋体" w:cs="宋体"/>
          <w:b/>
          <w:bCs/>
          <w:spacing w:val="-20"/>
          <w:sz w:val="28"/>
          <w:szCs w:val="28"/>
          <w:highlight w:val="none"/>
        </w:rPr>
      </w:pPr>
      <w:r>
        <w:rPr>
          <w:rFonts w:hint="eastAsia" w:ascii="宋体" w:hAnsi="宋体" w:cs="宋体"/>
          <w:b/>
          <w:bCs/>
          <w:spacing w:val="-20"/>
          <w:sz w:val="28"/>
          <w:szCs w:val="28"/>
          <w:highlight w:val="none"/>
        </w:rPr>
      </w:r>
      <w:r/>
    </w:p>
    <w:p>
      <w:pPr>
        <w:spacing w:line="660" w:lineRule="exact"/>
        <w:rPr>
          <w:rFonts w:hint="eastAsia" w:ascii="宋体" w:hAnsi="宋体" w:cs="宋体"/>
          <w:b/>
          <w:bCs/>
          <w:spacing w:val="-20"/>
          <w:sz w:val="28"/>
          <w:szCs w:val="28"/>
          <w:highlight w:val="none"/>
        </w:rPr>
      </w:pPr>
      <w:r>
        <w:rPr>
          <w:rFonts w:hint="eastAsia" w:ascii="宋体" w:hAnsi="宋体" w:cs="宋体"/>
          <w:b/>
          <w:bCs/>
          <w:spacing w:val="-20"/>
          <w:sz w:val="28"/>
          <w:szCs w:val="28"/>
          <w:highlight w:val="none"/>
        </w:rPr>
      </w:r>
      <w:r/>
    </w:p>
    <w:p>
      <w:pPr>
        <w:ind w:left="420"/>
        <w:spacing w:line="660" w:lineRule="exact"/>
        <w:rPr>
          <w:rFonts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项目名称：</w:t>
      </w:r>
      <w:r>
        <w:rPr>
          <w:rFonts w:hint="eastAsia" w:ascii="方正黑体_GBK" w:hAnsi="方正黑体_GBK" w:eastAsia="方正黑体_GBK" w:cs="方正黑体_GBK"/>
          <w:sz w:val="28"/>
          <w:szCs w:val="28"/>
          <w:highlight w:val="none"/>
          <w:u w:val="single"/>
        </w:rPr>
        <w:t xml:space="preserve">                             </w:t>
      </w:r>
      <w:r/>
    </w:p>
    <w:p>
      <w:pPr>
        <w:ind w:left="420"/>
        <w:spacing w:line="660" w:lineRule="exact"/>
        <w:rPr>
          <w:rFonts w:ascii="方正黑体_GBK" w:hAnsi="方正黑体_GBK" w:eastAsia="方正黑体_GBK" w:cs="方正黑体_GBK"/>
          <w:sz w:val="28"/>
          <w:szCs w:val="28"/>
          <w:highlight w:val="none"/>
          <w:u w:val="single"/>
        </w:rPr>
      </w:pPr>
      <w:r>
        <w:rPr>
          <w:rFonts w:hint="eastAsia" w:ascii="方正黑体_GBK" w:hAnsi="方正黑体_GBK" w:eastAsia="方正黑体_GBK" w:cs="方正黑体_GBK"/>
          <w:sz w:val="28"/>
          <w:szCs w:val="28"/>
          <w:highlight w:val="none"/>
        </w:rPr>
        <w:t xml:space="preserve">合同编号：</w:t>
      </w:r>
      <w:r>
        <w:rPr>
          <w:rFonts w:hint="eastAsia" w:ascii="方正黑体_GBK" w:hAnsi="方正黑体_GBK" w:eastAsia="方正黑体_GBK" w:cs="方正黑体_GBK"/>
          <w:sz w:val="28"/>
          <w:szCs w:val="28"/>
          <w:highlight w:val="none"/>
          <w:u w:val="single"/>
        </w:rPr>
        <w:t xml:space="preserve">                             </w:t>
      </w:r>
      <w:r/>
    </w:p>
    <w:p>
      <w:pPr>
        <w:ind w:left="420"/>
        <w:spacing w:line="660" w:lineRule="exact"/>
        <w:rPr>
          <w:rFonts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甲    方：</w:t>
      </w:r>
      <w:r>
        <w:rPr>
          <w:rFonts w:hint="eastAsia" w:ascii="方正黑体_GBK" w:hAnsi="方正黑体_GBK" w:eastAsia="方正黑体_GBK" w:cs="方正黑体_GBK"/>
          <w:sz w:val="28"/>
          <w:szCs w:val="28"/>
          <w:highlight w:val="none"/>
          <w:u w:val="single"/>
        </w:rPr>
        <w:t xml:space="preserve">                             </w:t>
      </w:r>
      <w:r/>
    </w:p>
    <w:p>
      <w:pPr>
        <w:ind w:left="420"/>
        <w:spacing w:line="660" w:lineRule="exact"/>
        <w:rPr>
          <w:rFonts w:ascii="方正黑体_GBK" w:hAnsi="方正黑体_GBK" w:eastAsia="方正黑体_GBK" w:cs="方正黑体_GBK"/>
          <w:sz w:val="28"/>
          <w:szCs w:val="28"/>
          <w:highlight w:val="none"/>
          <w:u w:val="single"/>
        </w:rPr>
      </w:pPr>
      <w:r>
        <w:rPr>
          <w:rFonts w:hint="eastAsia" w:ascii="方正黑体_GBK" w:hAnsi="方正黑体_GBK" w:eastAsia="方正黑体_GBK" w:cs="方正黑体_GBK"/>
          <w:sz w:val="28"/>
          <w:szCs w:val="28"/>
          <w:highlight w:val="none"/>
        </w:rPr>
        <w:t xml:space="preserve">乙    方：</w:t>
      </w:r>
      <w:r>
        <w:rPr>
          <w:rFonts w:hint="eastAsia" w:ascii="方正黑体_GBK" w:hAnsi="方正黑体_GBK" w:eastAsia="方正黑体_GBK" w:cs="方正黑体_GBK"/>
          <w:sz w:val="28"/>
          <w:szCs w:val="28"/>
          <w:highlight w:val="none"/>
          <w:u w:val="single"/>
        </w:rPr>
        <w:t xml:space="preserve">                             </w:t>
      </w:r>
      <w:r/>
    </w:p>
    <w:p>
      <w:pPr>
        <w:ind w:left="420"/>
        <w:spacing w:line="660" w:lineRule="exact"/>
        <w:rPr>
          <w:rFonts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签订时间：</w:t>
      </w:r>
      <w:r>
        <w:rPr>
          <w:rFonts w:hint="eastAsia" w:ascii="方正黑体_GBK" w:hAnsi="方正黑体_GBK" w:eastAsia="方正黑体_GBK" w:cs="方正黑体_GBK"/>
          <w:sz w:val="28"/>
          <w:szCs w:val="28"/>
          <w:highlight w:val="none"/>
          <w:u w:val="single"/>
        </w:rPr>
        <w:t xml:space="preserve">                             </w:t>
      </w:r>
      <w:r/>
    </w:p>
    <w:p>
      <w:pPr>
        <w:rPr>
          <w:sz w:val="28"/>
          <w:szCs w:val="28"/>
          <w:highlight w:val="none"/>
        </w:rPr>
      </w:pPr>
      <w:r>
        <w:rPr>
          <w:sz w:val="28"/>
          <w:szCs w:val="28"/>
          <w:highlight w:val="none"/>
        </w:rPr>
      </w:r>
      <w:r/>
    </w:p>
    <w:p>
      <w:pPr>
        <w:rPr>
          <w:rFonts w:eastAsia="黑体"/>
          <w:sz w:val="28"/>
          <w:szCs w:val="28"/>
          <w:highlight w:val="none"/>
        </w:rPr>
      </w:pPr>
      <w:r>
        <w:rPr>
          <w:rFonts w:eastAsia="黑体"/>
          <w:sz w:val="28"/>
          <w:szCs w:val="28"/>
          <w:highlight w:val="none"/>
        </w:rPr>
      </w:r>
      <w:r/>
    </w:p>
    <w:p>
      <w:pPr>
        <w:rPr>
          <w:rFonts w:eastAsia="黑体"/>
          <w:sz w:val="28"/>
          <w:szCs w:val="28"/>
          <w:highlight w:val="none"/>
        </w:rPr>
      </w:pPr>
      <w:r>
        <w:rPr>
          <w:rFonts w:eastAsia="黑体"/>
          <w:sz w:val="28"/>
          <w:szCs w:val="28"/>
          <w:highlight w:val="none"/>
        </w:rPr>
      </w:r>
      <w:r/>
    </w:p>
    <w:p>
      <w:pPr>
        <w:rPr>
          <w:rFonts w:eastAsia="黑体"/>
          <w:sz w:val="28"/>
          <w:szCs w:val="28"/>
          <w:highlight w:val="none"/>
        </w:rPr>
      </w:pPr>
      <w:r>
        <w:rPr>
          <w:rFonts w:eastAsia="黑体"/>
          <w:sz w:val="28"/>
          <w:szCs w:val="28"/>
          <w:highlight w:val="none"/>
        </w:rPr>
      </w:r>
      <w:r/>
    </w:p>
    <w:p>
      <w:pPr>
        <w:rPr>
          <w:rFonts w:eastAsia="黑体"/>
          <w:sz w:val="28"/>
          <w:szCs w:val="28"/>
          <w:highlight w:val="none"/>
        </w:rPr>
      </w:pPr>
      <w:r>
        <w:rPr>
          <w:rFonts w:eastAsia="黑体"/>
          <w:sz w:val="28"/>
          <w:szCs w:val="28"/>
          <w:highlight w:val="none"/>
        </w:rPr>
      </w:r>
      <w:r/>
    </w:p>
    <w:p>
      <w:pPr>
        <w:rPr>
          <w:rFonts w:eastAsia="黑体"/>
          <w:sz w:val="28"/>
          <w:szCs w:val="28"/>
          <w:highlight w:val="none"/>
        </w:rPr>
      </w:pPr>
      <w:r>
        <w:rPr>
          <w:rFonts w:eastAsia="黑体"/>
          <w:sz w:val="28"/>
          <w:szCs w:val="28"/>
          <w:highlight w:val="none"/>
        </w:rPr>
      </w:r>
      <w:r/>
    </w:p>
    <w:p>
      <w:pPr>
        <w:jc w:val="center"/>
        <w:spacing w:line="400" w:lineRule="exact"/>
        <w:rPr>
          <w:rFonts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使 用 说 明</w:t>
      </w:r>
      <w:r/>
    </w:p>
    <w:p>
      <w:pPr>
        <w:ind w:firstLine="560"/>
        <w:spacing w:line="40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1.本合同标准文本适用于购买现成货物的采购项目，不包括需要供应商定制开发、创新研发的货物采购项目。</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2.本合同标准文本为政府采购货物买卖合同编制提供参考，可以结合采购项目具体情况，对文本作必要的调整修订后使用。</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3.本合同标准文本各条款中，如涉及填写多家供应商、制造商，多种采购标的、分包主要内容等信息的，可根据采购项目具体情况添加信息项。</w:t>
      </w:r>
      <w:r/>
    </w:p>
    <w:p>
      <w:pPr>
        <w:ind w:firstLine="560"/>
        <w:rPr>
          <w:rFonts w:eastAsia="黑体"/>
          <w:sz w:val="28"/>
          <w:szCs w:val="28"/>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28"/>
          <w:szCs w:val="28"/>
          <w:highlight w:val="none"/>
        </w:rPr>
      </w:r>
      <w:r/>
    </w:p>
    <w:p>
      <w:pPr>
        <w:pStyle w:val="953"/>
        <w:spacing w:line="400" w:lineRule="exact"/>
        <w:rPr>
          <w:rFonts w:hint="eastAsia"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甲方（全称）: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（采购人、受采购人委托签订合同的单位或采购文件约定的合同甲方）</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乙方1（全称）: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（供应商）</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乙方2（全称）: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（联合体成员供应商或其他合同主体）（如有）</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乙方3（全称）: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（联合体成员供应商或其他合同主体）（如有）</w:t>
      </w:r>
      <w:r/>
    </w:p>
    <w:p>
      <w:pPr>
        <w:pStyle w:val="984"/>
        <w:ind w:left="0" w:firstLine="560"/>
        <w:spacing w:after="0"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ind w:firstLine="562"/>
        <w:spacing w:line="400" w:lineRule="exact"/>
        <w:rPr>
          <w:rFonts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1.项目信息</w:t>
      </w:r>
      <w:r/>
    </w:p>
    <w:p>
      <w:pPr>
        <w:pStyle w:val="984"/>
        <w:numPr>
          <w:ilvl w:val="0"/>
          <w:numId w:val="4"/>
        </w:numPr>
        <w:ind w:left="0" w:firstLine="560"/>
        <w:spacing w:after="0" w:line="400" w:lineRule="exact"/>
        <w:rPr>
          <w:rFonts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采购项目名称：</w:t>
      </w:r>
      <w:r>
        <w:rPr>
          <w:rFonts w:hint="eastAsia" w:ascii="方正仿宋_GBK" w:hAnsi="方正仿宋_GBK" w:eastAsia="方正仿宋_GBK" w:cs="方正仿宋_GBK"/>
          <w:sz w:val="28"/>
          <w:szCs w:val="28"/>
          <w:highlight w:val="none"/>
          <w:u w:val="single"/>
        </w:rPr>
        <w:t xml:space="preserve">                                          </w:t>
      </w:r>
      <w:r/>
    </w:p>
    <w:p>
      <w:pPr>
        <w:pStyle w:val="984"/>
        <w:ind w:left="0" w:firstLine="560"/>
        <w:spacing w:after="0" w:line="400" w:lineRule="exact"/>
        <w:tabs>
          <w:tab w:val="left" w:pos="999" w:leader="none"/>
        </w:tabs>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采购项目编号：</w:t>
      </w:r>
      <w:r>
        <w:rPr>
          <w:rFonts w:hint="eastAsia" w:ascii="方正仿宋_GBK" w:hAnsi="方正仿宋_GBK" w:eastAsia="方正仿宋_GBK" w:cs="方正仿宋_GBK"/>
          <w:sz w:val="28"/>
          <w:szCs w:val="28"/>
          <w:highlight w:val="none"/>
          <w:u w:val="single"/>
        </w:rPr>
        <w:t xml:space="preserve">                                          </w:t>
      </w:r>
      <w:r/>
    </w:p>
    <w:p>
      <w:pPr>
        <w:pStyle w:val="984"/>
        <w:ind w:left="0" w:firstLine="560"/>
        <w:spacing w:after="0"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（2）采购计划编号：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（3）项目内容：</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采购标的及数量（台/套</w:t>
      </w:r>
      <w:r>
        <w:rPr>
          <w:rFonts w:hint="eastAsia" w:ascii="方正仿宋_GBK" w:hAnsi="方正仿宋_GBK" w:eastAsia="方正仿宋_GBK" w:cs="方正仿宋_GBK"/>
          <w:sz w:val="28"/>
          <w:szCs w:val="28"/>
          <w:highlight w:val="none"/>
          <w:lang w:val="en"/>
        </w:rPr>
        <w:t xml:space="preserve">/个/架/组等</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lang w:val="en"/>
        </w:rPr>
        <w:t xml:space="preserve"> </w:t>
      </w:r>
      <w:r>
        <w:rPr>
          <w:rFonts w:hint="eastAsia" w:ascii="方正仿宋_GBK" w:hAnsi="方正仿宋_GBK" w:eastAsia="方正仿宋_GBK" w:cs="方正仿宋_GBK"/>
          <w:sz w:val="28"/>
          <w:szCs w:val="28"/>
          <w:highlight w:val="none"/>
        </w:rPr>
        <w:t xml:space="preserve">规格型号：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采购标的的技术要求、商务要求具体见附件。</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①涉及信息类产品，请填写该产品关键部件的品牌、型号：</w:t>
      </w:r>
      <w:r/>
    </w:p>
    <w:p>
      <w:pPr>
        <w:ind w:firstLine="560"/>
        <w:spacing w:line="400" w:lineRule="exact"/>
        <w:rPr>
          <w:rFonts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关键部件：</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关键部件：</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关键部件：</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型号：</w:t>
      </w:r>
      <w:r>
        <w:rPr>
          <w:rFonts w:hint="eastAsia" w:ascii="方正仿宋_GBK" w:hAnsi="方正仿宋_GBK" w:eastAsia="方正仿宋_GBK" w:cs="方正仿宋_GBK"/>
          <w:sz w:val="28"/>
          <w:szCs w:val="28"/>
          <w:highlight w:val="none"/>
          <w:u w:val="single"/>
        </w:rPr>
        <w:t xml:space="preserve">       </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②涉及车辆采购，请填写是否属于新能源汽车：</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是，《政府采购品目分类目录》底级品目名称：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数量：</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金额：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p>
    <w:p>
      <w:pPr>
        <w:pStyle w:val="1064"/>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4</w:t>
      </w:r>
      <w:r>
        <w:rPr>
          <w:rFonts w:hint="eastAsia" w:ascii="方正仿宋_GBK" w:hAnsi="方正仿宋_GBK" w:eastAsia="方正仿宋_GBK" w:cs="方正仿宋_GBK"/>
          <w:sz w:val="28"/>
          <w:szCs w:val="28"/>
          <w:highlight w:val="none"/>
        </w:rPr>
        <w:t xml:space="preserve">）政府采购组织形式：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政府集中采购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部门集中采购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分散采购</w:t>
      </w:r>
      <w:r/>
    </w:p>
    <w:p>
      <w:pPr>
        <w:pStyle w:val="1064"/>
        <w:ind w:firstLine="560"/>
        <w:rPr>
          <w:rFonts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5</w:t>
      </w:r>
      <w:r>
        <w:rPr>
          <w:rFonts w:hint="eastAsia" w:ascii="方正仿宋_GBK" w:hAnsi="方正仿宋_GBK" w:eastAsia="方正仿宋_GBK" w:cs="方正仿宋_GBK"/>
          <w:sz w:val="28"/>
          <w:szCs w:val="28"/>
          <w:highlight w:val="none"/>
        </w:rPr>
        <w:t xml:space="preserve">）政府采购方式：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公开招标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邀请招标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竞争性谈判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竞争性磋商</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询价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单一来源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框架协议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其他：</w:t>
      </w:r>
      <w:r>
        <w:rPr>
          <w:rFonts w:hint="eastAsia" w:ascii="方正仿宋_GBK" w:hAnsi="方正仿宋_GBK" w:eastAsia="方正仿宋_GBK" w:cs="方正仿宋_GBK"/>
          <w:sz w:val="28"/>
          <w:szCs w:val="28"/>
          <w:highlight w:val="none"/>
          <w:u w:val="single"/>
        </w:rPr>
        <w:t xml:space="preserve">          </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（注：在框架协议采购的第二阶段，可选择使用该合同文本）</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6</w:t>
      </w:r>
      <w:r>
        <w:rPr>
          <w:rFonts w:hint="eastAsia" w:ascii="方正仿宋_GBK" w:hAnsi="方正仿宋_GBK" w:eastAsia="方正仿宋_GBK" w:cs="方正仿宋_GBK"/>
          <w:sz w:val="28"/>
          <w:szCs w:val="28"/>
          <w:highlight w:val="none"/>
        </w:rPr>
        <w:t xml:space="preserve">）中标（成交）采购标的制造商是否为中小企业：</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p>
    <w:p>
      <w:pPr>
        <w:ind w:firstLine="560"/>
        <w:spacing w:line="400" w:lineRule="exact"/>
        <w:rPr>
          <w:rFonts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本合同是否为专门面向中小企业的采购合同（中小企业预留合同）：</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p>
    <w:p>
      <w:pPr>
        <w:ind w:firstLine="560"/>
        <w:spacing w:line="400" w:lineRule="exact"/>
        <w:rPr>
          <w:rFonts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若本项目不专门面向中小企业采购，是否给予小微企业评审优惠：</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p>
    <w:p>
      <w:pPr>
        <w:ind w:firstLine="560"/>
        <w:spacing w:line="400" w:lineRule="exact"/>
        <w:rPr>
          <w:rFonts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中标（成交）采购标的制造商是否为残疾人福利性单位：</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中标（成交）采购标的制造商是否为监狱企业：</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7</w:t>
      </w:r>
      <w:r>
        <w:rPr>
          <w:rFonts w:hint="eastAsia" w:ascii="方正仿宋_GBK" w:hAnsi="方正仿宋_GBK" w:eastAsia="方正仿宋_GBK" w:cs="方正仿宋_GBK"/>
          <w:sz w:val="28"/>
          <w:szCs w:val="28"/>
          <w:highlight w:val="none"/>
        </w:rPr>
        <w:t xml:space="preserve">）合同是否分包：</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p>
    <w:p>
      <w:pPr>
        <w:ind w:firstLine="560"/>
        <w:spacing w:line="400" w:lineRule="exact"/>
        <w:rPr>
          <w:rFonts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分包主要内容：</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分包供应商/制造商名称（如供应商和制造商不同，请分别填写）：</w:t>
      </w:r>
      <w:r/>
    </w:p>
    <w:p>
      <w:pPr>
        <w:ind w:firstLine="560"/>
        <w:spacing w:line="400" w:lineRule="exact"/>
        <w:rPr>
          <w:rFonts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分包供应商/制造商类型（如果供应商和制造商不同，只填写制造商类型）：</w:t>
      </w:r>
      <w:r/>
    </w:p>
    <w:p>
      <w:pPr>
        <w:ind w:firstLine="560"/>
        <w:spacing w:line="400" w:lineRule="exact"/>
        <w:rPr>
          <w:rFonts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大型企业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中型企业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小微型企业  </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残疾人福利性单位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监狱企业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其他</w:t>
      </w:r>
      <w:r/>
    </w:p>
    <w:p>
      <w:pPr>
        <w:ind w:firstLine="560"/>
        <w:spacing w:line="400" w:lineRule="exact"/>
        <w:rPr>
          <w:rFonts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8</w:t>
      </w:r>
      <w:r>
        <w:rPr>
          <w:rFonts w:hint="eastAsia" w:ascii="方正仿宋_GBK" w:hAnsi="方正仿宋_GBK" w:eastAsia="方正仿宋_GBK" w:cs="方正仿宋_GBK"/>
          <w:sz w:val="28"/>
          <w:szCs w:val="28"/>
          <w:highlight w:val="none"/>
        </w:rPr>
        <w:t xml:space="preserve">）中标（成交）供应商是否为外商投资企业：</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p>
    <w:p>
      <w:pPr>
        <w:pStyle w:val="1064"/>
        <w:ind w:firstLine="560"/>
        <w:tabs>
          <w:tab w:val="left" w:pos="1340" w:leader="none"/>
        </w:tabs>
        <w:rPr>
          <w:rFonts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外商投资企业类型：</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sz w:val="28"/>
          <w:szCs w:val="28"/>
          <w:highlight w:val="none"/>
        </w:rPr>
        <w:t xml:space="preserve">全部由外国投资者投资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部分由外国投资者投资</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9</w:t>
      </w:r>
      <w:r>
        <w:rPr>
          <w:rFonts w:hint="eastAsia" w:ascii="方正仿宋_GBK" w:hAnsi="方正仿宋_GBK" w:eastAsia="方正仿宋_GBK" w:cs="方正仿宋_GBK"/>
          <w:sz w:val="28"/>
          <w:szCs w:val="28"/>
          <w:highlight w:val="none"/>
        </w:rPr>
        <w:t xml:space="preserve">）是否涉及进口产品：</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是，《政府采购品目分类目录》底级品目名称：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金额：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国别：</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规格型号：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p>
    <w:p>
      <w:pPr>
        <w:ind w:firstLine="560"/>
        <w:spacing w:line="400" w:lineRule="exact"/>
        <w:tabs>
          <w:tab w:val="left" w:pos="740" w:leader="none"/>
        </w:tabs>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（1</w:t>
      </w:r>
      <w:r>
        <w:rPr>
          <w:rFonts w:hint="eastAsia" w:ascii="方正仿宋_GBK" w:hAnsi="方正仿宋_GBK" w:eastAsia="方正仿宋_GBK" w:cs="方正仿宋_GBK"/>
          <w:sz w:val="28"/>
          <w:szCs w:val="28"/>
          <w:highlight w:val="none"/>
          <w:lang w:val="en"/>
        </w:rPr>
        <w:t xml:space="preserve">0</w:t>
      </w:r>
      <w:r>
        <w:rPr>
          <w:rFonts w:hint="eastAsia" w:ascii="方正仿宋_GBK" w:hAnsi="方正仿宋_GBK" w:eastAsia="方正仿宋_GBK" w:cs="方正仿宋_GBK"/>
          <w:sz w:val="28"/>
          <w:szCs w:val="28"/>
          <w:highlight w:val="none"/>
        </w:rPr>
        <w:t xml:space="preserve">）是否涉及节能产品：</w:t>
      </w:r>
      <w:r/>
    </w:p>
    <w:p>
      <w:pPr>
        <w:ind w:firstLine="560"/>
        <w:spacing w:line="400" w:lineRule="exact"/>
        <w:tabs>
          <w:tab w:val="left" w:pos="740" w:leader="none"/>
        </w:tabs>
        <w:rPr>
          <w:rFonts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是，《节能产品政府采购品目清单》的底级品目名称：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     </w:t>
      </w:r>
      <w:r/>
    </w:p>
    <w:p>
      <w:pPr>
        <w:ind w:firstLine="560"/>
        <w:spacing w:line="400" w:lineRule="exact"/>
        <w:tabs>
          <w:tab w:val="left" w:pos="740" w:leader="none"/>
        </w:tabs>
        <w:rPr>
          <w:rFonts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强制采购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优先采购    </w:t>
      </w:r>
      <w:r/>
    </w:p>
    <w:p>
      <w:pPr>
        <w:ind w:firstLine="560"/>
        <w:spacing w:line="400" w:lineRule="exact"/>
        <w:tabs>
          <w:tab w:val="left" w:pos="740" w:leader="none"/>
        </w:tabs>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p>
    <w:p>
      <w:pPr>
        <w:ind w:firstLine="560"/>
        <w:spacing w:line="400" w:lineRule="exact"/>
        <w:tabs>
          <w:tab w:val="left" w:pos="740" w:leader="none"/>
        </w:tabs>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是否涉及环境标志产品：</w:t>
      </w:r>
      <w:r/>
    </w:p>
    <w:p>
      <w:pPr>
        <w:ind w:firstLine="560"/>
        <w:spacing w:line="400" w:lineRule="exact"/>
        <w:tabs>
          <w:tab w:val="left" w:pos="740" w:leader="none"/>
        </w:tabs>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是，《环境标志产品政府采购品目清单》的底级品目名称：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 </w:t>
      </w:r>
      <w:r/>
    </w:p>
    <w:p>
      <w:pPr>
        <w:ind w:firstLine="560"/>
        <w:spacing w:line="400" w:lineRule="exact"/>
        <w:tabs>
          <w:tab w:val="left" w:pos="740" w:leader="none"/>
        </w:tabs>
        <w:rPr>
          <w:rFonts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强制采购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优先采购    </w:t>
      </w:r>
      <w:r/>
    </w:p>
    <w:p>
      <w:pPr>
        <w:ind w:firstLine="560"/>
        <w:spacing w:line="400" w:lineRule="exact"/>
        <w:tabs>
          <w:tab w:val="left" w:pos="740" w:leader="none"/>
        </w:tabs>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是否涉及绿色产品： </w:t>
      </w:r>
      <w:r/>
    </w:p>
    <w:p>
      <w:pPr>
        <w:pStyle w:val="1064"/>
        <w:ind w:firstLine="560"/>
        <w:rPr>
          <w:rFonts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是，绿色产品政府采购相关政策确定的底级品目名称：</w:t>
      </w:r>
      <w:r>
        <w:rPr>
          <w:rFonts w:hint="eastAsia" w:ascii="方正仿宋_GBK" w:hAnsi="方正仿宋_GBK" w:eastAsia="方正仿宋_GBK" w:cs="方正仿宋_GBK"/>
          <w:sz w:val="28"/>
          <w:szCs w:val="28"/>
          <w:highlight w:val="none"/>
          <w:u w:val="single"/>
        </w:rPr>
        <w:t xml:space="preserve">         </w:t>
      </w:r>
      <w:r/>
    </w:p>
    <w:p>
      <w:pPr>
        <w:pStyle w:val="1064"/>
        <w:ind w:firstLine="560"/>
        <w:rPr>
          <w:rFonts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强制采购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优先采购    </w:t>
      </w:r>
      <w:r/>
    </w:p>
    <w:p>
      <w:pPr>
        <w:pStyle w:val="1064"/>
        <w:ind w:firstLine="840"/>
        <w:rPr>
          <w:rFonts w:ascii="方正仿宋_GBK" w:hAnsi="方正仿宋_GBK" w:eastAsia="方正仿宋_GBK" w:cs="方正仿宋_GBK"/>
          <w:sz w:val="28"/>
          <w:szCs w:val="28"/>
          <w:highlight w:val="non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（1</w:t>
      </w:r>
      <w:r>
        <w:rPr>
          <w:rFonts w:hint="eastAsia" w:ascii="方正仿宋_GBK" w:hAnsi="方正仿宋_GBK" w:eastAsia="方正仿宋_GBK" w:cs="方正仿宋_GBK"/>
          <w:sz w:val="28"/>
          <w:szCs w:val="28"/>
          <w:highlight w:val="none"/>
          <w:lang w:val="en"/>
        </w:rPr>
        <w:t xml:space="preserve">1</w:t>
      </w:r>
      <w:r>
        <w:rPr>
          <w:rFonts w:hint="eastAsia" w:ascii="方正仿宋_GBK" w:hAnsi="方正仿宋_GBK" w:eastAsia="方正仿宋_GBK" w:cs="方正仿宋_GBK"/>
          <w:sz w:val="28"/>
          <w:szCs w:val="28"/>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方正仿宋_GBK" w:hAnsi="方正仿宋_GBK" w:eastAsia="方正仿宋_GBK" w:cs="方正仿宋_GBK"/>
          <w:sz w:val="28"/>
          <w:szCs w:val="28"/>
          <w:highlight w:val="non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不涉及</w:t>
      </w:r>
      <w:r/>
    </w:p>
    <w:p>
      <w:pPr>
        <w:ind w:firstLine="562"/>
        <w:spacing w:line="400" w:lineRule="exact"/>
        <w:rPr>
          <w:rFonts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2.合同金额</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（1）合同金额小写：</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大写：</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分包金额（如有）小写：</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大写：</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（注：固定单价合同应填写单价和最高限价）</w:t>
      </w:r>
      <w:r/>
    </w:p>
    <w:p>
      <w:pP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合同定价方式（采用组合定价方式的，可以勾选多项）：</w:t>
      </w:r>
      <w:r/>
    </w:p>
    <w:p>
      <w:pPr>
        <w:ind w:firstLine="560"/>
        <w:spacing w:line="400" w:lineRule="exact"/>
        <w:rPr>
          <w:sz w:val="28"/>
          <w:szCs w:val="28"/>
          <w:highlight w:val="none"/>
        </w:rPr>
      </w:pPr>
      <w:r>
        <w:rPr>
          <w:rFonts w:hint="eastAsia" w:ascii="方正仿宋_GBK" w:hAnsi="方正仿宋_GBK" w:eastAsia="方正仿宋_GBK" w:cs="方正仿宋_GBK"/>
          <w:sz w:val="28"/>
          <w:szCs w:val="28"/>
          <w:highlight w:val="none"/>
        </w:rPr>
        <w:t xml:space="preserve">（2）</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固定总价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固定单价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固定费率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成本补偿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绩效激励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其他     </w:t>
      </w:r>
      <w:r>
        <w:rPr>
          <w:rFonts w:hint="eastAsia"/>
          <w:sz w:val="28"/>
          <w:szCs w:val="28"/>
          <w:highlight w:val="none"/>
        </w:rPr>
        <w:t xml:space="preserve">  </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（3）付款方式（按项目实际勾选填写）：</w:t>
      </w:r>
      <w:r/>
    </w:p>
    <w:p>
      <w:pPr>
        <w:ind w:firstLine="560"/>
        <w:spacing w:line="400" w:lineRule="exact"/>
        <w:rPr>
          <w:rFonts w:ascii="方正仿宋_GBK" w:hAnsi="方正仿宋_GBK" w:eastAsia="方正仿宋_GBK" w:cs="方正仿宋_GBK"/>
          <w:sz w:val="28"/>
          <w:szCs w:val="28"/>
          <w:highlight w:val="none"/>
          <w:u w:val="singl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全额付款：</w:t>
      </w:r>
      <w:r>
        <w:rPr>
          <w:rFonts w:hint="eastAsia" w:ascii="方正仿宋_GBK" w:hAnsi="方正仿宋_GBK" w:eastAsia="方正仿宋_GBK" w:cs="方正仿宋_GBK"/>
          <w:sz w:val="28"/>
          <w:szCs w:val="28"/>
          <w:highlight w:val="none"/>
          <w:u w:val="single"/>
        </w:rPr>
        <w:t xml:space="preserve">   （应明确一次性支付合同款项的条件）                    </w:t>
      </w:r>
      <w:r/>
    </w:p>
    <w:p>
      <w:pPr>
        <w:ind w:firstLine="560"/>
        <w:spacing w:line="400" w:lineRule="exact"/>
        <w:rPr>
          <w:rFonts w:ascii="方正仿宋_GBK" w:hAnsi="方正仿宋_GBK" w:eastAsia="方正仿宋_GBK" w:cs="方正仿宋_GBK"/>
          <w:sz w:val="28"/>
          <w:szCs w:val="28"/>
          <w:highlight w:val="non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分期付款：</w:t>
      </w:r>
      <w:r>
        <w:rPr>
          <w:rFonts w:hint="eastAsia" w:ascii="方正仿宋_GBK" w:hAnsi="方正仿宋_GBK" w:eastAsia="方正仿宋_GBK" w:cs="方正仿宋_GBK"/>
          <w:sz w:val="28"/>
          <w:szCs w:val="28"/>
          <w:highlight w:val="none"/>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sz w:val="28"/>
          <w:szCs w:val="28"/>
          <w:highlight w:val="none"/>
        </w:rPr>
        <w:t xml:space="preserve">，其中涉及预付款的：</w:t>
      </w:r>
      <w:r>
        <w:rPr>
          <w:rFonts w:hint="eastAsia" w:ascii="方正仿宋_GBK" w:hAnsi="方正仿宋_GBK" w:eastAsia="方正仿宋_GBK" w:cs="方正仿宋_GBK"/>
          <w:sz w:val="28"/>
          <w:szCs w:val="28"/>
          <w:highlight w:val="none"/>
          <w:u w:val="single"/>
        </w:rPr>
        <w:t xml:space="preserve"> （应明确预付款的支付比例和支付条件） </w:t>
      </w:r>
      <w:r/>
    </w:p>
    <w:p>
      <w:pPr>
        <w:ind w:firstLine="560"/>
        <w:spacing w:line="400" w:lineRule="exact"/>
        <w:rPr>
          <w:rFonts w:ascii="方正仿宋_GBK" w:hAnsi="方正仿宋_GBK" w:eastAsia="方正仿宋_GBK" w:cs="方正仿宋_GBK"/>
          <w:sz w:val="28"/>
          <w:szCs w:val="28"/>
          <w:highlight w:val="none"/>
          <w:u w:val="single"/>
        </w:rPr>
      </w:pPr>
      <w:r>
        <w:rPr>
          <w:rFonts w:ascii="Wingdings" w:hAnsi="Wingdings" w:eastAsia="Wingdings" w:cs="Wingdings"/>
          <w:sz w:val="28"/>
          <w:szCs w:val="28"/>
          <w:highlight w:val="none"/>
          <w:u w:val="single"/>
        </w:rPr>
        <w:t xml:space="preserve">¨</w:t>
      </w:r>
      <w:r>
        <w:rPr>
          <w:rFonts w:hint="eastAsia" w:ascii="方正仿宋_GBK" w:hAnsi="方正仿宋_GBK" w:eastAsia="方正仿宋_GBK" w:cs="方正仿宋_GBK"/>
          <w:sz w:val="28"/>
          <w:szCs w:val="28"/>
          <w:highlight w:val="none"/>
          <w:u w:val="single"/>
        </w:rPr>
        <w:t xml:space="preserve">成本补偿：      （应明确按照成本补偿方式的支付方式和支付条件）   </w:t>
      </w:r>
      <w:r/>
    </w:p>
    <w:p>
      <w:pPr>
        <w:ind w:firstLine="560"/>
        <w:spacing w:line="400" w:lineRule="exact"/>
        <w:rPr>
          <w:rFonts w:ascii="方正仿宋_GBK" w:hAnsi="方正仿宋_GBK" w:eastAsia="方正仿宋_GBK" w:cs="方正仿宋_GBK"/>
          <w:sz w:val="28"/>
          <w:szCs w:val="28"/>
          <w:highlight w:val="none"/>
          <w:u w:val="single"/>
        </w:rPr>
      </w:pPr>
      <w:r>
        <w:rPr>
          <w:rFonts w:ascii="Wingdings" w:hAnsi="Wingdings" w:eastAsia="Wingdings" w:cs="Wingdings"/>
          <w:sz w:val="28"/>
          <w:szCs w:val="28"/>
          <w:highlight w:val="none"/>
          <w:u w:val="single"/>
        </w:rPr>
        <w:t xml:space="preserve">¨</w:t>
      </w:r>
      <w:r>
        <w:rPr>
          <w:rFonts w:hint="eastAsia" w:ascii="方正仿宋_GBK" w:hAnsi="方正仿宋_GBK" w:eastAsia="方正仿宋_GBK" w:cs="方正仿宋_GBK"/>
          <w:sz w:val="28"/>
          <w:szCs w:val="28"/>
          <w:highlight w:val="none"/>
          <w:u w:val="single"/>
        </w:rPr>
        <w:t xml:space="preserve">绩效激励：      （应明确按照绩效激励方式的支付方式和支付条件）   </w:t>
      </w:r>
      <w:r/>
    </w:p>
    <w:p>
      <w:pPr>
        <w:ind w:firstLine="562"/>
        <w:spacing w:line="400" w:lineRule="exact"/>
        <w:rPr>
          <w:rFonts w:ascii="方正仿宋_GBK" w:hAnsi="方正仿宋_GBK" w:eastAsia="方正仿宋_GBK" w:cs="方正仿宋_GBK"/>
          <w:b/>
          <w:sz w:val="28"/>
          <w:szCs w:val="28"/>
          <w:highlight w:val="none"/>
          <w:u w:val="single"/>
        </w:rPr>
      </w:pPr>
      <w:r>
        <w:rPr>
          <w:rFonts w:hint="eastAsia" w:ascii="方正仿宋_GBK" w:hAnsi="方正仿宋_GBK" w:eastAsia="方正仿宋_GBK" w:cs="方正仿宋_GBK"/>
          <w:b/>
          <w:sz w:val="28"/>
          <w:szCs w:val="28"/>
          <w:highlight w:val="none"/>
        </w:rPr>
        <w:t xml:space="preserve">3.合同履行</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（1）起始日期：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日，完成日期：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p>
    <w:p>
      <w:pPr>
        <w:ind w:firstLine="560"/>
        <w:spacing w:line="400" w:lineRule="exact"/>
        <w:rPr>
          <w:rFonts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（2）履约地点</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（3）履约担保：</w:t>
      </w:r>
      <w:r>
        <w:rPr>
          <w:rFonts w:hint="eastAsia" w:ascii="方正仿宋_GBK" w:hAnsi="方正仿宋_GBK" w:eastAsia="方正仿宋_GBK" w:cs="方正仿宋_GBK"/>
          <w:sz w:val="28"/>
          <w:szCs w:val="28"/>
          <w:highlight w:val="none"/>
        </w:rPr>
        <w:t xml:space="preserve">是否收取履约保证金：</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 </w:t>
      </w:r>
      <w:r>
        <w:rPr>
          <w:rFonts w:hint="eastAsia" w:ascii="方正仿宋_GBK" w:hAnsi="方正仿宋_GBK" w:eastAsia="方正仿宋_GBK" w:cs="方正仿宋_GBK"/>
          <w:sz w:val="28"/>
          <w:szCs w:val="28"/>
          <w:highlight w:val="none"/>
        </w:rPr>
        <w:t xml:space="preserve">收取履约保证金形式：</w:t>
      </w:r>
      <w:r>
        <w:rPr>
          <w:rFonts w:hint="eastAsia" w:ascii="方正仿宋_GBK" w:hAnsi="方正仿宋_GBK" w:eastAsia="方正仿宋_GBK" w:cs="方正仿宋_GBK"/>
          <w:bCs/>
          <w:sz w:val="28"/>
          <w:szCs w:val="28"/>
          <w:highlight w:val="none"/>
          <w:u w:val="single"/>
        </w:rPr>
        <w:t xml:space="preserve">                            </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收取履约保证金金额：</w:t>
      </w:r>
      <w:r>
        <w:rPr>
          <w:rFonts w:hint="eastAsia" w:ascii="方正仿宋_GBK" w:hAnsi="方正仿宋_GBK" w:eastAsia="方正仿宋_GBK" w:cs="方正仿宋_GBK"/>
          <w:bCs/>
          <w:sz w:val="28"/>
          <w:szCs w:val="28"/>
          <w:highlight w:val="none"/>
          <w:u w:val="single"/>
        </w:rPr>
        <w:t xml:space="preserve">                            </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 履约担保期限：</w:t>
      </w:r>
      <w:r>
        <w:rPr>
          <w:rFonts w:hint="eastAsia" w:ascii="方正仿宋_GBK" w:hAnsi="方正仿宋_GBK" w:eastAsia="方正仿宋_GBK" w:cs="方正仿宋_GBK"/>
          <w:bCs/>
          <w:sz w:val="28"/>
          <w:szCs w:val="28"/>
          <w:highlight w:val="none"/>
          <w:u w:val="single"/>
        </w:rPr>
        <w:t xml:space="preserve">                                  </w:t>
      </w:r>
      <w:r/>
    </w:p>
    <w:p>
      <w:pPr>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（4）分期履行要求：</w:t>
      </w:r>
      <w:r>
        <w:rPr>
          <w:rFonts w:hint="eastAsia" w:ascii="方正仿宋_GBK" w:hAnsi="方正仿宋_GBK" w:eastAsia="方正仿宋_GBK" w:cs="方正仿宋_GBK"/>
          <w:bCs/>
          <w:sz w:val="28"/>
          <w:szCs w:val="28"/>
          <w:highlight w:val="none"/>
          <w:u w:val="single"/>
        </w:rPr>
        <w:t xml:space="preserve">                                                        </w:t>
      </w:r>
      <w:r/>
    </w:p>
    <w:p>
      <w:pPr>
        <w:ind w:firstLine="560"/>
        <w:spacing w:line="400" w:lineRule="exact"/>
        <w:rPr>
          <w:rFonts w:hint="eastAsia" w:ascii="宋体" w:hAnsi="宋体" w:cs="宋体"/>
          <w:sz w:val="28"/>
          <w:szCs w:val="28"/>
          <w:highlight w:val="none"/>
          <w:u w:val="single"/>
        </w:rPr>
      </w:pPr>
      <w:r>
        <w:rPr>
          <w:rFonts w:hint="eastAsia" w:ascii="方正仿宋_GBK" w:hAnsi="方正仿宋_GBK" w:eastAsia="方正仿宋_GBK" w:cs="方正仿宋_GBK"/>
          <w:bCs/>
          <w:sz w:val="28"/>
          <w:szCs w:val="28"/>
          <w:highlight w:val="none"/>
        </w:rPr>
        <w:t xml:space="preserve">（5）风险处置措施和替代方案：</w:t>
      </w:r>
      <w:r>
        <w:rPr>
          <w:rFonts w:hint="eastAsia" w:ascii="方正仿宋_GBK" w:hAnsi="方正仿宋_GBK" w:eastAsia="方正仿宋_GBK" w:cs="方正仿宋_GBK"/>
          <w:color w:val="0000ff"/>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sz w:val="28"/>
          <w:szCs w:val="28"/>
          <w:highlight w:val="none"/>
          <w:u w:val="single"/>
        </w:rPr>
        <w:t xml:space="preserve">                                </w:t>
      </w:r>
      <w:r>
        <w:rPr>
          <w:rFonts w:hint="eastAsia" w:ascii="宋体" w:hAnsi="宋体" w:cs="宋体"/>
          <w:sz w:val="28"/>
          <w:szCs w:val="28"/>
          <w:highlight w:val="none"/>
          <w:u w:val="single"/>
        </w:rPr>
        <w:t xml:space="preserve"> </w:t>
      </w:r>
      <w:r/>
    </w:p>
    <w:p>
      <w:pPr>
        <w:ind w:firstLine="562"/>
        <w:spacing w:line="400" w:lineRule="exact"/>
        <w:rPr>
          <w:rFonts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4.合同验收</w:t>
      </w:r>
      <w:r/>
    </w:p>
    <w:p>
      <w:pPr>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（1）验收组织方式：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自行组织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委托第三方组织</w:t>
      </w:r>
      <w:r/>
    </w:p>
    <w:p>
      <w:pPr>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验收主体：</w:t>
      </w:r>
      <w:r>
        <w:rPr>
          <w:rFonts w:hint="eastAsia" w:ascii="方正仿宋_GBK" w:hAnsi="方正仿宋_GBK" w:eastAsia="方正仿宋_GBK" w:cs="方正仿宋_GBK"/>
          <w:bCs/>
          <w:sz w:val="28"/>
          <w:szCs w:val="28"/>
          <w:highlight w:val="none"/>
          <w:u w:val="single"/>
        </w:rPr>
        <w:t xml:space="preserve">                  </w:t>
      </w:r>
      <w:r/>
    </w:p>
    <w:p>
      <w:pPr>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是否邀请本项目的其他供应商参加验收：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p>
    <w:p>
      <w:pPr>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是否邀请专家参加验收：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p>
    <w:p>
      <w:pPr>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是否邀请服务对象参加验收：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p>
    <w:p>
      <w:pPr>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是否邀请第三方检测机构参加验收：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p>
    <w:p>
      <w:pPr>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是否进行抽查检测：</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是，抽查比例：</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p>
    <w:p>
      <w:pPr>
        <w:ind w:firstLine="560"/>
        <w:spacing w:line="400" w:lineRule="exact"/>
        <w:rPr>
          <w:rFonts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是否存在破坏性检测：</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w:t>
      </w:r>
      <w:r>
        <w:rPr>
          <w:rFonts w:hint="eastAsia" w:ascii="方正仿宋_GBK" w:hAnsi="方正仿宋_GBK" w:eastAsia="方正仿宋_GBK" w:cs="方正仿宋_GBK"/>
          <w:bCs/>
          <w:sz w:val="28"/>
          <w:szCs w:val="28"/>
          <w:highlight w:val="none"/>
          <w:u w:val="single"/>
        </w:rPr>
        <w:t xml:space="preserve">（应明确对被破坏的检测产品的处理方式）</w:t>
      </w:r>
      <w:r/>
    </w:p>
    <w:p>
      <w:pPr>
        <w:ind w:firstLine="560"/>
        <w:spacing w:line="400" w:lineRule="exact"/>
        <w:rPr>
          <w:rFonts w:ascii="方正仿宋_GBK" w:hAnsi="方正仿宋_GBK" w:eastAsia="方正仿宋_GBK" w:cs="方正仿宋_GBK"/>
          <w:bCs/>
          <w:sz w:val="28"/>
          <w:szCs w:val="28"/>
          <w:highlight w:val="non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p>
    <w:p>
      <w:pPr>
        <w:ind w:firstLine="560"/>
        <w:spacing w:line="400" w:lineRule="exact"/>
        <w:rPr>
          <w:rFonts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验收组织的其他事项：</w:t>
      </w:r>
      <w:r>
        <w:rPr>
          <w:rFonts w:hint="eastAsia" w:ascii="方正仿宋_GBK" w:hAnsi="方正仿宋_GBK" w:eastAsia="方正仿宋_GBK" w:cs="方正仿宋_GBK"/>
          <w:bCs/>
          <w:sz w:val="28"/>
          <w:szCs w:val="28"/>
          <w:highlight w:val="none"/>
          <w:u w:val="single"/>
        </w:rPr>
        <w:t xml:space="preserve">                </w:t>
      </w:r>
      <w:r/>
    </w:p>
    <w:p>
      <w:pPr>
        <w:ind w:firstLine="560"/>
        <w:spacing w:line="400" w:lineRule="exact"/>
        <w:rPr>
          <w:rFonts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（2）履约验收时间：</w:t>
      </w:r>
      <w:r>
        <w:rPr>
          <w:rFonts w:hint="eastAsia" w:ascii="方正仿宋_GBK" w:hAnsi="方正仿宋_GBK" w:eastAsia="方正仿宋_GBK" w:cs="方正仿宋_GBK"/>
          <w:bCs/>
          <w:sz w:val="28"/>
          <w:szCs w:val="28"/>
          <w:highlight w:val="none"/>
          <w:u w:val="single"/>
        </w:rPr>
        <w:t xml:space="preserve">（计划于何时验收/供应商提出验收申请之日起   日内组织验收） </w:t>
      </w:r>
      <w:r/>
    </w:p>
    <w:p>
      <w:pPr>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（3）履约验收方式：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一次性验收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分期/分项验收：</w:t>
      </w:r>
      <w:r>
        <w:rPr>
          <w:rFonts w:hint="eastAsia" w:ascii="方正仿宋_GBK" w:hAnsi="方正仿宋_GBK" w:eastAsia="方正仿宋_GBK" w:cs="方正仿宋_GBK"/>
          <w:bCs/>
          <w:sz w:val="28"/>
          <w:szCs w:val="28"/>
          <w:highlight w:val="none"/>
          <w:u w:val="single"/>
        </w:rPr>
        <w:t xml:space="preserve"> （应明确分期</w:t>
      </w:r>
      <w:r>
        <w:rPr>
          <w:rFonts w:hint="eastAsia" w:ascii="方正仿宋_GBK" w:hAnsi="方正仿宋_GBK" w:eastAsia="方正仿宋_GBK" w:cs="方正仿宋_GBK"/>
          <w:bCs/>
          <w:sz w:val="28"/>
          <w:szCs w:val="28"/>
          <w:highlight w:val="none"/>
          <w:u w:val="single"/>
          <w:lang w:val="en"/>
        </w:rPr>
        <w:t xml:space="preserve">/分项验收的工作安排</w:t>
      </w:r>
      <w:r>
        <w:rPr>
          <w:rFonts w:hint="eastAsia" w:ascii="方正仿宋_GBK" w:hAnsi="方正仿宋_GBK" w:eastAsia="方正仿宋_GBK" w:cs="方正仿宋_GBK"/>
          <w:bCs/>
          <w:sz w:val="28"/>
          <w:szCs w:val="28"/>
          <w:highlight w:val="none"/>
          <w:u w:val="single"/>
        </w:rPr>
        <w:t xml:space="preserve">）  </w:t>
      </w:r>
      <w:r/>
    </w:p>
    <w:p>
      <w:pPr>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（4）履约验收程序：</w:t>
      </w:r>
      <w:r>
        <w:rPr>
          <w:rFonts w:hint="eastAsia" w:ascii="方正仿宋_GBK" w:hAnsi="方正仿宋_GBK" w:eastAsia="方正仿宋_GBK" w:cs="方正仿宋_GBK"/>
          <w:bCs/>
          <w:sz w:val="28"/>
          <w:szCs w:val="28"/>
          <w:highlight w:val="none"/>
          <w:u w:val="single"/>
        </w:rPr>
        <w:t xml:space="preserve">                                         </w:t>
      </w:r>
      <w:r/>
    </w:p>
    <w:p>
      <w:pPr>
        <w:ind w:firstLine="560"/>
        <w:spacing w:line="400" w:lineRule="exact"/>
        <w:rPr>
          <w:rFonts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（5）履约验收的内容：</w:t>
      </w:r>
      <w:r>
        <w:rPr>
          <w:rFonts w:hint="eastAsia" w:ascii="方正仿宋_GBK" w:hAnsi="方正仿宋_GBK" w:eastAsia="方正仿宋_GBK" w:cs="方正仿宋_GBK"/>
          <w:bCs/>
          <w:sz w:val="28"/>
          <w:szCs w:val="28"/>
          <w:highlight w:val="none"/>
          <w:u w:val="single"/>
        </w:rPr>
        <w:t xml:space="preserve"> （应当包括每一项技术和商务要求的履约情况，特别是落实政府采购扶持中小企业，支持绿色发展和乡村振兴等政策情况）                                      </w:t>
      </w:r>
      <w:r/>
    </w:p>
    <w:p>
      <w:pPr>
        <w:ind w:firstLine="560"/>
        <w:spacing w:line="400" w:lineRule="exact"/>
        <w:rPr>
          <w:rFonts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（6）履约验收标准：</w:t>
      </w:r>
      <w:r>
        <w:rPr>
          <w:rFonts w:hint="eastAsia" w:ascii="方正仿宋_GBK" w:hAnsi="方正仿宋_GBK" w:eastAsia="方正仿宋_GBK" w:cs="方正仿宋_GBK"/>
          <w:bCs/>
          <w:sz w:val="28"/>
          <w:szCs w:val="28"/>
          <w:highlight w:val="none"/>
          <w:u w:val="single"/>
        </w:rPr>
        <w:t xml:space="preserve">                                         </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（7）是否以采购活动中供应商提供的样品作为参考：</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p>
    <w:p>
      <w:pPr>
        <w:ind w:firstLine="560"/>
        <w:spacing w:line="400" w:lineRule="exact"/>
        <w:rPr>
          <w:rFonts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（8）履约验收其他事项：</w:t>
      </w:r>
      <w:r>
        <w:rPr>
          <w:rFonts w:hint="eastAsia" w:ascii="方正仿宋_GBK" w:hAnsi="方正仿宋_GBK" w:eastAsia="方正仿宋_GBK" w:cs="方正仿宋_GBK"/>
          <w:bCs/>
          <w:sz w:val="28"/>
          <w:szCs w:val="28"/>
          <w:highlight w:val="none"/>
          <w:u w:val="single"/>
        </w:rPr>
        <w:t xml:space="preserve">      （产权过户登记等）          </w:t>
      </w:r>
      <w:r/>
    </w:p>
    <w:p>
      <w:pPr>
        <w:ind w:firstLine="562"/>
        <w:spacing w:line="400" w:lineRule="exact"/>
        <w:rPr>
          <w:rFonts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5.组成合同的文件</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本协议书与下列文件一起构成合同文件，如下述文件之间有任何抵触、矛盾或歧义，应按以下顺序解释：</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（1）政府采购合同协议书及其变更、补充协议</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（2）政府采购合同专用条款</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（3）政府采购合同通用条款</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（4）中标（成交）通知书</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（5）投标（响应）文件</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（6）采购文件</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（7）有关技术文件，图纸</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rPr>
          <w:rFonts w:hint="eastAsia" w:ascii="方正仿宋_GBK" w:hAnsi="方正仿宋_GBK" w:eastAsia="方正仿宋_GBK" w:cs="方正仿宋_GBK"/>
          <w:color w:val="000000"/>
          <w:sz w:val="28"/>
          <w:szCs w:val="28"/>
          <w:highlight w:val="none"/>
        </w:rPr>
        <w:t xml:space="preserve">国家法律、行政法规和规章制度规定或合同约定的作为合同组成部分的其他文件</w:t>
      </w:r>
      <w:r/>
    </w:p>
    <w:p>
      <w:pPr>
        <w:ind w:firstLine="562"/>
        <w:spacing w:line="400" w:lineRule="exact"/>
        <w:rPr>
          <w:rFonts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6.合同生效</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本合同自</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生效。</w:t>
      </w:r>
      <w:r/>
    </w:p>
    <w:p>
      <w:pPr>
        <w:ind w:firstLine="562"/>
        <w:spacing w:line="400" w:lineRule="exact"/>
        <w:rPr>
          <w:rFonts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7.合同份数</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本合同一式</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份，甲方执</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份，乙方执</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份，均具有同等法律效力。</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合同订立时间：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合同订立地点：</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sz w:val="28"/>
          <w:szCs w:val="28"/>
          <w:highlight w:val="none"/>
        </w:rPr>
        <w:t xml:space="preserve">附件：具体标的及其技术要求和商务要求、联合协议、分包意向协议等</w:t>
      </w:r>
      <w:r>
        <w:rPr>
          <w:rFonts w:hint="eastAsia" w:ascii="方正仿宋_GBK" w:hAnsi="方正仿宋_GBK" w:eastAsia="方正仿宋_GBK" w:cs="方正仿宋_GBK"/>
          <w:sz w:val="28"/>
          <w:szCs w:val="28"/>
          <w:highlight w:val="none"/>
          <w:lang w:val="en"/>
        </w:rPr>
        <w:t xml:space="preserve">   </w:t>
      </w:r>
      <w:r/>
    </w:p>
    <w:p>
      <w:pPr>
        <w:pStyle w:val="1032"/>
        <w:spacing w:line="400" w:lineRule="exact"/>
        <w:rPr>
          <w:sz w:val="28"/>
          <w:szCs w:val="28"/>
          <w:highlight w:val="none"/>
          <w:lang w:eastAsia="zh-CN"/>
        </w:rPr>
      </w:pPr>
      <w:r>
        <w:rPr>
          <w:sz w:val="28"/>
          <w:szCs w:val="28"/>
          <w:highlight w:val="none"/>
          <w:lang w:eastAsia="zh-CN"/>
        </w:rPr>
      </w:r>
      <w:r/>
    </w:p>
    <w:tbl>
      <w:tblPr>
        <w:tblStyle w:val="782"/>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3"/>
        <w:gridCol w:w="3431"/>
        <w:gridCol w:w="938"/>
        <w:gridCol w:w="2666"/>
      </w:tblGrid>
      <w:tr>
        <w:trPr>
          <w:trHeight w:val="490"/>
        </w:trPr>
        <w:tc>
          <w:tcPr>
            <w:gridSpan w:val="2"/>
            <w:tcW w:w="4672"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甲方（采购人、受采购人委托签订合同的单位或采购文件约定的合同甲方）</w:t>
            </w:r>
            <w:r/>
          </w:p>
        </w:tc>
        <w:tc>
          <w:tcPr>
            <w:gridSpan w:val="2"/>
            <w:tcW w:w="369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乙方（供应商）</w:t>
            </w:r>
            <w:r/>
          </w:p>
        </w:tc>
      </w:tr>
      <w:tr>
        <w:trPr>
          <w:trHeight w:val="917"/>
        </w:trPr>
        <w:tc>
          <w:tcPr>
            <w:tcW w:w="112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单位名称（公章或合同章）</w:t>
            </w:r>
            <w:r/>
          </w:p>
        </w:tc>
        <w:tc>
          <w:tcPr>
            <w:tcW w:w="166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44"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单位名称（公章或合同章）</w:t>
            </w:r>
            <w:r/>
          </w:p>
        </w:tc>
        <w:tc>
          <w:tcPr>
            <w:tcW w:w="1264" w:type="dxa"/>
            <w:vAlign w:val="center"/>
            <w:textDirection w:val="lrTb"/>
            <w:noWrap w:val="false"/>
          </w:tcPr>
          <w:p>
            <w:pPr>
              <w:jc w:val="center"/>
              <w:spacing w:line="400" w:lineRule="exact"/>
              <w:rPr>
                <w:rFonts w:ascii="方正仿宋_GBK" w:hAnsi="方正仿宋_GBK" w:eastAsia="方正仿宋_GBK" w:cs="方正仿宋_GBK"/>
                <w:spacing w:val="20"/>
                <w:sz w:val="28"/>
                <w:szCs w:val="28"/>
                <w:highlight w:val="none"/>
              </w:rPr>
            </w:pPr>
            <w:r>
              <w:rPr>
                <w:rFonts w:ascii="方正仿宋_GBK" w:hAnsi="方正仿宋_GBK" w:eastAsia="方正仿宋_GBK" w:cs="方正仿宋_GBK"/>
                <w:spacing w:val="20"/>
                <w:sz w:val="28"/>
                <w:szCs w:val="28"/>
                <w:highlight w:val="none"/>
              </w:rPr>
            </w:r>
            <w:r/>
          </w:p>
        </w:tc>
      </w:tr>
      <w:tr>
        <w:trPr>
          <w:trHeight w:val="1171"/>
        </w:trPr>
        <w:tc>
          <w:tcPr>
            <w:tcW w:w="1125" w:type="dxa"/>
            <w:vAlign w:val="center"/>
            <w:vMerge w:val="restart"/>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法定代表人</w:t>
            </w:r>
            <w:r/>
          </w:p>
          <w:p>
            <w:pPr>
              <w:ind w:firstLine="134"/>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或其委托代理人（签章）</w:t>
            </w:r>
            <w:r/>
          </w:p>
        </w:tc>
        <w:tc>
          <w:tcPr>
            <w:tcW w:w="1666" w:type="dxa"/>
            <w:vAlign w:val="center"/>
            <w:vMerge w:val="restart"/>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44"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法定代表人</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或其委托代理人（签章）</w:t>
            </w:r>
            <w:r/>
          </w:p>
        </w:tc>
        <w:tc>
          <w:tcPr>
            <w:tcW w:w="1264"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483"/>
        </w:trPr>
        <w:tc>
          <w:tcPr>
            <w:tcW w:w="1125" w:type="dxa"/>
            <w:vAlign w:val="center"/>
            <w:vMerge w:val="continue"/>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666" w:type="dxa"/>
            <w:vAlign w:val="center"/>
            <w:vMerge w:val="continue"/>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44"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拥有者性别</w:t>
            </w:r>
            <w:r/>
          </w:p>
        </w:tc>
        <w:tc>
          <w:tcPr>
            <w:tcW w:w="1264" w:type="dxa"/>
            <w:vAlign w:val="center"/>
            <w:textDirection w:val="lrTb"/>
            <w:noWrap w:val="false"/>
          </w:tcPr>
          <w:p>
            <w:pPr>
              <w:jc w:val="center"/>
              <w:spacing w:line="400" w:lineRule="exact"/>
              <w:rPr>
                <w:rFonts w:ascii="方正仿宋_GBK" w:hAnsi="方正仿宋_GBK" w:eastAsia="方正仿宋_GBK" w:cs="方正仿宋_GBK"/>
                <w:spacing w:val="20"/>
                <w:sz w:val="28"/>
                <w:szCs w:val="28"/>
                <w:highlight w:val="none"/>
              </w:rPr>
            </w:pPr>
            <w:r>
              <w:rPr>
                <w:rFonts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住  所</w:t>
            </w:r>
            <w:r/>
          </w:p>
        </w:tc>
        <w:tc>
          <w:tcPr>
            <w:tcW w:w="166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44"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住  所</w:t>
            </w:r>
            <w:r/>
          </w:p>
        </w:tc>
        <w:tc>
          <w:tcPr>
            <w:tcW w:w="1264" w:type="dxa"/>
            <w:vAlign w:val="center"/>
            <w:textDirection w:val="lrTb"/>
            <w:noWrap w:val="false"/>
          </w:tcPr>
          <w:p>
            <w:pPr>
              <w:jc w:val="center"/>
              <w:spacing w:line="400" w:lineRule="exact"/>
              <w:rPr>
                <w:rFonts w:ascii="方正仿宋_GBK" w:hAnsi="方正仿宋_GBK" w:eastAsia="方正仿宋_GBK" w:cs="方正仿宋_GBK"/>
                <w:spacing w:val="20"/>
                <w:sz w:val="28"/>
                <w:szCs w:val="28"/>
                <w:highlight w:val="none"/>
              </w:rPr>
            </w:pPr>
            <w:r>
              <w:rPr>
                <w:rFonts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 系 人</w:t>
            </w:r>
            <w:r/>
          </w:p>
        </w:tc>
        <w:tc>
          <w:tcPr>
            <w:tcW w:w="166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44"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 系 人</w:t>
            </w:r>
            <w:r/>
          </w:p>
        </w:tc>
        <w:tc>
          <w:tcPr>
            <w:tcW w:w="1264" w:type="dxa"/>
            <w:vAlign w:val="center"/>
            <w:textDirection w:val="lrTb"/>
            <w:noWrap w:val="false"/>
          </w:tcPr>
          <w:p>
            <w:pPr>
              <w:jc w:val="center"/>
              <w:spacing w:line="400" w:lineRule="exact"/>
              <w:rPr>
                <w:rFonts w:ascii="方正仿宋_GBK" w:hAnsi="方正仿宋_GBK" w:eastAsia="方正仿宋_GBK" w:cs="方正仿宋_GBK"/>
                <w:spacing w:val="20"/>
                <w:sz w:val="28"/>
                <w:szCs w:val="28"/>
                <w:highlight w:val="none"/>
              </w:rPr>
            </w:pPr>
            <w:r>
              <w:rPr>
                <w:rFonts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p>
        </w:tc>
        <w:tc>
          <w:tcPr>
            <w:tcW w:w="166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44"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p>
        </w:tc>
        <w:tc>
          <w:tcPr>
            <w:tcW w:w="1264" w:type="dxa"/>
            <w:vAlign w:val="center"/>
            <w:textDirection w:val="lrTb"/>
            <w:noWrap w:val="false"/>
          </w:tcPr>
          <w:p>
            <w:pPr>
              <w:jc w:val="center"/>
              <w:spacing w:line="400" w:lineRule="exact"/>
              <w:rPr>
                <w:rFonts w:ascii="方正仿宋_GBK" w:hAnsi="方正仿宋_GBK" w:eastAsia="方正仿宋_GBK" w:cs="方正仿宋_GBK"/>
                <w:spacing w:val="20"/>
                <w:sz w:val="28"/>
                <w:szCs w:val="28"/>
                <w:highlight w:val="none"/>
              </w:rPr>
            </w:pPr>
            <w:r>
              <w:rPr>
                <w:rFonts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通信地址</w:t>
            </w:r>
            <w:r/>
          </w:p>
        </w:tc>
        <w:tc>
          <w:tcPr>
            <w:tcW w:w="166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44"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通信地址</w:t>
            </w:r>
            <w:r/>
          </w:p>
        </w:tc>
        <w:tc>
          <w:tcPr>
            <w:tcW w:w="1264" w:type="dxa"/>
            <w:vAlign w:val="center"/>
            <w:textDirection w:val="lrTb"/>
            <w:noWrap w:val="false"/>
          </w:tcPr>
          <w:p>
            <w:pPr>
              <w:jc w:val="center"/>
              <w:spacing w:line="400" w:lineRule="exact"/>
              <w:rPr>
                <w:rFonts w:ascii="方正仿宋_GBK" w:hAnsi="方正仿宋_GBK" w:eastAsia="方正仿宋_GBK" w:cs="方正仿宋_GBK"/>
                <w:spacing w:val="20"/>
                <w:sz w:val="28"/>
                <w:szCs w:val="28"/>
                <w:highlight w:val="none"/>
              </w:rPr>
            </w:pPr>
            <w:r>
              <w:rPr>
                <w:rFonts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邮政编码</w:t>
            </w:r>
            <w:r/>
          </w:p>
        </w:tc>
        <w:tc>
          <w:tcPr>
            <w:tcW w:w="166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44"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邮政编码</w:t>
            </w:r>
            <w:r/>
          </w:p>
        </w:tc>
        <w:tc>
          <w:tcPr>
            <w:tcW w:w="1264" w:type="dxa"/>
            <w:vAlign w:val="center"/>
            <w:textDirection w:val="lrTb"/>
            <w:noWrap w:val="false"/>
          </w:tcPr>
          <w:p>
            <w:pPr>
              <w:jc w:val="center"/>
              <w:spacing w:line="400" w:lineRule="exact"/>
              <w:rPr>
                <w:rFonts w:ascii="方正仿宋_GBK" w:hAnsi="方正仿宋_GBK" w:eastAsia="方正仿宋_GBK" w:cs="方正仿宋_GBK"/>
                <w:spacing w:val="20"/>
                <w:sz w:val="28"/>
                <w:szCs w:val="28"/>
                <w:highlight w:val="none"/>
              </w:rPr>
            </w:pPr>
            <w:r>
              <w:rPr>
                <w:rFonts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电子邮箱</w:t>
            </w:r>
            <w:r/>
          </w:p>
        </w:tc>
        <w:tc>
          <w:tcPr>
            <w:tcW w:w="166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44"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电子邮箱</w:t>
            </w:r>
            <w:r/>
          </w:p>
        </w:tc>
        <w:tc>
          <w:tcPr>
            <w:tcW w:w="1264" w:type="dxa"/>
            <w:vAlign w:val="center"/>
            <w:textDirection w:val="lrTb"/>
            <w:noWrap w:val="false"/>
          </w:tcPr>
          <w:p>
            <w:pPr>
              <w:jc w:val="center"/>
              <w:spacing w:line="400" w:lineRule="exact"/>
              <w:rPr>
                <w:rFonts w:ascii="方正仿宋_GBK" w:hAnsi="方正仿宋_GBK" w:eastAsia="方正仿宋_GBK" w:cs="方正仿宋_GBK"/>
                <w:spacing w:val="20"/>
                <w:sz w:val="28"/>
                <w:szCs w:val="28"/>
                <w:highlight w:val="none"/>
              </w:rPr>
            </w:pPr>
            <w:r>
              <w:rPr>
                <w:rFonts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统一社会信用代码</w:t>
            </w:r>
            <w:r/>
          </w:p>
        </w:tc>
        <w:tc>
          <w:tcPr>
            <w:tcW w:w="166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44"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统一社会信用代码</w:t>
            </w:r>
            <w:r/>
          </w:p>
        </w:tc>
        <w:tc>
          <w:tcPr>
            <w:tcW w:w="1264" w:type="dxa"/>
            <w:vAlign w:val="center"/>
            <w:textDirection w:val="lrTb"/>
            <w:noWrap w:val="false"/>
          </w:tcPr>
          <w:p>
            <w:pPr>
              <w:jc w:val="center"/>
              <w:spacing w:line="400" w:lineRule="exact"/>
              <w:rPr>
                <w:rFonts w:ascii="方正仿宋_GBK" w:hAnsi="方正仿宋_GBK" w:eastAsia="方正仿宋_GBK" w:cs="方正仿宋_GBK"/>
                <w:spacing w:val="20"/>
                <w:sz w:val="28"/>
                <w:szCs w:val="28"/>
                <w:highlight w:val="none"/>
              </w:rPr>
            </w:pPr>
            <w:r>
              <w:rPr>
                <w:rFonts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66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44"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开户名称</w:t>
            </w:r>
            <w:r/>
          </w:p>
        </w:tc>
        <w:tc>
          <w:tcPr>
            <w:tcW w:w="1264" w:type="dxa"/>
            <w:vAlign w:val="center"/>
            <w:textDirection w:val="lrTb"/>
            <w:noWrap w:val="false"/>
          </w:tcPr>
          <w:p>
            <w:pPr>
              <w:jc w:val="center"/>
              <w:spacing w:line="400" w:lineRule="exact"/>
              <w:rPr>
                <w:rFonts w:ascii="方正仿宋_GBK" w:hAnsi="方正仿宋_GBK" w:eastAsia="方正仿宋_GBK" w:cs="方正仿宋_GBK"/>
                <w:spacing w:val="20"/>
                <w:sz w:val="28"/>
                <w:szCs w:val="28"/>
                <w:highlight w:val="none"/>
              </w:rPr>
            </w:pPr>
            <w:r>
              <w:rPr>
                <w:rFonts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66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44"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开户银行</w:t>
            </w:r>
            <w:r/>
          </w:p>
        </w:tc>
        <w:tc>
          <w:tcPr>
            <w:tcW w:w="1264" w:type="dxa"/>
            <w:vAlign w:val="center"/>
            <w:textDirection w:val="lrTb"/>
            <w:noWrap w:val="false"/>
          </w:tcPr>
          <w:p>
            <w:pPr>
              <w:jc w:val="center"/>
              <w:spacing w:line="400" w:lineRule="exact"/>
              <w:rPr>
                <w:rFonts w:ascii="方正仿宋_GBK" w:hAnsi="方正仿宋_GBK" w:eastAsia="方正仿宋_GBK" w:cs="方正仿宋_GBK"/>
                <w:spacing w:val="20"/>
                <w:sz w:val="28"/>
                <w:szCs w:val="28"/>
                <w:highlight w:val="none"/>
              </w:rPr>
            </w:pPr>
            <w:r>
              <w:rPr>
                <w:rFonts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66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44"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银行账号</w:t>
            </w:r>
            <w:r/>
          </w:p>
        </w:tc>
        <w:tc>
          <w:tcPr>
            <w:tcW w:w="1264" w:type="dxa"/>
            <w:vAlign w:val="center"/>
            <w:textDirection w:val="lrTb"/>
            <w:noWrap w:val="false"/>
          </w:tcPr>
          <w:p>
            <w:pPr>
              <w:jc w:val="center"/>
              <w:spacing w:line="400" w:lineRule="exact"/>
              <w:rPr>
                <w:rFonts w:ascii="方正仿宋_GBK" w:hAnsi="方正仿宋_GBK" w:eastAsia="方正仿宋_GBK" w:cs="方正仿宋_GBK"/>
                <w:spacing w:val="20"/>
                <w:sz w:val="28"/>
                <w:szCs w:val="28"/>
                <w:highlight w:val="none"/>
              </w:rPr>
            </w:pPr>
            <w:r>
              <w:rPr>
                <w:rFonts w:ascii="方正仿宋_GBK" w:hAnsi="方正仿宋_GBK" w:eastAsia="方正仿宋_GBK" w:cs="方正仿宋_GBK"/>
                <w:spacing w:val="20"/>
                <w:sz w:val="28"/>
                <w:szCs w:val="28"/>
                <w:highlight w:val="none"/>
              </w:rPr>
            </w:r>
            <w:r/>
          </w:p>
        </w:tc>
      </w:tr>
      <w:tr>
        <w:trPr>
          <w:trHeight w:val="586"/>
        </w:trPr>
        <w:tc>
          <w:tcPr>
            <w:gridSpan w:val="4"/>
            <w:tcW w:w="8371" w:type="dxa"/>
            <w:vAlign w:val="center"/>
            <w:textDirection w:val="lrTb"/>
            <w:noWrap w:val="false"/>
          </w:tcPr>
          <w:p>
            <w:pPr>
              <w:pStyle w:val="984"/>
              <w:ind w:left="0"/>
              <w:jc w:val="left"/>
              <w:spacing w:before="156" w:after="0" w:line="400" w:lineRule="exact"/>
              <w:rPr>
                <w:rFonts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z w:val="28"/>
                <w:szCs w:val="28"/>
                <w:highlight w:val="none"/>
              </w:rPr>
              <w:t xml:space="preserve">注：涉及联合体或其他合同主体的信息应按上表格式加列。</w:t>
            </w:r>
            <w:r/>
          </w:p>
        </w:tc>
      </w:tr>
    </w:tbl>
    <w:p>
      <w:pPr>
        <w:pStyle w:val="953"/>
        <w:spacing w:line="400" w:lineRule="exact"/>
        <w:rPr>
          <w:rFonts w:hint="eastAsia" w:ascii="黑体" w:hAnsi="黑体" w:eastAsia="黑体"/>
          <w:sz w:val="28"/>
          <w:szCs w:val="28"/>
          <w:highlight w:val="none"/>
        </w:rPr>
      </w:pPr>
      <w:r>
        <w:rPr>
          <w:rFonts w:ascii="宋体" w:hAnsi="宋体"/>
          <w:sz w:val="28"/>
          <w:szCs w:val="28"/>
          <w:highlight w:val="none"/>
          <w:u w:val="single"/>
        </w:rPr>
        <w:br w:type="page" w:clear="all"/>
      </w:r>
      <w:r>
        <w:rPr>
          <w:rFonts w:hint="eastAsia" w:ascii="黑体" w:hAnsi="黑体" w:eastAsia="黑体"/>
          <w:b w:val="0"/>
          <w:bCs w:val="0"/>
          <w:sz w:val="28"/>
          <w:szCs w:val="28"/>
          <w:highlight w:val="none"/>
        </w:rPr>
        <w:t xml:space="preserve">第二节 政府采购合同通用条款</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 定义</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1.1合同当事人</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（1）采购人（以下称甲方）是指使用财政性资金，通过政府采购方式向供应商购买货物及其相关服务的国家机关、事业单位、团体组织。</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（2）供应商（以下称乙方）是指参加政府采购活动并且中标（成交），向采购人提供合同约定的货物及其相关服务的法人、非法人组织或者自然人。</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（3）其他合同主体是指除采购人和供应商以外，依法参与合同缔结或履行，享有权利、承担义务的合同当事人。</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1.2本合同下列术语应解释为：</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（2）“合同价款”系指根据本合同规定乙方在全面履行合同义务后甲方应支付给乙方的价款。</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技术资料和材料等。</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（4）“相关服务”系指根据合同规定，乙方应提供的与货物有关的技术、管理和</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义务。</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（5）“分包”系指中标（成交）供应商按采购文件、投标（响应）文件的规定，根据分包意向协议，将中标（成交）项目中的部分履约内容，分给具有相应资质条件的供应商履行合同的行为。</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（7）其他术语解释，见【政府采购合同专用条款】。</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合同标的及金额</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任何费用。</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 履行合同的时间、地点和方式</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 乙方应当在约定的时间、地点，按照约定方式履行合同。</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 甲方的权利和义务</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4.2 甲方有权要求乙方按时提交各阶段有关安排计划，并有权定期核对乙方提供货物数量、规格、质量等内容。甲方有权督促乙方工作并要求乙方更换不符合要求的货物。</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4.3 甲方有权要求乙方对缺陷部分予以修复，并按合同约定享有货物保修及其他合同约定的权利。</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4.4 甲方应当按照合同约定及时对交付的货物进行验收，未在【政府采购合同专用条款】约定的期限内对乙方履约提出任何异议或者向乙方作出任何说明的，视为验收通过。</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4.5 甲方应当根据合同约定及时向乙方支付合同价款，不得以内部人员变更、履行内部付款流程等为由，拒绝或迟延支付。</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4.6 国家法律法规规定及【政府采购合同专用条款】约定应由甲方承担的其他义务和责任。</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 乙方的权利和义务</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5.1 签署合同后，乙方应确定项目负责人（或项目联系人），负责与本合同有关的事务。</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5.3乙方有权根据合同约定向甲方收取合同价款。</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5.4国家法律法规规定及【政府采购合同专用条款】约定应由乙方承担的其他义务和责任。</w:t>
      </w:r>
      <w:r/>
    </w:p>
    <w:p>
      <w:pPr>
        <w:pStyle w:val="1064"/>
        <w:numPr>
          <w:ilvl w:val="0"/>
          <w:numId w:val="5"/>
        </w:numPr>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合同履行</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 甲乙双方应当按照【政府采购合同专用条款】约定顺序履行合同义务；如果没有先后顺序的，应当同时履行。</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 货物包装、运输、保险和交付要求</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 除【政府采购合同专用条款】另有约定外，乙方负责办理将货物运抵本合同规定的交货地点，并装卸、交付至甲方的一切运输事项，相关费用应包含在合同价款中。</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 货物保险要求按【政府采购合同专用条款】规定执行。</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7.5 乙方在运输到达之前应提前通知甲方，并提示货物运输装卸的注意事项，甲方配合乙方做好货物的接收工作。</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7.6 如因包装、运输问题导致货物损毁、丢失或者品质下降，甲方有权要求降价、换货、拒收部分或整批货物，由此产生的费用和损失，均由乙方承担。</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 质量标准和保证</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8.1 质量标准</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（2）采用中华人民共和国法定计量单位。</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（3）乙方所提供的货物应符合国家有关安全、环保、卫生的规定。</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（4）乙方应向甲方提交所提供货物的技术文件，包括相应的中文技术文件，如：产品目录、图纸、操作手册、使用说明、维护手册或服务指南等。上述文件应包装好随货物一同发运。</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8.2 保证</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（2）在质量保证期内所发现的缺陷，甲方应尽快以书面形式通知乙方。</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（3）乙方收到通知后，应在【政府采购合同专用条款】规定的响应时间内以合理的速度免费维修或更换有缺陷的货物或部件。</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（5）乙方在约定的时间内未能弥补缺陷，甲方可采取必要的补救措施，但其风险和费用将由乙方承担，甲方根据合同约定对乙方行使的其他权利不受影响。</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 权利瑕疵担保</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9.1 乙方保证对其出售的货物享有合法的权利。</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9.2 乙方保证在交付的货物上不存在抵押权等担保物权。</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9.3 如甲方使用上述货物构成对第三人侵权的，则由乙方承担全部责任。</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 知识产权保护</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保密义务</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 合同价款支付</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12.1 合同价款支付按照国库集中支付制度及财政管理相关规定执行。</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 履约保证金</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13.1 乙方应当以支票、汇票、本票或者金融机构、担保机构出具的保函等非现金形式提交。</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 售后服务</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14.1 除项目不涉及或采购活动中明确约定无须承担外，乙方还应提供下列服务：</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（1）货物的现场移动、安装、调试、启动监督及技术支持；</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（2）提供货物组装和维修所需的专用工具和辅助材料；</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（3）在【政府采购合同专用条款】约定的期限内对所有的货物实施运行监督、维修，但前提条件是该服务并不能免除乙方在质量保证期内所承担的义务；</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（4）在制造商所在地或指定现场就货物的安装、启动、运营、维护、废弃处置等对甲方操作人员进行培训；</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（5）依照法律、行政法规的规定或者按照【政府采购合同专用条款】约定，货物在有效使用年限届满后应予回收的，乙方负有自行或者委托第三人对货物予以回收的义务；</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（6）【政府采购合同专用条款】规定由乙方提供的其他服务。</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14.2 乙方提供的售后服务的费用已包含在合同价款中，甲方不再另行支付。</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 违约责任</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15.1质量瑕疵的违约责任</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乙方提供的产品不符合合同约定的质量标准或存在产品质量缺陷，甲方有权要求乙方根据【政府采购合同专用条款】要求及时修理、重作、更换，并承担由此给甲方造成的损失。</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15.2 迟延交货的违约责任</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15.3 迟延支付的违约责任</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甲方存在迟延支付乙方合同款项的，应当承担【政府采购合同专用条款】规定的逾期付款利息。</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15.4其他违约责任根据项目实际需要按【政府采购合同专用条款】规定执行。</w:t>
      </w:r>
      <w:r/>
    </w:p>
    <w:p>
      <w:pPr>
        <w:pStyle w:val="1064"/>
        <w:numPr>
          <w:ilvl w:val="0"/>
          <w:numId w:val="6"/>
        </w:numPr>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合同变更、中止与终止</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16.1合同的变更</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政府采购合同履行中，在不改变合同其他条款的前提下，甲方可以在合同价款10%的范围内追加与合同标的相同的货物，并就此与乙方协商一致后签订补充协议。</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16.2合同的中止</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（1）合同履行过程中因供应商就采购文件、采购过程或结果提起投诉的，甲方认为有必要的，可以中止合同的履行。</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（4）甲方不得以行政区划调整、政府换届、机构或者职能调整以及相关责任人更替为由中止合同。</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16.3合同的终止</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（1）合同因有效期限届满而终止；</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（2）乙方未按合同约定履行，构成根本性违约的，甲方有权终止合同，并追究乙方的违约责任。</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16.4 涉及国家利益、社会公共利益的情形</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1064"/>
        <w:numPr>
          <w:ilvl w:val="0"/>
          <w:numId w:val="7"/>
        </w:numPr>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合同分包</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17.1 乙方不得将合同转包给其他供应商。涉及合同分包的，乙方应根据采购文件和投标（响应）文件规定进行合同分包。</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17.2 乙方执行政府采购政策向中小企业依法分包的，乙方应当按采购文件和投标（响应）文件签订分包意向协议，分包意向协议属于本合同组成部分。</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 不可抗力</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18.1 不可抗力是指合同双方不能预见、不能避免且不能克服的客观情况。</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18.2 任何一方对由于不可抗力造成的部分或全部不能履行合同不承担违约责任。但迟延履行后发生不可抗力的，不能免除责任。</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 解决争议的方法</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19.3 如甲乙双方有争议的事项不影响合同其他部分的履行，在争议解决期间，合同其他部分应当继续履行。</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 政府采购政策</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20.1 </w:t>
      </w:r>
      <w:r>
        <w:rPr>
          <w:rFonts w:hint="eastAsia" w:ascii="方正仿宋_GBK" w:hAnsi="方正仿宋_GBK" w:eastAsia="方正仿宋_GBK" w:cs="方正仿宋_GBK"/>
          <w:sz w:val="28"/>
          <w:szCs w:val="28"/>
          <w:highlight w:val="none"/>
          <w:lang w:val="en-GB"/>
        </w:rPr>
        <w:t xml:space="preserve">本合同应当按照规定执行政府采购政策。</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highlight w:val="none"/>
          <w:lang w:val="en-GB"/>
        </w:rPr>
        <w:t xml:space="preserve">未按规定要求执行政府采购政策造成损失的</w:t>
      </w:r>
      <w:r>
        <w:rPr>
          <w:rFonts w:hint="eastAsia" w:ascii="方正仿宋_GBK" w:hAnsi="方正仿宋_GBK" w:eastAsia="方正仿宋_GBK" w:cs="方正仿宋_GBK"/>
          <w:sz w:val="28"/>
          <w:szCs w:val="28"/>
          <w:highlight w:val="none"/>
        </w:rPr>
        <w:t xml:space="preserve">，有过错的一方应当承担赔偿责任，双方都有过错的，各自承担相应的责任。</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法律适用</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21.1 本合同的订立、生效、解释、履行及与本合同有关的争议解决，均适用法律、行政法规。</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21.2 本合同条款与法律、行政法规的强制性规定不一致的，双方当事人应按照法律、行政法规的强制性规定修改本合同的相关条款。</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 通知</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22.1 本合同任何一方向对方发出的通知、信件、数据电文等，应当发送至本合同第一部分《政府采购合同协议书》所约定的通讯地址、联系人、联系电话或电子邮箱。</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22.2 一方当事人变更名称、住所、联系人、联系电话或电子邮箱等信息的，应当在变更后3日内及时书面通知对方，对方实际收到变更通知前的送达仍为有效送达。</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22.3本合同一方给另一方的通知均应采用书面形式，传真或快递送到本合同中规定的对方的地址和办理签收手续。</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22.4通知以送达之日或通知书中规定的生效之日起生效，两者中以较迟之日为准。</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 合同未尽事项</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23.1合同未尽事项见【政府采购合同专用条款】。</w:t>
      </w:r>
      <w:r/>
    </w:p>
    <w:p>
      <w:pPr>
        <w:pStyle w:val="1064"/>
        <w:ind w:firstLine="560"/>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23.2合同附件与合同正文具有同等的法律效力。</w:t>
      </w:r>
      <w:r/>
    </w:p>
    <w:p>
      <w:pPr>
        <w:pStyle w:val="953"/>
        <w:spacing w:line="400" w:lineRule="exact"/>
        <w:rPr>
          <w:rFonts w:hint="eastAsia" w:ascii="黑体" w:hAnsi="华文中宋" w:eastAsia="黑体"/>
          <w:b w:val="0"/>
          <w:bCs w:val="0"/>
          <w:sz w:val="28"/>
          <w:szCs w:val="28"/>
          <w:highlight w:val="none"/>
        </w:rPr>
      </w:pPr>
      <w:r>
        <w:rPr>
          <w:rFonts w:hint="eastAsia" w:ascii="黑体" w:hAnsi="华文中宋" w:eastAsia="黑体"/>
          <w:sz w:val="28"/>
          <w:szCs w:val="28"/>
          <w:highlight w:val="none"/>
        </w:rPr>
        <w:br w:type="page" w:clear="all"/>
      </w:r>
      <w:r>
        <w:rPr>
          <w:rFonts w:hint="eastAsia" w:ascii="黑体" w:hAnsi="黑体" w:eastAsia="黑体"/>
          <w:b w:val="0"/>
          <w:bCs w:val="0"/>
          <w:sz w:val="28"/>
          <w:szCs w:val="28"/>
          <w:highlight w:val="none"/>
        </w:rPr>
        <w:t xml:space="preserve">第三节 政府采购合同专用条款</w:t>
      </w:r>
      <w:r/>
    </w:p>
    <w:tbl>
      <w:tblPr>
        <w:tblStyle w:val="782"/>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第1.2（6）项</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联合体具体要求</w:t>
            </w:r>
            <w:r/>
          </w:p>
        </w:tc>
        <w:tc>
          <w:tcPr>
            <w:tcW w:w="306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604"/>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第1.2（7）项</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其他术语解释</w:t>
            </w:r>
            <w:r/>
          </w:p>
        </w:tc>
        <w:tc>
          <w:tcPr>
            <w:tcW w:w="306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第4.4款</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履约验收中甲方提出异议或作出说明的期限</w:t>
            </w:r>
            <w:r/>
          </w:p>
        </w:tc>
        <w:tc>
          <w:tcPr>
            <w:tcW w:w="306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第4.6款</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约定甲方承担的其他义务和责任</w:t>
            </w:r>
            <w:r/>
          </w:p>
        </w:tc>
        <w:tc>
          <w:tcPr>
            <w:tcW w:w="306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第5.4款</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约定乙方承担的其他义务和责任</w:t>
            </w:r>
            <w:r/>
          </w:p>
        </w:tc>
        <w:tc>
          <w:tcPr>
            <w:tcW w:w="306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第6.1款</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履行合同义务的顺序</w:t>
            </w:r>
            <w:r/>
          </w:p>
        </w:tc>
        <w:tc>
          <w:tcPr>
            <w:tcW w:w="306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667"/>
        </w:trPr>
        <w:tc>
          <w:tcPr>
            <w:tcW w:w="2339" w:type="dxa"/>
            <w:vAlign w:val="center"/>
            <w:vMerge w:val="restart"/>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第7.1款</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包装特殊要求</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667"/>
        </w:trPr>
        <w:tc>
          <w:tcPr>
            <w:tcW w:w="2339" w:type="dxa"/>
            <w:vAlign w:val="center"/>
            <w:vMerge w:val="continue"/>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指定现场</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772"/>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第7.2款</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运输特殊要求</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667"/>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第7.3款</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保险要求</w:t>
            </w:r>
            <w:r/>
          </w:p>
        </w:tc>
        <w:tc>
          <w:tcPr>
            <w:tcW w:w="3065" w:type="dxa"/>
            <w:vAlign w:val="center"/>
            <w:textDirection w:val="lrTb"/>
            <w:noWrap w:val="false"/>
          </w:tcPr>
          <w:p>
            <w:pP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第8.2（1）项</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质量保证期</w:t>
            </w:r>
            <w:r/>
          </w:p>
        </w:tc>
        <w:tc>
          <w:tcPr>
            <w:tcW w:w="3065" w:type="dxa"/>
            <w:vAlign w:val="center"/>
            <w:textDirection w:val="lrTb"/>
            <w:noWrap w:val="false"/>
          </w:tcPr>
          <w:p>
            <w:pPr>
              <w:ind w:firstLine="560"/>
              <w:jc w:val="left"/>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第8.2（3）项</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货物质量缺陷</w:t>
            </w:r>
            <w:r/>
          </w:p>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响应时间</w:t>
            </w:r>
            <w:r/>
          </w:p>
        </w:tc>
        <w:tc>
          <w:tcPr>
            <w:tcW w:w="306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pStyle w:val="1064"/>
              <w:ind w:firstLine="0"/>
              <w:jc w:val="center"/>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第11.1款</w:t>
            </w:r>
            <w:r/>
          </w:p>
        </w:tc>
        <w:tc>
          <w:tcPr>
            <w:tcW w:w="3115" w:type="dxa"/>
            <w:vAlign w:val="center"/>
            <w:textDirection w:val="lrTb"/>
            <w:noWrap w:val="false"/>
          </w:tcPr>
          <w:p>
            <w:pP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其他应当保密的信息</w:t>
            </w:r>
            <w:r/>
          </w:p>
        </w:tc>
        <w:tc>
          <w:tcPr>
            <w:tcW w:w="306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697"/>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第12.2款</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合同价款支付时间</w:t>
            </w:r>
            <w:r/>
          </w:p>
        </w:tc>
        <w:tc>
          <w:tcPr>
            <w:tcW w:w="306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697"/>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第13.2款</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履约保证金不予退还的情形</w:t>
            </w:r>
            <w:r/>
          </w:p>
        </w:tc>
        <w:tc>
          <w:tcPr>
            <w:tcW w:w="306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第13.3款</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履约保证金退还时间及逾期退还的违约金</w:t>
            </w:r>
            <w:r/>
          </w:p>
        </w:tc>
        <w:tc>
          <w:tcPr>
            <w:tcW w:w="306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784"/>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第14.1（3）项</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运行监督、维修期限</w:t>
            </w:r>
            <w:r/>
          </w:p>
        </w:tc>
        <w:tc>
          <w:tcPr>
            <w:tcW w:w="306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784"/>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第14.1（5）项</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货物回收的约定</w:t>
            </w:r>
            <w:r/>
          </w:p>
        </w:tc>
        <w:tc>
          <w:tcPr>
            <w:tcW w:w="306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第14.1（6）项</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乙方提供的其他服务</w:t>
            </w:r>
            <w:r/>
          </w:p>
        </w:tc>
        <w:tc>
          <w:tcPr>
            <w:tcW w:w="306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第15.1款</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修理、重作、更换相关具体规定</w:t>
            </w:r>
            <w:r/>
          </w:p>
        </w:tc>
        <w:tc>
          <w:tcPr>
            <w:tcW w:w="306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第15.2（2）项</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迟延交货赔偿费</w:t>
            </w:r>
            <w:r/>
          </w:p>
        </w:tc>
        <w:tc>
          <w:tcPr>
            <w:tcW w:w="306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u w:val="single"/>
              </w:rPr>
            </w:pPr>
            <w:r>
              <w:rPr>
                <w:rFonts w:ascii="方正仿宋_GBK" w:hAnsi="方正仿宋_GBK" w:eastAsia="方正仿宋_GBK" w:cs="方正仿宋_GBK"/>
                <w:sz w:val="28"/>
                <w:szCs w:val="28"/>
                <w:highlight w:val="none"/>
                <w:u w:val="single"/>
              </w:rPr>
            </w:r>
            <w:r/>
          </w:p>
        </w:tc>
      </w:tr>
      <w:tr>
        <w:trPr>
          <w:trHeight w:val="736"/>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第15.3款</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逾期付款利息</w:t>
            </w:r>
            <w:r/>
          </w:p>
        </w:tc>
        <w:tc>
          <w:tcPr>
            <w:tcW w:w="306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u w:val="single"/>
              </w:rPr>
            </w:pPr>
            <w:r>
              <w:rPr>
                <w:rFonts w:ascii="方正仿宋_GBK" w:hAnsi="方正仿宋_GBK" w:eastAsia="方正仿宋_GBK" w:cs="方正仿宋_GBK"/>
                <w:sz w:val="28"/>
                <w:szCs w:val="28"/>
                <w:highlight w:val="none"/>
                <w:u w:val="single"/>
              </w:rPr>
            </w:r>
            <w:r/>
          </w:p>
        </w:tc>
      </w:tr>
      <w:tr>
        <w:trPr>
          <w:trHeight w:val="876"/>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第15.4款</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其他违约责任</w:t>
            </w:r>
            <w:r/>
          </w:p>
        </w:tc>
        <w:tc>
          <w:tcPr>
            <w:tcW w:w="306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u w:val="single"/>
              </w:rPr>
            </w:pPr>
            <w:r>
              <w:rPr>
                <w:rFonts w:ascii="方正仿宋_GBK" w:hAnsi="方正仿宋_GBK" w:eastAsia="方正仿宋_GBK" w:cs="方正仿宋_GBK"/>
                <w:sz w:val="28"/>
                <w:szCs w:val="28"/>
                <w:highlight w:val="none"/>
                <w:u w:val="single"/>
              </w:rPr>
            </w:r>
            <w:r/>
          </w:p>
        </w:tc>
      </w:tr>
      <w:tr>
        <w:trPr>
          <w:trHeight w:val="90"/>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第19.2款</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解决争议的方法</w:t>
            </w:r>
            <w:r/>
          </w:p>
        </w:tc>
        <w:tc>
          <w:tcPr>
            <w:tcW w:w="3065" w:type="dxa"/>
            <w:vAlign w:val="center"/>
            <w:textDirection w:val="lrTb"/>
            <w:noWrap w:val="false"/>
          </w:tcPr>
          <w:p>
            <w:pPr>
              <w:jc w:val="left"/>
              <w:spacing w:line="400" w:lineRule="exact"/>
              <w:rPr>
                <w:rFonts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因本合同及合同有关事项发生的争议，按下列第</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种方式解决：</w:t>
            </w:r>
            <w:r/>
          </w:p>
          <w:p>
            <w:pPr>
              <w:jc w:val="left"/>
              <w:spacing w:line="400" w:lineRule="exact"/>
              <w:rPr>
                <w:rFonts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iCs/>
                <w:sz w:val="28"/>
                <w:szCs w:val="28"/>
                <w:highlight w:val="none"/>
              </w:rPr>
              <w:t xml:space="preserve">（1）向</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仲裁委员会申请仲裁，仲裁地点为</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；（2）向</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人民法院起诉。</w:t>
            </w:r>
            <w:r/>
          </w:p>
        </w:tc>
      </w:tr>
      <w:tr>
        <w:trPr>
          <w:trHeight w:val="770"/>
        </w:trPr>
        <w:tc>
          <w:tcPr>
            <w:tcW w:w="233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第23.1款</w:t>
            </w:r>
            <w:r/>
          </w:p>
        </w:tc>
        <w:tc>
          <w:tcPr>
            <w:tcW w:w="311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其他专用条款</w:t>
            </w:r>
            <w:r/>
          </w:p>
        </w:tc>
        <w:tc>
          <w:tcPr>
            <w:tcW w:w="306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bl>
    <w:p>
      <w:pPr>
        <w:ind w:left="420" w:firstLine="420"/>
        <w:jc w:val="center"/>
        <w:spacing w:line="360" w:lineRule="auto"/>
        <w:rPr>
          <w:highlight w:val="none"/>
        </w:rPr>
      </w:pPr>
      <w:r>
        <w:rPr>
          <w:highlight w:val="none"/>
        </w:rPr>
        <w:br w:type="page" w:clear="all"/>
      </w:r>
      <w:r/>
    </w:p>
    <w:p>
      <w:pPr>
        <w:pStyle w:val="1065"/>
        <w:ind w:left="0"/>
        <w:rPr>
          <w:sz w:val="24"/>
          <w:szCs w:val="28"/>
          <w:highlight w:val="none"/>
        </w:rPr>
      </w:pPr>
      <w:r>
        <w:rPr>
          <w:rFonts w:hint="eastAsia"/>
          <w:sz w:val="24"/>
          <w:szCs w:val="28"/>
          <w:highlight w:val="none"/>
        </w:rPr>
        <w:t xml:space="preserve">附件：</w:t>
      </w:r>
      <w:r/>
    </w:p>
    <w:p>
      <w:pPr>
        <w:ind w:left="420" w:firstLine="723"/>
        <w:jc w:val="center"/>
        <w:spacing w:line="360" w:lineRule="auto"/>
        <w:rPr>
          <w:rFonts w:hint="eastAsia" w:ascii="宋体" w:hAnsi="宋体"/>
          <w:b/>
          <w:sz w:val="36"/>
          <w:szCs w:val="36"/>
          <w:highlight w:val="none"/>
        </w:rPr>
      </w:pPr>
      <w:r>
        <w:rPr>
          <w:rFonts w:hint="eastAsia" w:ascii="宋体" w:hAnsi="宋体"/>
          <w:b/>
          <w:sz w:val="36"/>
          <w:szCs w:val="36"/>
          <w:highlight w:val="none"/>
        </w:rPr>
        <w:t xml:space="preserve">合 同 书</w:t>
      </w:r>
      <w:r/>
    </w:p>
    <w:p>
      <w:pPr>
        <w:ind w:left="420" w:firstLine="480"/>
        <w:spacing w:line="360" w:lineRule="auto"/>
        <w:rPr>
          <w:rFonts w:ascii="仿宋_GB2312" w:hAnsi="楷体" w:eastAsia="仿宋_GB2312"/>
          <w:sz w:val="24"/>
          <w:highlight w:val="none"/>
        </w:rPr>
      </w:pPr>
      <w:r>
        <w:rPr>
          <w:rFonts w:ascii="仿宋_GB2312" w:hAnsi="楷体" w:eastAsia="仿宋_GB2312"/>
          <w:sz w:val="24"/>
          <w:highlight w:val="none"/>
        </w:rPr>
      </w:r>
      <w:r/>
    </w:p>
    <w:p>
      <w:pPr>
        <w:ind w:left="420" w:firstLine="480"/>
        <w:spacing w:line="360" w:lineRule="auto"/>
        <w:rPr>
          <w:rFonts w:ascii="Cambria" w:hAnsi="Cambria" w:eastAsia="仿宋_GB2312"/>
          <w:sz w:val="24"/>
          <w:highlight w:val="none"/>
        </w:rPr>
      </w:pPr>
      <w:r>
        <w:rPr>
          <w:rFonts w:ascii="Cambria" w:hAnsi="Cambria" w:eastAsia="仿宋_GB2312"/>
          <w:sz w:val="24"/>
          <w:highlight w:val="none"/>
        </w:rPr>
      </w:r>
      <w:r/>
    </w:p>
    <w:p>
      <w:pPr>
        <w:spacing w:line="360" w:lineRule="auto"/>
        <w:rPr>
          <w:rFonts w:ascii="仿宋_GB2312" w:hAnsi="楷体" w:eastAsia="仿宋_GB2312"/>
          <w:sz w:val="24"/>
          <w:highlight w:val="none"/>
        </w:rPr>
      </w:pPr>
      <w:r>
        <w:rPr>
          <w:rFonts w:ascii="仿宋_GB2312" w:hAnsi="楷体" w:eastAsia="仿宋_GB2312"/>
          <w:sz w:val="24"/>
          <w:highlight w:val="none"/>
        </w:rPr>
      </w:r>
      <w:r/>
    </w:p>
    <w:p>
      <w:pPr>
        <w:spacing w:line="360" w:lineRule="auto"/>
        <w:rPr>
          <w:rFonts w:hint="eastAsia" w:ascii="宋体" w:hAnsi="宋体" w:cs="仿宋_GB2312"/>
          <w:sz w:val="24"/>
          <w:highlight w:val="none"/>
        </w:rPr>
      </w:pPr>
      <w:r>
        <w:rPr>
          <w:rFonts w:hint="eastAsia" w:ascii="宋体" w:hAnsi="宋体"/>
          <w:sz w:val="28"/>
          <w:szCs w:val="28"/>
          <w:highlight w:val="none"/>
        </w:rPr>
        <w:t xml:space="preserve">项目名称：</w:t>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u w:val="single"/>
        </w:rPr>
      </w:pPr>
      <w:r>
        <w:rPr>
          <w:rFonts w:hint="eastAsia" w:ascii="宋体" w:hAnsi="宋体"/>
          <w:sz w:val="28"/>
          <w:szCs w:val="28"/>
          <w:highlight w:val="none"/>
        </w:rPr>
        <w:t xml:space="preserve">甲方：</w:t>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u w:val="single"/>
        </w:rPr>
      </w:pPr>
      <w:r>
        <w:rPr>
          <w:rFonts w:hint="eastAsia" w:ascii="宋体" w:hAnsi="宋体"/>
          <w:sz w:val="28"/>
          <w:szCs w:val="28"/>
          <w:highlight w:val="none"/>
        </w:rPr>
        <w:t xml:space="preserve">乙方：</w:t>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ind w:firstLine="980"/>
        <w:spacing w:line="360" w:lineRule="auto"/>
        <w:rPr>
          <w:rFonts w:hint="eastAsia" w:ascii="宋体" w:hAnsi="宋体"/>
          <w:sz w:val="28"/>
          <w:szCs w:val="28"/>
          <w:highlight w:val="none"/>
          <w:u w:val="single"/>
        </w:rPr>
      </w:pPr>
      <w:r>
        <w:rPr>
          <w:rFonts w:hint="eastAsia" w:ascii="宋体" w:hAnsi="宋体"/>
          <w:sz w:val="28"/>
          <w:szCs w:val="28"/>
          <w:highlight w:val="none"/>
        </w:rPr>
        <w:t xml:space="preserve">签订地：</w:t>
      </w:r>
      <w:r/>
    </w:p>
    <w:p>
      <w:pPr>
        <w:spacing w:line="360" w:lineRule="auto"/>
        <w:rPr>
          <w:rFonts w:hint="eastAsia" w:ascii="宋体" w:hAnsi="宋体"/>
          <w:sz w:val="28"/>
          <w:szCs w:val="28"/>
          <w:highlight w:val="none"/>
        </w:rPr>
      </w:pPr>
      <w:r>
        <w:rPr>
          <w:rFonts w:hint="eastAsia" w:ascii="宋体" w:hAnsi="宋体"/>
          <w:sz w:val="28"/>
          <w:szCs w:val="28"/>
          <w:highlight w:val="none"/>
        </w:rPr>
      </w:r>
      <w:r/>
    </w:p>
    <w:p>
      <w:pPr>
        <w:ind w:firstLine="960"/>
        <w:spacing w:line="360" w:lineRule="auto"/>
        <w:rPr>
          <w:rFonts w:hint="eastAsia" w:ascii="宋体" w:hAnsi="宋体"/>
          <w:sz w:val="24"/>
          <w:highlight w:val="none"/>
          <w:u w:val="single"/>
        </w:rPr>
      </w:pPr>
      <w:r>
        <w:rPr>
          <w:rFonts w:hint="eastAsia" w:ascii="宋体" w:hAnsi="宋体"/>
          <w:sz w:val="24"/>
          <w:highlight w:val="none"/>
        </w:rPr>
        <w:t xml:space="preserve">签订日期：</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ind w:firstLine="640"/>
        <w:jc w:val="center"/>
        <w:spacing w:line="360" w:lineRule="auto"/>
        <w:rPr>
          <w:rFonts w:hint="eastAsia" w:ascii="宋体" w:hAnsi="宋体"/>
          <w:sz w:val="24"/>
          <w:highlight w:val="none"/>
        </w:rPr>
        <w:sectPr>
          <w:footerReference w:type="default" r:id="rId11"/>
          <w:footnotePr/>
          <w:endnotePr/>
          <w:type w:val="nextPage"/>
          <w:pgSz w:w="11907" w:h="16840" w:orient="portrait"/>
          <w:pgMar w:top="1474" w:right="1814" w:bottom="1474" w:left="1814" w:header="851" w:footer="851" w:gutter="0"/>
          <w:pgNumType w:start="1"/>
          <w:cols w:num="1" w:sep="0" w:space="1701" w:equalWidth="1"/>
          <w:docGrid w:linePitch="360"/>
        </w:sectPr>
      </w:pPr>
      <w:r>
        <w:rPr>
          <w:rFonts w:hint="eastAsia" w:ascii="宋体" w:hAnsi="宋体"/>
          <w:sz w:val="24"/>
          <w:highlight w:val="none"/>
        </w:rPr>
      </w:r>
      <w:r/>
    </w:p>
    <w:p>
      <w:pPr>
        <w:ind w:firstLine="420"/>
        <w:spacing w:line="360" w:lineRule="auto"/>
        <w:rPr>
          <w:rFonts w:hint="eastAsia" w:ascii="宋体" w:hAnsi="宋体"/>
          <w:szCs w:val="21"/>
          <w:highlight w:val="none"/>
        </w:rPr>
      </w:pPr>
      <w:r>
        <w:rPr>
          <w:rFonts w:ascii="宋体" w:hAnsi="宋体"/>
          <w:szCs w:val="21"/>
          <w:highlight w:val="none"/>
          <w:lang w:val="zh-CN"/>
        </w:rPr>
        <w:t xml:space="preserve">根据《中华人民共和国民法典》、《中华人民共和国政府采购法》等相关法律法规之规定，按照平等、自愿、公平和诚实信用的原则，经</w:t>
      </w:r>
      <w:r>
        <w:rPr>
          <w:rFonts w:hint="eastAsia" w:ascii="宋体" w:hAnsi="宋体" w:cs="仿宋_GB2312"/>
          <w:szCs w:val="21"/>
          <w:highlight w:val="none"/>
          <w:u w:val="single"/>
        </w:rPr>
        <w:t xml:space="preserve">      </w:t>
      </w:r>
      <w:r>
        <w:rPr>
          <w:rFonts w:ascii="宋体" w:hAnsi="宋体"/>
          <w:szCs w:val="21"/>
          <w:highlight w:val="none"/>
          <w:u w:val="single"/>
        </w:rPr>
        <w:t xml:space="preserve">   </w:t>
      </w:r>
      <w:r>
        <w:rPr>
          <w:rFonts w:ascii="宋体" w:hAnsi="宋体"/>
          <w:szCs w:val="21"/>
          <w:highlight w:val="none"/>
          <w:lang w:val="zh-CN"/>
        </w:rPr>
        <w:t xml:space="preserve">(以下简称：甲方)和</w:t>
      </w:r>
      <w:r>
        <w:rPr>
          <w:rFonts w:ascii="宋体" w:hAnsi="宋体"/>
          <w:szCs w:val="21"/>
          <w:highlight w:val="none"/>
          <w:u w:val="single"/>
        </w:rPr>
        <w:t xml:space="preserve"> </w:t>
      </w:r>
      <w:r>
        <w:rPr>
          <w:rFonts w:hint="eastAsia" w:ascii="宋体" w:hAnsi="宋体" w:cs="仿宋_GB2312"/>
          <w:szCs w:val="21"/>
          <w:highlight w:val="none"/>
          <w:u w:val="single"/>
        </w:rPr>
        <w:t xml:space="preserve">        </w:t>
      </w:r>
      <w:r>
        <w:rPr>
          <w:rFonts w:ascii="宋体" w:hAnsi="宋体"/>
          <w:szCs w:val="21"/>
          <w:highlight w:val="none"/>
          <w:lang w:val="zh-CN"/>
        </w:rPr>
        <w:t xml:space="preserve">(以下简称：乙方)协商一致，约定以下合同</w:t>
      </w:r>
      <w:r>
        <w:rPr>
          <w:rFonts w:ascii="宋体" w:hAnsi="宋体"/>
          <w:szCs w:val="21"/>
          <w:highlight w:val="none"/>
        </w:rPr>
        <w:t xml:space="preserve">条款，以兹共同遵守、全面履行。</w:t>
      </w:r>
      <w:r/>
    </w:p>
    <w:p>
      <w:pPr>
        <w:spacing w:line="360" w:lineRule="auto"/>
        <w:rPr>
          <w:rFonts w:hint="eastAsia" w:ascii="宋体" w:hAnsi="宋体"/>
          <w:b/>
          <w:szCs w:val="21"/>
          <w:highlight w:val="none"/>
          <w:lang w:val="zh-CN"/>
        </w:rPr>
      </w:pPr>
      <w:r/>
      <w:bookmarkStart w:id="182" w:name="_Toc24059"/>
      <w:r/>
      <w:bookmarkStart w:id="183" w:name="_Toc3029"/>
      <w:r/>
      <w:bookmarkStart w:id="184" w:name="_Toc2232"/>
      <w:r>
        <w:rPr>
          <w:rFonts w:hint="eastAsia" w:ascii="宋体" w:hAnsi="宋体"/>
          <w:b/>
          <w:szCs w:val="21"/>
          <w:highlight w:val="none"/>
          <w:lang w:val="zh-CN"/>
        </w:rPr>
        <w:t xml:space="preserve">1、</w:t>
      </w:r>
      <w:r>
        <w:rPr>
          <w:rFonts w:ascii="宋体" w:hAnsi="宋体"/>
          <w:b/>
          <w:szCs w:val="21"/>
          <w:highlight w:val="none"/>
          <w:lang w:val="zh-CN"/>
        </w:rPr>
        <w:t xml:space="preserve">合同组成部分</w:t>
      </w:r>
      <w:bookmarkEnd w:id="182"/>
      <w:r/>
      <w:bookmarkEnd w:id="183"/>
      <w:r/>
      <w:bookmarkEnd w:id="184"/>
      <w:r/>
      <w:r/>
    </w:p>
    <w:p>
      <w:pPr>
        <w:ind w:firstLine="420"/>
        <w:spacing w:line="360" w:lineRule="auto"/>
        <w:rPr>
          <w:rFonts w:hint="eastAsia" w:ascii="宋体" w:hAnsi="宋体"/>
          <w:szCs w:val="21"/>
          <w:highlight w:val="none"/>
          <w:lang w:val="zh-CN"/>
        </w:rPr>
      </w:pPr>
      <w:r>
        <w:rPr>
          <w:rFonts w:ascii="宋体" w:hAnsi="宋体"/>
          <w:szCs w:val="21"/>
          <w:highlight w:val="none"/>
          <w:lang w:val="zh-CN"/>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20"/>
        <w:spacing w:line="360" w:lineRule="auto"/>
        <w:rPr>
          <w:rFonts w:hint="eastAsia" w:ascii="宋体" w:hAnsi="宋体"/>
          <w:szCs w:val="21"/>
          <w:highlight w:val="none"/>
          <w:lang w:val="zh-CN"/>
        </w:rPr>
      </w:pPr>
      <w:r>
        <w:rPr>
          <w:rFonts w:ascii="宋体" w:hAnsi="宋体"/>
          <w:szCs w:val="21"/>
          <w:highlight w:val="none"/>
          <w:lang w:val="zh-CN"/>
        </w:rPr>
        <w:t xml:space="preserve">1.1 本合同及其补充合同、变更协议；</w:t>
      </w:r>
      <w:r/>
    </w:p>
    <w:p>
      <w:pPr>
        <w:ind w:firstLine="420"/>
        <w:spacing w:line="360" w:lineRule="auto"/>
        <w:rPr>
          <w:rFonts w:hint="eastAsia" w:ascii="宋体" w:hAnsi="宋体"/>
          <w:szCs w:val="21"/>
          <w:highlight w:val="none"/>
          <w:lang w:val="zh-CN"/>
        </w:rPr>
      </w:pPr>
      <w:r>
        <w:rPr>
          <w:rFonts w:ascii="宋体" w:hAnsi="宋体"/>
          <w:szCs w:val="21"/>
          <w:highlight w:val="none"/>
          <w:lang w:val="zh-CN"/>
        </w:rPr>
        <w:t xml:space="preserve">1.2 中标通知书；</w:t>
      </w:r>
      <w:r/>
    </w:p>
    <w:p>
      <w:pPr>
        <w:ind w:firstLine="420"/>
        <w:spacing w:line="360" w:lineRule="auto"/>
        <w:rPr>
          <w:rFonts w:hint="eastAsia" w:ascii="宋体" w:hAnsi="宋体"/>
          <w:szCs w:val="21"/>
          <w:highlight w:val="none"/>
          <w:lang w:val="zh-CN"/>
        </w:rPr>
      </w:pPr>
      <w:r>
        <w:rPr>
          <w:rFonts w:ascii="宋体" w:hAnsi="宋体"/>
          <w:szCs w:val="21"/>
          <w:highlight w:val="none"/>
          <w:lang w:val="zh-CN"/>
        </w:rPr>
        <w:t xml:space="preserve">1.3 投标文件（含澄清或者说明文件）；</w:t>
      </w:r>
      <w:r/>
    </w:p>
    <w:p>
      <w:pPr>
        <w:ind w:firstLine="420"/>
        <w:spacing w:line="360" w:lineRule="auto"/>
        <w:rPr>
          <w:rFonts w:hint="eastAsia" w:ascii="宋体" w:hAnsi="宋体"/>
          <w:szCs w:val="21"/>
          <w:highlight w:val="none"/>
          <w:lang w:val="zh-CN"/>
        </w:rPr>
      </w:pPr>
      <w:r>
        <w:rPr>
          <w:rFonts w:ascii="宋体" w:hAnsi="宋体"/>
          <w:szCs w:val="21"/>
          <w:highlight w:val="none"/>
          <w:lang w:val="zh-CN"/>
        </w:rPr>
        <w:t xml:space="preserve">1.4 招标文件（含澄清或者修改文件）；</w:t>
      </w:r>
      <w:r/>
    </w:p>
    <w:p>
      <w:pPr>
        <w:ind w:firstLine="420"/>
        <w:spacing w:line="360" w:lineRule="auto"/>
        <w:rPr>
          <w:rFonts w:hint="eastAsia" w:ascii="宋体" w:hAnsi="宋体"/>
          <w:szCs w:val="21"/>
          <w:highlight w:val="none"/>
          <w:lang w:val="zh-CN"/>
        </w:rPr>
      </w:pPr>
      <w:r>
        <w:rPr>
          <w:rFonts w:ascii="宋体" w:hAnsi="宋体"/>
          <w:szCs w:val="21"/>
          <w:highlight w:val="none"/>
          <w:lang w:val="zh-CN"/>
        </w:rPr>
        <w:t xml:space="preserve">1.1.5 其他相关采购文件。</w:t>
      </w:r>
      <w:r/>
    </w:p>
    <w:p>
      <w:pPr>
        <w:spacing w:line="360" w:lineRule="auto"/>
        <w:rPr>
          <w:rFonts w:hint="eastAsia" w:ascii="宋体" w:hAnsi="宋体"/>
          <w:b/>
          <w:szCs w:val="21"/>
          <w:highlight w:val="none"/>
          <w:lang w:val="zh-CN"/>
        </w:rPr>
      </w:pPr>
      <w:r/>
      <w:bookmarkStart w:id="185" w:name="_Toc27126"/>
      <w:r/>
      <w:bookmarkStart w:id="186" w:name="_Toc24300"/>
      <w:r/>
      <w:bookmarkStart w:id="187" w:name="_Toc21295"/>
      <w:r>
        <w:rPr>
          <w:rFonts w:hint="eastAsia" w:ascii="宋体" w:hAnsi="宋体"/>
          <w:b/>
          <w:szCs w:val="21"/>
          <w:highlight w:val="none"/>
          <w:lang w:val="zh-CN"/>
        </w:rPr>
        <w:t xml:space="preserve">2、</w:t>
      </w:r>
      <w:r>
        <w:rPr>
          <w:rFonts w:ascii="宋体" w:hAnsi="宋体"/>
          <w:b/>
          <w:szCs w:val="21"/>
          <w:highlight w:val="none"/>
          <w:lang w:val="zh-CN"/>
        </w:rPr>
        <w:t xml:space="preserve">货物</w:t>
      </w:r>
      <w:bookmarkEnd w:id="185"/>
      <w:r/>
      <w:bookmarkEnd w:id="186"/>
      <w:r/>
      <w:bookmarkEnd w:id="187"/>
      <w:r/>
      <w:r/>
    </w:p>
    <w:p>
      <w:pPr>
        <w:ind w:firstLine="420"/>
        <w:spacing w:line="360" w:lineRule="auto"/>
        <w:rPr>
          <w:rFonts w:hint="eastAsia" w:ascii="宋体" w:hAnsi="宋体"/>
          <w:szCs w:val="21"/>
          <w:highlight w:val="none"/>
          <w:u w:val="single"/>
        </w:rPr>
      </w:pPr>
      <w:r>
        <w:rPr>
          <w:rFonts w:ascii="宋体" w:hAnsi="宋体"/>
          <w:szCs w:val="21"/>
          <w:highlight w:val="none"/>
        </w:rPr>
        <w:t xml:space="preserve">2.1 货物名称：</w:t>
      </w:r>
      <w:r>
        <w:rPr>
          <w:rFonts w:hint="eastAsia" w:ascii="宋体" w:hAnsi="宋体"/>
          <w:szCs w:val="21"/>
          <w:highlight w:val="none"/>
          <w:u w:val="single"/>
        </w:rPr>
        <w:t xml:space="preserve">      </w:t>
      </w:r>
      <w:r/>
    </w:p>
    <w:p>
      <w:pPr>
        <w:ind w:firstLine="420"/>
        <w:spacing w:line="360" w:lineRule="auto"/>
        <w:rPr>
          <w:rFonts w:hint="eastAsia" w:ascii="宋体" w:hAnsi="宋体"/>
          <w:szCs w:val="21"/>
          <w:highlight w:val="none"/>
        </w:rPr>
      </w:pPr>
      <w:r>
        <w:rPr>
          <w:rFonts w:ascii="宋体" w:hAnsi="宋体"/>
          <w:szCs w:val="21"/>
          <w:highlight w:val="none"/>
        </w:rPr>
        <w:t xml:space="preserve">2.2 货物</w:t>
      </w:r>
      <w:r>
        <w:rPr>
          <w:rFonts w:hint="eastAsia" w:ascii="宋体" w:hAnsi="宋体"/>
          <w:szCs w:val="21"/>
          <w:highlight w:val="none"/>
        </w:rPr>
        <w:t xml:space="preserve">清单：</w:t>
      </w:r>
      <w:r/>
    </w:p>
    <w:tbl>
      <w:tblPr>
        <w:tblStyle w:val="782"/>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5"/>
        <w:gridCol w:w="1185"/>
        <w:gridCol w:w="1185"/>
        <w:gridCol w:w="1185"/>
        <w:gridCol w:w="1185"/>
        <w:gridCol w:w="1185"/>
        <w:gridCol w:w="1186"/>
      </w:tblGrid>
      <w:tr>
        <w:trPr/>
        <w:tc>
          <w:tcPr>
            <w:tcW w:w="1185"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t xml:space="preserve">序号</w:t>
            </w:r>
            <w:r/>
          </w:p>
        </w:tc>
        <w:tc>
          <w:tcPr>
            <w:tcW w:w="1185"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t xml:space="preserve">设备名称</w:t>
            </w:r>
            <w:r/>
          </w:p>
        </w:tc>
        <w:tc>
          <w:tcPr>
            <w:tcW w:w="1185"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t xml:space="preserve">品牌</w:t>
            </w:r>
            <w:r/>
          </w:p>
        </w:tc>
        <w:tc>
          <w:tcPr>
            <w:tcW w:w="1185"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t xml:space="preserve">型号</w:t>
            </w:r>
            <w:r/>
          </w:p>
        </w:tc>
        <w:tc>
          <w:tcPr>
            <w:tcW w:w="1185"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t xml:space="preserve">单价</w:t>
            </w:r>
            <w:r/>
          </w:p>
        </w:tc>
        <w:tc>
          <w:tcPr>
            <w:tcW w:w="1185"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t xml:space="preserve">数量</w:t>
            </w:r>
            <w:r/>
          </w:p>
        </w:tc>
        <w:tc>
          <w:tcPr>
            <w:tcW w:w="1186"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t xml:space="preserve">总价</w:t>
            </w:r>
            <w:r/>
          </w:p>
        </w:tc>
      </w:tr>
      <w:tr>
        <w:trPr/>
        <w:tc>
          <w:tcPr>
            <w:tcW w:w="1185"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r>
            <w:r/>
          </w:p>
        </w:tc>
        <w:tc>
          <w:tcPr>
            <w:tcW w:w="1185"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r>
            <w:r/>
          </w:p>
        </w:tc>
        <w:tc>
          <w:tcPr>
            <w:tcW w:w="1185"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r>
            <w:r/>
          </w:p>
        </w:tc>
        <w:tc>
          <w:tcPr>
            <w:tcW w:w="1185"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r>
            <w:r/>
          </w:p>
        </w:tc>
        <w:tc>
          <w:tcPr>
            <w:tcW w:w="1185"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r>
            <w:r/>
          </w:p>
        </w:tc>
        <w:tc>
          <w:tcPr>
            <w:tcW w:w="1185"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r>
            <w:r/>
          </w:p>
        </w:tc>
        <w:tc>
          <w:tcPr>
            <w:tcW w:w="1186"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r>
            <w:r/>
          </w:p>
        </w:tc>
      </w:tr>
      <w:tr>
        <w:trPr/>
        <w:tc>
          <w:tcPr>
            <w:tcW w:w="1185"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r>
            <w:r/>
          </w:p>
        </w:tc>
        <w:tc>
          <w:tcPr>
            <w:tcW w:w="1185"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r>
            <w:r/>
          </w:p>
        </w:tc>
        <w:tc>
          <w:tcPr>
            <w:tcW w:w="1185"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r>
            <w:r/>
          </w:p>
        </w:tc>
        <w:tc>
          <w:tcPr>
            <w:tcW w:w="1185"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r>
            <w:r/>
          </w:p>
        </w:tc>
        <w:tc>
          <w:tcPr>
            <w:tcW w:w="1185"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r>
            <w:r/>
          </w:p>
        </w:tc>
        <w:tc>
          <w:tcPr>
            <w:tcW w:w="1185"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r>
            <w:r/>
          </w:p>
        </w:tc>
        <w:tc>
          <w:tcPr>
            <w:tcW w:w="1186"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r>
            <w:r/>
          </w:p>
        </w:tc>
      </w:tr>
      <w:tr>
        <w:trPr/>
        <w:tc>
          <w:tcPr>
            <w:gridSpan w:val="5"/>
            <w:tcW w:w="5925"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t xml:space="preserve">合计</w:t>
            </w:r>
            <w:r/>
          </w:p>
        </w:tc>
        <w:tc>
          <w:tcPr>
            <w:tcW w:w="1185"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r>
            <w:r/>
          </w:p>
        </w:tc>
        <w:tc>
          <w:tcPr>
            <w:tcW w:w="1186" w:type="dxa"/>
            <w:textDirection w:val="lrTb"/>
            <w:noWrap w:val="false"/>
          </w:tcPr>
          <w:p>
            <w:pPr>
              <w:jc w:val="center"/>
              <w:spacing w:line="360" w:lineRule="auto"/>
              <w:rPr>
                <w:rFonts w:hint="eastAsia" w:ascii="宋体" w:hAnsi="宋体"/>
                <w:szCs w:val="21"/>
                <w:highlight w:val="none"/>
                <w:u w:val="single"/>
              </w:rPr>
            </w:pPr>
            <w:r>
              <w:rPr>
                <w:rFonts w:hint="eastAsia" w:ascii="宋体" w:hAnsi="宋体"/>
                <w:szCs w:val="21"/>
                <w:highlight w:val="none"/>
                <w:u w:val="single"/>
              </w:rPr>
            </w:r>
            <w:r/>
          </w:p>
        </w:tc>
      </w:tr>
    </w:tbl>
    <w:p>
      <w:pPr>
        <w:ind w:firstLine="420"/>
        <w:spacing w:line="360" w:lineRule="auto"/>
        <w:rPr>
          <w:rFonts w:ascii="仿宋" w:hAnsi="仿宋" w:eastAsia="仿宋_GB2312"/>
          <w:sz w:val="20"/>
          <w:highlight w:val="none"/>
        </w:rPr>
      </w:pPr>
      <w:r>
        <w:rPr>
          <w:rFonts w:ascii="宋体" w:hAnsi="宋体"/>
          <w:szCs w:val="21"/>
          <w:highlight w:val="none"/>
        </w:rPr>
        <w:t xml:space="preserve">2.3 货物质量：</w:t>
      </w:r>
      <w:r>
        <w:rPr>
          <w:rFonts w:ascii="宋体" w:hAnsi="宋体"/>
          <w:szCs w:val="21"/>
          <w:highlight w:val="none"/>
          <w:u w:val="single"/>
        </w:rPr>
        <w:t xml:space="preserve">　合格  </w:t>
      </w:r>
      <w:r>
        <w:rPr>
          <w:rFonts w:ascii="仿宋" w:hAnsi="仿宋" w:eastAsia="仿宋_GB2312"/>
          <w:sz w:val="20"/>
          <w:highlight w:val="none"/>
        </w:rPr>
        <w:t xml:space="preserve">。</w:t>
      </w:r>
      <w:r/>
    </w:p>
    <w:p>
      <w:pPr>
        <w:spacing w:line="360" w:lineRule="auto"/>
        <w:rPr>
          <w:rFonts w:hint="eastAsia" w:ascii="宋体" w:hAnsi="宋体"/>
          <w:b/>
          <w:szCs w:val="21"/>
          <w:highlight w:val="none"/>
          <w:lang w:val="zh-CN"/>
        </w:rPr>
      </w:pPr>
      <w:r/>
      <w:bookmarkStart w:id="188" w:name="_Toc23292"/>
      <w:r/>
      <w:bookmarkStart w:id="189" w:name="_Toc21551"/>
      <w:r/>
      <w:bookmarkStart w:id="190" w:name="_Toc21631"/>
      <w:r>
        <w:rPr>
          <w:rFonts w:hint="eastAsia" w:ascii="宋体" w:hAnsi="宋体"/>
          <w:b/>
          <w:szCs w:val="21"/>
          <w:highlight w:val="none"/>
          <w:lang w:val="zh-CN"/>
        </w:rPr>
        <w:t xml:space="preserve">3、</w:t>
      </w:r>
      <w:r>
        <w:rPr>
          <w:rFonts w:ascii="宋体" w:hAnsi="宋体"/>
          <w:b/>
          <w:szCs w:val="21"/>
          <w:highlight w:val="none"/>
          <w:lang w:val="zh-CN"/>
        </w:rPr>
        <w:t xml:space="preserve"> 价款</w:t>
      </w:r>
      <w:bookmarkEnd w:id="188"/>
      <w:r/>
      <w:bookmarkEnd w:id="189"/>
      <w:r/>
      <w:bookmarkEnd w:id="190"/>
      <w:r/>
      <w:r/>
    </w:p>
    <w:p>
      <w:pPr>
        <w:ind w:firstLine="420"/>
        <w:spacing w:line="360" w:lineRule="auto"/>
        <w:rPr>
          <w:rFonts w:hint="eastAsia" w:ascii="宋体" w:hAnsi="宋体"/>
          <w:szCs w:val="21"/>
          <w:highlight w:val="none"/>
        </w:rPr>
      </w:pPr>
      <w:r>
        <w:rPr>
          <w:rFonts w:ascii="宋体" w:hAnsi="宋体"/>
          <w:szCs w:val="21"/>
          <w:highlight w:val="none"/>
        </w:rPr>
        <w:t xml:space="preserve">本合同总价为：￥</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元（大写：</w:t>
      </w:r>
      <w:r>
        <w:rPr>
          <w:rFonts w:hint="eastAsia" w:ascii="宋体" w:hAnsi="宋体"/>
          <w:szCs w:val="21"/>
          <w:highlight w:val="none"/>
          <w:u w:val="single"/>
        </w:rPr>
        <w:t xml:space="preserve">         </w:t>
      </w:r>
      <w:r>
        <w:rPr>
          <w:rFonts w:ascii="宋体" w:hAnsi="宋体"/>
          <w:szCs w:val="21"/>
          <w:highlight w:val="none"/>
        </w:rPr>
        <w:t xml:space="preserve">元人民币）。</w:t>
      </w:r>
      <w:r/>
    </w:p>
    <w:p>
      <w:pPr>
        <w:spacing w:line="360" w:lineRule="auto"/>
        <w:rPr>
          <w:rFonts w:hint="eastAsia" w:ascii="宋体" w:hAnsi="宋体"/>
          <w:b/>
          <w:szCs w:val="21"/>
          <w:highlight w:val="none"/>
          <w:lang w:val="zh-CN"/>
        </w:rPr>
      </w:pPr>
      <w:r/>
      <w:bookmarkStart w:id="191" w:name="_Toc22618"/>
      <w:r/>
      <w:bookmarkStart w:id="192" w:name="_Toc1814"/>
      <w:r/>
      <w:bookmarkStart w:id="193" w:name="_Toc10340"/>
      <w:r>
        <w:rPr>
          <w:rFonts w:hint="eastAsia" w:ascii="宋体" w:hAnsi="宋体"/>
          <w:b/>
          <w:szCs w:val="21"/>
          <w:highlight w:val="none"/>
          <w:lang w:val="zh-CN"/>
        </w:rPr>
        <w:t xml:space="preserve">4、</w:t>
      </w:r>
      <w:r>
        <w:rPr>
          <w:rFonts w:ascii="宋体" w:hAnsi="宋体"/>
          <w:b/>
          <w:szCs w:val="21"/>
          <w:highlight w:val="none"/>
          <w:lang w:val="zh-CN"/>
        </w:rPr>
        <w:t xml:space="preserve"> 付款方式和发票开具方式</w:t>
      </w:r>
      <w:bookmarkEnd w:id="191"/>
      <w:r/>
      <w:bookmarkEnd w:id="192"/>
      <w:r/>
      <w:bookmarkEnd w:id="193"/>
      <w:r/>
      <w:r/>
    </w:p>
    <w:p>
      <w:pPr>
        <w:ind w:firstLine="420"/>
        <w:spacing w:line="360" w:lineRule="auto"/>
        <w:rPr>
          <w:rFonts w:hint="eastAsia" w:ascii="宋体" w:hAnsi="宋体"/>
          <w:szCs w:val="21"/>
          <w:highlight w:val="none"/>
        </w:rPr>
      </w:pPr>
      <w:r>
        <w:rPr>
          <w:rFonts w:ascii="宋体" w:hAnsi="宋体"/>
          <w:szCs w:val="21"/>
          <w:highlight w:val="none"/>
        </w:rPr>
        <w:t xml:space="preserve">4.1 付款方式：</w:t>
      </w:r>
      <w:r>
        <w:rPr>
          <w:rFonts w:ascii="宋体" w:hAnsi="宋体"/>
          <w:szCs w:val="21"/>
          <w:highlight w:val="none"/>
          <w:u w:val="single"/>
        </w:rPr>
        <w:t xml:space="preserve">详见合同专用条款                                </w:t>
      </w:r>
      <w:r>
        <w:rPr>
          <w:rFonts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4.2 发票开具方式：</w:t>
      </w:r>
      <w:r>
        <w:rPr>
          <w:rFonts w:ascii="宋体" w:hAnsi="宋体"/>
          <w:szCs w:val="21"/>
          <w:highlight w:val="none"/>
          <w:u w:val="single"/>
        </w:rPr>
        <w:t xml:space="preserve">详见合同专用条款                            </w:t>
      </w:r>
      <w:r>
        <w:rPr>
          <w:rFonts w:ascii="宋体" w:hAnsi="宋体"/>
          <w:szCs w:val="21"/>
          <w:highlight w:val="none"/>
        </w:rPr>
        <w:t xml:space="preserve">。</w:t>
      </w:r>
      <w:r/>
    </w:p>
    <w:p>
      <w:pPr>
        <w:spacing w:line="360" w:lineRule="auto"/>
        <w:rPr>
          <w:rFonts w:hint="eastAsia" w:ascii="宋体" w:hAnsi="宋体"/>
          <w:b/>
          <w:szCs w:val="21"/>
          <w:highlight w:val="none"/>
          <w:lang w:val="zh-CN"/>
        </w:rPr>
      </w:pPr>
      <w:r/>
      <w:bookmarkStart w:id="194" w:name="_Toc19304"/>
      <w:r/>
      <w:bookmarkStart w:id="195" w:name="_Toc2846"/>
      <w:r/>
      <w:bookmarkStart w:id="196" w:name="_Toc32071"/>
      <w:r>
        <w:rPr>
          <w:rFonts w:hint="eastAsia" w:ascii="宋体" w:hAnsi="宋体"/>
          <w:b/>
          <w:szCs w:val="21"/>
          <w:highlight w:val="none"/>
          <w:lang w:val="zh-CN"/>
        </w:rPr>
        <w:t xml:space="preserve">5、</w:t>
      </w:r>
      <w:r>
        <w:rPr>
          <w:rFonts w:ascii="宋体" w:hAnsi="宋体"/>
          <w:b/>
          <w:szCs w:val="21"/>
          <w:highlight w:val="none"/>
          <w:lang w:val="zh-CN"/>
        </w:rPr>
        <w:t xml:space="preserve"> 货物交付期限、地点和方式</w:t>
      </w:r>
      <w:bookmarkEnd w:id="194"/>
      <w:r/>
      <w:bookmarkEnd w:id="195"/>
      <w:r/>
      <w:bookmarkEnd w:id="196"/>
      <w:r/>
      <w:r/>
    </w:p>
    <w:p>
      <w:pPr>
        <w:ind w:firstLine="420"/>
        <w:spacing w:line="360" w:lineRule="auto"/>
        <w:rPr>
          <w:rFonts w:hint="eastAsia" w:ascii="宋体" w:hAnsi="宋体"/>
          <w:szCs w:val="21"/>
          <w:highlight w:val="none"/>
          <w:u w:val="single"/>
        </w:rPr>
      </w:pPr>
      <w:r>
        <w:rPr>
          <w:rFonts w:ascii="宋体" w:hAnsi="宋体"/>
          <w:szCs w:val="21"/>
          <w:highlight w:val="none"/>
        </w:rPr>
        <w:t xml:space="preserve">5.1 交付期限：</w:t>
      </w:r>
      <w:r>
        <w:rPr>
          <w:rFonts w:ascii="宋体" w:hAnsi="宋体"/>
          <w:szCs w:val="21"/>
          <w:highlight w:val="none"/>
          <w:u w:val="single"/>
        </w:rPr>
        <w:t xml:space="preserve"> 合同签订后</w:t>
      </w:r>
      <w:r>
        <w:rPr>
          <w:rFonts w:hint="eastAsia" w:ascii="宋体" w:hAnsi="宋体"/>
          <w:szCs w:val="21"/>
          <w:highlight w:val="none"/>
          <w:u w:val="single"/>
        </w:rPr>
        <w:t xml:space="preserve">30</w:t>
      </w:r>
      <w:r>
        <w:rPr>
          <w:rFonts w:ascii="宋体" w:hAnsi="宋体"/>
          <w:szCs w:val="21"/>
          <w:highlight w:val="none"/>
          <w:u w:val="single"/>
        </w:rPr>
        <w:t xml:space="preserve">日内</w:t>
      </w:r>
      <w:r>
        <w:rPr>
          <w:rFonts w:ascii="宋体" w:hAnsi="宋体" w:cs="仿宋_GB2312"/>
          <w:szCs w:val="21"/>
          <w:highlight w:val="none"/>
          <w:u w:val="single"/>
          <w:lang w:val="zh-CN"/>
        </w:rPr>
        <w:t xml:space="preserve">完成</w:t>
      </w:r>
      <w:r>
        <w:rPr>
          <w:rFonts w:ascii="宋体" w:hAnsi="宋体"/>
          <w:szCs w:val="21"/>
          <w:highlight w:val="none"/>
          <w:u w:val="singl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5.2 交付地点：</w:t>
      </w:r>
      <w:r>
        <w:rPr>
          <w:rFonts w:ascii="宋体" w:hAnsi="宋体"/>
          <w:szCs w:val="21"/>
          <w:highlight w:val="none"/>
          <w:u w:val="single"/>
        </w:rPr>
        <w:t xml:space="preserve"> </w:t>
      </w:r>
      <w:r>
        <w:rPr>
          <w:rFonts w:hint="eastAsia" w:ascii="宋体" w:hAnsi="宋体"/>
          <w:szCs w:val="21"/>
          <w:highlight w:val="none"/>
          <w:u w:val="single"/>
        </w:rPr>
        <w:t xml:space="preserve">甲方指定地点</w:t>
      </w:r>
      <w:r>
        <w:rPr>
          <w:rFonts w:ascii="宋体" w:hAnsi="宋体"/>
          <w:szCs w:val="21"/>
          <w:highlight w:val="none"/>
          <w:u w:val="single"/>
        </w:rPr>
        <w:t xml:space="preserve">    </w:t>
      </w:r>
      <w:r>
        <w:rPr>
          <w:rFonts w:ascii="宋体" w:hAnsi="宋体"/>
          <w:szCs w:val="21"/>
          <w:highlight w:val="none"/>
        </w:rPr>
        <w:t xml:space="preserve">；</w:t>
      </w:r>
      <w:r/>
    </w:p>
    <w:p>
      <w:pPr>
        <w:ind w:firstLine="420"/>
        <w:spacing w:line="360" w:lineRule="auto"/>
        <w:rPr>
          <w:rFonts w:hint="eastAsia" w:ascii="宋体" w:hAnsi="宋体"/>
          <w:szCs w:val="21"/>
          <w:highlight w:val="none"/>
        </w:rPr>
      </w:pPr>
      <w:r>
        <w:rPr>
          <w:rFonts w:ascii="宋体" w:hAnsi="宋体"/>
          <w:szCs w:val="21"/>
          <w:highlight w:val="none"/>
        </w:rPr>
        <w:t xml:space="preserve">5.3 交付方式：</w:t>
      </w:r>
      <w:r>
        <w:rPr>
          <w:rFonts w:ascii="宋体" w:hAnsi="宋体"/>
          <w:szCs w:val="21"/>
          <w:highlight w:val="none"/>
          <w:u w:val="single"/>
        </w:rPr>
        <w:t xml:space="preserve">现实交付   　  </w:t>
      </w:r>
      <w:r>
        <w:rPr>
          <w:rFonts w:ascii="宋体" w:hAnsi="宋体"/>
          <w:szCs w:val="21"/>
          <w:highlight w:val="none"/>
        </w:rPr>
        <w:t xml:space="preserve">。</w:t>
      </w:r>
      <w:r/>
    </w:p>
    <w:p>
      <w:pPr>
        <w:spacing w:line="360" w:lineRule="auto"/>
        <w:rPr>
          <w:rFonts w:hint="eastAsia" w:ascii="宋体" w:hAnsi="宋体"/>
          <w:b/>
          <w:szCs w:val="21"/>
          <w:highlight w:val="none"/>
          <w:lang w:val="zh-CN"/>
        </w:rPr>
      </w:pPr>
      <w:r/>
      <w:bookmarkStart w:id="197" w:name="_Toc27250"/>
      <w:r/>
      <w:bookmarkStart w:id="198" w:name="_Toc19554"/>
      <w:r/>
      <w:bookmarkStart w:id="199" w:name="_Toc21423"/>
      <w:r>
        <w:rPr>
          <w:rFonts w:hint="eastAsia" w:ascii="宋体" w:hAnsi="宋体"/>
          <w:b/>
          <w:szCs w:val="21"/>
          <w:highlight w:val="none"/>
          <w:lang w:val="zh-CN"/>
        </w:rPr>
        <w:t xml:space="preserve">6、</w:t>
      </w:r>
      <w:r>
        <w:rPr>
          <w:rFonts w:ascii="宋体" w:hAnsi="宋体"/>
          <w:b/>
          <w:szCs w:val="21"/>
          <w:highlight w:val="none"/>
          <w:lang w:val="zh-CN"/>
        </w:rPr>
        <w:t xml:space="preserve">违约责任</w:t>
      </w:r>
      <w:bookmarkEnd w:id="197"/>
      <w:r/>
      <w:bookmarkEnd w:id="198"/>
      <w:r/>
      <w:bookmarkEnd w:id="199"/>
      <w:r/>
      <w:r/>
    </w:p>
    <w:p>
      <w:pPr>
        <w:ind w:firstLine="420"/>
        <w:spacing w:line="360" w:lineRule="auto"/>
        <w:rPr>
          <w:rFonts w:hint="eastAsia" w:ascii="宋体" w:hAnsi="宋体"/>
          <w:szCs w:val="21"/>
          <w:highlight w:val="none"/>
        </w:rPr>
      </w:pPr>
      <w:r>
        <w:rPr>
          <w:rFonts w:ascii="宋体" w:hAnsi="宋体"/>
          <w:szCs w:val="21"/>
          <w:highlight w:val="none"/>
        </w:rPr>
        <w:t xml:space="preserve">6.1 除不可抗力外，如果乙方没有按照本合同约定的期限、地点和方式交付货物，那么甲方可要求乙方支付违约金，违约金按每迟延交付货物一日的应交付而未交付货物价格的</w:t>
      </w:r>
      <w:r>
        <w:rPr>
          <w:rFonts w:ascii="宋体" w:hAnsi="宋体" w:cs="仿宋_GB2312"/>
          <w:szCs w:val="21"/>
          <w:highlight w:val="none"/>
        </w:rPr>
        <w:t xml:space="preserve">1‰</w:t>
      </w:r>
      <w:r>
        <w:rPr>
          <w:rFonts w:ascii="宋体" w:hAnsi="宋体"/>
          <w:szCs w:val="21"/>
          <w:highlight w:val="none"/>
        </w:rPr>
        <w:t xml:space="preserve">计算，最高限额为本合同总价的</w:t>
      </w:r>
      <w:r>
        <w:rPr>
          <w:rFonts w:ascii="宋体" w:hAnsi="宋体" w:cs="仿宋_GB2312"/>
          <w:szCs w:val="21"/>
          <w:highlight w:val="none"/>
        </w:rPr>
        <w:t xml:space="preserve">1‰</w:t>
      </w:r>
      <w:r>
        <w:rPr>
          <w:rFonts w:ascii="宋体" w:hAnsi="宋体"/>
          <w:szCs w:val="21"/>
          <w:highlight w:val="none"/>
        </w:rPr>
        <w:t xml:space="preserve">；迟延交付货物的违约金计算数额达到前述最高限额之日起，甲方有权在要求乙方支付违约金的同时，书面通知乙方解除本合同；</w:t>
      </w:r>
      <w:r/>
    </w:p>
    <w:p>
      <w:pPr>
        <w:ind w:firstLine="420"/>
        <w:spacing w:line="360" w:lineRule="auto"/>
        <w:rPr>
          <w:rFonts w:hint="eastAsia" w:ascii="宋体" w:hAnsi="宋体"/>
          <w:szCs w:val="21"/>
          <w:highlight w:val="none"/>
        </w:rPr>
      </w:pPr>
      <w:r>
        <w:rPr>
          <w:rFonts w:ascii="宋体" w:hAnsi="宋体"/>
          <w:szCs w:val="21"/>
          <w:highlight w:val="none"/>
        </w:rPr>
        <w:t xml:space="preserve">6.2 除不可抗力外，如果甲方没有按照本合同约定的付款方式付款，那么乙方可要求甲方支付违约金，违约金按每迟延付款一日的应付而未付款的</w:t>
      </w:r>
      <w:r>
        <w:rPr>
          <w:rFonts w:ascii="宋体" w:hAnsi="宋体" w:cs="仿宋_GB2312"/>
          <w:szCs w:val="21"/>
          <w:highlight w:val="none"/>
        </w:rPr>
        <w:t xml:space="preserve">1‰</w:t>
      </w:r>
      <w:r>
        <w:rPr>
          <w:rFonts w:ascii="宋体" w:hAnsi="宋体"/>
          <w:szCs w:val="21"/>
          <w:highlight w:val="none"/>
        </w:rPr>
        <w:t xml:space="preserve">计算，最高限额为本合同总价的</w:t>
      </w:r>
      <w:r>
        <w:rPr>
          <w:rFonts w:ascii="宋体" w:hAnsi="宋体" w:cs="仿宋_GB2312"/>
          <w:szCs w:val="21"/>
          <w:highlight w:val="none"/>
        </w:rPr>
        <w:t xml:space="preserve">1‰</w:t>
      </w:r>
      <w:r>
        <w:rPr>
          <w:rFonts w:ascii="宋体" w:hAnsi="宋体"/>
          <w:szCs w:val="21"/>
          <w:highlight w:val="none"/>
        </w:rPr>
        <w:t xml:space="preserve">；迟延付款的违约金计算数额达到前述最高限额之日起，乙方有权在要求甲方支付违约金的同时，书面通知甲方解除本合同；</w:t>
      </w:r>
      <w:r/>
    </w:p>
    <w:p>
      <w:pPr>
        <w:ind w:firstLine="420"/>
        <w:spacing w:line="360" w:lineRule="auto"/>
        <w:rPr>
          <w:rFonts w:hint="eastAsia" w:ascii="宋体" w:hAnsi="宋体"/>
          <w:szCs w:val="21"/>
          <w:highlight w:val="none"/>
        </w:rPr>
      </w:pPr>
      <w:r>
        <w:rPr>
          <w:rFonts w:ascii="宋体" w:hAnsi="宋体"/>
          <w:szCs w:val="21"/>
          <w:highlight w:val="none"/>
        </w:rPr>
        <w:t xml:space="preserve">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20"/>
        <w:spacing w:line="360" w:lineRule="auto"/>
        <w:rPr>
          <w:rFonts w:hint="eastAsia" w:ascii="宋体" w:hAnsi="宋体"/>
          <w:szCs w:val="21"/>
          <w:highlight w:val="none"/>
        </w:rPr>
      </w:pPr>
      <w:r>
        <w:rPr>
          <w:rFonts w:ascii="宋体" w:hAnsi="宋体"/>
          <w:szCs w:val="21"/>
          <w:highlight w:val="none"/>
        </w:rPr>
        <w:t xml:space="preserve">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20"/>
        <w:spacing w:line="360" w:lineRule="auto"/>
        <w:rPr>
          <w:rFonts w:hint="eastAsia" w:ascii="宋体" w:hAnsi="宋体"/>
          <w:szCs w:val="21"/>
          <w:highlight w:val="none"/>
        </w:rPr>
      </w:pPr>
      <w:r>
        <w:rPr>
          <w:rFonts w:ascii="宋体" w:hAnsi="宋体"/>
          <w:szCs w:val="21"/>
          <w:highlight w:val="none"/>
        </w:rPr>
        <w:t xml:space="preserve">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20"/>
        <w:spacing w:line="360" w:lineRule="auto"/>
        <w:rPr>
          <w:rFonts w:hint="eastAsia" w:ascii="宋体" w:hAnsi="宋体"/>
          <w:szCs w:val="21"/>
          <w:highlight w:val="none"/>
        </w:rPr>
      </w:pPr>
      <w:r>
        <w:rPr>
          <w:rFonts w:ascii="宋体" w:hAnsi="宋体"/>
          <w:szCs w:val="21"/>
          <w:highlight w:val="none"/>
        </w:rPr>
        <w:t xml:space="preserve">6.6 如果出现政府采购监督管理部门在处理投诉事项期间，书面通知甲方暂停采购活动的情形，或者询问或质疑事项可能影响中标结果的，导致甲方中止履行合同的情形，均不视为甲方违约。</w:t>
      </w:r>
      <w:r/>
    </w:p>
    <w:p>
      <w:pPr>
        <w:spacing w:line="360" w:lineRule="auto"/>
        <w:rPr>
          <w:rFonts w:hint="eastAsia" w:ascii="宋体" w:hAnsi="宋体"/>
          <w:b/>
          <w:szCs w:val="21"/>
          <w:highlight w:val="none"/>
          <w:lang w:val="zh-CN"/>
        </w:rPr>
      </w:pPr>
      <w:r/>
      <w:bookmarkStart w:id="200" w:name="_Toc28375"/>
      <w:r/>
      <w:bookmarkStart w:id="201" w:name="_Toc15583"/>
      <w:r/>
      <w:bookmarkStart w:id="202" w:name="_Toc16021"/>
      <w:r>
        <w:rPr>
          <w:rFonts w:hint="eastAsia" w:ascii="宋体" w:hAnsi="宋体"/>
          <w:b/>
          <w:szCs w:val="21"/>
          <w:highlight w:val="none"/>
          <w:lang w:val="zh-CN"/>
        </w:rPr>
        <w:t xml:space="preserve">7、</w:t>
      </w:r>
      <w:r>
        <w:rPr>
          <w:rFonts w:ascii="宋体" w:hAnsi="宋体"/>
          <w:b/>
          <w:szCs w:val="21"/>
          <w:highlight w:val="none"/>
          <w:lang w:val="zh-CN"/>
        </w:rPr>
        <w:t xml:space="preserve">合同争议的解决</w:t>
      </w:r>
      <w:bookmarkEnd w:id="200"/>
      <w:r/>
      <w:bookmarkEnd w:id="201"/>
      <w:r/>
      <w:bookmarkEnd w:id="202"/>
      <w:r/>
      <w:r/>
    </w:p>
    <w:p>
      <w:pPr>
        <w:ind w:firstLine="420"/>
        <w:spacing w:line="360" w:lineRule="auto"/>
        <w:rPr>
          <w:rFonts w:hint="eastAsia" w:ascii="宋体" w:hAnsi="宋体"/>
          <w:szCs w:val="21"/>
          <w:highlight w:val="none"/>
        </w:rPr>
      </w:pPr>
      <w:r>
        <w:rPr>
          <w:rFonts w:ascii="宋体" w:hAnsi="宋体"/>
          <w:szCs w:val="21"/>
          <w:highlight w:val="none"/>
        </w:rPr>
        <w:t xml:space="preserve">本合同履行过程中发生的任何争议，双方当事人均可通过和解或者调解解决；不愿和解、调解或者和解、调解不成的，可以选择下列第</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种方式解决：</w:t>
      </w:r>
      <w:r/>
    </w:p>
    <w:p>
      <w:pPr>
        <w:ind w:firstLine="420"/>
        <w:spacing w:line="360" w:lineRule="auto"/>
        <w:rPr>
          <w:rFonts w:hint="eastAsia" w:ascii="宋体" w:hAnsi="宋体"/>
          <w:szCs w:val="21"/>
          <w:highlight w:val="none"/>
        </w:rPr>
      </w:pPr>
      <w:r>
        <w:rPr>
          <w:rFonts w:ascii="宋体" w:hAnsi="宋体"/>
          <w:szCs w:val="21"/>
          <w:highlight w:val="none"/>
        </w:rPr>
        <w:t xml:space="preserve">7.1 将争议提交</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仲裁委员会依申请仲裁时其现行有效的仲裁规则裁决；</w:t>
      </w:r>
      <w:r/>
    </w:p>
    <w:p>
      <w:pPr>
        <w:ind w:firstLine="420"/>
        <w:spacing w:line="360" w:lineRule="auto"/>
        <w:rPr>
          <w:rFonts w:hint="eastAsia" w:ascii="宋体" w:hAnsi="宋体" w:cs="宋体"/>
          <w:szCs w:val="21"/>
          <w:highlight w:val="none"/>
        </w:rPr>
      </w:pPr>
      <w:r>
        <w:rPr>
          <w:rFonts w:ascii="宋体" w:hAnsi="宋体"/>
          <w:szCs w:val="21"/>
          <w:highlight w:val="none"/>
        </w:rPr>
        <w:t xml:space="preserve">7.2 向</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人民法院起诉。</w:t>
      </w:r>
      <w:r/>
    </w:p>
    <w:p>
      <w:pPr>
        <w:spacing w:line="360" w:lineRule="auto"/>
        <w:rPr>
          <w:rFonts w:hint="eastAsia" w:ascii="宋体" w:hAnsi="宋体"/>
          <w:b/>
          <w:szCs w:val="21"/>
          <w:highlight w:val="none"/>
          <w:lang w:val="zh-CN"/>
        </w:rPr>
      </w:pPr>
      <w:r/>
      <w:bookmarkStart w:id="203" w:name="_Toc15322"/>
      <w:r/>
      <w:bookmarkStart w:id="204" w:name="_Toc11173"/>
      <w:r/>
      <w:bookmarkStart w:id="205" w:name="_Toc7245"/>
      <w:r>
        <w:rPr>
          <w:rFonts w:hint="eastAsia" w:ascii="宋体" w:hAnsi="宋体"/>
          <w:b/>
          <w:szCs w:val="21"/>
          <w:highlight w:val="none"/>
          <w:lang w:val="zh-CN"/>
        </w:rPr>
        <w:t xml:space="preserve">8、</w:t>
      </w:r>
      <w:r>
        <w:rPr>
          <w:rFonts w:ascii="宋体" w:hAnsi="宋体"/>
          <w:b/>
          <w:szCs w:val="21"/>
          <w:highlight w:val="none"/>
          <w:lang w:val="zh-CN"/>
        </w:rPr>
        <w:t xml:space="preserve"> 合同生效</w:t>
      </w:r>
      <w:bookmarkEnd w:id="203"/>
      <w:r/>
      <w:bookmarkEnd w:id="204"/>
      <w:r/>
      <w:bookmarkEnd w:id="205"/>
      <w:r/>
      <w:r/>
    </w:p>
    <w:p>
      <w:pPr>
        <w:ind w:firstLine="420"/>
        <w:spacing w:line="360" w:lineRule="auto"/>
        <w:rPr>
          <w:rFonts w:hint="eastAsia" w:ascii="宋体" w:hAnsi="宋体"/>
          <w:b/>
          <w:szCs w:val="21"/>
          <w:highlight w:val="none"/>
        </w:rPr>
      </w:pPr>
      <w:r>
        <w:rPr>
          <w:rFonts w:ascii="宋体" w:hAnsi="宋体"/>
          <w:szCs w:val="21"/>
          <w:highlight w:val="none"/>
        </w:rPr>
        <w:t xml:space="preserve">本合同自双方当事人盖章或者签字时生效。</w:t>
      </w:r>
      <w:r/>
    </w:p>
    <w:p>
      <w:pPr>
        <w:spacing w:line="360" w:lineRule="auto"/>
        <w:rPr>
          <w:rFonts w:hint="eastAsia" w:ascii="宋体" w:hAnsi="宋体"/>
          <w:szCs w:val="21"/>
          <w:highlight w:val="none"/>
          <w:lang w:val="zh-CN"/>
        </w:rPr>
      </w:pPr>
      <w:r>
        <w:rPr>
          <w:rFonts w:hint="eastAsia" w:ascii="宋体" w:hAnsi="宋体"/>
          <w:szCs w:val="21"/>
          <w:highlight w:val="none"/>
          <w:lang w:val="zh-CN"/>
        </w:rPr>
      </w:r>
      <w:r/>
    </w:p>
    <w:p>
      <w:pPr>
        <w:spacing w:line="360" w:lineRule="auto"/>
        <w:rPr>
          <w:rFonts w:hint="eastAsia" w:ascii="宋体" w:hAnsi="宋体"/>
          <w:szCs w:val="21"/>
          <w:highlight w:val="none"/>
          <w:lang w:val="zh-CN"/>
        </w:rPr>
      </w:pPr>
      <w:r>
        <w:rPr>
          <w:rFonts w:ascii="宋体" w:hAnsi="宋体"/>
          <w:b/>
          <w:szCs w:val="21"/>
          <w:highlight w:val="none"/>
          <w:lang w:val="zh-CN"/>
        </w:rPr>
        <w:t xml:space="preserve">甲方</w:t>
      </w:r>
      <w:r>
        <w:rPr>
          <w:rFonts w:ascii="宋体" w:hAnsi="宋体"/>
          <w:szCs w:val="21"/>
          <w:highlight w:val="none"/>
          <w:lang w:val="zh-CN"/>
        </w:rPr>
        <w:t xml:space="preserve">：</w:t>
      </w:r>
      <w:r>
        <w:rPr>
          <w:rFonts w:hint="eastAsia" w:ascii="宋体" w:hAnsi="宋体" w:cs="仿宋_GB2312"/>
          <w:szCs w:val="21"/>
          <w:highlight w:val="none"/>
        </w:rPr>
        <w:t xml:space="preserve"> </w:t>
      </w:r>
      <w:r>
        <w:rPr>
          <w:rFonts w:ascii="宋体" w:hAnsi="宋体"/>
          <w:szCs w:val="21"/>
          <w:highlight w:val="none"/>
          <w:lang w:val="zh-CN"/>
        </w:rPr>
        <w:t xml:space="preserve">          </w:t>
      </w:r>
      <w:r>
        <w:rPr>
          <w:rFonts w:ascii="宋体" w:hAnsi="宋体"/>
          <w:b/>
          <w:szCs w:val="21"/>
          <w:highlight w:val="none"/>
          <w:lang w:val="zh-CN"/>
        </w:rPr>
        <w:t xml:space="preserve">   </w:t>
      </w:r>
      <w:r>
        <w:rPr>
          <w:rFonts w:hint="eastAsia" w:ascii="宋体" w:hAnsi="宋体"/>
          <w:b/>
          <w:szCs w:val="21"/>
          <w:highlight w:val="none"/>
          <w:lang w:val="zh-CN"/>
        </w:rPr>
        <w:t xml:space="preserve">       </w:t>
      </w:r>
      <w:r>
        <w:rPr>
          <w:rFonts w:ascii="宋体" w:hAnsi="宋体"/>
          <w:b/>
          <w:szCs w:val="21"/>
          <w:highlight w:val="none"/>
          <w:lang w:val="zh-CN"/>
        </w:rPr>
        <w:t xml:space="preserve"> </w:t>
      </w:r>
      <w:r>
        <w:rPr>
          <w:rFonts w:hint="eastAsia" w:ascii="宋体" w:hAnsi="宋体"/>
          <w:b/>
          <w:szCs w:val="21"/>
          <w:highlight w:val="none"/>
          <w:lang w:val="zh-CN"/>
        </w:rPr>
        <w:t xml:space="preserve"> </w:t>
      </w:r>
      <w:r>
        <w:rPr>
          <w:rFonts w:ascii="宋体" w:hAnsi="宋体"/>
          <w:b/>
          <w:szCs w:val="21"/>
          <w:highlight w:val="none"/>
          <w:lang w:val="zh-CN"/>
        </w:rPr>
        <w:t xml:space="preserve"> </w:t>
      </w:r>
      <w:r>
        <w:rPr>
          <w:rFonts w:hint="eastAsia" w:ascii="宋体" w:hAnsi="宋体"/>
          <w:b/>
          <w:szCs w:val="21"/>
          <w:highlight w:val="none"/>
          <w:lang w:val="zh-CN"/>
        </w:rPr>
        <w:t xml:space="preserve">        </w:t>
      </w:r>
      <w:r>
        <w:rPr>
          <w:rFonts w:ascii="宋体" w:hAnsi="宋体"/>
          <w:b/>
          <w:szCs w:val="21"/>
          <w:highlight w:val="none"/>
          <w:lang w:val="zh-CN"/>
        </w:rPr>
        <w:t xml:space="preserve"> </w:t>
      </w:r>
      <w:r>
        <w:rPr>
          <w:rFonts w:hint="eastAsia" w:ascii="宋体" w:hAnsi="宋体"/>
          <w:b/>
          <w:szCs w:val="21"/>
          <w:highlight w:val="none"/>
          <w:lang w:val="zh-CN"/>
        </w:rPr>
        <w:t xml:space="preserve"> </w:t>
      </w:r>
      <w:r>
        <w:rPr>
          <w:rFonts w:ascii="宋体" w:hAnsi="宋体"/>
          <w:b/>
          <w:szCs w:val="21"/>
          <w:highlight w:val="none"/>
          <w:lang w:val="zh-CN"/>
        </w:rPr>
        <w:t xml:space="preserve">乙方</w:t>
      </w:r>
      <w:r>
        <w:rPr>
          <w:rFonts w:ascii="宋体" w:hAnsi="宋体"/>
          <w:szCs w:val="21"/>
          <w:highlight w:val="none"/>
          <w:lang w:val="zh-CN"/>
        </w:rPr>
        <w:t xml:space="preserve">：</w:t>
      </w:r>
      <w:r>
        <w:rPr>
          <w:rFonts w:hint="eastAsia" w:ascii="宋体" w:hAnsi="宋体"/>
          <w:szCs w:val="21"/>
          <w:highlight w:val="none"/>
          <w:lang w:val="zh-CN"/>
        </w:rPr>
        <w:t xml:space="preserve"> </w:t>
      </w:r>
      <w:r/>
    </w:p>
    <w:p>
      <w:pPr>
        <w:spacing w:line="360" w:lineRule="auto"/>
        <w:rPr>
          <w:rFonts w:hint="eastAsia" w:ascii="宋体" w:hAnsi="宋体"/>
          <w:szCs w:val="21"/>
          <w:highlight w:val="none"/>
          <w:lang w:val="zh-CN"/>
        </w:rPr>
      </w:pPr>
      <w:r>
        <w:rPr>
          <w:rFonts w:ascii="宋体" w:hAnsi="宋体"/>
          <w:szCs w:val="21"/>
          <w:highlight w:val="none"/>
          <w:lang w:val="zh-CN"/>
        </w:rPr>
        <w:t xml:space="preserve">统一社会信用代码：</w:t>
      </w:r>
      <w:r>
        <w:rPr>
          <w:rFonts w:hint="eastAsia" w:ascii="宋体" w:hAnsi="宋体"/>
          <w:szCs w:val="21"/>
          <w:highlight w:val="none"/>
          <w:lang w:val="zh-CN"/>
        </w:rPr>
        <w:t xml:space="preserve"> </w:t>
      </w:r>
      <w:r>
        <w:rPr>
          <w:rFonts w:ascii="宋体" w:hAnsi="宋体"/>
          <w:szCs w:val="21"/>
          <w:highlight w:val="none"/>
          <w:lang w:val="zh-CN"/>
        </w:rPr>
        <w:t xml:space="preserve">  </w:t>
      </w:r>
      <w:r>
        <w:rPr>
          <w:rFonts w:hint="eastAsia" w:ascii="宋体" w:hAnsi="宋体"/>
          <w:szCs w:val="21"/>
          <w:highlight w:val="none"/>
          <w:lang w:val="zh-CN"/>
        </w:rPr>
        <w:t xml:space="preserve">         </w:t>
      </w:r>
      <w:r>
        <w:rPr>
          <w:rFonts w:ascii="宋体" w:hAnsi="宋体"/>
          <w:szCs w:val="21"/>
          <w:highlight w:val="none"/>
          <w:lang w:val="zh-CN"/>
        </w:rPr>
        <w:t xml:space="preserve"> </w:t>
      </w:r>
      <w:r>
        <w:rPr>
          <w:rFonts w:hint="eastAsia" w:ascii="宋体" w:hAnsi="宋体"/>
          <w:szCs w:val="21"/>
          <w:highlight w:val="none"/>
          <w:lang w:val="zh-CN"/>
        </w:rPr>
        <w:t xml:space="preserve">         </w:t>
      </w:r>
      <w:r>
        <w:rPr>
          <w:rFonts w:ascii="宋体" w:hAnsi="宋体"/>
          <w:szCs w:val="21"/>
          <w:highlight w:val="none"/>
          <w:lang w:val="zh-CN"/>
        </w:rPr>
        <w:t xml:space="preserve">统一社会信用代码或身份证号码：</w:t>
      </w:r>
      <w:r/>
    </w:p>
    <w:p>
      <w:pPr>
        <w:ind w:left="4620" w:hanging="4620"/>
        <w:spacing w:line="360" w:lineRule="auto"/>
        <w:rPr>
          <w:rFonts w:hint="eastAsia" w:ascii="宋体" w:hAnsi="宋体"/>
          <w:szCs w:val="21"/>
          <w:highlight w:val="none"/>
          <w:lang w:val="zh-CN"/>
        </w:rPr>
      </w:pPr>
      <w:r>
        <w:rPr>
          <w:rFonts w:ascii="宋体" w:hAnsi="宋体"/>
          <w:szCs w:val="21"/>
          <w:highlight w:val="none"/>
          <w:lang w:val="zh-CN"/>
        </w:rPr>
        <w:t xml:space="preserve">住所：</w:t>
      </w:r>
      <w:r>
        <w:rPr>
          <w:rFonts w:hint="eastAsia" w:ascii="宋体" w:hAnsi="宋体"/>
          <w:szCs w:val="21"/>
          <w:highlight w:val="none"/>
          <w:lang w:val="zh-CN"/>
        </w:rPr>
        <w:t xml:space="preserve">             </w:t>
      </w:r>
      <w:r>
        <w:rPr>
          <w:rFonts w:ascii="宋体" w:hAnsi="宋体"/>
          <w:szCs w:val="21"/>
          <w:highlight w:val="none"/>
          <w:lang w:val="zh-CN"/>
        </w:rPr>
        <w:t xml:space="preserve">           </w:t>
      </w:r>
      <w:r>
        <w:rPr>
          <w:rFonts w:hint="eastAsia" w:ascii="宋体" w:hAnsi="宋体"/>
          <w:szCs w:val="21"/>
          <w:highlight w:val="none"/>
          <w:lang w:val="zh-CN"/>
        </w:rPr>
        <w:t xml:space="preserve">     </w:t>
      </w:r>
      <w:r>
        <w:rPr>
          <w:rFonts w:ascii="宋体" w:hAnsi="宋体"/>
          <w:szCs w:val="21"/>
          <w:highlight w:val="none"/>
          <w:lang w:val="zh-CN"/>
        </w:rPr>
        <w:t xml:space="preserve"> </w:t>
      </w:r>
      <w:r>
        <w:rPr>
          <w:rFonts w:hint="eastAsia" w:ascii="宋体" w:hAnsi="宋体"/>
          <w:szCs w:val="21"/>
          <w:highlight w:val="none"/>
          <w:lang w:val="zh-CN"/>
        </w:rPr>
        <w:t xml:space="preserve">    </w:t>
      </w:r>
      <w:r>
        <w:rPr>
          <w:rFonts w:ascii="宋体" w:hAnsi="宋体"/>
          <w:szCs w:val="21"/>
          <w:highlight w:val="none"/>
          <w:lang w:val="zh-CN"/>
        </w:rPr>
        <w:t xml:space="preserve">住所：</w:t>
      </w:r>
      <w:r/>
    </w:p>
    <w:p>
      <w:pPr>
        <w:spacing w:line="360" w:lineRule="auto"/>
        <w:rPr>
          <w:rFonts w:hint="eastAsia" w:ascii="宋体" w:hAnsi="宋体"/>
          <w:szCs w:val="21"/>
          <w:highlight w:val="none"/>
          <w:lang w:val="zh-CN"/>
        </w:rPr>
      </w:pPr>
      <w:r>
        <w:rPr>
          <w:rFonts w:ascii="宋体" w:hAnsi="宋体"/>
          <w:szCs w:val="21"/>
          <w:highlight w:val="none"/>
          <w:lang w:val="zh-CN"/>
        </w:rPr>
        <w:t xml:space="preserve">法定代表人或授权代表（签字）：          </w:t>
      </w:r>
      <w:r>
        <w:rPr>
          <w:rFonts w:ascii="宋体" w:hAnsi="宋体"/>
          <w:szCs w:val="21"/>
          <w:highlight w:val="none"/>
        </w:rPr>
        <w:t xml:space="preserve"> </w:t>
      </w:r>
      <w:r>
        <w:rPr>
          <w:rFonts w:ascii="宋体" w:hAnsi="宋体"/>
          <w:szCs w:val="21"/>
          <w:highlight w:val="none"/>
          <w:lang w:val="zh-CN"/>
        </w:rPr>
        <w:t xml:space="preserve">法定代表人或授权代表（签字）:</w:t>
      </w:r>
      <w:r/>
    </w:p>
    <w:p>
      <w:pPr>
        <w:ind w:left="4620" w:hanging="4620"/>
        <w:spacing w:line="360" w:lineRule="auto"/>
        <w:rPr>
          <w:rFonts w:hint="eastAsia" w:ascii="宋体" w:hAnsi="宋体"/>
          <w:szCs w:val="21"/>
          <w:highlight w:val="none"/>
          <w:lang w:val="zh-CN"/>
        </w:rPr>
      </w:pPr>
      <w:r>
        <w:rPr>
          <w:rFonts w:ascii="宋体" w:hAnsi="宋体"/>
          <w:szCs w:val="21"/>
          <w:highlight w:val="none"/>
          <w:lang w:val="zh-CN"/>
        </w:rPr>
        <w:t xml:space="preserve">地址：</w:t>
      </w:r>
      <w:r>
        <w:rPr>
          <w:rFonts w:hint="eastAsia" w:ascii="宋体" w:hAnsi="宋体"/>
          <w:szCs w:val="21"/>
          <w:highlight w:val="none"/>
          <w:lang w:val="zh-CN"/>
        </w:rPr>
        <w:t xml:space="preserve"> </w:t>
      </w:r>
      <w:r>
        <w:rPr>
          <w:rFonts w:ascii="宋体" w:hAnsi="宋体"/>
          <w:szCs w:val="21"/>
          <w:highlight w:val="none"/>
          <w:lang w:val="zh-CN"/>
        </w:rPr>
        <w:t xml:space="preserve">       </w:t>
      </w:r>
      <w:r>
        <w:rPr>
          <w:rFonts w:hint="eastAsia" w:ascii="宋体" w:hAnsi="宋体"/>
          <w:szCs w:val="21"/>
          <w:highlight w:val="none"/>
          <w:lang w:val="zh-CN"/>
        </w:rPr>
        <w:t xml:space="preserve">            </w:t>
      </w:r>
      <w:r>
        <w:rPr>
          <w:rFonts w:ascii="宋体" w:hAnsi="宋体"/>
          <w:szCs w:val="21"/>
          <w:highlight w:val="none"/>
          <w:lang w:val="zh-CN"/>
        </w:rPr>
        <w:t xml:space="preserve">    </w:t>
      </w:r>
      <w:r>
        <w:rPr>
          <w:rFonts w:hint="eastAsia" w:ascii="宋体" w:hAnsi="宋体"/>
          <w:szCs w:val="21"/>
          <w:highlight w:val="none"/>
          <w:lang w:val="zh-CN"/>
        </w:rPr>
        <w:t xml:space="preserve">       </w:t>
      </w:r>
      <w:r>
        <w:rPr>
          <w:rFonts w:ascii="宋体" w:hAnsi="宋体"/>
          <w:szCs w:val="21"/>
          <w:highlight w:val="none"/>
          <w:lang w:val="zh-CN"/>
        </w:rPr>
        <w:t xml:space="preserve"> </w:t>
      </w:r>
      <w:r>
        <w:rPr>
          <w:rFonts w:hint="eastAsia" w:ascii="宋体" w:hAnsi="宋体"/>
          <w:szCs w:val="21"/>
          <w:highlight w:val="none"/>
          <w:lang w:val="zh-CN"/>
        </w:rPr>
        <w:t xml:space="preserve">  </w:t>
      </w:r>
      <w:r>
        <w:rPr>
          <w:rFonts w:ascii="宋体" w:hAnsi="宋体"/>
          <w:szCs w:val="21"/>
          <w:highlight w:val="none"/>
          <w:lang w:val="zh-CN"/>
        </w:rPr>
        <w:t xml:space="preserve">地址：</w:t>
      </w:r>
      <w:r/>
    </w:p>
    <w:p>
      <w:pPr>
        <w:spacing w:line="360" w:lineRule="auto"/>
        <w:rPr>
          <w:rFonts w:hint="eastAsia" w:ascii="宋体" w:hAnsi="宋体"/>
          <w:szCs w:val="21"/>
          <w:highlight w:val="none"/>
          <w:lang w:val="zh-CN"/>
        </w:rPr>
      </w:pPr>
      <w:r>
        <w:rPr>
          <w:rFonts w:ascii="宋体" w:hAnsi="宋体"/>
          <w:szCs w:val="21"/>
          <w:highlight w:val="none"/>
          <w:lang w:val="zh-CN"/>
        </w:rPr>
        <w:t xml:space="preserve">电话: </w:t>
      </w:r>
      <w:r>
        <w:rPr>
          <w:rFonts w:hint="eastAsia" w:ascii="宋体" w:hAnsi="宋体"/>
          <w:szCs w:val="21"/>
          <w:highlight w:val="none"/>
          <w:lang w:val="zh-CN"/>
        </w:rPr>
        <w:t xml:space="preserve"> </w:t>
      </w:r>
      <w:r>
        <w:rPr>
          <w:rFonts w:ascii="宋体" w:hAnsi="宋体"/>
          <w:szCs w:val="21"/>
          <w:highlight w:val="none"/>
          <w:lang w:val="zh-CN"/>
        </w:rPr>
        <w:t xml:space="preserve">                     </w:t>
      </w:r>
      <w:r>
        <w:rPr>
          <w:rFonts w:hint="eastAsia" w:ascii="宋体" w:hAnsi="宋体"/>
          <w:szCs w:val="21"/>
          <w:highlight w:val="none"/>
          <w:lang w:val="zh-CN"/>
        </w:rPr>
        <w:t xml:space="preserve">       </w:t>
      </w:r>
      <w:r>
        <w:rPr>
          <w:rFonts w:ascii="宋体" w:hAnsi="宋体"/>
          <w:szCs w:val="21"/>
          <w:highlight w:val="none"/>
          <w:lang w:val="zh-CN"/>
        </w:rPr>
        <w:t xml:space="preserve">     电话: </w:t>
      </w:r>
      <w:r/>
    </w:p>
    <w:p>
      <w:pPr>
        <w:spacing w:line="360" w:lineRule="auto"/>
        <w:rPr>
          <w:rFonts w:hint="eastAsia" w:ascii="宋体" w:hAnsi="宋体"/>
          <w:szCs w:val="21"/>
          <w:highlight w:val="none"/>
          <w:lang w:val="zh-CN"/>
        </w:rPr>
      </w:pPr>
      <w:r>
        <w:rPr>
          <w:rFonts w:ascii="宋体" w:hAnsi="宋体"/>
          <w:szCs w:val="21"/>
          <w:highlight w:val="none"/>
        </w:rPr>
        <w:t xml:space="preserve">传真: </w:t>
      </w:r>
      <w:r>
        <w:rPr>
          <w:rFonts w:hint="eastAsia" w:ascii="宋体" w:hAnsi="宋体"/>
          <w:szCs w:val="21"/>
          <w:highlight w:val="none"/>
        </w:rPr>
        <w:t xml:space="preserve"> </w:t>
      </w:r>
      <w:r>
        <w:rPr>
          <w:rFonts w:ascii="宋体" w:hAnsi="宋体"/>
          <w:szCs w:val="21"/>
          <w:highlight w:val="none"/>
        </w:rPr>
        <w:t xml:space="preserve"> </w:t>
      </w:r>
      <w:r>
        <w:rPr>
          <w:rFonts w:ascii="宋体" w:hAnsi="宋体"/>
          <w:szCs w:val="21"/>
          <w:highlight w:val="none"/>
          <w:lang w:val="zh-CN"/>
        </w:rPr>
        <w:t xml:space="preserve">                  </w:t>
      </w:r>
      <w:r>
        <w:rPr>
          <w:rFonts w:hint="eastAsia" w:ascii="宋体" w:hAnsi="宋体"/>
          <w:szCs w:val="21"/>
          <w:highlight w:val="none"/>
          <w:lang w:val="zh-CN"/>
        </w:rPr>
        <w:t xml:space="preserve">       </w:t>
      </w:r>
      <w:r>
        <w:rPr>
          <w:rFonts w:ascii="宋体" w:hAnsi="宋体"/>
          <w:szCs w:val="21"/>
          <w:highlight w:val="none"/>
          <w:lang w:val="zh-CN"/>
        </w:rPr>
        <w:t xml:space="preserve">     </w:t>
      </w:r>
      <w:r>
        <w:rPr>
          <w:rFonts w:hint="eastAsia" w:ascii="宋体" w:hAnsi="宋体"/>
          <w:szCs w:val="21"/>
          <w:highlight w:val="none"/>
          <w:lang w:val="zh-CN"/>
        </w:rPr>
        <w:t xml:space="preserve"> </w:t>
      </w:r>
      <w:r>
        <w:rPr>
          <w:rFonts w:ascii="宋体" w:hAnsi="宋体"/>
          <w:szCs w:val="21"/>
          <w:highlight w:val="none"/>
          <w:lang w:val="zh-CN"/>
        </w:rPr>
        <w:t xml:space="preserve"> 传真:</w:t>
      </w:r>
      <w:r>
        <w:rPr>
          <w:rFonts w:hint="eastAsia" w:ascii="宋体" w:hAnsi="宋体"/>
          <w:szCs w:val="21"/>
          <w:highlight w:val="none"/>
          <w:lang w:val="zh-CN"/>
        </w:rPr>
        <w:t xml:space="preserve"> </w:t>
      </w:r>
      <w:r/>
    </w:p>
    <w:p>
      <w:pPr>
        <w:spacing w:line="360" w:lineRule="auto"/>
        <w:rPr>
          <w:rFonts w:hint="eastAsia" w:ascii="宋体" w:hAnsi="宋体"/>
          <w:szCs w:val="21"/>
          <w:highlight w:val="none"/>
          <w:lang w:val="zh-CN"/>
        </w:rPr>
      </w:pPr>
      <w:r>
        <w:rPr>
          <w:rFonts w:ascii="宋体" w:hAnsi="宋体"/>
          <w:szCs w:val="21"/>
          <w:highlight w:val="none"/>
          <w:lang w:val="zh-CN"/>
        </w:rPr>
        <w:t xml:space="preserve">电子邮箱：                              电子邮箱：</w:t>
      </w:r>
      <w:r/>
    </w:p>
    <w:p>
      <w:pPr>
        <w:ind w:left="5145" w:hanging="5145"/>
        <w:spacing w:line="360" w:lineRule="auto"/>
        <w:rPr>
          <w:rFonts w:hint="eastAsia" w:ascii="宋体" w:hAnsi="宋体"/>
          <w:szCs w:val="21"/>
          <w:highlight w:val="none"/>
          <w:lang w:val="zh-CN"/>
        </w:rPr>
      </w:pPr>
      <w:r>
        <w:rPr>
          <w:rFonts w:ascii="宋体" w:hAnsi="宋体"/>
          <w:szCs w:val="21"/>
          <w:highlight w:val="none"/>
          <w:lang w:val="zh-CN"/>
        </w:rPr>
        <w:t xml:space="preserve">开户银行：    </w:t>
      </w:r>
      <w:r>
        <w:rPr>
          <w:rFonts w:hint="eastAsia" w:ascii="宋体" w:hAnsi="宋体"/>
          <w:szCs w:val="21"/>
          <w:highlight w:val="none"/>
          <w:lang w:val="zh-CN"/>
        </w:rPr>
        <w:t xml:space="preserve">            </w:t>
      </w:r>
      <w:r>
        <w:rPr>
          <w:rFonts w:ascii="宋体" w:hAnsi="宋体"/>
          <w:szCs w:val="21"/>
          <w:highlight w:val="none"/>
          <w:lang w:val="zh-CN"/>
        </w:rPr>
        <w:t xml:space="preserve">         </w:t>
      </w:r>
      <w:r>
        <w:rPr>
          <w:rFonts w:hint="eastAsia" w:ascii="宋体" w:hAnsi="宋体"/>
          <w:szCs w:val="21"/>
          <w:highlight w:val="none"/>
          <w:lang w:val="zh-CN"/>
        </w:rPr>
        <w:t xml:space="preserve">    </w:t>
      </w:r>
      <w:r>
        <w:rPr>
          <w:rFonts w:ascii="宋体" w:hAnsi="宋体"/>
          <w:szCs w:val="21"/>
          <w:highlight w:val="none"/>
          <w:lang w:val="zh-CN"/>
        </w:rPr>
        <w:t xml:space="preserve"> 开户银行：</w:t>
      </w:r>
      <w:r>
        <w:rPr>
          <w:rFonts w:hint="eastAsia" w:ascii="宋体" w:hAnsi="宋体" w:cs="宋体"/>
          <w:szCs w:val="21"/>
          <w:highlight w:val="none"/>
          <w:lang w:val="zh-CN"/>
        </w:rPr>
        <w:t xml:space="preserve">    </w:t>
      </w:r>
      <w:r/>
    </w:p>
    <w:p>
      <w:pPr>
        <w:spacing w:line="360" w:lineRule="auto"/>
        <w:rPr>
          <w:rFonts w:hint="eastAsia" w:ascii="宋体" w:hAnsi="宋体"/>
          <w:szCs w:val="21"/>
          <w:highlight w:val="none"/>
          <w:lang w:val="zh-CN"/>
        </w:rPr>
      </w:pPr>
      <w:r>
        <w:rPr>
          <w:rFonts w:ascii="宋体" w:hAnsi="宋体"/>
          <w:szCs w:val="21"/>
          <w:highlight w:val="none"/>
          <w:lang w:val="zh-CN"/>
        </w:rPr>
        <w:t xml:space="preserve">开户账号：</w:t>
      </w:r>
      <w:r>
        <w:rPr>
          <w:rFonts w:hint="eastAsia" w:ascii="宋体" w:hAnsi="宋体"/>
          <w:szCs w:val="21"/>
          <w:highlight w:val="none"/>
          <w:lang w:val="zh-CN"/>
        </w:rPr>
        <w:t xml:space="preserve">             </w:t>
      </w:r>
      <w:r>
        <w:rPr>
          <w:rFonts w:ascii="宋体" w:hAnsi="宋体"/>
          <w:szCs w:val="21"/>
          <w:highlight w:val="none"/>
          <w:lang w:val="zh-CN"/>
        </w:rPr>
        <w:t xml:space="preserve">                </w:t>
      </w:r>
      <w:r>
        <w:rPr>
          <w:rFonts w:hint="eastAsia" w:ascii="宋体" w:hAnsi="宋体"/>
          <w:szCs w:val="21"/>
          <w:highlight w:val="none"/>
          <w:lang w:val="zh-CN"/>
        </w:rPr>
        <w:t xml:space="preserve"> </w:t>
      </w:r>
      <w:r>
        <w:rPr>
          <w:rFonts w:ascii="宋体" w:hAnsi="宋体"/>
          <w:szCs w:val="21"/>
          <w:highlight w:val="none"/>
          <w:lang w:val="zh-CN"/>
        </w:rPr>
        <w:t xml:space="preserve">开户账号</w:t>
      </w:r>
      <w:r>
        <w:rPr>
          <w:rFonts w:hint="eastAsia" w:ascii="宋体" w:hAnsi="宋体"/>
          <w:szCs w:val="21"/>
          <w:highlight w:val="none"/>
          <w:lang w:val="zh-CN"/>
        </w:rPr>
        <w:t xml:space="preserve">：</w:t>
      </w:r>
      <w:r/>
    </w:p>
    <w:p>
      <w:pPr>
        <w:ind w:left="420" w:firstLine="400"/>
        <w:jc w:val="center"/>
        <w:spacing w:line="360" w:lineRule="auto"/>
        <w:rPr>
          <w:rFonts w:hint="eastAsia" w:ascii="宋体" w:hAnsi="宋体"/>
          <w:b/>
          <w:sz w:val="30"/>
          <w:szCs w:val="30"/>
          <w:highlight w:val="none"/>
        </w:rPr>
      </w:pPr>
      <w:r>
        <w:rPr>
          <w:rFonts w:ascii="仿宋" w:hAnsi="仿宋" w:eastAsia="仿宋_GB2312"/>
          <w:sz w:val="20"/>
          <w:highlight w:val="none"/>
          <w:lang w:val="zh-CN"/>
        </w:rPr>
        <w:br w:type="page" w:clear="all"/>
      </w:r>
      <w:r>
        <w:rPr>
          <w:rFonts w:ascii="宋体" w:hAnsi="宋体"/>
          <w:b/>
          <w:sz w:val="30"/>
          <w:szCs w:val="30"/>
          <w:highlight w:val="none"/>
        </w:rPr>
        <w:t xml:space="preserve">合同一般条款</w:t>
      </w:r>
      <w:r/>
    </w:p>
    <w:p>
      <w:pPr>
        <w:spacing w:line="360" w:lineRule="auto"/>
        <w:rPr>
          <w:rFonts w:hint="eastAsia" w:ascii="宋体" w:hAnsi="宋体"/>
          <w:b/>
          <w:szCs w:val="21"/>
          <w:highlight w:val="none"/>
          <w:lang w:val="zh-CN"/>
        </w:rPr>
      </w:pPr>
      <w:r/>
      <w:bookmarkStart w:id="206" w:name="_Ref467379214"/>
      <w:r/>
      <w:bookmarkStart w:id="207" w:name="_Toc487900349"/>
      <w:r/>
      <w:bookmarkStart w:id="208" w:name="_Toc279701240"/>
      <w:r/>
      <w:bookmarkStart w:id="209" w:name="_Toc259093669"/>
      <w:r/>
      <w:bookmarkStart w:id="210" w:name="_Ref467379094"/>
      <w:r/>
      <w:bookmarkStart w:id="211" w:name="_Ref467379109"/>
      <w:r/>
      <w:bookmarkStart w:id="212" w:name="_Toc16917"/>
      <w:r/>
      <w:bookmarkStart w:id="213" w:name="_Ref467378463"/>
      <w:r/>
      <w:bookmarkStart w:id="214" w:name="_Ref467378499"/>
      <w:r/>
      <w:bookmarkStart w:id="215" w:name="_Toc28763"/>
      <w:r/>
      <w:bookmarkStart w:id="216" w:name="_Ref467379195"/>
      <w:r/>
      <w:bookmarkStart w:id="217" w:name="_Ref467378404"/>
      <w:r/>
      <w:bookmarkStart w:id="218" w:name="_Ref467379101"/>
      <w:r/>
      <w:bookmarkStart w:id="219" w:name="_Ref467379205"/>
      <w:r/>
      <w:bookmarkStart w:id="220" w:name="_Ref467379225"/>
      <w:r/>
      <w:bookmarkStart w:id="221" w:name="_Toc19614"/>
      <w:r>
        <w:rPr>
          <w:rFonts w:ascii="宋体" w:hAnsi="宋体"/>
          <w:b/>
          <w:szCs w:val="21"/>
          <w:highlight w:val="none"/>
          <w:lang w:val="zh-CN"/>
        </w:rPr>
        <w:t xml:space="preserve">1、 定义</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
    </w:p>
    <w:p>
      <w:pPr>
        <w:ind w:firstLine="420"/>
        <w:spacing w:line="360" w:lineRule="auto"/>
        <w:rPr>
          <w:rFonts w:hint="eastAsia" w:ascii="宋体" w:hAnsi="宋体"/>
          <w:szCs w:val="21"/>
          <w:highlight w:val="none"/>
        </w:rPr>
      </w:pPr>
      <w:r>
        <w:rPr>
          <w:rFonts w:ascii="宋体" w:hAnsi="宋体"/>
          <w:szCs w:val="21"/>
          <w:highlight w:val="none"/>
        </w:rPr>
        <w:t xml:space="preserve">本合同中的下列词语应按以下内容进行解释：</w:t>
      </w:r>
      <w:r/>
    </w:p>
    <w:p>
      <w:pPr>
        <w:ind w:firstLine="420"/>
        <w:spacing w:line="360" w:lineRule="auto"/>
        <w:rPr>
          <w:rFonts w:hint="eastAsia" w:ascii="宋体" w:hAnsi="宋体"/>
          <w:szCs w:val="21"/>
          <w:highlight w:val="none"/>
        </w:rPr>
      </w:pPr>
      <w:r>
        <w:rPr>
          <w:rFonts w:ascii="宋体" w:hAnsi="宋体"/>
          <w:szCs w:val="21"/>
          <w:highlight w:val="none"/>
        </w:rPr>
        <w:t xml:space="preserve">1.1 “合同”系指采购人和中标供应商签订的载明双方当事人所达成的协议，并包括所有的附件、附录和构成合同的其他文件。</w:t>
      </w:r>
      <w:r/>
    </w:p>
    <w:p>
      <w:pPr>
        <w:ind w:firstLine="420"/>
        <w:spacing w:line="360" w:lineRule="auto"/>
        <w:rPr>
          <w:rFonts w:hint="eastAsia" w:ascii="宋体" w:hAnsi="宋体"/>
          <w:szCs w:val="21"/>
          <w:highlight w:val="none"/>
        </w:rPr>
      </w:pPr>
      <w:r>
        <w:rPr>
          <w:rFonts w:ascii="宋体" w:hAnsi="宋体"/>
          <w:szCs w:val="21"/>
          <w:highlight w:val="none"/>
        </w:rPr>
        <w:t xml:space="preserve">1.2 “合同价”系指根据合同约定，中标供应商在完全履行合同义务后，采购人应支付给中标供应商的价格。</w:t>
      </w:r>
      <w:r/>
    </w:p>
    <w:p>
      <w:pPr>
        <w:ind w:firstLine="420"/>
        <w:spacing w:line="360" w:lineRule="auto"/>
        <w:rPr>
          <w:rFonts w:hint="eastAsia" w:ascii="宋体" w:hAnsi="宋体"/>
          <w:szCs w:val="21"/>
          <w:highlight w:val="none"/>
        </w:rPr>
      </w:pPr>
      <w:r>
        <w:rPr>
          <w:rFonts w:ascii="宋体" w:hAnsi="宋体"/>
          <w:szCs w:val="21"/>
          <w:highlight w:val="none"/>
        </w:rPr>
        <w:t xml:space="preserve">1.3 “货物”系指中标供应商根据合同约定应向采购人交付的一切各种形态和种类的物品，包括原材料、燃料、设备、机械、仪表、备件、计算机软件、产品等，并包括工具、手册等其他相关资料。</w:t>
      </w:r>
      <w:r/>
    </w:p>
    <w:p>
      <w:pPr>
        <w:ind w:firstLine="420"/>
        <w:spacing w:line="360" w:lineRule="auto"/>
        <w:rPr>
          <w:rFonts w:hint="eastAsia" w:ascii="宋体" w:hAnsi="宋体"/>
          <w:szCs w:val="21"/>
          <w:highlight w:val="none"/>
        </w:rPr>
      </w:pPr>
      <w:r/>
      <w:bookmarkStart w:id="222" w:name="_Ref467378840"/>
      <w:r>
        <w:rPr>
          <w:rFonts w:ascii="宋体" w:hAnsi="宋体"/>
          <w:szCs w:val="21"/>
          <w:highlight w:val="none"/>
        </w:rPr>
        <w:t xml:space="preserve">1.4 “甲方”系指与中标供应商签署合同的采购人</w:t>
      </w:r>
      <w:bookmarkEnd w:id="222"/>
      <w:r>
        <w:rPr>
          <w:rFonts w:ascii="宋体" w:hAnsi="宋体"/>
          <w:szCs w:val="21"/>
          <w:highlight w:val="none"/>
        </w:rPr>
        <w:t xml:space="preserve">；采购人委托采购机构代表其与乙方签订合同的，采购人的授权委托书作为合同附件。</w:t>
      </w:r>
      <w:r/>
    </w:p>
    <w:p>
      <w:pPr>
        <w:ind w:firstLine="420"/>
        <w:spacing w:line="360" w:lineRule="auto"/>
        <w:rPr>
          <w:rFonts w:hint="eastAsia" w:ascii="宋体" w:hAnsi="宋体"/>
          <w:szCs w:val="21"/>
          <w:highlight w:val="none"/>
        </w:rPr>
      </w:pPr>
      <w:r/>
      <w:bookmarkStart w:id="223" w:name="_Ref467379400"/>
      <w:r>
        <w:rPr>
          <w:rFonts w:ascii="宋体" w:hAnsi="宋体"/>
          <w:szCs w:val="21"/>
          <w:highlight w:val="none"/>
        </w:rPr>
        <w:t xml:space="preserve">1.5 “乙方”系指根据合同约定交付货物的中标供应商</w:t>
      </w:r>
      <w:bookmarkEnd w:id="223"/>
      <w:r>
        <w:rPr>
          <w:rFonts w:ascii="宋体" w:hAnsi="宋体"/>
          <w:szCs w:val="21"/>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20"/>
        <w:spacing w:line="360" w:lineRule="auto"/>
        <w:rPr>
          <w:rFonts w:hint="eastAsia" w:ascii="宋体" w:hAnsi="宋体"/>
          <w:szCs w:val="21"/>
          <w:highlight w:val="none"/>
        </w:rPr>
      </w:pPr>
      <w:r/>
      <w:bookmarkStart w:id="224" w:name="_Ref467379436"/>
      <w:r>
        <w:rPr>
          <w:rFonts w:ascii="宋体" w:hAnsi="宋体"/>
          <w:szCs w:val="21"/>
          <w:highlight w:val="none"/>
        </w:rPr>
        <w:t xml:space="preserve">1.6 “现场”系指合同约定货物将要运至或者安装的地点。</w:t>
      </w:r>
      <w:bookmarkEnd w:id="224"/>
      <w:r/>
      <w:r/>
    </w:p>
    <w:p>
      <w:pPr>
        <w:spacing w:line="360" w:lineRule="auto"/>
        <w:rPr>
          <w:rFonts w:hint="eastAsia" w:ascii="宋体" w:hAnsi="宋体"/>
          <w:b/>
          <w:szCs w:val="21"/>
          <w:highlight w:val="none"/>
          <w:lang w:val="zh-CN"/>
        </w:rPr>
      </w:pPr>
      <w:r/>
      <w:bookmarkStart w:id="225" w:name="_Toc487900350"/>
      <w:r/>
      <w:bookmarkStart w:id="226" w:name="_Toc259093670"/>
      <w:r/>
      <w:bookmarkStart w:id="227" w:name="_Toc13336"/>
      <w:r/>
      <w:bookmarkStart w:id="228" w:name="_Toc27635"/>
      <w:r/>
      <w:bookmarkStart w:id="229" w:name="_Toc32504"/>
      <w:r/>
      <w:bookmarkStart w:id="230" w:name="_Toc279701241"/>
      <w:r>
        <w:rPr>
          <w:rFonts w:hint="eastAsia" w:ascii="宋体" w:hAnsi="宋体"/>
          <w:b/>
          <w:szCs w:val="21"/>
          <w:highlight w:val="none"/>
          <w:lang w:val="zh-CN"/>
        </w:rPr>
        <w:t xml:space="preserve">2、</w:t>
      </w:r>
      <w:r>
        <w:rPr>
          <w:rFonts w:ascii="宋体" w:hAnsi="宋体"/>
          <w:b/>
          <w:szCs w:val="21"/>
          <w:highlight w:val="none"/>
          <w:lang w:val="zh-CN"/>
        </w:rPr>
        <w:t xml:space="preserve"> 技术规范</w:t>
      </w:r>
      <w:bookmarkEnd w:id="225"/>
      <w:r/>
      <w:bookmarkEnd w:id="226"/>
      <w:r/>
      <w:bookmarkEnd w:id="227"/>
      <w:r/>
      <w:bookmarkEnd w:id="228"/>
      <w:r/>
      <w:bookmarkEnd w:id="229"/>
      <w:r/>
      <w:bookmarkEnd w:id="230"/>
      <w:r/>
      <w:r/>
    </w:p>
    <w:p>
      <w:pPr>
        <w:ind w:firstLine="420"/>
        <w:spacing w:line="360" w:lineRule="auto"/>
        <w:rPr>
          <w:rFonts w:hint="eastAsia" w:ascii="宋体" w:hAnsi="宋体"/>
          <w:szCs w:val="21"/>
          <w:highlight w:val="none"/>
        </w:rPr>
      </w:pPr>
      <w:r>
        <w:rPr>
          <w:rFonts w:ascii="宋体" w:hAnsi="宋体"/>
          <w:szCs w:val="21"/>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spacing w:line="360" w:lineRule="auto"/>
        <w:rPr>
          <w:rFonts w:hint="eastAsia" w:ascii="宋体" w:hAnsi="宋体"/>
          <w:b/>
          <w:szCs w:val="21"/>
          <w:highlight w:val="none"/>
          <w:lang w:val="zh-CN"/>
        </w:rPr>
      </w:pPr>
      <w:r/>
      <w:bookmarkStart w:id="231" w:name="_Toc259093671"/>
      <w:r/>
      <w:bookmarkStart w:id="232" w:name="_Toc27853"/>
      <w:r/>
      <w:bookmarkStart w:id="233" w:name="_Toc487900351"/>
      <w:r/>
      <w:bookmarkStart w:id="234" w:name="_Toc9829"/>
      <w:r/>
      <w:bookmarkStart w:id="235" w:name="_Toc279701242"/>
      <w:r/>
      <w:bookmarkStart w:id="236" w:name="_Toc31634"/>
      <w:r>
        <w:rPr>
          <w:rFonts w:hint="eastAsia" w:ascii="宋体" w:hAnsi="宋体"/>
          <w:b/>
          <w:szCs w:val="21"/>
          <w:highlight w:val="none"/>
          <w:lang w:val="zh-CN"/>
        </w:rPr>
        <w:t xml:space="preserve">3</w:t>
      </w:r>
      <w:r>
        <w:rPr>
          <w:rFonts w:ascii="宋体" w:hAnsi="宋体"/>
          <w:b/>
          <w:szCs w:val="21"/>
          <w:highlight w:val="none"/>
          <w:lang w:val="zh-CN"/>
        </w:rPr>
        <w:t xml:space="preserve">、 知识产权</w:t>
      </w:r>
      <w:bookmarkEnd w:id="231"/>
      <w:r/>
      <w:bookmarkEnd w:id="232"/>
      <w:r/>
      <w:bookmarkEnd w:id="233"/>
      <w:r/>
      <w:bookmarkEnd w:id="234"/>
      <w:r/>
      <w:bookmarkEnd w:id="235"/>
      <w:r/>
      <w:bookmarkEnd w:id="236"/>
      <w:r/>
      <w:r/>
    </w:p>
    <w:p>
      <w:pPr>
        <w:ind w:firstLine="420"/>
        <w:spacing w:line="360" w:lineRule="auto"/>
        <w:rPr>
          <w:rFonts w:hint="eastAsia" w:ascii="宋体" w:hAnsi="宋体"/>
          <w:szCs w:val="21"/>
          <w:highlight w:val="none"/>
        </w:rPr>
      </w:pPr>
      <w:r>
        <w:rPr>
          <w:rFonts w:ascii="宋体" w:hAnsi="宋体"/>
          <w:szCs w:val="21"/>
          <w:highlight w:val="none"/>
        </w:rPr>
        <w:t xml:space="preserve">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20"/>
        <w:spacing w:line="360" w:lineRule="auto"/>
        <w:rPr>
          <w:rFonts w:hint="eastAsia" w:ascii="宋体" w:hAnsi="宋体"/>
          <w:szCs w:val="21"/>
          <w:highlight w:val="none"/>
        </w:rPr>
      </w:pPr>
      <w:r>
        <w:rPr>
          <w:rFonts w:ascii="宋体" w:hAnsi="宋体"/>
          <w:szCs w:val="21"/>
          <w:highlight w:val="none"/>
        </w:rPr>
        <w:t xml:space="preserve">3.2具有知识产权的计算机软件等货物的知识产权归属，详见</w:t>
      </w:r>
      <w:r>
        <w:rPr>
          <w:rFonts w:ascii="宋体" w:hAnsi="宋体"/>
          <w:b/>
          <w:iCs/>
          <w:szCs w:val="21"/>
          <w:highlight w:val="none"/>
          <w:u w:val="single"/>
        </w:rPr>
        <w:t xml:space="preserve">合同专用条款</w:t>
      </w:r>
      <w:r>
        <w:rPr>
          <w:rFonts w:ascii="宋体" w:hAnsi="宋体"/>
          <w:iCs/>
          <w:szCs w:val="21"/>
          <w:highlight w:val="none"/>
        </w:rPr>
        <w:t xml:space="preserve">。</w:t>
      </w:r>
      <w:r/>
    </w:p>
    <w:p>
      <w:pPr>
        <w:spacing w:line="360" w:lineRule="auto"/>
        <w:rPr>
          <w:rFonts w:hint="eastAsia" w:ascii="宋体" w:hAnsi="宋体"/>
          <w:b/>
          <w:szCs w:val="21"/>
          <w:highlight w:val="none"/>
          <w:lang w:val="zh-CN"/>
        </w:rPr>
      </w:pPr>
      <w:r/>
      <w:bookmarkStart w:id="237" w:name="_Toc4194"/>
      <w:r/>
      <w:bookmarkStart w:id="238" w:name="_Toc29149"/>
      <w:r/>
      <w:bookmarkStart w:id="239" w:name="_Toc11932"/>
      <w:r>
        <w:rPr>
          <w:rFonts w:hint="eastAsia" w:ascii="宋体" w:hAnsi="宋体"/>
          <w:b/>
          <w:szCs w:val="21"/>
          <w:highlight w:val="none"/>
          <w:lang w:val="zh-CN"/>
        </w:rPr>
        <w:t xml:space="preserve">4、</w:t>
      </w:r>
      <w:r>
        <w:rPr>
          <w:rFonts w:ascii="宋体" w:hAnsi="宋体"/>
          <w:b/>
          <w:szCs w:val="21"/>
          <w:highlight w:val="none"/>
          <w:lang w:val="zh-CN"/>
        </w:rPr>
        <w:t xml:space="preserve">包装和装运</w:t>
      </w:r>
      <w:bookmarkEnd w:id="237"/>
      <w:r/>
      <w:bookmarkEnd w:id="238"/>
      <w:r/>
      <w:bookmarkEnd w:id="239"/>
      <w:r/>
      <w:r/>
    </w:p>
    <w:p>
      <w:pPr>
        <w:ind w:firstLine="420"/>
        <w:spacing w:line="360" w:lineRule="auto"/>
        <w:rPr>
          <w:rFonts w:hint="eastAsia" w:ascii="宋体" w:hAnsi="宋体"/>
          <w:szCs w:val="21"/>
          <w:highlight w:val="none"/>
        </w:rPr>
      </w:pPr>
      <w:r>
        <w:rPr>
          <w:rFonts w:ascii="宋体" w:hAnsi="宋体"/>
          <w:szCs w:val="21"/>
          <w:highlight w:val="none"/>
        </w:rPr>
        <w:t xml:space="preserve">4.1除</w:t>
      </w:r>
      <w:r>
        <w:rPr>
          <w:rFonts w:ascii="宋体" w:hAnsi="宋体"/>
          <w:b/>
          <w:iCs/>
          <w:szCs w:val="21"/>
          <w:highlight w:val="none"/>
          <w:u w:val="single"/>
        </w:rPr>
        <w:t xml:space="preserve">合同专用条款</w:t>
      </w:r>
      <w:r>
        <w:rPr>
          <w:rFonts w:ascii="宋体" w:hAnsi="宋体"/>
          <w:szCs w:val="21"/>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20"/>
        <w:spacing w:line="360" w:lineRule="auto"/>
        <w:rPr>
          <w:rFonts w:hint="eastAsia" w:ascii="宋体" w:hAnsi="宋体"/>
          <w:szCs w:val="21"/>
          <w:highlight w:val="none"/>
        </w:rPr>
      </w:pPr>
      <w:r>
        <w:rPr>
          <w:rFonts w:ascii="宋体" w:hAnsi="宋体"/>
          <w:szCs w:val="21"/>
          <w:highlight w:val="none"/>
        </w:rPr>
        <w:t xml:space="preserve">4.2 装运货物的要求和通知，详见</w:t>
      </w:r>
      <w:r>
        <w:rPr>
          <w:rFonts w:ascii="宋体" w:hAnsi="宋体"/>
          <w:b/>
          <w:iCs/>
          <w:szCs w:val="21"/>
          <w:highlight w:val="none"/>
          <w:u w:val="single"/>
        </w:rPr>
        <w:t xml:space="preserve">合同专用条款</w:t>
      </w:r>
      <w:r>
        <w:rPr>
          <w:rFonts w:ascii="宋体" w:hAnsi="宋体"/>
          <w:szCs w:val="21"/>
          <w:highlight w:val="none"/>
        </w:rPr>
        <w:t xml:space="preserve">。</w:t>
      </w:r>
      <w:r/>
    </w:p>
    <w:p>
      <w:pPr>
        <w:spacing w:line="360" w:lineRule="auto"/>
        <w:rPr>
          <w:rFonts w:hint="eastAsia" w:ascii="宋体" w:hAnsi="宋体"/>
          <w:b/>
          <w:szCs w:val="21"/>
          <w:highlight w:val="none"/>
          <w:lang w:val="zh-CN"/>
        </w:rPr>
      </w:pPr>
      <w:r/>
      <w:bookmarkStart w:id="240" w:name="_Toc26182"/>
      <w:r/>
      <w:bookmarkStart w:id="241" w:name="_Toc19074"/>
      <w:r/>
      <w:bookmarkStart w:id="242" w:name="_Toc30272"/>
      <w:r>
        <w:rPr>
          <w:rFonts w:hint="eastAsia" w:ascii="宋体" w:hAnsi="宋体"/>
          <w:b/>
          <w:szCs w:val="21"/>
          <w:highlight w:val="none"/>
          <w:lang w:val="zh-CN"/>
        </w:rPr>
        <w:t xml:space="preserve">5、</w:t>
      </w:r>
      <w:r>
        <w:rPr>
          <w:rFonts w:ascii="宋体" w:hAnsi="宋体"/>
          <w:b/>
          <w:szCs w:val="21"/>
          <w:highlight w:val="none"/>
          <w:lang w:val="zh-CN"/>
        </w:rPr>
        <w:t xml:space="preserve">履约检查和问题反馈</w:t>
      </w:r>
      <w:bookmarkEnd w:id="240"/>
      <w:r/>
      <w:bookmarkEnd w:id="241"/>
      <w:r/>
      <w:bookmarkEnd w:id="242"/>
      <w:r/>
      <w:r/>
    </w:p>
    <w:p>
      <w:pPr>
        <w:ind w:firstLine="420"/>
        <w:spacing w:line="360" w:lineRule="auto"/>
        <w:rPr>
          <w:rFonts w:hint="eastAsia" w:ascii="宋体" w:hAnsi="宋体"/>
          <w:szCs w:val="21"/>
          <w:highlight w:val="none"/>
        </w:rPr>
      </w:pPr>
      <w:r/>
      <w:bookmarkStart w:id="243" w:name="_Ref467379657"/>
      <w:r>
        <w:rPr>
          <w:rFonts w:ascii="宋体" w:hAnsi="宋体"/>
          <w:szCs w:val="21"/>
          <w:highlight w:val="none"/>
        </w:rPr>
        <w:t xml:space="preserve">5.1</w:t>
      </w:r>
      <w:bookmarkEnd w:id="243"/>
      <w:r/>
      <w:bookmarkStart w:id="244" w:name="_Toc186431854"/>
      <w:r/>
      <w:bookmarkStart w:id="245" w:name="_Toc279701247"/>
      <w:r/>
      <w:bookmarkStart w:id="246" w:name="_Toc487900357"/>
      <w:r/>
      <w:bookmarkStart w:id="247" w:name="_Toc259093676"/>
      <w:r/>
      <w:bookmarkStart w:id="248" w:name="_Ref467379793"/>
      <w:r/>
      <w:bookmarkStart w:id="249" w:name="_Ref467379807"/>
      <w:r>
        <w:rPr>
          <w:rFonts w:ascii="宋体" w:hAnsi="宋体"/>
          <w:szCs w:val="21"/>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20"/>
        <w:spacing w:line="360" w:lineRule="auto"/>
        <w:rPr>
          <w:rFonts w:hint="eastAsia" w:ascii="宋体" w:hAnsi="宋体"/>
          <w:szCs w:val="21"/>
          <w:highlight w:val="none"/>
        </w:rPr>
      </w:pPr>
      <w:r>
        <w:rPr>
          <w:rFonts w:ascii="宋体" w:hAnsi="宋体"/>
          <w:szCs w:val="21"/>
          <w:highlight w:val="none"/>
        </w:rPr>
        <w:t xml:space="preserve">5.2 合同履行期间，甲方有权将履行过程中出现的问题反馈给乙方，双方当事人应以书面形式约定需要完善和改进的内容</w:t>
      </w:r>
      <w:bookmarkEnd w:id="244"/>
      <w:r/>
      <w:bookmarkStart w:id="250" w:name="_Toc186431855"/>
      <w:r>
        <w:rPr>
          <w:rFonts w:ascii="宋体" w:hAnsi="宋体"/>
          <w:szCs w:val="21"/>
          <w:highlight w:val="none"/>
        </w:rPr>
        <w:t xml:space="preserve">。</w:t>
      </w:r>
      <w:bookmarkEnd w:id="250"/>
      <w:r/>
      <w:r/>
    </w:p>
    <w:p>
      <w:pPr>
        <w:spacing w:line="360" w:lineRule="auto"/>
        <w:rPr>
          <w:rFonts w:hint="eastAsia" w:ascii="宋体" w:hAnsi="宋体"/>
          <w:b/>
          <w:szCs w:val="21"/>
          <w:highlight w:val="none"/>
          <w:lang w:val="zh-CN"/>
        </w:rPr>
      </w:pPr>
      <w:r/>
      <w:bookmarkStart w:id="251" w:name="_Toc19219"/>
      <w:r/>
      <w:bookmarkStart w:id="252" w:name="_Toc7836"/>
      <w:r/>
      <w:bookmarkStart w:id="253" w:name="_Toc28451"/>
      <w:r>
        <w:rPr>
          <w:rFonts w:hint="eastAsia" w:ascii="宋体" w:hAnsi="宋体"/>
          <w:b/>
          <w:szCs w:val="21"/>
          <w:highlight w:val="none"/>
          <w:lang w:val="zh-CN"/>
        </w:rPr>
        <w:t xml:space="preserve">6、</w:t>
      </w:r>
      <w:r>
        <w:rPr>
          <w:rFonts w:ascii="宋体" w:hAnsi="宋体"/>
          <w:b/>
          <w:szCs w:val="21"/>
          <w:highlight w:val="none"/>
          <w:lang w:val="zh-CN"/>
        </w:rPr>
        <w:t xml:space="preserve"> 结算方式和付款条件</w:t>
      </w:r>
      <w:bookmarkEnd w:id="245"/>
      <w:r/>
      <w:bookmarkEnd w:id="246"/>
      <w:r/>
      <w:bookmarkEnd w:id="247"/>
      <w:r/>
      <w:bookmarkEnd w:id="248"/>
      <w:r/>
      <w:bookmarkEnd w:id="249"/>
      <w:r/>
      <w:bookmarkEnd w:id="251"/>
      <w:r/>
      <w:bookmarkEnd w:id="252"/>
      <w:r/>
      <w:bookmarkEnd w:id="253"/>
      <w:r/>
      <w:r/>
    </w:p>
    <w:p>
      <w:pPr>
        <w:ind w:firstLine="420"/>
        <w:spacing w:line="360" w:lineRule="auto"/>
        <w:rPr>
          <w:rFonts w:hint="eastAsia" w:ascii="宋体" w:hAnsi="宋体"/>
          <w:szCs w:val="21"/>
          <w:highlight w:val="none"/>
        </w:rPr>
      </w:pPr>
      <w:r>
        <w:rPr>
          <w:rFonts w:ascii="宋体" w:hAnsi="宋体"/>
          <w:szCs w:val="21"/>
          <w:highlight w:val="none"/>
        </w:rPr>
        <w:t xml:space="preserve">详见</w:t>
      </w:r>
      <w:r>
        <w:rPr>
          <w:rFonts w:ascii="宋体" w:hAnsi="宋体"/>
          <w:b/>
          <w:iCs/>
          <w:szCs w:val="21"/>
          <w:highlight w:val="none"/>
          <w:u w:val="single"/>
        </w:rPr>
        <w:t xml:space="preserve">合同专用条款</w:t>
      </w:r>
      <w:r>
        <w:rPr>
          <w:rFonts w:ascii="宋体" w:hAnsi="宋体"/>
          <w:szCs w:val="21"/>
          <w:highlight w:val="none"/>
        </w:rPr>
        <w:t xml:space="preserve">。</w:t>
      </w:r>
      <w:r/>
    </w:p>
    <w:p>
      <w:pPr>
        <w:spacing w:line="360" w:lineRule="auto"/>
        <w:rPr>
          <w:rFonts w:hint="eastAsia" w:ascii="宋体" w:hAnsi="宋体"/>
          <w:b/>
          <w:szCs w:val="21"/>
          <w:highlight w:val="none"/>
          <w:lang w:val="zh-CN"/>
        </w:rPr>
      </w:pPr>
      <w:r/>
      <w:bookmarkStart w:id="254" w:name="_Ref467379863"/>
      <w:r/>
      <w:bookmarkStart w:id="255" w:name="_Toc279701248"/>
      <w:r/>
      <w:bookmarkStart w:id="256" w:name="_Toc259093677"/>
      <w:r/>
      <w:bookmarkStart w:id="257" w:name="_Ref467379852"/>
      <w:r/>
      <w:bookmarkStart w:id="258" w:name="_Ref467379923"/>
      <w:r/>
      <w:bookmarkStart w:id="259" w:name="_Toc487900358"/>
      <w:r/>
      <w:bookmarkStart w:id="260" w:name="_Toc16110"/>
      <w:r/>
      <w:bookmarkStart w:id="261" w:name="_Toc774"/>
      <w:r/>
      <w:bookmarkStart w:id="262" w:name="_Toc3225"/>
      <w:r>
        <w:rPr>
          <w:rFonts w:hint="eastAsia" w:ascii="宋体" w:hAnsi="宋体"/>
          <w:b/>
          <w:szCs w:val="21"/>
          <w:highlight w:val="none"/>
          <w:lang w:val="zh-CN"/>
        </w:rPr>
        <w:t xml:space="preserve">7、</w:t>
      </w:r>
      <w:r>
        <w:rPr>
          <w:rFonts w:ascii="宋体" w:hAnsi="宋体"/>
          <w:b/>
          <w:szCs w:val="21"/>
          <w:highlight w:val="none"/>
          <w:lang w:val="zh-CN"/>
        </w:rPr>
        <w:t xml:space="preserve">技术资料</w:t>
      </w:r>
      <w:bookmarkEnd w:id="254"/>
      <w:r/>
      <w:bookmarkEnd w:id="255"/>
      <w:r/>
      <w:bookmarkEnd w:id="256"/>
      <w:r/>
      <w:bookmarkEnd w:id="257"/>
      <w:r/>
      <w:bookmarkEnd w:id="258"/>
      <w:r/>
      <w:bookmarkEnd w:id="259"/>
      <w:r>
        <w:rPr>
          <w:rFonts w:ascii="宋体" w:hAnsi="宋体"/>
          <w:b/>
          <w:szCs w:val="21"/>
          <w:highlight w:val="none"/>
          <w:lang w:val="zh-CN"/>
        </w:rPr>
        <w:t xml:space="preserve">和保密义务</w:t>
      </w:r>
      <w:bookmarkEnd w:id="260"/>
      <w:r/>
      <w:bookmarkEnd w:id="261"/>
      <w:r/>
      <w:bookmarkEnd w:id="262"/>
      <w:r/>
      <w:r/>
    </w:p>
    <w:p>
      <w:pPr>
        <w:ind w:firstLine="420"/>
        <w:spacing w:line="360" w:lineRule="auto"/>
        <w:rPr>
          <w:rFonts w:hint="eastAsia" w:ascii="宋体" w:hAnsi="宋体"/>
          <w:szCs w:val="21"/>
          <w:highlight w:val="none"/>
        </w:rPr>
      </w:pPr>
      <w:r>
        <w:rPr>
          <w:rFonts w:ascii="宋体" w:hAnsi="宋体"/>
          <w:szCs w:val="21"/>
          <w:highlight w:val="none"/>
        </w:rPr>
        <w:t xml:space="preserve">7.1 乙方有权依据合同约定和项目需要，向甲方了解有关情况，调阅有关资料等，甲方应予积极配合；</w:t>
      </w:r>
      <w:r/>
    </w:p>
    <w:p>
      <w:pPr>
        <w:ind w:firstLine="420"/>
        <w:spacing w:line="360" w:lineRule="auto"/>
        <w:rPr>
          <w:rFonts w:hint="eastAsia" w:ascii="宋体" w:hAnsi="宋体"/>
          <w:szCs w:val="21"/>
          <w:highlight w:val="none"/>
        </w:rPr>
      </w:pPr>
      <w:r>
        <w:rPr>
          <w:rFonts w:ascii="宋体" w:hAnsi="宋体"/>
          <w:szCs w:val="21"/>
          <w:highlight w:val="none"/>
        </w:rPr>
        <w:t xml:space="preserve">7.2 乙方有义务妥善保管和保护由甲方提供的前款信息和资料等；</w:t>
      </w:r>
      <w:r/>
    </w:p>
    <w:p>
      <w:pPr>
        <w:ind w:firstLine="420"/>
        <w:spacing w:line="360" w:lineRule="auto"/>
        <w:rPr>
          <w:rFonts w:hint="eastAsia" w:ascii="宋体" w:hAnsi="宋体"/>
          <w:szCs w:val="21"/>
          <w:highlight w:val="none"/>
        </w:rPr>
      </w:pPr>
      <w:r>
        <w:rPr>
          <w:rFonts w:ascii="宋体" w:hAnsi="宋体"/>
          <w:szCs w:val="21"/>
          <w:highlight w:val="none"/>
        </w:rPr>
        <w:t xml:space="preserve">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spacing w:line="360" w:lineRule="auto"/>
        <w:rPr>
          <w:rFonts w:hint="eastAsia" w:ascii="宋体" w:hAnsi="宋体"/>
          <w:b/>
          <w:szCs w:val="21"/>
          <w:highlight w:val="none"/>
          <w:lang w:val="zh-CN"/>
        </w:rPr>
      </w:pPr>
      <w:r/>
      <w:bookmarkStart w:id="263" w:name="_Toc7860"/>
      <w:r>
        <w:rPr>
          <w:rFonts w:hint="eastAsia" w:ascii="宋体" w:hAnsi="宋体"/>
          <w:b/>
          <w:szCs w:val="21"/>
          <w:highlight w:val="none"/>
          <w:lang w:val="zh-CN"/>
        </w:rPr>
        <w:t xml:space="preserve">8、</w:t>
      </w:r>
      <w:r>
        <w:rPr>
          <w:rFonts w:ascii="宋体" w:hAnsi="宋体"/>
          <w:b/>
          <w:szCs w:val="21"/>
          <w:highlight w:val="none"/>
          <w:lang w:val="zh-CN"/>
        </w:rPr>
        <w:t xml:space="preserve"> 质量保证</w:t>
      </w:r>
      <w:bookmarkEnd w:id="263"/>
      <w:r/>
      <w:r/>
    </w:p>
    <w:p>
      <w:pPr>
        <w:ind w:firstLine="420"/>
        <w:spacing w:line="360" w:lineRule="auto"/>
        <w:rPr>
          <w:rFonts w:hint="eastAsia" w:ascii="宋体" w:hAnsi="宋体"/>
          <w:szCs w:val="21"/>
          <w:highlight w:val="none"/>
        </w:rPr>
      </w:pPr>
      <w:r>
        <w:rPr>
          <w:rFonts w:ascii="宋体" w:hAnsi="宋体"/>
          <w:szCs w:val="21"/>
          <w:highlight w:val="none"/>
        </w:rPr>
        <w:t xml:space="preserve">8.1 乙方应建立和完善履行合同的内部质量保证体系，并提供相关内部规章制度给甲方，以便甲方进行监督检查；</w:t>
      </w:r>
      <w:r/>
    </w:p>
    <w:p>
      <w:pPr>
        <w:ind w:firstLine="420"/>
        <w:spacing w:line="360" w:lineRule="auto"/>
        <w:rPr>
          <w:rFonts w:hint="eastAsia" w:ascii="宋体" w:hAnsi="宋体"/>
          <w:szCs w:val="21"/>
          <w:highlight w:val="none"/>
        </w:rPr>
      </w:pPr>
      <w:r>
        <w:rPr>
          <w:rFonts w:ascii="宋体" w:hAnsi="宋体"/>
          <w:szCs w:val="21"/>
          <w:highlight w:val="none"/>
        </w:rPr>
        <w:t xml:space="preserve">8.2 乙方应保证履行合同的人员数量和素质、软件和硬件设备的配置、场地、环境和设施等满足全面履行合同的要求，并应接受甲方的监督检查。</w:t>
      </w:r>
      <w:r/>
    </w:p>
    <w:p>
      <w:pPr>
        <w:ind w:firstLine="420"/>
        <w:spacing w:line="360" w:lineRule="auto"/>
        <w:rPr>
          <w:rFonts w:hint="eastAsia" w:ascii="宋体" w:hAnsi="宋体"/>
          <w:szCs w:val="21"/>
          <w:highlight w:val="none"/>
        </w:rPr>
      </w:pPr>
      <w:r>
        <w:rPr>
          <w:rFonts w:ascii="宋体" w:hAnsi="宋体"/>
          <w:szCs w:val="21"/>
          <w:highlight w:val="none"/>
        </w:rPr>
        <w:t xml:space="preserve">8.3乙方应提供的免费质保期详见</w:t>
      </w:r>
      <w:r>
        <w:rPr>
          <w:rFonts w:ascii="宋体" w:hAnsi="宋体"/>
          <w:b/>
          <w:iCs/>
          <w:szCs w:val="21"/>
          <w:highlight w:val="none"/>
          <w:u w:val="single"/>
        </w:rPr>
        <w:t xml:space="preserve">合同专用条款</w:t>
      </w:r>
      <w:bookmarkStart w:id="264" w:name="_Toc17244"/>
      <w:r/>
      <w:bookmarkStart w:id="265" w:name="_Toc487900362"/>
      <w:r/>
      <w:bookmarkStart w:id="266" w:name="_Toc259093681"/>
      <w:r/>
      <w:bookmarkStart w:id="267" w:name="_Toc279701252"/>
      <w:r/>
      <w:r/>
    </w:p>
    <w:p>
      <w:pPr>
        <w:spacing w:line="360" w:lineRule="auto"/>
        <w:rPr>
          <w:rFonts w:hint="eastAsia" w:ascii="宋体" w:hAnsi="宋体"/>
          <w:b/>
          <w:szCs w:val="21"/>
          <w:highlight w:val="none"/>
          <w:lang w:val="zh-CN"/>
        </w:rPr>
      </w:pPr>
      <w:r>
        <w:rPr>
          <w:rFonts w:hint="eastAsia" w:ascii="宋体" w:hAnsi="宋体"/>
          <w:b/>
          <w:szCs w:val="21"/>
          <w:highlight w:val="none"/>
          <w:lang w:val="zh-CN"/>
        </w:rPr>
        <w:t xml:space="preserve">9、</w:t>
      </w:r>
      <w:r>
        <w:rPr>
          <w:rFonts w:ascii="宋体" w:hAnsi="宋体"/>
          <w:b/>
          <w:szCs w:val="21"/>
          <w:highlight w:val="none"/>
          <w:lang w:val="zh-CN"/>
        </w:rPr>
        <w:t xml:space="preserve">货物的风险负担</w:t>
      </w:r>
      <w:bookmarkEnd w:id="264"/>
      <w:r/>
      <w:r/>
    </w:p>
    <w:p>
      <w:pPr>
        <w:ind w:firstLine="420"/>
        <w:spacing w:line="360" w:lineRule="auto"/>
        <w:rPr>
          <w:rFonts w:hint="eastAsia" w:ascii="宋体" w:hAnsi="宋体"/>
          <w:b/>
          <w:iCs/>
          <w:szCs w:val="21"/>
          <w:highlight w:val="none"/>
        </w:rPr>
      </w:pPr>
      <w:r>
        <w:rPr>
          <w:rFonts w:ascii="宋体" w:hAnsi="宋体"/>
          <w:szCs w:val="21"/>
          <w:highlight w:val="none"/>
        </w:rPr>
        <w:t xml:space="preserve">货物或者在途货物或者交付给第一承运人后的货物毁损、灭失的风险负担详见</w:t>
      </w:r>
      <w:r>
        <w:rPr>
          <w:rFonts w:ascii="宋体" w:hAnsi="宋体"/>
          <w:b/>
          <w:iCs/>
          <w:szCs w:val="21"/>
          <w:highlight w:val="none"/>
          <w:u w:val="single"/>
        </w:rPr>
        <w:t xml:space="preserve">合同专用条款</w:t>
      </w:r>
      <w:r>
        <w:rPr>
          <w:rFonts w:ascii="宋体" w:hAnsi="宋体"/>
          <w:iCs/>
          <w:szCs w:val="21"/>
          <w:highlight w:val="none"/>
        </w:rPr>
        <w:t xml:space="preserve">。</w:t>
      </w:r>
      <w:r/>
    </w:p>
    <w:p>
      <w:pPr>
        <w:spacing w:line="360" w:lineRule="auto"/>
        <w:rPr>
          <w:rFonts w:hint="eastAsia" w:ascii="宋体" w:hAnsi="宋体"/>
          <w:b/>
          <w:szCs w:val="21"/>
          <w:highlight w:val="none"/>
          <w:lang w:val="zh-CN"/>
        </w:rPr>
      </w:pPr>
      <w:r/>
      <w:bookmarkStart w:id="268" w:name="_Toc14055"/>
      <w:r>
        <w:rPr>
          <w:rFonts w:ascii="宋体" w:hAnsi="宋体"/>
          <w:b/>
          <w:szCs w:val="21"/>
          <w:highlight w:val="none"/>
          <w:lang w:val="zh-CN"/>
        </w:rPr>
        <w:t xml:space="preserve">10</w:t>
      </w:r>
      <w:r>
        <w:rPr>
          <w:rFonts w:hint="eastAsia" w:ascii="宋体" w:hAnsi="宋体"/>
          <w:b/>
          <w:szCs w:val="21"/>
          <w:highlight w:val="none"/>
          <w:lang w:val="zh-CN"/>
        </w:rPr>
        <w:t xml:space="preserve">、</w:t>
      </w:r>
      <w:r>
        <w:rPr>
          <w:rFonts w:ascii="宋体" w:hAnsi="宋体"/>
          <w:b/>
          <w:szCs w:val="21"/>
          <w:highlight w:val="none"/>
          <w:lang w:val="zh-CN"/>
        </w:rPr>
        <w:t xml:space="preserve">延迟交货</w:t>
      </w:r>
      <w:bookmarkEnd w:id="265"/>
      <w:r/>
      <w:bookmarkEnd w:id="266"/>
      <w:r/>
      <w:bookmarkEnd w:id="267"/>
      <w:r/>
      <w:bookmarkEnd w:id="268"/>
      <w:r/>
      <w:r/>
    </w:p>
    <w:p>
      <w:pPr>
        <w:ind w:firstLine="420"/>
        <w:spacing w:line="360" w:lineRule="auto"/>
        <w:rPr>
          <w:rFonts w:hint="eastAsia" w:ascii="宋体" w:hAnsi="宋体"/>
          <w:szCs w:val="21"/>
          <w:highlight w:val="none"/>
        </w:rPr>
      </w:pPr>
      <w:r>
        <w:rPr>
          <w:rFonts w:ascii="宋体" w:hAnsi="宋体"/>
          <w:szCs w:val="21"/>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spacing w:line="360" w:lineRule="auto"/>
        <w:rPr>
          <w:rFonts w:hint="eastAsia" w:ascii="宋体" w:hAnsi="宋体"/>
          <w:b/>
          <w:szCs w:val="21"/>
          <w:highlight w:val="none"/>
          <w:lang w:val="zh-CN"/>
        </w:rPr>
      </w:pPr>
      <w:r/>
      <w:bookmarkStart w:id="269" w:name="_Toc7502"/>
      <w:r/>
      <w:bookmarkStart w:id="270" w:name="_Toc279701254"/>
      <w:r/>
      <w:bookmarkStart w:id="271" w:name="_Toc487900364"/>
      <w:r/>
      <w:bookmarkStart w:id="272" w:name="_Toc259093683"/>
      <w:r/>
      <w:bookmarkStart w:id="273" w:name="_Ref467378121"/>
      <w:r>
        <w:rPr>
          <w:rFonts w:ascii="宋体" w:hAnsi="宋体"/>
          <w:b/>
          <w:szCs w:val="21"/>
          <w:highlight w:val="none"/>
          <w:lang w:val="zh-CN"/>
        </w:rPr>
        <w:t xml:space="preserve">11</w:t>
      </w:r>
      <w:r>
        <w:rPr>
          <w:rFonts w:hint="eastAsia" w:ascii="宋体" w:hAnsi="宋体"/>
          <w:b/>
          <w:szCs w:val="21"/>
          <w:highlight w:val="none"/>
          <w:lang w:val="zh-CN"/>
        </w:rPr>
        <w:t xml:space="preserve">、</w:t>
      </w:r>
      <w:r>
        <w:rPr>
          <w:rFonts w:ascii="宋体" w:hAnsi="宋体"/>
          <w:b/>
          <w:szCs w:val="21"/>
          <w:highlight w:val="none"/>
          <w:lang w:val="zh-CN"/>
        </w:rPr>
        <w:t xml:space="preserve">合同变更</w:t>
      </w:r>
      <w:bookmarkEnd w:id="269"/>
      <w:r/>
      <w:r/>
    </w:p>
    <w:p>
      <w:pPr>
        <w:ind w:firstLine="420"/>
        <w:spacing w:line="360" w:lineRule="auto"/>
        <w:rPr>
          <w:rFonts w:hint="eastAsia" w:ascii="宋体" w:hAnsi="宋体"/>
          <w:szCs w:val="21"/>
          <w:highlight w:val="none"/>
        </w:rPr>
      </w:pPr>
      <w:r>
        <w:rPr>
          <w:rFonts w:ascii="宋体" w:hAnsi="宋体"/>
          <w:szCs w:val="21"/>
          <w:highlight w:val="none"/>
        </w:rPr>
        <w:t xml:space="preserve">11.1双方当事人协商一致，可以签订书面补充合同的形式变更合同，但不得违背采购文件确定的事项，且如果系追加与合同标的相同的货物的，那么所有补充合同的采购金额不得超过原合同价的10%；</w:t>
      </w:r>
      <w:r/>
    </w:p>
    <w:p>
      <w:pPr>
        <w:ind w:firstLine="420"/>
        <w:spacing w:line="360" w:lineRule="auto"/>
        <w:rPr>
          <w:rFonts w:hint="eastAsia" w:ascii="宋体" w:hAnsi="宋体"/>
          <w:szCs w:val="21"/>
          <w:highlight w:val="none"/>
        </w:rPr>
      </w:pPr>
      <w:r>
        <w:rPr>
          <w:rFonts w:ascii="宋体" w:hAnsi="宋体"/>
          <w:szCs w:val="21"/>
          <w:highlight w:val="none"/>
        </w:rPr>
        <w:t xml:space="preserve">11.2 合同继续履行将损害国家利益和社会公共利益的，双方当事人应当以书面形式变更合同。有过错的一方应当承担赔偿责任，双方当事人都有过错的，各自承担相应的责任。</w:t>
      </w:r>
      <w:bookmarkStart w:id="274" w:name="_Toc259093688"/>
      <w:r/>
      <w:bookmarkStart w:id="275" w:name="_Toc279701259"/>
      <w:r/>
      <w:bookmarkStart w:id="276" w:name="_Toc487900369"/>
      <w:r/>
      <w:r/>
    </w:p>
    <w:p>
      <w:pPr>
        <w:spacing w:line="360" w:lineRule="auto"/>
        <w:rPr>
          <w:rFonts w:hint="eastAsia" w:ascii="宋体" w:hAnsi="宋体"/>
          <w:b/>
          <w:szCs w:val="21"/>
          <w:highlight w:val="none"/>
          <w:lang w:val="zh-CN"/>
        </w:rPr>
      </w:pPr>
      <w:r/>
      <w:bookmarkStart w:id="277" w:name="_Toc10366"/>
      <w:r/>
      <w:bookmarkStart w:id="278" w:name="_Toc22955"/>
      <w:r/>
      <w:bookmarkStart w:id="279" w:name="_Toc15237"/>
      <w:r>
        <w:rPr>
          <w:rFonts w:ascii="宋体" w:hAnsi="宋体"/>
          <w:b/>
          <w:szCs w:val="21"/>
          <w:highlight w:val="none"/>
          <w:lang w:val="zh-CN"/>
        </w:rPr>
        <w:t xml:space="preserve">12</w:t>
      </w:r>
      <w:r>
        <w:rPr>
          <w:rFonts w:hint="eastAsia" w:ascii="宋体" w:hAnsi="宋体"/>
          <w:b/>
          <w:szCs w:val="21"/>
          <w:highlight w:val="none"/>
          <w:lang w:val="zh-CN"/>
        </w:rPr>
        <w:t xml:space="preserve">、</w:t>
      </w:r>
      <w:r>
        <w:rPr>
          <w:rFonts w:ascii="宋体" w:hAnsi="宋体"/>
          <w:b/>
          <w:szCs w:val="21"/>
          <w:highlight w:val="none"/>
          <w:lang w:val="zh-CN"/>
        </w:rPr>
        <w:t xml:space="preserve">合同转让</w:t>
      </w:r>
      <w:bookmarkEnd w:id="274"/>
      <w:r/>
      <w:bookmarkEnd w:id="275"/>
      <w:r/>
      <w:bookmarkEnd w:id="276"/>
      <w:r>
        <w:rPr>
          <w:rFonts w:ascii="宋体" w:hAnsi="宋体"/>
          <w:b/>
          <w:szCs w:val="21"/>
          <w:highlight w:val="none"/>
          <w:lang w:val="zh-CN"/>
        </w:rPr>
        <w:t xml:space="preserve">和分包</w:t>
      </w:r>
      <w:bookmarkEnd w:id="277"/>
      <w:r/>
      <w:bookmarkEnd w:id="278"/>
      <w:r/>
      <w:bookmarkEnd w:id="279"/>
      <w:r/>
      <w:r/>
    </w:p>
    <w:p>
      <w:pPr>
        <w:ind w:firstLine="420"/>
        <w:spacing w:line="360" w:lineRule="auto"/>
        <w:rPr>
          <w:rFonts w:hint="eastAsia" w:ascii="宋体" w:hAnsi="宋体"/>
          <w:szCs w:val="21"/>
          <w:highlight w:val="none"/>
        </w:rPr>
      </w:pPr>
      <w:r>
        <w:rPr>
          <w:rFonts w:ascii="宋体" w:hAnsi="宋体"/>
          <w:szCs w:val="21"/>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spacing w:line="360" w:lineRule="auto"/>
        <w:rPr>
          <w:rFonts w:hint="eastAsia" w:ascii="宋体" w:hAnsi="宋体"/>
          <w:b/>
          <w:szCs w:val="21"/>
          <w:highlight w:val="none"/>
          <w:lang w:val="zh-CN"/>
        </w:rPr>
      </w:pPr>
      <w:r/>
      <w:bookmarkStart w:id="280" w:name="_Toc14066"/>
      <w:r/>
      <w:bookmarkStart w:id="281" w:name="_Toc16508"/>
      <w:r/>
      <w:bookmarkStart w:id="282" w:name="_Toc13566"/>
      <w:r>
        <w:rPr>
          <w:rFonts w:ascii="宋体" w:hAnsi="宋体"/>
          <w:b/>
          <w:szCs w:val="21"/>
          <w:highlight w:val="none"/>
          <w:lang w:val="zh-CN"/>
        </w:rPr>
        <w:t xml:space="preserve">13</w:t>
      </w:r>
      <w:r>
        <w:rPr>
          <w:rFonts w:hint="eastAsia" w:ascii="宋体" w:hAnsi="宋体"/>
          <w:b/>
          <w:szCs w:val="21"/>
          <w:highlight w:val="none"/>
          <w:lang w:val="zh-CN"/>
        </w:rPr>
        <w:t xml:space="preserve">、</w:t>
      </w:r>
      <w:r>
        <w:rPr>
          <w:rFonts w:ascii="宋体" w:hAnsi="宋体"/>
          <w:b/>
          <w:szCs w:val="21"/>
          <w:highlight w:val="none"/>
          <w:lang w:val="zh-CN"/>
        </w:rPr>
        <w:t xml:space="preserve">不可抗力</w:t>
      </w:r>
      <w:bookmarkEnd w:id="280"/>
      <w:r/>
      <w:bookmarkEnd w:id="281"/>
      <w:r/>
      <w:bookmarkEnd w:id="282"/>
      <w:r/>
      <w:r/>
    </w:p>
    <w:p>
      <w:pPr>
        <w:ind w:firstLine="420"/>
        <w:spacing w:line="360" w:lineRule="auto"/>
        <w:rPr>
          <w:rFonts w:hint="eastAsia" w:ascii="宋体" w:hAnsi="宋体"/>
          <w:szCs w:val="21"/>
          <w:highlight w:val="none"/>
        </w:rPr>
      </w:pPr>
      <w:r>
        <w:rPr>
          <w:rFonts w:ascii="宋体" w:hAnsi="宋体"/>
          <w:szCs w:val="21"/>
          <w:highlight w:val="none"/>
        </w:rPr>
        <w:t xml:space="preserve">13.1如果任何一方遭遇法律规定的不可抗力，致使合同履行受阻时，履行合同的期限应予延长，延长的期限应相当于不可抗力所影响的时间；</w:t>
      </w:r>
      <w:r/>
    </w:p>
    <w:p>
      <w:pPr>
        <w:ind w:firstLine="420"/>
        <w:spacing w:line="360" w:lineRule="auto"/>
        <w:rPr>
          <w:rFonts w:hint="eastAsia" w:ascii="宋体" w:hAnsi="宋体"/>
          <w:szCs w:val="21"/>
          <w:highlight w:val="none"/>
        </w:rPr>
      </w:pPr>
      <w:r>
        <w:rPr>
          <w:rFonts w:ascii="宋体" w:hAnsi="宋体"/>
          <w:szCs w:val="21"/>
          <w:highlight w:val="none"/>
        </w:rPr>
        <w:t xml:space="preserve">13.2 因不可抗力致使不能实现合同目的的，当事人可以解除合同；</w:t>
      </w:r>
      <w:r/>
    </w:p>
    <w:p>
      <w:pPr>
        <w:ind w:firstLine="420"/>
        <w:spacing w:line="360" w:lineRule="auto"/>
        <w:rPr>
          <w:rFonts w:hint="eastAsia" w:ascii="宋体" w:hAnsi="宋体"/>
          <w:szCs w:val="21"/>
          <w:highlight w:val="none"/>
        </w:rPr>
      </w:pPr>
      <w:r>
        <w:rPr>
          <w:rFonts w:ascii="宋体" w:hAnsi="宋体"/>
          <w:szCs w:val="21"/>
          <w:highlight w:val="none"/>
        </w:rPr>
        <w:t xml:space="preserve">13.3 因不可抗力致使合同有变更必要的，双方当事人应在</w:t>
      </w:r>
      <w:r>
        <w:rPr>
          <w:rFonts w:ascii="宋体" w:hAnsi="宋体"/>
          <w:b/>
          <w:i/>
          <w:szCs w:val="21"/>
          <w:highlight w:val="none"/>
          <w:u w:val="single"/>
        </w:rPr>
        <w:t xml:space="preserve">合同专用条款</w:t>
      </w:r>
      <w:r>
        <w:rPr>
          <w:rFonts w:ascii="宋体" w:hAnsi="宋体"/>
          <w:szCs w:val="21"/>
          <w:highlight w:val="none"/>
        </w:rPr>
        <w:t xml:space="preserve">约定时间内以书面形式变更合同；</w:t>
      </w:r>
      <w:r/>
    </w:p>
    <w:p>
      <w:pPr>
        <w:ind w:firstLine="420"/>
        <w:spacing w:line="360" w:lineRule="auto"/>
        <w:rPr>
          <w:rFonts w:hint="eastAsia" w:ascii="宋体" w:hAnsi="宋体"/>
          <w:szCs w:val="21"/>
          <w:highlight w:val="none"/>
        </w:rPr>
      </w:pPr>
      <w:r>
        <w:rPr>
          <w:rFonts w:ascii="宋体" w:hAnsi="宋体"/>
          <w:szCs w:val="21"/>
          <w:highlight w:val="none"/>
        </w:rPr>
        <w:t xml:space="preserve">13.4受不可抗力影响的一方在不可抗力发生后，应在</w:t>
      </w:r>
      <w:r>
        <w:rPr>
          <w:rFonts w:ascii="宋体" w:hAnsi="宋体"/>
          <w:b/>
          <w:i/>
          <w:szCs w:val="21"/>
          <w:highlight w:val="none"/>
          <w:u w:val="single"/>
        </w:rPr>
        <w:t xml:space="preserve">合同专用条款</w:t>
      </w:r>
      <w:r>
        <w:rPr>
          <w:rFonts w:ascii="宋体" w:hAnsi="宋体"/>
          <w:szCs w:val="21"/>
          <w:highlight w:val="none"/>
        </w:rPr>
        <w:t xml:space="preserve">约定时间内以书面形式通知对方当事人，并在</w:t>
      </w:r>
      <w:r>
        <w:rPr>
          <w:rFonts w:ascii="宋体" w:hAnsi="宋体"/>
          <w:b/>
          <w:i/>
          <w:szCs w:val="21"/>
          <w:highlight w:val="none"/>
          <w:u w:val="single"/>
        </w:rPr>
        <w:t xml:space="preserve">合同专用条款</w:t>
      </w:r>
      <w:r>
        <w:rPr>
          <w:rFonts w:ascii="宋体" w:hAnsi="宋体"/>
          <w:szCs w:val="21"/>
          <w:highlight w:val="none"/>
        </w:rPr>
        <w:t xml:space="preserve">约定时间内，将有关部门出具的证明文件送达对方当事人。</w:t>
      </w:r>
      <w:r/>
    </w:p>
    <w:p>
      <w:pPr>
        <w:spacing w:line="360" w:lineRule="auto"/>
        <w:rPr>
          <w:rFonts w:hint="eastAsia" w:ascii="宋体" w:hAnsi="宋体"/>
          <w:b/>
          <w:szCs w:val="21"/>
          <w:highlight w:val="none"/>
          <w:lang w:val="zh-CN"/>
        </w:rPr>
      </w:pPr>
      <w:r/>
      <w:bookmarkStart w:id="283" w:name="_Toc279701255"/>
      <w:r/>
      <w:bookmarkStart w:id="284" w:name="_Toc487900365"/>
      <w:r/>
      <w:bookmarkStart w:id="285" w:name="_Toc30676"/>
      <w:r/>
      <w:bookmarkStart w:id="286" w:name="_Toc689"/>
      <w:r/>
      <w:bookmarkStart w:id="287" w:name="_Toc259093684"/>
      <w:r/>
      <w:bookmarkStart w:id="288" w:name="_Toc6969"/>
      <w:r>
        <w:rPr>
          <w:rFonts w:ascii="宋体" w:hAnsi="宋体"/>
          <w:b/>
          <w:szCs w:val="21"/>
          <w:highlight w:val="none"/>
          <w:lang w:val="zh-CN"/>
        </w:rPr>
        <w:t xml:space="preserve">14</w:t>
      </w:r>
      <w:r>
        <w:rPr>
          <w:rFonts w:hint="eastAsia" w:ascii="宋体" w:hAnsi="宋体"/>
          <w:b/>
          <w:szCs w:val="21"/>
          <w:highlight w:val="none"/>
          <w:lang w:val="zh-CN"/>
        </w:rPr>
        <w:t xml:space="preserve">、</w:t>
      </w:r>
      <w:r>
        <w:rPr>
          <w:rFonts w:ascii="宋体" w:hAnsi="宋体"/>
          <w:b/>
          <w:szCs w:val="21"/>
          <w:highlight w:val="none"/>
          <w:lang w:val="zh-CN"/>
        </w:rPr>
        <w:t xml:space="preserve">税费</w:t>
      </w:r>
      <w:bookmarkEnd w:id="283"/>
      <w:r/>
      <w:bookmarkEnd w:id="284"/>
      <w:r/>
      <w:bookmarkEnd w:id="285"/>
      <w:r/>
      <w:bookmarkEnd w:id="286"/>
      <w:r/>
      <w:bookmarkEnd w:id="287"/>
      <w:r/>
      <w:bookmarkEnd w:id="288"/>
      <w:r/>
      <w:r/>
    </w:p>
    <w:p>
      <w:pPr>
        <w:ind w:firstLine="420"/>
        <w:spacing w:line="360" w:lineRule="auto"/>
        <w:rPr>
          <w:rFonts w:hint="eastAsia" w:ascii="宋体" w:hAnsi="宋体"/>
          <w:szCs w:val="21"/>
          <w:highlight w:val="none"/>
        </w:rPr>
      </w:pPr>
      <w:r>
        <w:rPr>
          <w:rFonts w:ascii="宋体" w:hAnsi="宋体"/>
          <w:szCs w:val="21"/>
          <w:highlight w:val="none"/>
        </w:rPr>
        <w:t xml:space="preserve">与合同有关的一切税费，均按照中华人民共和国法律的相关规定。</w:t>
      </w:r>
      <w:r/>
    </w:p>
    <w:p>
      <w:pPr>
        <w:spacing w:line="360" w:lineRule="auto"/>
        <w:rPr>
          <w:rFonts w:hint="eastAsia" w:ascii="宋体" w:hAnsi="宋体"/>
          <w:b/>
          <w:szCs w:val="21"/>
          <w:highlight w:val="none"/>
          <w:lang w:val="zh-CN"/>
        </w:rPr>
      </w:pPr>
      <w:r/>
      <w:bookmarkStart w:id="289" w:name="_Toc279701258"/>
      <w:r/>
      <w:bookmarkStart w:id="290" w:name="_Toc487900368"/>
      <w:r/>
      <w:bookmarkStart w:id="291" w:name="_Toc7102"/>
      <w:r/>
      <w:bookmarkStart w:id="292" w:name="_Toc259093687"/>
      <w:r/>
      <w:bookmarkStart w:id="293" w:name="_Toc16959"/>
      <w:r/>
      <w:bookmarkStart w:id="294" w:name="_Toc8298"/>
      <w:r>
        <w:rPr>
          <w:rFonts w:ascii="宋体" w:hAnsi="宋体"/>
          <w:b/>
          <w:szCs w:val="21"/>
          <w:highlight w:val="none"/>
          <w:lang w:val="zh-CN"/>
        </w:rPr>
        <w:t xml:space="preserve">15</w:t>
      </w:r>
      <w:r>
        <w:rPr>
          <w:rFonts w:hint="eastAsia" w:ascii="宋体" w:hAnsi="宋体"/>
          <w:b/>
          <w:szCs w:val="21"/>
          <w:highlight w:val="none"/>
          <w:lang w:val="zh-CN"/>
        </w:rPr>
        <w:t xml:space="preserve">、</w:t>
      </w:r>
      <w:r>
        <w:rPr>
          <w:rFonts w:ascii="宋体" w:hAnsi="宋体"/>
          <w:b/>
          <w:szCs w:val="21"/>
          <w:highlight w:val="none"/>
          <w:lang w:val="zh-CN"/>
        </w:rPr>
        <w:t xml:space="preserve">乙方破产</w:t>
      </w:r>
      <w:bookmarkEnd w:id="289"/>
      <w:r/>
      <w:bookmarkEnd w:id="290"/>
      <w:r/>
      <w:bookmarkEnd w:id="291"/>
      <w:r/>
      <w:bookmarkEnd w:id="292"/>
      <w:r/>
      <w:bookmarkEnd w:id="293"/>
      <w:r/>
      <w:bookmarkEnd w:id="294"/>
      <w:r/>
      <w:r/>
    </w:p>
    <w:p>
      <w:pPr>
        <w:ind w:firstLine="420"/>
        <w:spacing w:line="360" w:lineRule="auto"/>
        <w:rPr>
          <w:rFonts w:hint="eastAsia" w:ascii="宋体" w:hAnsi="宋体"/>
          <w:szCs w:val="21"/>
          <w:highlight w:val="none"/>
        </w:rPr>
      </w:pPr>
      <w:r>
        <w:rPr>
          <w:rFonts w:ascii="宋体" w:hAnsi="宋体"/>
          <w:szCs w:val="21"/>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spacing w:line="360" w:lineRule="auto"/>
        <w:rPr>
          <w:rFonts w:hint="eastAsia" w:ascii="宋体" w:hAnsi="宋体"/>
          <w:b/>
          <w:szCs w:val="21"/>
          <w:highlight w:val="none"/>
          <w:lang w:val="zh-CN"/>
        </w:rPr>
      </w:pPr>
      <w:r/>
      <w:bookmarkStart w:id="295" w:name="_Toc6134"/>
      <w:r/>
      <w:bookmarkStart w:id="296" w:name="_Toc15387"/>
      <w:r/>
      <w:bookmarkStart w:id="297" w:name="_Toc29333"/>
      <w:r>
        <w:rPr>
          <w:rFonts w:ascii="宋体" w:hAnsi="宋体"/>
          <w:b/>
          <w:szCs w:val="21"/>
          <w:highlight w:val="none"/>
          <w:lang w:val="zh-CN"/>
        </w:rPr>
        <w:t xml:space="preserve">16</w:t>
      </w:r>
      <w:r>
        <w:rPr>
          <w:rFonts w:hint="eastAsia" w:ascii="宋体" w:hAnsi="宋体"/>
          <w:b/>
          <w:szCs w:val="21"/>
          <w:highlight w:val="none"/>
          <w:lang w:val="zh-CN"/>
        </w:rPr>
        <w:t xml:space="preserve">、</w:t>
      </w:r>
      <w:r>
        <w:rPr>
          <w:rFonts w:ascii="宋体" w:hAnsi="宋体"/>
          <w:b/>
          <w:szCs w:val="21"/>
          <w:highlight w:val="none"/>
          <w:lang w:val="zh-CN"/>
        </w:rPr>
        <w:t xml:space="preserve">合同中止、终止</w:t>
      </w:r>
      <w:bookmarkEnd w:id="295"/>
      <w:r/>
      <w:bookmarkEnd w:id="296"/>
      <w:r/>
      <w:bookmarkEnd w:id="297"/>
      <w:r/>
      <w:r/>
    </w:p>
    <w:p>
      <w:pPr>
        <w:ind w:firstLine="420"/>
        <w:spacing w:line="360" w:lineRule="auto"/>
        <w:rPr>
          <w:rFonts w:hint="eastAsia" w:ascii="宋体" w:hAnsi="宋体"/>
          <w:szCs w:val="21"/>
          <w:highlight w:val="none"/>
        </w:rPr>
      </w:pPr>
      <w:r>
        <w:rPr>
          <w:rFonts w:ascii="宋体" w:hAnsi="宋体"/>
          <w:szCs w:val="21"/>
          <w:highlight w:val="none"/>
        </w:rPr>
        <w:t xml:space="preserve">16.1 双方当事人不得擅自中止或者终止合同；</w:t>
      </w:r>
      <w:r/>
    </w:p>
    <w:p>
      <w:pPr>
        <w:ind w:firstLine="420"/>
        <w:spacing w:line="360" w:lineRule="auto"/>
        <w:rPr>
          <w:rFonts w:hint="eastAsia" w:ascii="宋体" w:hAnsi="宋体"/>
          <w:szCs w:val="21"/>
          <w:highlight w:val="none"/>
        </w:rPr>
      </w:pPr>
      <w:r>
        <w:rPr>
          <w:rFonts w:ascii="宋体" w:hAnsi="宋体"/>
          <w:szCs w:val="21"/>
          <w:highlight w:val="none"/>
        </w:rPr>
        <w:t xml:space="preserve">16.2合同继续履行将损害国家利益和社会公共利益的，双方当事人应当中止或者终止合同。有过错的一方应当承担赔偿责任，双方当事人都有过错的，各自承担相应的责任。</w:t>
      </w:r>
      <w:r/>
    </w:p>
    <w:p>
      <w:pPr>
        <w:spacing w:line="360" w:lineRule="auto"/>
        <w:rPr>
          <w:rFonts w:hint="eastAsia" w:ascii="宋体" w:hAnsi="宋体"/>
          <w:b/>
          <w:szCs w:val="21"/>
          <w:highlight w:val="none"/>
          <w:lang w:val="zh-CN"/>
        </w:rPr>
      </w:pPr>
      <w:r/>
      <w:bookmarkStart w:id="298" w:name="_Toc14563"/>
      <w:r/>
      <w:bookmarkStart w:id="299" w:name="_Toc6596"/>
      <w:r/>
      <w:bookmarkStart w:id="300" w:name="_Toc1125"/>
      <w:r>
        <w:rPr>
          <w:rFonts w:ascii="宋体" w:hAnsi="宋体"/>
          <w:b/>
          <w:szCs w:val="21"/>
          <w:highlight w:val="none"/>
          <w:lang w:val="zh-CN"/>
        </w:rPr>
        <w:t xml:space="preserve">17</w:t>
      </w:r>
      <w:r>
        <w:rPr>
          <w:rFonts w:hint="eastAsia" w:ascii="宋体" w:hAnsi="宋体"/>
          <w:b/>
          <w:szCs w:val="21"/>
          <w:highlight w:val="none"/>
          <w:lang w:val="zh-CN"/>
        </w:rPr>
        <w:t xml:space="preserve">、</w:t>
      </w:r>
      <w:r>
        <w:rPr>
          <w:rFonts w:ascii="宋体" w:hAnsi="宋体"/>
          <w:b/>
          <w:szCs w:val="21"/>
          <w:highlight w:val="none"/>
          <w:lang w:val="zh-CN"/>
        </w:rPr>
        <w:t xml:space="preserve">检验和验收</w:t>
      </w:r>
      <w:bookmarkEnd w:id="298"/>
      <w:r/>
      <w:bookmarkEnd w:id="299"/>
      <w:r/>
      <w:bookmarkEnd w:id="300"/>
      <w:r/>
      <w:r/>
    </w:p>
    <w:p>
      <w:pPr>
        <w:ind w:firstLine="420"/>
        <w:spacing w:line="360" w:lineRule="auto"/>
        <w:tabs>
          <w:tab w:val="left" w:pos="360" w:leader="none"/>
          <w:tab w:val="left" w:pos="540" w:leader="none"/>
          <w:tab w:val="left" w:pos="1080" w:leader="none"/>
        </w:tabs>
        <w:rPr>
          <w:rFonts w:hint="eastAsia" w:ascii="宋体" w:hAnsi="宋体"/>
          <w:szCs w:val="21"/>
          <w:highlight w:val="none"/>
        </w:rPr>
      </w:pPr>
      <w:r>
        <w:rPr>
          <w:rFonts w:ascii="宋体" w:hAnsi="宋体"/>
          <w:szCs w:val="21"/>
          <w:highlight w:val="none"/>
        </w:rPr>
        <w:t xml:space="preserve">17.1货物交付前，乙方应对货物的质量、数量等方面进行详细、全面的检验，并向甲方出具证明货物符合合同约定的文件；货物交付时，乙方在</w:t>
      </w:r>
      <w:r>
        <w:rPr>
          <w:rFonts w:ascii="宋体" w:hAnsi="宋体"/>
          <w:b/>
          <w:i/>
          <w:szCs w:val="21"/>
          <w:highlight w:val="none"/>
          <w:u w:val="single"/>
        </w:rPr>
        <w:t xml:space="preserve">合同专用条款</w:t>
      </w:r>
      <w:r>
        <w:rPr>
          <w:rFonts w:ascii="宋体" w:hAnsi="宋体"/>
          <w:szCs w:val="21"/>
          <w:highlight w:val="none"/>
        </w:rPr>
        <w:t xml:space="preserve">约定时间内组织验收，并可依法邀请相关方参加，验收应出具验收书。</w:t>
      </w:r>
      <w:r/>
    </w:p>
    <w:p>
      <w:pPr>
        <w:ind w:firstLine="420"/>
        <w:spacing w:line="360" w:lineRule="auto"/>
        <w:tabs>
          <w:tab w:val="left" w:pos="360" w:leader="none"/>
          <w:tab w:val="left" w:pos="540" w:leader="none"/>
          <w:tab w:val="left" w:pos="1080" w:leader="none"/>
        </w:tabs>
        <w:rPr>
          <w:rFonts w:hint="eastAsia" w:ascii="宋体" w:hAnsi="宋体"/>
          <w:szCs w:val="21"/>
          <w:highlight w:val="none"/>
        </w:rPr>
      </w:pPr>
      <w:r>
        <w:rPr>
          <w:rFonts w:ascii="宋体" w:hAnsi="宋体"/>
          <w:szCs w:val="21"/>
          <w:highlight w:val="none"/>
        </w:rPr>
        <w:t xml:space="preserve">17.2合同期满或者履行完毕后，甲方有权组织（包括依法邀请国家认可的质量检测机构参加）对乙方履约的验收，即：按照合同约定的技术、服务、安全标准，组织对每一项技术、服务、安全标准的履约情况的验收，并出具验收书。</w:t>
      </w:r>
      <w:r/>
    </w:p>
    <w:p>
      <w:pPr>
        <w:ind w:firstLine="420"/>
        <w:spacing w:line="360" w:lineRule="auto"/>
        <w:tabs>
          <w:tab w:val="left" w:pos="360" w:leader="none"/>
          <w:tab w:val="left" w:pos="540" w:leader="none"/>
          <w:tab w:val="left" w:pos="1080" w:leader="none"/>
        </w:tabs>
        <w:rPr>
          <w:rFonts w:hint="eastAsia" w:ascii="宋体" w:hAnsi="宋体"/>
          <w:szCs w:val="21"/>
          <w:highlight w:val="none"/>
        </w:rPr>
      </w:pPr>
      <w:r>
        <w:rPr>
          <w:rFonts w:ascii="宋体" w:hAnsi="宋体"/>
          <w:szCs w:val="21"/>
          <w:highlight w:val="none"/>
        </w:rPr>
        <w:t xml:space="preserve">17.3 检验和验收标准、程序等具体内容以及前述验收书的效力详见</w:t>
      </w:r>
      <w:r>
        <w:rPr>
          <w:rFonts w:ascii="宋体" w:hAnsi="宋体"/>
          <w:b/>
          <w:i/>
          <w:szCs w:val="21"/>
          <w:highlight w:val="none"/>
          <w:u w:val="single"/>
        </w:rPr>
        <w:t xml:space="preserve">合同专用条款</w:t>
      </w:r>
      <w:r>
        <w:rPr>
          <w:rFonts w:ascii="宋体" w:hAnsi="宋体"/>
          <w:i/>
          <w:szCs w:val="21"/>
          <w:highlight w:val="none"/>
        </w:rPr>
        <w:t xml:space="preserve">。</w:t>
      </w:r>
      <w:bookmarkEnd w:id="270"/>
      <w:r/>
      <w:bookmarkEnd w:id="271"/>
      <w:r/>
      <w:bookmarkEnd w:id="272"/>
      <w:r/>
      <w:bookmarkEnd w:id="273"/>
      <w:r/>
      <w:r/>
    </w:p>
    <w:p>
      <w:pPr>
        <w:spacing w:line="360" w:lineRule="auto"/>
        <w:rPr>
          <w:rFonts w:hint="eastAsia" w:ascii="宋体" w:hAnsi="宋体"/>
          <w:b/>
          <w:szCs w:val="21"/>
          <w:highlight w:val="none"/>
          <w:lang w:val="zh-CN"/>
        </w:rPr>
      </w:pPr>
      <w:r/>
      <w:bookmarkStart w:id="301" w:name="_Toc487900371"/>
      <w:r/>
      <w:bookmarkStart w:id="302" w:name="_Toc279701261"/>
      <w:r/>
      <w:bookmarkStart w:id="303" w:name="_Toc259093690"/>
      <w:r/>
      <w:bookmarkStart w:id="304" w:name="_Toc25182"/>
      <w:r/>
      <w:bookmarkStart w:id="305" w:name="_Toc19604"/>
      <w:r/>
      <w:bookmarkStart w:id="306" w:name="_Toc11284"/>
      <w:r>
        <w:rPr>
          <w:rFonts w:ascii="宋体" w:hAnsi="宋体"/>
          <w:b/>
          <w:szCs w:val="21"/>
          <w:highlight w:val="none"/>
          <w:lang w:val="zh-CN"/>
        </w:rPr>
        <w:t xml:space="preserve">18</w:t>
      </w:r>
      <w:r>
        <w:rPr>
          <w:rFonts w:hint="eastAsia" w:ascii="宋体" w:hAnsi="宋体"/>
          <w:b/>
          <w:szCs w:val="21"/>
          <w:highlight w:val="none"/>
          <w:lang w:val="zh-CN"/>
        </w:rPr>
        <w:t xml:space="preserve">、</w:t>
      </w:r>
      <w:r>
        <w:rPr>
          <w:rFonts w:ascii="宋体" w:hAnsi="宋体"/>
          <w:b/>
          <w:szCs w:val="21"/>
          <w:highlight w:val="none"/>
          <w:lang w:val="zh-CN"/>
        </w:rPr>
        <w:t xml:space="preserve">通知</w:t>
      </w:r>
      <w:bookmarkEnd w:id="301"/>
      <w:r/>
      <w:bookmarkEnd w:id="302"/>
      <w:r/>
      <w:bookmarkEnd w:id="303"/>
      <w:r>
        <w:rPr>
          <w:rFonts w:ascii="宋体" w:hAnsi="宋体"/>
          <w:b/>
          <w:szCs w:val="21"/>
          <w:highlight w:val="none"/>
          <w:lang w:val="zh-CN"/>
        </w:rPr>
        <w:t xml:space="preserve">和送达</w:t>
      </w:r>
      <w:bookmarkEnd w:id="304"/>
      <w:r/>
      <w:bookmarkEnd w:id="305"/>
      <w:r/>
      <w:bookmarkEnd w:id="306"/>
      <w:r/>
      <w:r/>
    </w:p>
    <w:p>
      <w:pPr>
        <w:ind w:firstLine="420"/>
        <w:spacing w:line="360" w:lineRule="auto"/>
        <w:rPr>
          <w:rFonts w:hint="eastAsia" w:ascii="宋体" w:hAnsi="宋体"/>
          <w:szCs w:val="21"/>
          <w:highlight w:val="none"/>
        </w:rPr>
      </w:pPr>
      <w:r/>
      <w:bookmarkStart w:id="307" w:name="_Toc6698"/>
      <w:r/>
      <w:bookmarkStart w:id="308" w:name="_Toc3135"/>
      <w:r/>
      <w:bookmarkStart w:id="309" w:name="_Toc279701262"/>
      <w:r/>
      <w:bookmarkStart w:id="310" w:name="_Toc487900372"/>
      <w:r/>
      <w:bookmarkStart w:id="311" w:name="_Toc259093691"/>
      <w:r>
        <w:rPr>
          <w:rFonts w:ascii="宋体" w:hAnsi="宋体"/>
          <w:szCs w:val="21"/>
          <w:highlight w:val="none"/>
        </w:rPr>
        <w:t xml:space="preserve">18.1 任何一方因履行合同而以合同第一部分尾部所列明的</w:t>
      </w:r>
      <w:r>
        <w:rPr>
          <w:rFonts w:hint="eastAsia" w:ascii="宋体" w:hAnsi="宋体"/>
          <w:szCs w:val="21"/>
          <w:highlight w:val="none"/>
          <w:u w:val="single"/>
        </w:rPr>
        <w:t xml:space="preserve">详细地址</w:t>
      </w:r>
      <w:r>
        <w:rPr>
          <w:rFonts w:ascii="宋体" w:hAnsi="宋体"/>
          <w:szCs w:val="21"/>
          <w:highlight w:val="none"/>
        </w:rPr>
        <w:t xml:space="preserve">发出的所有通知、文件、材料，均视为已向对方当事人送达；任何一方变更上述送达方式或者地址的，应于20</w:t>
      </w:r>
      <w:r>
        <w:rPr>
          <w:rFonts w:ascii="宋体" w:hAnsi="宋体"/>
          <w:szCs w:val="21"/>
          <w:highlight w:val="none"/>
          <w:u w:val="single"/>
        </w:rPr>
        <w:t xml:space="preserve"> </w:t>
      </w:r>
      <w:r>
        <w:rPr>
          <w:rFonts w:ascii="宋体" w:hAnsi="宋体"/>
          <w:szCs w:val="21"/>
          <w:highlight w:val="none"/>
        </w:rPr>
        <w:t xml:space="preserve">个工作日内书面通知对方当事人，在对方当事人收到有关变更通知之前，变更前的约定送达方式或者地址仍视为有效。</w:t>
      </w:r>
      <w:bookmarkEnd w:id="307"/>
      <w:r/>
      <w:bookmarkEnd w:id="308"/>
      <w:r/>
      <w:r/>
    </w:p>
    <w:p>
      <w:pPr>
        <w:ind w:firstLine="420"/>
        <w:spacing w:line="360" w:lineRule="auto"/>
        <w:rPr>
          <w:rFonts w:hint="eastAsia" w:ascii="宋体" w:hAnsi="宋体"/>
          <w:szCs w:val="21"/>
          <w:highlight w:val="none"/>
        </w:rPr>
      </w:pPr>
      <w:r/>
      <w:bookmarkStart w:id="312" w:name="_Toc23294"/>
      <w:r/>
      <w:bookmarkStart w:id="313" w:name="_Toc23128"/>
      <w:r>
        <w:rPr>
          <w:rFonts w:ascii="宋体" w:hAnsi="宋体"/>
          <w:szCs w:val="21"/>
          <w:highlight w:val="none"/>
        </w:rPr>
        <w:t xml:space="preserve">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312"/>
      <w:r/>
      <w:bookmarkEnd w:id="313"/>
      <w:r/>
      <w:r/>
    </w:p>
    <w:p>
      <w:pPr>
        <w:spacing w:line="360" w:lineRule="auto"/>
        <w:rPr>
          <w:rFonts w:hint="eastAsia" w:ascii="宋体" w:hAnsi="宋体"/>
          <w:b/>
          <w:szCs w:val="21"/>
          <w:highlight w:val="none"/>
          <w:lang w:val="zh-CN"/>
        </w:rPr>
      </w:pPr>
      <w:r/>
      <w:bookmarkStart w:id="314" w:name="_Toc18540"/>
      <w:r/>
      <w:bookmarkStart w:id="315" w:name="_Toc30599"/>
      <w:r/>
      <w:bookmarkStart w:id="316" w:name="_Toc4355"/>
      <w:r>
        <w:rPr>
          <w:rFonts w:ascii="宋体" w:hAnsi="宋体"/>
          <w:b/>
          <w:szCs w:val="21"/>
          <w:highlight w:val="none"/>
          <w:lang w:val="zh-CN"/>
        </w:rPr>
        <w:t xml:space="preserve">19</w:t>
      </w:r>
      <w:r>
        <w:rPr>
          <w:rFonts w:hint="eastAsia" w:ascii="宋体" w:hAnsi="宋体"/>
          <w:b/>
          <w:szCs w:val="21"/>
          <w:highlight w:val="none"/>
          <w:lang w:val="zh-CN"/>
        </w:rPr>
        <w:t xml:space="preserve">、</w:t>
      </w:r>
      <w:r>
        <w:rPr>
          <w:rFonts w:ascii="宋体" w:hAnsi="宋体"/>
          <w:b/>
          <w:szCs w:val="21"/>
          <w:highlight w:val="none"/>
          <w:lang w:val="zh-CN"/>
        </w:rPr>
        <w:t xml:space="preserve">计量单位</w:t>
      </w:r>
      <w:bookmarkEnd w:id="309"/>
      <w:r/>
      <w:bookmarkEnd w:id="310"/>
      <w:r/>
      <w:bookmarkEnd w:id="311"/>
      <w:r/>
      <w:bookmarkEnd w:id="314"/>
      <w:r/>
      <w:bookmarkEnd w:id="315"/>
      <w:r/>
      <w:bookmarkEnd w:id="316"/>
      <w:r/>
      <w:r/>
    </w:p>
    <w:p>
      <w:pPr>
        <w:ind w:firstLine="420"/>
        <w:spacing w:line="360" w:lineRule="auto"/>
        <w:rPr>
          <w:rFonts w:hint="eastAsia" w:ascii="宋体" w:hAnsi="宋体"/>
          <w:szCs w:val="21"/>
          <w:highlight w:val="none"/>
        </w:rPr>
      </w:pPr>
      <w:r>
        <w:rPr>
          <w:rFonts w:ascii="宋体" w:hAnsi="宋体"/>
          <w:szCs w:val="21"/>
          <w:highlight w:val="none"/>
        </w:rPr>
        <w:t xml:space="preserve">除技术规范中另有规定外,合同的计量单位均使用国家法定计量单位。</w:t>
      </w:r>
      <w:r/>
    </w:p>
    <w:p>
      <w:pPr>
        <w:spacing w:line="360" w:lineRule="auto"/>
        <w:rPr>
          <w:rFonts w:hint="eastAsia" w:ascii="宋体" w:hAnsi="宋体"/>
          <w:b/>
          <w:szCs w:val="21"/>
          <w:highlight w:val="none"/>
        </w:rPr>
      </w:pPr>
      <w:r/>
      <w:bookmarkStart w:id="317" w:name="_Toc10330"/>
      <w:r/>
      <w:bookmarkStart w:id="318" w:name="_Toc279701263"/>
      <w:r/>
      <w:bookmarkStart w:id="319" w:name="_Toc487900373"/>
      <w:r/>
      <w:bookmarkStart w:id="320" w:name="_Toc259093692"/>
      <w:r/>
      <w:bookmarkStart w:id="321" w:name="_Toc12773"/>
      <w:r/>
      <w:bookmarkStart w:id="322" w:name="_Toc18567"/>
      <w:r>
        <w:rPr>
          <w:rFonts w:ascii="宋体" w:hAnsi="宋体"/>
          <w:b/>
          <w:szCs w:val="21"/>
          <w:highlight w:val="none"/>
        </w:rPr>
        <w:t xml:space="preserve">20</w:t>
      </w:r>
      <w:r>
        <w:rPr>
          <w:rFonts w:hint="eastAsia" w:ascii="宋体" w:hAnsi="宋体"/>
          <w:b/>
          <w:szCs w:val="21"/>
          <w:highlight w:val="none"/>
          <w:lang w:val="zh-CN"/>
        </w:rPr>
        <w:t xml:space="preserve">、</w:t>
      </w:r>
      <w:r>
        <w:rPr>
          <w:rFonts w:ascii="宋体" w:hAnsi="宋体"/>
          <w:b/>
          <w:szCs w:val="21"/>
          <w:highlight w:val="none"/>
          <w:lang w:val="zh-CN"/>
        </w:rPr>
        <w:t xml:space="preserve">合同使用的文字和适用的法律</w:t>
      </w:r>
      <w:bookmarkEnd w:id="317"/>
      <w:r/>
      <w:bookmarkEnd w:id="318"/>
      <w:r/>
      <w:bookmarkEnd w:id="319"/>
      <w:r/>
      <w:bookmarkEnd w:id="320"/>
      <w:r/>
      <w:bookmarkEnd w:id="321"/>
      <w:r/>
      <w:bookmarkEnd w:id="322"/>
      <w:r/>
      <w:r/>
    </w:p>
    <w:p>
      <w:pPr>
        <w:ind w:firstLine="420"/>
        <w:spacing w:line="360" w:lineRule="auto"/>
        <w:rPr>
          <w:rFonts w:hint="eastAsia" w:ascii="宋体" w:hAnsi="宋体"/>
          <w:szCs w:val="21"/>
          <w:highlight w:val="none"/>
        </w:rPr>
      </w:pPr>
      <w:r>
        <w:rPr>
          <w:rFonts w:ascii="宋体" w:hAnsi="宋体"/>
          <w:szCs w:val="21"/>
          <w:highlight w:val="none"/>
        </w:rPr>
        <w:t xml:space="preserve">20.1 合同使用汉语书就、变更和解释；</w:t>
      </w:r>
      <w:r/>
    </w:p>
    <w:p>
      <w:pPr>
        <w:ind w:firstLine="420"/>
        <w:spacing w:line="360" w:lineRule="auto"/>
        <w:rPr>
          <w:rFonts w:hint="eastAsia" w:ascii="宋体" w:hAnsi="宋体"/>
          <w:szCs w:val="21"/>
          <w:highlight w:val="none"/>
        </w:rPr>
      </w:pPr>
      <w:r>
        <w:rPr>
          <w:rFonts w:ascii="宋体" w:hAnsi="宋体"/>
          <w:szCs w:val="21"/>
          <w:highlight w:val="none"/>
        </w:rPr>
        <w:t xml:space="preserve">20.2 合同适用中华人民共和国法律。</w:t>
      </w:r>
      <w:r/>
    </w:p>
    <w:p>
      <w:pPr>
        <w:spacing w:line="360" w:lineRule="auto"/>
        <w:rPr>
          <w:rFonts w:hint="eastAsia" w:ascii="宋体" w:hAnsi="宋体"/>
          <w:b/>
          <w:szCs w:val="21"/>
          <w:highlight w:val="none"/>
          <w:lang w:val="zh-CN"/>
        </w:rPr>
      </w:pPr>
      <w:r/>
      <w:bookmarkStart w:id="323" w:name="_Toc279701264"/>
      <w:r/>
      <w:bookmarkStart w:id="324" w:name="_Toc16673"/>
      <w:r/>
      <w:bookmarkStart w:id="325" w:name="_Toc3148"/>
      <w:r/>
      <w:bookmarkStart w:id="326" w:name="_Toc12004"/>
      <w:r/>
      <w:bookmarkStart w:id="327" w:name="_Toc259093693"/>
      <w:r/>
      <w:bookmarkStart w:id="328" w:name="_Toc487900374"/>
      <w:r>
        <w:rPr>
          <w:rFonts w:ascii="宋体" w:hAnsi="宋体"/>
          <w:b/>
          <w:szCs w:val="21"/>
          <w:highlight w:val="none"/>
          <w:lang w:val="zh-CN"/>
        </w:rPr>
        <w:t xml:space="preserve">21</w:t>
      </w:r>
      <w:r>
        <w:rPr>
          <w:rFonts w:hint="eastAsia" w:ascii="宋体" w:hAnsi="宋体"/>
          <w:b/>
          <w:szCs w:val="21"/>
          <w:highlight w:val="none"/>
          <w:lang w:val="zh-CN"/>
        </w:rPr>
        <w:t xml:space="preserve">、</w:t>
      </w:r>
      <w:r>
        <w:rPr>
          <w:rFonts w:ascii="宋体" w:hAnsi="宋体"/>
          <w:b/>
          <w:szCs w:val="21"/>
          <w:highlight w:val="none"/>
          <w:lang w:val="zh-CN"/>
        </w:rPr>
        <w:t xml:space="preserve">履约保证金</w:t>
      </w:r>
      <w:bookmarkEnd w:id="323"/>
      <w:r/>
      <w:bookmarkEnd w:id="324"/>
      <w:r/>
      <w:bookmarkEnd w:id="325"/>
      <w:r/>
      <w:bookmarkEnd w:id="326"/>
      <w:r/>
      <w:bookmarkEnd w:id="327"/>
      <w:r/>
      <w:r/>
    </w:p>
    <w:p>
      <w:pPr>
        <w:ind w:firstLine="420"/>
        <w:spacing w:line="360" w:lineRule="auto"/>
        <w:rPr>
          <w:rFonts w:hint="eastAsia" w:ascii="宋体" w:hAnsi="宋体"/>
          <w:szCs w:val="21"/>
          <w:highlight w:val="none"/>
        </w:rPr>
      </w:pPr>
      <w:r>
        <w:rPr>
          <w:rFonts w:ascii="宋体" w:hAnsi="宋体"/>
          <w:szCs w:val="21"/>
          <w:highlight w:val="none"/>
        </w:rPr>
        <w:t xml:space="preserve">21.1 </w:t>
      </w:r>
      <w:r>
        <w:rPr>
          <w:rFonts w:hint="eastAsia" w:ascii="宋体" w:hAnsi="宋体"/>
          <w:szCs w:val="21"/>
          <w:highlight w:val="none"/>
        </w:rPr>
        <w:t xml:space="preserve">乙方在签订合同前</w:t>
      </w:r>
      <w:r>
        <w:rPr>
          <w:rFonts w:ascii="宋体" w:hAnsi="宋体"/>
          <w:szCs w:val="21"/>
          <w:highlight w:val="none"/>
        </w:rPr>
        <w:t xml:space="preserve">，以支票、汇票、本票或者金融机构、担保机构出具的保函等非现金形式，提交合同价</w:t>
      </w:r>
      <w:r>
        <w:rPr>
          <w:rFonts w:hint="eastAsia" w:ascii="宋体" w:hAnsi="宋体"/>
          <w:szCs w:val="21"/>
          <w:highlight w:val="none"/>
        </w:rPr>
        <w:t xml:space="preserve">5</w:t>
      </w:r>
      <w:r>
        <w:rPr>
          <w:rFonts w:ascii="宋体" w:hAnsi="宋体"/>
          <w:szCs w:val="21"/>
          <w:highlight w:val="none"/>
        </w:rPr>
        <w:t xml:space="preserve">%的履约保证金；</w:t>
      </w:r>
      <w:r/>
    </w:p>
    <w:p>
      <w:pPr>
        <w:ind w:firstLine="420"/>
        <w:spacing w:line="360" w:lineRule="auto"/>
        <w:rPr>
          <w:rFonts w:hint="eastAsia" w:ascii="宋体" w:hAnsi="宋体"/>
          <w:szCs w:val="21"/>
          <w:highlight w:val="none"/>
        </w:rPr>
      </w:pPr>
      <w:r>
        <w:rPr>
          <w:rFonts w:ascii="宋体" w:hAnsi="宋体"/>
          <w:szCs w:val="21"/>
          <w:highlight w:val="none"/>
        </w:rPr>
        <w:t xml:space="preserve">21.2  履约保证金在质量保证期内不予退还或者应完全有效，质量保证期届满之日起</w:t>
      </w:r>
      <w:r>
        <w:rPr>
          <w:rFonts w:ascii="宋体" w:hAnsi="宋体"/>
          <w:szCs w:val="21"/>
          <w:highlight w:val="none"/>
          <w:u w:val="single"/>
        </w:rPr>
        <w:t xml:space="preserve"> 5 </w:t>
      </w:r>
      <w:r>
        <w:rPr>
          <w:rFonts w:ascii="宋体" w:hAnsi="宋体"/>
          <w:szCs w:val="21"/>
          <w:highlight w:val="none"/>
        </w:rPr>
        <w:t xml:space="preserve">个工作日内，甲方应将履约保证金退还乙方；</w:t>
      </w:r>
      <w:r/>
    </w:p>
    <w:p>
      <w:pPr>
        <w:ind w:firstLine="420"/>
        <w:spacing w:line="360" w:lineRule="auto"/>
        <w:rPr>
          <w:rFonts w:hint="eastAsia" w:ascii="宋体" w:hAnsi="宋体"/>
          <w:szCs w:val="21"/>
          <w:highlight w:val="none"/>
        </w:rPr>
      </w:pPr>
      <w:r>
        <w:rPr>
          <w:rFonts w:ascii="宋体" w:hAnsi="宋体"/>
          <w:szCs w:val="21"/>
          <w:highlight w:val="none"/>
        </w:rPr>
        <w:t xml:space="preserve">21.3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328"/>
      <w:r/>
      <w:r/>
    </w:p>
    <w:p>
      <w:pPr>
        <w:spacing w:line="360" w:lineRule="auto"/>
        <w:rPr>
          <w:rFonts w:hint="eastAsia" w:ascii="宋体" w:hAnsi="宋体"/>
          <w:b/>
          <w:szCs w:val="21"/>
          <w:highlight w:val="none"/>
          <w:lang w:val="zh-CN"/>
        </w:rPr>
      </w:pPr>
      <w:r/>
      <w:bookmarkStart w:id="329" w:name="_Toc19890"/>
      <w:r/>
      <w:bookmarkStart w:id="330" w:name="_Toc14001"/>
      <w:r/>
      <w:bookmarkStart w:id="331" w:name="_Toc6885"/>
      <w:r>
        <w:rPr>
          <w:rFonts w:ascii="宋体" w:hAnsi="宋体"/>
          <w:b/>
          <w:szCs w:val="21"/>
          <w:highlight w:val="none"/>
          <w:lang w:val="zh-CN"/>
        </w:rPr>
        <w:t xml:space="preserve">22 合同份数</w:t>
      </w:r>
      <w:bookmarkEnd w:id="329"/>
      <w:r/>
      <w:bookmarkEnd w:id="330"/>
      <w:r/>
      <w:bookmarkEnd w:id="331"/>
      <w:r/>
      <w:r/>
    </w:p>
    <w:p>
      <w:pPr>
        <w:ind w:firstLine="420"/>
        <w:spacing w:line="360" w:lineRule="auto"/>
        <w:rPr>
          <w:rFonts w:hint="eastAsia" w:ascii="宋体" w:hAnsi="宋体"/>
          <w:szCs w:val="21"/>
          <w:highlight w:val="none"/>
        </w:rPr>
      </w:pPr>
      <w:r>
        <w:rPr>
          <w:rFonts w:ascii="宋体" w:hAnsi="宋体"/>
          <w:szCs w:val="21"/>
          <w:highlight w:val="none"/>
        </w:rPr>
        <w:t xml:space="preserve">合同份数按</w:t>
      </w:r>
      <w:r>
        <w:rPr>
          <w:rFonts w:ascii="宋体" w:hAnsi="宋体"/>
          <w:b/>
          <w:i/>
          <w:szCs w:val="21"/>
          <w:highlight w:val="none"/>
          <w:u w:val="single"/>
        </w:rPr>
        <w:t xml:space="preserve">合同专用条款</w:t>
      </w:r>
      <w:r>
        <w:rPr>
          <w:rFonts w:ascii="宋体" w:hAnsi="宋体"/>
          <w:szCs w:val="21"/>
          <w:highlight w:val="none"/>
        </w:rPr>
        <w:t xml:space="preserve">规定，每份均具有同等法律效力。</w:t>
      </w:r>
      <w:r/>
    </w:p>
    <w:p>
      <w:pPr>
        <w:ind w:left="420" w:firstLine="400"/>
        <w:jc w:val="center"/>
        <w:spacing w:line="360" w:lineRule="auto"/>
        <w:rPr>
          <w:rFonts w:hint="eastAsia" w:ascii="宋体" w:hAnsi="宋体"/>
          <w:b/>
          <w:sz w:val="30"/>
          <w:szCs w:val="30"/>
          <w:highlight w:val="none"/>
        </w:rPr>
      </w:pPr>
      <w:r>
        <w:rPr>
          <w:rFonts w:ascii="仿宋" w:hAnsi="仿宋" w:eastAsia="仿宋_GB2312"/>
          <w:sz w:val="20"/>
          <w:highlight w:val="none"/>
        </w:rPr>
        <w:br w:type="page" w:clear="all"/>
      </w:r>
      <w:bookmarkStart w:id="332" w:name="_Toc331685784"/>
      <w:r/>
      <w:bookmarkStart w:id="333" w:name="OLE_LINK31"/>
      <w:r/>
      <w:bookmarkStart w:id="334" w:name="OLE_LINK48"/>
      <w:r/>
      <w:bookmarkStart w:id="335" w:name="OLE_LINK32"/>
      <w:r/>
      <w:bookmarkStart w:id="336" w:name="OLE_LINK49"/>
      <w:r>
        <w:rPr>
          <w:rFonts w:ascii="宋体" w:hAnsi="宋体"/>
          <w:b/>
          <w:sz w:val="30"/>
          <w:szCs w:val="30"/>
          <w:highlight w:val="none"/>
        </w:rPr>
        <w:t xml:space="preserve">合同专用条款</w:t>
      </w:r>
      <w:bookmarkEnd w:id="332"/>
      <w:r/>
      <w:bookmarkEnd w:id="333"/>
      <w:r/>
      <w:bookmarkEnd w:id="334"/>
      <w:r/>
      <w:bookmarkEnd w:id="335"/>
      <w:r/>
      <w:bookmarkEnd w:id="336"/>
      <w:r/>
      <w:r/>
    </w:p>
    <w:p>
      <w:pPr>
        <w:ind w:firstLine="420"/>
        <w:spacing w:line="360" w:lineRule="auto"/>
        <w:rPr>
          <w:rFonts w:hint="eastAsia" w:ascii="宋体" w:hAnsi="宋体"/>
          <w:szCs w:val="21"/>
          <w:highlight w:val="none"/>
        </w:rPr>
      </w:pPr>
      <w:r>
        <w:rPr>
          <w:rFonts w:ascii="宋体" w:hAnsi="宋体"/>
          <w:szCs w:val="21"/>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782"/>
        <w:tblW w:w="9100" w:type="dxa"/>
        <w:tblInd w:w="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8299"/>
      </w:tblGrid>
      <w:tr>
        <w:trPr>
          <w:trHeight w:val="391"/>
        </w:trPr>
        <w:tc>
          <w:tcPr>
            <w:tcW w:w="801" w:type="dxa"/>
            <w:vAlign w:val="center"/>
            <w:textDirection w:val="lrTb"/>
            <w:noWrap w:val="false"/>
          </w:tcPr>
          <w:p>
            <w:pPr>
              <w:jc w:val="center"/>
              <w:spacing w:line="360" w:lineRule="auto"/>
              <w:rPr>
                <w:rFonts w:hint="eastAsia" w:ascii="宋体" w:hAnsi="宋体"/>
                <w:b/>
                <w:szCs w:val="21"/>
                <w:highlight w:val="none"/>
              </w:rPr>
            </w:pPr>
            <w:r>
              <w:rPr>
                <w:rFonts w:ascii="宋体" w:hAnsi="宋体"/>
                <w:b/>
                <w:szCs w:val="21"/>
                <w:highlight w:val="none"/>
              </w:rPr>
              <w:t xml:space="preserve">条款号</w:t>
            </w:r>
            <w:r/>
          </w:p>
        </w:tc>
        <w:tc>
          <w:tcPr>
            <w:tcW w:w="8299" w:type="dxa"/>
            <w:vAlign w:val="center"/>
            <w:textDirection w:val="lrTb"/>
            <w:noWrap w:val="false"/>
          </w:tcPr>
          <w:p>
            <w:pPr>
              <w:jc w:val="center"/>
              <w:spacing w:line="360" w:lineRule="auto"/>
              <w:rPr>
                <w:rFonts w:hint="eastAsia" w:ascii="宋体" w:hAnsi="宋体"/>
                <w:b/>
                <w:szCs w:val="21"/>
                <w:highlight w:val="none"/>
              </w:rPr>
            </w:pPr>
            <w:r>
              <w:rPr>
                <w:rFonts w:ascii="宋体" w:hAnsi="宋体"/>
                <w:b/>
                <w:szCs w:val="21"/>
                <w:highlight w:val="none"/>
              </w:rPr>
              <w:t xml:space="preserve">约定内容</w:t>
            </w:r>
            <w:r/>
          </w:p>
        </w:tc>
      </w:tr>
      <w:tr>
        <w:trPr>
          <w:trHeight w:val="88"/>
        </w:trPr>
        <w:tc>
          <w:tcPr>
            <w:tcW w:w="801"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3.2</w:t>
            </w:r>
            <w:r/>
          </w:p>
        </w:tc>
        <w:tc>
          <w:tcPr>
            <w:tcW w:w="8299" w:type="dxa"/>
            <w:vAlign w:val="center"/>
            <w:textDirection w:val="lrTb"/>
            <w:noWrap w:val="false"/>
          </w:tcPr>
          <w:p>
            <w:pPr>
              <w:spacing w:line="360" w:lineRule="auto"/>
              <w:rPr>
                <w:rFonts w:hint="eastAsia" w:ascii="宋体" w:hAnsi="宋体"/>
                <w:szCs w:val="21"/>
                <w:highlight w:val="none"/>
              </w:rPr>
            </w:pPr>
            <w:r>
              <w:rPr>
                <w:rFonts w:ascii="宋体" w:hAnsi="宋体"/>
                <w:szCs w:val="21"/>
                <w:highlight w:val="none"/>
              </w:rPr>
              <w:t xml:space="preserve">具有知识产权的计算机软件等货物的知识产权归属 </w:t>
            </w:r>
            <w:r>
              <w:rPr>
                <w:rFonts w:ascii="宋体" w:hAnsi="宋体"/>
                <w:szCs w:val="21"/>
                <w:highlight w:val="none"/>
                <w:u w:val="single"/>
              </w:rPr>
              <w:t xml:space="preserve"> 采购人</w:t>
            </w:r>
            <w:r>
              <w:rPr>
                <w:rFonts w:ascii="宋体" w:hAnsi="宋体"/>
                <w:szCs w:val="21"/>
                <w:highlight w:val="none"/>
              </w:rPr>
              <w:t xml:space="preserve">。</w:t>
            </w:r>
            <w:r/>
          </w:p>
        </w:tc>
      </w:tr>
      <w:tr>
        <w:trPr>
          <w:trHeight w:val="352"/>
        </w:trPr>
        <w:tc>
          <w:tcPr>
            <w:tcW w:w="801"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4.1</w:t>
            </w:r>
            <w:r/>
          </w:p>
        </w:tc>
        <w:tc>
          <w:tcPr>
            <w:tcW w:w="8299" w:type="dxa"/>
            <w:vAlign w:val="center"/>
            <w:textDirection w:val="lrTb"/>
            <w:noWrap w:val="false"/>
          </w:tcPr>
          <w:p>
            <w:pPr>
              <w:spacing w:line="360" w:lineRule="auto"/>
              <w:rPr>
                <w:rFonts w:hint="eastAsia" w:ascii="宋体" w:hAnsi="宋体"/>
                <w:szCs w:val="21"/>
                <w:highlight w:val="none"/>
              </w:rPr>
            </w:pPr>
            <w:r>
              <w:rPr>
                <w:rFonts w:ascii="宋体" w:hAnsi="宋体"/>
                <w:szCs w:val="21"/>
                <w:highlight w:val="none"/>
              </w:rPr>
              <w:t xml:space="preserve">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tc>
      </w:tr>
      <w:tr>
        <w:trPr>
          <w:trHeight w:val="352"/>
        </w:trPr>
        <w:tc>
          <w:tcPr>
            <w:tcW w:w="801"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4.2</w:t>
            </w:r>
            <w:r/>
          </w:p>
        </w:tc>
        <w:tc>
          <w:tcPr>
            <w:tcW w:w="8299" w:type="dxa"/>
            <w:vAlign w:val="center"/>
            <w:textDirection w:val="lrTb"/>
            <w:noWrap w:val="false"/>
          </w:tcPr>
          <w:p>
            <w:pPr>
              <w:spacing w:line="360" w:lineRule="auto"/>
              <w:rPr>
                <w:rFonts w:hint="eastAsia" w:ascii="宋体" w:hAnsi="宋体"/>
                <w:szCs w:val="21"/>
                <w:highlight w:val="none"/>
              </w:rPr>
            </w:pPr>
            <w:r>
              <w:rPr>
                <w:rFonts w:ascii="宋体" w:hAnsi="宋体"/>
                <w:szCs w:val="21"/>
                <w:highlight w:val="none"/>
              </w:rPr>
              <w:t xml:space="preserve">装运货物的要求和通知</w:t>
            </w:r>
            <w:r>
              <w:rPr>
                <w:rFonts w:ascii="宋体" w:hAnsi="宋体"/>
                <w:szCs w:val="21"/>
                <w:highlight w:val="none"/>
                <w:u w:val="single"/>
              </w:rPr>
              <w:t xml:space="preserve"> 按照本行业通用的方式</w:t>
            </w:r>
            <w:r>
              <w:rPr>
                <w:rFonts w:ascii="宋体" w:hAnsi="宋体"/>
                <w:szCs w:val="21"/>
                <w:highlight w:val="none"/>
              </w:rPr>
              <w:t xml:space="preserve">。</w:t>
            </w:r>
            <w:r/>
          </w:p>
        </w:tc>
      </w:tr>
      <w:tr>
        <w:trPr>
          <w:trHeight w:val="352"/>
        </w:trPr>
        <w:tc>
          <w:tcPr>
            <w:tcW w:w="801" w:type="dxa"/>
            <w:vAlign w:val="center"/>
            <w:textDirection w:val="lrTb"/>
            <w:noWrap w:val="false"/>
          </w:tcPr>
          <w:p>
            <w:pPr>
              <w:spacing w:line="360" w:lineRule="auto"/>
              <w:rPr>
                <w:rFonts w:hint="eastAsia" w:ascii="宋体" w:hAnsi="宋体"/>
                <w:szCs w:val="21"/>
                <w:highlight w:val="none"/>
              </w:rPr>
            </w:pPr>
            <w:r>
              <w:rPr>
                <w:rFonts w:hint="eastAsia" w:ascii="宋体" w:hAnsi="宋体"/>
                <w:b/>
                <w:szCs w:val="21"/>
                <w:highlight w:val="none"/>
              </w:rPr>
              <w:t xml:space="preserve">6</w:t>
            </w:r>
            <w:r/>
          </w:p>
        </w:tc>
        <w:tc>
          <w:tcPr>
            <w:tcW w:w="8299" w:type="dxa"/>
            <w:vAlign w:val="center"/>
            <w:textDirection w:val="lrTb"/>
            <w:noWrap w:val="false"/>
          </w:tcPr>
          <w:p>
            <w:pPr>
              <w:spacing w:line="360" w:lineRule="auto"/>
              <w:widowControl/>
              <w:rPr>
                <w:rFonts w:hint="eastAsia" w:ascii="宋体" w:hAnsi="宋体"/>
                <w:b/>
                <w:szCs w:val="21"/>
                <w:highlight w:val="none"/>
              </w:rPr>
            </w:pPr>
            <w:r/>
            <w:bookmarkStart w:id="337" w:name="OLE_LINK53"/>
            <w:r/>
            <w:bookmarkStart w:id="338" w:name="OLE_LINK54"/>
            <w:r/>
            <w:bookmarkStart w:id="339" w:name="OLE_LINK55"/>
            <w:r>
              <w:rPr>
                <w:rFonts w:ascii="宋体" w:hAnsi="宋体"/>
                <w:b/>
                <w:szCs w:val="21"/>
                <w:highlight w:val="none"/>
              </w:rPr>
              <w:t xml:space="preserve">结算方式和付款条件：</w:t>
            </w:r>
            <w:bookmarkEnd w:id="337"/>
            <w:r/>
            <w:bookmarkEnd w:id="338"/>
            <w:r/>
            <w:bookmarkEnd w:id="339"/>
            <w:r/>
            <w:r/>
          </w:p>
          <w:p>
            <w:pPr>
              <w:spacing w:line="360" w:lineRule="auto"/>
              <w:widowControl/>
              <w:rPr>
                <w:rFonts w:hint="eastAsia" w:ascii="宋体" w:hAnsi="宋体" w:cs="仿宋_GB2312"/>
                <w:szCs w:val="21"/>
                <w:highlight w:val="none"/>
                <w:lang w:val="zh-CN"/>
              </w:rPr>
            </w:pPr>
            <w:r>
              <w:rPr>
                <w:rFonts w:ascii="宋体" w:hAnsi="宋体" w:cs="仿宋_GB2312"/>
                <w:szCs w:val="21"/>
                <w:highlight w:val="none"/>
                <w:lang w:val="zh-CN"/>
              </w:rPr>
              <w:t xml:space="preserve">本次项目合同总价为</w:t>
            </w:r>
            <w:r>
              <w:rPr>
                <w:rFonts w:hint="eastAsia" w:ascii="宋体" w:hAnsi="宋体" w:cs="仿宋_GB2312"/>
                <w:szCs w:val="21"/>
                <w:highlight w:val="none"/>
                <w:lang w:val="zh-CN"/>
              </w:rPr>
              <w:t xml:space="preserve">：</w:t>
            </w:r>
            <w:r>
              <w:rPr>
                <w:rFonts w:ascii="宋体" w:hAnsi="宋体" w:cs="仿宋_GB2312"/>
                <w:szCs w:val="21"/>
                <w:highlight w:val="none"/>
                <w:lang w:val="zh-CN"/>
              </w:rPr>
              <w:t xml:space="preserve">大写人民币</w:t>
            </w:r>
            <w:r>
              <w:rPr>
                <w:rFonts w:hint="eastAsia" w:ascii="宋体" w:hAnsi="宋体" w:cs="仿宋_GB2312"/>
                <w:szCs w:val="21"/>
                <w:highlight w:val="none"/>
                <w:u w:val="single"/>
                <w:lang w:val="zh-CN"/>
              </w:rPr>
              <w:t xml:space="preserve">    </w:t>
            </w:r>
            <w:r>
              <w:rPr>
                <w:rFonts w:ascii="宋体" w:hAnsi="宋体" w:cs="仿宋_GB2312"/>
                <w:szCs w:val="21"/>
                <w:highlight w:val="none"/>
                <w:u w:val="single"/>
                <w:lang w:val="zh-CN"/>
              </w:rPr>
              <w:t xml:space="preserve">（</w:t>
            </w:r>
            <w:r>
              <w:rPr>
                <w:rFonts w:ascii="宋体" w:hAnsi="宋体" w:cs="仿宋_GB2312"/>
                <w:szCs w:val="21"/>
                <w:highlight w:val="none"/>
                <w:lang w:val="zh-CN"/>
              </w:rPr>
              <w:t xml:space="preserve">￥</w:t>
            </w:r>
            <w:r>
              <w:rPr>
                <w:rFonts w:hint="eastAsia" w:ascii="宋体" w:hAnsi="宋体" w:cs="仿宋_GB2312"/>
                <w:szCs w:val="21"/>
                <w:highlight w:val="none"/>
                <w:lang w:val="zh-CN"/>
              </w:rPr>
              <w:t xml:space="preserve"> _____</w:t>
            </w:r>
            <w:r>
              <w:rPr>
                <w:rFonts w:ascii="宋体" w:hAnsi="宋体" w:cs="仿宋_GB2312"/>
                <w:szCs w:val="21"/>
                <w:highlight w:val="none"/>
                <w:lang w:val="zh-CN"/>
              </w:rPr>
              <w:t xml:space="preserve">元）</w:t>
            </w:r>
            <w:r>
              <w:rPr>
                <w:rFonts w:hint="eastAsia" w:ascii="宋体" w:hAnsi="宋体" w:cs="仿宋_GB2312"/>
                <w:szCs w:val="21"/>
                <w:highlight w:val="none"/>
                <w:lang w:val="zh-CN"/>
              </w:rPr>
              <w:t xml:space="preserve">。</w:t>
            </w:r>
            <w:r/>
          </w:p>
          <w:p>
            <w:pPr>
              <w:spacing w:line="360" w:lineRule="auto"/>
              <w:widowControl/>
              <w:rPr>
                <w:rFonts w:cs="微软雅黑"/>
                <w:color w:val="000000"/>
                <w:highlight w:val="none"/>
                <w:lang w:bidi="ar"/>
              </w:rPr>
            </w:pPr>
            <w:r>
              <w:rPr>
                <w:rFonts w:hint="eastAsia" w:ascii="宋体" w:hAnsi="宋体" w:cs="仿宋_GB2312"/>
                <w:szCs w:val="21"/>
                <w:highlight w:val="none"/>
                <w:lang w:val="zh-CN"/>
              </w:rPr>
              <w:t xml:space="preserve">乙方按照采购人要求交付全部设备并安装调试完成，验收合格后，乙方提供合规的增值税专用发票，甲方支付全部合同价款。</w:t>
            </w:r>
            <w:r/>
          </w:p>
        </w:tc>
      </w:tr>
      <w:tr>
        <w:trPr>
          <w:trHeight w:val="352"/>
        </w:trPr>
        <w:tc>
          <w:tcPr>
            <w:tcW w:w="801" w:type="dxa"/>
            <w:vAlign w:val="center"/>
            <w:textDirection w:val="lrTb"/>
            <w:noWrap w:val="false"/>
          </w:tcPr>
          <w:p>
            <w:pPr>
              <w:spacing w:line="360" w:lineRule="auto"/>
              <w:rPr>
                <w:rFonts w:hint="eastAsia" w:ascii="宋体" w:hAnsi="宋体"/>
                <w:b/>
                <w:szCs w:val="21"/>
                <w:highlight w:val="none"/>
              </w:rPr>
            </w:pPr>
            <w:r/>
            <w:bookmarkStart w:id="340" w:name="_Hlk10020358"/>
            <w:r>
              <w:rPr>
                <w:rFonts w:hint="eastAsia" w:ascii="宋体" w:hAnsi="宋体"/>
                <w:b/>
                <w:szCs w:val="21"/>
                <w:highlight w:val="none"/>
              </w:rPr>
              <w:t xml:space="preserve">8.3</w:t>
            </w:r>
            <w:r/>
          </w:p>
        </w:tc>
        <w:tc>
          <w:tcPr>
            <w:tcW w:w="8298" w:type="dxa"/>
            <w:vAlign w:val="center"/>
            <w:textDirection w:val="lrTb"/>
            <w:noWrap w:val="false"/>
          </w:tcPr>
          <w:p>
            <w:pPr>
              <w:spacing w:line="360" w:lineRule="auto"/>
              <w:rPr>
                <w:rFonts w:hint="eastAsia" w:ascii="宋体" w:hAnsi="宋体"/>
                <w:b/>
                <w:szCs w:val="21"/>
                <w:highlight w:val="none"/>
              </w:rPr>
            </w:pPr>
            <w:r>
              <w:rPr>
                <w:rFonts w:ascii="宋体" w:hAnsi="宋体"/>
                <w:b/>
                <w:szCs w:val="21"/>
                <w:highlight w:val="none"/>
              </w:rPr>
              <w:t xml:space="preserve">免费质保期</w:t>
            </w:r>
            <w:r>
              <w:rPr>
                <w:rFonts w:ascii="宋体" w:hAnsi="宋体" w:cs="仿宋_GB2312"/>
                <w:szCs w:val="21"/>
                <w:highlight w:val="none"/>
                <w:lang w:val="zh-CN"/>
              </w:rPr>
              <w:t xml:space="preserve">:</w:t>
            </w:r>
            <w:r>
              <w:rPr>
                <w:rFonts w:hint="eastAsia" w:ascii="宋体" w:hAnsi="宋体" w:cs="仿宋_GB2312"/>
                <w:szCs w:val="21"/>
                <w:highlight w:val="none"/>
                <w:lang w:val="zh-CN"/>
              </w:rPr>
              <w:t xml:space="preserve"> 原厂商五年上门全免费保修。</w:t>
            </w:r>
            <w:bookmarkEnd w:id="340"/>
            <w:r/>
          </w:p>
        </w:tc>
      </w:tr>
      <w:tr>
        <w:trPr>
          <w:trHeight w:val="65"/>
        </w:trPr>
        <w:tc>
          <w:tcPr>
            <w:tcW w:w="801" w:type="dxa"/>
            <w:vAlign w:val="center"/>
            <w:textDirection w:val="lrTb"/>
            <w:noWrap w:val="false"/>
          </w:tcPr>
          <w:p>
            <w:pPr>
              <w:spacing w:line="360" w:lineRule="auto"/>
              <w:rPr>
                <w:rFonts w:hint="eastAsia" w:ascii="宋体" w:hAnsi="宋体"/>
                <w:szCs w:val="21"/>
                <w:highlight w:val="none"/>
              </w:rPr>
            </w:pPr>
            <w:r>
              <w:rPr>
                <w:rFonts w:hint="eastAsia" w:ascii="宋体" w:hAnsi="宋体"/>
                <w:b/>
                <w:szCs w:val="21"/>
                <w:highlight w:val="none"/>
              </w:rPr>
              <w:t xml:space="preserve">9</w:t>
            </w:r>
            <w:r/>
          </w:p>
        </w:tc>
        <w:tc>
          <w:tcPr>
            <w:tcW w:w="8298" w:type="dxa"/>
            <w:vAlign w:val="center"/>
            <w:textDirection w:val="lrTb"/>
            <w:noWrap w:val="false"/>
          </w:tcPr>
          <w:p>
            <w:pPr>
              <w:pStyle w:val="1017"/>
              <w:ind w:firstLine="0"/>
              <w:rPr>
                <w:highlight w:val="none"/>
                <w:u w:val="single"/>
              </w:rPr>
            </w:pPr>
            <w:r/>
            <w:bookmarkStart w:id="341" w:name="_Toc172729394"/>
            <w:r>
              <w:rPr>
                <w:b/>
                <w:highlight w:val="none"/>
              </w:rPr>
              <w:t xml:space="preserve">货物的风险负担：</w:t>
            </w:r>
            <w:r>
              <w:rPr>
                <w:highlight w:val="none"/>
              </w:rPr>
              <w:t xml:space="preserve">货物或者在途货物或者交付给第一承运人后的货物毁损、灭失的风险负担，全部由乙方承担。</w:t>
            </w:r>
            <w:bookmarkEnd w:id="341"/>
            <w:r/>
            <w:r/>
          </w:p>
        </w:tc>
      </w:tr>
      <w:tr>
        <w:trPr>
          <w:trHeight w:val="65"/>
        </w:trPr>
        <w:tc>
          <w:tcPr>
            <w:tcW w:w="801"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13.3</w:t>
            </w:r>
            <w:r/>
          </w:p>
        </w:tc>
        <w:tc>
          <w:tcPr>
            <w:tcW w:w="8298" w:type="dxa"/>
            <w:vAlign w:val="center"/>
            <w:textDirection w:val="lrTb"/>
            <w:noWrap w:val="false"/>
          </w:tcPr>
          <w:p>
            <w:pPr>
              <w:spacing w:line="360" w:lineRule="auto"/>
              <w:rPr>
                <w:rFonts w:hint="eastAsia" w:ascii="宋体" w:hAnsi="宋体"/>
                <w:szCs w:val="21"/>
                <w:highlight w:val="none"/>
              </w:rPr>
            </w:pPr>
            <w:r>
              <w:rPr>
                <w:rFonts w:ascii="宋体" w:hAnsi="宋体"/>
                <w:szCs w:val="21"/>
                <w:highlight w:val="none"/>
              </w:rPr>
              <w:t xml:space="preserve">因不可抗力致使合同有变更必要的，双方当事人应在</w:t>
            </w:r>
            <w:r>
              <w:rPr>
                <w:rFonts w:ascii="宋体" w:hAnsi="宋体"/>
                <w:szCs w:val="21"/>
                <w:highlight w:val="none"/>
                <w:u w:val="single"/>
              </w:rPr>
              <w:t xml:space="preserve">15日内</w:t>
            </w:r>
            <w:r>
              <w:rPr>
                <w:rFonts w:ascii="宋体" w:hAnsi="宋体"/>
                <w:szCs w:val="21"/>
                <w:highlight w:val="none"/>
              </w:rPr>
              <w:t xml:space="preserve">以书面形式变更合同；</w:t>
            </w:r>
            <w:r/>
          </w:p>
        </w:tc>
      </w:tr>
      <w:tr>
        <w:trPr>
          <w:trHeight w:val="352"/>
        </w:trPr>
        <w:tc>
          <w:tcPr>
            <w:tcW w:w="801"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13.4</w:t>
            </w:r>
            <w:r/>
          </w:p>
        </w:tc>
        <w:tc>
          <w:tcPr>
            <w:tcW w:w="8298" w:type="dxa"/>
            <w:vAlign w:val="center"/>
            <w:textDirection w:val="lrTb"/>
            <w:noWrap w:val="false"/>
          </w:tcPr>
          <w:p>
            <w:pPr>
              <w:spacing w:line="360" w:lineRule="auto"/>
              <w:rPr>
                <w:rFonts w:hint="eastAsia" w:ascii="宋体" w:hAnsi="宋体"/>
                <w:szCs w:val="21"/>
                <w:highlight w:val="none"/>
                <w:u w:val="single"/>
              </w:rPr>
            </w:pPr>
            <w:r>
              <w:rPr>
                <w:rFonts w:ascii="宋体" w:hAnsi="宋体"/>
                <w:szCs w:val="21"/>
                <w:highlight w:val="none"/>
              </w:rPr>
              <w:t xml:space="preserve">受不可抗力影响的一方在不可抗力发生后，应在</w:t>
            </w:r>
            <w:r>
              <w:rPr>
                <w:rFonts w:ascii="宋体" w:hAnsi="宋体"/>
                <w:szCs w:val="21"/>
                <w:highlight w:val="none"/>
                <w:u w:val="single"/>
              </w:rPr>
              <w:t xml:space="preserve">15日内</w:t>
            </w:r>
            <w:r>
              <w:rPr>
                <w:rFonts w:ascii="宋体" w:hAnsi="宋体"/>
                <w:szCs w:val="21"/>
                <w:highlight w:val="none"/>
              </w:rPr>
              <w:t xml:space="preserve">以书面形式通知对方当事人，并在</w:t>
            </w:r>
            <w:r>
              <w:rPr>
                <w:rFonts w:ascii="宋体" w:hAnsi="宋体"/>
                <w:b/>
                <w:i/>
                <w:szCs w:val="21"/>
                <w:highlight w:val="none"/>
                <w:u w:val="single"/>
              </w:rPr>
              <w:t xml:space="preserve"> </w:t>
            </w:r>
            <w:r>
              <w:rPr>
                <w:rFonts w:ascii="宋体" w:hAnsi="宋体"/>
                <w:szCs w:val="21"/>
                <w:highlight w:val="none"/>
                <w:u w:val="single"/>
              </w:rPr>
              <w:t xml:space="preserve"> 3日内</w:t>
            </w:r>
            <w:r>
              <w:rPr>
                <w:rFonts w:ascii="宋体" w:hAnsi="宋体"/>
                <w:szCs w:val="21"/>
                <w:highlight w:val="none"/>
              </w:rPr>
              <w:t xml:space="preserve">将有关部门出具的证明文件送达对方当事人。</w:t>
            </w:r>
            <w:r/>
          </w:p>
        </w:tc>
      </w:tr>
      <w:tr>
        <w:trPr>
          <w:trHeight w:val="65"/>
        </w:trPr>
        <w:tc>
          <w:tcPr>
            <w:tcW w:w="801"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17.1</w:t>
            </w:r>
            <w:r/>
          </w:p>
        </w:tc>
        <w:tc>
          <w:tcPr>
            <w:tcW w:w="8298" w:type="dxa"/>
            <w:vAlign w:val="center"/>
            <w:textDirection w:val="lrTb"/>
            <w:noWrap w:val="false"/>
          </w:tcPr>
          <w:p>
            <w:pPr>
              <w:spacing w:line="360" w:lineRule="auto"/>
              <w:rPr>
                <w:rFonts w:hint="eastAsia" w:ascii="宋体" w:hAnsi="宋体"/>
                <w:szCs w:val="21"/>
                <w:highlight w:val="none"/>
              </w:rPr>
            </w:pPr>
            <w:r>
              <w:rPr>
                <w:rFonts w:ascii="宋体" w:hAnsi="宋体"/>
                <w:szCs w:val="21"/>
                <w:highlight w:val="none"/>
              </w:rPr>
              <w:t xml:space="preserve">货物交付前，乙方应对货物的质量、数量等方面进行详细、全面的检验，并向甲方出具证明货物符合合同约定的文件；</w:t>
            </w:r>
            <w:r>
              <w:rPr>
                <w:rFonts w:hint="eastAsia" w:ascii="宋体" w:hAnsi="宋体"/>
                <w:szCs w:val="21"/>
                <w:highlight w:val="none"/>
              </w:rPr>
              <w:t xml:space="preserve">货物交付后</w:t>
            </w:r>
            <w:r>
              <w:rPr>
                <w:rFonts w:ascii="宋体" w:hAnsi="宋体"/>
                <w:szCs w:val="21"/>
                <w:highlight w:val="none"/>
              </w:rPr>
              <w:t xml:space="preserve">组织验收，并可依法邀请相关方参加，验收应出具验收书。</w:t>
            </w:r>
            <w:r/>
          </w:p>
        </w:tc>
      </w:tr>
      <w:tr>
        <w:trPr>
          <w:trHeight w:val="65"/>
        </w:trPr>
        <w:tc>
          <w:tcPr>
            <w:tcW w:w="801"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17.3</w:t>
            </w:r>
            <w:r/>
          </w:p>
        </w:tc>
        <w:tc>
          <w:tcPr>
            <w:tcW w:w="8298" w:type="dxa"/>
            <w:vAlign w:val="center"/>
            <w:textDirection w:val="lrTb"/>
            <w:noWrap w:val="false"/>
          </w:tcPr>
          <w:p>
            <w:pPr>
              <w:pStyle w:val="989"/>
              <w:spacing w:before="120" w:after="120" w:line="360" w:lineRule="auto"/>
              <w:rPr>
                <w:rFonts w:hint="eastAsia" w:hAnsi="宋体" w:eastAsia="等线" w:cs="Times New Roman"/>
                <w:highlight w:val="none"/>
              </w:rPr>
            </w:pPr>
            <w:r>
              <w:rPr>
                <w:rFonts w:hint="eastAsia" w:hAnsi="宋体" w:eastAsia="等线" w:cs="Times New Roman"/>
                <w:highlight w:val="none"/>
              </w:rPr>
              <w:t xml:space="preserve">（1）乙方须将产品完整、详细的技术资料和说明文件、产品合格证、质保书以及同类产品的近期检验报告必须随同产品一并送达甲方指定地点，否则甲方有权拒绝收货，由此延误工期而造成的所有损失由乙方全部承担。</w:t>
            </w:r>
            <w:r/>
          </w:p>
          <w:p>
            <w:pPr>
              <w:spacing w:line="360" w:lineRule="auto"/>
              <w:tabs>
                <w:tab w:val="left" w:pos="360" w:leader="none"/>
                <w:tab w:val="left" w:pos="540" w:leader="none"/>
                <w:tab w:val="left" w:pos="1080" w:leader="none"/>
              </w:tabs>
              <w:rPr>
                <w:rFonts w:hint="eastAsia" w:ascii="宋体" w:hAnsi="宋体"/>
                <w:szCs w:val="21"/>
                <w:highlight w:val="none"/>
              </w:rPr>
            </w:pPr>
            <w:r>
              <w:rPr>
                <w:rFonts w:hint="eastAsia" w:ascii="宋体" w:hAnsi="宋体"/>
                <w:szCs w:val="21"/>
                <w:highlight w:val="none"/>
              </w:rPr>
              <w:t xml:space="preserve">（2）货到现场经检验，产品质量或规格达不到要求的，甲方可以拒收，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抽检合格的，检测费用由甲方承担。</w:t>
            </w:r>
            <w:r/>
          </w:p>
        </w:tc>
      </w:tr>
    </w:tbl>
    <w:p>
      <w:pPr>
        <w:ind w:firstLine="440"/>
        <w:rPr>
          <w:highlight w:val="none"/>
        </w:rPr>
      </w:pPr>
      <w:r>
        <w:rPr>
          <w:rFonts w:ascii="宋体" w:hAnsi="宋体" w:cs="仿宋_GB2312"/>
          <w:szCs w:val="21"/>
          <w:highlight w:val="none"/>
        </w:rPr>
        <w:t xml:space="preserve">本合同一式</w:t>
      </w:r>
      <w:r>
        <w:rPr>
          <w:rFonts w:ascii="宋体" w:hAnsi="宋体" w:cs="仿宋_GB2312"/>
          <w:szCs w:val="21"/>
          <w:highlight w:val="none"/>
          <w:u w:val="single"/>
        </w:rPr>
        <w:t xml:space="preserve"> </w:t>
      </w:r>
      <w:r>
        <w:rPr>
          <w:rFonts w:hint="eastAsia" w:ascii="宋体" w:hAnsi="宋体" w:cs="仿宋_GB2312"/>
          <w:szCs w:val="21"/>
          <w:highlight w:val="none"/>
          <w:u w:val="single"/>
        </w:rPr>
        <w:t xml:space="preserve">5</w:t>
      </w:r>
      <w:r>
        <w:rPr>
          <w:rFonts w:ascii="宋体" w:hAnsi="宋体" w:cs="仿宋_GB2312"/>
          <w:szCs w:val="21"/>
          <w:highlight w:val="none"/>
          <w:u w:val="single"/>
        </w:rPr>
        <w:t xml:space="preserve"> </w:t>
      </w:r>
      <w:r>
        <w:rPr>
          <w:rFonts w:ascii="宋体" w:hAnsi="宋体" w:cs="仿宋_GB2312"/>
          <w:szCs w:val="21"/>
          <w:highlight w:val="none"/>
        </w:rPr>
        <w:t xml:space="preserve">份，甲方执</w:t>
      </w:r>
      <w:r>
        <w:rPr>
          <w:rFonts w:ascii="宋体" w:hAnsi="宋体" w:cs="仿宋_GB2312"/>
          <w:szCs w:val="21"/>
          <w:highlight w:val="none"/>
          <w:u w:val="single"/>
        </w:rPr>
        <w:t xml:space="preserve"> </w:t>
      </w:r>
      <w:r>
        <w:rPr>
          <w:rFonts w:hint="eastAsia" w:ascii="宋体" w:hAnsi="宋体" w:cs="仿宋_GB2312"/>
          <w:szCs w:val="21"/>
          <w:highlight w:val="none"/>
          <w:u w:val="single"/>
        </w:rPr>
        <w:t xml:space="preserve">4</w:t>
      </w:r>
      <w:r>
        <w:rPr>
          <w:rFonts w:ascii="宋体" w:hAnsi="宋体" w:cs="仿宋_GB2312"/>
          <w:szCs w:val="21"/>
          <w:highlight w:val="none"/>
          <w:u w:val="single"/>
        </w:rPr>
        <w:t xml:space="preserve"> </w:t>
      </w:r>
      <w:r>
        <w:rPr>
          <w:rFonts w:ascii="宋体" w:hAnsi="宋体" w:cs="仿宋_GB2312"/>
          <w:szCs w:val="21"/>
          <w:highlight w:val="none"/>
        </w:rPr>
        <w:t xml:space="preserve">份，乙方执</w:t>
      </w:r>
      <w:r>
        <w:rPr>
          <w:rFonts w:ascii="宋体" w:hAnsi="宋体" w:cs="仿宋_GB2312"/>
          <w:szCs w:val="21"/>
          <w:highlight w:val="none"/>
          <w:u w:val="single"/>
        </w:rPr>
        <w:t xml:space="preserve"> </w:t>
      </w:r>
      <w:r>
        <w:rPr>
          <w:rFonts w:hint="eastAsia" w:ascii="宋体" w:hAnsi="宋体" w:cs="仿宋_GB2312"/>
          <w:szCs w:val="21"/>
          <w:highlight w:val="none"/>
          <w:u w:val="single"/>
        </w:rPr>
        <w:t xml:space="preserve">1</w:t>
      </w:r>
      <w:r>
        <w:rPr>
          <w:rFonts w:ascii="宋体" w:hAnsi="宋体" w:cs="仿宋_GB2312"/>
          <w:szCs w:val="21"/>
          <w:highlight w:val="none"/>
          <w:u w:val="single"/>
        </w:rPr>
        <w:t xml:space="preserve"> </w:t>
      </w:r>
      <w:r>
        <w:rPr>
          <w:rFonts w:ascii="宋体" w:hAnsi="宋体" w:cs="仿宋_GB2312"/>
          <w:szCs w:val="21"/>
          <w:highlight w:val="none"/>
        </w:rPr>
        <w:t xml:space="preserve">份。</w:t>
      </w:r>
      <w:r>
        <w:rPr>
          <w:rFonts w:ascii="宋体" w:hAnsi="宋体"/>
          <w:szCs w:val="21"/>
          <w:highlight w:val="none"/>
        </w:rPr>
        <w:t xml:space="preserve">，每份均具有同等法律效力。</w:t>
      </w:r>
      <w:r/>
    </w:p>
    <w:p>
      <w:pPr>
        <w:pStyle w:val="98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8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8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8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8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8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8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8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8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8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8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8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8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8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8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8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8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8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82"/>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53"/>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第</w:t>
      </w:r>
      <w:bookmarkEnd w:id="176"/>
      <w:r>
        <w:rPr>
          <w:rFonts w:hint="eastAsia" w:ascii="黑体" w:hAnsi="黑体" w:eastAsia="黑体"/>
          <w:b w:val="0"/>
          <w:bCs w:val="0"/>
          <w:sz w:val="28"/>
          <w:szCs w:val="28"/>
          <w:highlight w:val="none"/>
        </w:rPr>
        <w:t xml:space="preserve">四章 采购需求</w:t>
      </w:r>
      <w:bookmarkEnd w:id="177"/>
      <w:r/>
      <w:bookmarkEnd w:id="178"/>
      <w:r/>
      <w:bookmarkEnd w:id="179"/>
      <w:r/>
      <w:r/>
    </w:p>
    <w:p>
      <w:pPr>
        <w:pStyle w:val="953"/>
        <w:jc w:val="left"/>
        <w:spacing w:line="400" w:lineRule="exact"/>
        <w:rPr>
          <w:rFonts w:hint="eastAsia" w:ascii="黑体" w:hAnsi="黑体" w:eastAsia="黑体"/>
          <w:b w:val="0"/>
          <w:bCs w:val="0"/>
          <w:sz w:val="28"/>
          <w:szCs w:val="28"/>
          <w:highlight w:val="none"/>
        </w:rPr>
      </w:pPr>
      <w:r/>
      <w:bookmarkStart w:id="342" w:name="_Toc26554093"/>
      <w:r/>
      <w:bookmarkStart w:id="343" w:name="_Toc49090575"/>
      <w:r>
        <w:rPr>
          <w:rFonts w:hint="eastAsia" w:ascii="黑体" w:hAnsi="黑体" w:eastAsia="黑体"/>
          <w:b w:val="0"/>
          <w:bCs w:val="0"/>
          <w:sz w:val="28"/>
          <w:szCs w:val="28"/>
          <w:highlight w:val="none"/>
        </w:rPr>
        <w:t xml:space="preserve">一、采购标的清单</w:t>
      </w:r>
      <w:r/>
    </w:p>
    <w:tbl>
      <w:tblPr>
        <w:tblStyle w:val="7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jc w:val="center"/>
          <w:trHeight w:val="701"/>
        </w:trPr>
        <w:tc>
          <w:tcPr>
            <w:tcW w:w="790"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1321"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292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p>
        </w:tc>
        <w:tc>
          <w:tcPr>
            <w:tcW w:w="2677"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p>
        </w:tc>
      </w:tr>
      <w:tr>
        <w:trPr>
          <w:cantSplit/>
          <w:jc w:val="center"/>
          <w:trHeight w:val="291"/>
        </w:trPr>
        <w:tc>
          <w:tcPr>
            <w:tcW w:w="790" w:type="dxa"/>
            <w:vAlign w:val="center"/>
            <w:vMerge w:val="restart"/>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eastAsia="方正仿宋_GBK"/>
                <w:sz w:val="28"/>
                <w:szCs w:val="28"/>
                <w:highlight w:val="none"/>
              </w:rPr>
              <w:t xml:space="preserve">1</w:t>
            </w:r>
            <w:r/>
          </w:p>
        </w:tc>
        <w:tc>
          <w:tcPr>
            <w:tcW w:w="1321"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292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eastAsia="方正仿宋_GBK"/>
                <w:sz w:val="28"/>
                <w:szCs w:val="28"/>
                <w:highlight w:val="none"/>
              </w:rPr>
              <w:t xml:space="preserve">教学授课用：</w:t>
            </w:r>
            <w:r>
              <w:rPr>
                <w:rFonts w:hint="eastAsia" w:ascii="宋体" w:hAnsi="宋体" w:cs="宋体"/>
                <w:sz w:val="28"/>
                <w:szCs w:val="28"/>
                <w:highlight w:val="none"/>
              </w:rPr>
              <w:t xml:space="preserve">剪辑用机</w:t>
            </w:r>
            <w:r/>
          </w:p>
        </w:tc>
        <w:tc>
          <w:tcPr>
            <w:tcW w:w="2677" w:type="dxa"/>
            <w:vAlign w:val="center"/>
            <w:textDirection w:val="lrTb"/>
            <w:noWrap w:val="false"/>
          </w:tcPr>
          <w:p>
            <w:pPr>
              <w:jc w:val="center"/>
              <w:spacing w:line="400" w:lineRule="exact"/>
              <w:rPr>
                <w:rFonts w:eastAsia="方正仿宋_GBK"/>
                <w:sz w:val="28"/>
                <w:szCs w:val="28"/>
                <w:highlight w:val="none"/>
              </w:rPr>
            </w:pPr>
            <w:r>
              <w:rPr>
                <w:rFonts w:hint="eastAsia" w:eastAsia="方正仿宋_GBK"/>
                <w:sz w:val="28"/>
                <w:szCs w:val="28"/>
                <w:highlight w:val="none"/>
              </w:rPr>
              <w:t xml:space="preserve">工业</w:t>
            </w:r>
            <w:r/>
          </w:p>
        </w:tc>
      </w:tr>
      <w:tr>
        <w:trPr>
          <w:cantSplit/>
          <w:jc w:val="center"/>
          <w:trHeight w:val="235"/>
        </w:trPr>
        <w:tc>
          <w:tcPr>
            <w:tcW w:w="790" w:type="dxa"/>
            <w:vAlign w:val="center"/>
            <w:vMerge w:val="continue"/>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21"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p>
        </w:tc>
        <w:tc>
          <w:tcPr>
            <w:tcW w:w="2929" w:type="dxa"/>
            <w:vAlign w:val="center"/>
            <w:textDirection w:val="lrTb"/>
            <w:noWrap w:val="false"/>
          </w:tcPr>
          <w:p>
            <w:pPr>
              <w:jc w:val="center"/>
              <w:spacing w:line="400" w:lineRule="exact"/>
              <w:rPr>
                <w:rFonts w:eastAsia="方正仿宋_GBK"/>
                <w:sz w:val="28"/>
                <w:szCs w:val="28"/>
                <w:highlight w:val="none"/>
              </w:rPr>
            </w:pPr>
            <w:r>
              <w:rPr>
                <w:rFonts w:hint="eastAsia" w:eastAsia="方正仿宋_GBK"/>
                <w:sz w:val="28"/>
                <w:szCs w:val="28"/>
                <w:highlight w:val="none"/>
              </w:rPr>
              <w:t xml:space="preserve">教学授课用：学生用台式计算机</w:t>
            </w:r>
            <w:r/>
          </w:p>
        </w:tc>
        <w:tc>
          <w:tcPr>
            <w:tcW w:w="2677" w:type="dxa"/>
            <w:vAlign w:val="center"/>
            <w:textDirection w:val="lrTb"/>
            <w:noWrap w:val="false"/>
          </w:tcPr>
          <w:p>
            <w:pPr>
              <w:jc w:val="center"/>
              <w:spacing w:line="400" w:lineRule="exact"/>
              <w:rPr>
                <w:rFonts w:eastAsia="方正仿宋_GBK"/>
                <w:sz w:val="28"/>
                <w:szCs w:val="28"/>
                <w:highlight w:val="none"/>
              </w:rPr>
            </w:pPr>
            <w:r>
              <w:rPr>
                <w:rFonts w:hint="eastAsia" w:eastAsia="方正仿宋_GBK"/>
                <w:sz w:val="28"/>
                <w:szCs w:val="28"/>
                <w:highlight w:val="none"/>
              </w:rPr>
              <w:t xml:space="preserve">工业</w:t>
            </w:r>
            <w:r/>
          </w:p>
        </w:tc>
      </w:tr>
      <w:tr>
        <w:trPr>
          <w:cantSplit/>
          <w:jc w:val="center"/>
          <w:trHeight w:val="222"/>
        </w:trPr>
        <w:tc>
          <w:tcPr>
            <w:tcW w:w="790" w:type="dxa"/>
            <w:vAlign w:val="center"/>
            <w:vMerge w:val="continue"/>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21"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p>
        </w:tc>
        <w:tc>
          <w:tcPr>
            <w:tcW w:w="2929" w:type="dxa"/>
            <w:vAlign w:val="center"/>
            <w:textDirection w:val="lrTb"/>
            <w:noWrap w:val="false"/>
          </w:tcPr>
          <w:p>
            <w:pPr>
              <w:jc w:val="center"/>
              <w:spacing w:line="400" w:lineRule="exact"/>
              <w:rPr>
                <w:rFonts w:eastAsia="方正仿宋_GBK"/>
                <w:sz w:val="28"/>
                <w:szCs w:val="28"/>
                <w:highlight w:val="none"/>
              </w:rPr>
            </w:pPr>
            <w:r>
              <w:rPr>
                <w:rFonts w:hint="eastAsia" w:eastAsia="方正仿宋_GBK"/>
                <w:sz w:val="28"/>
                <w:szCs w:val="28"/>
                <w:highlight w:val="none"/>
              </w:rPr>
              <w:t xml:space="preserve">实训用：办公笔记本</w:t>
            </w:r>
            <w:r/>
          </w:p>
        </w:tc>
        <w:tc>
          <w:tcPr>
            <w:tcW w:w="2677"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工业</w:t>
            </w:r>
            <w:r/>
          </w:p>
        </w:tc>
      </w:tr>
      <w:tr>
        <w:trPr>
          <w:cantSplit/>
          <w:jc w:val="center"/>
          <w:trHeight w:val="222"/>
        </w:trPr>
        <w:tc>
          <w:tcPr>
            <w:tcW w:w="790" w:type="dxa"/>
            <w:vAlign w:val="center"/>
            <w:vMerge w:val="continue"/>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21"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p>
        </w:tc>
        <w:tc>
          <w:tcPr>
            <w:tcW w:w="2929" w:type="dxa"/>
            <w:vAlign w:val="center"/>
            <w:textDirection w:val="lrTb"/>
            <w:noWrap w:val="false"/>
          </w:tcPr>
          <w:p>
            <w:pPr>
              <w:jc w:val="center"/>
              <w:spacing w:line="400" w:lineRule="exact"/>
              <w:rPr>
                <w:rFonts w:eastAsia="方正仿宋_GBK"/>
                <w:sz w:val="28"/>
                <w:szCs w:val="28"/>
                <w:highlight w:val="none"/>
              </w:rPr>
            </w:pPr>
            <w:r>
              <w:rPr>
                <w:rFonts w:hint="eastAsia" w:eastAsia="方正仿宋_GBK"/>
                <w:sz w:val="28"/>
                <w:szCs w:val="28"/>
                <w:highlight w:val="none"/>
              </w:rPr>
              <w:t xml:space="preserve">软件、技术支持</w:t>
            </w:r>
            <w:r/>
          </w:p>
        </w:tc>
        <w:tc>
          <w:tcPr>
            <w:tcW w:w="2677"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软件和信息技术服务业</w:t>
            </w:r>
            <w:r/>
          </w:p>
        </w:tc>
      </w:tr>
      <w:tr>
        <w:trPr>
          <w:cantSplit/>
          <w:jc w:val="center"/>
          <w:trHeight w:val="222"/>
        </w:trPr>
        <w:tc>
          <w:tcPr>
            <w:tcW w:w="790" w:type="dxa"/>
            <w:vAlign w:val="center"/>
            <w:vMerge w:val="continue"/>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21"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p>
        </w:tc>
        <w:tc>
          <w:tcPr>
            <w:tcW w:w="2929" w:type="dxa"/>
            <w:vAlign w:val="center"/>
            <w:textDirection w:val="lrTb"/>
            <w:noWrap w:val="false"/>
          </w:tcPr>
          <w:p>
            <w:pPr>
              <w:jc w:val="center"/>
              <w:spacing w:line="400" w:lineRule="exact"/>
              <w:rPr>
                <w:rFonts w:eastAsia="方正仿宋_GBK"/>
                <w:sz w:val="28"/>
                <w:szCs w:val="28"/>
                <w:highlight w:val="none"/>
              </w:rPr>
            </w:pPr>
            <w:r>
              <w:rPr>
                <w:rFonts w:hint="eastAsia" w:eastAsia="方正仿宋_GBK"/>
                <w:sz w:val="28"/>
                <w:szCs w:val="28"/>
                <w:highlight w:val="none"/>
              </w:rPr>
              <w:t xml:space="preserve">教学授课用：触控一体机（98</w:t>
            </w:r>
            <w:r>
              <w:rPr>
                <w:rFonts w:hint="eastAsia" w:ascii="宋体" w:hAnsi="宋体" w:cs="宋体"/>
                <w:sz w:val="28"/>
                <w:szCs w:val="28"/>
                <w:highlight w:val="none"/>
              </w:rPr>
              <w:t xml:space="preserve">寸</w:t>
            </w:r>
            <w:r>
              <w:rPr>
                <w:rFonts w:hint="eastAsia" w:eastAsia="方正仿宋_GBK"/>
                <w:sz w:val="28"/>
                <w:szCs w:val="28"/>
                <w:highlight w:val="none"/>
              </w:rPr>
              <w:t xml:space="preserve">）</w:t>
            </w:r>
            <w:r/>
          </w:p>
        </w:tc>
        <w:tc>
          <w:tcPr>
            <w:tcW w:w="2677"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工业</w:t>
            </w:r>
            <w:r/>
          </w:p>
        </w:tc>
      </w:tr>
      <w:tr>
        <w:trPr>
          <w:cantSplit/>
          <w:jc w:val="center"/>
          <w:trHeight w:val="222"/>
        </w:trPr>
        <w:tc>
          <w:tcPr>
            <w:tcW w:w="790" w:type="dxa"/>
            <w:vAlign w:val="center"/>
            <w:vMerge w:val="continue"/>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21"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p>
        </w:tc>
        <w:tc>
          <w:tcPr>
            <w:tcW w:w="2929" w:type="dxa"/>
            <w:vAlign w:val="center"/>
            <w:textDirection w:val="lrTb"/>
            <w:noWrap w:val="false"/>
          </w:tcPr>
          <w:p>
            <w:pPr>
              <w:jc w:val="center"/>
              <w:spacing w:line="400" w:lineRule="exact"/>
              <w:rPr>
                <w:rFonts w:eastAsia="方正仿宋_GBK"/>
                <w:sz w:val="28"/>
                <w:szCs w:val="28"/>
                <w:highlight w:val="none"/>
              </w:rPr>
            </w:pPr>
            <w:r>
              <w:rPr>
                <w:rFonts w:hint="eastAsia" w:eastAsia="方正仿宋_GBK"/>
                <w:sz w:val="28"/>
                <w:szCs w:val="28"/>
                <w:highlight w:val="none"/>
              </w:rPr>
              <w:t xml:space="preserve">教学授课用：98</w:t>
            </w:r>
            <w:r>
              <w:rPr>
                <w:rFonts w:hint="eastAsia" w:ascii="宋体" w:hAnsi="宋体" w:cs="宋体"/>
                <w:sz w:val="28"/>
                <w:szCs w:val="28"/>
                <w:highlight w:val="none"/>
              </w:rPr>
              <w:t xml:space="preserve">寸一体机对应黑板</w:t>
            </w:r>
            <w:r/>
          </w:p>
        </w:tc>
        <w:tc>
          <w:tcPr>
            <w:tcW w:w="2677"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工业</w:t>
            </w:r>
            <w:r/>
          </w:p>
        </w:tc>
      </w:tr>
      <w:tr>
        <w:trPr>
          <w:cantSplit/>
          <w:jc w:val="center"/>
          <w:trHeight w:val="222"/>
        </w:trPr>
        <w:tc>
          <w:tcPr>
            <w:tcW w:w="790" w:type="dxa"/>
            <w:vAlign w:val="center"/>
            <w:vMerge w:val="continue"/>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21"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w:t>
            </w:r>
            <w:r/>
          </w:p>
        </w:tc>
        <w:tc>
          <w:tcPr>
            <w:tcW w:w="2929" w:type="dxa"/>
            <w:vAlign w:val="center"/>
            <w:textDirection w:val="lrTb"/>
            <w:noWrap w:val="false"/>
          </w:tcPr>
          <w:p>
            <w:pPr>
              <w:jc w:val="center"/>
              <w:spacing w:line="400" w:lineRule="exact"/>
              <w:rPr>
                <w:rFonts w:eastAsia="方正仿宋_GBK"/>
                <w:sz w:val="28"/>
                <w:szCs w:val="28"/>
                <w:highlight w:val="none"/>
              </w:rPr>
            </w:pPr>
            <w:r>
              <w:rPr>
                <w:rFonts w:hint="eastAsia" w:eastAsia="方正仿宋_GBK"/>
                <w:sz w:val="28"/>
                <w:szCs w:val="28"/>
                <w:highlight w:val="none"/>
              </w:rPr>
              <w:t xml:space="preserve">实训用：录像实时显示器</w:t>
            </w:r>
            <w:r/>
          </w:p>
        </w:tc>
        <w:tc>
          <w:tcPr>
            <w:tcW w:w="2677"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工业</w:t>
            </w:r>
            <w:r/>
          </w:p>
        </w:tc>
      </w:tr>
      <w:tr>
        <w:trPr>
          <w:cantSplit/>
          <w:jc w:val="center"/>
          <w:trHeight w:val="222"/>
        </w:trPr>
        <w:tc>
          <w:tcPr>
            <w:tcW w:w="790" w:type="dxa"/>
            <w:vAlign w:val="center"/>
            <w:vMerge w:val="continue"/>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21"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p>
        </w:tc>
        <w:tc>
          <w:tcPr>
            <w:tcW w:w="2929" w:type="dxa"/>
            <w:vAlign w:val="center"/>
            <w:textDirection w:val="lrTb"/>
            <w:noWrap w:val="false"/>
          </w:tcPr>
          <w:p>
            <w:pPr>
              <w:jc w:val="center"/>
              <w:spacing w:line="400" w:lineRule="exact"/>
              <w:rPr>
                <w:rFonts w:eastAsia="方正仿宋_GBK"/>
                <w:sz w:val="28"/>
                <w:szCs w:val="28"/>
                <w:highlight w:val="none"/>
              </w:rPr>
            </w:pPr>
            <w:r>
              <w:rPr>
                <w:rFonts w:hint="eastAsia" w:ascii="宋体" w:hAnsi="宋体" w:cs="宋体"/>
                <w:sz w:val="28"/>
                <w:szCs w:val="28"/>
                <w:highlight w:val="none"/>
              </w:rPr>
              <w:t xml:space="preserve">拆除安装</w:t>
            </w:r>
            <w:r/>
          </w:p>
        </w:tc>
        <w:tc>
          <w:tcPr>
            <w:tcW w:w="2677"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其他未列明行业</w:t>
            </w:r>
            <w:r/>
          </w:p>
        </w:tc>
      </w:tr>
    </w:tbl>
    <w:p>
      <w:pPr>
        <w:pStyle w:val="954"/>
        <w:rPr>
          <w:highlight w:val="none"/>
        </w:rPr>
      </w:pPr>
      <w:r>
        <w:rPr>
          <w:highlight w:val="none"/>
        </w:rPr>
      </w:r>
      <w:r/>
    </w:p>
    <w:p>
      <w:pPr>
        <w:pStyle w:val="953"/>
        <w:jc w:val="left"/>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二、政府采购中实施本国产品标准及相关政策</w:t>
      </w:r>
      <w:r/>
    </w:p>
    <w:p>
      <w:pPr>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53"/>
        <w:jc w:val="left"/>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三、技术要求</w:t>
      </w:r>
      <w:r/>
    </w:p>
    <w:p>
      <w:pPr>
        <w:ind w:firstLine="560"/>
        <w:spacing w:line="400" w:lineRule="exact"/>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color w:val="000000"/>
          <w:sz w:val="28"/>
          <w:szCs w:val="28"/>
          <w:highlight w:val="none"/>
        </w:rPr>
        <w:t xml:space="preserve">技术要求是指对采购标的功能和质量要求，包括性能、材料、结构、外观、安全，或者服务内容和标准等。</w:t>
      </w:r>
      <w:r>
        <w:rPr>
          <w:rFonts w:hint="eastAsia" w:ascii="方正仿宋_GBK" w:hAnsi="方正仿宋_GBK" w:eastAsia="方正仿宋_GBK" w:cs="方正仿宋_GBK"/>
          <w:bCs/>
          <w:sz w:val="28"/>
          <w:szCs w:val="28"/>
          <w:highlight w:val="none"/>
        </w:rPr>
        <w:t xml:space="preserve">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p>
    <w:p>
      <w:pPr>
        <w:spacing w:before="312"/>
        <w:rPr>
          <w:rFonts w:hint="eastAsia" w:ascii="宋体" w:hAnsi="宋体" w:cs="微软雅黑"/>
          <w:b/>
          <w:bCs/>
          <w:color w:val="000000"/>
          <w:sz w:val="24"/>
          <w:szCs w:val="24"/>
          <w:highlight w:val="none"/>
        </w:rPr>
      </w:pPr>
      <w:r>
        <w:rPr>
          <w:rFonts w:hint="eastAsia" w:ascii="宋体" w:hAnsi="宋体" w:cs="微软雅黑"/>
          <w:b/>
          <w:bCs/>
          <w:color w:val="000000"/>
          <w:sz w:val="24"/>
          <w:szCs w:val="24"/>
          <w:highlight w:val="none"/>
        </w:rPr>
        <w:t xml:space="preserve">一、教学授课用：剪辑用机（数量：2台）</w:t>
      </w:r>
      <w:r/>
    </w:p>
    <w:tbl>
      <w:tblPr>
        <w:tblStyle w:val="782"/>
        <w:tblW w:w="8232" w:type="dxa"/>
        <w:tblInd w:w="-95" w:type="dxa"/>
        <w:tblLayout w:type="fixed"/>
        <w:tblCellMar>
          <w:left w:w="108" w:type="dxa"/>
          <w:top w:w="0" w:type="dxa"/>
          <w:right w:w="108" w:type="dxa"/>
          <w:bottom w:w="0" w:type="dxa"/>
        </w:tblCellMar>
        <w:tblLook w:val="04A0" w:firstRow="1" w:lastRow="0" w:firstColumn="1" w:lastColumn="0" w:noHBand="0" w:noVBand="1"/>
      </w:tblPr>
      <w:tblGrid>
        <w:gridCol w:w="578"/>
        <w:gridCol w:w="709"/>
        <w:gridCol w:w="850"/>
        <w:gridCol w:w="1429"/>
        <w:gridCol w:w="4666"/>
      </w:tblGrid>
      <w:tr>
        <w:trPr>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tbRlV"/>
            <w:noWrap w:val="false"/>
          </w:tcPr>
          <w:p>
            <w:pPr>
              <w:jc w:val="center"/>
              <w:widowControl/>
              <w:rPr>
                <w:rFonts w:hint="eastAsia" w:ascii="宋体" w:hAnsi="宋体"/>
                <w:b/>
                <w:bCs/>
                <w:color w:val="000000"/>
                <w:szCs w:val="21"/>
                <w:highlight w:val="none"/>
              </w:rPr>
            </w:pPr>
            <w:r>
              <w:rPr>
                <w:rFonts w:hint="eastAsia" w:ascii="宋体" w:hAnsi="宋体"/>
                <w:b/>
                <w:bCs/>
                <w:color w:val="000000"/>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b/>
                <w:bCs/>
                <w:color w:val="000000"/>
                <w:szCs w:val="21"/>
                <w:highlight w:val="none"/>
              </w:rPr>
            </w:pPr>
            <w:r>
              <w:rPr>
                <w:rFonts w:hint="eastAsia" w:ascii="宋体" w:hAnsi="宋体"/>
                <w:b/>
                <w:bCs/>
                <w:color w:val="000000"/>
                <w:szCs w:val="21"/>
                <w:highlight w:val="none"/>
              </w:rPr>
              <w:t xml:space="preserve">指标分类</w:t>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jc w:val="left"/>
              <w:widowControl/>
              <w:rPr>
                <w:rFonts w:hint="eastAsia" w:ascii="宋体" w:hAnsi="宋体"/>
                <w:b/>
                <w:bCs/>
                <w:color w:val="000000"/>
                <w:szCs w:val="21"/>
                <w:highlight w:val="none"/>
              </w:rPr>
            </w:pPr>
            <w:r>
              <w:rPr>
                <w:rFonts w:hint="eastAsia" w:ascii="宋体" w:hAnsi="宋体"/>
                <w:b/>
                <w:bCs/>
                <w:color w:val="000000"/>
                <w:szCs w:val="21"/>
                <w:highlight w:val="none"/>
              </w:rPr>
              <w:t xml:space="preserve">一级指标</w:t>
            </w:r>
            <w:r/>
          </w:p>
        </w:tc>
        <w:tc>
          <w:tcPr>
            <w:tcBorders>
              <w:top w:val="single" w:color="000000" w:sz="8"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b/>
                <w:bCs/>
                <w:color w:val="000000"/>
                <w:szCs w:val="21"/>
                <w:highlight w:val="none"/>
              </w:rPr>
            </w:pPr>
            <w:r>
              <w:rPr>
                <w:rFonts w:hint="eastAsia" w:ascii="宋体" w:hAnsi="宋体"/>
                <w:b/>
                <w:bCs/>
                <w:color w:val="000000"/>
                <w:szCs w:val="21"/>
                <w:highlight w:val="none"/>
              </w:rPr>
              <w:t xml:space="preserve">二级指标</w:t>
            </w:r>
            <w:r/>
          </w:p>
        </w:tc>
        <w:tc>
          <w:tcPr>
            <w:tcBorders>
              <w:top w:val="single" w:color="000000" w:sz="8"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color w:val="000000"/>
                <w:szCs w:val="21"/>
                <w:highlight w:val="none"/>
              </w:rPr>
            </w:pPr>
            <w:r>
              <w:rPr>
                <w:rFonts w:hint="eastAsia" w:ascii="宋体" w:hAnsi="宋体"/>
                <w:b/>
                <w:bCs/>
                <w:color w:val="000000"/>
                <w:szCs w:val="21"/>
                <w:highlight w:val="none"/>
              </w:rPr>
              <w:t xml:space="preserve">指标要求</w:t>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CPU规格</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CPU信息</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配置1颗X86架构处理器，核数≥14个物理核/颗，线程数≥20，主频≥1.8GHz（基准频率，非动态加速频率），缓存容量≥24MB，二级高速缓存≥11.5MB</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内存规格</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内存配置容量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≥32GB</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内存类型</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DDR5≥4800MT/s</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内存条配置数量（板载内存不涉及）</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sz w:val="20"/>
                <w:szCs w:val="20"/>
                <w:highlight w:val="none"/>
                <w:u w:val="single"/>
              </w:rPr>
              <w:t xml:space="preserve">≥2</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主板规格</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主板集成模块</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 w:val="20"/>
                <w:szCs w:val="20"/>
                <w:highlight w:val="none"/>
                <w:u w:val="single"/>
              </w:rPr>
              <w:t xml:space="preserve">集成资源扩展模块、计算处理模块、音频扩展模块等，主板的互联拓扑可通过处理器或交换电路实现</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主板支持的CPU和内存情况</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color w:val="000000"/>
                <w:szCs w:val="21"/>
                <w:highlight w:val="none"/>
              </w:rPr>
            </w:pPr>
            <w:r>
              <w:rPr>
                <w:rFonts w:ascii="宋体" w:hAnsi="宋体"/>
                <w:i/>
                <w:iCs/>
                <w:color w:val="000000"/>
                <w:szCs w:val="21"/>
                <w:highlight w:val="none"/>
                <w:u w:val="single"/>
              </w:rPr>
              <w:t xml:space="preserve">主板系列芯片组DMI 通道最大数≥8, PCI Express 通道数的最大值≥24，支持DDR5系列内存扩展，I/O规格USB端口数≥14</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主板内置PCIe插槽数量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≥1个PCIe 3x1插槽，≥1个PCIe 4x16插槽, ≥1个PCI</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特殊孔位及接口</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主板其他内置接口</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 w:val="20"/>
                <w:szCs w:val="20"/>
                <w:highlight w:val="none"/>
                <w:u w:val="single"/>
              </w:rPr>
              <w:t xml:space="preserve">≥2个M.2接口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单内存插槽最大可支持容量（板载内存不涉及）</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≥32GB</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内存插槽满配时提供的最高内存总容量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≥64GB</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存储设备规格</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固态盘数量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≥1个</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固态存储容量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≥512GB</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机械硬盘数量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机械硬盘总容量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机械硬盘转速</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机械硬盘接口协议</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支持SATA3.0及以上或SAS3.0及以上接口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机械硬盘形态</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2.5英寸或3.5英寸等</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固态存储接口协议</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color w:val="000000"/>
                <w:szCs w:val="21"/>
                <w:highlight w:val="none"/>
              </w:rPr>
              <w:t xml:space="preserve">UFS/SATA/PCIe/NVMe等类型接口协议</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固态存储形态</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采用插卡或板载等形态，可选用符合M.2或2.5寸SATA或mSATA等标准的插卡形态</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存储设备扩展盘位</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Style w:val="1027"/>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存储设备其他参数要求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a)固态盘应符合SJ/T11654相关规定；b)机械硬盘准备时间应不大于30s；侧面固定螺丝孔数量可为4孔或6孔；工作状态环境温度应满足5℃~55℃;其它参数应符合GB/T12628相关规定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显卡规格</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显卡类型</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独立显卡</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独立显卡显存类型</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ascii="宋体" w:hAnsi="宋体"/>
                <w:i/>
                <w:iCs/>
                <w:color w:val="000000"/>
                <w:highlight w:val="none"/>
                <w:u w:val="single"/>
              </w:rPr>
              <w:t xml:space="preserve">GDDR7</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独立显卡显存位宽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ascii="宋体" w:hAnsi="宋体"/>
                <w:i/>
                <w:iCs/>
                <w:color w:val="000000"/>
                <w:highlight w:val="none"/>
                <w:u w:val="single"/>
              </w:rPr>
              <w:t xml:space="preserve">128位</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独立显卡显存容量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ascii="宋体" w:hAnsi="宋体"/>
                <w:i/>
                <w:iCs/>
                <w:color w:val="000000"/>
                <w:highlight w:val="none"/>
                <w:u w:val="single"/>
              </w:rPr>
              <w:t xml:space="preserve">8G</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独立显卡接口协议</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widowControl/>
              <w:rPr>
                <w:rFonts w:hint="eastAsia" w:ascii="宋体" w:hAnsi="宋体"/>
                <w:b/>
                <w:bCs/>
                <w:i/>
                <w:iCs/>
                <w:color w:val="000000"/>
                <w:szCs w:val="21"/>
                <w:highlight w:val="none"/>
                <w:u w:val="single"/>
              </w:rPr>
            </w:pPr>
            <w:r>
              <w:rPr>
                <w:rStyle w:val="1027"/>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显示设备规格</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显示屏屏占比</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color w:val="000000"/>
                <w:highlight w:val="none"/>
              </w:rPr>
              <w:t xml:space="preserve">▲</w:t>
            </w:r>
            <w:r>
              <w:rPr>
                <w:rFonts w:hint="eastAsia" w:ascii="宋体" w:hAnsi="宋体"/>
                <w:color w:val="000000"/>
                <w:szCs w:val="21"/>
                <w:highlight w:val="none"/>
              </w:rPr>
              <w:t xml:space="preserve">≥90%</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显示屏分辨率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w:t>
            </w:r>
            <w:r>
              <w:rPr>
                <w:rFonts w:ascii="宋体" w:hAnsi="宋体"/>
                <w:i/>
                <w:iCs/>
                <w:color w:val="000000"/>
                <w:szCs w:val="21"/>
                <w:highlight w:val="none"/>
                <w:u w:val="single"/>
              </w:rPr>
              <w:t xml:space="preserve">2560*1440</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显示屏像素密度</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szCs w:val="21"/>
                <w:highlight w:val="none"/>
              </w:rPr>
              <w:t xml:space="preserve">▲</w:t>
            </w:r>
            <w:r>
              <w:rPr>
                <w:rFonts w:hint="eastAsia" w:ascii="宋体" w:hAnsi="宋体"/>
                <w:color w:val="000000"/>
                <w:szCs w:val="21"/>
                <w:highlight w:val="none"/>
              </w:rPr>
              <w:t xml:space="preserve">≥109像素/英寸</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显示屏可视角度</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szCs w:val="21"/>
                <w:highlight w:val="none"/>
              </w:rPr>
              <w:t xml:space="preserve">▲</w:t>
            </w:r>
            <w:r>
              <w:rPr>
                <w:rFonts w:hint="eastAsia" w:ascii="宋体" w:hAnsi="宋体"/>
                <w:color w:val="000000"/>
                <w:szCs w:val="21"/>
                <w:highlight w:val="none"/>
              </w:rPr>
              <w:t xml:space="preserve">水平≥178°</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显示屏尺寸</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≥27英寸，与主机同一品牌</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显示屏屏幕比例</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ind w:right="840"/>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16:9</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显示器外观颜色</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黑色系</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显示屏防蓝光</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color w:val="000000"/>
                <w:szCs w:val="21"/>
                <w:highlight w:val="none"/>
              </w:rPr>
            </w:pPr>
            <w:r>
              <w:rPr>
                <w:color w:val="000000"/>
                <w:highlight w:val="none"/>
              </w:rPr>
              <w:t xml:space="preserve">▲</w:t>
            </w:r>
            <w:r>
              <w:rPr>
                <w:rFonts w:hint="eastAsia" w:ascii="宋体" w:hAnsi="宋体"/>
                <w:color w:val="000000"/>
                <w:szCs w:val="21"/>
                <w:highlight w:val="none"/>
              </w:rPr>
              <w:t xml:space="preserve">支持防蓝光模式，蓝光加权辐射亮度比应≤0.0012W/(·cd·sr)（瓦每坎特拉每球面度）</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显示屏低频闪</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color w:val="000000"/>
                <w:szCs w:val="21"/>
                <w:highlight w:val="none"/>
              </w:rPr>
            </w:pPr>
            <w:r>
              <w:rPr>
                <w:color w:val="000000"/>
                <w:highlight w:val="none"/>
              </w:rPr>
              <w:t xml:space="preserve">▲</w:t>
            </w:r>
            <w:r>
              <w:rPr>
                <w:rFonts w:hint="eastAsia" w:ascii="宋体" w:hAnsi="宋体"/>
                <w:color w:val="000000"/>
                <w:szCs w:val="21"/>
                <w:highlight w:val="none"/>
              </w:rPr>
              <w:t xml:space="preserve">显示屏应支持低频闪≤-70dB</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显示屏防炫目</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color w:val="000000"/>
                <w:szCs w:val="21"/>
                <w:highlight w:val="none"/>
              </w:rPr>
            </w:pPr>
            <w:r>
              <w:rPr>
                <w:color w:val="000000"/>
                <w:highlight w:val="none"/>
              </w:rPr>
              <w:t xml:space="preserve">▲</w:t>
            </w:r>
            <w:r>
              <w:rPr>
                <w:rFonts w:hint="eastAsia" w:ascii="宋体" w:hAnsi="宋体"/>
                <w:color w:val="000000"/>
                <w:szCs w:val="21"/>
                <w:highlight w:val="none"/>
              </w:rPr>
              <w:t xml:space="preserve">显示屏镜面反射率≤9%</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外设规格</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传声器数量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Style w:val="1027"/>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扬声器数量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Style w:val="1027"/>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鼠标数量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≥1个</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键盘数量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≥1个</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摄像头数量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光驱数量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键盘按键数目</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61键/86键/101键/104键等</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摄像头像素</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摄像头分辨率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扬声器功率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扬声器频率范围</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扬声器总谐波失真</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扬声器最大声压级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键盘连接方式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有线</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键盘键程</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2.3mm~4.0mm</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键盘按键压力</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按键压力应在0.54N±0.14N</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有线键盘连接线</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≥1.5米</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键盘颜色</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黑色/白色/银色等商务色系</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键盘其他要求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键盘外观结构、连接方式、主要功能、安全、电磁兼容性、可靠性应符合GB/T14081的相关规定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鼠标连接方式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有线</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有线鼠标连接线</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≥1.5米</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鼠标DPI分辨率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800~1600</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鼠标颜色</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黑色/银色/白色等商务色系</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鼠标其他要求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其它参数应符合GB/T26245的相关规定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内置光驱</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网络设备规格</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有线网卡数量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≥1</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无线网卡及天线数量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单无线网卡天线数量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highlight w:val="none"/>
              </w:rPr>
              <w:t xml:space="preserve">无要求</w:t>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外部接口规格</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USB接口数量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≥6个USB 3.0，其中≥1个USB 3.0 Type-C接口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USB母座接口要求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视频接口数量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≥3（至少包含1个HDMI、1个VGA、1个DP接口）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音频接口数量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≥1（至少包含前置1个耳机麦克风组合插孔）</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存储卡接口数量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none" w:color="000000" w:sz="4"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整机基础规格</w:t>
            </w:r>
            <w:r/>
          </w:p>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整机外观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a)产品表面不应有凹痕、划伤、裂缝、变形和污染等。表面涂层均匀，不应起泡、龟裂、脱落和磨损，金属零部件无锈蚀及其它机械损伤；b)产品表面说明功能的文字、符号、标志，应清晰、端正、牢固</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none" w:color="000000" w:sz="4"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状态指示灯</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color w:val="000000"/>
                <w:szCs w:val="21"/>
                <w:highlight w:val="none"/>
              </w:rPr>
              <w:t xml:space="preserve">无</w:t>
            </w:r>
            <w:r/>
          </w:p>
        </w:tc>
      </w:tr>
      <w:tr>
        <w:trPr>
          <w:cantSplit/>
          <w:trHeight w:val="29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73</w:t>
            </w:r>
            <w:r/>
          </w:p>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整机结构</w:t>
            </w:r>
            <w:r/>
          </w:p>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a)机箱应符合GB/T4208、GB/T26246的相关规定；</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b)产品内部结构应符合通用部件的安装需求；</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c)所有输入输出接口应符合相关国家或行业标准；</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d)产品零部件应紧固无松动，可插拔部件应可靠连接，开关、按钮和其它控制部件应灵活可靠，布局应方便使用；</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e)所有I/O连接器及需插接线缆的部位应预留采购人操作空间，方便插拔解锁与插拔线缆；</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f)可插拔板卡插槽部位应预留安装、拆卸或更换板卡空间；</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g)拆装可能接触到的金属剪口或金属尖角部位应做防划伤处理，以保证安全；</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h)整机内部走线应规整，固线结构和位置要合理可靠并做防割线处理，需便于理线和插拔操作，走线应不影响系统各主要部件组装和拆卸；</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i)如需通过孔走线，过线孔应做防割线处理；</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j)各插头位置和插拔方向应合理，应做到插拔无障碍设计，具备防呆设计，有效避免误操作；</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k)各主要部件拆装无障碍，使用常规工具拆装，无特殊拆装工具需求；</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l)各主要部件拆装步骤要少，各自拆装需避免相互干扰；</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m)对于整机或零部件外表面为高亮面的，应粘贴保护膜，保护膜需粘贴牢固，运输、组装等过程不易脱落，撕下无残留；</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n)其它要求应符合GB/T9813.1的相关规定</w:t>
            </w:r>
            <w:r/>
          </w:p>
        </w:tc>
      </w:tr>
      <w:tr>
        <w:trPr>
          <w:cantSplit/>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74</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single" w:color="000000" w:sz="8"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机箱防护要求</w:t>
            </w:r>
            <w:r/>
          </w:p>
        </w:tc>
        <w:tc>
          <w:tcPr>
            <w:tcBorders>
              <w:top w:val="single" w:color="000000" w:sz="8" w:space="0"/>
              <w:left w:val="single" w:color="000000" w:sz="8"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机箱应符合GB/T4208中IP20防护要求</w:t>
            </w:r>
            <w:r/>
          </w:p>
        </w:tc>
      </w:tr>
      <w:tr>
        <w:trPr>
          <w:cantSplit/>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75</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single" w:color="000000" w:sz="8" w:space="0"/>
              <w:left w:val="single" w:color="000000" w:sz="8" w:space="0"/>
              <w:bottom w:val="none" w:color="000000" w:sz="4"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整机噪音</w:t>
            </w:r>
            <w:r/>
          </w:p>
        </w:tc>
        <w:tc>
          <w:tcPr>
            <w:tcBorders>
              <w:top w:val="single" w:color="000000" w:sz="8"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color w:val="000000"/>
                <w:highlight w:val="none"/>
              </w:rPr>
              <w:t xml:space="preserve">▲</w:t>
            </w:r>
            <w:r>
              <w:rPr>
                <w:rFonts w:hint="eastAsia" w:ascii="宋体" w:hAnsi="宋体"/>
                <w:color w:val="000000"/>
                <w:szCs w:val="21"/>
                <w:highlight w:val="none"/>
              </w:rPr>
              <w:t xml:space="preserve">产品工作在空闲状态下，产品的声功率级应不超过 1.8 Bel</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none" w:color="000000" w:sz="4"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整机散热</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none" w:color="000000" w:sz="4"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整机能效限定值</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产品能效限定值应达到GB28380-2012标准中能效等级2级及以上</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none" w:color="000000" w:sz="4"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机身材质</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塑料/金属等</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none" w:color="000000" w:sz="4"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机身颜色</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灰色/黑色等商务色系</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机箱尺寸容量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机箱体积≤15L</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CPU性能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CPU物理核数</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sz w:val="20"/>
                <w:szCs w:val="20"/>
                <w:highlight w:val="none"/>
                <w:u w:val="single"/>
              </w:rPr>
              <w:t xml:space="preserve">物理核心数</w:t>
            </w:r>
            <w:r>
              <w:rPr>
                <w:rFonts w:hint="eastAsia" w:ascii="宋体" w:hAnsi="宋体"/>
                <w:i/>
                <w:iCs/>
                <w:color w:val="000000"/>
                <w:szCs w:val="21"/>
                <w:highlight w:val="none"/>
                <w:u w:val="single"/>
              </w:rPr>
              <w:t xml:space="preserve">≥14</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CPU主频</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≥1.8 GHz</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CPU末级缓存容量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≥24 MB</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CPU支持的内存最高速率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≥4800MT/s</w:t>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内存性能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内存读写速率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≥4800MT/s</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显卡性能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显示分辨率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≥1920x1080</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显卡显示芯片核心频率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≥2.57GHz</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显存等效频率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color w:val="000000"/>
                <w:szCs w:val="21"/>
                <w:highlight w:val="none"/>
              </w:rPr>
              <w:t xml:space="preserve">≥1000MT/s</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显卡可支持多屏同时显示数量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显卡应支持2块屏幕同时显示，分辨率应不低于1920×1080</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显示设备性能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显示屏刷新率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color w:val="000000"/>
                <w:highlight w:val="none"/>
              </w:rPr>
              <w:t xml:space="preserve">▲</w:t>
            </w:r>
            <w:r>
              <w:rPr>
                <w:rFonts w:hint="eastAsia" w:ascii="宋体" w:hAnsi="宋体"/>
                <w:color w:val="000000"/>
                <w:szCs w:val="21"/>
                <w:highlight w:val="none"/>
              </w:rPr>
              <w:t xml:space="preserve">≥100Hz</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显示屏位深</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≥8位</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显示屏色域</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color w:val="000000"/>
                <w:szCs w:val="21"/>
                <w:highlight w:val="none"/>
              </w:rPr>
            </w:pPr>
            <w:r>
              <w:rPr>
                <w:rFonts w:hint="eastAsia" w:ascii="宋体" w:hAnsi="宋体"/>
                <w:color w:val="000000"/>
                <w:szCs w:val="21"/>
                <w:highlight w:val="none"/>
              </w:rPr>
              <w:t xml:space="preserve">≥72% NTSC/≥99% SRGB</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显示屏色准</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color w:val="000000"/>
                <w:highlight w:val="none"/>
              </w:rPr>
              <w:t xml:space="preserve">▲</w:t>
            </w:r>
            <w:r>
              <w:rPr>
                <w:rFonts w:hint="eastAsia" w:ascii="宋体" w:hAnsi="宋体"/>
                <w:color w:val="000000"/>
                <w:szCs w:val="21"/>
                <w:highlight w:val="none"/>
              </w:rPr>
              <w:t xml:space="preserve">△E≤4</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显示屏响应时间</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color w:val="000000"/>
                <w:highlight w:val="none"/>
              </w:rPr>
              <w:t xml:space="preserve">▲</w:t>
            </w:r>
            <w:r>
              <w:rPr>
                <w:rFonts w:hint="eastAsia"/>
                <w:color w:val="000000"/>
                <w:highlight w:val="none"/>
              </w:rPr>
              <w:t xml:space="preserve">≥5ms</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显示屏亮度</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≥250尼特</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显示屏亮度一致性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≥70%</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显示屏对比度</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color w:val="000000"/>
                <w:highlight w:val="none"/>
              </w:rPr>
              <w:t xml:space="preserve">▲</w:t>
            </w:r>
            <w:r>
              <w:rPr>
                <w:rFonts w:hint="eastAsia" w:ascii="宋体" w:hAnsi="宋体"/>
                <w:color w:val="000000"/>
                <w:szCs w:val="21"/>
                <w:highlight w:val="none"/>
              </w:rPr>
              <w:t xml:space="preserve">≥1000：1</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显示屏其他参数</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VA/IPS显示面板</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网络设备性能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有线网卡速率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最高速率应不低于1000Mbps，应支持10Mbps、100Mbps、1000Mbps速率自适应</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支持无线网络通信技术协议</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无线网卡频宽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主板功能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内存扩展接口(板载内存不涉及)</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≥2个</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存储扩展接口(板载存储不涉及)</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≥2个M.2接口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主板USB瞬间过流保护</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支持有瞬间过流保护功能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主板防静电保护</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支持防静电保护功能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I/O接口功能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显卡功能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显卡外接显示接口</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显卡至少支持VGA、HDMI、DVI、DP、Type-C中1种显示接口，并与显示器接口相匹配</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独立显卡数量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≥0</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显示设备功能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显示器接口</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显示器应与显卡外接显示接口匹配</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显示器支架</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显示器应提供显示器支架</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显示器参数调节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a)提供OSD选单按钮用于调节色彩、模式等；b)支持色温、亮度、对比度调节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外设功能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摄像头物理隐私保护开关</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支持物理隐私保护开关</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传声器降噪</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支持降噪功能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键盘背光</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光驱功能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存储功能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存储功能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通过SATA固态存储/PCIe固态存储/UFS固态存储/SATA硬磁盘等存储部件提供存储功能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内置控制器固态存储加密</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固态存储通过内置控制器硬件支持加密，不依赖处理器，保障数据安全性，但不得影响存储性能。a)支持加密功能，且加密功能开启不影响SSD读写性能；b)支持固件加密、安全启动和安全升级；c)支持数据的安全擦除</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网络设备功能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网络功能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a)支持网络连接、网络开启/关闭功能；b)支持访问网络和数据交换功能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无线网卡频段</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支持双频段</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120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物理开关</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支持网络设备物理开关</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121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数据传输</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支持数据传输能力，并提供数据流量和异常日志记录功能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122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蓝牙协议</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若支持蓝牙模块，蓝牙协议不低于5.0版本</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123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有线网卡接口类型</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支持RJ45接口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124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无线网卡标准</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若配备无线网卡，产品应符合GB15629.11所有部分</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125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网络设备拆装</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网络设备支持物理拆装，包括无线网卡和蓝牙模块等</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126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外部接口功能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音频接口类型</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支持3.5mm孔径3段式或4段式接口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127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视频接口类型</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至少包含1个VGA接口，1个HDMI接口 </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128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HDMI、DP、Type-C显示接口要求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提供HDMI或DP或Type-C作为显示接口，应支持音频和视频同步输出</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129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其他接口</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a)支持串行接口，可实现GB/T6107的功能；b)支持并行接口，可实现GB/T18235.1的功能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130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存储卡接口类型</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支持SD、TF等存储卡接口</w:t>
            </w:r>
            <w:r/>
          </w:p>
        </w:tc>
      </w:tr>
      <w:tr>
        <w:trPr>
          <w:cantSplit/>
          <w:trHeight w:val="20"/>
        </w:trPr>
        <w:tc>
          <w:tcPr>
            <w:tcBorders>
              <w:top w:val="none" w:color="000000" w:sz="4" w:space="0"/>
              <w:left w:val="single" w:color="000000" w:sz="8" w:space="0"/>
              <w:bottom w:val="none" w:color="000000" w:sz="4" w:space="0"/>
              <w:right w:val="single" w:color="000000" w:sz="8" w:space="0"/>
            </w:tcBorders>
            <w:tcW w:w="578" w:type="dxa"/>
            <w:vAlign w:val="center"/>
            <w:vMerge w:val="restart"/>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131</w:t>
            </w:r>
            <w:r/>
          </w:p>
        </w:tc>
        <w:tc>
          <w:tcPr>
            <w:tcBorders>
              <w:top w:val="none" w:color="000000" w:sz="4" w:space="0"/>
              <w:left w:val="none" w:color="000000" w:sz="4" w:space="0"/>
              <w:bottom w:val="none" w:color="000000" w:sz="4" w:space="0"/>
              <w:right w:val="single" w:color="000000" w:sz="8" w:space="0"/>
            </w:tcBorders>
            <w:tcW w:w="709"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none" w:color="000000" w:sz="4" w:space="0"/>
              <w:bottom w:val="none" w:color="000000" w:sz="4"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电源功能</w:t>
            </w:r>
            <w:r/>
          </w:p>
        </w:tc>
        <w:tc>
          <w:tcPr>
            <w:tcBorders>
              <w:top w:val="single" w:color="000000" w:sz="8" w:space="0"/>
              <w:left w:val="none" w:color="000000" w:sz="4" w:space="0"/>
              <w:bottom w:val="single" w:color="000000" w:sz="4"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电源线适配能力</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电源适配器电线组件应符合GB/T15934的要求， </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vMerge w:val="continue"/>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709"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电源功率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电源≥500W</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132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操作系统及软件功能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中文信息处理要求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符合国际通用标准或者国家标准要求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133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操作系统备份及还原功能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b/>
                <w:bCs/>
                <w:i/>
                <w:iCs/>
                <w:color w:val="000000"/>
                <w:szCs w:val="21"/>
                <w:highlight w:val="none"/>
                <w:u w:val="singl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134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固件备份还原能力</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支持备份及还原固件的功能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135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操作系统及驱动升级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支持通过网络、闪存盘等方式对操作系统、驱动进行升级</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136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固件升级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支持通过网络、闪存盘等方式对固件进行升级</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137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BIOS支持关闭通讯接口</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支持BIOS关闭以太网及USB接口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138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固件查看信息</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支持查看固件版本、内存信息、主板信息、处理器信息和系统时间信息等功能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139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固件设置启动顺序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支持设置启动顺序功能，并按照设置的启动顺序启动</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140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固件设置口令</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支持设置口令、修改口令、验证口令功能</w:t>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141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固件设置网络引导</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支持网络引导启动和关闭功能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142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生物识别功能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指纹识别</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143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人脸识别</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144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静脉识别</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145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硬件加速功能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NPU/GPU等AI加速模块</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支持NPU/GPU等AI加速模块</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146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视频编解码加速模块</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支持视频编解码加速模块</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147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影像处理加速模块</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支持影像处理加速模块</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148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存储设备可靠性</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固态存储寿命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TBW≥80TB</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149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机械硬盘寿命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color w:val="000000"/>
                <w:szCs w:val="21"/>
                <w:highlight w:val="none"/>
              </w:rPr>
              <w:t xml:space="preserve">无要求</w:t>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显示设备可靠性</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显示屏屏幕失效点</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符合GB/T9813.2的要求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151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外设可靠性</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键盘按键寿命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≥1000万次</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152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鼠标按键寿命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≥500万次</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153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键盘鼠标线材寿命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键盘鼠标所用线材经±60°弯折不低于3000次，功能、外观完好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154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风扇寿命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≥4万小时</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155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整机可靠性要求</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电磁兼容性要求的抗扰度</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符合GB/T9254.2的规定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156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环境条件要求的气候环境适应性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符合GB/T9813.1中规定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157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环境条件要求的振动适应性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符合GB/T9813.1中规定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158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环境条件要求的冲击适应性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符合GB/T9813.1中规定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159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环境条件要求的碰撞适应性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符合GB/T9813.1中规定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160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环境条件要求的运输包装件跌落适应性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符合GB/T9813.1中规定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161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MTBF测试</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MTBF(m1)≥120万小时</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162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兼容要求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兼容要求</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常用软件兼容</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color w:val="000000"/>
                <w:szCs w:val="21"/>
                <w:highlight w:val="none"/>
              </w:rPr>
              <w:t xml:space="preserve">支持流式软件、版式软件、浏览器、邮件采购人端、解压软件、多媒体、图形图像处理等常用软件</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163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兼容要求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数据库兼容</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兼容3个及以上厂商的数据库产品</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164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兼容要求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中间件兼容</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兼容3个及以上厂商中间件产品</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165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兼容要求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平台软件兼容</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兼容3个及以上厂商云计算及大数据平台</w:t>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166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包装及运输要求</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包装及运输要求</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标志、包装、运输和贮存</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符合GB/T9813.1和商品包装政府采购需求标准的相关规定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167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配置检查工具</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供应商提供自检测试工具</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168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服务响应</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169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服务周期</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a)设备停产后应继续提供质量保障服务（含备品备件），服务终止时间与最后一批设备交付时间间隔不低于3年；b)产品停止服务时间应提前1年告知；c)应明确产品发布日期</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170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预装操作系统</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预装符合桌面操作系统政府采购需求标准的正版操作系统</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171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培训服务</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供应商提供培训材料、产品手册、培训视频等培训相关内容</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172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典型问题解决手册</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供应商提供典型问题解决说明文档或视频</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173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厂家升级软件与扩容服务</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供应商提供上门升级部件/软件与扩容的增值服务</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174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整机质量服务要求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服务周期（含换件和维修）应不少于3年，费用包含在投标总价中（供应商承诺中标后提供并加盖公章）</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175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合格证书要求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供应商提供产品合格证</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176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开箱组装/使用指导要求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供应商提供开箱组装/使用指导</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177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驱动下载服务要求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供应商提供驱动光盘或下载方式</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178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兼容适配软件下载服务要求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供应商提供兼容适配软件下载渠道（光盘、网站）</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179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跨架构平台应用兼容</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供应商提供跨架构平台的应用兼容工具，支持一种或者一种以上不同架构平台的应用</w:t>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180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供应保障要求</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供应链合规性</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产品部件保障</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highlight w:val="none"/>
                <w:u w:val="single"/>
              </w:rPr>
              <w:t xml:space="preserve">供应商保障产品主要部件，提供</w:t>
            </w:r>
            <w:r>
              <w:rPr>
                <w:rFonts w:hint="eastAsia" w:ascii="宋体" w:hAnsi="宋体"/>
                <w:i/>
                <w:iCs/>
                <w:color w:val="000000"/>
                <w:highlight w:val="none"/>
                <w:u w:val="single"/>
              </w:rPr>
              <w:t xml:space="preserve">3</w:t>
            </w:r>
            <w:r>
              <w:rPr>
                <w:rFonts w:hint="eastAsia" w:ascii="宋体" w:hAnsi="宋体"/>
                <w:i/>
                <w:iCs/>
                <w:color w:val="000000"/>
                <w:highlight w:val="none"/>
                <w:u w:val="single"/>
              </w:rPr>
              <w:t xml:space="preserve">年的备件服务能力（自购买之日起），或提供可兼容原设备的升级换代产品</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181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供应保障要求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供应链质量</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抗干扰性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当产品部件出现供应风险时，供应商应通知采购人并提供风险应对方案确保产品的服务保障</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182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供应保障要求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供应能力证明</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供应商提供供应链稳定承诺，确保产品的部件在产品服务周期内稳定供货</w:t>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183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安全要求</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关键部件安全要求</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关键部件安全要求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color w:val="000000"/>
                <w:szCs w:val="21"/>
                <w:highlight w:val="none"/>
              </w:rPr>
              <w:t xml:space="preserve">无</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184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安全要求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整机安全性要求</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密码算法实现</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ascii="宋体" w:hAnsi="宋体"/>
                <w:i/>
                <w:iCs/>
                <w:color w:val="000000"/>
                <w:szCs w:val="21"/>
                <w:highlight w:val="none"/>
                <w:u w:val="single"/>
              </w:rPr>
              <w:t xml:space="preserve">CPU芯片应符合国际通用标准或者国家标准要求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185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安全要求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USB端口管控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支持USB端口管控</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186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安全要求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安全物理锁</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支持安全物理锁</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187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安全要求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信息安全基本要求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a)产品应符合GB/T39276的5.2的规定；b)生产厂商应建立漏洞跟踪表，保证产品版本涉及到的漏洞(如驱动程序等)可查看；c)产品不得包含已知的恶意代码或漏洞，不存在未声明的指令、功能、接口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188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安全要求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固件安全启动</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支持固件安全启动功能，固件启动过程中只有通过启动校验才能正常启动</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189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安全要求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限用物质的限量要求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符合国际通用标准或者国家标准要求</w:t>
            </w:r>
            <w:r/>
          </w:p>
        </w:tc>
      </w:tr>
    </w:tbl>
    <w:p>
      <w:pPr>
        <w:spacing w:before="312"/>
        <w:rPr>
          <w:b/>
          <w:bCs/>
          <w:sz w:val="24"/>
          <w:szCs w:val="28"/>
          <w:highlight w:val="none"/>
        </w:rPr>
      </w:pPr>
      <w:r>
        <w:rPr>
          <w:rFonts w:hint="eastAsia" w:ascii="宋体" w:hAnsi="宋体" w:cs="微软雅黑"/>
          <w:b/>
          <w:bCs/>
          <w:color w:val="000000"/>
          <w:sz w:val="24"/>
          <w:szCs w:val="24"/>
          <w:highlight w:val="none"/>
        </w:rPr>
        <w:t xml:space="preserve">二、教学授课用：学生用台式计算机（数量：2</w:t>
      </w:r>
      <w:r>
        <w:rPr>
          <w:rFonts w:ascii="宋体" w:hAnsi="宋体" w:cs="微软雅黑"/>
          <w:b/>
          <w:bCs/>
          <w:color w:val="000000"/>
          <w:sz w:val="24"/>
          <w:szCs w:val="24"/>
          <w:highlight w:val="none"/>
        </w:rPr>
        <w:t xml:space="preserve">8台</w:t>
      </w:r>
      <w:r>
        <w:rPr>
          <w:rFonts w:hint="eastAsia" w:ascii="宋体" w:hAnsi="宋体" w:cs="微软雅黑"/>
          <w:b/>
          <w:bCs/>
          <w:color w:val="000000"/>
          <w:sz w:val="24"/>
          <w:szCs w:val="24"/>
          <w:highlight w:val="none"/>
        </w:rPr>
        <w:t xml:space="preserve">）</w:t>
      </w:r>
      <w:r/>
    </w:p>
    <w:tbl>
      <w:tblPr>
        <w:tblStyle w:val="782"/>
        <w:tblW w:w="8232" w:type="dxa"/>
        <w:tblInd w:w="-95" w:type="dxa"/>
        <w:tblLayout w:type="fixed"/>
        <w:tblCellMar>
          <w:left w:w="108" w:type="dxa"/>
          <w:top w:w="0" w:type="dxa"/>
          <w:right w:w="108" w:type="dxa"/>
          <w:bottom w:w="0" w:type="dxa"/>
        </w:tblCellMar>
        <w:tblLook w:val="04A0" w:firstRow="1" w:lastRow="0" w:firstColumn="1" w:lastColumn="0" w:noHBand="0" w:noVBand="1"/>
      </w:tblPr>
      <w:tblGrid>
        <w:gridCol w:w="578"/>
        <w:gridCol w:w="709"/>
        <w:gridCol w:w="850"/>
        <w:gridCol w:w="1429"/>
        <w:gridCol w:w="4666"/>
      </w:tblGrid>
      <w:tr>
        <w:trPr>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tbRlV"/>
            <w:noWrap w:val="false"/>
          </w:tcPr>
          <w:p>
            <w:pPr>
              <w:jc w:val="center"/>
              <w:widowControl/>
              <w:rPr>
                <w:rFonts w:hint="eastAsia" w:ascii="宋体" w:hAnsi="宋体"/>
                <w:b/>
                <w:bCs/>
                <w:color w:val="000000"/>
                <w:szCs w:val="21"/>
                <w:highlight w:val="none"/>
              </w:rPr>
            </w:pPr>
            <w:r>
              <w:rPr>
                <w:rFonts w:hint="eastAsia" w:ascii="宋体" w:hAnsi="宋体"/>
                <w:b/>
                <w:bCs/>
                <w:color w:val="000000"/>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b/>
                <w:bCs/>
                <w:color w:val="000000"/>
                <w:szCs w:val="21"/>
                <w:highlight w:val="none"/>
              </w:rPr>
            </w:pPr>
            <w:r>
              <w:rPr>
                <w:rFonts w:hint="eastAsia" w:ascii="宋体" w:hAnsi="宋体"/>
                <w:b/>
                <w:bCs/>
                <w:color w:val="000000"/>
                <w:szCs w:val="21"/>
                <w:highlight w:val="none"/>
              </w:rPr>
              <w:t xml:space="preserve">指标分类</w:t>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jc w:val="left"/>
              <w:widowControl/>
              <w:rPr>
                <w:rFonts w:hint="eastAsia" w:ascii="宋体" w:hAnsi="宋体"/>
                <w:b/>
                <w:bCs/>
                <w:color w:val="000000"/>
                <w:szCs w:val="21"/>
                <w:highlight w:val="none"/>
              </w:rPr>
            </w:pPr>
            <w:r>
              <w:rPr>
                <w:rFonts w:hint="eastAsia" w:ascii="宋体" w:hAnsi="宋体"/>
                <w:b/>
                <w:bCs/>
                <w:color w:val="000000"/>
                <w:szCs w:val="21"/>
                <w:highlight w:val="none"/>
              </w:rPr>
              <w:t xml:space="preserve">一级指标</w:t>
            </w:r>
            <w:r/>
          </w:p>
        </w:tc>
        <w:tc>
          <w:tcPr>
            <w:tcBorders>
              <w:top w:val="single" w:color="000000" w:sz="8"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b/>
                <w:bCs/>
                <w:color w:val="000000"/>
                <w:szCs w:val="21"/>
                <w:highlight w:val="none"/>
              </w:rPr>
            </w:pPr>
            <w:r>
              <w:rPr>
                <w:rFonts w:hint="eastAsia" w:ascii="宋体" w:hAnsi="宋体"/>
                <w:b/>
                <w:bCs/>
                <w:color w:val="000000"/>
                <w:szCs w:val="21"/>
                <w:highlight w:val="none"/>
              </w:rPr>
              <w:t xml:space="preserve">二级指标</w:t>
            </w:r>
            <w:r/>
          </w:p>
        </w:tc>
        <w:tc>
          <w:tcPr>
            <w:tcBorders>
              <w:top w:val="single" w:color="000000" w:sz="8"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color w:val="000000"/>
                <w:szCs w:val="21"/>
                <w:highlight w:val="none"/>
              </w:rPr>
            </w:pPr>
            <w:r>
              <w:rPr>
                <w:rFonts w:hint="eastAsia" w:ascii="宋体" w:hAnsi="宋体"/>
                <w:b/>
                <w:bCs/>
                <w:color w:val="000000"/>
                <w:szCs w:val="21"/>
                <w:highlight w:val="none"/>
              </w:rPr>
              <w:t xml:space="preserve">指标要求</w:t>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CPU规格</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CPU信息</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配置1颗X86架构处理器，核数≥6个物理核/颗，线程数≥12，主频≥3.0GHz（基准频率，非动态加速频率），缓存容量≥18MB，二级高速缓存≥7.5MB</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内存规格</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内存配置容量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≥16GB</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内存类型</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DDR4≥3200MT/s</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内存条配置数量（板载内存不涉及）</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sz w:val="20"/>
                <w:szCs w:val="20"/>
                <w:highlight w:val="none"/>
                <w:u w:val="single"/>
              </w:rPr>
              <w:t xml:space="preserve">≥2</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主板规格</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主板集成模块</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 w:val="20"/>
                <w:szCs w:val="20"/>
                <w:highlight w:val="none"/>
                <w:u w:val="single"/>
              </w:rPr>
              <w:t xml:space="preserve">集成资源扩展模块、计算处理模块、音频扩展模块等，主板的互联拓扑可通过处理器或交换电路实现</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主板支持的CPU和内存情况</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color w:val="000000"/>
                <w:szCs w:val="21"/>
                <w:highlight w:val="none"/>
              </w:rPr>
            </w:pPr>
            <w:r>
              <w:rPr>
                <w:rFonts w:ascii="宋体" w:hAnsi="宋体"/>
                <w:i/>
                <w:iCs/>
                <w:color w:val="000000"/>
                <w:szCs w:val="21"/>
                <w:highlight w:val="none"/>
                <w:u w:val="single"/>
              </w:rPr>
              <w:t xml:space="preserve">主板系列芯片组DMI 通道最大数≥8, PCI Express 通道数的最大值≥24，支持DDR5系列内存扩展，I/O规格USB端口数≥14</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主板内置PCIe插槽数量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≥1个PCIe 3x1插槽，≥1个PCIe 4x16插槽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特殊孔位及接口</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主板其他内置接口</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 w:val="20"/>
                <w:szCs w:val="20"/>
                <w:highlight w:val="none"/>
                <w:u w:val="single"/>
              </w:rPr>
              <w:t xml:space="preserve">≥2个M.2接口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单内存插槽最大可支持容量（板载内存不涉及）</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≥32GB</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内存插槽满配时提供的最高内存总容量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≥64GB</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存储设备规格</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固态盘数量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≥1个</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固态存储容量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≥512GB</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机械硬盘数量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机械硬盘总容量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机械硬盘转速</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机械硬盘接口协议</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支持SATA3.0及以上或SAS3.0及以上接口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机械硬盘形态</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2.5英寸或3.5英寸等</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固态存储接口协议</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color w:val="000000"/>
                <w:szCs w:val="21"/>
                <w:highlight w:val="none"/>
              </w:rPr>
              <w:t xml:space="preserve">UFS/SATA/PCIe/NVMe等类型接口协议</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固态存储形态</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采用插卡或板载等形态，可选用符合M.2或2.5寸SATA或mSATA等标准的插卡形态</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存储设备扩展盘位</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Style w:val="1027"/>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存储设备其他参数要求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a)固态盘应符合SJ/T11654相关规定；b)机械硬盘准备时间应不大于30s；侧面固定螺丝孔数量可为4孔或6孔；工作状态环境温度应满足5℃~55℃;其它参数应符合GB/T12628相关规定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显卡规格</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显卡类型</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集成显卡</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独立显卡显存类型</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Style w:val="1027"/>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独立显卡显存位宽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Style w:val="1027"/>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独立显卡显存容量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Style w:val="1027"/>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独立显卡接口协议</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widowControl/>
              <w:rPr>
                <w:rFonts w:hint="eastAsia" w:ascii="宋体" w:hAnsi="宋体"/>
                <w:b/>
                <w:bCs/>
                <w:i/>
                <w:iCs/>
                <w:color w:val="000000"/>
                <w:szCs w:val="21"/>
                <w:highlight w:val="none"/>
                <w:u w:val="single"/>
              </w:rPr>
            </w:pPr>
            <w:r>
              <w:rPr>
                <w:rStyle w:val="1027"/>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显示设备规格</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显示屏屏占比</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color w:val="000000"/>
                <w:highlight w:val="none"/>
              </w:rPr>
              <w:t xml:space="preserve">▲</w:t>
            </w:r>
            <w:r>
              <w:rPr>
                <w:rFonts w:hint="eastAsia" w:ascii="宋体" w:hAnsi="宋体"/>
                <w:color w:val="000000"/>
                <w:szCs w:val="21"/>
                <w:highlight w:val="none"/>
              </w:rPr>
              <w:t xml:space="preserve">≥93%</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29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显示屏分辨率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≥1920</w:t>
            </w:r>
            <w:r>
              <w:rPr>
                <w:rFonts w:ascii="宋体" w:hAnsi="宋体"/>
                <w:i/>
                <w:iCs/>
                <w:color w:val="000000"/>
                <w:szCs w:val="21"/>
                <w:highlight w:val="none"/>
                <w:u w:val="single"/>
              </w:rPr>
              <w:t xml:space="preserve">*1</w:t>
            </w:r>
            <w:r>
              <w:rPr>
                <w:rFonts w:hint="eastAsia" w:ascii="宋体" w:hAnsi="宋体"/>
                <w:i/>
                <w:iCs/>
                <w:color w:val="000000"/>
                <w:szCs w:val="21"/>
                <w:highlight w:val="none"/>
                <w:u w:val="single"/>
              </w:rPr>
              <w:t xml:space="preserve">080</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显示屏像素密度</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szCs w:val="21"/>
                <w:highlight w:val="none"/>
              </w:rPr>
              <w:t xml:space="preserve">▲</w:t>
            </w:r>
            <w:r>
              <w:rPr>
                <w:rFonts w:hint="eastAsia" w:ascii="宋体" w:hAnsi="宋体"/>
                <w:color w:val="000000"/>
                <w:szCs w:val="21"/>
                <w:highlight w:val="none"/>
              </w:rPr>
              <w:t xml:space="preserve">≥93像素/英寸</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显示屏可视角度</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szCs w:val="21"/>
                <w:highlight w:val="none"/>
              </w:rPr>
              <w:t xml:space="preserve">▲</w:t>
            </w:r>
            <w:r>
              <w:rPr>
                <w:rFonts w:hint="eastAsia" w:ascii="宋体" w:hAnsi="宋体"/>
                <w:color w:val="000000"/>
                <w:szCs w:val="21"/>
                <w:highlight w:val="none"/>
              </w:rPr>
              <w:t xml:space="preserve">水平≥178°</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显示屏尺寸</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≥23英寸，与主机同一品牌</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显示屏屏幕比例</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ind w:right="840"/>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16:9</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显示器外观颜色</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黑色系</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显示屏防蓝光</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color w:val="000000"/>
                <w:szCs w:val="21"/>
                <w:highlight w:val="none"/>
              </w:rPr>
            </w:pPr>
            <w:r>
              <w:rPr>
                <w:color w:val="000000"/>
                <w:highlight w:val="none"/>
              </w:rPr>
              <w:t xml:space="preserve">▲</w:t>
            </w:r>
            <w:r>
              <w:rPr>
                <w:rFonts w:hint="eastAsia" w:ascii="宋体" w:hAnsi="宋体"/>
                <w:color w:val="000000"/>
                <w:szCs w:val="21"/>
                <w:highlight w:val="none"/>
              </w:rPr>
              <w:t xml:space="preserve">支持防蓝光模式，蓝光加权辐射亮度比应≤0.0012W/(·cd·sr)（瓦每坎特拉每球面度）</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显示屏低频闪</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color w:val="000000"/>
                <w:szCs w:val="21"/>
                <w:highlight w:val="none"/>
              </w:rPr>
            </w:pPr>
            <w:r>
              <w:rPr>
                <w:color w:val="000000"/>
                <w:highlight w:val="none"/>
              </w:rPr>
              <w:t xml:space="preserve">▲</w:t>
            </w:r>
            <w:r>
              <w:rPr>
                <w:rFonts w:hint="eastAsia" w:ascii="宋体" w:hAnsi="宋体"/>
                <w:color w:val="000000"/>
                <w:szCs w:val="21"/>
                <w:highlight w:val="none"/>
              </w:rPr>
              <w:t xml:space="preserve">显示屏应支持低频闪≤-70dB</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显示屏防炫目</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color w:val="000000"/>
                <w:szCs w:val="21"/>
                <w:highlight w:val="none"/>
              </w:rPr>
            </w:pPr>
            <w:r>
              <w:rPr>
                <w:color w:val="000000"/>
                <w:highlight w:val="none"/>
              </w:rPr>
              <w:t xml:space="preserve">▲</w:t>
            </w:r>
            <w:r>
              <w:rPr>
                <w:rFonts w:hint="eastAsia" w:ascii="宋体" w:hAnsi="宋体"/>
                <w:color w:val="000000"/>
                <w:szCs w:val="21"/>
                <w:highlight w:val="none"/>
              </w:rPr>
              <w:t xml:space="preserve">显示屏镜面反射率≤9%</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外设规格</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传声器数量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Style w:val="1027"/>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39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扬声器数量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Style w:val="1027"/>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鼠标数量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≥1个</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键盘数量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≥1个</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摄像头数量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光驱数量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键盘按键数目</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61键/86键/101键/104键等</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摄像头像素</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摄像头分辨率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扬声器功率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扬声器频率范围</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49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扬声器总谐波失真</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扬声器最大声压级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键盘连接方式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有线</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键盘键程</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2.3mm~4.0mm</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键盘按键压力</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按键压力应在0.54N±0.14N</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有线键盘连接线</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≥1.5米</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键盘颜色</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黑色/白色/银色等商务色系</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键盘其他要求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键盘外观结构、连接方式、主要功能、安全、电磁兼容性、可靠性应符合GB/T14081的相关规定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鼠标连接方式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有线</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有线鼠标连接线</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≥1.5米</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59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鼠标DPI分辨率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800~1600</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鼠标颜色</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黑色/银色/白色等商务色系</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鼠标其他要求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其它参数应符合GB/T26245的相关规定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内置光驱</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网络设备规格</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有线网卡数量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≥1</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无线网卡及天线数量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单无线网卡天线数量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highlight w:val="none"/>
              </w:rPr>
              <w:t xml:space="preserve">无要求</w:t>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外部接口规格</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USB接口数量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≥5个USB 3.0，其中≥1个USB 3.0 Type-C接口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USB母座接口要求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视频接口数量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≥3（至少包含1个HDMI、1个DP接口）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69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音频接口数量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≥1（至少包含前置1个耳机麦克风组合插孔）</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存储卡接口数量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none" w:color="000000" w:sz="4"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整机基础规格</w:t>
            </w:r>
            <w:r/>
          </w:p>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整机外观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a)产品表面不应有凹痕、划伤、裂缝、变形和污染等。表面涂层均匀，不应起泡、龟裂、脱落和磨损，金属零部件无锈蚀及其它机械损伤；b)产品表面说明功能的文字、符号、标志，应清晰、端正、牢固</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none" w:color="000000" w:sz="4"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状态指示灯</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color w:val="000000"/>
                <w:szCs w:val="21"/>
                <w:highlight w:val="none"/>
              </w:rPr>
              <w:t xml:space="preserve">无</w:t>
            </w:r>
            <w:r/>
          </w:p>
        </w:tc>
      </w:tr>
      <w:tr>
        <w:trPr>
          <w:cantSplit/>
          <w:trHeight w:val="29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73</w:t>
            </w:r>
            <w:r/>
          </w:p>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整机结构</w:t>
            </w:r>
            <w:r/>
          </w:p>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a)机箱应符合GB/T4208、GB/T26246的相关规定；</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b)产品内部结构应符合通用部件的安装需求；</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c)所有输入输出接口应符合相关国家或行业标准；</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d)产品零部件应紧固无松动，可插拔部件应可靠连接，开关、按钮和其它控制部件应灵活可靠，布局应方便使用；</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e)所有I/O连接器及需插接线缆的部位应预留采购人操作空间，方便插拔解锁与插拔线缆；</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f)可插拔板卡插槽部位应预留安装、拆卸或更换板卡空间；</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g)拆装可能接触到的金属剪口或金属尖角部位应做防划伤处理，以保证安全；</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h)整机内部走线应规整，固线结构和位置要合理可靠并做防割线处理，需便于理线和插拔操作，走线应不影响系统各主要部件组装和拆卸；</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i)如需通过孔走线，过线孔应做防割线处理；</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j)各插头位置和插拔方向应合理，应做到插拔无障碍设计，具备防呆设计，有效避免误操作；</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k)各主要部件拆装无障碍，使用常规工具拆装，无特殊拆装工具需求；</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l)各主要部件拆装步骤要少，各自拆装需避免相互干扰；</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m)对于整机或零部件外表面为高亮面的，应粘贴保护膜，保护膜需粘贴牢固，运输、组装等过程不易脱落，撕下无残留；</w:t>
            </w:r>
            <w:r/>
          </w:p>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n)其它要求应符合GB/T9813.1的相关规定</w:t>
            </w:r>
            <w:r/>
          </w:p>
        </w:tc>
      </w:tr>
      <w:tr>
        <w:trPr>
          <w:cantSplit/>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74</w:t>
            </w:r>
            <w:r/>
          </w:p>
        </w:tc>
        <w:tc>
          <w:tcPr>
            <w:tcBorders>
              <w:top w:val="single" w:color="000000" w:sz="8" w:space="0"/>
              <w:left w:val="single" w:color="000000" w:sz="8"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single" w:color="000000" w:sz="8"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机箱防护要求</w:t>
            </w:r>
            <w:r/>
          </w:p>
        </w:tc>
        <w:tc>
          <w:tcPr>
            <w:tcBorders>
              <w:top w:val="single" w:color="000000" w:sz="8" w:space="0"/>
              <w:left w:val="single" w:color="000000" w:sz="8"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机箱应符合GB/T4208中IP20防护要求</w:t>
            </w:r>
            <w:r/>
          </w:p>
        </w:tc>
      </w:tr>
      <w:tr>
        <w:trPr>
          <w:cantSplit/>
          <w:trHeight w:val="20"/>
        </w:trPr>
        <w:tc>
          <w:tcPr>
            <w:tcBorders>
              <w:top w:val="single" w:color="000000" w:sz="8"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75</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single" w:color="000000" w:sz="8" w:space="0"/>
              <w:left w:val="single" w:color="000000" w:sz="8" w:space="0"/>
              <w:bottom w:val="none" w:color="000000" w:sz="4"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整机噪音</w:t>
            </w:r>
            <w:r/>
          </w:p>
        </w:tc>
        <w:tc>
          <w:tcPr>
            <w:tcBorders>
              <w:top w:val="single" w:color="000000" w:sz="8"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color w:val="000000"/>
                <w:highlight w:val="none"/>
              </w:rPr>
              <w:t xml:space="preserve">▲</w:t>
            </w:r>
            <w:r>
              <w:rPr>
                <w:rFonts w:hint="eastAsia" w:ascii="宋体" w:hAnsi="宋体"/>
                <w:color w:val="000000"/>
                <w:szCs w:val="21"/>
                <w:highlight w:val="none"/>
              </w:rPr>
              <w:t xml:space="preserve">产品工作在空闲状态下，产品的声功率级应不超过 1.8 Bel</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none" w:color="000000" w:sz="4"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整机散热</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在环境温度25℃及处理器满载情况下，产品表面温度应符合如下要求：a)出风口在机箱后面板情况下，出风口温度不高于55℃;b)可触及面温度不高于45℃;c)显示器表面温度：显示屏不高于38℃,显示屏上下灯带位置温度（如涉及）不高于40℃,出风口温度不高于45℃</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none" w:color="000000" w:sz="4"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整机能效限定值</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产品能效限定值应达到GB28380-2012标准中能效等级2级及以上</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none" w:color="000000" w:sz="4"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机身材质</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塑料/金属等</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79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none" w:color="000000" w:sz="4"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机身颜色</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灰色/黑色等商务色系</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产品规格</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机箱尺寸容量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机箱体积≤9L</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CPU性能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CPU物理核数</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sz w:val="20"/>
                <w:szCs w:val="20"/>
                <w:highlight w:val="none"/>
                <w:u w:val="single"/>
              </w:rPr>
              <w:t xml:space="preserve">物理核心数</w:t>
            </w:r>
            <w:r>
              <w:rPr>
                <w:rFonts w:hint="eastAsia" w:ascii="宋体" w:hAnsi="宋体"/>
                <w:i/>
                <w:iCs/>
                <w:color w:val="000000"/>
                <w:szCs w:val="21"/>
                <w:highlight w:val="none"/>
                <w:u w:val="single"/>
              </w:rPr>
              <w:t xml:space="preserve">≥6</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CPU主频</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≥3.0 GHz</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CPU末级缓存容量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≥18MB</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CPU支持的内存最高速率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≥3200MT/s</w:t>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内存性能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内存读写速率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≥3200MT/s</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显卡性能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显示分辨率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≥1920x1080</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显卡显示芯片核心频率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≥300MHz</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显存等效频率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color w:val="000000"/>
                <w:szCs w:val="21"/>
                <w:highlight w:val="none"/>
              </w:rPr>
              <w:t xml:space="preserve">≥1000MT/s</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89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显卡可支持多屏同时显示数量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显卡应支持2块屏幕同时显示，分辨率应不低于1920×1080</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显示设备性能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显示屏刷新率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color w:val="000000"/>
                <w:highlight w:val="none"/>
              </w:rPr>
              <w:t xml:space="preserve">▲</w:t>
            </w:r>
            <w:r>
              <w:rPr>
                <w:rFonts w:hint="eastAsia" w:ascii="宋体" w:hAnsi="宋体"/>
                <w:color w:val="000000"/>
                <w:szCs w:val="21"/>
                <w:highlight w:val="none"/>
              </w:rPr>
              <w:t xml:space="preserve">≥100Hz</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显示屏位深</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≥8位</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显示屏色域</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color w:val="000000"/>
                <w:szCs w:val="21"/>
                <w:highlight w:val="none"/>
              </w:rPr>
            </w:pPr>
            <w:r>
              <w:rPr>
                <w:rFonts w:hint="eastAsia" w:ascii="宋体" w:hAnsi="宋体"/>
                <w:color w:val="000000"/>
                <w:szCs w:val="21"/>
                <w:highlight w:val="none"/>
              </w:rPr>
              <w:t xml:space="preserve">≥72% NTSC/≥99% SRGB</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显示屏色准</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color w:val="000000"/>
                <w:highlight w:val="none"/>
              </w:rPr>
              <w:t xml:space="preserve">▲</w:t>
            </w:r>
            <w:r>
              <w:rPr>
                <w:rFonts w:hint="eastAsia" w:ascii="宋体" w:hAnsi="宋体"/>
                <w:color w:val="000000"/>
                <w:szCs w:val="21"/>
                <w:highlight w:val="none"/>
              </w:rPr>
              <w:t xml:space="preserve">△E≤4</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显示屏响应时间</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≥5ms</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显示屏亮度</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≥250尼特</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显示屏亮度一致性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≥70%</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显示屏对比度</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color w:val="000000"/>
                <w:highlight w:val="none"/>
              </w:rPr>
              <w:t xml:space="preserve">▲</w:t>
            </w:r>
            <w:r>
              <w:rPr>
                <w:rFonts w:hint="eastAsia" w:ascii="宋体" w:hAnsi="宋体"/>
                <w:color w:val="000000"/>
                <w:szCs w:val="21"/>
                <w:highlight w:val="none"/>
              </w:rPr>
              <w:t xml:space="preserve">≥4000：1（静态对比度）</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显示屏其他参数</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VA/IPS显示面板</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99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网络设备性能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有线网卡速率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最高速率应不低于1000Mbps，应支持10Mbps、100Mbps、1000Mbps速率自适应</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支持无线网络通信技术协议</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性能要求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无线网卡频宽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主板功能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内存扩展接口(板载内存不涉及)</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≥2个</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存储扩展接口(板载存储不涉及)</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≥2个M.2接口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主板USB瞬间过流保护</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支持有瞬间过流保护功能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主板防静电保护</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支持防静电保护功能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I/O接口功能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提供基于标准USB接口外设连接功能、基于音频输入输出接口的音频扩展功能、基于PCIe接口板卡扩展功能、基于HDMI或VGA或Type-C或DVI或DP等接口外接显示器扩展功能、基于存储接口对产品进行增容功能等。产品I/O接口，应具备外接标准USB设备、显示器、音频设备等内外部设备能力</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显卡功能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显卡外接显示接口</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显卡至少支持VGA、HDMI、DVI、DP、Type-C中1种显示接口，并与显示器接口相匹配</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独立显卡数量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≥0</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109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显示设备功能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显示器接口</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显示器应与显卡外接显示接口匹配</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显示器支架</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显示器应提供显示器支架</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显示器参数调节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a)提供OSD选单按钮用于调节色彩、模式等；b)支持色温、亮度、对比度调节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外设功能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摄像头物理隐私保护开关</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支持物理隐私保护开关</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传声器降噪</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支持降噪功能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键盘背光</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光驱功能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存储功能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存储功能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通过SATA固态存储/PCIe固态存储/UFS固态存储/SATA硬磁盘等存储部件提供存储功能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内置控制器固态存储加密</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固态存储通过内置控制器硬件支持加密，不依赖处理器，保障数据安全性，但不得影响存储性能。a)支持加密功能，且加密功能开启不影响SSD读写性能；b)支持固件加密、安全启动和安全升级；c)支持数据的安全擦除</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网络设备功能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网络功能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a)支持网络连接、网络开启/关闭功能；b)支持访问网络和数据交换功能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119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无线网卡频段</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支持双频段</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120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物理开关</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支持网络设备物理开关</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121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数据传输</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支持数据传输能力，并提供数据流量和异常日志记录功能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122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蓝牙协议</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若支持蓝牙模块，蓝牙协议不低于5.0版本</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123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有线网卡接口类型</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支持RJ45接口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124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无线网卡标准</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若配备无线网卡，产品应符合GB15629.11所有部分</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125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网络设备拆装</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网络设备支持物理拆装，包括无线网卡和蓝牙模块等</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126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外部接口功能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音频接口类型</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支持3.5mm孔径3段式或4段式接口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t xml:space="preserve">127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视频接口类型</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至少包含1个VGA接口，1个HDMI接口 </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128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HDMI、DP、Type-C显示接口要求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提供HDMI或DP或Type-C作为显示接口，应支持音频和视频同步输出</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129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其他接口</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a)支持串行接口，可实现GB/T6107的功能；b)支持并行接口，可实现GB/T18235.1的功能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130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存储卡接口类型</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支持SD、TF等存储卡接口</w:t>
            </w:r>
            <w:r/>
          </w:p>
        </w:tc>
      </w:tr>
      <w:tr>
        <w:trPr>
          <w:cantSplit/>
          <w:trHeight w:val="20"/>
        </w:trPr>
        <w:tc>
          <w:tcPr>
            <w:tcBorders>
              <w:top w:val="none" w:color="000000" w:sz="4" w:space="0"/>
              <w:left w:val="single" w:color="000000" w:sz="8" w:space="0"/>
              <w:bottom w:val="none" w:color="000000" w:sz="4" w:space="0"/>
              <w:right w:val="single" w:color="000000" w:sz="8" w:space="0"/>
            </w:tcBorders>
            <w:tcW w:w="578" w:type="dxa"/>
            <w:vAlign w:val="center"/>
            <w:vMerge w:val="restart"/>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131</w:t>
            </w:r>
            <w:r/>
          </w:p>
        </w:tc>
        <w:tc>
          <w:tcPr>
            <w:tcBorders>
              <w:top w:val="none" w:color="000000" w:sz="4" w:space="0"/>
              <w:left w:val="none" w:color="000000" w:sz="4" w:space="0"/>
              <w:bottom w:val="none" w:color="000000" w:sz="4" w:space="0"/>
              <w:right w:val="single" w:color="000000" w:sz="8" w:space="0"/>
            </w:tcBorders>
            <w:tcW w:w="709"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none" w:color="000000" w:sz="4" w:space="0"/>
              <w:bottom w:val="none" w:color="000000" w:sz="4"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电源功能</w:t>
            </w:r>
            <w:r/>
          </w:p>
        </w:tc>
        <w:tc>
          <w:tcPr>
            <w:tcBorders>
              <w:top w:val="single" w:color="000000" w:sz="8" w:space="0"/>
              <w:left w:val="none" w:color="000000" w:sz="4" w:space="0"/>
              <w:bottom w:val="single" w:color="000000" w:sz="4"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电源线适配能力</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电源适配器电线组件应符合GB/T15934的要求， </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vMerge w:val="continue"/>
            <w:textDirection w:val="lrTb"/>
            <w:noWrap w:val="false"/>
          </w:tcPr>
          <w:p>
            <w:pPr>
              <w:jc w:val="righ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709"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电源功率</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电源≥180W</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132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操作系统及软件功能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中文信息处理要求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符合国际通用标准或者国家标准要求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133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操作系统备份及还原功能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b/>
                <w:bCs/>
                <w:i/>
                <w:iCs/>
                <w:color w:val="000000"/>
                <w:szCs w:val="21"/>
                <w:highlight w:val="none"/>
                <w:u w:val="singl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134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固件备份还原能力</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支持备份及还原固件的功能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135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操作系统及驱动升级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支持通过网络、闪存盘等方式对操作系统、驱动进行升级</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136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固件升级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支持通过网络、闪存盘等方式对固件进行升级</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137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BIOS支持关闭通讯接口</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支持BIOS关闭以太网及USB接口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138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固件查看信息</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支持查看固件版本、内存信息、主板信息、处理器信息和系统时间信息等功能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139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固件设置启动顺序</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支持设置启动顺序功能，并按照设置的启动顺序启动</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140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固件设置口令</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支持设置口令、修改口令、验证口令功能</w:t>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141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固件设置网络引导</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支持网络引导启动和关闭功能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142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生物识别功能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指纹识别</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143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人脸识别</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144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静脉识别</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无要求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145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硬件加速功能</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NPU/GPU等AI加速模块</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支持NPU/GPU等AI加速模块</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146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视频编解码加速模块</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支持视频编解码加速模块</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147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功能要求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影像处理加速模块</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color w:val="000000"/>
                <w:szCs w:val="21"/>
                <w:highlight w:val="none"/>
              </w:rPr>
            </w:pPr>
            <w:r>
              <w:rPr>
                <w:rFonts w:hint="eastAsia" w:ascii="宋体" w:hAnsi="宋体"/>
                <w:color w:val="000000"/>
                <w:szCs w:val="21"/>
                <w:highlight w:val="none"/>
              </w:rPr>
              <w:t xml:space="preserve">支持影像处理加速模块</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148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存储设备可靠性</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固态存储寿命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spacing w:line="360" w:lineRule="auto"/>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TBW≥80TB</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149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机械硬盘寿命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color w:val="000000"/>
                <w:szCs w:val="21"/>
                <w:highlight w:val="none"/>
              </w:rPr>
              <w:t xml:space="preserve">无要求</w:t>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显示设备可靠性</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显示屏屏幕失效点</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符合GB/T9813.2的要求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151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外设可靠性</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键盘按键寿命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≥1000万次</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152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鼠标按键寿命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≥500万次</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153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键盘鼠标线材寿命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键盘鼠标所用线材经±60°弯折不低于3000次，功能、外观完好</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154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风扇寿命</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≥4万小时</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155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整机可靠性要求</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电磁兼容性要求的抗扰度</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符合GB/T9254.2的规定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156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环境条件要求的气候环境适应性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符合GB/T9813.1中规定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157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环境条件要求的振动适应性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符合GB/T9813.1中规定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158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环境条件要求的冲击适应性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符合GB/T9813.1中规定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159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环境条件要求的碰撞适应性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符合GB/T9813.1中规定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160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环境条件要求的运输包装件跌落适应性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符合GB/T9813.1中规定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161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可靠性要求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MTBF测试</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MTBF(m1)≥120万小时</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162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兼容要求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兼容要求</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常用软件兼容</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color w:val="000000"/>
                <w:szCs w:val="21"/>
                <w:highlight w:val="none"/>
              </w:rPr>
              <w:t xml:space="preserve">支持流式软件、版式软件、浏览器、邮件采购人端、解压软件、多媒体、图形图像处理等常用软件</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163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兼容要求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数据库兼容</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兼容3个及以上厂商的数据库产品</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164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兼容要求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中间件兼容</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兼容3个及以上厂商中间件产品</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165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兼容要求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平台软件兼容</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兼容3个及以上厂商云计算及大数据平台</w:t>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166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包装及运输要求</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包装及运输要求</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标志、包装、运输和贮存</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符合GB/T9813.1和商品包装政府采购需求标准的相关规定</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167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配置检查工具</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供应商提供自检测试工具</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168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服务响应</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a)供应商提供电话、电子邮件、远程连接等多种形式服务；b)供应商提供同城4h、异地12h技术响应服务，2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169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服务周期</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a)设备停产后应继续提供质量保障服务（含备品备件），服务终止时间与最后一批设备交付时间间隔不低于3年；b)产品停止服务时间应提前1年告知；c)应明确产品发布日期</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170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预装操作系统</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预装符合桌面操作系统政府采购需求标准的正版操作系统</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171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培训服务</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供应商提供培训材料、产品手册、培训视频等培训相关内容</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172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典型问题解决手册</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供应商提供典型问题解决说明文档或视频</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173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厂家升级软件与扩容服务</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供应商提供上门升级部件/软件与扩容的增值服务</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174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整机质量服务要求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服务周期（含换件和维修）应不少于3年，费用包含在投标总价中（供应商承诺中标后提供并加盖公章）</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175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合格证书要求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供应商提供产品合格证</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176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开箱组装/使用指导要求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供应商提供开箱组装/使用指导</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177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驱动下载服务要求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供应商提供驱动光盘或下载方式</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178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兼容适配软件下载服务要求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szCs w:val="21"/>
                <w:highlight w:val="none"/>
                <w:u w:val="single"/>
              </w:rPr>
              <w:t xml:space="preserve">供应商提供兼容适配软件下载渠道（光盘、网站）</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179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服务要求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跨架构平台应用兼容</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供应商提供跨架构平台的应用兼容工具，支持一种或者一种以上不同架构平台的应用</w:t>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180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供应保障要求</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供应链合规性</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产品部件保障</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i/>
                <w:iCs/>
                <w:color w:val="000000"/>
                <w:highlight w:val="none"/>
                <w:u w:val="single"/>
              </w:rPr>
              <w:t xml:space="preserve">供应商保障产品主要部件，提供3年的备件服务能力（自购买之日起），或提供可兼容原设备的升级换代产品</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181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供应保障要求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供应链质量</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抗干扰性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当产品部件出现供应风险时，供应商应通知采购人并提供风险应对方案确保产品的服务保障</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182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供应保障要求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供应能力证明</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供应商提供供应链稳定承诺，确保产品的部件在产品服务周期内稳定供货</w:t>
            </w:r>
            <w:r/>
          </w:p>
        </w:tc>
      </w:tr>
      <w:tr>
        <w:trPr>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183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安全要求</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关键部件安全要求</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关键部件安全要求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color w:val="000000"/>
                <w:szCs w:val="21"/>
                <w:highlight w:val="none"/>
              </w:rPr>
              <w:t xml:space="preserve">无</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184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安全要求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整机安全性要求</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密码算法实现</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ascii="宋体" w:hAnsi="宋体"/>
                <w:i/>
                <w:iCs/>
                <w:color w:val="000000"/>
                <w:szCs w:val="21"/>
                <w:highlight w:val="none"/>
                <w:u w:val="single"/>
              </w:rPr>
              <w:t xml:space="preserve">CPU芯片应符合国际通用标准或者国家标准要求</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185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安全要求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USB端口管控</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支持USB端口管控</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186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安全要求</w:t>
            </w:r>
            <w:r/>
          </w:p>
        </w:tc>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安全物理锁</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支持安全物理锁</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187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安全要求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信息安全基本要求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a)产品应符合GB/T39276的5.2的规定；b)生产厂商应建立漏洞跟踪表，保证产品版本涉及到的漏洞(如驱动程序等)可查看；c)产品不得包含已知的恶意代码或漏洞，不存在未声明的指令、功能、接口</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188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安全要求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固件安全启动</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i/>
                <w:iCs/>
                <w:color w:val="000000"/>
                <w:szCs w:val="21"/>
                <w:highlight w:val="none"/>
                <w:u w:val="single"/>
              </w:rPr>
            </w:pPr>
            <w:r>
              <w:rPr>
                <w:rFonts w:hint="eastAsia" w:ascii="宋体" w:hAnsi="宋体"/>
                <w:i/>
                <w:iCs/>
                <w:color w:val="000000"/>
                <w:szCs w:val="21"/>
                <w:highlight w:val="none"/>
                <w:u w:val="single"/>
              </w:rPr>
              <w:t xml:space="preserve">支持固件安全启动功能，固件启动过程中只有通过启动校验才能正常启动</w:t>
            </w:r>
            <w:r/>
          </w:p>
        </w:tc>
      </w:tr>
      <w:tr>
        <w:trPr>
          <w:cantSplit/>
          <w:trHeight w:val="20"/>
        </w:trPr>
        <w:tc>
          <w:tcPr>
            <w:tcBorders>
              <w:top w:val="none" w:color="000000" w:sz="4" w:space="0"/>
              <w:left w:val="single" w:color="000000" w:sz="8" w:space="0"/>
              <w:bottom w:val="single" w:color="000000" w:sz="8" w:space="0"/>
              <w:right w:val="single" w:color="000000" w:sz="8" w:space="0"/>
            </w:tcBorders>
            <w:tcW w:w="578"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 w:val="22"/>
                <w:highlight w:val="none"/>
              </w:rPr>
              <w:t xml:space="preserve">189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安全要求</w:t>
            </w:r>
            <w:r/>
          </w:p>
        </w:tc>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jc w:val="left"/>
              <w:widowControl/>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W w:w="1429" w:type="dxa"/>
            <w:vAlign w:val="center"/>
            <w:textDirection w:val="lrTb"/>
            <w:noWrap w:val="false"/>
          </w:tcPr>
          <w:p>
            <w:pPr>
              <w:widowControl/>
              <w:rPr>
                <w:rFonts w:hint="eastAsia" w:ascii="宋体" w:hAnsi="宋体"/>
                <w:color w:val="000000"/>
                <w:szCs w:val="21"/>
                <w:highlight w:val="none"/>
              </w:rPr>
            </w:pPr>
            <w:r>
              <w:rPr>
                <w:rFonts w:hint="eastAsia" w:ascii="宋体" w:hAnsi="宋体"/>
                <w:color w:val="000000"/>
                <w:szCs w:val="21"/>
                <w:highlight w:val="none"/>
              </w:rPr>
              <w:t xml:space="preserve">限用物质的限量要求</w:t>
            </w:r>
            <w:r/>
          </w:p>
        </w:tc>
        <w:tc>
          <w:tcPr>
            <w:tcBorders>
              <w:top w:val="none" w:color="000000" w:sz="4" w:space="0"/>
              <w:left w:val="none" w:color="000000" w:sz="4" w:space="0"/>
              <w:bottom w:val="single" w:color="000000" w:sz="8" w:space="0"/>
              <w:right w:val="single" w:color="000000" w:sz="8" w:space="0"/>
            </w:tcBorders>
            <w:tcW w:w="4666" w:type="dxa"/>
            <w:vAlign w:val="center"/>
            <w:textDirection w:val="lrTb"/>
            <w:noWrap w:val="false"/>
          </w:tcPr>
          <w:p>
            <w:pPr>
              <w:jc w:val="left"/>
              <w:widowControl/>
              <w:rPr>
                <w:rFonts w:hint="eastAsia" w:ascii="宋体" w:hAnsi="宋体"/>
                <w:b/>
                <w:bCs/>
                <w:i/>
                <w:iCs/>
                <w:color w:val="000000"/>
                <w:szCs w:val="21"/>
                <w:highlight w:val="none"/>
                <w:u w:val="single"/>
              </w:rPr>
            </w:pPr>
            <w:r>
              <w:rPr>
                <w:rFonts w:hint="eastAsia" w:ascii="宋体" w:hAnsi="宋体"/>
                <w:i/>
                <w:iCs/>
                <w:color w:val="000000"/>
                <w:szCs w:val="21"/>
                <w:highlight w:val="none"/>
                <w:u w:val="single"/>
              </w:rPr>
              <w:t xml:space="preserve">符合国际通用标准或者国家标准要求</w:t>
            </w:r>
            <w:r/>
          </w:p>
        </w:tc>
      </w:tr>
    </w:tbl>
    <w:p>
      <w:pPr>
        <w:jc w:val="left"/>
        <w:spacing w:before="312" w:line="360" w:lineRule="auto"/>
        <w:rPr>
          <w:rFonts w:hint="eastAsia" w:ascii="宋体" w:hAnsi="宋体"/>
          <w:b/>
          <w:bCs/>
          <w:sz w:val="24"/>
          <w:szCs w:val="24"/>
          <w:highlight w:val="none"/>
        </w:rPr>
      </w:pPr>
      <w:r>
        <w:rPr>
          <w:rFonts w:hint="eastAsia" w:ascii="宋体" w:hAnsi="宋体"/>
          <w:b/>
          <w:bCs/>
          <w:sz w:val="24"/>
          <w:szCs w:val="24"/>
          <w:highlight w:val="none"/>
        </w:rPr>
        <w:t xml:space="preserve">三、</w:t>
      </w:r>
      <w:r>
        <w:rPr>
          <w:rFonts w:hint="eastAsia" w:ascii="宋体" w:hAnsi="宋体" w:cs="微软雅黑"/>
          <w:b/>
          <w:bCs/>
          <w:color w:val="000000"/>
          <w:sz w:val="24"/>
          <w:szCs w:val="24"/>
          <w:highlight w:val="none"/>
          <w:lang w:bidi="ar"/>
        </w:rPr>
        <w:t xml:space="preserve">除台式电脑以外设备采购清单</w:t>
      </w:r>
      <w:r/>
    </w:p>
    <w:tbl>
      <w:tblPr>
        <w:tblStyle w:val="782"/>
        <w:tblW w:w="9420" w:type="dxa"/>
        <w:tblInd w:w="-15" w:type="dxa"/>
        <w:tblLayout w:type="autofit"/>
        <w:tblCellMar>
          <w:left w:w="108" w:type="dxa"/>
          <w:top w:w="0" w:type="dxa"/>
          <w:right w:w="108" w:type="dxa"/>
          <w:bottom w:w="0" w:type="dxa"/>
        </w:tblCellMar>
        <w:tblLook w:val="04A0" w:firstRow="1" w:lastRow="0" w:firstColumn="1" w:lastColumn="0" w:noHBand="0" w:noVBand="1"/>
      </w:tblPr>
      <w:tblGrid>
        <w:gridCol w:w="681"/>
        <w:gridCol w:w="1201"/>
        <w:gridCol w:w="5103"/>
        <w:gridCol w:w="641"/>
        <w:gridCol w:w="786"/>
        <w:gridCol w:w="1008"/>
      </w:tblGrid>
      <w:tr>
        <w:trPr>
          <w:trHeight w:val="202"/>
        </w:trPr>
        <w:tc>
          <w:tcPr>
            <w:shd w:val="clear" w:color="auto" w:fill="99ccff"/>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jc w:val="center"/>
              <w:widowControl/>
              <w:rPr>
                <w:rFonts w:hint="eastAsia" w:ascii="宋体" w:hAnsi="宋体" w:cs="微软雅黑"/>
                <w:b/>
                <w:bCs/>
                <w:color w:val="000000"/>
                <w:szCs w:val="21"/>
                <w:highlight w:val="none"/>
              </w:rPr>
            </w:pPr>
            <w:r>
              <w:rPr>
                <w:rFonts w:hint="eastAsia" w:ascii="宋体" w:hAnsi="宋体" w:cs="微软雅黑"/>
                <w:b/>
                <w:bCs/>
                <w:color w:val="000000"/>
                <w:szCs w:val="21"/>
                <w:highlight w:val="none"/>
                <w:lang w:bidi="ar"/>
              </w:rPr>
              <w:t xml:space="preserve">序号</w:t>
            </w:r>
            <w:r/>
          </w:p>
        </w:tc>
        <w:tc>
          <w:tcPr>
            <w:shd w:val="clear" w:color="auto" w:fill="99ccff"/>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jc w:val="center"/>
              <w:widowControl/>
              <w:rPr>
                <w:rFonts w:hint="eastAsia" w:ascii="宋体" w:hAnsi="宋体" w:cs="微软雅黑"/>
                <w:b/>
                <w:bCs/>
                <w:color w:val="000000"/>
                <w:szCs w:val="21"/>
                <w:highlight w:val="none"/>
              </w:rPr>
            </w:pPr>
            <w:r>
              <w:rPr>
                <w:rFonts w:hint="eastAsia" w:ascii="宋体" w:hAnsi="宋体" w:cs="微软雅黑"/>
                <w:b/>
                <w:bCs/>
                <w:color w:val="000000"/>
                <w:szCs w:val="21"/>
                <w:highlight w:val="none"/>
                <w:lang w:bidi="ar"/>
              </w:rPr>
              <w:t xml:space="preserve">产品名称</w:t>
            </w:r>
            <w:r/>
          </w:p>
        </w:tc>
        <w:tc>
          <w:tcPr>
            <w:shd w:val="clear" w:color="auto" w:fill="99ccff"/>
            <w:tcBorders>
              <w:top w:val="single" w:color="000000" w:sz="8" w:space="0"/>
              <w:left w:val="single" w:color="000000" w:sz="8" w:space="0"/>
              <w:bottom w:val="single" w:color="000000" w:sz="8" w:space="0"/>
              <w:right w:val="single" w:color="000000" w:sz="8" w:space="0"/>
            </w:tcBorders>
            <w:tcW w:w="5103" w:type="dxa"/>
            <w:vAlign w:val="center"/>
            <w:textDirection w:val="lrTb"/>
            <w:noWrap w:val="false"/>
          </w:tcPr>
          <w:p>
            <w:pPr>
              <w:jc w:val="center"/>
              <w:widowControl/>
              <w:rPr>
                <w:rFonts w:hint="eastAsia" w:ascii="宋体" w:hAnsi="宋体" w:cs="微软雅黑"/>
                <w:b/>
                <w:bCs/>
                <w:color w:val="000000"/>
                <w:szCs w:val="21"/>
                <w:highlight w:val="none"/>
              </w:rPr>
            </w:pPr>
            <w:r>
              <w:rPr>
                <w:rFonts w:hint="eastAsia" w:ascii="宋体" w:hAnsi="宋体" w:cs="微软雅黑"/>
                <w:b/>
                <w:bCs/>
                <w:color w:val="000000"/>
                <w:szCs w:val="21"/>
                <w:highlight w:val="none"/>
                <w:lang w:bidi="ar"/>
              </w:rPr>
              <w:t xml:space="preserve">型号、规格</w:t>
            </w:r>
            <w:r/>
          </w:p>
        </w:tc>
        <w:tc>
          <w:tcPr>
            <w:shd w:val="clear" w:color="auto" w:fill="99ccff"/>
            <w:tcBorders>
              <w:top w:val="single" w:color="000000" w:sz="8" w:space="0"/>
              <w:left w:val="single" w:color="000000" w:sz="8" w:space="0"/>
              <w:bottom w:val="single" w:color="000000" w:sz="8" w:space="0"/>
              <w:right w:val="single" w:color="000000" w:sz="8" w:space="0"/>
            </w:tcBorders>
            <w:tcW w:w="641" w:type="dxa"/>
            <w:vAlign w:val="center"/>
            <w:textDirection w:val="lrTb"/>
            <w:noWrap w:val="false"/>
          </w:tcPr>
          <w:p>
            <w:pPr>
              <w:jc w:val="center"/>
              <w:widowControl/>
              <w:rPr>
                <w:rFonts w:hint="eastAsia" w:ascii="宋体" w:hAnsi="宋体" w:cs="微软雅黑"/>
                <w:b/>
                <w:bCs/>
                <w:color w:val="000000"/>
                <w:szCs w:val="21"/>
                <w:highlight w:val="none"/>
              </w:rPr>
            </w:pPr>
            <w:r>
              <w:rPr>
                <w:rFonts w:hint="eastAsia" w:ascii="宋体" w:hAnsi="宋体" w:cs="微软雅黑"/>
                <w:b/>
                <w:bCs/>
                <w:color w:val="000000"/>
                <w:szCs w:val="21"/>
                <w:highlight w:val="none"/>
                <w:lang w:bidi="ar"/>
              </w:rPr>
              <w:t xml:space="preserve">单位</w:t>
            </w:r>
            <w:r/>
          </w:p>
        </w:tc>
        <w:tc>
          <w:tcPr>
            <w:shd w:val="clear" w:color="auto" w:fill="99ccff"/>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jc w:val="center"/>
              <w:widowControl/>
              <w:rPr>
                <w:rFonts w:hint="eastAsia" w:ascii="宋体" w:hAnsi="宋体" w:cs="微软雅黑"/>
                <w:b/>
                <w:bCs/>
                <w:color w:val="000000"/>
                <w:szCs w:val="21"/>
                <w:highlight w:val="none"/>
              </w:rPr>
            </w:pPr>
            <w:r>
              <w:rPr>
                <w:rFonts w:hint="eastAsia" w:ascii="宋体" w:hAnsi="宋体" w:cs="微软雅黑"/>
                <w:b/>
                <w:bCs/>
                <w:color w:val="000000"/>
                <w:szCs w:val="21"/>
                <w:highlight w:val="none"/>
                <w:lang w:bidi="ar"/>
              </w:rPr>
              <w:t xml:space="preserve">数量</w:t>
            </w:r>
            <w:r/>
          </w:p>
        </w:tc>
        <w:tc>
          <w:tcPr>
            <w:shd w:val="clear" w:color="auto" w:fill="99ccff"/>
            <w:tcBorders>
              <w:top w:val="single" w:color="000000" w:sz="8" w:space="0"/>
              <w:left w:val="single" w:color="000000" w:sz="8" w:space="0"/>
              <w:bottom w:val="single" w:color="000000" w:sz="8" w:space="0"/>
              <w:right w:val="single" w:color="000000" w:sz="8" w:space="0"/>
            </w:tcBorders>
            <w:tcW w:w="1008" w:type="dxa"/>
            <w:vAlign w:val="center"/>
            <w:textDirection w:val="lrTb"/>
            <w:noWrap w:val="false"/>
          </w:tcPr>
          <w:p>
            <w:pPr>
              <w:jc w:val="center"/>
              <w:widowControl/>
              <w:rPr>
                <w:rFonts w:hint="eastAsia" w:ascii="宋体" w:hAnsi="宋体" w:cs="微软雅黑"/>
                <w:b/>
                <w:bCs/>
                <w:color w:val="000000"/>
                <w:szCs w:val="21"/>
                <w:highlight w:val="none"/>
              </w:rPr>
            </w:pPr>
            <w:r>
              <w:rPr>
                <w:rFonts w:hint="eastAsia" w:ascii="宋体" w:hAnsi="宋体" w:cs="微软雅黑"/>
                <w:b/>
                <w:bCs/>
                <w:color w:val="000000"/>
                <w:szCs w:val="21"/>
                <w:highlight w:val="none"/>
                <w:lang w:bidi="ar"/>
              </w:rPr>
              <w:t xml:space="preserve">备注</w:t>
            </w:r>
            <w:r/>
          </w:p>
        </w:tc>
      </w:tr>
      <w:tr>
        <w:trPr>
          <w:trHeight w:val="202"/>
        </w:trPr>
        <w:tc>
          <w:tcPr>
            <w:shd w:val="clear" w:color="auto" w:fill="ffffff"/>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jc w:val="center"/>
              <w:widowControl/>
              <w:rPr>
                <w:rFonts w:hint="eastAsia" w:ascii="宋体" w:hAnsi="宋体" w:cs="微软雅黑"/>
                <w:color w:val="000000"/>
                <w:szCs w:val="21"/>
                <w:highlight w:val="none"/>
              </w:rPr>
            </w:pPr>
            <w:r>
              <w:rPr>
                <w:rFonts w:ascii="宋体" w:hAnsi="宋体" w:cs="微软雅黑"/>
                <w:color w:val="000000"/>
                <w:szCs w:val="21"/>
                <w:highlight w:val="none"/>
                <w:lang w:bidi="ar"/>
              </w:rPr>
              <w:t xml:space="preserve">1</w:t>
            </w:r>
            <w:r/>
          </w:p>
        </w:tc>
        <w:tc>
          <w:tcPr>
            <w:shd w:val="clear" w:color="auto" w:fill="ffffff"/>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实训用：办公笔记本</w:t>
            </w:r>
            <w:r/>
          </w:p>
        </w:tc>
        <w:tc>
          <w:tcPr>
            <w:shd w:val="clear" w:color="auto" w:fill="ffffff"/>
            <w:tcBorders>
              <w:top w:val="single" w:color="000000" w:sz="8" w:space="0"/>
              <w:left w:val="single" w:color="000000" w:sz="8" w:space="0"/>
              <w:bottom w:val="single" w:color="000000" w:sz="8" w:space="0"/>
              <w:right w:val="single" w:color="000000" w:sz="8" w:space="0"/>
            </w:tcBorders>
            <w:tcW w:w="5103" w:type="dxa"/>
            <w:vAlign w:val="center"/>
            <w:textDirection w:val="lrTb"/>
            <w:noWrap w:val="false"/>
          </w:tcPr>
          <w:p>
            <w:pPr>
              <w:ind w:firstLine="420"/>
              <w:rPr>
                <w:rFonts w:hint="eastAsia" w:ascii="宋体" w:hAnsi="宋体"/>
                <w:i/>
                <w:iCs/>
                <w:highlight w:val="none"/>
                <w:u w:val="single"/>
              </w:rPr>
            </w:pPr>
            <w:r>
              <w:rPr>
                <w:rFonts w:hint="eastAsia" w:ascii="宋体" w:hAnsi="宋体"/>
                <w:i/>
                <w:iCs/>
                <w:highlight w:val="none"/>
                <w:u w:val="single"/>
              </w:rPr>
              <w:t xml:space="preserve">1、屏幕尺寸≥14寸</w:t>
            </w:r>
            <w:r/>
          </w:p>
          <w:p>
            <w:pPr>
              <w:ind w:firstLine="420"/>
              <w:rPr>
                <w:rFonts w:hint="eastAsia" w:ascii="宋体" w:hAnsi="宋体"/>
                <w:i/>
                <w:iCs/>
                <w:highlight w:val="none"/>
                <w:u w:val="single"/>
              </w:rPr>
            </w:pPr>
            <w:r>
              <w:rPr>
                <w:rFonts w:hint="eastAsia" w:ascii="宋体" w:hAnsi="宋体"/>
                <w:i/>
                <w:iCs/>
                <w:highlight w:val="none"/>
                <w:u w:val="single"/>
              </w:rPr>
              <w:t xml:space="preserve">2、CPU：核数≥16核，总线程数≥22，基本频率≥1.4Ghz，缓存≥24MB</w:t>
            </w:r>
            <w:r/>
          </w:p>
          <w:p>
            <w:pPr>
              <w:ind w:firstLine="420"/>
              <w:rPr>
                <w:rFonts w:hint="eastAsia" w:ascii="宋体" w:hAnsi="宋体"/>
                <w:i/>
                <w:iCs/>
                <w:highlight w:val="none"/>
                <w:u w:val="single"/>
              </w:rPr>
            </w:pPr>
            <w:r>
              <w:rPr>
                <w:rFonts w:hint="eastAsia" w:ascii="宋体" w:hAnsi="宋体"/>
                <w:i/>
                <w:iCs/>
                <w:highlight w:val="none"/>
                <w:u w:val="single"/>
              </w:rPr>
              <w:t xml:space="preserve">3、内存：≥16G DDR5 </w:t>
            </w:r>
            <w:r/>
          </w:p>
          <w:p>
            <w:pPr>
              <w:ind w:firstLine="420"/>
              <w:rPr>
                <w:rFonts w:hint="eastAsia" w:ascii="宋体" w:hAnsi="宋体"/>
                <w:i/>
                <w:iCs/>
                <w:highlight w:val="none"/>
                <w:u w:val="single"/>
              </w:rPr>
            </w:pPr>
            <w:r>
              <w:rPr>
                <w:rFonts w:hint="eastAsia" w:ascii="宋体" w:hAnsi="宋体"/>
                <w:i/>
                <w:iCs/>
                <w:highlight w:val="none"/>
                <w:u w:val="single"/>
              </w:rPr>
              <w:t xml:space="preserve">4、声卡：主板集成声卡；网卡：主板集成千兆以上网卡</w:t>
            </w:r>
            <w:r/>
          </w:p>
          <w:p>
            <w:pPr>
              <w:ind w:firstLine="420"/>
              <w:rPr>
                <w:rFonts w:hint="eastAsia" w:ascii="宋体" w:hAnsi="宋体"/>
                <w:i/>
                <w:iCs/>
                <w:highlight w:val="none"/>
                <w:u w:val="single"/>
              </w:rPr>
            </w:pPr>
            <w:r>
              <w:rPr>
                <w:rFonts w:hint="eastAsia" w:ascii="宋体" w:hAnsi="宋体"/>
                <w:i/>
                <w:iCs/>
                <w:highlight w:val="none"/>
                <w:u w:val="single"/>
              </w:rPr>
              <w:t xml:space="preserve">5、硬盘：≥512GB SSD</w:t>
            </w:r>
            <w:r/>
          </w:p>
          <w:p>
            <w:pPr>
              <w:ind w:firstLine="420"/>
              <w:rPr>
                <w:rFonts w:hint="eastAsia" w:ascii="宋体" w:hAnsi="宋体"/>
                <w:i/>
                <w:iCs/>
                <w:highlight w:val="none"/>
                <w:u w:val="single"/>
              </w:rPr>
            </w:pPr>
            <w:r>
              <w:rPr>
                <w:rFonts w:hint="eastAsia" w:ascii="宋体" w:hAnsi="宋体"/>
                <w:i/>
                <w:iCs/>
                <w:highlight w:val="none"/>
                <w:u w:val="single"/>
              </w:rPr>
              <w:t xml:space="preserve">6、电池：≥56Wh，3芯电池</w:t>
            </w:r>
            <w:r/>
          </w:p>
          <w:p>
            <w:pPr>
              <w:ind w:firstLine="420"/>
              <w:rPr>
                <w:rFonts w:hint="eastAsia" w:ascii="宋体" w:hAnsi="宋体"/>
                <w:highlight w:val="none"/>
              </w:rPr>
            </w:pPr>
            <w:r>
              <w:rPr>
                <w:rFonts w:hint="eastAsia" w:ascii="宋体" w:hAnsi="宋体"/>
                <w:highlight w:val="none"/>
              </w:rPr>
              <w:t xml:space="preserve">7、集成显卡；</w:t>
            </w:r>
            <w:r/>
          </w:p>
          <w:p>
            <w:pPr>
              <w:ind w:firstLine="420"/>
              <w:rPr>
                <w:rFonts w:hint="eastAsia" w:ascii="宋体" w:hAnsi="宋体"/>
                <w:highlight w:val="none"/>
              </w:rPr>
            </w:pPr>
            <w:r>
              <w:rPr>
                <w:rFonts w:hint="eastAsia" w:ascii="宋体" w:hAnsi="宋体"/>
                <w:highlight w:val="none"/>
              </w:rPr>
              <w:t xml:space="preserve">▲8、接口：≥</w:t>
            </w:r>
            <w:r>
              <w:rPr>
                <w:rFonts w:ascii="宋体" w:hAnsi="宋体"/>
                <w:highlight w:val="none"/>
              </w:rPr>
              <w:t xml:space="preserve">2 个 Thunderbol</w:t>
            </w:r>
            <w:r>
              <w:rPr>
                <w:rFonts w:hint="eastAsia" w:ascii="宋体" w:hAnsi="宋体"/>
                <w:highlight w:val="none"/>
              </w:rPr>
              <w:t xml:space="preserve">t</w:t>
            </w:r>
            <w:r>
              <w:rPr>
                <w:rFonts w:ascii="宋体" w:hAnsi="宋体"/>
                <w:highlight w:val="none"/>
              </w:rPr>
              <w:t xml:space="preserve"> 4 </w:t>
            </w:r>
            <w:r>
              <w:rPr>
                <w:rFonts w:hint="eastAsia" w:ascii="宋体" w:hAnsi="宋体"/>
                <w:highlight w:val="none"/>
              </w:rPr>
              <w:t xml:space="preserve">，≥1</w:t>
            </w:r>
            <w:r>
              <w:rPr>
                <w:rFonts w:ascii="宋体" w:hAnsi="宋体"/>
                <w:highlight w:val="none"/>
              </w:rPr>
              <w:t xml:space="preserve">个USB Type-C 40Gbps 信率端口（USB 充电、DisplayPort 1.4）；</w:t>
            </w:r>
            <w:r>
              <w:rPr>
                <w:rFonts w:hint="eastAsia" w:ascii="宋体" w:hAnsi="宋体"/>
                <w:highlight w:val="none"/>
              </w:rPr>
              <w:t xml:space="preserve">≥</w:t>
            </w:r>
            <w:r>
              <w:rPr>
                <w:rFonts w:ascii="宋体" w:hAnsi="宋体"/>
                <w:highlight w:val="none"/>
              </w:rPr>
              <w:t xml:space="preserve">2 个 USB Type-A 5Gbps 信率端口（2 个充电端口）；</w:t>
            </w:r>
            <w:r>
              <w:rPr>
                <w:rFonts w:hint="eastAsia" w:ascii="宋体" w:hAnsi="宋体"/>
                <w:highlight w:val="none"/>
              </w:rPr>
              <w:t xml:space="preserve">≥</w:t>
            </w:r>
            <w:r>
              <w:rPr>
                <w:rFonts w:ascii="宋体" w:hAnsi="宋体"/>
                <w:highlight w:val="none"/>
              </w:rPr>
              <w:t xml:space="preserve">1 个 HDMI 2.1；</w:t>
            </w:r>
            <w:r>
              <w:rPr>
                <w:rFonts w:hint="eastAsia" w:ascii="宋体" w:hAnsi="宋体"/>
                <w:highlight w:val="none"/>
              </w:rPr>
              <w:t xml:space="preserve">≥</w:t>
            </w:r>
            <w:r>
              <w:rPr>
                <w:rFonts w:ascii="宋体" w:hAnsi="宋体"/>
                <w:highlight w:val="none"/>
              </w:rPr>
              <w:t xml:space="preserve">1 个立体声耳机/麦克风组合插孔</w:t>
            </w:r>
            <w:r/>
          </w:p>
          <w:p>
            <w:pPr>
              <w:ind w:firstLine="420"/>
              <w:rPr>
                <w:rFonts w:hint="eastAsia" w:ascii="宋体" w:hAnsi="宋体"/>
                <w:highlight w:val="none"/>
              </w:rPr>
            </w:pPr>
            <w:r>
              <w:rPr>
                <w:rFonts w:hint="eastAsia" w:ascii="宋体" w:hAnsi="宋体"/>
                <w:highlight w:val="none"/>
              </w:rPr>
              <w:t xml:space="preserve">▲9、重量：≤1.45Kg</w:t>
            </w:r>
            <w:r/>
          </w:p>
        </w:tc>
        <w:tc>
          <w:tcPr>
            <w:shd w:val="clear" w:color="auto" w:fill="ffffff"/>
            <w:tcBorders>
              <w:top w:val="single" w:color="000000" w:sz="8" w:space="0"/>
              <w:left w:val="single" w:color="000000" w:sz="8" w:space="0"/>
              <w:bottom w:val="single" w:color="000000" w:sz="8" w:space="0"/>
              <w:right w:val="single" w:color="000000" w:sz="8" w:space="0"/>
            </w:tcBorders>
            <w:tcW w:w="641" w:type="dxa"/>
            <w:vAlign w:val="center"/>
            <w:textDirection w:val="lrTb"/>
            <w:noWrap w:val="false"/>
          </w:tcPr>
          <w:p>
            <w:pPr>
              <w:jc w:val="center"/>
              <w:widowControl/>
              <w:rPr>
                <w:rFonts w:hint="eastAsia" w:ascii="宋体" w:hAnsi="宋体" w:cs="微软雅黑"/>
                <w:color w:val="000000"/>
                <w:szCs w:val="21"/>
                <w:highlight w:val="none"/>
              </w:rPr>
            </w:pPr>
            <w:r>
              <w:rPr>
                <w:rFonts w:hint="eastAsia" w:ascii="宋体" w:hAnsi="宋体" w:cs="微软雅黑"/>
                <w:color w:val="000000"/>
                <w:szCs w:val="21"/>
                <w:highlight w:val="none"/>
                <w:lang w:bidi="ar"/>
              </w:rPr>
              <w:t xml:space="preserve">台</w:t>
            </w:r>
            <w:r/>
          </w:p>
        </w:tc>
        <w:tc>
          <w:tcPr>
            <w:shd w:val="clear" w:color="auto" w:fill="ffffff"/>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ind w:firstLine="360"/>
              <w:jc w:val="center"/>
              <w:widowControl/>
              <w:rPr>
                <w:rFonts w:hint="eastAsia" w:ascii="宋体" w:hAnsi="宋体" w:cs="微软雅黑"/>
                <w:color w:val="000000"/>
                <w:szCs w:val="21"/>
                <w:highlight w:val="none"/>
              </w:rPr>
            </w:pPr>
            <w:r>
              <w:rPr>
                <w:rFonts w:hint="eastAsia" w:ascii="宋体" w:hAnsi="宋体" w:cs="微软雅黑"/>
                <w:color w:val="000000"/>
                <w:szCs w:val="21"/>
                <w:highlight w:val="none"/>
                <w:lang w:bidi="ar"/>
              </w:rPr>
              <w:t xml:space="preserve">1</w:t>
            </w:r>
            <w:r/>
          </w:p>
        </w:tc>
        <w:tc>
          <w:tcPr>
            <w:shd w:val="clear" w:color="auto" w:fill="ffffff"/>
            <w:tcBorders>
              <w:top w:val="single" w:color="000000" w:sz="8" w:space="0"/>
              <w:left w:val="single" w:color="000000" w:sz="8" w:space="0"/>
              <w:bottom w:val="single" w:color="000000" w:sz="8" w:space="0"/>
              <w:right w:val="single" w:color="000000" w:sz="8" w:space="0"/>
            </w:tcBorders>
            <w:tcW w:w="1008" w:type="dxa"/>
            <w:vAlign w:val="center"/>
            <w:textDirection w:val="lrTb"/>
            <w:noWrap w:val="false"/>
          </w:tcPr>
          <w:p>
            <w:pPr>
              <w:ind w:firstLine="360"/>
              <w:jc w:val="left"/>
              <w:rPr>
                <w:rFonts w:hint="eastAsia" w:ascii="宋体" w:hAnsi="宋体"/>
                <w:color w:val="000000"/>
                <w:szCs w:val="21"/>
                <w:highlight w:val="none"/>
              </w:rPr>
            </w:pPr>
            <w:r>
              <w:rPr>
                <w:rFonts w:hint="eastAsia" w:ascii="宋体" w:hAnsi="宋体"/>
                <w:color w:val="000000"/>
                <w:szCs w:val="21"/>
                <w:highlight w:val="none"/>
              </w:rPr>
            </w:r>
            <w:r/>
          </w:p>
        </w:tc>
      </w:tr>
      <w:tr>
        <w:trPr>
          <w:trHeight w:val="202"/>
        </w:trPr>
        <w:tc>
          <w:tcPr>
            <w:shd w:val="clear" w:color="auto" w:fill="ffffff"/>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jc w:val="center"/>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软件、技术支持</w:t>
            </w:r>
            <w:r/>
          </w:p>
        </w:tc>
        <w:tc>
          <w:tcPr>
            <w:shd w:val="clear" w:color="auto" w:fill="ffffff"/>
            <w:tcBorders>
              <w:top w:val="single" w:color="000000" w:sz="8" w:space="0"/>
              <w:left w:val="single" w:color="000000" w:sz="8" w:space="0"/>
              <w:bottom w:val="single" w:color="000000" w:sz="8" w:space="0"/>
              <w:right w:val="single" w:color="000000" w:sz="8" w:space="0"/>
            </w:tcBorders>
            <w:tcW w:w="5103" w:type="dxa"/>
            <w:vAlign w:val="center"/>
            <w:textDirection w:val="lrTb"/>
            <w:noWrap w:val="false"/>
          </w:tcPr>
          <w:p>
            <w:pPr>
              <w:ind w:firstLine="420"/>
              <w:jc w:val="left"/>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一、提供一份提词器软件，能实现以下功能：</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AI智能语音跟读：核心亮点，麦克风识别语速，字幕自动同步滚动，告别手动调速，适合走动或语速多变场景。App端还支持离线使用。</w:t>
            </w:r>
            <w:r/>
          </w:p>
          <w:p>
            <w:pPr>
              <w:ind w:firstLine="420"/>
              <w:jc w:val="left"/>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w:t>
            </w:r>
            <w:r>
              <w:rPr>
                <w:rFonts w:ascii="宋体" w:hAnsi="宋体" w:cs="微软雅黑"/>
                <w:color w:val="000000"/>
                <w:szCs w:val="21"/>
                <w:highlight w:val="none"/>
                <w:lang w:bidi="ar"/>
              </w:rPr>
              <w:t xml:space="preserve"> 灵活稿件导入与编辑：支持Word、PPT、TXT、图片、视频等多种格式，无需复制粘贴可直接导入，并支持在播放窗口实时修改内容。</w:t>
            </w:r>
            <w:r/>
          </w:p>
          <w:p>
            <w:pPr>
              <w:ind w:firstLine="420"/>
              <w:jc w:val="left"/>
              <w:widowControl/>
              <w:rPr>
                <w:rFonts w:hint="eastAsia" w:ascii="宋体" w:hAnsi="宋体" w:cs="微软雅黑"/>
                <w:color w:val="000000"/>
                <w:szCs w:val="21"/>
                <w:highlight w:val="none"/>
                <w:lang w:bidi="ar"/>
              </w:rPr>
            </w:pPr>
            <w:r/>
            <w:bookmarkStart w:id="344" w:name="OLE_LINK3"/>
            <w:r>
              <w:rPr>
                <w:rFonts w:hint="eastAsia" w:ascii="宋体" w:hAnsi="宋体" w:cs="微软雅黑"/>
                <w:color w:val="000000"/>
                <w:szCs w:val="21"/>
                <w:highlight w:val="none"/>
                <w:lang w:bidi="ar"/>
              </w:rPr>
              <w:t xml:space="preserve">·</w:t>
            </w:r>
            <w:bookmarkEnd w:id="344"/>
            <w:r>
              <w:rPr>
                <w:rFonts w:ascii="宋体" w:hAnsi="宋体" w:cs="微软雅黑"/>
                <w:color w:val="000000"/>
                <w:szCs w:val="21"/>
                <w:highlight w:val="none"/>
                <w:lang w:bidi="ar"/>
              </w:rPr>
              <w:t xml:space="preserve"> 个性化显示设置：字体、字号、字色、背景色任意搭配，支持多角色分色显示，并内置一键镜像翻转功能。</w:t>
            </w:r>
            <w:r/>
          </w:p>
          <w:p>
            <w:pPr>
              <w:ind w:firstLine="420"/>
              <w:jc w:val="left"/>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w:t>
            </w:r>
            <w:r>
              <w:rPr>
                <w:rFonts w:ascii="宋体" w:hAnsi="宋体" w:cs="微软雅黑"/>
                <w:color w:val="000000"/>
                <w:szCs w:val="21"/>
                <w:highlight w:val="none"/>
                <w:lang w:bidi="ar"/>
              </w:rPr>
              <w:t xml:space="preserve"> 多平台兼容与设备控制：兼容Win/Mac及iOS/安卓设备。提供键盘、鼠标、遥控、脚踏等多种控制方式，硬件上还支持一键调屏，摆脱软件依赖。</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二</w:t>
            </w:r>
            <w:r>
              <w:rPr>
                <w:rFonts w:hint="eastAsia" w:ascii="宋体" w:hAnsi="宋体" w:cs="微软雅黑"/>
                <w:color w:val="000000"/>
                <w:szCs w:val="21"/>
                <w:highlight w:val="none"/>
                <w:lang w:bidi="ar"/>
              </w:rPr>
              <w:t xml:space="preserve">、</w:t>
            </w:r>
            <w:r>
              <w:rPr>
                <w:rFonts w:ascii="宋体" w:hAnsi="宋体" w:cs="微软雅黑"/>
                <w:color w:val="000000"/>
                <w:szCs w:val="21"/>
                <w:highlight w:val="none"/>
                <w:lang w:bidi="ar"/>
              </w:rPr>
              <w:t xml:space="preserve">提供剪映剪辑软件</w:t>
            </w:r>
            <w:r>
              <w:rPr>
                <w:rFonts w:hint="eastAsia" w:ascii="宋体" w:hAnsi="宋体" w:cs="微软雅黑"/>
                <w:color w:val="000000"/>
                <w:szCs w:val="21"/>
                <w:highlight w:val="none"/>
                <w:lang w:bidi="ar"/>
              </w:rPr>
              <w:t xml:space="preserve">S</w:t>
            </w:r>
            <w:r>
              <w:rPr>
                <w:rFonts w:ascii="宋体" w:hAnsi="宋体" w:cs="微软雅黑"/>
                <w:color w:val="000000"/>
                <w:szCs w:val="21"/>
                <w:highlight w:val="none"/>
                <w:lang w:bidi="ar"/>
              </w:rPr>
              <w:t xml:space="preserve">VIP会员账号1</w:t>
            </w:r>
            <w:r>
              <w:rPr>
                <w:rFonts w:hint="eastAsia" w:ascii="宋体" w:hAnsi="宋体" w:cs="微软雅黑"/>
                <w:color w:val="000000"/>
                <w:szCs w:val="21"/>
                <w:highlight w:val="none"/>
                <w:lang w:bidi="ar"/>
              </w:rPr>
              <w:t xml:space="preserve">个（连续3年），能满足以下功能：</w:t>
            </w:r>
            <w:r/>
          </w:p>
          <w:p>
            <w:pPr>
              <w:ind w:firstLine="420"/>
              <w:jc w:val="left"/>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 该账号最多可同时登陆5台设备，其中：至多可在2台电脑上同时进行编辑，可以在至多3台手机或平板上进行使用。</w:t>
            </w:r>
            <w:r/>
          </w:p>
          <w:p>
            <w:pPr>
              <w:ind w:firstLine="420"/>
              <w:jc w:val="left"/>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w:t>
            </w:r>
            <w:r>
              <w:rPr>
                <w:rFonts w:ascii="宋体" w:hAnsi="宋体" w:cs="微软雅黑"/>
                <w:color w:val="000000"/>
                <w:szCs w:val="21"/>
                <w:highlight w:val="none"/>
                <w:lang w:bidi="ar"/>
              </w:rPr>
              <w:t xml:space="preserve"> AI智能创作：全能剪辑助手。包含一键成片、数字人合成（如AI主播）、智能字幕/翻译/美颜美体及镜头追踪。</w:t>
            </w:r>
            <w:r/>
          </w:p>
          <w:p>
            <w:pPr>
              <w:ind w:firstLine="420"/>
              <w:jc w:val="left"/>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w:t>
            </w:r>
            <w:r>
              <w:rPr>
                <w:rFonts w:ascii="宋体" w:hAnsi="宋体" w:cs="微软雅黑"/>
                <w:color w:val="000000"/>
                <w:szCs w:val="21"/>
                <w:highlight w:val="none"/>
                <w:lang w:bidi="ar"/>
              </w:rPr>
              <w:t xml:space="preserve"> 高清导出与素材库：专业画质无忧。支持最高4K 60fps无水印导出；享有1TB云空间及海量特效、贴纸、花字等。</w:t>
            </w:r>
            <w:r/>
          </w:p>
          <w:p>
            <w:pPr>
              <w:ind w:firstLine="420"/>
              <w:jc w:val="left"/>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w:t>
            </w:r>
            <w:r>
              <w:rPr>
                <w:rFonts w:ascii="宋体" w:hAnsi="宋体" w:cs="微软雅黑"/>
                <w:color w:val="000000"/>
                <w:szCs w:val="21"/>
                <w:highlight w:val="none"/>
                <w:lang w:bidi="ar"/>
              </w:rPr>
              <w:t xml:space="preserve"> 多端协作与云空间：跨设备无缝衔接。支持手机、电脑、平板三端通用和自动同步；享有优先渲染和客服特权。</w:t>
            </w:r>
            <w:r/>
          </w:p>
          <w:p>
            <w:pPr>
              <w:ind w:firstLine="420"/>
              <w:jc w:val="left"/>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w:t>
            </w:r>
            <w:r>
              <w:rPr>
                <w:rFonts w:ascii="宋体" w:hAnsi="宋体" w:cs="微软雅黑"/>
                <w:color w:val="000000"/>
                <w:szCs w:val="21"/>
                <w:highlight w:val="none"/>
                <w:lang w:bidi="ar"/>
              </w:rPr>
              <w:t xml:space="preserve"> 专业与商用权益：商用合规保障。素材库（音乐/字体等）均拥有商用版权授权，并能合法用于营利性视频制作。</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三</w:t>
            </w:r>
            <w:r>
              <w:rPr>
                <w:rFonts w:hint="eastAsia" w:ascii="宋体" w:hAnsi="宋体" w:cs="微软雅黑"/>
                <w:color w:val="000000"/>
                <w:szCs w:val="21"/>
                <w:highlight w:val="none"/>
                <w:lang w:bidi="ar"/>
              </w:rPr>
              <w:t xml:space="preserve">、</w:t>
            </w:r>
            <w:r>
              <w:rPr>
                <w:rFonts w:ascii="宋体" w:hAnsi="宋体" w:cs="微软雅黑"/>
                <w:color w:val="000000"/>
                <w:szCs w:val="21"/>
                <w:highlight w:val="none"/>
                <w:lang w:bidi="ar"/>
              </w:rPr>
              <w:t xml:space="preserve">预装翻译软件，如讯飞同传等，能实现以下功能：</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1. 核心翻译与转写能力</w:t>
            </w:r>
            <w:r/>
          </w:p>
          <w:p>
            <w:pPr>
              <w:ind w:firstLine="420"/>
              <w:jc w:val="left"/>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w:t>
            </w:r>
            <w:r>
              <w:rPr>
                <w:rFonts w:ascii="宋体" w:hAnsi="宋体" w:cs="微软雅黑"/>
                <w:color w:val="000000"/>
                <w:szCs w:val="21"/>
                <w:highlight w:val="none"/>
                <w:lang w:bidi="ar"/>
              </w:rPr>
              <w:t xml:space="preserve"> 同声传译：支持多语种实时互译（如中文与14国语言或30+语种），联网后可将语音实时转为翻译文字，并可模拟真声播报。</w:t>
            </w:r>
            <w:r/>
          </w:p>
          <w:p>
            <w:pPr>
              <w:ind w:firstLine="420"/>
              <w:jc w:val="left"/>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w:t>
            </w:r>
            <w:r>
              <w:rPr>
                <w:rFonts w:ascii="宋体" w:hAnsi="宋体" w:cs="微软雅黑"/>
                <w:color w:val="000000"/>
                <w:szCs w:val="21"/>
                <w:highlight w:val="none"/>
                <w:lang w:bidi="ar"/>
              </w:rPr>
              <w:t xml:space="preserve"> 语音转写：支持将语音（如中文、英文等）实时转成文字，能识别混合语言，转写准确率90%左右。</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2. 交互及协作功能</w:t>
            </w:r>
            <w:r/>
          </w:p>
          <w:p>
            <w:pPr>
              <w:ind w:firstLine="420"/>
              <w:jc w:val="left"/>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w:t>
            </w:r>
            <w:r>
              <w:rPr>
                <w:rFonts w:ascii="宋体" w:hAnsi="宋体" w:cs="微软雅黑"/>
                <w:color w:val="000000"/>
                <w:szCs w:val="21"/>
                <w:highlight w:val="none"/>
                <w:lang w:bidi="ar"/>
              </w:rPr>
              <w:t xml:space="preserve"> 收音模式：支持麦克风、电脑内录、外接声卡等收音模式，便于为会议、网课等场景生成实时同传字幕。</w:t>
            </w:r>
            <w:r/>
          </w:p>
          <w:p>
            <w:pPr>
              <w:ind w:firstLine="420"/>
              <w:jc w:val="left"/>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w:t>
            </w:r>
            <w:r>
              <w:rPr>
                <w:rFonts w:ascii="宋体" w:hAnsi="宋体" w:cs="微软雅黑"/>
                <w:color w:val="000000"/>
                <w:szCs w:val="21"/>
                <w:highlight w:val="none"/>
                <w:lang w:bidi="ar"/>
              </w:rPr>
              <w:t xml:space="preserve"> 字幕投屏：支持将双语翻译结果投屏（全屏或叠加模式，可自定义样式），在观看视频时也提供便捷的悬浮字幕功能。</w:t>
            </w:r>
            <w:r/>
          </w:p>
          <w:p>
            <w:pPr>
              <w:ind w:firstLine="420"/>
              <w:jc w:val="left"/>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w:t>
            </w:r>
            <w:r>
              <w:rPr>
                <w:rFonts w:ascii="宋体" w:hAnsi="宋体" w:cs="微软雅黑"/>
                <w:color w:val="000000"/>
                <w:szCs w:val="21"/>
                <w:highlight w:val="none"/>
                <w:lang w:bidi="ar"/>
              </w:rPr>
              <w:t xml:space="preserve"> 会议记录：自动记录完整会议内容，支持轻松下载导出（含文稿和音频）及云空间历史查看。</w:t>
            </w:r>
            <w:r/>
          </w:p>
          <w:p>
            <w:pPr>
              <w:ind w:firstLine="420"/>
              <w:jc w:val="left"/>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w:t>
            </w:r>
            <w:r>
              <w:rPr>
                <w:rFonts w:ascii="宋体" w:hAnsi="宋体" w:cs="微软雅黑"/>
                <w:color w:val="000000"/>
                <w:szCs w:val="21"/>
                <w:highlight w:val="none"/>
                <w:lang w:bidi="ar"/>
              </w:rPr>
              <w:t xml:space="preserve"> 跨设备协作：支持PC端、Web网页和手机APP，并提供远程查看翻译内容链接，便于协作。</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3. 视频后期处理能力</w:t>
            </w:r>
            <w:r/>
          </w:p>
          <w:p>
            <w:pPr>
              <w:ind w:firstLine="420"/>
              <w:jc w:val="left"/>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w:t>
            </w:r>
            <w:r>
              <w:rPr>
                <w:rFonts w:ascii="宋体" w:hAnsi="宋体" w:cs="微软雅黑"/>
                <w:color w:val="000000"/>
                <w:szCs w:val="21"/>
                <w:highlight w:val="none"/>
                <w:lang w:bidi="ar"/>
              </w:rPr>
              <w:t xml:space="preserve"> AI后期加字幕：支持一键导入视频，AI自动生成字幕并进行编辑调整。</w:t>
            </w:r>
            <w:r/>
          </w:p>
          <w:p>
            <w:pPr>
              <w:ind w:firstLine="420"/>
              <w:jc w:val="left"/>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w:t>
            </w:r>
            <w:r>
              <w:rPr>
                <w:rFonts w:ascii="宋体" w:hAnsi="宋体" w:cs="微软雅黑"/>
                <w:color w:val="000000"/>
                <w:szCs w:val="21"/>
                <w:highlight w:val="none"/>
                <w:lang w:bidi="ar"/>
              </w:rPr>
              <w:t xml:space="preserve"> 视频压制与导出：支持导出带字幕视频或SRT字幕文件，便于快速分享。</w:t>
            </w:r>
            <w:r/>
          </w:p>
          <w:p>
            <w:pPr>
              <w:ind w:firstLine="420"/>
              <w:jc w:val="left"/>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每日可免费使用</w:t>
            </w:r>
            <w:r>
              <w:rPr>
                <w:rFonts w:ascii="宋体" w:hAnsi="宋体" w:cs="微软雅黑"/>
                <w:color w:val="000000"/>
                <w:szCs w:val="21"/>
                <w:highlight w:val="none"/>
                <w:lang w:bidi="ar"/>
              </w:rPr>
              <w:t xml:space="preserve">20分钟。</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四，提供与电脑相接的其他设备的使用支持（一年）。</w:t>
            </w:r>
            <w:r>
              <w:rPr>
                <w:rFonts w:hint="eastAsia" w:ascii="宋体" w:hAnsi="宋体" w:cs="微软雅黑"/>
                <w:color w:val="000000"/>
                <w:szCs w:val="21"/>
                <w:highlight w:val="none"/>
                <w:lang w:bidi="ar"/>
              </w:rPr>
              <w:t xml:space="preserve">44</w:t>
            </w:r>
            <w:r/>
          </w:p>
        </w:tc>
        <w:tc>
          <w:tcPr>
            <w:shd w:val="clear" w:color="auto" w:fill="ffffff"/>
            <w:tcBorders>
              <w:top w:val="single" w:color="000000" w:sz="8" w:space="0"/>
              <w:left w:val="single" w:color="000000" w:sz="8" w:space="0"/>
              <w:bottom w:val="single" w:color="000000" w:sz="8" w:space="0"/>
              <w:right w:val="single" w:color="000000" w:sz="8" w:space="0"/>
            </w:tcBorders>
            <w:tcW w:w="641" w:type="dxa"/>
            <w:vAlign w:val="center"/>
            <w:textDirection w:val="lrTb"/>
            <w:noWrap w:val="false"/>
          </w:tcPr>
          <w:p>
            <w:pPr>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套</w:t>
            </w:r>
            <w:r/>
          </w:p>
        </w:tc>
        <w:tc>
          <w:tcPr>
            <w:shd w:val="clear" w:color="auto" w:fill="ffffff"/>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ind w:firstLine="360"/>
              <w:jc w:val="center"/>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1</w:t>
            </w:r>
            <w:r/>
          </w:p>
        </w:tc>
        <w:tc>
          <w:tcPr>
            <w:shd w:val="clear" w:color="auto" w:fill="ffffff"/>
            <w:tcBorders>
              <w:top w:val="single" w:color="000000" w:sz="8" w:space="0"/>
              <w:left w:val="single" w:color="000000" w:sz="8" w:space="0"/>
              <w:bottom w:val="single" w:color="000000" w:sz="8" w:space="0"/>
              <w:right w:val="single" w:color="000000" w:sz="8" w:space="0"/>
            </w:tcBorders>
            <w:tcW w:w="1008" w:type="dxa"/>
            <w:vAlign w:val="center"/>
            <w:textDirection w:val="lrTb"/>
            <w:noWrap w:val="false"/>
          </w:tcPr>
          <w:p>
            <w:pPr>
              <w:ind w:firstLine="360"/>
              <w:jc w:val="left"/>
              <w:rPr>
                <w:rFonts w:hint="eastAsia" w:ascii="宋体" w:hAnsi="宋体"/>
                <w:color w:val="000000"/>
                <w:szCs w:val="21"/>
                <w:highlight w:val="none"/>
              </w:rPr>
            </w:pPr>
            <w:r>
              <w:rPr>
                <w:rFonts w:hint="eastAsia" w:ascii="宋体" w:hAnsi="宋体"/>
                <w:color w:val="000000"/>
                <w:szCs w:val="21"/>
                <w:highlight w:val="none"/>
              </w:rPr>
            </w:r>
            <w:r/>
          </w:p>
        </w:tc>
      </w:tr>
      <w:tr>
        <w:trPr>
          <w:trHeight w:val="202"/>
        </w:trPr>
        <w:tc>
          <w:tcPr>
            <w:shd w:val="clear" w:color="auto" w:fill="ffffff"/>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jc w:val="center"/>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3</w:t>
            </w:r>
            <w:r/>
          </w:p>
        </w:tc>
        <w:tc>
          <w:tcPr>
            <w:shd w:val="clear" w:color="auto" w:fill="ffffff"/>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教学授课用：触控一体机（9</w:t>
            </w:r>
            <w:r>
              <w:rPr>
                <w:rFonts w:ascii="宋体" w:hAnsi="宋体" w:cs="微软雅黑"/>
                <w:color w:val="000000"/>
                <w:szCs w:val="21"/>
                <w:highlight w:val="none"/>
              </w:rPr>
              <w:t xml:space="preserve">8寸</w:t>
            </w:r>
            <w:r>
              <w:rPr>
                <w:rFonts w:hint="eastAsia" w:ascii="宋体" w:hAnsi="宋体" w:cs="微软雅黑"/>
                <w:color w:val="000000"/>
                <w:szCs w:val="21"/>
                <w:highlight w:val="none"/>
              </w:rPr>
              <w:t xml:space="preserve">）</w:t>
            </w:r>
            <w:r/>
          </w:p>
        </w:tc>
        <w:tc>
          <w:tcPr>
            <w:shd w:val="clear" w:color="auto" w:fill="ffffff"/>
            <w:tcBorders>
              <w:top w:val="single" w:color="000000" w:sz="8" w:space="0"/>
              <w:left w:val="single" w:color="000000" w:sz="8" w:space="0"/>
              <w:bottom w:val="single" w:color="000000" w:sz="8" w:space="0"/>
              <w:right w:val="single" w:color="000000" w:sz="8" w:space="0"/>
            </w:tcBorders>
            <w:tcW w:w="5103" w:type="dxa"/>
            <w:vAlign w:val="center"/>
            <w:textDirection w:val="lrTb"/>
            <w:noWrap w:val="false"/>
          </w:tcPr>
          <w:p>
            <w:pPr>
              <w:ind w:firstLine="420"/>
              <w:jc w:val="left"/>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一、整体设计</w:t>
            </w:r>
            <w:r/>
          </w:p>
          <w:p>
            <w:pPr>
              <w:ind w:firstLine="420"/>
              <w:jc w:val="left"/>
              <w:spacing w:line="240" w:lineRule="exac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1.屏幕采用≥98英寸液晶显示器，采</w:t>
            </w:r>
            <w:r>
              <w:rPr>
                <w:rFonts w:hint="eastAsia" w:ascii="微软雅黑" w:hAnsi="微软雅黑" w:eastAsia="微软雅黑" w:cs="微软雅黑"/>
                <w:color w:val="000000"/>
                <w:szCs w:val="21"/>
                <w:highlight w:val="none"/>
                <w:lang w:bidi="ar"/>
              </w:rPr>
              <w:t xml:space="preserve">⽤</w:t>
            </w:r>
            <w:r>
              <w:rPr>
                <w:rFonts w:ascii="宋体" w:hAnsi="宋体" w:cs="微软雅黑"/>
                <w:color w:val="000000"/>
                <w:szCs w:val="21"/>
                <w:highlight w:val="none"/>
                <w:lang w:bidi="ar"/>
              </w:rPr>
              <w:t xml:space="preserve">LED液晶A规屏，显示</w:t>
            </w:r>
            <w:r>
              <w:rPr>
                <w:rFonts w:hint="eastAsia" w:ascii="微软雅黑" w:hAnsi="微软雅黑" w:eastAsia="微软雅黑" w:cs="微软雅黑"/>
                <w:color w:val="000000"/>
                <w:szCs w:val="21"/>
                <w:highlight w:val="none"/>
                <w:lang w:bidi="ar"/>
              </w:rPr>
              <w:t xml:space="preserve">⽐</w:t>
            </w:r>
            <w:r>
              <w:rPr>
                <w:rFonts w:hint="eastAsia" w:ascii="宋体" w:hAnsi="宋体" w:cs="微软雅黑"/>
                <w:color w:val="000000"/>
                <w:szCs w:val="21"/>
                <w:highlight w:val="none"/>
                <w:lang w:bidi="ar"/>
              </w:rPr>
              <w:t xml:space="preserve">例</w:t>
            </w:r>
            <w:r>
              <w:rPr>
                <w:rFonts w:ascii="宋体" w:hAnsi="宋体" w:cs="微软雅黑"/>
                <w:color w:val="000000"/>
                <w:szCs w:val="21"/>
                <w:highlight w:val="none"/>
                <w:lang w:bidi="ar"/>
              </w:rPr>
              <w:t xml:space="preserve">16:9。显示分辨率3840*2160，可视</w:t>
            </w:r>
            <w:r>
              <w:rPr>
                <w:rFonts w:hint="eastAsia" w:ascii="微软雅黑" w:hAnsi="微软雅黑" w:eastAsia="微软雅黑" w:cs="微软雅黑"/>
                <w:color w:val="000000"/>
                <w:szCs w:val="21"/>
                <w:highlight w:val="none"/>
                <w:lang w:bidi="ar"/>
              </w:rPr>
              <w:t xml:space="preserve">⻆</w:t>
            </w:r>
            <w:r>
              <w:rPr>
                <w:rFonts w:hint="eastAsia" w:ascii="宋体" w:hAnsi="宋体" w:cs="微软雅黑"/>
                <w:color w:val="000000"/>
                <w:szCs w:val="21"/>
                <w:highlight w:val="none"/>
                <w:lang w:bidi="ar"/>
              </w:rPr>
              <w:t xml:space="preserve">度≥</w:t>
            </w:r>
            <w:r>
              <w:rPr>
                <w:rFonts w:ascii="宋体" w:hAnsi="宋体" w:cs="微软雅黑"/>
                <w:color w:val="000000"/>
                <w:szCs w:val="21"/>
                <w:highlight w:val="none"/>
                <w:lang w:bidi="ar"/>
              </w:rPr>
              <w:t xml:space="preserve">178°。</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2.▲整机内置全视角背光增光膜，通过增光膜对背光光源进行均光，整机屏幕中心亮度三分之一的亮度观看视角≥130°，满足GB40070关于亮度可视角≥120°要求，整机白场画面下亮度均匀性≥85%。</w:t>
            </w:r>
            <w:r>
              <w:rPr>
                <w:rFonts w:hint="eastAsia" w:ascii="宋体" w:hAnsi="宋体" w:cs="微软雅黑"/>
                <w:szCs w:val="21"/>
                <w:highlight w:val="none"/>
                <w:lang w:bidi="ar"/>
              </w:rPr>
              <w:t xml:space="preserve">（提供第三方检测机构出具的检测报告复印件并加盖公章</w:t>
            </w:r>
            <w:r>
              <w:rPr>
                <w:rFonts w:hint="eastAsia" w:ascii="宋体" w:hAnsi="宋体" w:cs="微软雅黑"/>
                <w:color w:val="000000"/>
                <w:szCs w:val="21"/>
                <w:highlight w:val="none"/>
                <w:lang w:bidi="ar"/>
              </w:rPr>
              <w:t xml:space="preserve">适用国标：GB4943.1-2022</w:t>
            </w:r>
            <w:r>
              <w:rPr>
                <w:rFonts w:hint="eastAsia" w:ascii="宋体" w:hAnsi="宋体" w:cs="微软雅黑"/>
                <w:szCs w:val="21"/>
                <w:highlight w:val="none"/>
                <w:lang w:bidi="ar"/>
              </w:rPr>
              <w:t xml:space="preserve">）</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3.整机支持AI书写美化能力，智能识别批注的书写轨迹，进行笔锋智能美化，模拟纸上书写的起笔、行笔和收笔效果。</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4.整机采用红外触控技术，Windows系统和Android系统均支持≥50点触控及书写划线。</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5.整机嵌入式系统版本≥Android 16，CPU≥8核，主频≥2.2GHz，内存≥4GB，存储空间≥64GB。</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6.▲整机设备内置2.2声道扬声器，前朝向发声，12W高音扬声器2个，上朝向30W中低音扬声器2个，最大功率≥84W，全部扬声器无需打开背板即可单独拆卸。</w:t>
            </w:r>
            <w:r>
              <w:rPr>
                <w:rFonts w:hint="eastAsia" w:ascii="宋体" w:hAnsi="宋体" w:cs="微软雅黑"/>
                <w:color w:val="000000"/>
                <w:szCs w:val="21"/>
                <w:highlight w:val="none"/>
                <w:lang w:bidi="ar"/>
              </w:rPr>
              <w:t xml:space="preserve">（提供第三方检测机构出具的检测报告复印件并加盖公章适用国标：GB4943.1-2022）</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7.整机内置非独立外扩展的8阵列麦克风，可用于对教室环境音频进行采集，麦克风拾音距离≥12米。</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8.整机听力模式下具备AI人声语言增强功能，支持三挡强弱调节。扩声系统语言传输指数（STIPA）≥0.75。</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rPr>
                <w:rFonts w:hint="eastAsia" w:ascii="宋体" w:hAnsi="宋体" w:cs="微软雅黑"/>
                <w:color w:val="000000"/>
                <w:szCs w:val="21"/>
                <w:highlight w:val="none"/>
                <w:lang w:bidi="ar"/>
              </w:rPr>
              <w:t xml:space="preserve">（提供第三方检测机构出具的检测报告复印件并加盖公章适用国标：GB4943.1-2022）</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10.整机内置非独立摄像头，采用一体化集成设计，可拍摄≥5000万像素数的照片，视场角≥135度且水平视场角≥120度，支持输出4:3、16:9比例的图片和视频；支持清晰度为3840x2160（4K）分辨率的视频输出，支持画面畸变矫正功能 。</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11.整机内置双WiFi6无线网卡（不接受外接），在Android和Windows系统下，可实现Wi-Fi无线上网连接、AP无线热点发射。Wi-Fi制式支持IEEE 802.11 a/b/g/n/ac/ax；支持版本Wi-Fi6。</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12.整机配套教学应用APP可通过wifi直连技术，近场发现附近教学大屏设备，无需扫码、账号密码输入步骤，即可直接连接并登录教学大屏设备，基于统一身份认证机制可实现其他教学软件免登录操作。</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14.整机Windows通道支持文件传输应用，支持通过扫码、超声、wifi直连三种方式与手机进行握手连接，实现文件传输功能。</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15.整机内置AR授课工具，支持对视频展台所采集的画面中叠加动态的3D 模型。3D模型包括：动物、微生物、人体骨骼、乐器、星球、地形。</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16.▲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rPr>
                <w:rFonts w:hint="eastAsia" w:ascii="宋体" w:hAnsi="宋体" w:cs="微软雅黑"/>
                <w:color w:val="000000"/>
                <w:szCs w:val="21"/>
                <w:highlight w:val="none"/>
                <w:lang w:bidi="ar"/>
              </w:rPr>
              <w:t xml:space="preserve">（提供第三方检测机构出具的检测报告复印件并加盖公章适用国标：GB4943.1-2022）</w:t>
            </w:r>
            <w:r/>
          </w:p>
          <w:p>
            <w:pPr>
              <w:ind w:firstLine="420"/>
              <w:jc w:val="left"/>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二、插拔式电脑模块：</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1、采用按压式卡扣，无需工具即可快速拆卸电脑模块。</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2、PC模块和整机的连接采用万兆级接口，传输速率≥10Gbps。</w:t>
            </w:r>
            <w:r/>
          </w:p>
          <w:p>
            <w:pPr>
              <w:ind w:firstLine="420"/>
              <w:jc w:val="left"/>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3、电脑模块CPU要求：主频≥2.0GHz，8核心十二线程；配置要求：不低于 DDR4 8GB内存，256GB SSD硬盘；接口要求：≥1路HDMI，≥3路USB。</w:t>
            </w:r>
            <w:r/>
          </w:p>
        </w:tc>
        <w:tc>
          <w:tcPr>
            <w:shd w:val="clear" w:color="auto" w:fill="ffffff"/>
            <w:tcBorders>
              <w:top w:val="single" w:color="000000" w:sz="8" w:space="0"/>
              <w:left w:val="single" w:color="000000" w:sz="8" w:space="0"/>
              <w:bottom w:val="single" w:color="000000" w:sz="8" w:space="0"/>
              <w:right w:val="single" w:color="000000" w:sz="8" w:space="0"/>
            </w:tcBorders>
            <w:tcW w:w="641" w:type="dxa"/>
            <w:vAlign w:val="center"/>
            <w:textDirection w:val="lrTb"/>
            <w:noWrap w:val="false"/>
          </w:tcPr>
          <w:p>
            <w:pPr>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台</w:t>
            </w:r>
            <w:r/>
          </w:p>
        </w:tc>
        <w:tc>
          <w:tcPr>
            <w:shd w:val="clear" w:color="auto" w:fill="ffffff"/>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ind w:firstLine="360"/>
              <w:jc w:val="center"/>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1</w:t>
            </w:r>
            <w:r/>
          </w:p>
        </w:tc>
        <w:tc>
          <w:tcPr>
            <w:shd w:val="clear" w:color="auto" w:fill="ffffff"/>
            <w:tcBorders>
              <w:top w:val="single" w:color="000000" w:sz="8" w:space="0"/>
              <w:left w:val="single" w:color="000000" w:sz="8" w:space="0"/>
              <w:bottom w:val="single" w:color="000000" w:sz="8" w:space="0"/>
              <w:right w:val="single" w:color="000000" w:sz="8" w:space="0"/>
            </w:tcBorders>
            <w:tcW w:w="1008" w:type="dxa"/>
            <w:vAlign w:val="center"/>
            <w:textDirection w:val="lrTb"/>
            <w:noWrap w:val="false"/>
          </w:tcPr>
          <w:p>
            <w:pPr>
              <w:ind w:firstLine="360"/>
              <w:jc w:val="left"/>
              <w:rPr>
                <w:rFonts w:hint="eastAsia" w:ascii="宋体" w:hAnsi="宋体"/>
                <w:color w:val="000000"/>
                <w:szCs w:val="21"/>
                <w:highlight w:val="none"/>
              </w:rPr>
            </w:pPr>
            <w:r>
              <w:rPr>
                <w:rFonts w:hint="eastAsia" w:ascii="宋体" w:hAnsi="宋体"/>
                <w:color w:val="000000"/>
                <w:szCs w:val="21"/>
                <w:highlight w:val="none"/>
              </w:rPr>
            </w:r>
            <w:r/>
          </w:p>
        </w:tc>
      </w:tr>
      <w:tr>
        <w:trPr>
          <w:trHeight w:val="202"/>
        </w:trPr>
        <w:tc>
          <w:tcPr>
            <w:shd w:val="clear" w:color="auto" w:fill="ffffff"/>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jc w:val="center"/>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4</w:t>
            </w:r>
            <w:r/>
          </w:p>
        </w:tc>
        <w:tc>
          <w:tcPr>
            <w:shd w:val="clear" w:color="auto" w:fill="ffffff"/>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教学授课用：9</w:t>
            </w:r>
            <w:r>
              <w:rPr>
                <w:rFonts w:ascii="宋体" w:hAnsi="宋体" w:cs="微软雅黑"/>
                <w:color w:val="000000"/>
                <w:szCs w:val="21"/>
                <w:highlight w:val="none"/>
              </w:rPr>
              <w:t xml:space="preserve">8寸一体机对应黑板（左右布置各一块）</w:t>
            </w:r>
            <w:r/>
          </w:p>
        </w:tc>
        <w:tc>
          <w:tcPr>
            <w:shd w:val="clear" w:color="auto" w:fill="ffffff"/>
            <w:tcBorders>
              <w:top w:val="single" w:color="000000" w:sz="8" w:space="0"/>
              <w:left w:val="single" w:color="000000" w:sz="8" w:space="0"/>
              <w:bottom w:val="single" w:color="000000" w:sz="8" w:space="0"/>
              <w:right w:val="single" w:color="000000" w:sz="8" w:space="0"/>
            </w:tcBorders>
            <w:tcW w:w="5103" w:type="dxa"/>
            <w:vAlign w:val="center"/>
            <w:textDirection w:val="lrTb"/>
            <w:noWrap w:val="false"/>
          </w:tcPr>
          <w:p>
            <w:pPr>
              <w:ind w:firstLine="420"/>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1、宽度≥1150㎜，高度根据电子产品尺寸调整副板尺寸，每套左右各一块电子产品居中，上下采用极窄边框，左右折边处理与电子产品对接触无边框，安装支架采用伸缩支架可调整副板厚度，副板两侧加钢制护板遮挡缝隙；</w:t>
            </w:r>
            <w:r/>
          </w:p>
          <w:p>
            <w:pPr>
              <w:ind w:firstLine="420"/>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2、书写面材质:材料采用优质黑色纳米烤漆板，板面基板厚度≥0.3mm,涂层硬度≥7H，涂层采用丙烯酸树脂漆；表面附有保护膜。</w:t>
            </w:r>
            <w:r/>
          </w:p>
          <w:p>
            <w:pPr>
              <w:ind w:firstLine="420"/>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3、表面粗糙度1.6µm-3.2µm；光泽度光泽度≤7%，没有明显眩光；</w:t>
            </w:r>
            <w:r/>
          </w:p>
          <w:p>
            <w:pPr>
              <w:ind w:firstLine="420"/>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4、内芯材料:采用24㎏防潮吸音高强度泡沫板；</w:t>
            </w:r>
            <w:r/>
          </w:p>
          <w:p>
            <w:pPr>
              <w:ind w:firstLine="420"/>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5、背板:材料为优质镀锌黑色彩涂板，厚度≥0.2mm；</w:t>
            </w:r>
            <w:r/>
          </w:p>
          <w:p>
            <w:pPr>
              <w:ind w:firstLine="420"/>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6、边框材料:铝合金，黑色，连接可靠牢固，接缝平整、光滑；包角材料:抗疲劳ABS工程塑料，模具一次成型；</w:t>
            </w:r>
            <w:r/>
          </w:p>
        </w:tc>
        <w:tc>
          <w:tcPr>
            <w:shd w:val="clear" w:color="auto" w:fill="ffffff"/>
            <w:tcBorders>
              <w:top w:val="single" w:color="000000" w:sz="8" w:space="0"/>
              <w:left w:val="single" w:color="000000" w:sz="8" w:space="0"/>
              <w:bottom w:val="single" w:color="000000" w:sz="8" w:space="0"/>
              <w:right w:val="single" w:color="000000" w:sz="8" w:space="0"/>
            </w:tcBorders>
            <w:tcW w:w="641" w:type="dxa"/>
            <w:vAlign w:val="center"/>
            <w:textDirection w:val="lrTb"/>
            <w:noWrap w:val="false"/>
          </w:tcPr>
          <w:p>
            <w:pPr>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套</w:t>
            </w:r>
            <w:r/>
          </w:p>
        </w:tc>
        <w:tc>
          <w:tcPr>
            <w:shd w:val="clear" w:color="auto" w:fill="ffffff"/>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ind w:firstLine="360"/>
              <w:jc w:val="center"/>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1</w:t>
            </w:r>
            <w:r/>
          </w:p>
        </w:tc>
        <w:tc>
          <w:tcPr>
            <w:shd w:val="clear" w:color="auto" w:fill="ffffff"/>
            <w:tcBorders>
              <w:top w:val="single" w:color="000000" w:sz="8" w:space="0"/>
              <w:left w:val="single" w:color="000000" w:sz="8" w:space="0"/>
              <w:bottom w:val="single" w:color="000000" w:sz="8" w:space="0"/>
              <w:right w:val="single" w:color="000000" w:sz="8" w:space="0"/>
            </w:tcBorders>
            <w:tcW w:w="1008" w:type="dxa"/>
            <w:vAlign w:val="center"/>
            <w:textDirection w:val="lrTb"/>
            <w:noWrap w:val="false"/>
          </w:tcPr>
          <w:p>
            <w:pPr>
              <w:ind w:firstLine="360"/>
              <w:jc w:val="left"/>
              <w:rPr>
                <w:rFonts w:hint="eastAsia" w:ascii="宋体" w:hAnsi="宋体"/>
                <w:color w:val="000000"/>
                <w:szCs w:val="21"/>
                <w:highlight w:val="none"/>
              </w:rPr>
            </w:pPr>
            <w:r>
              <w:rPr>
                <w:rFonts w:hint="eastAsia" w:ascii="宋体" w:hAnsi="宋体"/>
                <w:color w:val="000000"/>
                <w:szCs w:val="21"/>
                <w:highlight w:val="none"/>
              </w:rPr>
            </w:r>
            <w:r/>
          </w:p>
        </w:tc>
      </w:tr>
      <w:tr>
        <w:trPr>
          <w:trHeight w:val="202"/>
        </w:trPr>
        <w:tc>
          <w:tcPr>
            <w:shd w:val="clear" w:color="auto" w:fill="ffffff"/>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jc w:val="center"/>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5</w:t>
            </w:r>
            <w:r/>
          </w:p>
        </w:tc>
        <w:tc>
          <w:tcPr>
            <w:shd w:val="clear" w:color="auto" w:fill="ffffff"/>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实训用：录像实时显示器</w:t>
            </w:r>
            <w:r/>
          </w:p>
        </w:tc>
        <w:tc>
          <w:tcPr>
            <w:shd w:val="clear" w:color="auto" w:fill="ffffff"/>
            <w:tcBorders>
              <w:top w:val="single" w:color="000000" w:sz="8" w:space="0"/>
              <w:left w:val="single" w:color="000000" w:sz="8" w:space="0"/>
              <w:bottom w:val="single" w:color="000000" w:sz="8" w:space="0"/>
              <w:right w:val="single" w:color="000000" w:sz="8" w:space="0"/>
            </w:tcBorders>
            <w:tcW w:w="5103" w:type="dxa"/>
            <w:vAlign w:val="center"/>
            <w:textDirection w:val="lrTb"/>
            <w:noWrap w:val="false"/>
          </w:tcPr>
          <w:p>
            <w:pPr>
              <w:ind w:firstLine="420"/>
              <w:jc w:val="left"/>
              <w:spacing w:line="276" w:lineRule="auto"/>
              <w:widowControl/>
              <w:rPr>
                <w:rFonts w:hint="eastAsia" w:ascii="宋体" w:hAnsi="宋体" w:cs="微软雅黑"/>
                <w:color w:val="000000"/>
                <w:szCs w:val="21"/>
                <w:highlight w:val="none"/>
                <w:lang w:bidi="ar"/>
              </w:rPr>
            </w:pPr>
            <w:r>
              <w:rPr>
                <w:rFonts w:hint="eastAsia" w:ascii="宋体" w:hAnsi="宋体"/>
                <w:highlight w:val="none"/>
              </w:rPr>
              <w:t xml:space="preserve">≥27寸显示器，分辨率不低于4K</w:t>
            </w:r>
            <w:r/>
          </w:p>
        </w:tc>
        <w:tc>
          <w:tcPr>
            <w:shd w:val="clear" w:color="auto" w:fill="ffffff"/>
            <w:tcBorders>
              <w:top w:val="single" w:color="000000" w:sz="8" w:space="0"/>
              <w:left w:val="single" w:color="000000" w:sz="8" w:space="0"/>
              <w:bottom w:val="single" w:color="000000" w:sz="8" w:space="0"/>
              <w:right w:val="single" w:color="000000" w:sz="8" w:space="0"/>
            </w:tcBorders>
            <w:tcW w:w="641" w:type="dxa"/>
            <w:vAlign w:val="center"/>
            <w:textDirection w:val="lrTb"/>
            <w:noWrap w:val="false"/>
          </w:tcPr>
          <w:p>
            <w:pPr>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台</w:t>
            </w:r>
            <w:r/>
          </w:p>
        </w:tc>
        <w:tc>
          <w:tcPr>
            <w:shd w:val="clear" w:color="auto" w:fill="ffffff"/>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ind w:firstLine="360"/>
              <w:jc w:val="center"/>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1</w:t>
            </w:r>
            <w:r/>
          </w:p>
        </w:tc>
        <w:tc>
          <w:tcPr>
            <w:shd w:val="clear" w:color="auto" w:fill="ffffff"/>
            <w:tcBorders>
              <w:top w:val="single" w:color="000000" w:sz="8" w:space="0"/>
              <w:left w:val="single" w:color="000000" w:sz="8" w:space="0"/>
              <w:bottom w:val="single" w:color="000000" w:sz="8" w:space="0"/>
              <w:right w:val="single" w:color="000000" w:sz="8" w:space="0"/>
            </w:tcBorders>
            <w:tcW w:w="1008" w:type="dxa"/>
            <w:vAlign w:val="center"/>
            <w:textDirection w:val="lrTb"/>
            <w:noWrap w:val="false"/>
          </w:tcPr>
          <w:p>
            <w:pPr>
              <w:ind w:firstLine="360"/>
              <w:jc w:val="left"/>
              <w:rPr>
                <w:rFonts w:hint="eastAsia" w:ascii="宋体" w:hAnsi="宋体"/>
                <w:color w:val="000000"/>
                <w:szCs w:val="21"/>
                <w:highlight w:val="none"/>
              </w:rPr>
            </w:pPr>
            <w:r>
              <w:rPr>
                <w:rFonts w:hint="eastAsia" w:ascii="宋体" w:hAnsi="宋体"/>
                <w:color w:val="000000"/>
                <w:szCs w:val="21"/>
                <w:highlight w:val="none"/>
              </w:rPr>
            </w:r>
            <w:r/>
          </w:p>
        </w:tc>
      </w:tr>
      <w:tr>
        <w:trPr>
          <w:trHeight w:val="202"/>
        </w:trPr>
        <w:tc>
          <w:tcPr>
            <w:shd w:val="clear" w:color="auto" w:fill="ffffff"/>
            <w:tcBorders>
              <w:top w:val="single" w:color="000000" w:sz="8" w:space="0"/>
              <w:left w:val="single" w:color="000000" w:sz="8" w:space="0"/>
              <w:bottom w:val="single" w:color="000000" w:sz="8" w:space="0"/>
              <w:right w:val="single" w:color="000000" w:sz="8" w:space="0"/>
            </w:tcBorders>
            <w:tcW w:w="681" w:type="dxa"/>
            <w:vAlign w:val="center"/>
            <w:textDirection w:val="lrTb"/>
            <w:noWrap w:val="false"/>
          </w:tcPr>
          <w:p>
            <w:pPr>
              <w:jc w:val="center"/>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6</w:t>
            </w:r>
            <w:r/>
          </w:p>
        </w:tc>
        <w:tc>
          <w:tcPr>
            <w:shd w:val="clear" w:color="auto" w:fill="ffffff"/>
            <w:tcBorders>
              <w:top w:val="single" w:color="000000" w:sz="8" w:space="0"/>
              <w:left w:val="single" w:color="000000" w:sz="8" w:space="0"/>
              <w:bottom w:val="single" w:color="000000" w:sz="8" w:space="0"/>
              <w:right w:val="single" w:color="000000" w:sz="8" w:space="0"/>
            </w:tcBorders>
            <w:tcW w:w="1201" w:type="dxa"/>
            <w:vAlign w:val="center"/>
            <w:textDirection w:val="lrTb"/>
            <w:noWrap w:val="false"/>
          </w:tcPr>
          <w:p>
            <w:pPr>
              <w:widowControl/>
              <w:rPr>
                <w:rFonts w:hint="eastAsia" w:ascii="宋体" w:hAnsi="宋体" w:cs="微软雅黑"/>
                <w:color w:val="000000"/>
                <w:szCs w:val="21"/>
                <w:highlight w:val="none"/>
              </w:rPr>
            </w:pPr>
            <w:r>
              <w:rPr>
                <w:rFonts w:hint="eastAsia" w:ascii="宋体" w:hAnsi="宋体" w:cs="微软雅黑"/>
                <w:color w:val="000000"/>
                <w:szCs w:val="21"/>
                <w:highlight w:val="none"/>
              </w:rPr>
              <w:t xml:space="preserve">拆除、安装等</w:t>
            </w:r>
            <w:r/>
          </w:p>
        </w:tc>
        <w:tc>
          <w:tcPr>
            <w:shd w:val="clear" w:color="auto" w:fill="ffffff"/>
            <w:tcBorders>
              <w:top w:val="single" w:color="000000" w:sz="8" w:space="0"/>
              <w:left w:val="single" w:color="000000" w:sz="8" w:space="0"/>
              <w:bottom w:val="single" w:color="000000" w:sz="8" w:space="0"/>
              <w:right w:val="single" w:color="000000" w:sz="8" w:space="0"/>
            </w:tcBorders>
            <w:tcW w:w="5103" w:type="dxa"/>
            <w:vAlign w:val="center"/>
            <w:textDirection w:val="lrTb"/>
            <w:noWrap w:val="false"/>
          </w:tcPr>
          <w:p>
            <w:pPr>
              <w:ind w:firstLine="420"/>
              <w:jc w:val="left"/>
              <w:spacing w:line="276" w:lineRule="auto"/>
              <w:widowControl/>
              <w:rPr>
                <w:rFonts w:hint="eastAsia" w:ascii="宋体" w:hAnsi="宋体" w:cs="微软雅黑"/>
                <w:color w:val="000000"/>
                <w:szCs w:val="21"/>
                <w:highlight w:val="none"/>
                <w:lang w:bidi="ar"/>
              </w:rPr>
            </w:pPr>
            <w:r>
              <w:rPr>
                <w:rFonts w:ascii="宋体" w:hAnsi="宋体" w:cs="微软雅黑"/>
                <w:color w:val="000000"/>
                <w:szCs w:val="21"/>
                <w:highlight w:val="none"/>
                <w:lang w:bidi="ar"/>
              </w:rPr>
              <w:t xml:space="preserve">原有各项设备的拆除、搬运等，新设备的安装、调试等。在拆除和安装过程中墙面地面如有损毁需复原。</w:t>
            </w:r>
            <w:r/>
          </w:p>
        </w:tc>
        <w:tc>
          <w:tcPr>
            <w:shd w:val="clear" w:color="auto" w:fill="ffffff"/>
            <w:tcBorders>
              <w:top w:val="single" w:color="000000" w:sz="8" w:space="0"/>
              <w:left w:val="single" w:color="000000" w:sz="8" w:space="0"/>
              <w:bottom w:val="single" w:color="000000" w:sz="8" w:space="0"/>
              <w:right w:val="single" w:color="000000" w:sz="8" w:space="0"/>
            </w:tcBorders>
            <w:tcW w:w="641" w:type="dxa"/>
            <w:vAlign w:val="center"/>
            <w:textDirection w:val="lrTb"/>
            <w:noWrap w:val="false"/>
          </w:tcPr>
          <w:p>
            <w:pPr>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项</w:t>
            </w:r>
            <w:r/>
          </w:p>
        </w:tc>
        <w:tc>
          <w:tcPr>
            <w:shd w:val="clear" w:color="auto" w:fill="ffffff"/>
            <w:tcBorders>
              <w:top w:val="single" w:color="000000" w:sz="8" w:space="0"/>
              <w:left w:val="single" w:color="000000" w:sz="8" w:space="0"/>
              <w:bottom w:val="single" w:color="000000" w:sz="8" w:space="0"/>
              <w:right w:val="single" w:color="000000" w:sz="8" w:space="0"/>
            </w:tcBorders>
            <w:tcW w:w="786" w:type="dxa"/>
            <w:vAlign w:val="center"/>
            <w:textDirection w:val="lrTb"/>
            <w:noWrap w:val="false"/>
          </w:tcPr>
          <w:p>
            <w:pPr>
              <w:ind w:firstLine="360"/>
              <w:jc w:val="center"/>
              <w:widowControl/>
              <w:rPr>
                <w:rFonts w:hint="eastAsia" w:ascii="宋体" w:hAnsi="宋体" w:cs="微软雅黑"/>
                <w:color w:val="000000"/>
                <w:szCs w:val="21"/>
                <w:highlight w:val="none"/>
                <w:lang w:bidi="ar"/>
              </w:rPr>
            </w:pPr>
            <w:r>
              <w:rPr>
                <w:rFonts w:hint="eastAsia" w:ascii="宋体" w:hAnsi="宋体" w:cs="微软雅黑"/>
                <w:color w:val="000000"/>
                <w:szCs w:val="21"/>
                <w:highlight w:val="none"/>
                <w:lang w:bidi="ar"/>
              </w:rPr>
              <w:t xml:space="preserve">1</w:t>
            </w:r>
            <w:r/>
          </w:p>
        </w:tc>
        <w:tc>
          <w:tcPr>
            <w:shd w:val="clear" w:color="auto" w:fill="ffffff"/>
            <w:tcBorders>
              <w:top w:val="single" w:color="000000" w:sz="8" w:space="0"/>
              <w:left w:val="single" w:color="000000" w:sz="8" w:space="0"/>
              <w:bottom w:val="single" w:color="000000" w:sz="8" w:space="0"/>
              <w:right w:val="single" w:color="000000" w:sz="8" w:space="0"/>
            </w:tcBorders>
            <w:tcW w:w="1008" w:type="dxa"/>
            <w:vAlign w:val="center"/>
            <w:textDirection w:val="lrTb"/>
            <w:noWrap w:val="false"/>
          </w:tcPr>
          <w:p>
            <w:pPr>
              <w:ind w:firstLine="360"/>
              <w:jc w:val="left"/>
              <w:rPr>
                <w:rFonts w:hint="eastAsia" w:ascii="宋体" w:hAnsi="宋体"/>
                <w:color w:val="000000"/>
                <w:szCs w:val="21"/>
                <w:highlight w:val="none"/>
              </w:rPr>
            </w:pPr>
            <w:r>
              <w:rPr>
                <w:rFonts w:hint="eastAsia" w:ascii="宋体" w:hAnsi="宋体"/>
                <w:color w:val="000000"/>
                <w:szCs w:val="21"/>
                <w:highlight w:val="none"/>
              </w:rPr>
            </w:r>
            <w:r/>
          </w:p>
        </w:tc>
      </w:tr>
    </w:tbl>
    <w:p>
      <w:pPr>
        <w:spacing w:line="420" w:lineRule="exact"/>
        <w:rPr>
          <w:rFonts w:hint="eastAsia" w:ascii="宋体" w:hAnsi="宋体"/>
          <w:highlight w:val="none"/>
        </w:rPr>
      </w:pPr>
      <w:r>
        <w:rPr>
          <w:rFonts w:hint="eastAsia" w:ascii="宋体" w:hAnsi="宋体"/>
          <w:highlight w:val="none"/>
        </w:rPr>
        <w:t xml:space="preserve">注：加“斜体下划线”和“▲”项须在投标文件中提供技术支持资料并加盖公章（如彩页、官网截图若具体指标中另有要求的，以具体指标中的要求为准），</w:t>
      </w:r>
      <w:r>
        <w:rPr>
          <w:rFonts w:hint="eastAsia" w:ascii="宋体" w:hAnsi="宋体"/>
          <w:highlight w:val="none"/>
        </w:rPr>
        <w:t xml:space="preserve">无以上证明材料的加“斜体下划线”的实质性参数可以提供承诺书，否则投标人作无效投标处理（供应商提供的承诺书并加盖公章）</w:t>
      </w:r>
      <w:r>
        <w:rPr>
          <w:rFonts w:hint="eastAsia" w:ascii="宋体" w:hAnsi="宋体"/>
          <w:highlight w:val="none"/>
        </w:rPr>
        <w:t xml:space="preserve">。未按要求提供技术支持资料的，视同未对招标文件采购要求作出响应，评审时不予认可。</w:t>
      </w:r>
      <w:r/>
    </w:p>
    <w:p>
      <w:pPr>
        <w:ind w:firstLine="560"/>
        <w:spacing w:line="400" w:lineRule="exac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r>
      <w:r/>
    </w:p>
    <w:p>
      <w:pPr>
        <w:pStyle w:val="953"/>
        <w:jc w:val="left"/>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四、商务要求</w:t>
      </w:r>
      <w:r/>
    </w:p>
    <w:p>
      <w:pPr>
        <w:ind w:firstLine="560"/>
        <w:spacing w:line="400" w:lineRule="exact"/>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sz w:val="28"/>
          <w:szCs w:val="28"/>
          <w:highlight w:val="none"/>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p>
    <w:p>
      <w:pPr>
        <w:ind w:firstLine="480"/>
        <w:jc w:val="left"/>
        <w:spacing w:line="360" w:lineRule="auto"/>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1、交货时间（工期）：</w:t>
      </w:r>
      <w:r>
        <w:rPr>
          <w:rFonts w:ascii="宋体" w:hAnsi="宋体" w:cs="微软雅黑"/>
          <w:color w:val="000000"/>
          <w:sz w:val="24"/>
          <w:highlight w:val="none"/>
          <w:lang w:bidi="ar"/>
        </w:rPr>
        <w:t xml:space="preserve">合同签订后</w:t>
      </w:r>
      <w:r>
        <w:rPr>
          <w:rFonts w:hint="eastAsia" w:ascii="宋体" w:hAnsi="宋体" w:cs="微软雅黑"/>
          <w:color w:val="000000"/>
          <w:sz w:val="24"/>
          <w:highlight w:val="none"/>
          <w:lang w:bidi="ar"/>
        </w:rPr>
        <w:t xml:space="preserve">30</w:t>
      </w:r>
      <w:r>
        <w:rPr>
          <w:rFonts w:ascii="宋体" w:hAnsi="宋体" w:cs="微软雅黑"/>
          <w:color w:val="000000"/>
          <w:sz w:val="24"/>
          <w:highlight w:val="none"/>
          <w:lang w:bidi="ar"/>
        </w:rPr>
        <w:t xml:space="preserve">日内完成设备供货和安装调试</w:t>
      </w:r>
      <w:r>
        <w:rPr>
          <w:rFonts w:hint="eastAsia" w:ascii="宋体" w:hAnsi="宋体" w:cs="微软雅黑"/>
          <w:color w:val="000000"/>
          <w:sz w:val="24"/>
          <w:highlight w:val="none"/>
          <w:lang w:bidi="ar"/>
        </w:rPr>
        <w:t xml:space="preserve">。</w:t>
      </w:r>
      <w:r/>
    </w:p>
    <w:p>
      <w:pPr>
        <w:ind w:firstLine="442"/>
        <w:spacing w:line="360" w:lineRule="auto"/>
        <w:widowControl/>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2、履约保证金：履约保证金用以约束中标供应商在合同履行中的行为，弥补合同执行中由于自身行为可能给采购人带来的各种损失。因中标供应商原因导致合同未能正常履行的，采购人将扣除全部履约保证金。合同签订前，中标供应商应向采购人缴纳中标价10%作为履约保证金。履约保证金可以以支票、汇票、本票或者金融机构、担保机构出具的保函等非现金形式提交。经检验合格的，且中标供应商不存在任何违约行为的，采购人于30日内予以无息返还至中标供应商账户。</w:t>
      </w:r>
      <w:r/>
    </w:p>
    <w:p>
      <w:pPr>
        <w:ind w:firstLine="442"/>
        <w:spacing w:line="360" w:lineRule="auto"/>
        <w:widowControl/>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3、付款方式：中标供应商按照采购人要求交付全部设备并安装调试完成，验收合格后，中标供应商提供合规的增值税专用发票，采购人支付全部合同价款。</w:t>
      </w:r>
      <w:r/>
    </w:p>
    <w:p>
      <w:pPr>
        <w:ind w:firstLine="480"/>
        <w:jc w:val="left"/>
        <w:spacing w:line="360" w:lineRule="auto"/>
        <w:tabs>
          <w:tab w:val="left" w:pos="2310" w:leader="none"/>
        </w:tabs>
        <w:rPr>
          <w:rFonts w:hint="eastAsia" w:ascii="宋体" w:hAnsi="宋体" w:cs="微软雅黑"/>
          <w:color w:val="000000"/>
          <w:sz w:val="24"/>
          <w:highlight w:val="none"/>
          <w:lang w:bidi="ar"/>
        </w:rPr>
      </w:pPr>
      <w:r>
        <w:rPr>
          <w:rFonts w:hint="eastAsia" w:ascii="宋体" w:hAnsi="宋体" w:cs="微软雅黑"/>
          <w:color w:val="000000"/>
          <w:sz w:val="24"/>
          <w:highlight w:val="none"/>
          <w:lang w:bidi="ar"/>
        </w:rPr>
        <w:t xml:space="preserve">4、免费质保期：原厂商三年上门全免费保修。</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5、项目技术方案</w:t>
      </w:r>
      <w:r/>
    </w:p>
    <w:p>
      <w:pPr>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投标人</w:t>
      </w:r>
      <w:r>
        <w:rPr>
          <w:rFonts w:hint="eastAsia" w:ascii="宋体" w:hAnsi="宋体"/>
          <w:color w:val="000000"/>
          <w:sz w:val="24"/>
          <w:highlight w:val="none"/>
        </w:rPr>
        <w:t xml:space="preserve">应</w:t>
      </w:r>
      <w:r>
        <w:rPr>
          <w:rFonts w:ascii="宋体" w:hAnsi="宋体"/>
          <w:color w:val="000000"/>
          <w:sz w:val="24"/>
          <w:highlight w:val="none"/>
        </w:rPr>
        <w:t xml:space="preserve">根据招标文件</w:t>
      </w:r>
      <w:r>
        <w:rPr>
          <w:rFonts w:hint="eastAsia" w:ascii="宋体" w:hAnsi="宋体"/>
          <w:color w:val="000000"/>
          <w:sz w:val="24"/>
          <w:highlight w:val="none"/>
        </w:rPr>
        <w:t xml:space="preserve">要求及本项目特点</w:t>
      </w:r>
      <w:r>
        <w:rPr>
          <w:rFonts w:ascii="宋体" w:hAnsi="宋体"/>
          <w:color w:val="000000"/>
          <w:sz w:val="24"/>
          <w:highlight w:val="none"/>
        </w:rPr>
        <w:t xml:space="preserve">，</w:t>
      </w:r>
      <w:r>
        <w:rPr>
          <w:rFonts w:hint="eastAsia" w:ascii="宋体" w:hAnsi="宋体"/>
          <w:color w:val="000000"/>
          <w:sz w:val="24"/>
          <w:highlight w:val="none"/>
        </w:rPr>
        <w:t xml:space="preserve">制订项目技术方案，包括供货方案、人员配置安排、技术服务方案、质量管理等。方案应做到完整全面、科学可行，并有针对性，配备具有相应资质和经验的项目经理及技术服务人员，服从采购人管理要求，确保在规定的交付时限内完成。</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6、项目进度计划</w:t>
      </w:r>
      <w:r/>
    </w:p>
    <w:p>
      <w:pPr>
        <w:ind w:firstLine="480"/>
        <w:spacing w:line="360" w:lineRule="auto"/>
        <w:rPr>
          <w:rFonts w:hint="eastAsia" w:ascii="宋体" w:hAnsi="宋体"/>
          <w:bCs/>
          <w:color w:val="000000"/>
          <w:sz w:val="24"/>
          <w:highlight w:val="none"/>
        </w:rPr>
      </w:pPr>
      <w:r>
        <w:rPr>
          <w:rFonts w:ascii="宋体" w:hAnsi="宋体"/>
          <w:bCs/>
          <w:color w:val="000000"/>
          <w:sz w:val="24"/>
          <w:highlight w:val="none"/>
        </w:rPr>
        <w:t xml:space="preserve">投标人</w:t>
      </w:r>
      <w:r>
        <w:rPr>
          <w:rFonts w:hint="eastAsia" w:ascii="宋体" w:hAnsi="宋体"/>
          <w:bCs/>
          <w:color w:val="000000"/>
          <w:sz w:val="24"/>
          <w:highlight w:val="none"/>
        </w:rPr>
        <w:t xml:space="preserve">应</w:t>
      </w:r>
      <w:r>
        <w:rPr>
          <w:rFonts w:ascii="宋体" w:hAnsi="宋体"/>
          <w:bCs/>
          <w:color w:val="000000"/>
          <w:sz w:val="24"/>
          <w:highlight w:val="none"/>
        </w:rPr>
        <w:t xml:space="preserve">根据招标文件</w:t>
      </w:r>
      <w:r>
        <w:rPr>
          <w:rFonts w:hint="eastAsia" w:ascii="宋体" w:hAnsi="宋体"/>
          <w:bCs/>
          <w:color w:val="000000"/>
          <w:sz w:val="24"/>
          <w:highlight w:val="none"/>
        </w:rPr>
        <w:t xml:space="preserve">要求及本项目特点</w:t>
      </w:r>
      <w:r>
        <w:rPr>
          <w:rFonts w:ascii="宋体" w:hAnsi="宋体"/>
          <w:bCs/>
          <w:color w:val="000000"/>
          <w:sz w:val="24"/>
          <w:highlight w:val="none"/>
        </w:rPr>
        <w:t xml:space="preserve">，</w:t>
      </w:r>
      <w:bookmarkStart w:id="345" w:name="_Hlk47438576"/>
      <w:r>
        <w:rPr>
          <w:rFonts w:hint="eastAsia" w:ascii="宋体" w:hAnsi="宋体"/>
          <w:bCs/>
          <w:color w:val="000000"/>
          <w:sz w:val="24"/>
          <w:highlight w:val="none"/>
        </w:rPr>
        <w:t xml:space="preserve">提供项目进度计划，各项保障措施完善，并有针对本项目的合理化建议，要求方案合理、可行、具有针对性，确保完成招标要求</w:t>
      </w:r>
      <w:bookmarkEnd w:id="345"/>
      <w:r>
        <w:rPr>
          <w:rFonts w:hint="eastAsia" w:ascii="宋体" w:hAnsi="宋体"/>
          <w:bCs/>
          <w:color w:val="000000"/>
          <w:sz w:val="24"/>
          <w:highlight w:val="none"/>
        </w:rPr>
        <w:t xml:space="preserve">。</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7、安装调试及验收方案</w:t>
      </w:r>
      <w:r/>
    </w:p>
    <w:p>
      <w:pPr>
        <w:pStyle w:val="989"/>
        <w:ind w:firstLine="480"/>
        <w:spacing w:before="120" w:after="120" w:line="360" w:lineRule="auto"/>
        <w:rPr>
          <w:rFonts w:hint="eastAsia" w:hAnsi="宋体"/>
          <w:highlight w:val="none"/>
        </w:rPr>
      </w:pPr>
      <w:r/>
      <w:bookmarkStart w:id="346" w:name="_Hlk141277958"/>
      <w:r>
        <w:rPr>
          <w:rFonts w:hAnsi="宋体"/>
          <w:color w:val="000000"/>
          <w:sz w:val="24"/>
          <w:highlight w:val="none"/>
        </w:rPr>
        <w:t xml:space="preserve">投标人</w:t>
      </w:r>
      <w:r>
        <w:rPr>
          <w:rFonts w:hint="eastAsia" w:hAnsi="宋体"/>
          <w:color w:val="000000"/>
          <w:sz w:val="24"/>
          <w:highlight w:val="none"/>
        </w:rPr>
        <w:t xml:space="preserve">应</w:t>
      </w:r>
      <w:r>
        <w:rPr>
          <w:rFonts w:hAnsi="宋体"/>
          <w:color w:val="000000"/>
          <w:sz w:val="24"/>
          <w:highlight w:val="none"/>
        </w:rPr>
        <w:t xml:space="preserve">根据招标文件</w:t>
      </w:r>
      <w:r>
        <w:rPr>
          <w:rFonts w:hint="eastAsia" w:hAnsi="宋体"/>
          <w:color w:val="000000"/>
          <w:sz w:val="24"/>
          <w:highlight w:val="none"/>
        </w:rPr>
        <w:t xml:space="preserve">要求及本项目特点</w:t>
      </w:r>
      <w:r>
        <w:rPr>
          <w:rFonts w:hAnsi="宋体"/>
          <w:color w:val="000000"/>
          <w:sz w:val="24"/>
          <w:highlight w:val="none"/>
        </w:rPr>
        <w:t xml:space="preserve">，</w:t>
      </w:r>
      <w:r>
        <w:rPr>
          <w:rFonts w:hint="eastAsia" w:hAnsi="宋体"/>
          <w:color w:val="000000"/>
          <w:sz w:val="24"/>
          <w:highlight w:val="none"/>
        </w:rPr>
        <w:t xml:space="preserve">提供完善、合理、可行的系统安装调试及验收方案，包括安装部署方案、联调联试方案</w:t>
      </w:r>
      <w:bookmarkStart w:id="347" w:name="_Hlk47438545"/>
      <w:r>
        <w:rPr>
          <w:rFonts w:hint="eastAsia" w:hAnsi="宋体"/>
          <w:color w:val="000000"/>
          <w:sz w:val="24"/>
          <w:highlight w:val="none"/>
        </w:rPr>
        <w:t xml:space="preserve">、现场文明施工、配合验收方案等</w:t>
      </w:r>
      <w:bookmarkEnd w:id="347"/>
      <w:r>
        <w:rPr>
          <w:rFonts w:hint="eastAsia" w:hAnsi="宋体"/>
          <w:color w:val="000000"/>
          <w:sz w:val="24"/>
          <w:highlight w:val="none"/>
        </w:rPr>
        <w:t xml:space="preserve">。方案应做到完整全面、科学可行，并有针对性，确保在规定的交付时限内完成并通过验收</w:t>
      </w:r>
      <w:r>
        <w:rPr>
          <w:rFonts w:hint="eastAsia" w:hAnsi="宋体"/>
          <w:highlight w:val="none"/>
        </w:rPr>
        <w:t xml:space="preserve">。</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8、售后服务方案</w:t>
      </w:r>
      <w:r/>
    </w:p>
    <w:p>
      <w:pPr>
        <w:ind w:firstLine="480"/>
        <w:spacing w:line="360" w:lineRule="auto"/>
        <w:rPr>
          <w:rFonts w:hint="eastAsia" w:ascii="宋体" w:hAnsi="宋体" w:cs="宋体"/>
          <w:bCs/>
          <w:color w:val="000000"/>
          <w:sz w:val="24"/>
          <w:highlight w:val="none"/>
        </w:rPr>
      </w:pPr>
      <w:r/>
      <w:bookmarkStart w:id="348" w:name="_Hlk47438656"/>
      <w:r/>
      <w:bookmarkStart w:id="349" w:name="_Hlk20379672"/>
      <w:r/>
      <w:bookmarkStart w:id="350" w:name="_Hlk45478283"/>
      <w:r>
        <w:rPr>
          <w:rFonts w:ascii="宋体" w:hAnsi="宋体"/>
          <w:color w:val="000000"/>
          <w:sz w:val="24"/>
          <w:highlight w:val="none"/>
        </w:rPr>
        <w:t xml:space="preserve">投标人</w:t>
      </w:r>
      <w:r>
        <w:rPr>
          <w:rFonts w:hint="eastAsia" w:ascii="宋体" w:hAnsi="宋体"/>
          <w:color w:val="000000"/>
          <w:sz w:val="24"/>
          <w:highlight w:val="none"/>
        </w:rPr>
        <w:t xml:space="preserve">应</w:t>
      </w:r>
      <w:r>
        <w:rPr>
          <w:rFonts w:ascii="宋体" w:hAnsi="宋体"/>
          <w:color w:val="000000"/>
          <w:sz w:val="24"/>
          <w:highlight w:val="none"/>
        </w:rPr>
        <w:t xml:space="preserve">根据招标文件</w:t>
      </w:r>
      <w:r>
        <w:rPr>
          <w:rFonts w:hint="eastAsia" w:ascii="宋体" w:hAnsi="宋体"/>
          <w:color w:val="000000"/>
          <w:sz w:val="24"/>
          <w:highlight w:val="none"/>
        </w:rPr>
        <w:t xml:space="preserve">要求及本项目特点</w:t>
      </w:r>
      <w:r>
        <w:rPr>
          <w:rFonts w:ascii="宋体" w:hAnsi="宋体"/>
          <w:color w:val="000000"/>
          <w:sz w:val="24"/>
          <w:highlight w:val="none"/>
        </w:rPr>
        <w:t xml:space="preserve">，</w:t>
      </w:r>
      <w:r>
        <w:rPr>
          <w:rFonts w:hint="eastAsia" w:ascii="宋体" w:hAnsi="宋体"/>
          <w:color w:val="000000"/>
          <w:sz w:val="24"/>
          <w:highlight w:val="none"/>
        </w:rPr>
        <w:t xml:space="preserve">提供详实的售后服务方案，包括售后服务管理体系、售后服务人员安排、</w:t>
      </w:r>
      <w:r>
        <w:rPr>
          <w:rFonts w:ascii="宋体" w:hAnsi="宋体"/>
          <w:bCs/>
          <w:color w:val="000000"/>
          <w:sz w:val="24"/>
          <w:highlight w:val="none"/>
        </w:rPr>
        <w:t xml:space="preserve">响应标准、备件体系、故障</w:t>
      </w:r>
      <w:r>
        <w:rPr>
          <w:rFonts w:hint="eastAsia" w:ascii="宋体" w:hAnsi="宋体"/>
          <w:bCs/>
          <w:color w:val="000000"/>
          <w:sz w:val="24"/>
          <w:highlight w:val="none"/>
        </w:rPr>
        <w:t xml:space="preserve">维修</w:t>
      </w:r>
      <w:r>
        <w:rPr>
          <w:rFonts w:ascii="宋体" w:hAnsi="宋体"/>
          <w:bCs/>
          <w:color w:val="000000"/>
          <w:sz w:val="24"/>
          <w:highlight w:val="none"/>
        </w:rPr>
        <w:t xml:space="preserve">解决方案、</w:t>
      </w:r>
      <w:r>
        <w:rPr>
          <w:rFonts w:hint="eastAsia" w:ascii="宋体" w:hAnsi="宋体"/>
          <w:bCs/>
          <w:color w:val="000000"/>
          <w:sz w:val="24"/>
          <w:highlight w:val="none"/>
        </w:rPr>
        <w:t xml:space="preserve">日常巡检</w:t>
      </w:r>
      <w:r>
        <w:rPr>
          <w:rFonts w:ascii="宋体" w:hAnsi="宋体"/>
          <w:bCs/>
          <w:color w:val="000000"/>
          <w:sz w:val="24"/>
          <w:highlight w:val="none"/>
        </w:rPr>
        <w:t xml:space="preserve">等</w:t>
      </w:r>
      <w:bookmarkEnd w:id="348"/>
      <w:r>
        <w:rPr>
          <w:rFonts w:hint="eastAsia" w:ascii="宋体" w:hAnsi="宋体"/>
          <w:bCs/>
          <w:color w:val="000000"/>
          <w:sz w:val="24"/>
          <w:highlight w:val="none"/>
        </w:rPr>
        <w:t xml:space="preserve">。方案应科学合理、具备针对性，配备专门的售后服务人员，确保</w:t>
      </w:r>
      <w:r>
        <w:rPr>
          <w:rFonts w:hint="eastAsia" w:ascii="宋体" w:hAnsi="宋体" w:cs="宋体"/>
          <w:bCs/>
          <w:color w:val="000000"/>
          <w:sz w:val="24"/>
          <w:highlight w:val="none"/>
        </w:rPr>
        <w:t xml:space="preserve">维保期电话30分钟响应，1小时内到现场，4小时内解决问题</w:t>
      </w:r>
      <w:r>
        <w:rPr>
          <w:rFonts w:hint="eastAsia" w:ascii="宋体" w:hAnsi="宋体"/>
          <w:bCs/>
          <w:color w:val="000000"/>
          <w:sz w:val="24"/>
          <w:highlight w:val="none"/>
        </w:rPr>
        <w:t xml:space="preserve">。</w:t>
      </w:r>
      <w:bookmarkEnd w:id="349"/>
      <w:r/>
      <w:bookmarkEnd w:id="350"/>
      <w:r>
        <w:rPr>
          <w:rFonts w:hint="eastAsia" w:ascii="宋体" w:hAnsi="宋体"/>
          <w:bCs/>
          <w:color w:val="000000"/>
          <w:sz w:val="24"/>
          <w:highlight w:val="none"/>
        </w:rPr>
        <w:t xml:space="preserve">提供7*24小时电话技术支持。</w:t>
      </w:r>
      <w:r>
        <w:rPr>
          <w:rFonts w:hint="eastAsia" w:ascii="宋体" w:hAnsi="宋体" w:cs="宋体"/>
          <w:bCs/>
          <w:color w:val="000000"/>
          <w:sz w:val="24"/>
          <w:highlight w:val="none"/>
        </w:rPr>
        <w:t xml:space="preserve"> </w:t>
      </w:r>
      <w:bookmarkEnd w:id="346"/>
      <w:r/>
      <w:r/>
    </w:p>
    <w:p>
      <w:pPr>
        <w:pStyle w:val="953"/>
        <w:jc w:val="left"/>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五、其他要求</w:t>
      </w:r>
      <w:r/>
    </w:p>
    <w:p>
      <w:pPr>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1.项目属性:货物类项目。</w:t>
      </w:r>
      <w:r/>
    </w:p>
    <w:p>
      <w:pPr>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2.核心产品</w:t>
      </w:r>
      <w:r/>
    </w:p>
    <w:tbl>
      <w:tblPr>
        <w:tblStyle w:val="78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3369"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核心产品</w:t>
            </w:r>
            <w:r/>
          </w:p>
        </w:tc>
      </w:tr>
      <w:tr>
        <w:trPr/>
        <w:tc>
          <w:tcPr>
            <w:tcW w:w="1681"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369"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教学授课用：学生用台式计算机</w:t>
            </w:r>
            <w:r/>
          </w:p>
        </w:tc>
      </w:tr>
    </w:tbl>
    <w:p>
      <w:pPr>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3.进口产品投标</w:t>
      </w:r>
      <w:r/>
    </w:p>
    <w:tbl>
      <w:tblPr>
        <w:tblStyle w:val="78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3762"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是否接受进口产品投标</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w:t>
            </w:r>
            <w:r/>
          </w:p>
        </w:tc>
      </w:tr>
      <w:tr>
        <w:trPr/>
        <w:tc>
          <w:tcPr>
            <w:tcW w:w="1300"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762"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p>
        </w:tc>
      </w:tr>
    </w:tbl>
    <w:p>
      <w:pPr>
        <w:spacing w:line="400" w:lineRule="exact"/>
        <w:rPr>
          <w:highlight w:val="none"/>
        </w:rPr>
      </w:pPr>
      <w:r/>
      <w:bookmarkStart w:id="351" w:name="_Toc120614281"/>
      <w:r/>
      <w:bookmarkEnd w:id="180"/>
      <w:bookmarkEnd w:id="181"/>
      <w:bookmarkEnd w:id="342"/>
      <w:bookmarkEnd w:id="343"/>
      <w:bookmarkEnd w:id="351"/>
      <w:r/>
    </w:p>
    <w:p>
      <w:pPr>
        <w:pStyle w:val="953"/>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第五章  评标方法与评标标准</w:t>
      </w:r>
      <w:r/>
    </w:p>
    <w:p>
      <w:pPr>
        <w:ind w:firstLine="560"/>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采用综合评分法的，评标结果按评审后得分由高到低顺序排列。得分相同的，按投标报价由低到高顺序排列。得分且投标报价相同的并列。</w:t>
      </w:r>
      <w:r/>
    </w:p>
    <w:tbl>
      <w:tblPr>
        <w:tblStyle w:val="782"/>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7"/>
        <w:gridCol w:w="2178"/>
        <w:gridCol w:w="5050"/>
      </w:tblGrid>
      <w:tr>
        <w:trPr/>
        <w:tc>
          <w:tcPr>
            <w:tcW w:w="1671"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2183"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选取中标候选人数量</w:t>
            </w:r>
            <w:r/>
          </w:p>
        </w:tc>
        <w:tc>
          <w:tcPr>
            <w:tcW w:w="5063"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选取中标候选人的原则</w:t>
            </w:r>
            <w:r/>
          </w:p>
        </w:tc>
      </w:tr>
      <w:tr>
        <w:trPr/>
        <w:tc>
          <w:tcPr>
            <w:tcW w:w="1671"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2183"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5063" w:type="dxa"/>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满足招标文件全部实质性要求，且按照评审因素的量化指标评审得分最高的投标人为中标候选人。</w:t>
            </w:r>
            <w:r/>
          </w:p>
        </w:tc>
      </w:tr>
      <w:tr>
        <w:trPr/>
        <w:tc>
          <w:tcPr>
            <w:tcW w:w="1671"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2183"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5063"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bl>
    <w:p>
      <w:pPr>
        <w:ind w:firstLine="560"/>
        <w:jc w:val="left"/>
        <w:spacing w:before="120" w:after="120"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b/>
          <w:sz w:val="28"/>
          <w:szCs w:val="28"/>
          <w:highlight w:val="none"/>
        </w:rPr>
        <w:t xml:space="preserve">政府采购政策功能落实</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1.小微型企业价格扣除</w:t>
      </w:r>
      <w:r/>
    </w:p>
    <w:p>
      <w:pPr>
        <w:ind w:firstLine="420"/>
        <w:jc w:val="left"/>
        <w:spacing w:before="120" w:after="120"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（1）本项目对小型和微型企业产品给予10%的扣除价格，用扣除后的价格参与评审</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（2）供应商需按照采购文件的要求提供相应的《中小微企业声明函》。</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2.残疾人福利单位价格扣除</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（1）本项目对残疾人福利性单位视同小型、微型企业，给予10%的价格扣除，用扣除后的价格参与评审。</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（2）残疾人福利单位需按照采购文件的要求提供《残疾人福利性单位声明函》。</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（3）残疾人福利单位标准请参照《关于促进残疾人就业政府采购政策的通知》（财库〔2017〕141号）。</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3.监狱和戒毒企业价格扣除</w:t>
      </w:r>
      <w:r/>
    </w:p>
    <w:p>
      <w:pPr>
        <w:ind w:firstLine="560"/>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（1）本项目对监狱和戒毒企业（简称监狱企业）视同小型、微型企业，给予10%的价格扣除，用扣除后的价格参与评审。</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（3）监狱企业标准请参照《关于政府采购支持监狱企业发展有关问题的通知》（财库〔2014〕68号）。</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4.残疾人福利单位、监狱企业属于小型、微型企业的，不重复享受政策。</w:t>
      </w:r>
      <w:r/>
    </w:p>
    <w:p>
      <w:pPr>
        <w:ind w:firstLine="560"/>
        <w:spacing w:line="400" w:lineRule="exact"/>
        <w:rPr>
          <w:rFonts w:hint="eastAsia" w:ascii="华文新魏" w:hAnsi="宋体" w:eastAsia="华文新魏"/>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560"/>
        <w:jc w:val="left"/>
        <w:spacing w:before="120" w:after="120"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6.联合体各方均为小型、微型企业（残疾人福利单位、监狱企业）的，联合体享受10%价格扣除，用扣除后的价格参与评审。</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7.采购本国产品的支持政策</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 供应商需按照招标文件的要求提供《关于符合本国产品标准的声明函》（以下简称《声明函》），如不提供将不享受本国产品价格评审优惠。</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28"/>
          <w:szCs w:val="28"/>
          <w:highlight w:val="none"/>
          <w:u w:val="single"/>
        </w:rPr>
        <w:t xml:space="preserve"> / </w:t>
      </w:r>
      <w:r>
        <w:rPr>
          <w:rFonts w:hint="eastAsia" w:ascii="方正仿宋_GBK" w:hAnsi="方正仿宋_GBK" w:eastAsia="方正仿宋_GBK" w:cs="方正仿宋_GBK"/>
          <w:color w:val="000000"/>
          <w:sz w:val="28"/>
          <w:szCs w:val="28"/>
          <w:highlight w:val="none"/>
        </w:rPr>
        <w:t xml:space="preserve"> ”的地方无需填写），三项信息中任意一项未填写的视为该项产品不符合本国产品标准，不享受本国产品价格评审优惠。</w:t>
      </w:r>
      <w:r/>
    </w:p>
    <w:p>
      <w:pPr>
        <w:ind w:firstLine="560"/>
        <w:jc w:val="left"/>
        <w:spacing w:line="400" w:lineRule="exact"/>
        <w:rPr>
          <w:rFonts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jc w:val="left"/>
        <w:spacing w:before="120" w:after="120" w:line="400" w:lineRule="exact"/>
        <w:rPr>
          <w:rFonts w:ascii="方正魏碑_GBK" w:hAnsi="方正魏碑_GBK" w:eastAsia="方正魏碑_GBK" w:cs="方正魏碑_GBK"/>
          <w:color w:val="ff0000"/>
          <w:sz w:val="28"/>
          <w:szCs w:val="28"/>
          <w:highlight w:val="none"/>
        </w:rPr>
      </w:pPr>
      <w:r>
        <w:rPr>
          <w:rFonts w:hint="eastAsia" w:ascii="方正仿宋_GBK" w:hAnsi="方正仿宋_GBK" w:eastAsia="方正仿宋_GBK" w:cs="方正仿宋_GBK"/>
          <w:b/>
          <w:color w:val="000000"/>
          <w:sz w:val="28"/>
          <w:szCs w:val="28"/>
          <w:highlight w:val="none"/>
        </w:rPr>
        <w:t xml:space="preserve">评标方法与评标标准</w:t>
      </w:r>
      <w:r>
        <w:rPr>
          <w:rFonts w:hint="eastAsia" w:ascii="方正仿宋_GBK" w:hAnsi="方正仿宋_GBK" w:eastAsia="方正仿宋_GBK" w:cs="方正仿宋_GBK"/>
          <w:color w:val="000000"/>
          <w:sz w:val="28"/>
          <w:szCs w:val="28"/>
          <w:highlight w:val="none"/>
        </w:rPr>
        <w:t xml:space="preserve">   </w:t>
      </w:r>
      <w:r/>
    </w:p>
    <w:tbl>
      <w:tblPr>
        <w:tblStyle w:val="782"/>
        <w:tblW w:w="542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971"/>
        <w:gridCol w:w="7018"/>
        <w:gridCol w:w="800"/>
      </w:tblGrid>
      <w:tr>
        <w:trPr>
          <w:jc w:val="center"/>
        </w:trPr>
        <w:tc>
          <w:tcPr>
            <w:shd w:val="clear" w:color="auto" w:fill="bfbfbf"/>
            <w:tcW w:w="807" w:type="dxa"/>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序号</w:t>
            </w:r>
            <w:r/>
          </w:p>
        </w:tc>
        <w:tc>
          <w:tcPr>
            <w:shd w:val="clear" w:color="auto" w:fill="bfbfbf"/>
            <w:tcW w:w="992" w:type="dxa"/>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评分因素</w:t>
            </w:r>
            <w:r/>
          </w:p>
        </w:tc>
        <w:tc>
          <w:tcPr>
            <w:shd w:val="clear" w:color="auto" w:fill="bfbfbf"/>
            <w:tcW w:w="7210" w:type="dxa"/>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评审标准</w:t>
            </w:r>
            <w:r/>
          </w:p>
        </w:tc>
        <w:tc>
          <w:tcPr>
            <w:shd w:val="clear" w:color="auto" w:fill="bfbfbf"/>
            <w:tcW w:w="816" w:type="dxa"/>
            <w:vAlign w:val="center"/>
            <w:textDirection w:val="lrTb"/>
            <w:noWrap w:val="false"/>
          </w:tcPr>
          <w:p>
            <w:pPr>
              <w:jc w:val="center"/>
              <w:rPr>
                <w:rFonts w:hint="eastAsia" w:ascii="宋体" w:hAnsi="宋体"/>
                <w:b/>
                <w:highlight w:val="none"/>
              </w:rPr>
            </w:pPr>
            <w:r>
              <w:rPr>
                <w:rFonts w:hint="eastAsia" w:ascii="宋体" w:hAnsi="宋体"/>
                <w:b/>
                <w:highlight w:val="none"/>
              </w:rPr>
              <w:t xml:space="preserve">分值</w:t>
            </w:r>
            <w:r/>
          </w:p>
        </w:tc>
      </w:tr>
      <w:tr>
        <w:trPr>
          <w:jc w:val="center"/>
        </w:trPr>
        <w:tc>
          <w:tcPr>
            <w:tcW w:w="807" w:type="dxa"/>
            <w:vAlign w:val="center"/>
            <w:textDirection w:val="lrTb"/>
            <w:noWrap w:val="false"/>
          </w:tcPr>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W w:w="992" w:type="dxa"/>
            <w:vAlign w:val="center"/>
            <w:textDirection w:val="lrTb"/>
            <w:noWrap w:val="false"/>
          </w:tcPr>
          <w:p>
            <w:pP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价格（30分）</w:t>
            </w:r>
            <w:r/>
          </w:p>
        </w:tc>
        <w:tc>
          <w:tcPr>
            <w:tcW w:w="7210" w:type="dxa"/>
            <w:vAlign w:val="center"/>
            <w:textDirection w:val="lrTb"/>
            <w:noWrap w:val="false"/>
          </w:tcPr>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采用低价优先法计算，即满足采购文件要求且价格最低的报价为评审基准价，其价格分为满分30分。</w:t>
            </w:r>
            <w:r/>
          </w:p>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其他供应商的价格分统一按照下列公式计算:报价得分=(评审基准价/报价)×30分（小数点保留两位）</w:t>
            </w:r>
            <w:r/>
          </w:p>
        </w:tc>
        <w:tc>
          <w:tcPr>
            <w:tcW w:w="816" w:type="dxa"/>
            <w:vAlign w:val="center"/>
            <w:textDirection w:val="lrTb"/>
            <w:noWrap w:val="false"/>
          </w:tcPr>
          <w:p>
            <w:pP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w:t>
            </w:r>
            <w:r/>
          </w:p>
        </w:tc>
      </w:tr>
      <w:tr>
        <w:trPr>
          <w:jc w:val="center"/>
          <w:trHeight w:val="1203"/>
        </w:trPr>
        <w:tc>
          <w:tcPr>
            <w:tcW w:w="807" w:type="dxa"/>
            <w:vAlign w:val="center"/>
            <w:textDirection w:val="lrTb"/>
            <w:noWrap w:val="false"/>
          </w:tcPr>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W w:w="992" w:type="dxa"/>
            <w:vAlign w:val="center"/>
            <w:textDirection w:val="lrTb"/>
            <w:noWrap w:val="false"/>
          </w:tcPr>
          <w:p>
            <w:pP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技术响应（43分）</w:t>
            </w:r>
            <w:r/>
          </w:p>
        </w:tc>
        <w:tc>
          <w:tcPr>
            <w:tcW w:w="7210" w:type="dxa"/>
            <w:vAlign w:val="center"/>
            <w:textDirection w:val="lrTb"/>
            <w:noWrap w:val="false"/>
          </w:tcPr>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各供应商的投标文件对技术性能的响应情况，完全响应的得43分，采购文件中为实质性要求的，如有负偏离作无效投标处理，标注“▲”的内容为重要指标，每有一项负偏离扣1.4分，其它技术指标要求每一项负偏离扣1分，扣完为止。本项最高得分为43分。</w:t>
            </w:r>
            <w:r/>
          </w:p>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加“斜体下划线部分”和“▲”项须在投标文件中提供技术支持资料并加盖公章（如彩页、官网截图，若具体指标中另有要求的，以具体指标中的要求为准）。未按要求提供技术支持资料的，视同未对招标文件采购要求作出响应，评审时不予认可。</w:t>
            </w:r>
            <w:r/>
          </w:p>
        </w:tc>
        <w:tc>
          <w:tcPr>
            <w:tcW w:w="816" w:type="dxa"/>
            <w:vAlign w:val="center"/>
            <w:textDirection w:val="lrTb"/>
            <w:noWrap w:val="false"/>
          </w:tcPr>
          <w:p>
            <w:pP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w:t>
            </w:r>
            <w:r/>
          </w:p>
        </w:tc>
      </w:tr>
      <w:tr>
        <w:trPr>
          <w:jc w:val="center"/>
          <w:trHeight w:val="1261"/>
        </w:trPr>
        <w:tc>
          <w:tcPr>
            <w:tcW w:w="807" w:type="dxa"/>
            <w:vAlign w:val="center"/>
            <w:textDirection w:val="lrTb"/>
            <w:noWrap w:val="false"/>
          </w:tcPr>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W w:w="992" w:type="dxa"/>
            <w:vAlign w:val="center"/>
            <w:textDirection w:val="lrTb"/>
            <w:noWrap w:val="false"/>
          </w:tcPr>
          <w:p>
            <w:pP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项目实施方案（15分）</w:t>
            </w:r>
            <w:r/>
          </w:p>
        </w:tc>
        <w:tc>
          <w:tcPr>
            <w:tcW w:w="7210" w:type="dxa"/>
            <w:vAlign w:val="center"/>
            <w:textDirection w:val="lrTb"/>
            <w:noWrap w:val="false"/>
          </w:tcPr>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评委根据供应商的项目技术方案、项目进度计划、安装调试方案和项目验收方案等内容进行评分。供应商所提方案，必须承诺予以实施，且实施过程所涉费用全部由供应商承担。</w:t>
            </w:r>
            <w:r/>
          </w:p>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3.1、项目技术方案（5分）：</w:t>
            </w:r>
            <w:r/>
          </w:p>
          <w:p>
            <w:pPr>
              <w:pStyle w:val="978"/>
              <w:ind w:firstLine="480"/>
              <w:jc w:val="both"/>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评委根据投标文件对招标文件第四章“采购需求”中“项目技术方案”要求的响应情况进行评审</w:t>
            </w:r>
            <w:r/>
          </w:p>
          <w:p>
            <w:pPr>
              <w:pStyle w:val="978"/>
              <w:ind w:firstLine="480"/>
              <w:jc w:val="both"/>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（1）投标文件未符合“项目技术方案”中全部条款要求的，视为不符合招标文件，本项得0分。</w:t>
            </w:r>
            <w:r/>
          </w:p>
          <w:p>
            <w:pPr>
              <w:pStyle w:val="978"/>
              <w:ind w:firstLine="480"/>
              <w:jc w:val="both"/>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（2）投标文件符合“项目技术方案”中全部条款要求的，视为符合招标文件，本项得3分。</w:t>
            </w:r>
            <w:r/>
          </w:p>
          <w:p>
            <w:pPr>
              <w:pStyle w:val="978"/>
              <w:ind w:firstLine="480"/>
              <w:jc w:val="both"/>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经评委认定，投标文件对“项目技术方案”中“供货方案、人员配置安排、技术服务方案、质量管理”的响应内容优于招标文件要求的（前提是投标文件对“供货方案、人员配置安排、技术服务方案、质量管理”中除“供货方案、人员配置安排、技术服务方案、质量管理”外其他要求响应内容符合招标文件要求），本项得5分。</w:t>
            </w:r>
            <w:r/>
          </w:p>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3.2、项目进度计划（5分）：</w:t>
            </w:r>
            <w:r/>
          </w:p>
          <w:p>
            <w:pPr>
              <w:pStyle w:val="978"/>
              <w:ind w:firstLine="480"/>
              <w:jc w:val="both"/>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评委根据投标文件对招标文件第四章“采购需求”中“项目进度计划”要求的响应情况进行评审</w:t>
            </w:r>
            <w:r/>
          </w:p>
          <w:p>
            <w:pPr>
              <w:pStyle w:val="978"/>
              <w:ind w:firstLine="480"/>
              <w:jc w:val="both"/>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（1）投标文件未符合“项目进度计划”中全部条款要求的，视为不符合招标文件，本项得0分。</w:t>
            </w:r>
            <w:r/>
          </w:p>
          <w:p>
            <w:pPr>
              <w:pStyle w:val="978"/>
              <w:ind w:firstLine="480"/>
              <w:jc w:val="both"/>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（2）投标文件符合“项目进度计划”中全部条款要求的，视为符合招标文件，本项得3分。</w:t>
            </w:r>
            <w:r/>
          </w:p>
          <w:p>
            <w:pPr>
              <w:pStyle w:val="978"/>
              <w:ind w:firstLine="480"/>
              <w:jc w:val="both"/>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经评委认定，投标文件对“项目进度计划”中“项目进度计划，各项保障措施”的响应内容优于招标文件要求的（前提是投标文件对“供货方案、人员配置安排、技术服务方案、质量管理”中除“项目进度计划，各项保障措施”外其他要求响应内容符合招标文件要求），本项得5分。</w:t>
            </w:r>
            <w:r/>
          </w:p>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3.3、安装调试及验收方案（5分）：</w:t>
            </w:r>
            <w:r/>
          </w:p>
          <w:p>
            <w:pPr>
              <w:pStyle w:val="978"/>
              <w:ind w:firstLine="480"/>
              <w:jc w:val="both"/>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评委根据投标文件对招标文件第四章“采购需求”中“安装调试及验收方案”要求的响应情况进行评审</w:t>
            </w:r>
            <w:r/>
          </w:p>
          <w:p>
            <w:pPr>
              <w:pStyle w:val="978"/>
              <w:ind w:firstLine="480"/>
              <w:jc w:val="both"/>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（1）投标文件未符合“安装调试及验收方案”中全部条款要求的，视为不符合招标文件，本项得0分。</w:t>
            </w:r>
            <w:r/>
          </w:p>
          <w:p>
            <w:pPr>
              <w:pStyle w:val="978"/>
              <w:ind w:firstLine="480"/>
              <w:jc w:val="both"/>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（2）投标文件符合“安装调试及验收方案”中全部条款要求的，视为符合招标文件，本项得3分。</w:t>
            </w:r>
            <w:r/>
          </w:p>
          <w:p>
            <w:pPr>
              <w:pStyle w:val="978"/>
              <w:ind w:firstLine="480"/>
              <w:jc w:val="both"/>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经评委认定，投标文件对“安装调试及验收方案”中“安装部署方案、联调联试方案、现场文明施工、配合验收方案”的响应内容优于招标文件要求的（前提是投标文件对“安装调试及验收方案”中除“供货方案、人员配置安排、技术服务方案、质量管理”外其他要求响应内容符合招标文件要求），本项得5分。</w:t>
            </w:r>
            <w:r/>
          </w:p>
        </w:tc>
        <w:tc>
          <w:tcPr>
            <w:tcW w:w="816" w:type="dxa"/>
            <w:vAlign w:val="center"/>
            <w:textDirection w:val="lrTb"/>
            <w:noWrap w:val="false"/>
          </w:tcPr>
          <w:p>
            <w:pP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w:t>
            </w:r>
            <w:r/>
          </w:p>
        </w:tc>
      </w:tr>
      <w:tr>
        <w:trPr>
          <w:jc w:val="center"/>
        </w:trPr>
        <w:tc>
          <w:tcPr>
            <w:tcW w:w="807" w:type="dxa"/>
            <w:vAlign w:val="center"/>
            <w:textDirection w:val="lrTb"/>
            <w:noWrap w:val="false"/>
          </w:tcPr>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992" w:type="dxa"/>
            <w:vAlign w:val="center"/>
            <w:textDirection w:val="lrTb"/>
            <w:noWrap w:val="false"/>
          </w:tcPr>
          <w:p>
            <w:pP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售后服务方案（5分）</w:t>
            </w:r>
            <w:r/>
          </w:p>
        </w:tc>
        <w:tc>
          <w:tcPr>
            <w:tcW w:w="7210" w:type="dxa"/>
            <w:vAlign w:val="center"/>
            <w:textDirection w:val="lrTb"/>
            <w:noWrap w:val="false"/>
          </w:tcPr>
          <w:p>
            <w:pPr>
              <w:pStyle w:val="978"/>
              <w:ind w:firstLine="480"/>
              <w:jc w:val="both"/>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评委根据投标文件对招标文件第四章“采购需求”中“售后服务方案”要求的响应情况进行评审</w:t>
            </w:r>
            <w:r/>
          </w:p>
          <w:p>
            <w:pPr>
              <w:pStyle w:val="978"/>
              <w:ind w:firstLine="480"/>
              <w:jc w:val="both"/>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（1）投标文件未符合“售后服务方案”中全部条款要求的，视为不符合招标文件，本项得0分。</w:t>
            </w:r>
            <w:r/>
          </w:p>
          <w:p>
            <w:pPr>
              <w:pStyle w:val="978"/>
              <w:ind w:firstLine="480"/>
              <w:jc w:val="both"/>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（2）投标文件符合“售后服务方案”中全部条款要求的，视为符合招标文件，本项得3分。</w:t>
            </w:r>
            <w:r/>
          </w:p>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经评委认定，投标文件对“售后服务方案”中“售后服务管理体系、售后服务人员安排、响应标准、备件体系、故障维修解决方案、日常巡检”的响应内容优于招标文件要求的（前提是投标文件对“安装调试及验收方案”中除“售后服务管理体系、售后服务人员安排、响应标准、备件体系、故障维修解决方案、日常巡检”外其他要求响应内容符合招标文件要求），本项得5分。</w:t>
            </w:r>
            <w:r/>
          </w:p>
        </w:tc>
        <w:tc>
          <w:tcPr>
            <w:tcW w:w="816" w:type="dxa"/>
            <w:vAlign w:val="center"/>
            <w:textDirection w:val="lrTb"/>
            <w:noWrap w:val="false"/>
          </w:tcPr>
          <w:p>
            <w:pP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r>
      <w:tr>
        <w:trPr>
          <w:jc w:val="center"/>
        </w:trPr>
        <w:tc>
          <w:tcPr>
            <w:tcW w:w="807" w:type="dxa"/>
            <w:vAlign w:val="center"/>
            <w:textDirection w:val="lrTb"/>
            <w:noWrap w:val="false"/>
          </w:tcPr>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W w:w="992" w:type="dxa"/>
            <w:vAlign w:val="center"/>
            <w:textDirection w:val="lrTb"/>
            <w:noWrap w:val="false"/>
          </w:tcPr>
          <w:p>
            <w:pP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业绩（6分）</w:t>
            </w:r>
            <w:r/>
          </w:p>
        </w:tc>
        <w:tc>
          <w:tcPr>
            <w:tcW w:w="7210" w:type="dxa"/>
            <w:vAlign w:val="center"/>
            <w:textDirection w:val="lrTb"/>
            <w:noWrap w:val="false"/>
          </w:tcPr>
          <w:p>
            <w:pP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供应商自2023年8月1日以来承接过类似项目的，每提供一个得2分，最高得6分。（提供合同复印件并加盖公章，时间以合同签订时间为准，原件备查）</w:t>
            </w:r>
            <w:r/>
          </w:p>
        </w:tc>
        <w:tc>
          <w:tcPr>
            <w:tcW w:w="816" w:type="dxa"/>
            <w:vAlign w:val="center"/>
            <w:textDirection w:val="lrTb"/>
            <w:noWrap w:val="false"/>
          </w:tcPr>
          <w:p>
            <w:pP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r>
      <w:tr>
        <w:trPr>
          <w:jc w:val="center"/>
        </w:trPr>
        <w:tc>
          <w:tcPr>
            <w:tcW w:w="807" w:type="dxa"/>
            <w:vAlign w:val="center"/>
            <w:textDirection w:val="lrTb"/>
            <w:noWrap w:val="false"/>
          </w:tcPr>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W w:w="992" w:type="dxa"/>
            <w:vAlign w:val="center"/>
            <w:textDirection w:val="lrTb"/>
            <w:noWrap w:val="false"/>
          </w:tcPr>
          <w:p>
            <w:pP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环保（1分）</w:t>
            </w:r>
            <w:r/>
          </w:p>
        </w:tc>
        <w:tc>
          <w:tcPr>
            <w:tcW w:w="7210" w:type="dxa"/>
            <w:vAlign w:val="center"/>
            <w:textDirection w:val="lrTb"/>
            <w:noWrap w:val="false"/>
          </w:tcPr>
          <w:p>
            <w:pP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投标产品属于财政部、生态环境部公布的“环境标志产品品目清单”范围内的，投标人提供国家确定的认证机构出具的、处于有效期内的该投标产品</w:t>
            </w:r>
            <w:bookmarkStart w:id="361" w:name="_GoBack"/>
            <w:r/>
            <w:bookmarkEnd w:id="361"/>
            <w:r>
              <w:rPr>
                <w:rFonts w:hint="eastAsia" w:ascii="宋体" w:hAnsi="宋体" w:cs="宋体"/>
                <w:color w:val="000000"/>
                <w:sz w:val="24"/>
                <w:szCs w:val="24"/>
                <w:highlight w:val="none"/>
              </w:rPr>
              <w:t xml:space="preserve">环境标志产品认证证书复印件的，有1个得0.5分，最多得1分。</w:t>
            </w:r>
            <w:r/>
          </w:p>
        </w:tc>
        <w:tc>
          <w:tcPr>
            <w:tcW w:w="816" w:type="dxa"/>
            <w:vAlign w:val="center"/>
            <w:textDirection w:val="lrTb"/>
            <w:noWrap w:val="false"/>
          </w:tcPr>
          <w:p>
            <w:pP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r>
      <w:tr>
        <w:trPr>
          <w:jc w:val="center"/>
        </w:trPr>
        <w:tc>
          <w:tcPr>
            <w:gridSpan w:val="3"/>
            <w:tcW w:w="9009" w:type="dxa"/>
            <w:vAlign w:val="center"/>
            <w:textDirection w:val="lrTb"/>
            <w:noWrap w:val="false"/>
          </w:tcPr>
          <w:p>
            <w:pPr>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合计</w:t>
            </w:r>
            <w:r/>
          </w:p>
        </w:tc>
        <w:tc>
          <w:tcPr>
            <w:tcW w:w="816" w:type="dxa"/>
            <w:vAlign w:val="center"/>
            <w:textDirection w:val="lrTb"/>
            <w:noWrap w:val="false"/>
          </w:tcPr>
          <w:p>
            <w:pP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100分</w:t>
            </w:r>
            <w:r/>
          </w:p>
        </w:tc>
      </w:tr>
    </w:tbl>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53"/>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r>
      <w:r/>
    </w:p>
    <w:p>
      <w:pPr>
        <w:pStyle w:val="953"/>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r>
      <w:r/>
    </w:p>
    <w:p>
      <w:pPr>
        <w:pStyle w:val="953"/>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r>
      <w:r/>
    </w:p>
    <w:p>
      <w:pPr>
        <w:pStyle w:val="953"/>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r>
      <w:r/>
    </w:p>
    <w:p>
      <w:pPr>
        <w:pStyle w:val="953"/>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r>
      <w:r/>
    </w:p>
    <w:p>
      <w:pPr>
        <w:pStyle w:val="953"/>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第六章  投标文件格式</w:t>
      </w:r>
      <w:r/>
    </w:p>
    <w:p>
      <w:pPr>
        <w:jc w:val="center"/>
        <w:spacing w:line="400" w:lineRule="exact"/>
        <w:rPr>
          <w:rFonts w:hint="eastAsia" w:ascii="宋体" w:hAnsi="宋体"/>
          <w:b/>
          <w:color w:val="000000"/>
          <w:sz w:val="28"/>
          <w:szCs w:val="28"/>
          <w:highlight w:val="none"/>
        </w:rPr>
      </w:pPr>
      <w:r/>
      <w:bookmarkStart w:id="352" w:name="_Hlt26955039"/>
      <w:r/>
      <w:bookmarkEnd w:id="352"/>
      <w:r/>
      <w:bookmarkStart w:id="353" w:name="_Hlt26671244"/>
      <w:r/>
      <w:bookmarkEnd w:id="353"/>
      <w:r/>
      <w:bookmarkStart w:id="354" w:name="_Toc120614282"/>
      <w:r/>
      <w:bookmarkStart w:id="355" w:name="_Toc49090576"/>
      <w:r/>
      <w:bookmarkStart w:id="356" w:name="_Toc26554094"/>
      <w:r/>
      <w:r/>
    </w:p>
    <w:p>
      <w:pPr>
        <w:jc w:val="center"/>
        <w:spacing w:line="400" w:lineRule="exact"/>
        <w:rPr>
          <w:rFonts w:hint="eastAsia" w:ascii="方正小标宋_GBK" w:hAnsi="方正小标宋_GBK" w:eastAsia="方正小标宋_GBK" w:cs="方正小标宋_GBK"/>
          <w:bCs/>
          <w:color w:val="000000"/>
          <w:sz w:val="32"/>
          <w:szCs w:val="32"/>
          <w:highlight w:val="none"/>
        </w:rPr>
      </w:pPr>
      <w:r>
        <w:rPr>
          <w:rFonts w:hint="eastAsia" w:ascii="方正小标宋_GBK" w:hAnsi="方正小标宋_GBK" w:eastAsia="方正小标宋_GBK" w:cs="方正小标宋_GBK"/>
          <w:bCs/>
          <w:color w:val="000000"/>
          <w:sz w:val="32"/>
          <w:szCs w:val="32"/>
          <w:highlight w:val="none"/>
        </w:rPr>
        <w:t xml:space="preserve">投  标  文  件</w:t>
      </w:r>
      <w:r/>
    </w:p>
    <w:p>
      <w:pPr>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ind w:firstLine="840"/>
        <w:spacing w:line="400" w:lineRule="exact"/>
        <w:rPr>
          <w:rFonts w:ascii="方正黑体_GBK" w:hAnsi="方正黑体_GBK" w:eastAsia="方正黑体_GBK" w:cs="方正黑体_GBK"/>
          <w:bCs/>
          <w:color w:val="000000"/>
          <w:sz w:val="28"/>
          <w:szCs w:val="28"/>
          <w:highlight w:val="none"/>
        </w:rPr>
      </w:pPr>
      <w:r>
        <w:rPr>
          <w:rFonts w:ascii="方正黑体_GBK" w:hAnsi="方正黑体_GBK" w:eastAsia="方正黑体_GBK" w:cs="方正黑体_GBK"/>
          <w:bCs/>
          <w:color w:val="000000"/>
          <w:sz w:val="28"/>
          <w:szCs w:val="28"/>
          <w:highlight w:val="none"/>
        </w:rPr>
      </w:r>
      <w:r/>
    </w:p>
    <w:p>
      <w:pPr>
        <w:ind w:firstLine="840"/>
        <w:spacing w:line="400" w:lineRule="exact"/>
        <w:rPr>
          <w:rFonts w:ascii="方正黑体_GBK" w:hAnsi="方正黑体_GBK" w:eastAsia="方正黑体_GBK" w:cs="方正黑体_GBK"/>
          <w:bCs/>
          <w:color w:val="000000"/>
          <w:sz w:val="28"/>
          <w:szCs w:val="28"/>
          <w:highlight w:val="none"/>
        </w:rPr>
      </w:pPr>
      <w:r>
        <w:rPr>
          <w:rFonts w:ascii="方正黑体_GBK" w:hAnsi="方正黑体_GBK" w:eastAsia="方正黑体_GBK" w:cs="方正黑体_GBK"/>
          <w:bCs/>
          <w:color w:val="000000"/>
          <w:sz w:val="28"/>
          <w:szCs w:val="28"/>
          <w:highlight w:val="none"/>
        </w:rPr>
      </w:r>
      <w:r/>
    </w:p>
    <w:p>
      <w:pPr>
        <w:ind w:firstLine="840"/>
        <w:spacing w:line="400" w:lineRule="exact"/>
        <w:rPr>
          <w:rFonts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项 目 名 称：</w:t>
      </w:r>
      <w:r>
        <w:rPr>
          <w:rFonts w:hint="eastAsia" w:ascii="方正黑体_GBK" w:hAnsi="方正黑体_GBK" w:eastAsia="方正黑体_GBK" w:cs="方正黑体_GBK"/>
          <w:bCs/>
          <w:color w:val="000000"/>
          <w:sz w:val="28"/>
          <w:szCs w:val="28"/>
          <w:highlight w:val="none"/>
          <w:u w:val="single"/>
        </w:rPr>
        <w:t xml:space="preserve">               </w:t>
      </w:r>
      <w:r/>
    </w:p>
    <w:p>
      <w:pPr>
        <w:ind w:firstLine="840"/>
        <w:spacing w:line="400" w:lineRule="exact"/>
        <w:rPr>
          <w:rFonts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采 购 编 号：</w:t>
      </w:r>
      <w:r>
        <w:rPr>
          <w:rFonts w:hint="eastAsia" w:ascii="方正黑体_GBK" w:hAnsi="方正黑体_GBK" w:eastAsia="方正黑体_GBK" w:cs="方正黑体_GBK"/>
          <w:bCs/>
          <w:color w:val="000000"/>
          <w:sz w:val="28"/>
          <w:szCs w:val="28"/>
          <w:highlight w:val="none"/>
          <w:u w:val="single"/>
        </w:rPr>
        <w:t xml:space="preserve">               </w:t>
      </w:r>
      <w:r/>
    </w:p>
    <w:p>
      <w:pPr>
        <w:spacing w:line="400" w:lineRule="exact"/>
        <w:rPr>
          <w:rFonts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投标人名称 ：</w:t>
      </w:r>
      <w:r>
        <w:rPr>
          <w:rFonts w:hint="eastAsia" w:ascii="方正黑体_GBK" w:hAnsi="方正黑体_GBK" w:eastAsia="方正黑体_GBK" w:cs="方正黑体_GBK"/>
          <w:bCs/>
          <w:color w:val="000000"/>
          <w:sz w:val="28"/>
          <w:szCs w:val="28"/>
          <w:highlight w:val="none"/>
          <w:u w:val="single"/>
        </w:rPr>
        <w:t xml:space="preserve">（加盖CA电子公章）</w:t>
      </w:r>
      <w:r/>
    </w:p>
    <w:p>
      <w:pPr>
        <w:spacing w:line="400" w:lineRule="exact"/>
        <w:rPr>
          <w:rFonts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日      期 ：</w:t>
      </w:r>
      <w:r>
        <w:rPr>
          <w:rFonts w:hint="eastAsia" w:ascii="方正黑体_GBK" w:hAnsi="方正黑体_GBK" w:eastAsia="方正黑体_GBK" w:cs="方正黑体_GBK"/>
          <w:bCs/>
          <w:color w:val="000000"/>
          <w:sz w:val="28"/>
          <w:szCs w:val="28"/>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00" w:lineRule="exact"/>
        <w:rPr>
          <w:rFonts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投标文件的组成</w:t>
      </w:r>
      <w:r/>
    </w:p>
    <w:p>
      <w:pPr>
        <w:jc w:val="center"/>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ind w:firstLine="560"/>
        <w:jc w:val="left"/>
        <w:spacing w:line="400" w:lineRule="exact"/>
        <w:rPr>
          <w:rFonts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一、基本目录</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1.开标一览表（格式见附件1）</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2.投标分项报价表（格式见附件2）</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3.技术要求响应及偏离表（格式见附件3）</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4.商务要求响应及偏离表（格式见附件4）</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eastAsia="方正仿宋_GBK"/>
          <w:sz w:val="28"/>
          <w:szCs w:val="28"/>
          <w:highlight w:val="none"/>
        </w:rPr>
        <w:t xml:space="preserve">XXXX</w:t>
      </w:r>
      <w:r>
        <w:rPr>
          <w:rFonts w:hint="eastAsia" w:ascii="方正仿宋_GBK" w:hAnsi="方正仿宋_GBK" w:eastAsia="方正仿宋_GBK" w:cs="方正仿宋_GBK"/>
          <w:color w:val="000000"/>
          <w:sz w:val="28"/>
          <w:szCs w:val="28"/>
          <w:highlight w:val="none"/>
        </w:rPr>
        <w:t xml:space="preserve">（格式见附件</w:t>
      </w:r>
      <w:r>
        <w:rPr>
          <w:rFonts w:hint="eastAsia" w:eastAsia="方正仿宋_GBK"/>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w:t>
      </w:r>
      <w:r/>
    </w:p>
    <w:p>
      <w:pPr>
        <w:ind w:firstLine="560"/>
        <w:jc w:val="left"/>
        <w:spacing w:line="400" w:lineRule="exact"/>
        <w:rPr>
          <w:rFonts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二、资格审查内容</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1.法人或者其他组织的营业执照等证明文件，自然人的身份证明</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2.上一年度的财务状况报告（投标人成立不满一年无需提供）</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3.依法缴纳税收和社会保障资金的相关材料（提供提交投标文件截止时间</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前一年内至少一个月依法缴纳税收及缴纳社会保障资金的证明材料。投标人依法享受缓缴、免缴税收、社会保障资金的提供证明材料。）</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4.具备履行合同所必需的设备和专业技术能力的书面声明（格式见附件5）</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5.参加政府采购活动前 3 年内在经营活动中没有重大违法记录的书面声明（格式见附件6）</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6.特定资格要求的证明文件（如果本项目对投标人做出特定资格要求的，必须提供）</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7.在“信用中国”网站</w:t>
      </w:r>
      <w:r>
        <w:rPr>
          <w:rFonts w:eastAsia="方正仿宋_GBK"/>
          <w:color w:val="000000"/>
          <w:sz w:val="28"/>
          <w:szCs w:val="28"/>
          <w:highlight w:val="none"/>
        </w:rPr>
        <w:t xml:space="preserve">（</w:t>
      </w:r>
      <w:r>
        <w:rPr>
          <w:rFonts w:eastAsia="方正仿宋_GBK"/>
          <w:sz w:val="28"/>
          <w:szCs w:val="28"/>
          <w:highlight w:val="none"/>
        </w:rPr>
        <w:t xml:space="preserve">www.creditchina.gov.cn</w:t>
      </w:r>
      <w:r>
        <w:rPr>
          <w:rFonts w:eastAsia="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8.法人授权书（格式见附件7）</w:t>
      </w:r>
      <w:r/>
    </w:p>
    <w:p>
      <w:pPr>
        <w:ind w:firstLine="560"/>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9.投标函（格式见附件8）</w:t>
      </w:r>
      <w:r/>
    </w:p>
    <w:p>
      <w:pPr>
        <w:ind w:firstLine="560"/>
        <w:jc w:val="left"/>
        <w:spacing w:line="400" w:lineRule="exact"/>
        <w:rPr>
          <w:rFonts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三、符合性审查内容</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投标人必须对招标文件（含技术要求和商务要求）中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t xml:space="preserve">的实质性要求逐条做出响应，并按照招标文件要求提供证明材料，否则作无效投标处理。（格式见附件12）</w:t>
      </w:r>
      <w:r/>
    </w:p>
    <w:p>
      <w:pPr>
        <w:ind w:firstLine="560"/>
        <w:jc w:val="left"/>
        <w:spacing w:line="400" w:lineRule="exact"/>
        <w:rPr>
          <w:rFonts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四、价格扣除证明文件</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1.中小微企业声明函（格式见附件9）</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2.残疾人福利性单位声明函（格式见附件10）</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3.关于符合本国产品标准的声明函（格式见附件13）</w:t>
      </w:r>
      <w:r/>
    </w:p>
    <w:p>
      <w:pPr>
        <w:ind w:firstLine="480"/>
        <w:spacing w:line="400" w:lineRule="exact"/>
        <w:rPr>
          <w:rFonts w:hint="eastAsia" w:ascii="宋体" w:hAnsi="宋体"/>
          <w:sz w:val="24"/>
          <w:szCs w:val="21"/>
          <w:highlight w:val="none"/>
        </w:rPr>
      </w:pPr>
      <w:r>
        <w:rPr>
          <w:rFonts w:hint="eastAsia" w:ascii="宋体" w:hAnsi="宋体"/>
          <w:sz w:val="24"/>
          <w:szCs w:val="21"/>
          <w:highlight w:val="none"/>
        </w:rPr>
      </w:r>
      <w:r/>
    </w:p>
    <w:p>
      <w:pPr>
        <w:ind w:left="480"/>
        <w:spacing w:line="400" w:lineRule="exact"/>
        <w:rPr>
          <w:rFonts w:hint="eastAsia" w:ascii="宋体" w:hAnsi="宋体"/>
          <w:b/>
          <w:sz w:val="28"/>
          <w:szCs w:val="28"/>
          <w:highlight w:val="none"/>
        </w:rPr>
      </w:pPr>
      <w:r>
        <w:rPr>
          <w:rFonts w:hint="eastAsia" w:ascii="宋体" w:hAnsi="宋体"/>
          <w:b/>
          <w:sz w:val="28"/>
          <w:szCs w:val="28"/>
          <w:highlight w:val="none"/>
        </w:rPr>
      </w:r>
      <w:r/>
    </w:p>
    <w:p>
      <w:pPr>
        <w:ind w:left="480"/>
        <w:spacing w:line="400" w:lineRule="exact"/>
        <w:rPr>
          <w:rFonts w:hint="eastAsia" w:ascii="宋体" w:hAnsi="宋体"/>
          <w:b/>
          <w:sz w:val="28"/>
          <w:szCs w:val="28"/>
          <w:highlight w:val="none"/>
        </w:rPr>
      </w:pPr>
      <w:r>
        <w:rPr>
          <w:rFonts w:hint="eastAsia" w:ascii="宋体" w:hAnsi="宋体"/>
          <w:b/>
          <w:sz w:val="28"/>
          <w:szCs w:val="28"/>
          <w:highlight w:val="none"/>
        </w:rPr>
      </w:r>
      <w:r/>
    </w:p>
    <w:p>
      <w:pPr>
        <w:ind w:left="480"/>
        <w:spacing w:line="400" w:lineRule="exact"/>
        <w:rPr>
          <w:rFonts w:hint="eastAsia" w:ascii="宋体" w:hAnsi="宋体"/>
          <w:b/>
          <w:sz w:val="28"/>
          <w:szCs w:val="28"/>
          <w:highlight w:val="none"/>
        </w:rPr>
      </w:pPr>
      <w:r>
        <w:rPr>
          <w:rFonts w:hint="eastAsia" w:ascii="宋体" w:hAnsi="宋体"/>
          <w:b/>
          <w:sz w:val="28"/>
          <w:szCs w:val="28"/>
          <w:highlight w:val="none"/>
        </w:rPr>
      </w:r>
      <w:r/>
    </w:p>
    <w:p>
      <w:pPr>
        <w:ind w:left="480"/>
        <w:spacing w:line="400" w:lineRule="exact"/>
        <w:rPr>
          <w:rFonts w:hint="eastAsia" w:ascii="宋体" w:hAnsi="宋体"/>
          <w:b/>
          <w:sz w:val="28"/>
          <w:szCs w:val="28"/>
          <w:highlight w:val="none"/>
        </w:rPr>
      </w:pPr>
      <w:r>
        <w:rPr>
          <w:rFonts w:hint="eastAsia" w:ascii="宋体" w:hAnsi="宋体"/>
          <w:b/>
          <w:sz w:val="28"/>
          <w:szCs w:val="28"/>
          <w:highlight w:val="none"/>
        </w:rPr>
      </w:r>
      <w:r/>
    </w:p>
    <w:p>
      <w:pPr>
        <w:ind w:left="480"/>
        <w:spacing w:line="400" w:lineRule="exact"/>
        <w:rPr>
          <w:rFonts w:hint="eastAsia" w:ascii="宋体" w:hAnsi="宋体"/>
          <w:b/>
          <w:sz w:val="28"/>
          <w:szCs w:val="28"/>
          <w:highlight w:val="none"/>
        </w:rPr>
      </w:pPr>
      <w:r>
        <w:rPr>
          <w:rFonts w:hint="eastAsia" w:ascii="宋体" w:hAnsi="宋体"/>
          <w:b/>
          <w:sz w:val="28"/>
          <w:szCs w:val="28"/>
          <w:highlight w:val="none"/>
        </w:rPr>
      </w:r>
      <w:r/>
    </w:p>
    <w:p>
      <w:pPr>
        <w:ind w:left="480"/>
        <w:spacing w:line="400" w:lineRule="exact"/>
        <w:rPr>
          <w:rFonts w:hint="eastAsia" w:ascii="宋体" w:hAnsi="宋体"/>
          <w:b/>
          <w:sz w:val="28"/>
          <w:szCs w:val="28"/>
          <w:highlight w:val="none"/>
        </w:rPr>
      </w:pPr>
      <w:r>
        <w:rPr>
          <w:rFonts w:hint="eastAsia" w:ascii="宋体" w:hAnsi="宋体"/>
          <w:b/>
          <w:sz w:val="28"/>
          <w:szCs w:val="28"/>
          <w:highlight w:val="none"/>
        </w:rPr>
      </w:r>
      <w:r/>
    </w:p>
    <w:p>
      <w:pPr>
        <w:ind w:left="480"/>
        <w:spacing w:line="400" w:lineRule="exact"/>
        <w:rPr>
          <w:rFonts w:hint="eastAsia" w:ascii="宋体" w:hAnsi="宋体"/>
          <w:b/>
          <w:sz w:val="28"/>
          <w:szCs w:val="28"/>
          <w:highlight w:val="none"/>
        </w:rPr>
      </w:pPr>
      <w:r>
        <w:rPr>
          <w:rFonts w:hint="eastAsia" w:ascii="宋体" w:hAnsi="宋体"/>
          <w:b/>
          <w:sz w:val="28"/>
          <w:szCs w:val="28"/>
          <w:highlight w:val="none"/>
        </w:rPr>
      </w:r>
      <w:r/>
    </w:p>
    <w:p>
      <w:pPr>
        <w:ind w:left="480"/>
        <w:spacing w:line="400" w:lineRule="exact"/>
        <w:rPr>
          <w:rFonts w:hint="eastAsia" w:ascii="宋体" w:hAnsi="宋体"/>
          <w:b/>
          <w:sz w:val="28"/>
          <w:szCs w:val="28"/>
          <w:highlight w:val="none"/>
        </w:rPr>
      </w:pPr>
      <w:r>
        <w:rPr>
          <w:rFonts w:hint="eastAsia" w:ascii="宋体" w:hAnsi="宋体"/>
          <w:b/>
          <w:sz w:val="28"/>
          <w:szCs w:val="28"/>
          <w:highlight w:val="none"/>
        </w:rPr>
      </w:r>
      <w:r/>
    </w:p>
    <w:p>
      <w:pPr>
        <w:ind w:left="480"/>
        <w:spacing w:line="400" w:lineRule="exact"/>
        <w:rPr>
          <w:rFonts w:hint="eastAsia" w:ascii="宋体" w:hAnsi="宋体"/>
          <w:b/>
          <w:sz w:val="28"/>
          <w:szCs w:val="28"/>
          <w:highlight w:val="none"/>
        </w:rPr>
      </w:pPr>
      <w:r>
        <w:rPr>
          <w:rFonts w:hint="eastAsia" w:ascii="宋体" w:hAnsi="宋体"/>
          <w:b/>
          <w:sz w:val="28"/>
          <w:szCs w:val="28"/>
          <w:highlight w:val="none"/>
        </w:rPr>
      </w:r>
      <w:r/>
    </w:p>
    <w:p>
      <w:pPr>
        <w:ind w:left="480"/>
        <w:spacing w:line="400" w:lineRule="exact"/>
        <w:rPr>
          <w:rFonts w:hint="eastAsia" w:ascii="宋体" w:hAnsi="宋体"/>
          <w:b/>
          <w:sz w:val="28"/>
          <w:szCs w:val="28"/>
          <w:highlight w:val="none"/>
        </w:rPr>
      </w:pPr>
      <w:r>
        <w:rPr>
          <w:rFonts w:hint="eastAsia" w:ascii="宋体" w:hAnsi="宋体"/>
          <w:b/>
          <w:sz w:val="28"/>
          <w:szCs w:val="28"/>
          <w:highlight w:val="none"/>
        </w:rPr>
      </w:r>
      <w:r/>
    </w:p>
    <w:p>
      <w:pPr>
        <w:ind w:left="480"/>
        <w:spacing w:line="400" w:lineRule="exact"/>
        <w:rPr>
          <w:rFonts w:hint="eastAsia" w:ascii="宋体" w:hAnsi="宋体"/>
          <w:b/>
          <w:sz w:val="28"/>
          <w:szCs w:val="28"/>
          <w:highlight w:val="none"/>
        </w:rPr>
      </w:pPr>
      <w:r>
        <w:rPr>
          <w:rFonts w:hint="eastAsia" w:ascii="宋体" w:hAnsi="宋体"/>
          <w:b/>
          <w:sz w:val="28"/>
          <w:szCs w:val="28"/>
          <w:highlight w:val="none"/>
        </w:rPr>
      </w:r>
      <w:r/>
    </w:p>
    <w:p>
      <w:pPr>
        <w:ind w:left="480"/>
        <w:spacing w:line="400" w:lineRule="exact"/>
        <w:rPr>
          <w:rFonts w:hint="eastAsia" w:ascii="宋体" w:hAnsi="宋体"/>
          <w:b/>
          <w:sz w:val="28"/>
          <w:szCs w:val="28"/>
          <w:highlight w:val="none"/>
        </w:rPr>
      </w:pPr>
      <w:r>
        <w:rPr>
          <w:rFonts w:hint="eastAsia" w:ascii="宋体" w:hAnsi="宋体"/>
          <w:b/>
          <w:sz w:val="28"/>
          <w:szCs w:val="28"/>
          <w:highlight w:val="none"/>
        </w:rPr>
      </w:r>
      <w:r/>
    </w:p>
    <w:p>
      <w:pPr>
        <w:ind w:left="480"/>
        <w:spacing w:line="400" w:lineRule="exact"/>
        <w:rPr>
          <w:rFonts w:hint="eastAsia" w:ascii="宋体" w:hAnsi="宋体"/>
          <w:b/>
          <w:sz w:val="28"/>
          <w:szCs w:val="28"/>
          <w:highlight w:val="none"/>
        </w:rPr>
      </w:pPr>
      <w:r>
        <w:rPr>
          <w:rFonts w:hint="eastAsia" w:ascii="宋体" w:hAnsi="宋体"/>
          <w:b/>
          <w:sz w:val="28"/>
          <w:szCs w:val="28"/>
          <w:highlight w:val="none"/>
        </w:rPr>
      </w:r>
      <w:r/>
    </w:p>
    <w:p>
      <w:pPr>
        <w:ind w:left="480"/>
        <w:spacing w:line="400" w:lineRule="exact"/>
        <w:rPr>
          <w:rFonts w:hint="eastAsia" w:ascii="宋体" w:hAnsi="宋体"/>
          <w:b/>
          <w:sz w:val="28"/>
          <w:szCs w:val="28"/>
          <w:highlight w:val="none"/>
        </w:rPr>
      </w:pPr>
      <w:r>
        <w:rPr>
          <w:rFonts w:hint="eastAsia" w:ascii="宋体" w:hAnsi="宋体"/>
          <w:b/>
          <w:sz w:val="28"/>
          <w:szCs w:val="28"/>
          <w:highlight w:val="none"/>
        </w:rPr>
      </w:r>
      <w:r/>
    </w:p>
    <w:p>
      <w:pPr>
        <w:spacing w:line="400" w:lineRule="exact"/>
        <w:rPr>
          <w:rFonts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 开标一览表</w:t>
      </w:r>
      <w:r/>
    </w:p>
    <w:p>
      <w:pPr>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投标人全称（加盖CA电子签章）：</w:t>
      </w:r>
      <w:r/>
    </w:p>
    <w:p>
      <w:pPr>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项目名称：</w:t>
      </w:r>
      <w:r>
        <w:rPr>
          <w:rFonts w:hint="eastAsia" w:eastAsia="方正仿宋_GBK"/>
          <w:sz w:val="28"/>
          <w:szCs w:val="28"/>
          <w:highlight w:val="none"/>
        </w:rPr>
        <w:t xml:space="preserve">XXXX</w:t>
      </w:r>
      <w:r/>
    </w:p>
    <w:p>
      <w:pPr>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采购编号：</w:t>
      </w:r>
      <w:r>
        <w:rPr>
          <w:rFonts w:hint="eastAsia" w:eastAsia="方正仿宋_GBK"/>
          <w:sz w:val="28"/>
          <w:szCs w:val="28"/>
          <w:highlight w:val="none"/>
        </w:rPr>
        <w:t xml:space="preserve">JSZC-320000-SCZX-G20XX-XXXX  </w:t>
      </w:r>
      <w:r>
        <w:rPr>
          <w:rFonts w:hint="eastAsia" w:ascii="方正仿宋_GBK" w:hAnsi="方正仿宋_GBK" w:eastAsia="方正仿宋_GBK" w:cs="方正仿宋_GBK"/>
          <w:sz w:val="28"/>
          <w:szCs w:val="28"/>
          <w:highlight w:val="none"/>
        </w:rPr>
        <w:t xml:space="preserve">                                 </w:t>
      </w:r>
      <w:r/>
    </w:p>
    <w:p>
      <w:pPr>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eastAsia="方正仿宋_GBK"/>
          <w:sz w:val="28"/>
          <w:szCs w:val="28"/>
          <w:highlight w:val="none"/>
        </w:rPr>
        <w:t xml:space="preserve">XX</w:t>
      </w:r>
      <w:r/>
    </w:p>
    <w:tbl>
      <w:tblPr>
        <w:tblStyle w:val="78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投标总报价</w:t>
            </w:r>
            <w:r/>
          </w:p>
        </w:tc>
      </w:tr>
      <w:tr>
        <w:trPr>
          <w:cantSplit/>
          <w:trHeight w:val="612"/>
        </w:trPr>
        <w:tc>
          <w:tcPr>
            <w:gridSpan w:val="2"/>
            <w:tcW w:w="8886"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小写：                             （人民币：元）</w:t>
            </w:r>
            <w:r/>
          </w:p>
        </w:tc>
      </w:tr>
      <w:tr>
        <w:trPr>
          <w:cantSplit/>
          <w:trHeight w:val="505"/>
        </w:trPr>
        <w:tc>
          <w:tcPr>
            <w:tcW w:w="2481"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核心产品品牌</w:t>
            </w:r>
            <w:r/>
          </w:p>
        </w:tc>
        <w:tc>
          <w:tcPr>
            <w:tcW w:w="6405" w:type="dxa"/>
            <w:vAlign w:val="center"/>
            <w:textDirection w:val="lrTb"/>
            <w:noWrap w:val="false"/>
          </w:tcPr>
          <w:p>
            <w:pPr>
              <w:jc w:val="left"/>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bl>
    <w:p>
      <w:pPr>
        <w:spacing w:line="400" w:lineRule="exact"/>
        <w:rPr>
          <w:rFonts w:hint="eastAsia" w:ascii="宋体" w:hAnsi="宋体"/>
          <w:sz w:val="28"/>
          <w:szCs w:val="28"/>
          <w:highlight w:val="none"/>
        </w:rPr>
      </w:pPr>
      <w:r>
        <w:rPr>
          <w:rFonts w:hint="eastAsia" w:ascii="宋体" w:hAnsi="宋体"/>
          <w:sz w:val="28"/>
          <w:szCs w:val="28"/>
          <w:highlight w:val="none"/>
        </w:rPr>
      </w:r>
      <w:r/>
    </w:p>
    <w:p>
      <w:pPr>
        <w:jc w:val="center"/>
        <w:spacing w:line="400" w:lineRule="exact"/>
        <w:rPr>
          <w:rFonts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r>
      <w:r/>
    </w:p>
    <w:p>
      <w:pPr>
        <w:jc w:val="center"/>
        <w:spacing w:line="400" w:lineRule="exact"/>
        <w:rPr>
          <w:rFonts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r>
      <w:r/>
    </w:p>
    <w:p>
      <w:pPr>
        <w:jc w:val="center"/>
        <w:spacing w:line="400" w:lineRule="exact"/>
        <w:rPr>
          <w:rFonts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r>
      <w:r/>
    </w:p>
    <w:p>
      <w:pPr>
        <w:jc w:val="center"/>
        <w:spacing w:line="400" w:lineRule="exact"/>
        <w:rPr>
          <w:rFonts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r>
      <w:r/>
    </w:p>
    <w:p>
      <w:pPr>
        <w:jc w:val="center"/>
        <w:spacing w:line="400" w:lineRule="exact"/>
        <w:rPr>
          <w:rFonts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r>
      <w:r/>
    </w:p>
    <w:p>
      <w:pPr>
        <w:jc w:val="center"/>
        <w:spacing w:line="400" w:lineRule="exact"/>
        <w:rPr>
          <w:rFonts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r>
      <w:r/>
    </w:p>
    <w:p>
      <w:pPr>
        <w:jc w:val="center"/>
        <w:spacing w:line="400" w:lineRule="exact"/>
        <w:rPr>
          <w:rFonts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r>
      <w:r/>
    </w:p>
    <w:p>
      <w:pPr>
        <w:jc w:val="center"/>
        <w:spacing w:line="400" w:lineRule="exact"/>
        <w:rPr>
          <w:rFonts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附件2 投标分项报价表（采购包号：XX）</w:t>
      </w:r>
      <w:r/>
    </w:p>
    <w:tbl>
      <w:tblPr>
        <w:tblStyle w:val="782"/>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900"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72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p>
        </w:tc>
        <w:tc>
          <w:tcPr>
            <w:tcW w:w="93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p>
        </w:tc>
        <w:tc>
          <w:tcPr>
            <w:tcW w:w="980"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p>
        </w:tc>
        <w:tc>
          <w:tcPr>
            <w:tcW w:w="110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p>
        </w:tc>
        <w:tc>
          <w:tcPr>
            <w:tcW w:w="138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p>
        </w:tc>
        <w:tc>
          <w:tcPr>
            <w:tcW w:w="924"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w:t>
            </w:r>
            <w:r/>
          </w:p>
        </w:tc>
        <w:tc>
          <w:tcPr>
            <w:tcW w:w="100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p>
        </w:tc>
        <w:tc>
          <w:tcPr>
            <w:tcW w:w="96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w:t>
            </w:r>
            <w:r/>
          </w:p>
        </w:tc>
      </w:tr>
      <w:tr>
        <w:trPr>
          <w:cantSplit/>
          <w:trHeight w:val="294"/>
        </w:trPr>
        <w:tc>
          <w:tcPr>
            <w:tcW w:w="57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900"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产品</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名称</w:t>
            </w:r>
            <w:r/>
          </w:p>
        </w:tc>
        <w:tc>
          <w:tcPr>
            <w:tcW w:w="72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品牌</w:t>
            </w:r>
            <w:r/>
          </w:p>
        </w:tc>
        <w:tc>
          <w:tcPr>
            <w:tcW w:w="93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规格</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型号</w:t>
            </w:r>
            <w:r/>
          </w:p>
        </w:tc>
        <w:tc>
          <w:tcPr>
            <w:tcW w:w="980"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制造商名称</w:t>
            </w:r>
            <w:r/>
          </w:p>
        </w:tc>
        <w:tc>
          <w:tcPr>
            <w:tcW w:w="110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产地</w:t>
            </w:r>
            <w:r/>
          </w:p>
        </w:tc>
        <w:tc>
          <w:tcPr>
            <w:tcW w:w="138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交付期</w:t>
            </w:r>
            <w:r/>
          </w:p>
        </w:tc>
        <w:tc>
          <w:tcPr>
            <w:tcW w:w="924"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数量</w:t>
            </w:r>
            <w:r/>
          </w:p>
        </w:tc>
        <w:tc>
          <w:tcPr>
            <w:tcW w:w="100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单价</w:t>
            </w:r>
            <w:r/>
          </w:p>
        </w:tc>
        <w:tc>
          <w:tcPr>
            <w:tcW w:w="96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总价</w:t>
            </w:r>
            <w:r/>
          </w:p>
        </w:tc>
      </w:tr>
      <w:tr>
        <w:trPr>
          <w:cantSplit/>
          <w:trHeight w:val="696"/>
        </w:trPr>
        <w:tc>
          <w:tcPr>
            <w:tcW w:w="57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p>
        </w:tc>
        <w:tc>
          <w:tcPr>
            <w:tcW w:w="900"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72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3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80"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106"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8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合同签订后</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p>
        </w:tc>
        <w:tc>
          <w:tcPr>
            <w:tcW w:w="924"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0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6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724"/>
        </w:trPr>
        <w:tc>
          <w:tcPr>
            <w:tcW w:w="57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p>
        </w:tc>
        <w:tc>
          <w:tcPr>
            <w:tcW w:w="900"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72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3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80"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106"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8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24"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0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6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640"/>
        </w:trPr>
        <w:tc>
          <w:tcPr>
            <w:tcW w:w="57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p>
        </w:tc>
        <w:tc>
          <w:tcPr>
            <w:tcW w:w="900"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72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3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80"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106"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8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24"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0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6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580"/>
        </w:trPr>
        <w:tc>
          <w:tcPr>
            <w:tcW w:w="57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900"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72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3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80"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106"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38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24"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00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96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434"/>
        </w:trPr>
        <w:tc>
          <w:tcPr>
            <w:gridSpan w:val="10"/>
            <w:tcW w:w="9514" w:type="dxa"/>
            <w:textDirection w:val="lrTb"/>
            <w:noWrap w:val="false"/>
          </w:tcPr>
          <w:p>
            <w:pPr>
              <w:spacing w:line="400" w:lineRule="exact"/>
              <w:rPr>
                <w:rFonts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投标总报价（人民币：元）</w:t>
            </w:r>
            <w:r>
              <w:rPr>
                <w:rFonts w:hint="eastAsia" w:ascii="方正仿宋_GBK" w:hAnsi="方正仿宋_GBK" w:eastAsia="方正仿宋_GBK" w:cs="方正仿宋_GBK"/>
                <w:sz w:val="28"/>
                <w:szCs w:val="28"/>
                <w:highlight w:val="none"/>
                <w:u w:val="single"/>
              </w:rPr>
              <w:t xml:space="preserve">                             </w:t>
            </w:r>
            <w:r/>
          </w:p>
        </w:tc>
      </w:tr>
      <w:tr>
        <w:trPr>
          <w:cantSplit/>
          <w:trHeight w:val="767"/>
        </w:trPr>
        <w:tc>
          <w:tcPr>
            <w:gridSpan w:val="10"/>
            <w:tcW w:w="9514" w:type="dxa"/>
            <w:textDirection w:val="lrTb"/>
            <w:noWrap w:val="false"/>
          </w:tcPr>
          <w:p>
            <w:pPr>
              <w:pStyle w:val="1013"/>
              <w:spacing w:before="0" w:beforeAutospacing="0" w:after="0" w:afterAutospacing="0"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w:t>
            </w:r>
            <w:r/>
          </w:p>
        </w:tc>
      </w:tr>
    </w:tbl>
    <w:p>
      <w:pPr>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2.“投标分项报价表”中“投标总报价”数额应当与“开标一览表”中“投标总报价”数额一致。</w:t>
      </w:r>
      <w:r/>
    </w:p>
    <w:p>
      <w:pPr>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4.投标人需认真填写本报价表，尤其注意规格型号的准确填写。</w:t>
      </w:r>
      <w:r/>
    </w:p>
    <w:p>
      <w:pPr>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5.项目经办人可以根据项目实际需要对表格结构进行调整。</w:t>
      </w:r>
      <w:r/>
    </w:p>
    <w:p>
      <w:pPr>
        <w:jc w:val="center"/>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spacing w:line="400" w:lineRule="exact"/>
        <w:rPr>
          <w:rFonts w:hint="eastAsia" w:ascii="宋体" w:hAnsi="宋体"/>
          <w:b/>
          <w:sz w:val="28"/>
          <w:szCs w:val="28"/>
          <w:highlight w:val="none"/>
        </w:rPr>
      </w:pPr>
      <w:r>
        <w:rPr>
          <w:rFonts w:hint="eastAsia" w:ascii="宋体" w:hAnsi="宋体"/>
          <w:b/>
          <w:sz w:val="28"/>
          <w:szCs w:val="28"/>
          <w:highlight w:val="none"/>
        </w:rPr>
      </w:r>
      <w:r/>
    </w:p>
    <w:p>
      <w:pPr>
        <w:jc w:val="center"/>
        <w:spacing w:line="400" w:lineRule="exact"/>
        <w:rPr>
          <w:rFonts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附件3 技术要求响应及偏离表（采购包号：</w:t>
      </w:r>
      <w:r>
        <w:rPr>
          <w:rFonts w:hint="eastAsia" w:eastAsia="方正仿宋_GBK"/>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p>
    <w:tbl>
      <w:tblPr>
        <w:tblStyle w:val="7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063"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p>
        </w:tc>
        <w:tc>
          <w:tcPr>
            <w:tcW w:w="3191"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212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063"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191"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2128"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063"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191"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2128"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bl>
    <w:p>
      <w:pPr>
        <w:ind w:firstLine="482"/>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附件3-1  证明材料1，证明材料2，……</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1.投标人需对招标文件技术要求中非实质性要求（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p>
    <w:p>
      <w:pPr>
        <w:ind w:firstLine="560"/>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p>
      <w:pPr>
        <w:jc w:val="center"/>
        <w:spacing w:line="400" w:lineRule="exact"/>
        <w:rPr>
          <w:rFonts w:ascii="方正黑体_GBK" w:hAnsi="方正黑体_GBK" w:eastAsia="方正黑体_GBK" w:cs="方正黑体_GBK"/>
          <w:b/>
          <w:sz w:val="28"/>
          <w:szCs w:val="28"/>
          <w:highlight w:val="none"/>
        </w:rPr>
      </w:pPr>
      <w:r>
        <w:rPr>
          <w:rFonts w:hint="eastAsia" w:ascii="方正黑体_GBK" w:hAnsi="方正黑体_GBK" w:eastAsia="方正黑体_GBK" w:cs="方正黑体_GBK"/>
          <w:bCs/>
          <w:sz w:val="28"/>
          <w:szCs w:val="28"/>
          <w:highlight w:val="none"/>
        </w:rPr>
        <w:t xml:space="preserve">附件4 商务要求响应及偏离表（采购包号：</w:t>
      </w:r>
      <w:r>
        <w:rPr>
          <w:rFonts w:hint="eastAsia" w:eastAsia="方正仿宋_GBK"/>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p>
    <w:tbl>
      <w:tblPr>
        <w:tblStyle w:val="7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063"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w:t>
            </w:r>
            <w:r/>
          </w:p>
        </w:tc>
        <w:tc>
          <w:tcPr>
            <w:tcW w:w="3191"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2128"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p>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063"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191"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2128"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063"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191"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2128"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bl>
    <w:p>
      <w:pPr>
        <w:ind w:firstLine="482"/>
        <w:spacing w:line="400" w:lineRule="exact"/>
        <w:rPr>
          <w:rFonts w:hint="eastAsia" w:ascii="宋体" w:hAnsi="宋体"/>
          <w:sz w:val="28"/>
          <w:szCs w:val="28"/>
          <w:highlight w:val="none"/>
        </w:rPr>
      </w:pPr>
      <w:r>
        <w:rPr>
          <w:rFonts w:hint="eastAsia" w:ascii="方正仿宋_GBK" w:hAnsi="方正仿宋_GBK" w:eastAsia="方正仿宋_GBK" w:cs="方正仿宋_GBK"/>
          <w:sz w:val="28"/>
          <w:szCs w:val="28"/>
          <w:highlight w:val="none"/>
        </w:rPr>
        <w:t xml:space="preserve">附件4-1  证明材料1，证明材料2，……</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1.投标人需对招标文件商务要求中非实质性要求（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p>
    <w:p>
      <w:pP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附件5 具备履行合同所必需的设备和专业技术能力的书面声明</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p>
    <w:p>
      <w:pP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                                     </w:t>
      </w:r>
      <w:r/>
    </w:p>
    <w:p>
      <w:pPr>
        <w:ind w:left="48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ind w:left="48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附件6 参加政府采购活动前 3 年内在经营活动中没有重大违法记录的书面声明</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354"/>
      <w:r/>
      <w:bookmarkEnd w:id="355"/>
      <w:r/>
      <w:bookmarkEnd w:id="356"/>
      <w:r/>
      <w:bookmarkStart w:id="357" w:name="_Toc120614284"/>
      <w:r/>
      <w:r/>
    </w:p>
    <w:p>
      <w:pP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ind w:firstLine="48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spacing w:line="400" w:lineRule="exact"/>
        <w:rPr>
          <w:rFonts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附件7                   法人授权书</w:t>
      </w:r>
      <w:r/>
    </w:p>
    <w:p>
      <w:pPr>
        <w:ind w:firstLine="560"/>
        <w:spacing w:line="400" w:lineRule="exact"/>
        <w:tabs>
          <w:tab w:val="left" w:pos="360" w:leader="none"/>
        </w:tabs>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（投标人名称）授权</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p>
    <w:p>
      <w:pPr>
        <w:ind w:firstLine="560"/>
        <w:spacing w:line="400" w:lineRule="exact"/>
        <w:tabs>
          <w:tab w:val="left" w:pos="360" w:leader="none"/>
        </w:tabs>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年</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月</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日起生效，特此声明。</w:t>
      </w:r>
      <w:r/>
    </w:p>
    <w:p>
      <w:pPr>
        <w:ind w:firstLine="560"/>
        <w:spacing w:line="400" w:lineRule="exact"/>
        <w:tabs>
          <w:tab w:val="left" w:pos="360" w:leader="none"/>
        </w:tabs>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spacing w:line="400" w:lineRule="exact"/>
        <w:tabs>
          <w:tab w:val="left" w:pos="360" w:leader="none"/>
        </w:tabs>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tabs>
          <w:tab w:val="left" w:pos="360" w:leader="none"/>
        </w:tabs>
        <w:rPr>
          <w:rFonts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 </w:t>
      </w:r>
      <w:r/>
    </w:p>
    <w:p>
      <w:pPr>
        <w:ind w:firstLine="560"/>
        <w:spacing w:line="400" w:lineRule="exact"/>
        <w:tabs>
          <w:tab w:val="left" w:pos="360" w:leader="none"/>
        </w:tabs>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spacing w:line="400" w:lineRule="exact"/>
        <w:tabs>
          <w:tab w:val="left" w:pos="360" w:leader="none"/>
        </w:tabs>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w:t>
      </w:r>
      <w:bookmarkStart w:id="358" w:name="_格式3__银行出具的资信证明"/>
      <w:r/>
      <w:bookmarkEnd w:id="358"/>
      <w:r/>
      <w:bookmarkStart w:id="359" w:name="_Hlt26671380"/>
      <w:r/>
      <w:bookmarkEnd w:id="359"/>
      <w:r/>
      <w:bookmarkStart w:id="360" w:name="_Hlt26955070"/>
      <w:r/>
      <w:bookmarkEnd w:id="360"/>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420"/>
        <w:spacing w:line="400" w:lineRule="exact"/>
        <w:rPr>
          <w:color w:val="000000"/>
          <w:sz w:val="28"/>
          <w:szCs w:val="28"/>
          <w:highlight w:val="none"/>
        </w:rPr>
      </w:pPr>
      <w:r>
        <w:rPr>
          <w:color w:val="000000"/>
          <w:sz w:val="28"/>
          <w:szCs w:val="28"/>
          <w:highlight w:val="none"/>
        </w:rPr>
      </w:r>
      <w:r/>
    </w:p>
    <w:p>
      <w:pPr>
        <w:spacing w:line="400" w:lineRule="exact"/>
        <w:rPr>
          <w:rFonts w:hint="eastAsia" w:ascii="黑体" w:hAnsi="黑体" w:eastAsia="黑体"/>
          <w:b/>
          <w:i/>
          <w:color w:val="000000"/>
          <w:sz w:val="28"/>
          <w:szCs w:val="28"/>
          <w:highlight w:val="none"/>
          <w:u w:val="single"/>
        </w:rPr>
      </w:pPr>
      <w:r>
        <w:rPr>
          <w:rFonts w:ascii="宋体" w:hAnsi="宋体" w:eastAsia="幼圆" w:cs="Arial"/>
          <w:b/>
          <w:color w:val="000000"/>
          <w:sz w:val="28"/>
          <w:szCs w:val="28"/>
          <w:highlight w:val="none"/>
        </w:rPr>
        <w:br w:type="page" w:clear="all"/>
      </w:r>
      <w:r>
        <w:rPr>
          <w:rFonts w:hint="eastAsia" w:ascii="方正黑体_GBK" w:hAnsi="方正黑体_GBK" w:eastAsia="方正黑体_GBK" w:cs="方正黑体_GBK"/>
          <w:bCs/>
          <w:sz w:val="28"/>
          <w:szCs w:val="28"/>
          <w:highlight w:val="none"/>
        </w:rPr>
        <w:t xml:space="preserve">附件8                    投标函</w:t>
      </w:r>
      <w:r/>
    </w:p>
    <w:p>
      <w:pPr>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p>
    <w:p>
      <w:pPr>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根据贵方</w:t>
      </w:r>
      <w:r>
        <w:rPr>
          <w:rFonts w:hint="eastAsia" w:ascii="方正仿宋_GBK" w:hAnsi="方正仿宋_GBK" w:eastAsia="方正仿宋_GBK" w:cs="方正仿宋_GBK"/>
          <w:sz w:val="28"/>
          <w:szCs w:val="28"/>
          <w:highlight w:val="none"/>
        </w:rPr>
        <w:t xml:space="preserve">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w:t>
      </w:r>
      <w:r>
        <w:rPr>
          <w:rFonts w:hint="eastAsia" w:ascii="方正仿宋_GBK" w:hAnsi="方正仿宋_GBK" w:eastAsia="方正仿宋_GBK" w:cs="方正仿宋_GBK"/>
          <w:color w:val="000000"/>
          <w:sz w:val="28"/>
          <w:szCs w:val="28"/>
          <w:highlight w:val="none"/>
        </w:rPr>
        <w:t xml:space="preserve">的招标文件，正式授权下述签字人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(姓名)代表我方</w:t>
      </w:r>
      <w:r>
        <w:rPr>
          <w:rFonts w:eastAsia="方正仿宋_GBK"/>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（投标人的名称），全权处理本次项目投标的有关事宜。</w:t>
      </w:r>
      <w:r/>
    </w:p>
    <w:p>
      <w:pPr>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据此函，</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签字人兹宣布同意如下：</w:t>
      </w:r>
      <w:r/>
    </w:p>
    <w:p>
      <w:pPr>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1.按招标文件规定的各项要求，向买方提供所需货物（包含与货物相关的服务）。</w:t>
      </w:r>
      <w:r/>
    </w:p>
    <w:p>
      <w:pPr>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2.我们完全理解贵方不一定将合同授予最低报价的投标人。</w:t>
      </w:r>
      <w:r/>
    </w:p>
    <w:p>
      <w:pPr>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3.我们已详细审核全部招标文件及其有效补充文件。</w:t>
      </w:r>
      <w:r/>
    </w:p>
    <w:p>
      <w:pPr>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4.我们同意从规定的开标日期起遵循本投标文件，并在规定的投标有效期期满之前均具有约束力。</w:t>
      </w:r>
      <w:r/>
    </w:p>
    <w:p>
      <w:pPr>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5.同意向贵方提供贵方可能另外要求的与投标有关的任何证据或资料，并保证我方已提供和将要提供的文件是真实的、准确的。</w:t>
      </w:r>
      <w:r/>
    </w:p>
    <w:p>
      <w:pPr>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6.一旦我方中标,我方将根据招标文件的规定，严格履行合同的责任和义务,并保证在招标文件规定的时间内完成项目，交付买方验收、使用。</w:t>
      </w:r>
      <w:r/>
    </w:p>
    <w:p>
      <w:pPr>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7.与本投标有关的正式通讯地址为：</w:t>
      </w:r>
      <w:r/>
    </w:p>
    <w:p>
      <w:pPr>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p>
    <w:p>
      <w:pPr>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          编：</w:t>
      </w:r>
      <w:r/>
    </w:p>
    <w:p>
      <w:pPr>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          话：</w:t>
      </w:r>
      <w:r/>
    </w:p>
    <w:p>
      <w:pPr>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传          真：</w:t>
      </w:r>
      <w:r/>
    </w:p>
    <w:p>
      <w:pPr>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投标人开户行：</w:t>
      </w:r>
      <w:r/>
    </w:p>
    <w:p>
      <w:pPr>
        <w:ind w:firstLine="56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账          号： </w:t>
      </w:r>
      <w:r/>
    </w:p>
    <w:p>
      <w:pPr>
        <w:ind w:left="420" w:firstLine="560"/>
        <w:jc w:val="left"/>
        <w:spacing w:line="400" w:lineRule="exact"/>
        <w:rPr>
          <w:rFonts w:hint="eastAsia" w:ascii="宋体" w:hAnsi="宋体"/>
          <w:sz w:val="28"/>
          <w:szCs w:val="28"/>
          <w:highlight w:val="none"/>
        </w:rPr>
      </w:pPr>
      <w:r>
        <w:rPr>
          <w:rFonts w:hint="eastAsia" w:ascii="宋体" w:hAnsi="宋体"/>
          <w:sz w:val="28"/>
          <w:szCs w:val="28"/>
          <w:highlight w:val="none"/>
        </w:rPr>
      </w:r>
      <w:r/>
    </w:p>
    <w:p>
      <w:pPr>
        <w:ind w:left="3830"/>
        <w:jc w:val="left"/>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供应商全称（加盖CA电子公章）：</w:t>
      </w:r>
      <w:r/>
    </w:p>
    <w:p>
      <w:pPr>
        <w:ind w:left="3830"/>
        <w:jc w:val="left"/>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spacing w:line="400" w:lineRule="exact"/>
        <w:rPr>
          <w:rFonts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附件9  中小微企业声明函（货物类项目）（采购包号：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（采购单位名称）采购编号为</w:t>
      </w:r>
      <w:r>
        <w:rPr>
          <w:rFonts w:eastAsia="方正仿宋_GBK"/>
          <w:color w:val="000000"/>
          <w:sz w:val="28"/>
          <w:szCs w:val="28"/>
          <w:highlight w:val="none"/>
        </w:rPr>
        <w:t xml:space="preserve">JSZC-320000-SCZX-G20XX-XXXX</w:t>
      </w:r>
      <w:r>
        <w:rPr>
          <w:rFonts w:eastAsia="方正仿宋_GBK"/>
          <w:sz w:val="28"/>
          <w:szCs w:val="28"/>
          <w:highlight w:val="none"/>
        </w:rPr>
        <w:t xml:space="preserve">，</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sz w:val="28"/>
          <w:szCs w:val="28"/>
          <w:highlight w:val="none"/>
        </w:rPr>
        <w:t xml:space="preserve">）的采购活动，提供的货物全部由符合政策要求的中小微企业制造。相关企业（含联合体中的中小微企业、签订采购包意向协议的中小微企业）的具体情况如下：</w:t>
      </w:r>
      <w:r/>
    </w:p>
    <w:p>
      <w:pPr>
        <w:ind w:firstLine="560"/>
        <w:spacing w:line="400" w:lineRule="exact"/>
        <w:rPr>
          <w:rFonts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（供应商填写招标文件中明确的所属行业）行业；产品制造商为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万元，属于</w:t>
      </w:r>
      <w:r>
        <w:rPr>
          <w:rFonts w:hint="eastAsia" w:ascii="方正仿宋_GBK" w:hAnsi="方正仿宋_GBK" w:eastAsia="方正仿宋_GBK" w:cs="方正仿宋_GBK"/>
          <w:sz w:val="28"/>
          <w:szCs w:val="28"/>
          <w:highlight w:val="none"/>
          <w:u w:val="single"/>
        </w:rPr>
        <w:t xml:space="preserve">（□中型企业 □小型企业 □微型企业）；</w:t>
      </w:r>
      <w:r/>
    </w:p>
    <w:p>
      <w:pPr>
        <w:ind w:firstLine="560"/>
        <w:spacing w:line="400" w:lineRule="exact"/>
        <w:rPr>
          <w:rFonts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（供应商填写招标文件中明确的所属行业）行业；产品制造商为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万元，属于</w:t>
      </w:r>
      <w:r>
        <w:rPr>
          <w:rFonts w:hint="eastAsia" w:ascii="方正仿宋_GBK" w:hAnsi="方正仿宋_GBK" w:eastAsia="方正仿宋_GBK" w:cs="方正仿宋_GBK"/>
          <w:sz w:val="28"/>
          <w:szCs w:val="28"/>
          <w:highlight w:val="none"/>
          <w:u w:val="single"/>
        </w:rPr>
        <w:t xml:space="preserve">（□中型企业 □小型企业 □微型企业）；</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p>
    <w:p>
      <w:pPr>
        <w:ind w:right="180" w:firstLine="560"/>
        <w:jc w:val="righ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企业名称（加盖CA电子公章）：</w:t>
      </w:r>
      <w:r/>
    </w:p>
    <w:p>
      <w:pPr>
        <w:ind w:right="480" w:firstLine="364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  期：</w:t>
      </w:r>
      <w:r>
        <w:rPr>
          <w:rFonts w:hint="eastAsia" w:ascii="方正仿宋_GBK" w:hAnsi="方正仿宋_GBK" w:eastAsia="方正仿宋_GBK" w:cs="方正仿宋_GBK"/>
          <w:color w:val="000000"/>
          <w:sz w:val="28"/>
          <w:szCs w:val="28"/>
          <w:highlight w:val="none"/>
        </w:rPr>
        <w:t xml:space="preserve">___年____月____日</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jc w:val="left"/>
        <w:spacing w:line="400" w:lineRule="exact"/>
        <w:rPr>
          <w:rFonts w:hint="eastAsia" w:ascii="宋体" w:hAnsi="宋体"/>
          <w:color w:val="ff0000"/>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highlight w:val="none"/>
        </w:rPr>
        <w:t xml:space="preserve">                            </w:t>
      </w:r>
      <w:r>
        <w:rPr>
          <w:rFonts w:ascii="宋体" w:hAnsi="宋体"/>
          <w:color w:val="ff0000"/>
          <w:sz w:val="28"/>
          <w:szCs w:val="28"/>
          <w:highlight w:val="none"/>
        </w:rPr>
        <w:t xml:space="preserve">        </w:t>
      </w:r>
      <w:r/>
    </w:p>
    <w:p>
      <w:pPr>
        <w:ind w:firstLine="560"/>
        <w:jc w:val="left"/>
        <w:spacing w:line="400" w:lineRule="exact"/>
        <w:rPr>
          <w:rFonts w:hint="eastAsia" w:ascii="宋体" w:hAnsi="宋体"/>
          <w:color w:val="ff0000"/>
          <w:sz w:val="28"/>
          <w:szCs w:val="28"/>
          <w:highlight w:val="none"/>
        </w:rPr>
      </w:pPr>
      <w:r>
        <w:rPr>
          <w:rFonts w:hint="eastAsia" w:ascii="宋体" w:hAnsi="宋体"/>
          <w:color w:val="ff0000"/>
          <w:sz w:val="28"/>
          <w:szCs w:val="28"/>
          <w:highlight w:val="none"/>
        </w:rPr>
      </w:r>
      <w:r/>
    </w:p>
    <w:p>
      <w:pPr>
        <w:ind w:firstLine="560"/>
        <w:jc w:val="left"/>
        <w:spacing w:line="400" w:lineRule="exact"/>
        <w:rPr>
          <w:rFonts w:hint="eastAsia" w:ascii="宋体" w:hAnsi="宋体"/>
          <w:color w:val="ff0000"/>
          <w:sz w:val="28"/>
          <w:szCs w:val="28"/>
          <w:highlight w:val="none"/>
        </w:rPr>
      </w:pPr>
      <w:r>
        <w:rPr>
          <w:rFonts w:hint="eastAsia" w:ascii="宋体" w:hAnsi="宋体"/>
          <w:color w:val="ff0000"/>
          <w:sz w:val="28"/>
          <w:szCs w:val="28"/>
          <w:highlight w:val="none"/>
        </w:rPr>
      </w:r>
      <w:r/>
    </w:p>
    <w:p>
      <w:pPr>
        <w:ind w:firstLine="560"/>
        <w:jc w:val="left"/>
        <w:spacing w:line="400" w:lineRule="exact"/>
        <w:rPr>
          <w:rFonts w:hint="eastAsia" w:ascii="宋体" w:hAnsi="宋体"/>
          <w:color w:val="ff0000"/>
          <w:sz w:val="28"/>
          <w:szCs w:val="28"/>
          <w:highlight w:val="none"/>
        </w:rPr>
      </w:pPr>
      <w:r>
        <w:rPr>
          <w:rFonts w:hint="eastAsia" w:ascii="方正黑体_GBK" w:hAnsi="方正黑体_GBK" w:eastAsia="方正黑体_GBK" w:cs="方正黑体_GBK"/>
          <w:bCs/>
          <w:sz w:val="28"/>
          <w:szCs w:val="28"/>
          <w:highlight w:val="none"/>
        </w:rPr>
        <w:t xml:space="preserve">附件10残疾人福利性单位声明函（货物类项目）（采购包号：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单位采购编号为</w:t>
      </w:r>
      <w:r>
        <w:rPr>
          <w:rFonts w:eastAsia="方正仿宋_GBK"/>
          <w:color w:val="000000"/>
          <w:sz w:val="28"/>
          <w:szCs w:val="28"/>
          <w:highlight w:val="none"/>
        </w:rPr>
        <w:t xml:space="preserve">JSZC-320000-SCZX-G20XX-XXXX</w:t>
      </w:r>
      <w:r>
        <w:rPr>
          <w:rFonts w:eastAsia="方正仿宋_GBK"/>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sz w:val="28"/>
          <w:szCs w:val="28"/>
          <w:highlight w:val="none"/>
        </w:rPr>
        <w:t xml:space="preserve">）采购活动提供本单位制造的货物，或者提供其他残疾人福利性单位制造的货物（不包括使用非残疾人福利性单位注册商标的货物）。</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非专门面向中小微型企业采购的项目，供应商如不提供此声明函，价格将不做相应扣除。</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p>
    <w:p>
      <w:pPr>
        <w:ind w:firstLine="584"/>
        <w:spacing w:line="400" w:lineRule="exact"/>
        <w:rPr>
          <w:rFonts w:ascii="仿宋_GB2312" w:eastAsia="仿宋_GB2312"/>
          <w:spacing w:val="6"/>
          <w:sz w:val="28"/>
          <w:szCs w:val="28"/>
          <w:highlight w:val="none"/>
        </w:rPr>
      </w:pPr>
      <w:r>
        <w:rPr>
          <w:rFonts w:ascii="仿宋_GB2312" w:eastAsia="仿宋_GB2312"/>
          <w:spacing w:val="6"/>
          <w:sz w:val="28"/>
          <w:szCs w:val="28"/>
          <w:highlight w:val="none"/>
        </w:rPr>
      </w:r>
      <w:r/>
    </w:p>
    <w:p>
      <w:pPr>
        <w:ind w:right="180" w:firstLine="584"/>
        <w:jc w:val="right"/>
        <w:spacing w:line="400" w:lineRule="exact"/>
        <w:rPr>
          <w:rFonts w:ascii="方正仿宋_GBK" w:hAnsi="方正仿宋_GBK" w:eastAsia="方正仿宋_GBK" w:cs="方正仿宋_GBK"/>
          <w:sz w:val="28"/>
          <w:szCs w:val="28"/>
          <w:highlight w:val="none"/>
        </w:rPr>
      </w:pPr>
      <w:r>
        <w:rPr>
          <w:rFonts w:hint="eastAsia" w:ascii="仿宋_GB2312" w:eastAsia="仿宋_GB2312"/>
          <w:spacing w:val="6"/>
          <w:sz w:val="28"/>
          <w:szCs w:val="28"/>
          <w:highlight w:val="none"/>
        </w:rPr>
        <w:t xml:space="preserve">             </w:t>
      </w:r>
      <w:r>
        <w:rPr>
          <w:rFonts w:hint="eastAsia" w:ascii="宋体" w:hAnsi="宋体"/>
          <w:sz w:val="28"/>
          <w:szCs w:val="28"/>
          <w:highlight w:val="none"/>
        </w:rPr>
        <w:t xml:space="preserve">   </w:t>
      </w:r>
      <w:r>
        <w:rPr>
          <w:rFonts w:hint="eastAsia" w:ascii="方正仿宋_GBK" w:hAnsi="方正仿宋_GBK" w:eastAsia="方正仿宋_GBK" w:cs="方正仿宋_GBK"/>
          <w:sz w:val="28"/>
          <w:szCs w:val="28"/>
          <w:highlight w:val="none"/>
        </w:rPr>
        <w:t xml:space="preserve">供应商全称（加盖CA电子公章）：</w:t>
      </w:r>
      <w:r/>
    </w:p>
    <w:p>
      <w:pPr>
        <w:ind w:right="180" w:firstLine="560"/>
        <w:jc w:val="righ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日  期：___年____月____日 </w:t>
      </w:r>
      <w:r/>
    </w:p>
    <w:p>
      <w:pPr>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ind w:firstLine="560"/>
        <w:jc w:val="left"/>
        <w:spacing w:line="400" w:lineRule="exact"/>
        <w:rPr>
          <w:rFonts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附件11 联合体协议（参考格式）（采购包号：XX）</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（联合体中各供应商全称）在此达成以下协议：</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1.我们</w:t>
      </w:r>
      <w:r>
        <w:rPr>
          <w:rFonts w:hint="eastAsia" w:ascii="方正仿宋_GBK" w:hAnsi="方正仿宋_GBK" w:eastAsia="方正仿宋_GBK" w:cs="方正仿宋_GBK"/>
          <w:sz w:val="28"/>
          <w:szCs w:val="28"/>
          <w:highlight w:val="none"/>
          <w:u w:val="single"/>
        </w:rPr>
        <w:t xml:space="preserve"> （供应商1），（供应商2） ，……</w:t>
      </w:r>
      <w:r>
        <w:rPr>
          <w:rFonts w:hint="eastAsia" w:ascii="方正仿宋_GBK" w:hAnsi="方正仿宋_GBK" w:eastAsia="方正仿宋_GBK" w:cs="方正仿宋_GBK"/>
          <w:sz w:val="28"/>
          <w:szCs w:val="28"/>
          <w:highlight w:val="none"/>
        </w:rPr>
        <w:t xml:space="preserve">自愿组成联合体，参加江苏省政府采购中心组织的采购编号为</w:t>
      </w:r>
      <w:r>
        <w:rPr>
          <w:rFonts w:eastAsia="方正仿宋_GBK"/>
          <w:color w:val="000000"/>
          <w:sz w:val="28"/>
          <w:szCs w:val="28"/>
          <w:highlight w:val="none"/>
        </w:rPr>
        <w:t xml:space="preserve">JSZC-320000-SCZX-G20XX-XXXX</w:t>
      </w:r>
      <w:r>
        <w:rPr>
          <w:rFonts w:eastAsia="方正仿宋_GBK"/>
          <w:sz w:val="28"/>
          <w:szCs w:val="28"/>
          <w:highlight w:val="none"/>
        </w:rPr>
        <w:t xml:space="preserve">，</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sz w:val="28"/>
          <w:szCs w:val="28"/>
          <w:highlight w:val="none"/>
        </w:rPr>
        <w:t xml:space="preserve">）的政府采购活动，我联合体指定</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（供应商全称）为牵头单位（牵头单位必须为联合体成员）。</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2.若我们联合中标、成交，</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（供应商单位1全称）实施项目中</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（工作内容）部分工作，并承担相应的责任。</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（供应商单位2全称）实施项目中</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（工作内容）部分工作，并承担相应的责任……。（注：联合体中各供应商都应明示所承担的工作和相应的责任）。</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3.其中</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（小型、微型企业/残疾人福利性单位/监狱企业全称）为（</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小型、微型企业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残疾人福利性单位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监狱企业）企业，且我们约定该公司/单位所承担的合同金额将占本项目合同总金额的</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w:t>
      </w:r>
      <w:r/>
    </w:p>
    <w:p>
      <w:pPr>
        <w:spacing w:line="400" w:lineRule="exact"/>
        <w:rPr>
          <w:rFonts w:hint="eastAsia" w:ascii="宋体" w:hAnsi="宋体"/>
          <w:sz w:val="28"/>
          <w:szCs w:val="28"/>
          <w:highlight w:val="none"/>
        </w:rPr>
      </w:pPr>
      <w:r>
        <w:rPr>
          <w:rFonts w:ascii="宋体" w:hAnsi="宋体"/>
          <w:sz w:val="28"/>
          <w:szCs w:val="28"/>
          <w:highlight w:val="none"/>
        </w:rPr>
        <w:t xml:space="preserve">      </w:t>
      </w:r>
      <w:r>
        <w:rPr>
          <w:rFonts w:hint="eastAsia" w:ascii="宋体" w:hAnsi="宋体"/>
          <w:sz w:val="28"/>
          <w:szCs w:val="28"/>
          <w:highlight w:val="none"/>
        </w:rPr>
        <w:t xml:space="preserve">            </w:t>
      </w:r>
      <w:r/>
    </w:p>
    <w:p>
      <w:pPr>
        <w:ind w:right="180" w:firstLine="560"/>
        <w:jc w:val="righ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联合体中各供应商全称（公章）：     </w:t>
      </w:r>
      <w:r/>
    </w:p>
    <w:p>
      <w:pPr>
        <w:ind w:right="180" w:firstLine="560"/>
        <w:jc w:val="right"/>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日期：___年____月____日 </w:t>
      </w:r>
      <w:r/>
    </w:p>
    <w:p>
      <w:pPr>
        <w:ind w:firstLine="645"/>
        <w:spacing w:line="400" w:lineRule="exact"/>
        <w:rPr>
          <w:rFonts w:hint="eastAsia" w:ascii="宋体" w:hAnsi="宋体"/>
          <w:sz w:val="28"/>
          <w:szCs w:val="28"/>
          <w:highlight w:val="none"/>
        </w:rPr>
      </w:pPr>
      <w:r>
        <w:rPr>
          <w:rFonts w:hint="eastAsia" w:ascii="宋体" w:hAnsi="宋体"/>
          <w:sz w:val="28"/>
          <w:szCs w:val="28"/>
          <w:highlight w:val="none"/>
        </w:rPr>
      </w:r>
      <w:r/>
    </w:p>
    <w:p>
      <w:pPr>
        <w:ind w:firstLine="645"/>
        <w:spacing w:line="400" w:lineRule="exact"/>
        <w:rPr>
          <w:rFonts w:hint="eastAsia" w:ascii="宋体" w:hAnsi="宋体"/>
          <w:sz w:val="28"/>
          <w:szCs w:val="28"/>
          <w:highlight w:val="none"/>
        </w:rPr>
      </w:pPr>
      <w:r>
        <w:rPr>
          <w:rFonts w:hint="eastAsia" w:ascii="宋体" w:hAnsi="宋体"/>
          <w:sz w:val="28"/>
          <w:szCs w:val="28"/>
          <w:highlight w:val="none"/>
        </w:rPr>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备注：本招标文件中要求加盖CA电子签章的地方，仅需加盖牵头单位的CA电子签章。</w:t>
      </w:r>
      <w:r/>
    </w:p>
    <w:p>
      <w:pPr>
        <w:ind w:firstLine="645"/>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jc w:val="left"/>
        <w:spacing w:line="400" w:lineRule="exact"/>
        <w:rPr>
          <w:rFonts w:ascii="方正黑体_GBK" w:hAnsi="方正黑体_GBK" w:eastAsia="方正黑体_GBK" w:cs="方正黑体_GBK"/>
          <w:b/>
          <w:sz w:val="28"/>
          <w:szCs w:val="28"/>
          <w:highlight w:val="none"/>
        </w:rPr>
      </w:pPr>
      <w:r>
        <w:rPr>
          <w:rFonts w:hint="eastAsia" w:ascii="方正黑体_GBK" w:hAnsi="方正黑体_GBK" w:eastAsia="方正黑体_GBK" w:cs="方正黑体_GBK"/>
          <w:bCs/>
          <w:sz w:val="28"/>
          <w:szCs w:val="28"/>
          <w:highlight w:val="none"/>
        </w:rPr>
        <w:t xml:space="preserve">附件12实质性要求响应及偏离表（采购包号：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p>
    <w:tbl>
      <w:tblPr>
        <w:tblStyle w:val="7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609"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p>
        </w:tc>
        <w:tc>
          <w:tcPr>
            <w:tcW w:w="3317"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1526" w:type="dxa"/>
            <w:vAlign w:val="center"/>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609"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317"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p>
        </w:tc>
        <w:tc>
          <w:tcPr>
            <w:tcW w:w="3609"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317"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3609"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317"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r>
            <w:r/>
          </w:p>
        </w:tc>
      </w:tr>
    </w:tbl>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附件12-1 证明材料1，证明材料2，……</w:t>
      </w:r>
      <w:r/>
    </w:p>
    <w:p>
      <w:pPr>
        <w:spacing w:line="400" w:lineRule="exact"/>
        <w:rPr>
          <w:rFonts w:hint="eastAsia" w:ascii="宋体" w:hAnsi="宋体"/>
          <w:sz w:val="28"/>
          <w:szCs w:val="28"/>
          <w:highlight w:val="none"/>
        </w:rPr>
      </w:pPr>
      <w:r>
        <w:rPr>
          <w:rFonts w:hint="eastAsia" w:ascii="宋体" w:hAnsi="宋体"/>
          <w:sz w:val="28"/>
          <w:szCs w:val="28"/>
          <w:highlight w:val="none"/>
        </w:rPr>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t xml:space="preserve">逐条做出明确响应。</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2.如果招标文件要求提供证明材料，投标人必须将证明材料列于该表之下。</w:t>
      </w:r>
      <w:r/>
    </w:p>
    <w:p>
      <w:pPr>
        <w:ind w:firstLine="560"/>
        <w:spacing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3.投标人未对实质性要求逐条作出明确响应的，或未按招标文件要求提供证明材料的，该采购包作无效投标处理。</w:t>
      </w:r>
      <w:r/>
    </w:p>
    <w:p>
      <w:pPr>
        <w:spacing w:line="400" w:lineRule="exact"/>
        <w:rPr>
          <w:rFonts w:hint="eastAsia" w:ascii="宋体" w:hAnsi="宋体"/>
          <w:sz w:val="28"/>
          <w:szCs w:val="28"/>
          <w:highlight w:val="none"/>
        </w:rPr>
      </w:pPr>
      <w:r>
        <w:rPr>
          <w:rFonts w:hint="eastAsia" w:ascii="宋体" w:hAnsi="宋体"/>
          <w:sz w:val="28"/>
          <w:szCs w:val="28"/>
          <w:highlight w:val="none"/>
        </w:rPr>
      </w:r>
      <w:r/>
    </w:p>
    <w:p>
      <w:pPr>
        <w:ind w:firstLine="280"/>
        <w:jc w:val="left"/>
        <w:spacing w:line="400" w:lineRule="exact"/>
        <w:rPr>
          <w:rFonts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附件13  关于符合本国产品标准的声明函（采购包号：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p>
    <w:p>
      <w:pPr>
        <w:pStyle w:val="1013"/>
        <w:ind w:firstLine="560"/>
        <w:spacing w:before="0" w:beforeAutospacing="0" w:after="0" w:afterAutospacing="0"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3"/>
        <w:ind w:firstLine="560"/>
        <w:spacing w:before="30" w:beforeAutospacing="0" w:after="30" w:afterAutospacing="0"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w:t>
      </w:r>
      <w:r>
        <w:rPr>
          <w:rStyle w:val="1025"/>
          <w:rFonts w:hint="eastAsia" w:ascii="方正仿宋_GBK" w:hAnsi="方正仿宋_GBK" w:eastAsia="方正仿宋_GBK" w:cs="方正仿宋_GBK"/>
          <w:i w:val="0"/>
          <w:sz w:val="28"/>
          <w:szCs w:val="28"/>
          <w:highlight w:val="none"/>
          <w:u w:val="single"/>
          <w:shd w:val="clear" w:color="auto" w:fill="ffffff"/>
        </w:rPr>
        <w:t xml:space="preserve">（产品名称1）</w:t>
      </w:r>
      <w:r>
        <w:rPr>
          <w:rStyle w:val="1025"/>
          <w:rFonts w:hint="eastAsia" w:ascii="方正仿宋_GBK" w:hAnsi="方正仿宋_GBK" w:eastAsia="方正仿宋_GBK" w:cs="方正仿宋_GBK"/>
          <w:i w:val="0"/>
          <w:sz w:val="28"/>
          <w:szCs w:val="28"/>
          <w:highlight w:val="none"/>
          <w:shd w:val="clear" w:color="auto" w:fill="ffffff"/>
          <w:vertAlign w:val="superscript"/>
        </w:rPr>
        <w:t xml:space="preserve">1</w:t>
      </w:r>
      <w:r>
        <w:rPr>
          <w:rFonts w:hint="eastAsia" w:ascii="方正仿宋_GBK" w:hAnsi="方正仿宋_GBK" w:eastAsia="方正仿宋_GBK" w:cs="方正仿宋_GBK"/>
          <w:sz w:val="28"/>
          <w:szCs w:val="28"/>
          <w:highlight w:val="none"/>
          <w:shd w:val="clear" w:color="auto" w:fill="ffffff"/>
        </w:rPr>
        <w:t xml:space="preserve">，生产厂为</w:t>
      </w:r>
      <w:r>
        <w:rPr>
          <w:rStyle w:val="1025"/>
          <w:rFonts w:hint="eastAsia" w:ascii="方正仿宋_GBK" w:hAnsi="方正仿宋_GBK" w:eastAsia="方正仿宋_GBK" w:cs="方正仿宋_GBK"/>
          <w:i w:val="0"/>
          <w:sz w:val="28"/>
          <w:szCs w:val="28"/>
          <w:highlight w:val="none"/>
          <w:u w:val="single"/>
          <w:shd w:val="clear" w:color="auto" w:fill="ffffff"/>
        </w:rPr>
        <w:t xml:space="preserve">（厂名）</w:t>
      </w:r>
      <w:r>
        <w:rPr>
          <w:rStyle w:val="1025"/>
          <w:rFonts w:hint="eastAsia" w:ascii="方正仿宋_GBK" w:hAnsi="方正仿宋_GBK" w:eastAsia="方正仿宋_GBK" w:cs="方正仿宋_GBK"/>
          <w:i w:val="0"/>
          <w:sz w:val="28"/>
          <w:szCs w:val="28"/>
          <w:highlight w:val="none"/>
          <w:shd w:val="clear" w:color="auto" w:fill="ffffff"/>
          <w:vertAlign w:val="superscript"/>
        </w:rPr>
        <w:t xml:space="preserve">2</w:t>
      </w:r>
      <w:r>
        <w:rPr>
          <w:rFonts w:hint="eastAsia" w:ascii="方正仿宋_GBK" w:hAnsi="方正仿宋_GBK" w:eastAsia="方正仿宋_GBK" w:cs="方正仿宋_GBK"/>
          <w:sz w:val="28"/>
          <w:szCs w:val="28"/>
          <w:highlight w:val="none"/>
          <w:shd w:val="clear" w:color="auto" w:fill="ffffff"/>
        </w:rPr>
        <w:t xml:space="preserve">，厂址为</w:t>
      </w:r>
      <w:r>
        <w:rPr>
          <w:rStyle w:val="1025"/>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shd w:val="clear" w:color="auto" w:fill="ffffff"/>
          <w:vertAlign w:val="superscript"/>
        </w:rPr>
        <w:t xml:space="preserve">3</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shd w:val="clear" w:color="auto" w:fill="ffffff"/>
          <w:vertAlign w:val="superscript"/>
        </w:rPr>
        <w:t xml:space="preserve">4</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shd w:val="clear" w:color="auto" w:fill="ffffff"/>
          <w:vertAlign w:val="superscript"/>
        </w:rPr>
        <w:t xml:space="preserve">5</w:t>
      </w:r>
      <w:r>
        <w:rPr>
          <w:rFonts w:hint="eastAsia" w:ascii="方正仿宋_GBK" w:hAnsi="方正仿宋_GBK" w:eastAsia="方正仿宋_GBK" w:cs="方正仿宋_GBK"/>
          <w:sz w:val="28"/>
          <w:szCs w:val="28"/>
          <w:highlight w:val="none"/>
          <w:shd w:val="clear" w:color="auto" w:fill="ffffff"/>
        </w:rPr>
        <w:t xml:space="preserve">在中国境内完成。</w:t>
      </w:r>
      <w:r/>
    </w:p>
    <w:p>
      <w:pPr>
        <w:pStyle w:val="1013"/>
        <w:ind w:firstLine="560"/>
        <w:spacing w:before="30" w:beforeAutospacing="0" w:after="30" w:afterAutospacing="0"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w:t>
      </w:r>
      <w:r>
        <w:rPr>
          <w:rStyle w:val="1025"/>
          <w:rFonts w:hint="eastAsia" w:ascii="方正仿宋_GBK" w:hAnsi="方正仿宋_GBK" w:eastAsia="方正仿宋_GBK" w:cs="方正仿宋_GBK"/>
          <w:i w:val="0"/>
          <w:sz w:val="28"/>
          <w:szCs w:val="28"/>
          <w:highlight w:val="none"/>
          <w:u w:val="single"/>
          <w:shd w:val="clear" w:color="auto" w:fill="ffffff"/>
        </w:rPr>
        <w:t xml:space="preserve">（产品名称2）</w:t>
      </w:r>
      <w:r>
        <w:rPr>
          <w:rFonts w:hint="eastAsia" w:ascii="方正仿宋_GBK" w:hAnsi="方正仿宋_GBK" w:eastAsia="方正仿宋_GBK" w:cs="方正仿宋_GBK"/>
          <w:sz w:val="28"/>
          <w:szCs w:val="28"/>
          <w:highlight w:val="none"/>
          <w:shd w:val="clear" w:color="auto" w:fill="ffffff"/>
        </w:rPr>
        <w:t xml:space="preserve">，生产厂为</w:t>
      </w:r>
      <w:r>
        <w:rPr>
          <w:rStyle w:val="1025"/>
          <w:rFonts w:hint="eastAsia" w:ascii="方正仿宋_GBK" w:hAnsi="方正仿宋_GBK" w:eastAsia="方正仿宋_GBK" w:cs="方正仿宋_GBK"/>
          <w:i w:val="0"/>
          <w:sz w:val="28"/>
          <w:szCs w:val="28"/>
          <w:highlight w:val="none"/>
          <w:u w:val="single"/>
          <w:shd w:val="clear" w:color="auto" w:fill="ffffff"/>
        </w:rPr>
        <w:t xml:space="preserve">（厂名）</w:t>
      </w:r>
      <w:r>
        <w:rPr>
          <w:rFonts w:hint="eastAsia" w:ascii="方正仿宋_GBK" w:hAnsi="方正仿宋_GBK" w:eastAsia="方正仿宋_GBK" w:cs="方正仿宋_GBK"/>
          <w:sz w:val="28"/>
          <w:szCs w:val="28"/>
          <w:highlight w:val="none"/>
          <w:shd w:val="clear" w:color="auto" w:fill="ffffff"/>
        </w:rPr>
        <w:t xml:space="preserve">，厂址为</w:t>
      </w:r>
      <w:r>
        <w:rPr>
          <w:rStyle w:val="1025"/>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在中国境内完成。</w:t>
      </w:r>
      <w:r/>
    </w:p>
    <w:p>
      <w:pPr>
        <w:pStyle w:val="1013"/>
        <w:ind w:firstLine="560"/>
        <w:spacing w:before="30" w:beforeAutospacing="0" w:after="30" w:afterAutospacing="0"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w:t>
      </w:r>
      <w:r/>
    </w:p>
    <w:p>
      <w:pPr>
        <w:pStyle w:val="1013"/>
        <w:ind w:firstLine="560"/>
        <w:spacing w:before="30" w:beforeAutospacing="0" w:after="30" w:afterAutospacing="0"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本公司（单位）对上述声明内容的真实性负责。如有虚假，愿承担相应法律责任。</w:t>
      </w:r>
      <w:r/>
    </w:p>
    <w:p>
      <w:pPr>
        <w:pStyle w:val="1013"/>
        <w:spacing w:before="30" w:beforeAutospacing="0" w:after="30" w:afterAutospacing="0" w:line="400" w:lineRule="exact"/>
        <w:rPr>
          <w:rFonts w:hint="eastAsia"/>
          <w:sz w:val="28"/>
          <w:szCs w:val="28"/>
          <w:highlight w:val="none"/>
        </w:rPr>
      </w:pPr>
      <w:r>
        <w:rPr>
          <w:rFonts w:hint="eastAsia"/>
          <w:sz w:val="28"/>
          <w:szCs w:val="28"/>
          <w:highlight w:val="none"/>
        </w:rPr>
      </w:r>
      <w:r/>
    </w:p>
    <w:p>
      <w:pPr>
        <w:pStyle w:val="1013"/>
        <w:ind w:firstLine="560"/>
        <w:jc w:val="right"/>
        <w:spacing w:before="30" w:beforeAutospacing="0" w:after="30" w:afterAutospacing="0" w:line="400" w:lineRule="exact"/>
        <w:rPr>
          <w:rFonts w:hint="eastAsia"/>
          <w:sz w:val="28"/>
          <w:szCs w:val="28"/>
          <w:highlight w:val="none"/>
        </w:rPr>
      </w:pPr>
      <w:r>
        <w:rPr>
          <w:rFonts w:hint="eastAsia"/>
          <w:sz w:val="28"/>
          <w:szCs w:val="28"/>
          <w:highlight w:val="non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                   公司（单位）名称（加盖CA电子公章）：　  日期：___年____月____日   </w:t>
      </w:r>
      <w:r>
        <w:rPr>
          <w:rFonts w:hint="eastAsia"/>
          <w:sz w:val="28"/>
          <w:szCs w:val="28"/>
          <w:highlight w:val="none"/>
          <w:shd w:val="clear" w:color="auto" w:fill="ffffff"/>
        </w:rPr>
        <w:t xml:space="preserve">     </w:t>
      </w:r>
      <w:r/>
    </w:p>
    <w:p>
      <w:pPr>
        <w:pStyle w:val="1013"/>
        <w:spacing w:before="30" w:beforeAutospacing="0" w:after="30" w:afterAutospacing="0" w:line="400" w:lineRule="exact"/>
        <w:rPr>
          <w:rFonts w:hint="eastAsia"/>
          <w:sz w:val="28"/>
          <w:szCs w:val="28"/>
          <w:highlight w:val="none"/>
        </w:rPr>
      </w:pPr>
      <w:r>
        <w:rPr>
          <w:rFonts w:hint="eastAsia"/>
          <w:sz w:val="28"/>
          <w:szCs w:val="28"/>
          <w:highlight w:val="none"/>
          <w:shd w:val="clear" w:color="auto" w:fill="ffffff"/>
        </w:rPr>
        <w:t xml:space="preserve">__________________</w:t>
      </w:r>
      <w:r/>
    </w:p>
    <w:p>
      <w:pPr>
        <w:pStyle w:val="1013"/>
        <w:spacing w:before="30" w:beforeAutospacing="0" w:after="30" w:afterAutospacing="0"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1.产品如有型号，请在“产品名称”栏一并填写。</w:t>
      </w:r>
      <w:r/>
    </w:p>
    <w:p>
      <w:pPr>
        <w:pStyle w:val="1013"/>
        <w:spacing w:before="30" w:beforeAutospacing="0" w:after="30" w:afterAutospacing="0"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2.生产厂名与厂址应与生产厂营业执照载明的相关信息保持一致。</w:t>
      </w:r>
      <w:r/>
    </w:p>
    <w:p>
      <w:pPr>
        <w:pStyle w:val="1013"/>
        <w:spacing w:before="30" w:beforeAutospacing="0" w:after="30" w:afterAutospacing="0"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3.该产品的中国境内生产的组件成本占比相关要求实施前，“规定比例”栏可不填，下同。</w:t>
      </w:r>
      <w:r/>
    </w:p>
    <w:p>
      <w:pPr>
        <w:pStyle w:val="1013"/>
        <w:spacing w:before="30" w:beforeAutospacing="0" w:after="30" w:afterAutospacing="0" w:line="4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4.该产品的关键组件要求实施前，“关键组件”栏可不填，下同。</w:t>
      </w:r>
      <w:r/>
    </w:p>
    <w:p>
      <w:pPr>
        <w:pStyle w:val="1013"/>
        <w:spacing w:before="30" w:beforeAutospacing="0" w:after="30" w:afterAutospacing="0" w:line="400" w:lineRule="exact"/>
        <w:rPr>
          <w:rFonts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5.该产品的关键工序要求实施前，“关键工序”栏可不填，下同。</w:t>
      </w:r>
      <w:r/>
    </w:p>
    <w:p>
      <w:pPr>
        <w:pStyle w:val="1013"/>
        <w:spacing w:before="30" w:beforeAutospacing="0" w:after="30" w:afterAutospacing="0" w:line="400" w:lineRule="exact"/>
        <w:rPr>
          <w:rFonts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6.《声明函》中标注“</w:t>
      </w:r>
      <w:r>
        <w:rPr>
          <w:rFonts w:hint="eastAsia" w:ascii="方正仿宋_GBK" w:hAnsi="方正仿宋_GBK" w:eastAsia="方正仿宋_GBK" w:cs="方正仿宋_GBK"/>
          <w:sz w:val="28"/>
          <w:szCs w:val="28"/>
          <w:highlight w:val="none"/>
          <w:u w:val="single"/>
          <w:shd w:val="clear" w:color="auto" w:fill="ffffff"/>
        </w:rPr>
        <w:t xml:space="preserve">  </w:t>
      </w:r>
      <w:r>
        <w:rPr>
          <w:rStyle w:val="1025"/>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”的地方无需填写。</w:t>
      </w:r>
      <w:r/>
    </w:p>
    <w:p>
      <w:pPr>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p>
    <w:p>
      <w:pPr>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p>
    <w:p>
      <w:pPr>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p>
    <w:p>
      <w:pPr>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p>
    <w:p>
      <w:pPr>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p>
    <w:p>
      <w:pPr>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p>
    <w:p>
      <w:pPr>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p>
    <w:p>
      <w:pPr>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bookmarkEnd w:id="357"/>
      <w:r/>
    </w:p>
    <w:p>
      <w:pPr>
        <w:ind w:firstLine="280"/>
        <w:jc w:val="center"/>
        <w:spacing w:line="400" w:lineRule="exact"/>
        <w:rPr>
          <w:rFonts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质疑函范本</w:t>
      </w:r>
      <w:r/>
    </w:p>
    <w:p>
      <w:pPr>
        <w:spacing w:before="312"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一、质疑供应商基本信息</w:t>
      </w:r>
      <w:r/>
    </w:p>
    <w:p>
      <w:pPr>
        <w:spacing w:line="400" w:lineRule="exact"/>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质疑供应商：</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授权代表：</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二、质疑项目基本情况</w:t>
      </w:r>
      <w:r/>
    </w:p>
    <w:p>
      <w:pPr>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质疑项目的名称：</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采购人名称：</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采购文件获取日期：</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三、质疑事项具体内容</w:t>
      </w:r>
      <w:r/>
    </w:p>
    <w:p>
      <w:pPr>
        <w:spacing w:line="400" w:lineRule="exact"/>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质疑事项1：</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事实依据：</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法律依据：</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质疑事项2</w:t>
      </w:r>
      <w:r/>
    </w:p>
    <w:p>
      <w:pPr>
        <w:spacing w:line="400" w:lineRule="exact"/>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四、与质疑事项相关的质疑请求</w:t>
      </w:r>
      <w:r/>
    </w:p>
    <w:p>
      <w:pPr>
        <w:spacing w:line="400" w:lineRule="exact"/>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请求：</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签字(签章)：                   公章：                      </w:t>
      </w:r>
      <w:r/>
    </w:p>
    <w:p>
      <w:pPr>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日期：    </w:t>
      </w:r>
      <w:r/>
    </w:p>
    <w:p>
      <w:pPr>
        <w:ind w:firstLine="560"/>
        <w:spacing w:line="400" w:lineRule="exact"/>
        <w:rPr>
          <w:rFonts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质疑函制作说明：</w:t>
      </w:r>
      <w:r/>
    </w:p>
    <w:p>
      <w:pPr>
        <w:ind w:firstLine="560"/>
        <w:jc w:val="left"/>
        <w:spacing w:line="400" w:lineRule="exact"/>
        <w:widowControl/>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1.供应商提出质疑时，应提交质疑函和必要的证明材料。</w:t>
      </w:r>
      <w:r/>
    </w:p>
    <w:p>
      <w:pPr>
        <w:ind w:firstLine="560"/>
        <w:jc w:val="left"/>
        <w:spacing w:line="400" w:lineRule="exact"/>
        <w:widowControl/>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3.质疑供应商若对项目的某一采购包进行质疑，质疑函中应列明具体采购包号。</w:t>
      </w:r>
      <w:r/>
    </w:p>
    <w:p>
      <w:pPr>
        <w:ind w:firstLine="560"/>
        <w:jc w:val="left"/>
        <w:spacing w:line="400" w:lineRule="exact"/>
        <w:widowControl/>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4.质疑函的质疑事项应具体、明确，并有必要的事实依据和法律依据。</w:t>
      </w:r>
      <w:r/>
    </w:p>
    <w:p>
      <w:pPr>
        <w:ind w:firstLine="560"/>
        <w:jc w:val="left"/>
        <w:spacing w:line="400" w:lineRule="exact"/>
        <w:widowControl/>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5.质疑函的质疑请求应与质疑事项相关。</w:t>
      </w:r>
      <w:r/>
    </w:p>
    <w:p>
      <w:pPr>
        <w:ind w:firstLine="560"/>
        <w:jc w:val="left"/>
        <w:spacing w:line="400" w:lineRule="exact"/>
        <w:widowControl/>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560"/>
        <w:jc w:val="left"/>
        <w:spacing w:line="400" w:lineRule="exact"/>
        <w:widowControl/>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sectPr>
      <w:headerReference w:type="default" r:id="rId9"/>
      <w:footerReference w:type="default" r:id="rId12"/>
      <w:footerReference w:type="even" r:id="rId13"/>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Cambria">
    <w:panose1 w:val="02040503050406030204"/>
  </w:font>
  <w:font w:name="楷体">
    <w:panose1 w:val="02010609060101010101"/>
  </w:font>
  <w:font w:name="等线">
    <w:panose1 w:val="02010600030101010101"/>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tabs>
                              <w:tab w:val="clear" w:pos="4153" w:leader="none"/>
                              <w:tab w:val="clear"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tabs>
                        <w:tab w:val="clear" w:pos="4153" w:leader="none"/>
                        <w:tab w:val="clear"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p>
    <w:pPr>
      <w:pStyle w:val="9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tabs>
                              <w:tab w:val="clear" w:pos="4153" w:leader="none"/>
                              <w:tab w:val="clear"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tabs>
                        <w:tab w:val="clear" w:pos="4153" w:leader="none"/>
                        <w:tab w:val="clear"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tabs>
                              <w:tab w:val="clear" w:pos="4153" w:leader="none"/>
                              <w:tab w:val="clear"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19</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tabs>
                        <w:tab w:val="clear" w:pos="4153" w:leader="none"/>
                        <w:tab w:val="clear"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19</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Style w:val="1023"/>
      </w:rPr>
      <w:framePr w:wrap="around" w:vAnchor="text" w:hAnchor="margin" w:xAlign="center" w:y="1"/>
    </w:pPr>
    <w:r>
      <w:fldChar w:fldCharType="begin"/>
    </w:r>
    <w:r>
      <w:rPr>
        <w:rStyle w:val="1023"/>
      </w:rPr>
      <w:instrText xml:space="preserve">PAGE  </w:instrText>
    </w:r>
    <w:r>
      <w:fldChar w:fldCharType="separate"/>
    </w:r>
    <w:r>
      <w:rPr>
        <w:rStyle w:val="1023"/>
      </w:rPr>
      <w:t xml:space="preserve">1</w:t>
    </w:r>
    <w:r>
      <w:fldChar w:fldCharType="end"/>
    </w:r>
    <w:r/>
  </w:p>
  <w:p>
    <w:pPr>
      <w:pStyle w:val="9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8"/>
      <w:isLgl w:val="false"/>
      <w:suff w:val="nothing"/>
      <w:lvlText w:val=""/>
      <w:lvlJc w:val="left"/>
      <w:pPr>
        <w:ind w:left="0" w:firstLine="0"/>
      </w:pPr>
      <w:rPr>
        <w:rFonts w:hint="eastAsia"/>
      </w:rPr>
    </w:lvl>
    <w:lvl w:ilvl="6">
      <w:start w:val="1"/>
      <w:numFmt w:val="decimal"/>
      <w:pStyle w:val="959"/>
      <w:isLgl w:val="false"/>
      <w:suff w:val="nothing"/>
      <w:lvlText w:val=""/>
      <w:lvlJc w:val="left"/>
      <w:pPr>
        <w:ind w:left="0" w:firstLine="0"/>
      </w:pPr>
      <w:rPr>
        <w:rFonts w:hint="eastAsia"/>
      </w:rPr>
    </w:lvl>
    <w:lvl w:ilvl="7">
      <w:start w:val="1"/>
      <w:numFmt w:val="decimal"/>
      <w:pStyle w:val="960"/>
      <w:isLgl w:val="false"/>
      <w:suff w:val="nothing"/>
      <w:lvlText w:val=""/>
      <w:lvlJc w:val="left"/>
      <w:pPr>
        <w:ind w:left="0" w:firstLine="0"/>
      </w:pPr>
      <w:rPr>
        <w:rFonts w:hint="eastAsia"/>
      </w:rPr>
    </w:lvl>
    <w:lvl w:ilvl="8">
      <w:start w:val="1"/>
      <w:numFmt w:val="decimal"/>
      <w:pStyle w:val="961"/>
      <w:isLgl w:val="false"/>
      <w:suff w:val="nothing"/>
      <w:lvlText w:val=""/>
      <w:lvlJc w:val="left"/>
      <w:pPr>
        <w:ind w:left="0" w:firstLine="0"/>
      </w:pPr>
      <w:rPr>
        <w:rFonts w:hint="eastAsia"/>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1"/>
    <w:link w:val="772"/>
    <w:uiPriority w:val="9"/>
    <w:rPr>
      <w:rFonts w:ascii="Arial" w:hAnsi="Arial" w:eastAsia="Arial" w:cs="Arial"/>
      <w:sz w:val="40"/>
      <w:szCs w:val="40"/>
    </w:rPr>
  </w:style>
  <w:style w:type="character" w:styleId="15">
    <w:name w:val="Heading 2 Char"/>
    <w:basedOn w:val="781"/>
    <w:link w:val="773"/>
    <w:uiPriority w:val="9"/>
    <w:rPr>
      <w:rFonts w:ascii="Arial" w:hAnsi="Arial" w:eastAsia="Arial" w:cs="Arial"/>
      <w:sz w:val="34"/>
    </w:rPr>
  </w:style>
  <w:style w:type="character" w:styleId="17">
    <w:name w:val="Heading 3 Char"/>
    <w:basedOn w:val="781"/>
    <w:link w:val="774"/>
    <w:uiPriority w:val="9"/>
    <w:rPr>
      <w:rFonts w:ascii="Arial" w:hAnsi="Arial" w:eastAsia="Arial" w:cs="Arial"/>
      <w:sz w:val="30"/>
      <w:szCs w:val="30"/>
    </w:rPr>
  </w:style>
  <w:style w:type="character" w:styleId="19">
    <w:name w:val="Heading 4 Char"/>
    <w:basedOn w:val="781"/>
    <w:link w:val="775"/>
    <w:uiPriority w:val="9"/>
    <w:rPr>
      <w:rFonts w:ascii="Arial" w:hAnsi="Arial" w:eastAsia="Arial" w:cs="Arial"/>
      <w:b/>
      <w:bCs/>
      <w:sz w:val="26"/>
      <w:szCs w:val="26"/>
    </w:rPr>
  </w:style>
  <w:style w:type="character" w:styleId="21">
    <w:name w:val="Heading 5 Char"/>
    <w:basedOn w:val="781"/>
    <w:link w:val="776"/>
    <w:uiPriority w:val="9"/>
    <w:rPr>
      <w:rFonts w:ascii="Arial" w:hAnsi="Arial" w:eastAsia="Arial" w:cs="Arial"/>
      <w:b/>
      <w:bCs/>
      <w:sz w:val="24"/>
      <w:szCs w:val="24"/>
    </w:rPr>
  </w:style>
  <w:style w:type="character" w:styleId="23">
    <w:name w:val="Heading 6 Char"/>
    <w:basedOn w:val="781"/>
    <w:link w:val="777"/>
    <w:uiPriority w:val="9"/>
    <w:rPr>
      <w:rFonts w:ascii="Arial" w:hAnsi="Arial" w:eastAsia="Arial" w:cs="Arial"/>
      <w:b/>
      <w:bCs/>
      <w:sz w:val="22"/>
      <w:szCs w:val="22"/>
    </w:rPr>
  </w:style>
  <w:style w:type="character" w:styleId="25">
    <w:name w:val="Heading 7 Char"/>
    <w:basedOn w:val="781"/>
    <w:link w:val="778"/>
    <w:uiPriority w:val="9"/>
    <w:rPr>
      <w:rFonts w:ascii="Arial" w:hAnsi="Arial" w:eastAsia="Arial" w:cs="Arial"/>
      <w:b/>
      <w:bCs/>
      <w:i/>
      <w:iCs/>
      <w:sz w:val="22"/>
      <w:szCs w:val="22"/>
    </w:rPr>
  </w:style>
  <w:style w:type="character" w:styleId="27">
    <w:name w:val="Heading 8 Char"/>
    <w:basedOn w:val="781"/>
    <w:link w:val="779"/>
    <w:uiPriority w:val="9"/>
    <w:rPr>
      <w:rFonts w:ascii="Arial" w:hAnsi="Arial" w:eastAsia="Arial" w:cs="Arial"/>
      <w:i/>
      <w:iCs/>
      <w:sz w:val="22"/>
      <w:szCs w:val="22"/>
    </w:rPr>
  </w:style>
  <w:style w:type="character" w:styleId="29">
    <w:name w:val="Heading 9 Char"/>
    <w:basedOn w:val="781"/>
    <w:link w:val="780"/>
    <w:uiPriority w:val="9"/>
    <w:rPr>
      <w:rFonts w:ascii="Arial" w:hAnsi="Arial" w:eastAsia="Arial" w:cs="Arial"/>
      <w:i/>
      <w:iCs/>
      <w:sz w:val="21"/>
      <w:szCs w:val="21"/>
    </w:rPr>
  </w:style>
  <w:style w:type="character" w:styleId="34">
    <w:name w:val="Title Char"/>
    <w:basedOn w:val="781"/>
    <w:link w:val="799"/>
    <w:uiPriority w:val="10"/>
    <w:rPr>
      <w:sz w:val="48"/>
      <w:szCs w:val="48"/>
    </w:rPr>
  </w:style>
  <w:style w:type="character" w:styleId="36">
    <w:name w:val="Subtitle Char"/>
    <w:basedOn w:val="781"/>
    <w:link w:val="793"/>
    <w:uiPriority w:val="11"/>
    <w:rPr>
      <w:sz w:val="24"/>
      <w:szCs w:val="24"/>
    </w:rPr>
  </w:style>
  <w:style w:type="character" w:styleId="38">
    <w:name w:val="Quote Char"/>
    <w:link w:val="817"/>
    <w:uiPriority w:val="29"/>
    <w:rPr>
      <w:i/>
    </w:rPr>
  </w:style>
  <w:style w:type="character" w:styleId="40">
    <w:name w:val="Intense Quote Char"/>
    <w:link w:val="819"/>
    <w:uiPriority w:val="30"/>
    <w:rPr>
      <w:i/>
    </w:rPr>
  </w:style>
  <w:style w:type="character" w:styleId="42">
    <w:name w:val="Header Char"/>
    <w:basedOn w:val="781"/>
    <w:link w:val="790"/>
    <w:uiPriority w:val="99"/>
  </w:style>
  <w:style w:type="character" w:styleId="46">
    <w:name w:val="Caption Char"/>
    <w:basedOn w:val="784"/>
    <w:link w:val="789"/>
    <w:uiPriority w:val="99"/>
  </w:style>
  <w:style w:type="table" w:styleId="49">
    <w:name w:val="Plain Table 1"/>
    <w:basedOn w:val="7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94"/>
    <w:uiPriority w:val="99"/>
    <w:rPr>
      <w:sz w:val="18"/>
    </w:rPr>
  </w:style>
  <w:style w:type="character" w:styleId="178">
    <w:name w:val="Endnote Text Char"/>
    <w:link w:val="788"/>
    <w:uiPriority w:val="99"/>
    <w:rPr>
      <w:sz w:val="20"/>
    </w:rPr>
  </w:style>
  <w:style w:type="paragraph" w:styleId="189">
    <w:name w:val="TOC Heading"/>
    <w:uiPriority w:val="39"/>
    <w:unhideWhenUsed/>
  </w:style>
  <w:style w:type="paragraph" w:styleId="77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72">
    <w:name w:val="Heading 1"/>
    <w:basedOn w:val="771"/>
    <w:next w:val="771"/>
    <w:link w:val="804"/>
    <w:uiPriority w:val="9"/>
    <w:qFormat/>
    <w:pPr>
      <w:keepLines/>
      <w:keepNext/>
      <w:spacing w:before="480" w:after="200"/>
      <w:outlineLvl w:val="0"/>
    </w:pPr>
    <w:rPr>
      <w:rFonts w:ascii="Arial" w:hAnsi="Arial" w:eastAsia="Arial" w:cs="Arial"/>
      <w:sz w:val="40"/>
      <w:szCs w:val="40"/>
    </w:rPr>
  </w:style>
  <w:style w:type="paragraph" w:styleId="773">
    <w:name w:val="Heading 2"/>
    <w:basedOn w:val="771"/>
    <w:next w:val="771"/>
    <w:link w:val="805"/>
    <w:uiPriority w:val="9"/>
    <w:unhideWhenUsed/>
    <w:qFormat/>
    <w:pPr>
      <w:keepLines/>
      <w:keepNext/>
      <w:spacing w:before="360" w:after="200"/>
      <w:outlineLvl w:val="1"/>
    </w:pPr>
    <w:rPr>
      <w:rFonts w:ascii="Arial" w:hAnsi="Arial" w:eastAsia="Arial" w:cs="Arial"/>
      <w:sz w:val="34"/>
    </w:rPr>
  </w:style>
  <w:style w:type="paragraph" w:styleId="774">
    <w:name w:val="Heading 3"/>
    <w:basedOn w:val="771"/>
    <w:next w:val="771"/>
    <w:link w:val="806"/>
    <w:uiPriority w:val="9"/>
    <w:unhideWhenUsed/>
    <w:qFormat/>
    <w:pPr>
      <w:keepLines/>
      <w:keepNext/>
      <w:spacing w:before="320" w:after="200"/>
      <w:outlineLvl w:val="2"/>
    </w:pPr>
    <w:rPr>
      <w:rFonts w:ascii="Arial" w:hAnsi="Arial" w:eastAsia="Arial" w:cs="Arial"/>
      <w:sz w:val="30"/>
      <w:szCs w:val="30"/>
    </w:rPr>
  </w:style>
  <w:style w:type="paragraph" w:styleId="775">
    <w:name w:val="Heading 4"/>
    <w:basedOn w:val="771"/>
    <w:next w:val="771"/>
    <w:link w:val="807"/>
    <w:uiPriority w:val="9"/>
    <w:unhideWhenUsed/>
    <w:qFormat/>
    <w:pPr>
      <w:keepLines/>
      <w:keepNext/>
      <w:spacing w:before="320" w:after="200"/>
      <w:outlineLvl w:val="3"/>
    </w:pPr>
    <w:rPr>
      <w:rFonts w:ascii="Arial" w:hAnsi="Arial" w:eastAsia="Arial" w:cs="Arial"/>
      <w:b/>
      <w:bCs/>
      <w:sz w:val="26"/>
      <w:szCs w:val="26"/>
    </w:rPr>
  </w:style>
  <w:style w:type="paragraph" w:styleId="776">
    <w:name w:val="Heading 5"/>
    <w:basedOn w:val="771"/>
    <w:next w:val="771"/>
    <w:link w:val="808"/>
    <w:uiPriority w:val="9"/>
    <w:unhideWhenUsed/>
    <w:qFormat/>
    <w:pPr>
      <w:keepLines/>
      <w:keepNext/>
      <w:spacing w:before="320" w:after="200"/>
      <w:outlineLvl w:val="4"/>
    </w:pPr>
    <w:rPr>
      <w:rFonts w:ascii="Arial" w:hAnsi="Arial" w:eastAsia="Arial" w:cs="Arial"/>
      <w:b/>
      <w:bCs/>
      <w:sz w:val="24"/>
      <w:szCs w:val="24"/>
    </w:rPr>
  </w:style>
  <w:style w:type="paragraph" w:styleId="777">
    <w:name w:val="Heading 6"/>
    <w:basedOn w:val="771"/>
    <w:next w:val="771"/>
    <w:link w:val="809"/>
    <w:uiPriority w:val="9"/>
    <w:unhideWhenUsed/>
    <w:qFormat/>
    <w:pPr>
      <w:keepLines/>
      <w:keepNext/>
      <w:spacing w:before="320" w:after="200"/>
      <w:outlineLvl w:val="5"/>
    </w:pPr>
    <w:rPr>
      <w:rFonts w:ascii="Arial" w:hAnsi="Arial" w:eastAsia="Arial" w:cs="Arial"/>
      <w:b/>
      <w:bCs/>
      <w:sz w:val="22"/>
    </w:rPr>
  </w:style>
  <w:style w:type="paragraph" w:styleId="778">
    <w:name w:val="Heading 7"/>
    <w:basedOn w:val="771"/>
    <w:next w:val="771"/>
    <w:link w:val="810"/>
    <w:uiPriority w:val="9"/>
    <w:unhideWhenUsed/>
    <w:qFormat/>
    <w:pPr>
      <w:keepLines/>
      <w:keepNext/>
      <w:spacing w:before="320" w:after="200"/>
      <w:outlineLvl w:val="6"/>
    </w:pPr>
    <w:rPr>
      <w:rFonts w:ascii="Arial" w:hAnsi="Arial" w:eastAsia="Arial" w:cs="Arial"/>
      <w:b/>
      <w:bCs/>
      <w:i/>
      <w:iCs/>
      <w:sz w:val="22"/>
    </w:rPr>
  </w:style>
  <w:style w:type="paragraph" w:styleId="779">
    <w:name w:val="Heading 8"/>
    <w:basedOn w:val="771"/>
    <w:next w:val="771"/>
    <w:link w:val="811"/>
    <w:uiPriority w:val="9"/>
    <w:unhideWhenUsed/>
    <w:qFormat/>
    <w:pPr>
      <w:keepLines/>
      <w:keepNext/>
      <w:spacing w:before="320" w:after="200"/>
      <w:outlineLvl w:val="7"/>
    </w:pPr>
    <w:rPr>
      <w:rFonts w:ascii="Arial" w:hAnsi="Arial" w:eastAsia="Arial" w:cs="Arial"/>
      <w:i/>
      <w:iCs/>
      <w:sz w:val="22"/>
    </w:rPr>
  </w:style>
  <w:style w:type="paragraph" w:styleId="780">
    <w:name w:val="Heading 9"/>
    <w:basedOn w:val="771"/>
    <w:next w:val="771"/>
    <w:link w:val="812"/>
    <w:uiPriority w:val="9"/>
    <w:unhideWhenUsed/>
    <w:qFormat/>
    <w:pPr>
      <w:keepLines/>
      <w:keepNext/>
      <w:spacing w:before="320" w:after="200"/>
      <w:outlineLvl w:val="8"/>
    </w:pPr>
    <w:rPr>
      <w:rFonts w:ascii="Arial" w:hAnsi="Arial" w:eastAsia="Arial" w:cs="Arial"/>
      <w:i/>
      <w:iCs/>
      <w:szCs w:val="21"/>
    </w:rPr>
  </w:style>
  <w:style w:type="character" w:styleId="781" w:default="1">
    <w:name w:val="Default Paragraph Font"/>
    <w:uiPriority w:val="1"/>
    <w:semiHidden/>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toc 7"/>
    <w:basedOn w:val="771"/>
    <w:next w:val="771"/>
    <w:uiPriority w:val="39"/>
    <w:unhideWhenUsed/>
    <w:qFormat/>
    <w:pPr>
      <w:ind w:left="1701"/>
      <w:spacing w:after="57"/>
    </w:pPr>
  </w:style>
  <w:style w:type="paragraph" w:styleId="784">
    <w:name w:val="Caption"/>
    <w:basedOn w:val="771"/>
    <w:next w:val="7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5">
    <w:name w:val="toc 5"/>
    <w:basedOn w:val="771"/>
    <w:next w:val="771"/>
    <w:uiPriority w:val="39"/>
    <w:unhideWhenUsed/>
    <w:qFormat/>
    <w:pPr>
      <w:ind w:left="1134"/>
      <w:spacing w:after="57"/>
    </w:pPr>
  </w:style>
  <w:style w:type="paragraph" w:styleId="786">
    <w:name w:val="toc 3"/>
    <w:basedOn w:val="771"/>
    <w:next w:val="771"/>
    <w:uiPriority w:val="39"/>
    <w:unhideWhenUsed/>
    <w:qFormat/>
    <w:pPr>
      <w:ind w:left="567"/>
      <w:spacing w:after="57"/>
    </w:pPr>
  </w:style>
  <w:style w:type="paragraph" w:styleId="787">
    <w:name w:val="toc 8"/>
    <w:basedOn w:val="771"/>
    <w:next w:val="771"/>
    <w:uiPriority w:val="39"/>
    <w:unhideWhenUsed/>
    <w:qFormat/>
    <w:pPr>
      <w:ind w:left="1984"/>
      <w:spacing w:after="57"/>
    </w:pPr>
  </w:style>
  <w:style w:type="paragraph" w:styleId="788">
    <w:name w:val="endnote text"/>
    <w:basedOn w:val="771"/>
    <w:link w:val="950"/>
    <w:uiPriority w:val="99"/>
    <w:semiHidden/>
    <w:unhideWhenUsed/>
    <w:qFormat/>
    <w:rPr>
      <w:sz w:val="20"/>
    </w:rPr>
  </w:style>
  <w:style w:type="paragraph" w:styleId="789">
    <w:name w:val="Footer"/>
    <w:basedOn w:val="771"/>
    <w:link w:val="823"/>
    <w:uiPriority w:val="99"/>
    <w:unhideWhenUsed/>
    <w:qFormat/>
    <w:pPr>
      <w:tabs>
        <w:tab w:val="center" w:pos="7143" w:leader="none"/>
        <w:tab w:val="right" w:pos="14287" w:leader="none"/>
      </w:tabs>
    </w:pPr>
  </w:style>
  <w:style w:type="paragraph" w:styleId="790">
    <w:name w:val="Header"/>
    <w:basedOn w:val="771"/>
    <w:link w:val="821"/>
    <w:uiPriority w:val="99"/>
    <w:unhideWhenUsed/>
    <w:qFormat/>
    <w:pPr>
      <w:tabs>
        <w:tab w:val="center" w:pos="7143" w:leader="none"/>
        <w:tab w:val="right" w:pos="14287" w:leader="none"/>
      </w:tabs>
    </w:pPr>
  </w:style>
  <w:style w:type="paragraph" w:styleId="791">
    <w:name w:val="toc 1"/>
    <w:basedOn w:val="771"/>
    <w:next w:val="771"/>
    <w:uiPriority w:val="39"/>
    <w:unhideWhenUsed/>
    <w:qFormat/>
    <w:pPr>
      <w:spacing w:after="57"/>
    </w:pPr>
  </w:style>
  <w:style w:type="paragraph" w:styleId="792">
    <w:name w:val="toc 4"/>
    <w:basedOn w:val="771"/>
    <w:next w:val="771"/>
    <w:uiPriority w:val="39"/>
    <w:unhideWhenUsed/>
    <w:qFormat/>
    <w:pPr>
      <w:ind w:left="850"/>
      <w:spacing w:after="57"/>
    </w:pPr>
  </w:style>
  <w:style w:type="paragraph" w:styleId="793">
    <w:name w:val="Subtitle"/>
    <w:basedOn w:val="771"/>
    <w:next w:val="771"/>
    <w:link w:val="816"/>
    <w:uiPriority w:val="11"/>
    <w:qFormat/>
    <w:pPr>
      <w:spacing w:before="200" w:after="200"/>
    </w:pPr>
    <w:rPr>
      <w:sz w:val="24"/>
      <w:szCs w:val="24"/>
    </w:rPr>
  </w:style>
  <w:style w:type="paragraph" w:styleId="794">
    <w:name w:val="footnote text"/>
    <w:basedOn w:val="771"/>
    <w:link w:val="949"/>
    <w:uiPriority w:val="99"/>
    <w:semiHidden/>
    <w:unhideWhenUsed/>
    <w:pPr>
      <w:spacing w:after="40"/>
    </w:pPr>
    <w:rPr>
      <w:sz w:val="18"/>
    </w:rPr>
  </w:style>
  <w:style w:type="paragraph" w:styleId="795">
    <w:name w:val="toc 6"/>
    <w:basedOn w:val="771"/>
    <w:next w:val="771"/>
    <w:uiPriority w:val="39"/>
    <w:unhideWhenUsed/>
    <w:pPr>
      <w:ind w:left="1417"/>
      <w:spacing w:after="57"/>
    </w:pPr>
  </w:style>
  <w:style w:type="paragraph" w:styleId="796">
    <w:name w:val="table of figures"/>
    <w:basedOn w:val="771"/>
    <w:next w:val="771"/>
    <w:uiPriority w:val="99"/>
    <w:unhideWhenUsed/>
    <w:qFormat/>
  </w:style>
  <w:style w:type="paragraph" w:styleId="797">
    <w:name w:val="toc 2"/>
    <w:basedOn w:val="771"/>
    <w:next w:val="771"/>
    <w:uiPriority w:val="39"/>
    <w:unhideWhenUsed/>
    <w:qFormat/>
    <w:pPr>
      <w:ind w:left="283"/>
      <w:spacing w:after="57"/>
    </w:pPr>
  </w:style>
  <w:style w:type="paragraph" w:styleId="798">
    <w:name w:val="toc 9"/>
    <w:basedOn w:val="771"/>
    <w:next w:val="771"/>
    <w:uiPriority w:val="39"/>
    <w:unhideWhenUsed/>
    <w:qFormat/>
    <w:pPr>
      <w:ind w:left="2268"/>
      <w:spacing w:after="57"/>
    </w:pPr>
  </w:style>
  <w:style w:type="paragraph" w:styleId="799">
    <w:name w:val="Title"/>
    <w:basedOn w:val="771"/>
    <w:next w:val="771"/>
    <w:link w:val="815"/>
    <w:uiPriority w:val="10"/>
    <w:qFormat/>
    <w:pPr>
      <w:contextualSpacing/>
      <w:spacing w:before="300" w:after="200"/>
    </w:pPr>
    <w:rPr>
      <w:sz w:val="48"/>
      <w:szCs w:val="48"/>
    </w:rPr>
  </w:style>
  <w:style w:type="table" w:styleId="8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footnote reference"/>
    <w:uiPriority w:val="99"/>
    <w:unhideWhenUsed/>
    <w:qFormat/>
    <w:rPr>
      <w:vertAlign w:val="superscript"/>
    </w:rPr>
  </w:style>
  <w:style w:type="character" w:styleId="804" w:customStyle="1">
    <w:name w:val="标题 1 字符"/>
    <w:link w:val="772"/>
    <w:uiPriority w:val="9"/>
    <w:qFormat/>
    <w:rPr>
      <w:rFonts w:ascii="Arial" w:hAnsi="Arial" w:eastAsia="Arial" w:cs="Arial"/>
      <w:sz w:val="40"/>
      <w:szCs w:val="40"/>
    </w:rPr>
  </w:style>
  <w:style w:type="character" w:styleId="805" w:customStyle="1">
    <w:name w:val="标题 2 字符"/>
    <w:link w:val="773"/>
    <w:uiPriority w:val="9"/>
    <w:qFormat/>
    <w:rPr>
      <w:rFonts w:ascii="Arial" w:hAnsi="Arial" w:eastAsia="Arial" w:cs="Arial"/>
      <w:sz w:val="34"/>
    </w:rPr>
  </w:style>
  <w:style w:type="character" w:styleId="806" w:customStyle="1">
    <w:name w:val="标题 3 字符"/>
    <w:link w:val="774"/>
    <w:uiPriority w:val="9"/>
    <w:qFormat/>
    <w:rPr>
      <w:rFonts w:ascii="Arial" w:hAnsi="Arial" w:eastAsia="Arial" w:cs="Arial"/>
      <w:sz w:val="30"/>
      <w:szCs w:val="30"/>
    </w:rPr>
  </w:style>
  <w:style w:type="character" w:styleId="807" w:customStyle="1">
    <w:name w:val="标题 4 字符"/>
    <w:link w:val="775"/>
    <w:uiPriority w:val="9"/>
    <w:qFormat/>
    <w:rPr>
      <w:rFonts w:ascii="Arial" w:hAnsi="Arial" w:eastAsia="Arial" w:cs="Arial"/>
      <w:b/>
      <w:bCs/>
      <w:sz w:val="26"/>
      <w:szCs w:val="26"/>
    </w:rPr>
  </w:style>
  <w:style w:type="character" w:styleId="808" w:customStyle="1">
    <w:name w:val="标题 5 字符"/>
    <w:link w:val="776"/>
    <w:uiPriority w:val="9"/>
    <w:qFormat/>
    <w:rPr>
      <w:rFonts w:ascii="Arial" w:hAnsi="Arial" w:eastAsia="Arial" w:cs="Arial"/>
      <w:b/>
      <w:bCs/>
      <w:sz w:val="24"/>
      <w:szCs w:val="24"/>
    </w:rPr>
  </w:style>
  <w:style w:type="character" w:styleId="809" w:customStyle="1">
    <w:name w:val="标题 6 字符"/>
    <w:link w:val="777"/>
    <w:uiPriority w:val="9"/>
    <w:qFormat/>
    <w:rPr>
      <w:rFonts w:ascii="Arial" w:hAnsi="Arial" w:eastAsia="Arial" w:cs="Arial"/>
      <w:b/>
      <w:bCs/>
      <w:sz w:val="22"/>
      <w:szCs w:val="22"/>
    </w:rPr>
  </w:style>
  <w:style w:type="character" w:styleId="810" w:customStyle="1">
    <w:name w:val="标题 7 字符"/>
    <w:link w:val="778"/>
    <w:uiPriority w:val="9"/>
    <w:rPr>
      <w:rFonts w:ascii="Arial" w:hAnsi="Arial" w:eastAsia="Arial" w:cs="Arial"/>
      <w:b/>
      <w:bCs/>
      <w:i/>
      <w:iCs/>
      <w:sz w:val="22"/>
      <w:szCs w:val="22"/>
    </w:rPr>
  </w:style>
  <w:style w:type="character" w:styleId="811" w:customStyle="1">
    <w:name w:val="标题 8 字符"/>
    <w:link w:val="779"/>
    <w:uiPriority w:val="9"/>
    <w:rPr>
      <w:rFonts w:ascii="Arial" w:hAnsi="Arial" w:eastAsia="Arial" w:cs="Arial"/>
      <w:i/>
      <w:iCs/>
      <w:sz w:val="22"/>
      <w:szCs w:val="22"/>
    </w:rPr>
  </w:style>
  <w:style w:type="character" w:styleId="812" w:customStyle="1">
    <w:name w:val="标题 9 字符"/>
    <w:link w:val="780"/>
    <w:uiPriority w:val="9"/>
    <w:rPr>
      <w:rFonts w:ascii="Arial" w:hAnsi="Arial" w:eastAsia="Arial" w:cs="Arial"/>
      <w:i/>
      <w:iCs/>
      <w:sz w:val="21"/>
      <w:szCs w:val="21"/>
    </w:rPr>
  </w:style>
  <w:style w:type="paragraph" w:styleId="813">
    <w:name w:val="List Paragraph"/>
    <w:basedOn w:val="771"/>
    <w:uiPriority w:val="34"/>
    <w:qFormat/>
    <w:pPr>
      <w:contextualSpacing/>
      <w:ind w:left="720"/>
    </w:pPr>
  </w:style>
  <w:style w:type="paragraph" w:styleId="814">
    <w:name w:val="No Spacing"/>
    <w:uiPriority w:val="1"/>
    <w:qFormat/>
    <w:rPr>
      <w:rFonts w:ascii="Times New Roman" w:hAnsi="Times New Roman" w:eastAsia="宋体" w:cs="Times New Roman"/>
      <w:lang w:val="en-US" w:eastAsia="zh-CN" w:bidi="ar-SA"/>
    </w:rPr>
  </w:style>
  <w:style w:type="character" w:styleId="815" w:customStyle="1">
    <w:name w:val="标题 字符"/>
    <w:link w:val="799"/>
    <w:uiPriority w:val="10"/>
    <w:rPr>
      <w:sz w:val="48"/>
      <w:szCs w:val="48"/>
    </w:rPr>
  </w:style>
  <w:style w:type="character" w:styleId="816" w:customStyle="1">
    <w:name w:val="副标题 字符"/>
    <w:link w:val="793"/>
    <w:uiPriority w:val="11"/>
    <w:qFormat/>
    <w:rPr>
      <w:sz w:val="24"/>
      <w:szCs w:val="24"/>
    </w:rPr>
  </w:style>
  <w:style w:type="paragraph" w:styleId="817">
    <w:name w:val="Quote"/>
    <w:basedOn w:val="771"/>
    <w:next w:val="771"/>
    <w:link w:val="818"/>
    <w:uiPriority w:val="29"/>
    <w:qFormat/>
    <w:pPr>
      <w:ind w:left="720" w:right="720"/>
    </w:pPr>
    <w:rPr>
      <w:i/>
    </w:rPr>
  </w:style>
  <w:style w:type="character" w:styleId="818" w:customStyle="1">
    <w:name w:val="引用 字符"/>
    <w:link w:val="817"/>
    <w:uiPriority w:val="29"/>
    <w:rPr>
      <w:i/>
    </w:rPr>
  </w:style>
  <w:style w:type="paragraph" w:styleId="819">
    <w:name w:val="Intense Quote"/>
    <w:basedOn w:val="771"/>
    <w:next w:val="771"/>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rPr>
      <w:i/>
    </w:rPr>
  </w:style>
  <w:style w:type="character" w:styleId="821" w:customStyle="1">
    <w:name w:val="页眉 字符"/>
    <w:link w:val="790"/>
    <w:uiPriority w:val="99"/>
  </w:style>
  <w:style w:type="character" w:styleId="822" w:customStyle="1">
    <w:name w:val="Footer Char"/>
    <w:uiPriority w:val="99"/>
  </w:style>
  <w:style w:type="character" w:styleId="823" w:customStyle="1">
    <w:name w:val="页脚 字符"/>
    <w:link w:val="789"/>
    <w:uiPriority w:val="99"/>
  </w:style>
  <w:style w:type="table" w:styleId="82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customStyle="1">
    <w:name w:val="脚注文本 字符"/>
    <w:link w:val="794"/>
    <w:uiPriority w:val="99"/>
    <w:qFormat/>
    <w:rPr>
      <w:sz w:val="18"/>
    </w:rPr>
  </w:style>
  <w:style w:type="character" w:styleId="950" w:customStyle="1">
    <w:name w:val="尾注文本 字符"/>
    <w:link w:val="788"/>
    <w:uiPriority w:val="99"/>
    <w:qFormat/>
    <w:rPr>
      <w:sz w:val="20"/>
    </w:rPr>
  </w:style>
  <w:style w:type="paragraph" w:styleId="951" w:customStyle="1">
    <w:name w:val="TOC 标题1"/>
    <w:uiPriority w:val="39"/>
    <w:unhideWhenUsed/>
    <w:qFormat/>
    <w:rPr>
      <w:rFonts w:ascii="Times New Roman" w:hAnsi="Times New Roman" w:eastAsia="宋体" w:cs="Times New Roman"/>
      <w:lang w:val="en-US" w:eastAsia="zh-CN" w:bidi="ar-SA"/>
    </w:rPr>
  </w:style>
  <w:style w:type="paragraph" w:styleId="952" w:customStyle="1">
    <w:name w:val="标题 11"/>
    <w:basedOn w:val="771"/>
    <w:next w:val="771"/>
    <w:link w:val="964"/>
    <w:uiPriority w:val="0"/>
    <w:qFormat/>
    <w:pPr>
      <w:jc w:val="center"/>
      <w:keepNext/>
      <w:outlineLvl w:val="0"/>
    </w:pPr>
    <w:rPr>
      <w:rFonts w:ascii="楷体_GB2312" w:eastAsia="楷体_GB2312"/>
      <w:sz w:val="28"/>
      <w:szCs w:val="28"/>
    </w:rPr>
  </w:style>
  <w:style w:type="paragraph" w:styleId="953" w:customStyle="1">
    <w:name w:val="标题 21"/>
    <w:basedOn w:val="771"/>
    <w:next w:val="954"/>
    <w:link w:val="96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4" w:customStyle="1">
    <w:name w:val="正文缩进1"/>
    <w:basedOn w:val="771"/>
    <w:link w:val="966"/>
    <w:uiPriority w:val="0"/>
    <w:qFormat/>
    <w:pPr>
      <w:ind w:firstLine="420"/>
    </w:pPr>
    <w:rPr>
      <w:szCs w:val="21"/>
    </w:rPr>
  </w:style>
  <w:style w:type="paragraph" w:styleId="955" w:customStyle="1">
    <w:name w:val="标题 31"/>
    <w:basedOn w:val="771"/>
    <w:next w:val="954"/>
    <w:link w:val="967"/>
    <w:uiPriority w:val="0"/>
    <w:qFormat/>
    <w:pPr>
      <w:keepLines/>
      <w:keepNext/>
      <w:spacing w:before="260" w:after="260" w:line="416" w:lineRule="auto"/>
      <w:outlineLvl w:val="2"/>
    </w:pPr>
    <w:rPr>
      <w:b/>
      <w:bCs/>
      <w:sz w:val="32"/>
      <w:szCs w:val="32"/>
    </w:rPr>
  </w:style>
  <w:style w:type="paragraph" w:styleId="956" w:customStyle="1">
    <w:name w:val="标题 41"/>
    <w:basedOn w:val="771"/>
    <w:next w:val="954"/>
    <w:link w:val="968"/>
    <w:uiPriority w:val="0"/>
    <w:qFormat/>
    <w:pPr>
      <w:keepLines/>
      <w:keepNext/>
      <w:spacing w:before="280" w:after="290" w:line="376" w:lineRule="auto"/>
      <w:outlineLvl w:val="3"/>
    </w:pPr>
    <w:rPr>
      <w:rFonts w:ascii="Arial" w:hAnsi="Arial" w:eastAsia="黑体" w:cs="Arial"/>
      <w:b/>
      <w:bCs/>
      <w:sz w:val="28"/>
      <w:szCs w:val="28"/>
    </w:rPr>
  </w:style>
  <w:style w:type="paragraph" w:styleId="957" w:customStyle="1">
    <w:name w:val="标题 51"/>
    <w:basedOn w:val="771"/>
    <w:next w:val="954"/>
    <w:link w:val="969"/>
    <w:uiPriority w:val="0"/>
    <w:qFormat/>
    <w:pPr>
      <w:keepNext/>
      <w:outlineLvl w:val="4"/>
    </w:pPr>
    <w:rPr>
      <w:rFonts w:ascii="宋体"/>
      <w:color w:val="000000"/>
      <w:sz w:val="28"/>
      <w:szCs w:val="28"/>
    </w:rPr>
  </w:style>
  <w:style w:type="paragraph" w:styleId="958" w:customStyle="1">
    <w:name w:val="标题 61"/>
    <w:basedOn w:val="771"/>
    <w:next w:val="771"/>
    <w:link w:val="97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9" w:customStyle="1">
    <w:name w:val="标题 71"/>
    <w:basedOn w:val="771"/>
    <w:next w:val="771"/>
    <w:link w:val="971"/>
    <w:uiPriority w:val="0"/>
    <w:qFormat/>
    <w:pPr>
      <w:numPr>
        <w:ilvl w:val="6"/>
        <w:numId w:val="1"/>
      </w:numPr>
      <w:keepLines/>
      <w:keepNext/>
      <w:spacing w:before="240" w:after="64" w:line="320" w:lineRule="auto"/>
      <w:outlineLvl w:val="6"/>
    </w:pPr>
    <w:rPr>
      <w:b/>
      <w:bCs/>
      <w:sz w:val="24"/>
      <w:szCs w:val="24"/>
    </w:rPr>
  </w:style>
  <w:style w:type="paragraph" w:styleId="960" w:customStyle="1">
    <w:name w:val="标题 81"/>
    <w:basedOn w:val="771"/>
    <w:next w:val="771"/>
    <w:link w:val="97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1" w:customStyle="1">
    <w:name w:val="标题 91"/>
    <w:basedOn w:val="771"/>
    <w:next w:val="771"/>
    <w:link w:val="973"/>
    <w:uiPriority w:val="0"/>
    <w:qFormat/>
    <w:pPr>
      <w:numPr>
        <w:ilvl w:val="8"/>
        <w:numId w:val="1"/>
      </w:numPr>
      <w:keepLines/>
      <w:keepNext/>
      <w:spacing w:before="240" w:after="64" w:line="320" w:lineRule="auto"/>
      <w:outlineLvl w:val="8"/>
    </w:pPr>
    <w:rPr>
      <w:rFonts w:ascii="Arial" w:hAnsi="Arial" w:eastAsia="黑体"/>
      <w:szCs w:val="21"/>
    </w:rPr>
  </w:style>
  <w:style w:type="character" w:styleId="962" w:customStyle="1">
    <w:name w:val="默认段落字体1"/>
    <w:uiPriority w:val="1"/>
    <w:unhideWhenUsed/>
    <w:qFormat/>
  </w:style>
  <w:style w:type="table" w:styleId="963" w:customStyle="1">
    <w:name w:val="普通表格1"/>
    <w:uiPriority w:val="99"/>
    <w:unhideWhenUsed/>
    <w:qFormat/>
    <w:tblPr>
      <w:tblCellMar>
        <w:left w:w="0" w:type="dxa"/>
        <w:top w:w="0" w:type="dxa"/>
        <w:right w:w="0" w:type="dxa"/>
        <w:bottom w:w="0" w:type="dxa"/>
      </w:tblCellMar>
    </w:tblPr>
  </w:style>
  <w:style w:type="character" w:styleId="964" w:customStyle="1">
    <w:name w:val="标题 1 Char"/>
    <w:link w:val="952"/>
    <w:uiPriority w:val="0"/>
    <w:qFormat/>
    <w:rPr>
      <w:rFonts w:ascii="楷体_GB2312" w:hAnsi="Times New Roman" w:eastAsia="楷体_GB2312" w:cs="Times New Roman"/>
      <w:sz w:val="28"/>
      <w:szCs w:val="28"/>
    </w:rPr>
  </w:style>
  <w:style w:type="character" w:styleId="965" w:customStyle="1">
    <w:name w:val="标题 2 Char"/>
    <w:link w:val="953"/>
    <w:uiPriority w:val="0"/>
    <w:qFormat/>
    <w:rPr>
      <w:rFonts w:ascii="Arial" w:hAnsi="Arial" w:eastAsia="幼圆" w:cs="Arial"/>
      <w:b/>
      <w:bCs/>
      <w:sz w:val="44"/>
      <w:szCs w:val="44"/>
    </w:rPr>
  </w:style>
  <w:style w:type="character" w:styleId="966" w:customStyle="1">
    <w:name w:val="正文缩进 Char"/>
    <w:link w:val="954"/>
    <w:uiPriority w:val="0"/>
    <w:qFormat/>
    <w:rPr>
      <w:szCs w:val="21"/>
    </w:rPr>
  </w:style>
  <w:style w:type="character" w:styleId="967" w:customStyle="1">
    <w:name w:val="标题 3 Char"/>
    <w:link w:val="955"/>
    <w:uiPriority w:val="0"/>
    <w:qFormat/>
    <w:rPr>
      <w:rFonts w:ascii="Times New Roman" w:hAnsi="Times New Roman" w:eastAsia="宋体" w:cs="Times New Roman"/>
      <w:b/>
      <w:bCs/>
      <w:sz w:val="32"/>
      <w:szCs w:val="32"/>
    </w:rPr>
  </w:style>
  <w:style w:type="character" w:styleId="968" w:customStyle="1">
    <w:name w:val="标题 4 Char"/>
    <w:link w:val="956"/>
    <w:uiPriority w:val="0"/>
    <w:qFormat/>
    <w:rPr>
      <w:rFonts w:ascii="Arial" w:hAnsi="Arial" w:eastAsia="黑体" w:cs="Arial"/>
      <w:b/>
      <w:bCs/>
      <w:sz w:val="28"/>
      <w:szCs w:val="28"/>
    </w:rPr>
  </w:style>
  <w:style w:type="character" w:styleId="969" w:customStyle="1">
    <w:name w:val="标题 5 Char"/>
    <w:link w:val="957"/>
    <w:uiPriority w:val="0"/>
    <w:qFormat/>
    <w:rPr>
      <w:rFonts w:ascii="宋体" w:hAnsi="Times New Roman" w:eastAsia="宋体" w:cs="Times New Roman"/>
      <w:color w:val="000000"/>
      <w:sz w:val="28"/>
      <w:szCs w:val="28"/>
    </w:rPr>
  </w:style>
  <w:style w:type="character" w:styleId="970" w:customStyle="1">
    <w:name w:val="标题 6 Char"/>
    <w:link w:val="958"/>
    <w:uiPriority w:val="0"/>
    <w:qFormat/>
    <w:rPr>
      <w:rFonts w:ascii="Arial" w:hAnsi="Arial" w:eastAsia="黑体" w:cs="Times New Roman"/>
      <w:b/>
      <w:bCs/>
      <w:sz w:val="24"/>
      <w:szCs w:val="24"/>
    </w:rPr>
  </w:style>
  <w:style w:type="character" w:styleId="971" w:customStyle="1">
    <w:name w:val="标题 7 Char"/>
    <w:link w:val="959"/>
    <w:uiPriority w:val="0"/>
    <w:qFormat/>
    <w:rPr>
      <w:rFonts w:ascii="Times New Roman" w:hAnsi="Times New Roman" w:eastAsia="宋体" w:cs="Times New Roman"/>
      <w:b/>
      <w:bCs/>
      <w:sz w:val="24"/>
      <w:szCs w:val="24"/>
    </w:rPr>
  </w:style>
  <w:style w:type="character" w:styleId="972" w:customStyle="1">
    <w:name w:val="标题 8 Char"/>
    <w:link w:val="960"/>
    <w:uiPriority w:val="0"/>
    <w:qFormat/>
    <w:rPr>
      <w:rFonts w:ascii="Arial" w:hAnsi="Arial" w:eastAsia="黑体" w:cs="Times New Roman"/>
      <w:sz w:val="24"/>
      <w:szCs w:val="24"/>
    </w:rPr>
  </w:style>
  <w:style w:type="character" w:styleId="973" w:customStyle="1">
    <w:name w:val="标题 9 Char"/>
    <w:link w:val="961"/>
    <w:uiPriority w:val="0"/>
    <w:qFormat/>
    <w:rPr>
      <w:rFonts w:ascii="Arial" w:hAnsi="Arial" w:eastAsia="黑体" w:cs="Times New Roman"/>
      <w:szCs w:val="21"/>
    </w:rPr>
  </w:style>
  <w:style w:type="paragraph" w:styleId="974" w:customStyle="1">
    <w:name w:val="列表 31"/>
    <w:basedOn w:val="771"/>
    <w:uiPriority w:val="0"/>
    <w:qFormat/>
    <w:pPr>
      <w:ind w:left="100" w:hanging="200"/>
    </w:pPr>
    <w:rPr>
      <w:szCs w:val="21"/>
    </w:rPr>
  </w:style>
  <w:style w:type="paragraph" w:styleId="975" w:customStyle="1">
    <w:name w:val="目录 71"/>
    <w:basedOn w:val="771"/>
    <w:next w:val="771"/>
    <w:uiPriority w:val="0"/>
    <w:semiHidden/>
    <w:qFormat/>
    <w:pPr>
      <w:ind w:left="1260"/>
      <w:jc w:val="left"/>
    </w:pPr>
    <w:rPr>
      <w:szCs w:val="21"/>
    </w:rPr>
  </w:style>
  <w:style w:type="paragraph" w:styleId="976" w:customStyle="1">
    <w:name w:val="文档结构图1"/>
    <w:basedOn w:val="771"/>
    <w:link w:val="977"/>
    <w:uiPriority w:val="0"/>
    <w:semiHidden/>
    <w:qFormat/>
    <w:pPr>
      <w:shd w:val="clear" w:color="auto" w:fill="000080"/>
    </w:pPr>
    <w:rPr>
      <w:szCs w:val="21"/>
    </w:rPr>
  </w:style>
  <w:style w:type="character" w:styleId="977" w:customStyle="1">
    <w:name w:val="文档结构图 Char"/>
    <w:link w:val="976"/>
    <w:uiPriority w:val="0"/>
    <w:semiHidden/>
    <w:qFormat/>
    <w:rPr>
      <w:rFonts w:ascii="Times New Roman" w:hAnsi="Times New Roman" w:eastAsia="宋体" w:cs="Times New Roman"/>
      <w:szCs w:val="21"/>
      <w:shd w:val="clear" w:color="auto" w:fill="000080"/>
    </w:rPr>
  </w:style>
  <w:style w:type="paragraph" w:styleId="978" w:customStyle="1">
    <w:name w:val="批注文字1"/>
    <w:basedOn w:val="771"/>
    <w:link w:val="979"/>
    <w:uiPriority w:val="0"/>
    <w:unhideWhenUsed/>
    <w:qFormat/>
    <w:pPr>
      <w:jc w:val="left"/>
    </w:pPr>
  </w:style>
  <w:style w:type="character" w:styleId="979" w:customStyle="1">
    <w:name w:val="批注文字 Char"/>
    <w:link w:val="978"/>
    <w:uiPriority w:val="99"/>
    <w:semiHidden/>
    <w:qFormat/>
  </w:style>
  <w:style w:type="paragraph" w:styleId="980" w:customStyle="1">
    <w:name w:val="正文文本 31"/>
    <w:basedOn w:val="771"/>
    <w:link w:val="981"/>
    <w:uiPriority w:val="0"/>
    <w:qFormat/>
    <w:rPr>
      <w:rFonts w:ascii="仿宋_GB2312" w:hAnsi="Arial" w:eastAsia="仿宋_GB2312"/>
      <w:sz w:val="32"/>
      <w:szCs w:val="32"/>
    </w:rPr>
  </w:style>
  <w:style w:type="character" w:styleId="981" w:customStyle="1">
    <w:name w:val="正文文本 3 Char"/>
    <w:link w:val="980"/>
    <w:uiPriority w:val="0"/>
    <w:qFormat/>
    <w:rPr>
      <w:rFonts w:ascii="仿宋_GB2312" w:hAnsi="Arial" w:eastAsia="仿宋_GB2312" w:cs="Times New Roman"/>
      <w:sz w:val="32"/>
      <w:szCs w:val="32"/>
    </w:rPr>
  </w:style>
  <w:style w:type="paragraph" w:styleId="982" w:customStyle="1">
    <w:name w:val="正文文本1"/>
    <w:basedOn w:val="771"/>
    <w:link w:val="983"/>
    <w:uiPriority w:val="0"/>
    <w:qFormat/>
    <w:rPr>
      <w:rFonts w:ascii="楷体_GB2312" w:hAnsi="Arial" w:eastAsia="楷体_GB2312"/>
      <w:sz w:val="28"/>
      <w:szCs w:val="28"/>
    </w:rPr>
  </w:style>
  <w:style w:type="character" w:styleId="983" w:customStyle="1">
    <w:name w:val="正文文本 Char"/>
    <w:link w:val="982"/>
    <w:uiPriority w:val="0"/>
    <w:qFormat/>
    <w:rPr>
      <w:rFonts w:ascii="楷体_GB2312" w:hAnsi="Arial" w:eastAsia="楷体_GB2312" w:cs="Times New Roman"/>
      <w:sz w:val="28"/>
      <w:szCs w:val="28"/>
    </w:rPr>
  </w:style>
  <w:style w:type="paragraph" w:styleId="984" w:customStyle="1">
    <w:name w:val="正文文本缩进1"/>
    <w:basedOn w:val="771"/>
    <w:link w:val="985"/>
    <w:uiPriority w:val="0"/>
    <w:unhideWhenUsed/>
    <w:qFormat/>
    <w:pPr>
      <w:ind w:left="420"/>
      <w:spacing w:after="120"/>
    </w:pPr>
  </w:style>
  <w:style w:type="character" w:styleId="985" w:customStyle="1">
    <w:name w:val="正文文本缩进 Char"/>
    <w:link w:val="984"/>
    <w:uiPriority w:val="99"/>
    <w:semiHidden/>
    <w:qFormat/>
  </w:style>
  <w:style w:type="paragraph" w:styleId="986" w:customStyle="1">
    <w:name w:val="列表 21"/>
    <w:basedOn w:val="771"/>
    <w:uiPriority w:val="0"/>
    <w:qFormat/>
    <w:pPr>
      <w:ind w:left="100" w:hanging="200"/>
    </w:pPr>
    <w:rPr>
      <w:szCs w:val="21"/>
    </w:rPr>
  </w:style>
  <w:style w:type="paragraph" w:styleId="987" w:customStyle="1">
    <w:name w:val="目录 51"/>
    <w:basedOn w:val="771"/>
    <w:next w:val="771"/>
    <w:uiPriority w:val="0"/>
    <w:semiHidden/>
    <w:qFormat/>
    <w:pPr>
      <w:ind w:left="840"/>
      <w:jc w:val="left"/>
    </w:pPr>
    <w:rPr>
      <w:szCs w:val="21"/>
    </w:rPr>
  </w:style>
  <w:style w:type="paragraph" w:styleId="988" w:customStyle="1">
    <w:name w:val="目录 31"/>
    <w:basedOn w:val="771"/>
    <w:next w:val="771"/>
    <w:uiPriority w:val="0"/>
    <w:semiHidden/>
    <w:qFormat/>
    <w:pPr>
      <w:ind w:left="420"/>
      <w:jc w:val="left"/>
    </w:pPr>
    <w:rPr>
      <w:i/>
      <w:iCs/>
      <w:szCs w:val="24"/>
    </w:rPr>
  </w:style>
  <w:style w:type="paragraph" w:styleId="989" w:customStyle="1">
    <w:name w:val="纯文本1"/>
    <w:basedOn w:val="771"/>
    <w:link w:val="990"/>
    <w:uiPriority w:val="0"/>
    <w:qFormat/>
    <w:rPr>
      <w:rFonts w:ascii="宋体" w:hAnsi="Courier New" w:cs="Courier New"/>
      <w:szCs w:val="21"/>
    </w:rPr>
  </w:style>
  <w:style w:type="character" w:styleId="990" w:customStyle="1">
    <w:name w:val="纯文本 Char"/>
    <w:link w:val="989"/>
    <w:uiPriority w:val="0"/>
    <w:qFormat/>
    <w:rPr>
      <w:rFonts w:ascii="宋体" w:hAnsi="Courier New" w:eastAsia="宋体" w:cs="Courier New"/>
      <w:szCs w:val="21"/>
    </w:rPr>
  </w:style>
  <w:style w:type="paragraph" w:styleId="991" w:customStyle="1">
    <w:name w:val="目录 81"/>
    <w:basedOn w:val="771"/>
    <w:next w:val="771"/>
    <w:uiPriority w:val="0"/>
    <w:semiHidden/>
    <w:qFormat/>
    <w:pPr>
      <w:ind w:left="1470"/>
      <w:jc w:val="left"/>
    </w:pPr>
    <w:rPr>
      <w:szCs w:val="21"/>
    </w:rPr>
  </w:style>
  <w:style w:type="paragraph" w:styleId="992" w:customStyle="1">
    <w:name w:val="日期1"/>
    <w:basedOn w:val="771"/>
    <w:next w:val="771"/>
    <w:link w:val="993"/>
    <w:uiPriority w:val="0"/>
    <w:qFormat/>
    <w:rPr>
      <w:sz w:val="24"/>
      <w:szCs w:val="24"/>
    </w:rPr>
  </w:style>
  <w:style w:type="character" w:styleId="993" w:customStyle="1">
    <w:name w:val="日期 Char"/>
    <w:link w:val="992"/>
    <w:uiPriority w:val="0"/>
    <w:qFormat/>
    <w:rPr>
      <w:rFonts w:ascii="Times New Roman" w:hAnsi="Times New Roman" w:eastAsia="宋体" w:cs="Times New Roman"/>
      <w:sz w:val="24"/>
      <w:szCs w:val="24"/>
    </w:rPr>
  </w:style>
  <w:style w:type="paragraph" w:styleId="994" w:customStyle="1">
    <w:name w:val="正文文本缩进 21"/>
    <w:basedOn w:val="771"/>
    <w:link w:val="995"/>
    <w:uiPriority w:val="0"/>
    <w:qFormat/>
    <w:pPr>
      <w:ind w:left="630" w:firstLine="645"/>
    </w:pPr>
    <w:rPr>
      <w:rFonts w:ascii="Arial" w:hAnsi="Arial" w:eastAsia="仿宋_GB2312" w:cs="Arial"/>
      <w:sz w:val="32"/>
      <w:szCs w:val="32"/>
    </w:rPr>
  </w:style>
  <w:style w:type="character" w:styleId="995" w:customStyle="1">
    <w:name w:val="正文文本缩进 2 Char"/>
    <w:link w:val="994"/>
    <w:uiPriority w:val="0"/>
    <w:qFormat/>
    <w:rPr>
      <w:rFonts w:ascii="Arial" w:hAnsi="Arial" w:eastAsia="仿宋_GB2312" w:cs="Arial"/>
      <w:sz w:val="32"/>
      <w:szCs w:val="32"/>
    </w:rPr>
  </w:style>
  <w:style w:type="paragraph" w:styleId="996" w:customStyle="1">
    <w:name w:val="批注框文本1"/>
    <w:basedOn w:val="771"/>
    <w:link w:val="997"/>
    <w:uiPriority w:val="0"/>
    <w:semiHidden/>
    <w:qFormat/>
    <w:rPr>
      <w:sz w:val="18"/>
      <w:szCs w:val="18"/>
    </w:rPr>
  </w:style>
  <w:style w:type="character" w:styleId="997" w:customStyle="1">
    <w:name w:val="批注框文本 Char"/>
    <w:link w:val="996"/>
    <w:uiPriority w:val="0"/>
    <w:semiHidden/>
    <w:qFormat/>
    <w:rPr>
      <w:rFonts w:ascii="Times New Roman" w:hAnsi="Times New Roman" w:eastAsia="宋体" w:cs="Times New Roman"/>
      <w:sz w:val="18"/>
      <w:szCs w:val="18"/>
    </w:rPr>
  </w:style>
  <w:style w:type="paragraph" w:styleId="998" w:customStyle="1">
    <w:name w:val="页脚1"/>
    <w:basedOn w:val="771"/>
    <w:link w:val="999"/>
    <w:uiPriority w:val="99"/>
    <w:qFormat/>
    <w:pPr>
      <w:jc w:val="left"/>
      <w:tabs>
        <w:tab w:val="center" w:pos="4153" w:leader="none"/>
        <w:tab w:val="right" w:pos="8306" w:leader="none"/>
      </w:tabs>
    </w:pPr>
    <w:rPr>
      <w:sz w:val="18"/>
      <w:szCs w:val="18"/>
    </w:rPr>
  </w:style>
  <w:style w:type="character" w:styleId="999" w:customStyle="1">
    <w:name w:val="页脚 Char"/>
    <w:link w:val="998"/>
    <w:uiPriority w:val="99"/>
    <w:qFormat/>
    <w:rPr>
      <w:rFonts w:ascii="Times New Roman" w:hAnsi="Times New Roman" w:eastAsia="宋体" w:cs="Times New Roman"/>
      <w:sz w:val="18"/>
      <w:szCs w:val="18"/>
    </w:rPr>
  </w:style>
  <w:style w:type="paragraph" w:styleId="1000" w:customStyle="1">
    <w:name w:val="页眉1"/>
    <w:basedOn w:val="771"/>
    <w:link w:val="1001"/>
    <w:uiPriority w:val="0"/>
    <w:qFormat/>
    <w:pPr>
      <w:jc w:val="center"/>
      <w:tabs>
        <w:tab w:val="center" w:pos="4153" w:leader="none"/>
        <w:tab w:val="right" w:pos="8306" w:leader="none"/>
      </w:tabs>
      <w:pBdr>
        <w:bottom w:val="single" w:color="000000" w:sz="6" w:space="1"/>
      </w:pBdr>
    </w:pPr>
    <w:rPr>
      <w:sz w:val="18"/>
      <w:szCs w:val="18"/>
    </w:rPr>
  </w:style>
  <w:style w:type="character" w:styleId="1001" w:customStyle="1">
    <w:name w:val="页眉 Char"/>
    <w:link w:val="1000"/>
    <w:uiPriority w:val="0"/>
    <w:qFormat/>
    <w:rPr>
      <w:rFonts w:ascii="Times New Roman" w:hAnsi="Times New Roman" w:eastAsia="宋体" w:cs="Times New Roman"/>
      <w:sz w:val="18"/>
      <w:szCs w:val="18"/>
    </w:rPr>
  </w:style>
  <w:style w:type="paragraph" w:styleId="1002" w:customStyle="1">
    <w:name w:val="目录 11"/>
    <w:basedOn w:val="771"/>
    <w:next w:val="771"/>
    <w:uiPriority w:val="0"/>
    <w:semiHidden/>
    <w:qFormat/>
    <w:pPr>
      <w:jc w:val="left"/>
      <w:spacing w:before="120" w:after="120" w:line="400" w:lineRule="exact"/>
      <w:tabs>
        <w:tab w:val="right" w:pos="8720" w:leader="dot"/>
      </w:tabs>
    </w:pPr>
    <w:rPr>
      <w:rFonts w:ascii="宋体" w:hAnsi="宋体"/>
      <w:caps/>
      <w:sz w:val="24"/>
      <w:szCs w:val="24"/>
    </w:rPr>
  </w:style>
  <w:style w:type="paragraph" w:styleId="1003" w:customStyle="1">
    <w:name w:val="目录 41"/>
    <w:basedOn w:val="771"/>
    <w:next w:val="771"/>
    <w:uiPriority w:val="0"/>
    <w:semiHidden/>
    <w:qFormat/>
    <w:pPr>
      <w:ind w:left="630"/>
      <w:jc w:val="left"/>
    </w:pPr>
    <w:rPr>
      <w:szCs w:val="21"/>
    </w:rPr>
  </w:style>
  <w:style w:type="paragraph" w:styleId="1004" w:customStyle="1">
    <w:name w:val="列表1"/>
    <w:basedOn w:val="771"/>
    <w:uiPriority w:val="0"/>
    <w:qFormat/>
    <w:pPr>
      <w:ind w:left="200" w:hanging="200"/>
    </w:pPr>
    <w:rPr>
      <w:szCs w:val="21"/>
    </w:rPr>
  </w:style>
  <w:style w:type="paragraph" w:styleId="1005" w:customStyle="1">
    <w:name w:val="目录 61"/>
    <w:basedOn w:val="771"/>
    <w:next w:val="771"/>
    <w:uiPriority w:val="0"/>
    <w:semiHidden/>
    <w:qFormat/>
    <w:pPr>
      <w:ind w:left="1050"/>
      <w:jc w:val="left"/>
    </w:pPr>
    <w:rPr>
      <w:szCs w:val="21"/>
    </w:rPr>
  </w:style>
  <w:style w:type="paragraph" w:styleId="1006" w:customStyle="1">
    <w:name w:val="正文文本缩进 31"/>
    <w:basedOn w:val="771"/>
    <w:link w:val="1007"/>
    <w:uiPriority w:val="0"/>
    <w:qFormat/>
    <w:pPr>
      <w:ind w:left="645" w:firstLine="645"/>
    </w:pPr>
    <w:rPr>
      <w:rFonts w:ascii="Arial" w:hAnsi="Arial" w:eastAsia="仿宋_GB2312" w:cs="Arial"/>
      <w:color w:val="ffff00"/>
      <w:sz w:val="32"/>
      <w:szCs w:val="32"/>
    </w:rPr>
  </w:style>
  <w:style w:type="character" w:styleId="1007" w:customStyle="1">
    <w:name w:val="正文文本缩进 3 Char"/>
    <w:link w:val="1006"/>
    <w:uiPriority w:val="0"/>
    <w:qFormat/>
    <w:rPr>
      <w:rFonts w:ascii="Arial" w:hAnsi="Arial" w:eastAsia="仿宋_GB2312" w:cs="Arial"/>
      <w:color w:val="ffff00"/>
      <w:sz w:val="32"/>
      <w:szCs w:val="32"/>
    </w:rPr>
  </w:style>
  <w:style w:type="paragraph" w:styleId="1008" w:customStyle="1">
    <w:name w:val="图表目录1"/>
    <w:basedOn w:val="771"/>
    <w:next w:val="771"/>
    <w:uiPriority w:val="0"/>
    <w:semiHidden/>
    <w:qFormat/>
    <w:pPr>
      <w:ind w:left="840" w:hanging="420"/>
    </w:pPr>
    <w:rPr>
      <w:szCs w:val="21"/>
    </w:rPr>
  </w:style>
  <w:style w:type="paragraph" w:styleId="1009" w:customStyle="1">
    <w:name w:val="目录 21"/>
    <w:basedOn w:val="771"/>
    <w:next w:val="771"/>
    <w:uiPriority w:val="0"/>
    <w:semiHidden/>
    <w:qFormat/>
    <w:pPr>
      <w:ind w:left="210"/>
      <w:jc w:val="left"/>
    </w:pPr>
    <w:rPr>
      <w:smallCaps/>
      <w:szCs w:val="24"/>
    </w:rPr>
  </w:style>
  <w:style w:type="paragraph" w:styleId="1010" w:customStyle="1">
    <w:name w:val="目录 91"/>
    <w:basedOn w:val="771"/>
    <w:next w:val="771"/>
    <w:uiPriority w:val="0"/>
    <w:semiHidden/>
    <w:qFormat/>
    <w:pPr>
      <w:ind w:left="1680"/>
      <w:jc w:val="left"/>
    </w:pPr>
    <w:rPr>
      <w:szCs w:val="21"/>
    </w:rPr>
  </w:style>
  <w:style w:type="paragraph" w:styleId="1011" w:customStyle="1">
    <w:name w:val="正文文本 21"/>
    <w:basedOn w:val="771"/>
    <w:link w:val="1012"/>
    <w:uiPriority w:val="0"/>
    <w:qFormat/>
    <w:pPr>
      <w:jc w:val="center"/>
      <w:widowControl/>
    </w:pPr>
    <w:rPr>
      <w:rFonts w:ascii="楷体_GB2312" w:eastAsia="楷体_GB2312"/>
      <w:sz w:val="28"/>
      <w:szCs w:val="28"/>
    </w:rPr>
  </w:style>
  <w:style w:type="character" w:styleId="1012" w:customStyle="1">
    <w:name w:val="正文文本 2 Char"/>
    <w:link w:val="1011"/>
    <w:uiPriority w:val="0"/>
    <w:qFormat/>
    <w:rPr>
      <w:rFonts w:ascii="楷体_GB2312" w:hAnsi="Times New Roman" w:eastAsia="楷体_GB2312" w:cs="Times New Roman"/>
      <w:sz w:val="28"/>
      <w:szCs w:val="28"/>
    </w:rPr>
  </w:style>
  <w:style w:type="paragraph" w:styleId="1013" w:customStyle="1">
    <w:name w:val="普通(网站)1"/>
    <w:basedOn w:val="771"/>
    <w:uiPriority w:val="99"/>
    <w:qFormat/>
    <w:pPr>
      <w:jc w:val="left"/>
      <w:spacing w:before="100" w:beforeAutospacing="1" w:after="100" w:afterAutospacing="1"/>
      <w:widowControl/>
    </w:pPr>
    <w:rPr>
      <w:rFonts w:ascii="宋体" w:hAnsi="宋体" w:cs="宋体"/>
      <w:sz w:val="24"/>
      <w:szCs w:val="24"/>
    </w:rPr>
  </w:style>
  <w:style w:type="paragraph" w:styleId="1014" w:customStyle="1">
    <w:name w:val="索引 11"/>
    <w:basedOn w:val="771"/>
    <w:next w:val="771"/>
    <w:uiPriority w:val="0"/>
    <w:semiHidden/>
    <w:qFormat/>
    <w:pPr>
      <w:spacing w:line="240" w:lineRule="atLeast"/>
    </w:pPr>
    <w:rPr>
      <w:b/>
      <w:bCs/>
      <w:szCs w:val="21"/>
    </w:rPr>
  </w:style>
  <w:style w:type="paragraph" w:styleId="1015" w:customStyle="1">
    <w:name w:val="批注主题1"/>
    <w:basedOn w:val="978"/>
    <w:next w:val="978"/>
    <w:link w:val="1016"/>
    <w:uiPriority w:val="0"/>
    <w:semiHidden/>
    <w:qFormat/>
    <w:rPr>
      <w:b/>
      <w:bCs/>
      <w:szCs w:val="21"/>
    </w:rPr>
  </w:style>
  <w:style w:type="character" w:styleId="1016" w:customStyle="1">
    <w:name w:val="批注主题 Char"/>
    <w:link w:val="1015"/>
    <w:uiPriority w:val="0"/>
    <w:semiHidden/>
    <w:qFormat/>
    <w:rPr>
      <w:rFonts w:ascii="Times New Roman" w:hAnsi="Times New Roman" w:eastAsia="宋体" w:cs="Times New Roman"/>
      <w:b/>
      <w:bCs/>
      <w:szCs w:val="21"/>
    </w:rPr>
  </w:style>
  <w:style w:type="paragraph" w:styleId="1017" w:customStyle="1">
    <w:name w:val="正文首行缩进1"/>
    <w:basedOn w:val="771"/>
    <w:link w:val="1018"/>
    <w:uiPriority w:val="0"/>
    <w:qFormat/>
    <w:pPr>
      <w:ind w:firstLine="200"/>
      <w:spacing w:line="360" w:lineRule="auto"/>
    </w:pPr>
    <w:rPr>
      <w:rFonts w:ascii="仿宋_GB2312" w:eastAsia="仿宋_GB2312"/>
      <w:sz w:val="30"/>
      <w:szCs w:val="30"/>
    </w:rPr>
  </w:style>
  <w:style w:type="character" w:styleId="1018" w:customStyle="1">
    <w:name w:val="正文首行缩进 Char"/>
    <w:link w:val="1017"/>
    <w:uiPriority w:val="0"/>
    <w:qFormat/>
    <w:rPr>
      <w:rFonts w:ascii="仿宋_GB2312" w:hAnsi="Times New Roman" w:eastAsia="仿宋_GB2312" w:cs="Times New Roman"/>
      <w:sz w:val="30"/>
      <w:szCs w:val="30"/>
    </w:rPr>
  </w:style>
  <w:style w:type="paragraph" w:styleId="1019" w:customStyle="1">
    <w:name w:val="正文首行缩进 21"/>
    <w:basedOn w:val="984"/>
    <w:link w:val="1020"/>
    <w:uiPriority w:val="0"/>
    <w:qFormat/>
    <w:pPr>
      <w:ind w:left="0" w:firstLine="420"/>
      <w:spacing w:after="0" w:line="360" w:lineRule="auto"/>
    </w:pPr>
    <w:rPr>
      <w:rFonts w:ascii="宋体" w:hAnsi="宋体"/>
      <w:szCs w:val="20"/>
    </w:rPr>
  </w:style>
  <w:style w:type="character" w:styleId="1020" w:customStyle="1">
    <w:name w:val="正文首行缩进 2 Char"/>
    <w:link w:val="1019"/>
    <w:uiPriority w:val="0"/>
    <w:qFormat/>
    <w:rPr>
      <w:rFonts w:ascii="宋体" w:hAnsi="宋体" w:eastAsia="宋体" w:cs="Times New Roman"/>
      <w:szCs w:val="20"/>
    </w:rPr>
  </w:style>
  <w:style w:type="table" w:styleId="1021" w:customStyle="1">
    <w:name w:val="网格型1"/>
    <w:basedOn w:val="963"/>
    <w:uiPriority w:val="0"/>
    <w:qFormat/>
    <w:pPr>
      <w:jc w:val="both"/>
      <w:widowControl w:val="off"/>
    </w:pPr>
    <w:tblPr>
      <w:tblCellMar>
        <w:left w:w="0" w:type="dxa"/>
        <w:top w:w="0" w:type="dxa"/>
        <w:right w:w="0" w:type="dxa"/>
        <w:bottom w:w="0" w:type="dxa"/>
      </w:tblCellMar>
    </w:tblPr>
  </w:style>
  <w:style w:type="character" w:styleId="1022" w:customStyle="1">
    <w:name w:val="要点1"/>
    <w:basedOn w:val="962"/>
    <w:uiPriority w:val="0"/>
    <w:qFormat/>
    <w:rPr>
      <w:b/>
      <w:bCs/>
    </w:rPr>
  </w:style>
  <w:style w:type="character" w:styleId="1023" w:customStyle="1">
    <w:name w:val="页码1"/>
    <w:uiPriority w:val="0"/>
    <w:qFormat/>
  </w:style>
  <w:style w:type="character" w:styleId="1024" w:customStyle="1">
    <w:name w:val="已访问的超链接1"/>
    <w:uiPriority w:val="0"/>
    <w:qFormat/>
    <w:rPr>
      <w:color w:val="800080"/>
      <w:u w:val="single"/>
    </w:rPr>
  </w:style>
  <w:style w:type="character" w:styleId="1025" w:customStyle="1">
    <w:name w:val="强调1"/>
    <w:basedOn w:val="962"/>
    <w:uiPriority w:val="0"/>
    <w:qFormat/>
    <w:rPr>
      <w:i/>
    </w:rPr>
  </w:style>
  <w:style w:type="character" w:styleId="1026" w:customStyle="1">
    <w:name w:val="超链接1"/>
    <w:uiPriority w:val="0"/>
    <w:qFormat/>
    <w:rPr>
      <w:color w:val="0000ff"/>
      <w:u w:val="single"/>
    </w:rPr>
  </w:style>
  <w:style w:type="character" w:styleId="1027" w:customStyle="1">
    <w:name w:val="批注引用1"/>
    <w:uiPriority w:val="0"/>
    <w:semiHidden/>
    <w:qFormat/>
    <w:rPr>
      <w:sz w:val="21"/>
      <w:szCs w:val="21"/>
    </w:rPr>
  </w:style>
  <w:style w:type="character" w:styleId="1028" w:customStyle="1">
    <w:name w:val="font5 Char"/>
    <w:uiPriority w:val="0"/>
    <w:qFormat/>
    <w:rPr>
      <w:rFonts w:ascii="宋体" w:hAnsi="宋体" w:eastAsia="宋体"/>
      <w:sz w:val="28"/>
      <w:szCs w:val="28"/>
      <w:lang w:val="en-US" w:eastAsia="zh-CN" w:bidi="ar-SA"/>
    </w:rPr>
  </w:style>
  <w:style w:type="character" w:styleId="1029" w:customStyle="1">
    <w:name w:val="二级目录 Char"/>
    <w:link w:val="1030"/>
    <w:uiPriority w:val="0"/>
    <w:qFormat/>
    <w:rPr>
      <w:b/>
      <w:sz w:val="30"/>
      <w:szCs w:val="28"/>
    </w:rPr>
  </w:style>
  <w:style w:type="paragraph" w:styleId="1030" w:customStyle="1">
    <w:name w:val="二级目录"/>
    <w:next w:val="771"/>
    <w:link w:val="102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31" w:customStyle="1">
    <w:name w:val="列出段落 Char"/>
    <w:link w:val="1032"/>
    <w:uiPriority w:val="0"/>
    <w:qFormat/>
    <w:rPr>
      <w:rFonts w:ascii="Calibri" w:hAnsi="Calibri"/>
      <w:sz w:val="24"/>
      <w:szCs w:val="24"/>
      <w:lang w:eastAsia="en-US" w:bidi="en-US"/>
    </w:rPr>
  </w:style>
  <w:style w:type="paragraph" w:styleId="1032" w:customStyle="1">
    <w:name w:val="列出段落1"/>
    <w:basedOn w:val="771"/>
    <w:link w:val="1031"/>
    <w:uiPriority w:val="0"/>
    <w:qFormat/>
    <w:pPr>
      <w:contextualSpacing/>
      <w:ind w:left="720"/>
      <w:jc w:val="left"/>
      <w:widowControl/>
    </w:pPr>
    <w:rPr>
      <w:rFonts w:ascii="Calibri" w:hAnsi="Calibri"/>
      <w:sz w:val="24"/>
      <w:szCs w:val="24"/>
      <w:lang w:eastAsia="en-US" w:bidi="en-US"/>
    </w:rPr>
  </w:style>
  <w:style w:type="paragraph" w:styleId="1033" w:customStyle="1">
    <w:name w:val="Body Text(ch)"/>
    <w:basedOn w:val="771"/>
    <w:next w:val="982"/>
    <w:uiPriority w:val="0"/>
    <w:qFormat/>
    <w:pPr>
      <w:spacing w:after="120"/>
    </w:pPr>
    <w:rPr>
      <w:rFonts w:ascii="宋体" w:hAnsi="Arial"/>
      <w:bCs/>
      <w:iCs/>
      <w:szCs w:val="24"/>
    </w:rPr>
  </w:style>
  <w:style w:type="paragraph" w:styleId="1034" w:customStyle="1">
    <w:name w:val="xl27"/>
    <w:basedOn w:val="7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customStyle="1">
    <w:name w:val="xl26"/>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6" w:customStyle="1">
    <w:name w:val="Char"/>
    <w:basedOn w:val="771"/>
    <w:uiPriority w:val="0"/>
    <w:qFormat/>
    <w:pPr>
      <w:ind w:firstLine="200"/>
      <w:tabs>
        <w:tab w:val="left" w:pos="360" w:leader="none"/>
      </w:tabs>
    </w:pPr>
    <w:rPr>
      <w:sz w:val="28"/>
      <w:szCs w:val="30"/>
    </w:rPr>
  </w:style>
  <w:style w:type="paragraph" w:styleId="1037" w:customStyle="1">
    <w:name w:val="Char1"/>
    <w:basedOn w:val="976"/>
    <w:uiPriority w:val="0"/>
    <w:qFormat/>
    <w:rPr>
      <w:rFonts w:ascii="Tahoma" w:hAnsi="Tahoma"/>
      <w:sz w:val="24"/>
      <w:szCs w:val="24"/>
    </w:rPr>
  </w:style>
  <w:style w:type="paragraph" w:styleId="1038" w:customStyle="1">
    <w:name w:val="普通正文"/>
    <w:basedOn w:val="771"/>
    <w:uiPriority w:val="0"/>
    <w:qFormat/>
    <w:pPr>
      <w:ind w:firstLine="480"/>
      <w:jc w:val="left"/>
      <w:spacing w:before="120" w:after="120" w:line="360" w:lineRule="auto"/>
    </w:pPr>
    <w:rPr>
      <w:rFonts w:ascii="Arial" w:hAnsi="Arial"/>
      <w:sz w:val="24"/>
      <w:szCs w:val="24"/>
    </w:rPr>
  </w:style>
  <w:style w:type="paragraph" w:styleId="1039" w:customStyle="1">
    <w:name w:val="table_lines"/>
    <w:basedOn w:val="771"/>
    <w:uiPriority w:val="0"/>
    <w:qFormat/>
    <w:pPr>
      <w:jc w:val="left"/>
      <w:widowControl/>
    </w:pPr>
    <w:rPr>
      <w:sz w:val="20"/>
      <w:szCs w:val="20"/>
      <w:lang w:val="de-DE" w:eastAsia="de-DE"/>
    </w:rPr>
  </w:style>
  <w:style w:type="paragraph" w:styleId="104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41" w:customStyle="1">
    <w:name w:val="font7"/>
    <w:basedOn w:val="771"/>
    <w:uiPriority w:val="0"/>
    <w:qFormat/>
    <w:pPr>
      <w:jc w:val="left"/>
      <w:spacing w:before="100" w:beforeAutospacing="1" w:after="100" w:afterAutospacing="1"/>
      <w:widowControl/>
    </w:pPr>
    <w:rPr>
      <w:rFonts w:hint="eastAsia" w:ascii="宋体" w:hAnsi="宋体"/>
      <w:sz w:val="18"/>
      <w:szCs w:val="18"/>
    </w:rPr>
  </w:style>
  <w:style w:type="paragraph" w:styleId="1042" w:customStyle="1">
    <w:name w:val="Char Char Char Char"/>
    <w:basedOn w:val="976"/>
    <w:uiPriority w:val="0"/>
    <w:qFormat/>
    <w:pPr>
      <w:spacing w:line="360" w:lineRule="auto"/>
    </w:pPr>
    <w:rPr>
      <w:rFonts w:ascii="Tahoma" w:hAnsi="Tahoma"/>
      <w:sz w:val="24"/>
      <w:szCs w:val="24"/>
    </w:rPr>
  </w:style>
  <w:style w:type="paragraph" w:styleId="1043" w:customStyle="1">
    <w:name w:val="列出段落"/>
    <w:basedOn w:val="771"/>
    <w:uiPriority w:val="0"/>
    <w:qFormat/>
    <w:pPr>
      <w:contextualSpacing/>
      <w:ind w:left="720"/>
      <w:jc w:val="left"/>
      <w:widowControl/>
    </w:pPr>
    <w:rPr>
      <w:rFonts w:ascii="Calibri" w:hAnsi="Calibri"/>
      <w:sz w:val="24"/>
      <w:szCs w:val="24"/>
      <w:lang w:eastAsia="en-US" w:bidi="en-US"/>
    </w:rPr>
  </w:style>
  <w:style w:type="paragraph" w:styleId="1044" w:customStyle="1">
    <w:name w:val="4"/>
    <w:basedOn w:val="771"/>
    <w:next w:val="1006"/>
    <w:uiPriority w:val="0"/>
    <w:qFormat/>
    <w:pPr>
      <w:ind w:firstLine="420"/>
      <w:spacing w:line="360" w:lineRule="auto"/>
    </w:pPr>
    <w:rPr>
      <w:color w:val="ff0000"/>
      <w:sz w:val="24"/>
      <w:szCs w:val="24"/>
    </w:rPr>
  </w:style>
  <w:style w:type="paragraph" w:styleId="1045" w:customStyle="1">
    <w:name w:val="普通 (Web)"/>
    <w:basedOn w:val="771"/>
    <w:uiPriority w:val="0"/>
    <w:qFormat/>
    <w:pPr>
      <w:jc w:val="left"/>
      <w:spacing w:before="100" w:beforeAutospacing="1" w:after="100" w:afterAutospacing="1"/>
      <w:widowControl/>
    </w:pPr>
    <w:rPr>
      <w:rFonts w:ascii="宋体" w:hAnsi="宋体"/>
      <w:sz w:val="24"/>
      <w:szCs w:val="24"/>
    </w:rPr>
  </w:style>
  <w:style w:type="paragraph" w:styleId="1046" w:customStyle="1">
    <w:name w:val="Char Char Char Char Char Char Char Char Char Char"/>
    <w:basedOn w:val="771"/>
    <w:uiPriority w:val="0"/>
    <w:qFormat/>
    <w:pPr>
      <w:spacing w:line="360" w:lineRule="auto"/>
    </w:pPr>
    <w:rPr>
      <w:sz w:val="24"/>
      <w:szCs w:val="20"/>
    </w:rPr>
  </w:style>
  <w:style w:type="paragraph" w:styleId="1047" w:customStyle="1">
    <w:name w:val="样式1"/>
    <w:basedOn w:val="771"/>
    <w:uiPriority w:val="0"/>
    <w:qFormat/>
    <w:pPr>
      <w:numPr>
        <w:ilvl w:val="0"/>
        <w:numId w:val="3"/>
      </w:numPr>
    </w:pPr>
    <w:rPr>
      <w:rFonts w:ascii="宋体" w:hAnsi="宋体"/>
      <w:szCs w:val="21"/>
    </w:rPr>
  </w:style>
  <w:style w:type="paragraph" w:styleId="1048" w:customStyle="1">
    <w:name w:val="font6"/>
    <w:basedOn w:val="771"/>
    <w:uiPriority w:val="0"/>
    <w:qFormat/>
    <w:pPr>
      <w:jc w:val="left"/>
      <w:spacing w:before="100" w:beforeAutospacing="1" w:after="100" w:afterAutospacing="1"/>
      <w:widowControl/>
    </w:pPr>
    <w:rPr>
      <w:rFonts w:hint="eastAsia" w:ascii="宋体" w:hAnsi="宋体"/>
      <w:sz w:val="28"/>
      <w:szCs w:val="28"/>
      <w:u w:val="single"/>
    </w:rPr>
  </w:style>
  <w:style w:type="paragraph" w:styleId="1049" w:customStyle="1">
    <w:name w:val="xl25"/>
    <w:basedOn w:val="77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0" w:customStyle="1">
    <w:name w:val="图标"/>
    <w:basedOn w:val="771"/>
    <w:next w:val="77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1" w:customStyle="1">
    <w:name w:val="标题3"/>
    <w:basedOn w:val="771"/>
    <w:next w:val="771"/>
    <w:uiPriority w:val="0"/>
    <w:qFormat/>
    <w:pPr>
      <w:ind w:firstLine="624"/>
      <w:spacing w:line="590" w:lineRule="atLeast"/>
    </w:pPr>
    <w:rPr>
      <w:rFonts w:ascii="方正黑体_GBK" w:eastAsia="方正黑体_GBK"/>
      <w:sz w:val="32"/>
      <w:szCs w:val="32"/>
    </w:rPr>
  </w:style>
  <w:style w:type="paragraph" w:styleId="1052" w:customStyle="1">
    <w:name w:val="xl24"/>
    <w:basedOn w:val="77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3" w:customStyle="1">
    <w:name w:val="xl29"/>
    <w:basedOn w:val="77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4" w:customStyle="1">
    <w:name w:val="Char Char Char Char Char Char Char Char"/>
    <w:basedOn w:val="771"/>
    <w:uiPriority w:val="0"/>
    <w:qFormat/>
    <w:pPr>
      <w:jc w:val="left"/>
      <w:spacing w:after="160" w:line="240" w:lineRule="exact"/>
      <w:widowControl/>
    </w:pPr>
    <w:rPr>
      <w:rFonts w:ascii="Verdana" w:hAnsi="Verdana"/>
      <w:sz w:val="20"/>
      <w:szCs w:val="20"/>
      <w:lang w:eastAsia="en-US"/>
    </w:rPr>
  </w:style>
  <w:style w:type="paragraph" w:styleId="1055" w:customStyle="1">
    <w:name w:val="xl28"/>
    <w:basedOn w:val="77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6" w:customStyle="1">
    <w:name w:val="Char Char Char Char Char Char Char Char1"/>
    <w:basedOn w:val="771"/>
    <w:uiPriority w:val="0"/>
    <w:qFormat/>
    <w:pPr>
      <w:jc w:val="left"/>
      <w:spacing w:after="160" w:line="240" w:lineRule="exact"/>
      <w:widowControl/>
    </w:pPr>
    <w:rPr>
      <w:rFonts w:ascii="Verdana" w:hAnsi="Verdana"/>
      <w:sz w:val="20"/>
      <w:szCs w:val="20"/>
      <w:lang w:eastAsia="en-US"/>
    </w:rPr>
  </w:style>
  <w:style w:type="paragraph" w:styleId="1057" w:customStyle="1">
    <w:name w:val="xl30"/>
    <w:basedOn w:val="771"/>
    <w:uiPriority w:val="0"/>
    <w:qFormat/>
    <w:pPr>
      <w:jc w:val="center"/>
      <w:spacing w:before="100" w:beforeAutospacing="1" w:after="100" w:afterAutospacing="1"/>
      <w:widowControl/>
    </w:pPr>
    <w:rPr>
      <w:rFonts w:ascii="宋体" w:hAnsi="宋体"/>
      <w:b/>
      <w:bCs/>
      <w:sz w:val="36"/>
      <w:szCs w:val="36"/>
    </w:rPr>
  </w:style>
  <w:style w:type="paragraph" w:styleId="1058" w:customStyle="1">
    <w:name w:val="Char Char Char Char1"/>
    <w:basedOn w:val="976"/>
    <w:uiPriority w:val="0"/>
    <w:qFormat/>
    <w:pPr>
      <w:spacing w:line="360" w:lineRule="auto"/>
    </w:pPr>
    <w:rPr>
      <w:rFonts w:ascii="Tahoma" w:hAnsi="Tahoma"/>
      <w:sz w:val="24"/>
      <w:szCs w:val="24"/>
    </w:rPr>
  </w:style>
  <w:style w:type="paragraph" w:styleId="1059" w:customStyle="1">
    <w:name w:val="table_1stline"/>
    <w:basedOn w:val="771"/>
    <w:uiPriority w:val="0"/>
    <w:qFormat/>
    <w:pPr>
      <w:jc w:val="left"/>
      <w:spacing w:before="120"/>
      <w:widowControl/>
    </w:pPr>
    <w:rPr>
      <w:bCs/>
      <w:sz w:val="20"/>
      <w:szCs w:val="20"/>
      <w:lang w:val="de-DE" w:eastAsia="de-DE"/>
    </w:rPr>
  </w:style>
  <w:style w:type="paragraph" w:styleId="1060" w:customStyle="1">
    <w:name w:val="font5"/>
    <w:basedOn w:val="771"/>
    <w:uiPriority w:val="0"/>
    <w:qFormat/>
    <w:pPr>
      <w:jc w:val="left"/>
      <w:spacing w:before="100" w:beforeAutospacing="1" w:after="100" w:afterAutospacing="1"/>
      <w:widowControl/>
    </w:pPr>
    <w:rPr>
      <w:rFonts w:hint="eastAsia" w:ascii="宋体" w:hAnsi="宋体"/>
      <w:sz w:val="28"/>
      <w:szCs w:val="28"/>
    </w:rPr>
  </w:style>
  <w:style w:type="paragraph" w:styleId="1061" w:customStyle="1">
    <w:name w:val="标题1"/>
    <w:basedOn w:val="771"/>
    <w:next w:val="77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2" w:customStyle="1">
    <w:name w:val="修订1"/>
    <w:uiPriority w:val="99"/>
    <w:semiHidden/>
    <w:qFormat/>
    <w:rPr>
      <w:rFonts w:ascii="Times New Roman" w:hAnsi="Times New Roman" w:eastAsia="宋体" w:cs="Times New Roman"/>
      <w:sz w:val="21"/>
      <w:szCs w:val="21"/>
      <w:lang w:val="en-US" w:eastAsia="zh-CN" w:bidi="ar-SA"/>
    </w:rPr>
  </w:style>
  <w:style w:type="paragraph" w:styleId="1063"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6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65" w:customStyle="1">
    <w:name w:val="索引 41"/>
    <w:basedOn w:val="771"/>
    <w:next w:val="771"/>
    <w:uiPriority w:val="0"/>
    <w:qFormat/>
    <w:pPr>
      <w:ind w:left="600"/>
    </w:pPr>
    <w:rPr>
      <w:rFonts w:ascii="Calibri" w:hAnsi="Calibri"/>
    </w:rPr>
  </w:style>
  <w:style w:type="numbering" w:styleId="323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4</cp:revision>
  <dcterms:created xsi:type="dcterms:W3CDTF">2026-10-13T08:59:00Z</dcterms:created>
  <dcterms:modified xsi:type="dcterms:W3CDTF">2026-10-15T05:51:56Z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eyJoZGlkIjoiNjczYzBkODdiODg3MzliMTg5YmZmNWRhY2ZiNWNhMDUiLCJ1c2VySWQiOiIxNTU2Mjc3MzAzIn0=</vt:lpwstr>
  </property>
  <property fmtid="{D5CDD505-2E9C-101B-9397-08002B2CF9AE}" pid="3" name="KSOProductBuildVer">
    <vt:lpwstr>2052-12.1.0.28505</vt:lpwstr>
  </property>
  <property fmtid="{D5CDD505-2E9C-101B-9397-08002B2CF9AE}" pid="4" name="ICV">
    <vt:lpwstr>75D2890D168542BD906403130BC2D7E8_13</vt:lpwstr>
  </property>
</Properties>
</file>