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24"/>
      </w:pPr>
      <w:r/>
      <w:r/>
    </w:p>
    <w:p>
      <w:pPr>
        <w:pStyle w:val="922"/>
        <w:jc w:val="center"/>
        <w:rPr>
          <w:rFonts w:eastAsia="黑体"/>
          <w:b/>
          <w:bCs/>
          <w:color w:val="auto"/>
          <w:sz w:val="84"/>
        </w:rPr>
      </w:pPr>
      <w:r>
        <w:rPr>
          <w:rFonts w:hint="eastAsia" w:eastAsia="黑体"/>
          <w:b/>
          <w:bCs/>
          <w:color w:val="000000"/>
          <w:sz w:val="84"/>
        </w:rPr>
        <w:t xml:space="preserve">招</w:t>
      </w:r>
      <w:r>
        <w:rPr>
          <w:rFonts w:eastAsia="黑体"/>
          <w:b/>
          <w:bCs/>
          <w:color w:val="auto"/>
          <w:sz w:val="84"/>
        </w:rPr>
        <w:t xml:space="preserve">  </w:t>
      </w:r>
      <w:r>
        <w:rPr>
          <w:rFonts w:hint="eastAsia" w:eastAsia="黑体"/>
          <w:b/>
          <w:bCs/>
          <w:color w:val="auto"/>
          <w:sz w:val="84"/>
        </w:rPr>
        <w:t xml:space="preserve">标　文　件</w:t>
      </w:r>
      <w:r/>
    </w:p>
    <w:p>
      <w:pPr>
        <w:ind w:firstLine="1506"/>
        <w:rPr>
          <w:b/>
          <w:color w:val="auto"/>
          <w:sz w:val="32"/>
          <w:szCs w:val="32"/>
        </w:rPr>
      </w:pPr>
      <w:r>
        <w:rPr>
          <w:rFonts w:hint="eastAsia"/>
          <w:b/>
          <w:color w:val="auto"/>
          <w:sz w:val="30"/>
          <w:szCs w:val="30"/>
        </w:rPr>
        <w:t xml:space="preserve">项目名称：</w:t>
      </w:r>
      <w:r>
        <w:rPr>
          <w:rFonts w:hint="eastAsia"/>
          <w:b/>
          <w:color w:val="auto"/>
          <w:sz w:val="32"/>
          <w:szCs w:val="32"/>
        </w:rPr>
        <w:t xml:space="preserve">江宁区临江高级中学等校教学设备</w:t>
      </w:r>
      <w:r/>
    </w:p>
    <w:p>
      <w:pPr>
        <w:ind w:firstLine="1506"/>
        <w:rPr>
          <w:b/>
          <w:color w:val="auto"/>
          <w:sz w:val="32"/>
          <w:szCs w:val="32"/>
        </w:rPr>
      </w:pPr>
      <w:r>
        <w:rPr>
          <w:rFonts w:hint="eastAsia"/>
          <w:b/>
          <w:color w:val="auto"/>
          <w:sz w:val="30"/>
          <w:szCs w:val="30"/>
        </w:rPr>
        <w:t xml:space="preserve">项目编号：JSZC-320115-JZCG-G2026-0054</w:t>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22"/>
        <w:ind w:firstLine="0"/>
        <w:jc w:val="center"/>
        <w:rPr>
          <w:b/>
          <w:bCs/>
          <w:sz w:val="32"/>
        </w:rPr>
      </w:pPr>
      <w:r>
        <w:rPr>
          <w:rFonts w:hint="eastAsia"/>
          <w:b/>
          <w:bCs/>
          <w:sz w:val="32"/>
        </w:rPr>
        <w:t xml:space="preserve">南京市公共资源交易中心江宁分中心</w:t>
      </w:r>
      <w:r/>
    </w:p>
    <w:p>
      <w:pPr>
        <w:jc w:val="center"/>
        <w:rPr>
          <w:rFonts w:hint="eastAsia" w:ascii="Arial" w:hAnsi="Arial" w:eastAsia="宋体" w:cs="Times New Roman"/>
          <w:b/>
          <w:bCs/>
          <w:sz w:val="32"/>
          <w:szCs w:val="24"/>
          <w:lang w:val="en-US" w:eastAsia="zh-CN" w:bidi="ar-SA"/>
        </w:rPr>
      </w:pPr>
      <w:r>
        <w:rPr>
          <w:rFonts w:hint="eastAsia" w:ascii="Arial" w:hAnsi="Arial" w:eastAsia="宋体" w:cs="Times New Roman"/>
          <w:b/>
          <w:bCs/>
          <w:sz w:val="32"/>
          <w:szCs w:val="24"/>
          <w:lang w:val="en-US" w:eastAsia="zh-CN" w:bidi="ar-SA"/>
        </w:rPr>
        <w:t xml:space="preserve">2026年</w:t>
      </w:r>
      <w:r>
        <w:rPr>
          <w:rFonts w:hint="eastAsia" w:ascii="Arial" w:hAnsi="Arial" w:cs="Times New Roman"/>
          <w:b/>
          <w:bCs/>
          <w:sz w:val="32"/>
          <w:szCs w:val="24"/>
          <w:lang w:val="en-US" w:eastAsia="zh-CN" w:bidi="ar-SA"/>
        </w:rPr>
        <w:t xml:space="preserve">9</w:t>
      </w:r>
      <w:r>
        <w:rPr>
          <w:rFonts w:hint="eastAsia" w:ascii="Arial" w:hAnsi="Arial" w:eastAsia="宋体" w:cs="Times New Roman"/>
          <w:b/>
          <w:bCs/>
          <w:sz w:val="32"/>
          <w:szCs w:val="24"/>
          <w:lang w:val="en-US" w:eastAsia="zh-CN" w:bidi="ar-SA"/>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投标邀请……………………………………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投标人须知…………………………………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评标方法与评标标准………………………</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投标文件格式………………………………</w:t>
      </w:r>
      <w:bookmarkEnd w:id="0"/>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pStyle w:val="659"/>
        <w:ind w:firstLine="465"/>
        <w:spacing w:before="145" w:after="145" w:line="264" w:lineRule="auto"/>
        <w:rPr>
          <w:rFonts w:ascii="方正黑体_GBK" w:hAnsi="方正黑体_GBK" w:eastAsia="方正黑体_GBK" w:cs="方正黑体_GBK"/>
          <w:b w:val="0"/>
          <w:bCs w:val="0"/>
          <w:color w:val="auto"/>
          <w:sz w:val="30"/>
          <w:szCs w:val="30"/>
        </w:rPr>
      </w:pPr>
      <w:r/>
      <w:bookmarkStart w:id="6" w:name="_Toc38985263"/>
      <w:r/>
      <w:bookmarkStart w:id="7" w:name="_Hlk24379207"/>
      <w:r/>
      <w:bookmarkStart w:id="8" w:name="_Toc35393621"/>
      <w:r/>
      <w:bookmarkStart w:id="9" w:name="_Toc28359079"/>
      <w:r/>
      <w:bookmarkStart w:id="10" w:name="_Toc35393790"/>
      <w:r/>
      <w:bookmarkStart w:id="11" w:name="_Toc28359002"/>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rPr>
      </w:pPr>
      <w:r/>
      <w:bookmarkStart w:id="12" w:name="_Toc38985264"/>
      <w:r/>
      <w:bookmarkStart w:id="13" w:name="_Toc28359080"/>
      <w:r/>
      <w:bookmarkStart w:id="14" w:name="_Toc35393622"/>
      <w:r/>
      <w:bookmarkStart w:id="15" w:name="_Toc35393791"/>
      <w:r/>
      <w:bookmarkStart w:id="16" w:name="_Toc28359003"/>
      <w:r>
        <w:rPr>
          <w:rFonts w:hint="eastAsia" w:ascii="宋体" w:hAnsi="宋体"/>
          <w:color w:val="auto"/>
          <w:sz w:val="24"/>
          <w:szCs w:val="24"/>
        </w:rPr>
        <w:t xml:space="preserve">1.项目编号：JSZC-320115-JZCG-G2026-0054</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2.项目名称：江宁区临江高级中学等校教学设备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3.预算金额：125.4万元</w:t>
      </w:r>
      <w:r/>
    </w:p>
    <w:p>
      <w:pPr>
        <w:pStyle w:val="672"/>
        <w:ind w:firstLine="480"/>
        <w:rPr>
          <w:rFonts w:ascii="宋体" w:hAnsi="宋体"/>
          <w:color w:val="auto"/>
          <w:sz w:val="24"/>
          <w:szCs w:val="24"/>
        </w:rPr>
      </w:pPr>
      <w:r>
        <w:rPr>
          <w:rFonts w:hint="eastAsia" w:ascii="宋体" w:hAnsi="宋体"/>
          <w:color w:val="auto"/>
          <w:sz w:val="24"/>
          <w:szCs w:val="24"/>
        </w:rPr>
        <w:t xml:space="preserve">4.最高限价：113.0万元</w:t>
      </w:r>
      <w:bookmarkStart w:id="69" w:name="_GoBack"/>
      <w:r/>
      <w:bookmarkEnd w:id="69"/>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5.采购需求（简介）：根据学校教学需求，配置相关教学设备，满足学校的教育教学需要。（详细内容见本招标文件第四章） </w:t>
      </w:r>
      <w:r/>
    </w:p>
    <w:p>
      <w:pPr>
        <w:ind w:firstLine="480"/>
        <w:spacing w:line="264" w:lineRule="auto"/>
        <w:rPr>
          <w:rFonts w:ascii="宋体" w:hAnsi="宋体"/>
          <w:sz w:val="24"/>
          <w:szCs w:val="24"/>
          <w:highlight w:val="yellow"/>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7.本项目不接受联合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8.本项目不接受进口产品投标。</w:t>
      </w:r>
      <w:r/>
    </w:p>
    <w:p>
      <w:pPr>
        <w:ind w:firstLine="480"/>
        <w:spacing w:line="252" w:lineRule="auto"/>
        <w:rPr>
          <w:rFonts w:hint="eastAsia" w:ascii="宋体" w:hAnsi="宋体"/>
          <w:color w:val="auto"/>
          <w:sz w:val="24"/>
          <w:szCs w:val="24"/>
        </w:rPr>
      </w:pPr>
      <w:r>
        <w:rPr>
          <w:rFonts w:hint="eastAsia" w:ascii="宋体" w:hAnsi="宋体" w:eastAsia="宋体" w:cs="宋体"/>
          <w:color w:val="auto"/>
          <w:sz w:val="24"/>
          <w:szCs w:val="24"/>
          <w:highlight w:val="none"/>
          <w:lang w:val="en-US" w:eastAsia="zh-CN"/>
        </w:rPr>
        <w:t xml:space="preserve">9.本项目不允许分包。</w:t>
      </w:r>
      <w:r/>
    </w:p>
    <w:p>
      <w:pPr>
        <w:ind w:firstLine="420"/>
        <w:spacing w:line="252" w:lineRule="auto"/>
      </w:pPr>
      <w:r/>
      <w:r/>
    </w:p>
    <w:p>
      <w:pPr>
        <w:pStyle w:val="65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ind w:firstLine="480"/>
        <w:spacing w:line="264" w:lineRule="auto"/>
        <w:rPr>
          <w:rFonts w:ascii="宋体" w:hAnsi="宋体"/>
          <w:color w:val="0000ff"/>
          <w:sz w:val="24"/>
          <w:szCs w:val="24"/>
          <w:lang w:val="zh-CN"/>
        </w:rPr>
      </w:pPr>
      <w:r>
        <w:rPr>
          <w:rFonts w:ascii="宋体" w:hAnsi="宋体"/>
          <w:color w:val="0000ff"/>
          <w:sz w:val="24"/>
          <w:szCs w:val="24"/>
          <w:lang w:val="zh-CN"/>
        </w:rPr>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28359007"/>
      <w:r/>
      <w:bookmarkStart w:id="28" w:name="_Toc35393625"/>
      <w:r/>
      <w:bookmarkStart w:id="29" w:name="_Toc35393794"/>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日14时00分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659"/>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796"/>
      <w:r/>
      <w:bookmarkStart w:id="36" w:name="_Toc28359008"/>
      <w:r/>
      <w:bookmarkStart w:id="37" w:name="_Toc35393627"/>
      <w:r/>
      <w:bookmarkStart w:id="38" w:name="_Toc38985269"/>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auto"/>
          <w:sz w:val="24"/>
          <w:szCs w:val="24"/>
          <w:highlight w:val="none"/>
        </w:rPr>
      </w:pPr>
      <w:r>
        <w:rPr>
          <w:rFonts w:hint="eastAsia" w:ascii="宋体" w:hAnsi="宋体"/>
          <w:sz w:val="24"/>
          <w:szCs w:val="24"/>
        </w:rPr>
        <w:t xml:space="preserve">2.</w:t>
      </w:r>
      <w:r>
        <w:rPr>
          <w:rFonts w:hint="eastAsia" w:ascii="宋体" w:hAnsi="宋体" w:cs="宋体"/>
          <w:color w:val="000000"/>
          <w:sz w:val="24"/>
          <w:szCs w:val="24"/>
        </w:rPr>
        <w:t xml:space="preserve">本项目组织勘察及答疑，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代表携带加盖单位公章的营业执照复印件、法定代表人授权委托书、身份证参加。签到时间</w:t>
      </w:r>
      <w:r>
        <w:rPr>
          <w:rFonts w:hint="eastAsia" w:ascii="宋体" w:hAnsi="宋体" w:cs="宋体"/>
          <w:color w:val="000000"/>
          <w:sz w:val="24"/>
          <w:szCs w:val="24"/>
          <w:highlight w:val="none"/>
        </w:rPr>
        <w:t xml:space="preserve">：</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日9</w:t>
      </w:r>
      <w:r>
        <w:rPr>
          <w:rFonts w:hint="eastAsia"/>
          <w:bCs/>
          <w:color w:val="auto"/>
          <w:sz w:val="24"/>
          <w:szCs w:val="24"/>
          <w:highlight w:val="none"/>
        </w:rPr>
        <w:t xml:space="preserve">时30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至10</w:t>
      </w:r>
      <w:r>
        <w:rPr>
          <w:rFonts w:hint="eastAsia"/>
          <w:bCs/>
          <w:color w:val="auto"/>
          <w:sz w:val="24"/>
          <w:szCs w:val="24"/>
          <w:highlight w:val="none"/>
        </w:rPr>
        <w:t xml:space="preserve">时00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，地址：南京市临江高级中学</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江宁区诚信大道188号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，联系人：王德平，联系电话13814008910。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5.对采购方式、采购需求、</w:t>
      </w:r>
      <w:r>
        <w:rPr>
          <w:rFonts w:hint="eastAsia" w:ascii="宋体" w:hAnsi="宋体" w:cs="宋体"/>
          <w:b/>
          <w:bCs/>
          <w:sz w:val="24"/>
          <w:szCs w:val="24"/>
          <w:lang w:val="en-US" w:eastAsia="zh-CN"/>
        </w:rPr>
        <w:t xml:space="preserve">投标人</w:t>
      </w:r>
      <w:r>
        <w:rPr>
          <w:rFonts w:hint="eastAsia" w:ascii="宋体" w:hAnsi="宋体" w:cs="宋体"/>
          <w:b/>
          <w:bCs/>
          <w:sz w:val="24"/>
          <w:szCs w:val="24"/>
        </w:rPr>
        <w:t xml:space="preserve">资格条件、评标方法和评标标准、合同文本、招标项目资格审查结果的询问或质疑向采购人提出，由采购人负责答复。对上述事项以外的询问或质疑向交易中心提出，由交易中心负责答复</w:t>
      </w:r>
      <w:r>
        <w:rPr>
          <w:rFonts w:hint="eastAsia" w:ascii="宋体" w:hAnsi="宋体"/>
          <w:b/>
          <w:bCs/>
          <w:sz w:val="24"/>
          <w:lang w:val="zh-CN"/>
        </w:rPr>
        <w:t xml:space="preserve">。</w:t>
      </w:r>
      <w:r/>
    </w:p>
    <w:p>
      <w:pPr>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color w:val="000000"/>
          <w:sz w:val="24"/>
          <w:lang w:val="zh-CN"/>
        </w:rPr>
        <w:t xml:space="preserve">南京市江宁区教育技术装备中心</w:t>
      </w:r>
      <w:r>
        <w:rPr>
          <w:rFonts w:hint="eastAsia" w:ascii="宋体" w:hAnsi="宋体"/>
          <w:sz w:val="24"/>
        </w:rPr>
        <w:t xml:space="preserve">，收件地址：</w:t>
      </w:r>
      <w:r>
        <w:rPr>
          <w:rFonts w:hint="eastAsia" w:ascii="宋体" w:hAnsi="宋体"/>
          <w:sz w:val="24"/>
          <w:lang w:val="zh-CN"/>
        </w:rPr>
        <w:t xml:space="preserve">南京市江宁区东新北路16号503</w:t>
      </w:r>
      <w:r>
        <w:rPr>
          <w:rFonts w:hint="eastAsia"/>
          <w:sz w:val="24"/>
          <w:szCs w:val="24"/>
        </w:rPr>
        <w:t xml:space="preserve">室</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lang w:val="zh-CN"/>
        </w:rPr>
        <w:t xml:space="preserve">025-84930376</w:t>
      </w:r>
      <w:r>
        <w:rPr>
          <w:rFonts w:hint="eastAsia" w:ascii="宋体" w:hAnsi="宋体"/>
          <w:sz w:val="24"/>
        </w:rPr>
        <w:t xml:space="preserve">。</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lang w:eastAsia="zh-CN"/>
        </w:rPr>
        <w:t xml:space="preserve">投标人</w:t>
      </w:r>
      <w:r>
        <w:rPr>
          <w:rFonts w:hint="eastAsia" w:ascii="宋体" w:hAnsi="宋体" w:cs="宋体"/>
          <w:b/>
          <w:bCs/>
          <w:sz w:val="24"/>
          <w:szCs w:val="24"/>
        </w:rPr>
        <w:t xml:space="preserve">提出质疑函应提交《质疑函》原件，且尽可能通过邮寄方式送达，交易中心和采购人不接受无运单快件。</w:t>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w:t>
      </w:r>
      <w:r>
        <w:rPr>
          <w:rFonts w:hint="eastAsia" w:ascii="宋体" w:hAnsi="宋体"/>
          <w:sz w:val="24"/>
          <w:lang w:val="zh-CN"/>
        </w:rPr>
        <w:t xml:space="preserve">16号503</w:t>
      </w:r>
      <w:r>
        <w:rPr>
          <w:rFonts w:hint="eastAsia" w:ascii="宋体" w:hAnsi="宋体"/>
          <w:sz w:val="24"/>
        </w:rPr>
        <w:t xml:space="preserve">室</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86"/>
      <w:r/>
      <w:bookmarkStart w:id="41" w:name="_Toc28359009"/>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南京市公共资源交易中心江宁分中心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bookmarkEnd w:id="1"/>
      <w:r/>
      <w:bookmarkEnd w:id="2"/>
      <w:r/>
      <w:bookmarkEnd w:id="3"/>
      <w:r/>
      <w:bookmarkEnd w:id="4"/>
      <w:r/>
      <w:bookmarkEnd w:id="5"/>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ind w:firstLine="480"/>
        <w:rPr>
          <w:rFonts w:ascii="宋体" w:hAnsi="宋体" w:cs="宋体"/>
          <w:sz w:val="24"/>
          <w:szCs w:val="24"/>
        </w:rPr>
      </w:pPr>
      <w:r>
        <w:rPr>
          <w:rFonts w:ascii="宋体" w:hAnsi="宋体" w:cs="宋体"/>
          <w:sz w:val="24"/>
          <w:szCs w:val="24"/>
        </w:rPr>
      </w:r>
      <w:r/>
    </w:p>
    <w:p>
      <w:pPr>
        <w:ind w:right="840"/>
        <w:jc w:val="center"/>
        <w:rPr>
          <w:rFonts w:hint="eastAsia" w:ascii="方正小标宋简体" w:hAnsi="方正小标宋简体" w:eastAsia="方正小标宋简体" w:cs="方正小标宋简体"/>
          <w:color w:val="000000"/>
          <w:sz w:val="36"/>
          <w:szCs w:val="36"/>
        </w:rPr>
      </w:pPr>
      <w:r/>
      <w:bookmarkStart w:id="42" w:name="_Toc120614211"/>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bookmarkEnd w:id="42"/>
      <w:r/>
    </w:p>
    <w:p>
      <w:pPr>
        <w:pStyle w:val="72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3" w:name="_Toc120614221"/>
      <w:r/>
      <w:bookmarkStart w:id="44" w:name="_Toc513029242"/>
      <w:r/>
      <w:bookmarkStart w:id="45" w:name="_Toc20823314"/>
      <w:r/>
      <w:bookmarkStart w:id="46" w:name="_Toc479757207"/>
      <w:r/>
      <w:bookmarkStart w:id="47" w:name="_Toc16938558"/>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60"/>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6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5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60"/>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5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60"/>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60"/>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60"/>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60"/>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60"/>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60"/>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72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24"/>
        <w:rPr>
          <w:rFonts w:ascii="宋体" w:hAnsi="宋体" w:eastAsia="宋体" w:cs="Times New Roman"/>
          <w:sz w:val="24"/>
        </w:rPr>
      </w:pPr>
      <w:r>
        <w:rPr>
          <w:rFonts w:ascii="宋体" w:hAnsi="宋体" w:eastAsia="宋体" w:cs="Times New Roman"/>
          <w:sz w:val="24"/>
        </w:rPr>
      </w:r>
      <w:r/>
    </w:p>
    <w:p>
      <w:pPr>
        <w:rPr>
          <w:rFonts w:ascii="宋体" w:hAnsi="宋体"/>
          <w:color w:val="000000"/>
          <w:sz w:val="24"/>
          <w:lang w:val="zh-CN"/>
        </w:rPr>
      </w:pPr>
      <w:r>
        <w:rPr>
          <w:rFonts w:ascii="宋体" w:hAnsi="宋体"/>
          <w:color w:val="000000"/>
          <w:sz w:val="24"/>
          <w:lang w:val="zh-CN"/>
        </w:rPr>
      </w:r>
      <w:r/>
    </w:p>
    <w:p>
      <w:pPr>
        <w:pStyle w:val="72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pStyle w:val="704"/>
        <w:rPr>
          <w:rFonts w:ascii="宋体" w:hAnsi="宋体" w:eastAsia="宋体" w:cs="Times New Roman"/>
          <w:color w:val="000000"/>
          <w:sz w:val="24"/>
          <w:szCs w:val="24"/>
        </w:rPr>
      </w:pPr>
      <w:r>
        <w:rPr>
          <w:rFonts w:ascii="宋体" w:hAnsi="宋体" w:eastAsia="宋体" w:cs="Times New Roman"/>
          <w:color w:val="000000"/>
          <w:sz w:val="24"/>
        </w:rPr>
      </w:r>
      <w:r>
        <w:rPr>
          <w:rFonts w:ascii="宋体" w:hAnsi="宋体" w:eastAsia="宋体" w:cs="Times New Roman"/>
          <w:color w:val="000000"/>
          <w:sz w:val="24"/>
        </w:rPr>
      </w:r>
    </w:p>
    <w:p>
      <w:pPr>
        <w:pStyle w:val="704"/>
        <w:rPr>
          <w:rFonts w:ascii="宋体" w:hAnsi="宋体" w:eastAsia="宋体" w:cs="Times New Roman"/>
          <w:color w:val="000000"/>
          <w:sz w:val="24"/>
          <w:szCs w:val="24"/>
        </w:rPr>
      </w:pPr>
      <w:r>
        <w:rPr>
          <w:rFonts w:ascii="宋体" w:hAnsi="宋体" w:eastAsia="宋体" w:cs="Times New Roman"/>
          <w:color w:val="000000"/>
          <w:sz w:val="24"/>
          <w:szCs w:val="24"/>
        </w:rPr>
      </w:r>
      <w:r>
        <w:rPr>
          <w:rFonts w:ascii="宋体" w:hAnsi="宋体" w:eastAsia="宋体" w:cs="Times New Roman"/>
          <w:color w:val="000000"/>
          <w:sz w:val="24"/>
          <w:szCs w:val="24"/>
        </w:rPr>
      </w:r>
    </w:p>
    <w:p>
      <w:pPr>
        <w:pStyle w:val="704"/>
        <w:rPr>
          <w:rFonts w:ascii="宋体" w:hAnsi="宋体" w:eastAsia="宋体" w:cs="Times New Roman"/>
          <w:color w:val="000000"/>
          <w:sz w:val="24"/>
          <w:szCs w:val="24"/>
        </w:rPr>
      </w:pPr>
      <w:r>
        <w:rPr>
          <w:rFonts w:ascii="宋体" w:hAnsi="宋体" w:eastAsia="宋体" w:cs="Times New Roman"/>
          <w:color w:val="000000"/>
          <w:sz w:val="24"/>
          <w:szCs w:val="24"/>
        </w:rPr>
      </w:r>
      <w:r>
        <w:rPr>
          <w:rFonts w:ascii="宋体" w:hAnsi="宋体" w:eastAsia="宋体" w:cs="Times New Roman"/>
          <w:color w:val="000000"/>
          <w:sz w:val="24"/>
          <w:szCs w:val="24"/>
        </w:rPr>
      </w:r>
    </w:p>
    <w:p>
      <w:pPr>
        <w:pStyle w:val="704"/>
        <w:rPr>
          <w:rFonts w:ascii="宋体" w:hAnsi="宋体" w:eastAsia="宋体" w:cs="Times New Roman"/>
          <w:color w:val="000000"/>
          <w:sz w:val="24"/>
          <w:szCs w:val="24"/>
        </w:rPr>
      </w:pPr>
      <w:r>
        <w:rPr>
          <w:rFonts w:ascii="宋体" w:hAnsi="宋体" w:eastAsia="宋体" w:cs="Times New Roman"/>
          <w:color w:val="000000"/>
          <w:sz w:val="24"/>
          <w:szCs w:val="24"/>
        </w:rPr>
      </w:r>
      <w:r>
        <w:rPr>
          <w:rFonts w:ascii="宋体" w:hAnsi="宋体" w:eastAsia="宋体" w:cs="Times New Roman"/>
          <w:color w:val="000000"/>
          <w:sz w:val="24"/>
          <w:szCs w:val="24"/>
        </w:rPr>
      </w:r>
    </w:p>
    <w:p>
      <w:pPr>
        <w:pStyle w:val="704"/>
        <w:rPr>
          <w:rFonts w:ascii="宋体" w:hAnsi="宋体" w:eastAsia="宋体" w:cs="Times New Roman"/>
          <w:color w:val="000000"/>
          <w:sz w:val="24"/>
          <w:szCs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24"/>
        <w:ind w:left="0"/>
        <w:jc w:val="center"/>
        <w:rPr>
          <w:rFonts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48" w:name="_Toc513029243"/>
      <w:r/>
      <w:bookmarkStart w:id="49" w:name="_Toc20823315"/>
      <w:r/>
      <w:bookmarkStart w:id="50" w:name="_Toc16938559"/>
      <w:r/>
      <w:bookmarkStart w:id="51" w:name="_Hlt16619350"/>
      <w:r/>
      <w:bookmarkStart w:id="52" w:name="_Toc120614244"/>
      <w:r/>
      <w:bookmarkStart w:id="53" w:name="_Toc16938590"/>
      <w:r/>
      <w:bookmarkStart w:id="54" w:name="_Toc20823346"/>
      <w:r/>
      <w:bookmarkStart w:id="55" w:name="_Toc479757211"/>
      <w:r/>
      <w:bookmarkStart w:id="56"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0"/>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ascii="宋体" w:hAnsi="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10.5质保期为自项目</w:t>
      </w:r>
      <w:r>
        <w:rPr>
          <w:rFonts w:hint="eastAsia" w:ascii="宋体" w:hAnsi="宋体"/>
          <w:sz w:val="24"/>
          <w:szCs w:val="24"/>
        </w:rPr>
        <w:t xml:space="preserve">验收报告签字确认日</w:t>
      </w:r>
      <w:r>
        <w:rPr>
          <w:rFonts w:hint="eastAsia" w:ascii="宋体" w:hAnsi="宋体" w:cs="Courier New"/>
          <w:sz w:val="24"/>
          <w:szCs w:val="24"/>
        </w:rPr>
        <w:t xml:space="preserve">起</w:t>
      </w:r>
      <w:r>
        <w:rPr>
          <w:rFonts w:hint="eastAsia" w:ascii="宋体" w:hAnsi="宋体" w:cs="Courier New"/>
          <w:color w:val="000000"/>
          <w:sz w:val="24"/>
          <w:szCs w:val="24"/>
          <w:u w:val="single"/>
        </w:rPr>
        <w:t xml:space="preserve"> 6</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宋体"/>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48"/>
      <w:r/>
      <w:bookmarkEnd w:id="49"/>
      <w:r/>
      <w:bookmarkEnd w:id="50"/>
      <w:r/>
      <w:r/>
    </w:p>
    <w:p>
      <w:pPr>
        <w:pStyle w:val="680"/>
        <w:spacing w:before="120" w:after="120" w:line="264" w:lineRule="auto"/>
        <w:rPr>
          <w:rFonts w:hAnsi="宋体"/>
          <w:sz w:val="24"/>
          <w:szCs w:val="24"/>
        </w:rPr>
      </w:pPr>
      <w:r/>
      <w:bookmarkStart w:id="57" w:name="_Hlt16619369"/>
      <w:r/>
      <w:bookmarkEnd w:id="57"/>
      <w:r/>
      <w:r/>
    </w:p>
    <w:p>
      <w:pPr>
        <w:pStyle w:val="680"/>
        <w:spacing w:before="120" w:after="120" w:line="264" w:lineRule="auto"/>
        <w:rPr>
          <w:rFonts w:hAnsi="宋体"/>
          <w:sz w:val="24"/>
          <w:szCs w:val="24"/>
        </w:rPr>
      </w:pPr>
      <w:r>
        <w:rPr>
          <w:rFonts w:hint="eastAsia" w:hAnsi="宋体"/>
          <w:sz w:val="24"/>
          <w:szCs w:val="24"/>
        </w:rPr>
        <w:t xml:space="preserve">甲方：（公章）                       乙方：（公章）</w:t>
      </w:r>
      <w:r/>
    </w:p>
    <w:p>
      <w:pPr>
        <w:pStyle w:val="680"/>
        <w:spacing w:before="120" w:after="120" w:line="264" w:lineRule="auto"/>
        <w:rPr>
          <w:rFonts w:hAnsi="宋体"/>
          <w:sz w:val="24"/>
          <w:szCs w:val="24"/>
        </w:rPr>
      </w:pPr>
      <w:r>
        <w:rPr>
          <w:rFonts w:hint="eastAsia" w:hAnsi="宋体"/>
          <w:sz w:val="24"/>
          <w:szCs w:val="24"/>
        </w:rPr>
        <w:t xml:space="preserve">地址：                        地址： </w:t>
      </w:r>
      <w:r/>
    </w:p>
    <w:p>
      <w:pPr>
        <w:pStyle w:val="680"/>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680"/>
        <w:spacing w:before="120" w:after="120" w:line="264" w:lineRule="auto"/>
        <w:rPr>
          <w:rFonts w:hAnsi="宋体"/>
          <w:sz w:val="24"/>
          <w:szCs w:val="24"/>
        </w:rPr>
      </w:pPr>
      <w:r>
        <w:rPr>
          <w:rFonts w:hint="eastAsia" w:hAnsi="宋体"/>
          <w:sz w:val="24"/>
          <w:szCs w:val="24"/>
        </w:rPr>
        <w:t xml:space="preserve">联系电话：                    联系电话：          </w:t>
      </w:r>
      <w:r/>
    </w:p>
    <w:p>
      <w:pPr>
        <w:pStyle w:val="680"/>
        <w:spacing w:before="120" w:after="120" w:line="264" w:lineRule="auto"/>
        <w:rPr>
          <w:rFonts w:hAnsi="宋体"/>
          <w:sz w:val="24"/>
          <w:szCs w:val="24"/>
        </w:rPr>
      </w:pPr>
      <w:r>
        <w:rPr>
          <w:rFonts w:hAnsi="宋体"/>
          <w:sz w:val="24"/>
          <w:szCs w:val="24"/>
        </w:rPr>
      </w:r>
      <w:r/>
    </w:p>
    <w:p>
      <w:pPr>
        <w:pStyle w:val="680"/>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80"/>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1"/>
      <w:r>
        <w:rPr>
          <w:rFonts w:hint="eastAsia" w:ascii="方正小标宋简体" w:hAnsi="方正小标宋简体" w:eastAsia="方正小标宋简体" w:cs="方正小标宋简体"/>
          <w:color w:val="000000"/>
          <w:sz w:val="36"/>
          <w:szCs w:val="36"/>
        </w:rPr>
        <w:t xml:space="preserve">四章 采购需求</w:t>
      </w:r>
      <w:bookmarkEnd w:id="52"/>
      <w:r/>
      <w:bookmarkEnd w:id="53"/>
      <w:r/>
      <w:bookmarkEnd w:id="54"/>
      <w:r/>
      <w:r/>
    </w:p>
    <w:p>
      <w:pPr>
        <w:ind w:firstLine="480"/>
        <w:spacing w:line="264" w:lineRule="auto"/>
        <w:rPr>
          <w:rFonts w:ascii="黑体" w:hAnsi="黑体" w:eastAsia="黑体" w:cs="黑体"/>
          <w:color w:val="000000"/>
          <w:sz w:val="24"/>
          <w:szCs w:val="24"/>
        </w:rPr>
      </w:pPr>
      <w:r/>
      <w:bookmarkStart w:id="58" w:name="_Toc26554093"/>
      <w:r/>
      <w:bookmarkStart w:id="59"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380" w:lineRule="exact"/>
        <w:rPr>
          <w:rFonts w:ascii="宋体" w:hAnsi="宋体" w:cs="宋体"/>
          <w:sz w:val="24"/>
          <w:szCs w:val="28"/>
        </w:rPr>
      </w:pPr>
      <w:r>
        <w:rPr>
          <w:rFonts w:hint="eastAsia" w:ascii="宋体" w:hAnsi="宋体" w:cs="宋体"/>
          <w:sz w:val="24"/>
          <w:szCs w:val="28"/>
        </w:rPr>
        <w:t xml:space="preserve">本项目为班级教学设备采购项目，主要用于学校的班级教室的教学及展示使用。包含：</w:t>
      </w:r>
      <w:r/>
    </w:p>
    <w:p>
      <w:pPr>
        <w:pStyle w:val="658"/>
        <w:ind w:firstLine="480"/>
        <w:jc w:val="both"/>
        <w:rPr>
          <w:rFonts w:hint="default" w:ascii="宋体" w:hAnsi="宋体" w:eastAsia="宋体" w:cs="宋体"/>
          <w:b w:val="0"/>
          <w:sz w:val="24"/>
          <w:szCs w:val="24"/>
          <w:highlight w:val="none"/>
          <w:lang w:val="en-US" w:eastAsia="zh-CN"/>
        </w:rPr>
      </w:pPr>
      <w:r>
        <w:rPr>
          <w:rFonts w:hint="eastAsia" w:ascii="宋体" w:hAnsi="宋体" w:eastAsia="宋体" w:cs="宋体"/>
          <w:b w:val="0"/>
          <w:sz w:val="24"/>
          <w:szCs w:val="24"/>
        </w:rPr>
        <w:t xml:space="preserve">1、南京市临江高级中学：含智慧黑板24套，OPS终端24台，视频展台24台，多媒体集控管理系统24套，无线键鼠24套，多媒体教学音箱24套，无线笔形手持拾音麦克风96支，</w:t>
      </w:r>
      <w:r>
        <w:rPr>
          <w:rFonts w:hint="eastAsia" w:ascii="宋体" w:hAnsi="宋体" w:eastAsia="宋体" w:cs="宋体"/>
          <w:b w:val="0"/>
          <w:sz w:val="24"/>
          <w:szCs w:val="24"/>
          <w:highlight w:val="none"/>
        </w:rPr>
        <w:t xml:space="preserve">多媒体讲台</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一</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24台，教室后墙黑板24套，USB扩展器24套，智能交互笔24支</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旧设备拆除13套</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设备安装调试24套</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安装辅材</w:t>
      </w:r>
      <w:r>
        <w:rPr>
          <w:rFonts w:hint="eastAsia" w:ascii="宋体" w:hAnsi="宋体" w:eastAsia="宋体" w:cs="宋体"/>
          <w:b w:val="0"/>
          <w:sz w:val="24"/>
          <w:szCs w:val="24"/>
          <w:highlight w:val="none"/>
          <w:lang w:val="en-US" w:eastAsia="zh-CN"/>
        </w:rPr>
        <w:t xml:space="preserve">24套。</w:t>
      </w:r>
      <w:r/>
    </w:p>
    <w:p>
      <w:pPr>
        <w:pStyle w:val="658"/>
        <w:ind w:firstLine="480"/>
        <w:jc w:val="both"/>
        <w:rPr>
          <w:rFonts w:hint="default"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rPr>
        <w:t xml:space="preserve">2、南京市竹山中学：含</w:t>
      </w:r>
      <w:r>
        <w:rPr>
          <w:rFonts w:hint="eastAsia" w:ascii="宋体" w:hAnsi="宋体" w:eastAsia="宋体" w:cs="宋体"/>
          <w:b w:val="0"/>
          <w:bCs/>
          <w:color w:val="auto"/>
          <w:sz w:val="24"/>
          <w:szCs w:val="24"/>
          <w:highlight w:val="none"/>
          <w:lang w:val="en-US" w:eastAsia="zh-CN"/>
        </w:rPr>
        <w:t xml:space="preserve">智能交互黑板</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sz w:val="24"/>
          <w:szCs w:val="24"/>
          <w:highlight w:val="none"/>
        </w:rPr>
        <w:t xml:space="preserve">0套，互联书写板10套，OPS终端10台，视频展台10台，无线键鼠10套，多媒体教学音箱10套，无线话筒30支，多媒体讲台</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二</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10台，教室后墙黑板10套，USB扩展器10套，智能交互笔10支</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旧设备拆除10套</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设备安装调试10套</w:t>
      </w:r>
      <w:r>
        <w:rPr>
          <w:rFonts w:hint="eastAsia" w:ascii="宋体" w:hAnsi="宋体" w:eastAsia="宋体" w:cs="宋体"/>
          <w:b w:val="0"/>
          <w:sz w:val="24"/>
          <w:szCs w:val="24"/>
          <w:highlight w:val="none"/>
          <w:lang w:val="en-US" w:eastAsia="zh-CN"/>
        </w:rPr>
        <w:t xml:space="preserve">,安装辅材10套。</w:t>
      </w:r>
      <w:r/>
    </w:p>
    <w:p>
      <w:pPr>
        <w:pStyle w:val="658"/>
        <w:ind w:firstLine="480"/>
        <w:jc w:val="both"/>
        <w:rPr>
          <w:rFonts w:hint="default" w:ascii="宋体" w:hAnsi="宋体" w:eastAsia="宋体" w:cs="宋体"/>
          <w:bCs/>
          <w:sz w:val="24"/>
          <w:szCs w:val="24"/>
          <w:highlight w:val="none"/>
          <w:lang w:val="en-US" w:eastAsia="zh-CN"/>
        </w:rPr>
      </w:pPr>
      <w:r>
        <w:rPr>
          <w:rFonts w:hint="eastAsia" w:ascii="宋体" w:hAnsi="宋体" w:eastAsia="宋体" w:cs="宋体"/>
          <w:b w:val="0"/>
          <w:sz w:val="24"/>
          <w:szCs w:val="24"/>
          <w:highlight w:val="none"/>
        </w:rPr>
        <w:t xml:space="preserve">3、南京市天景山中学：含</w:t>
      </w:r>
      <w:r>
        <w:rPr>
          <w:rFonts w:hint="eastAsia" w:ascii="宋体" w:hAnsi="宋体" w:eastAsia="宋体" w:cs="宋体"/>
          <w:b w:val="0"/>
          <w:bCs/>
          <w:color w:val="auto"/>
          <w:sz w:val="24"/>
          <w:szCs w:val="24"/>
          <w:highlight w:val="none"/>
          <w:lang w:val="en-US" w:eastAsia="zh-CN"/>
        </w:rPr>
        <w:t xml:space="preserve">智能交互黑板</w:t>
      </w:r>
      <w:r>
        <w:rPr>
          <w:rFonts w:hint="eastAsia" w:ascii="宋体" w:hAnsi="宋体" w:eastAsia="宋体" w:cs="宋体"/>
          <w:b w:val="0"/>
          <w:sz w:val="24"/>
          <w:szCs w:val="24"/>
          <w:highlight w:val="none"/>
        </w:rPr>
        <w:t xml:space="preserve">4套，互联书写板4套，OPS终端4台，视频展台4台，无线键鼠4套，多媒体教学音箱4套，无线话筒12支，多媒体讲台</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二</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4台，教室后墙黑板4套，USB扩展器4套，智能交互笔4支</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旧设备拆除4套</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设备安装调试4套</w:t>
      </w:r>
      <w:r>
        <w:rPr>
          <w:rFonts w:hint="eastAsia" w:ascii="宋体" w:hAnsi="宋体" w:eastAsia="宋体" w:cs="宋体"/>
          <w:b w:val="0"/>
          <w:sz w:val="24"/>
          <w:szCs w:val="24"/>
          <w:highlight w:val="none"/>
          <w:lang w:val="en-US" w:eastAsia="zh-CN"/>
        </w:rPr>
        <w:t xml:space="preserve">,安装辅材4套。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667"/>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069"/>
        <w:gridCol w:w="645"/>
        <w:gridCol w:w="615"/>
        <w:gridCol w:w="1134"/>
        <w:gridCol w:w="1450"/>
        <w:gridCol w:w="1550"/>
        <w:gridCol w:w="783"/>
        <w:gridCol w:w="1078"/>
      </w:tblGrid>
      <w:tr>
        <w:trPr>
          <w:trHeight w:val="990"/>
        </w:trPr>
        <w:tc>
          <w:tcPr>
            <w:tcW w:w="62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tcW w:w="2069"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分项名称</w:t>
            </w:r>
            <w:r/>
          </w:p>
        </w:tc>
        <w:tc>
          <w:tcPr>
            <w:tcW w:w="645"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数量</w:t>
            </w:r>
            <w:r/>
          </w:p>
        </w:tc>
        <w:tc>
          <w:tcPr>
            <w:tcW w:w="615"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单位</w:t>
            </w:r>
            <w:r/>
          </w:p>
        </w:tc>
        <w:tc>
          <w:tcPr>
            <w:tcW w:w="1134"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单价上限（元）</w:t>
            </w:r>
            <w:r/>
          </w:p>
        </w:tc>
        <w:tc>
          <w:tcPr>
            <w:tcW w:w="1450"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产品类型</w:t>
            </w:r>
            <w:r/>
          </w:p>
        </w:tc>
        <w:tc>
          <w:tcPr>
            <w:tcW w:w="1550" w:type="dxa"/>
            <w:vAlign w:val="center"/>
            <w:textDirection w:val="lrTb"/>
            <w:noWrap/>
          </w:tcPr>
          <w:p>
            <w:pPr>
              <w:jc w:val="center"/>
              <w:widowControl/>
              <w:rPr>
                <w:rFonts w:ascii="宋体" w:hAnsi="宋体" w:cs="宋体"/>
                <w:b/>
                <w:bCs/>
                <w:color w:val="000000"/>
                <w:sz w:val="22"/>
              </w:rPr>
            </w:pPr>
            <w:r>
              <w:rPr>
                <w:rFonts w:hint="eastAsia" w:ascii="宋体" w:hAnsi="宋体" w:cs="宋体"/>
                <w:b/>
                <w:bCs/>
                <w:sz w:val="24"/>
                <w:szCs w:val="24"/>
                <w:highlight w:val="none"/>
                <w:lang w:val="en-US" w:eastAsia="zh-CN"/>
              </w:rPr>
              <w:t xml:space="preserve">中小企业划分标准</w:t>
            </w:r>
            <w:r>
              <w:rPr>
                <w:rFonts w:hint="eastAsia" w:ascii="宋体" w:hAnsi="宋体" w:eastAsia="宋体" w:cs="宋体"/>
                <w:b/>
                <w:bCs/>
                <w:sz w:val="24"/>
                <w:szCs w:val="24"/>
                <w:highlight w:val="none"/>
              </w:rPr>
              <w:t xml:space="preserve">所属</w:t>
            </w:r>
            <w:r>
              <w:rPr>
                <w:rFonts w:hint="eastAsia" w:ascii="宋体" w:hAnsi="宋体" w:eastAsia="宋体" w:cs="宋体"/>
                <w:b/>
                <w:bCs/>
                <w:sz w:val="24"/>
                <w:szCs w:val="24"/>
                <w:highlight w:val="none"/>
                <w:lang w:eastAsia="zh-CN"/>
              </w:rPr>
              <w:t xml:space="preserve">行业</w:t>
            </w:r>
            <w:r/>
          </w:p>
        </w:tc>
        <w:tc>
          <w:tcPr>
            <w:tcW w:w="783"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属性</w:t>
            </w:r>
            <w:r/>
          </w:p>
        </w:tc>
        <w:tc>
          <w:tcPr>
            <w:tcW w:w="107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政府强制采购节能产品</w:t>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W w:w="2069" w:type="dxa"/>
            <w:vAlign w:val="center"/>
            <w:textDirection w:val="lrTb"/>
            <w:noWrap/>
          </w:tcPr>
          <w:p>
            <w:pPr>
              <w:jc w:val="center"/>
              <w:widowControl/>
              <w:rPr>
                <w:rFonts w:hint="default" w:ascii="宋体" w:hAnsi="宋体" w:cs="宋体"/>
                <w:color w:val="000000"/>
                <w:sz w:val="24"/>
                <w:szCs w:val="24"/>
                <w:lang w:val="en-US"/>
              </w:rPr>
            </w:pPr>
            <w:r>
              <w:rPr>
                <w:rFonts w:hint="eastAsia" w:ascii="宋体" w:hAnsi="宋体" w:cs="宋体"/>
                <w:b w:val="0"/>
                <w:bCs w:val="0"/>
                <w:color w:val="auto"/>
                <w:sz w:val="24"/>
                <w:szCs w:val="24"/>
                <w:lang w:val="en-US" w:eastAsia="zh-CN"/>
              </w:rPr>
              <w:t xml:space="preserve">智能交互黑板</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9500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核心产品</w:t>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互联书写板</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智慧黑板</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13500</w:t>
            </w:r>
            <w:r/>
          </w:p>
        </w:tc>
        <w:tc>
          <w:tcPr>
            <w:tcW w:w="1450" w:type="dxa"/>
            <w:vAlign w:val="center"/>
            <w:textDirection w:val="lrTb"/>
            <w:noWrap/>
          </w:tcPr>
          <w:p>
            <w:pPr>
              <w:jc w:val="center"/>
              <w:rPr>
                <w:rFonts w:hint="default" w:ascii="Arial" w:hAnsi="Arial" w:eastAsia="宋体" w:cs="Arial"/>
                <w:color w:val="000000"/>
                <w:sz w:val="22"/>
                <w:lang w:val="en-US" w:eastAsia="zh-CN"/>
              </w:rPr>
            </w:pPr>
            <w:r>
              <w:rPr>
                <w:rFonts w:hint="default" w:ascii="Arial" w:hAnsi="Arial" w:eastAsia="宋体" w:cs="Arial"/>
                <w:color w:val="000000"/>
                <w:sz w:val="22"/>
                <w:lang w:val="en-US" w:eastAsia="zh-CN"/>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多媒体集控管理系统</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主要产品</w:t>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教室后墙黑板</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多媒体讲台（一）</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2995</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多媒体讲台（二）</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2980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298</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多媒体教学音箱</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1498</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无线笔形手持拾音麦克风</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96</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支</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434</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无线话筒</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支</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434</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USB扩展器</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智能交互笔</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支</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550</w:t>
            </w:r>
            <w:r/>
          </w:p>
        </w:tc>
        <w:tc>
          <w:tcPr>
            <w:tcW w:w="1450" w:type="dxa"/>
            <w:vAlign w:val="center"/>
            <w:textDirection w:val="lrTb"/>
            <w:noWrap/>
          </w:tcPr>
          <w:p>
            <w:pPr>
              <w:jc w:val="center"/>
              <w:rPr>
                <w:rFonts w:hint="default" w:ascii="Arial" w:hAnsi="Arial" w:eastAsia="宋体" w:cs="Arial"/>
                <w:color w:val="000000"/>
                <w:sz w:val="22"/>
                <w:lang w:val="en-US" w:eastAsia="zh-CN"/>
              </w:rPr>
            </w:pPr>
            <w:r>
              <w:rPr>
                <w:rFonts w:hint="eastAsia" w:ascii="Arial" w:hAnsi="Arial" w:cs="Arial"/>
                <w:color w:val="000000"/>
                <w:sz w:val="22"/>
                <w:lang w:val="en-US" w:eastAsia="zh-CN"/>
              </w:rPr>
              <w:t xml:space="preserve">主要产品</w:t>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旧设备拆除</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安装辅材</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shd w:val="clear" w:color="auto" w:fill="auto"/>
            <w:tcW w:w="2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设备安装调试</w:t>
            </w:r>
            <w:r/>
          </w:p>
        </w:tc>
        <w:tc>
          <w:tcPr>
            <w:shd w:val="clear" w:color="auto" w:fill="auto"/>
            <w:tcW w:w="6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6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13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服务</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bl>
    <w:p>
      <w:pPr>
        <w:ind w:firstLine="480"/>
        <w:spacing w:line="264" w:lineRule="auto"/>
        <w:rPr>
          <w:rFonts w:ascii="宋体" w:hAnsi="宋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667"/>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712"/>
        <w:gridCol w:w="7355"/>
      </w:tblGrid>
      <w:tr>
        <w:trPr>
          <w:trHeight w:val="600"/>
        </w:trPr>
        <w:tc>
          <w:tcPr>
            <w:tcW w:w="885"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tcW w:w="1712"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tcW w:w="7355"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功能、性能、配置要求不低于以下要求</w:t>
            </w:r>
            <w:r/>
          </w:p>
        </w:tc>
      </w:tr>
      <w:tr>
        <w:trPr>
          <w:trHeight w:val="1233"/>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W w:w="1712" w:type="dxa"/>
            <w:vAlign w:val="center"/>
            <w:textDirection w:val="lrTb"/>
            <w:noWrap/>
          </w:tcPr>
          <w:p>
            <w:pPr>
              <w:jc w:val="center"/>
              <w:widowControl/>
              <w:rPr>
                <w:rFonts w:hint="default" w:ascii="宋体" w:hAnsi="宋体" w:cs="宋体"/>
                <w:color w:val="000000"/>
                <w:sz w:val="22"/>
                <w:lang w:val="en-US"/>
              </w:rPr>
            </w:pPr>
            <w:r>
              <w:rPr>
                <w:rFonts w:hint="eastAsia" w:ascii="宋体" w:hAnsi="宋体" w:cs="宋体"/>
                <w:b w:val="0"/>
                <w:bCs w:val="0"/>
                <w:color w:val="auto"/>
                <w:sz w:val="22"/>
                <w:lang w:val="en-US" w:eastAsia="zh-CN"/>
              </w:rPr>
              <w:t xml:space="preserve">智能交互黑板</w:t>
            </w:r>
            <w:r/>
          </w:p>
        </w:tc>
        <w:tc>
          <w:tcPr>
            <w:shd w:val="clear" w:color="auto" w:fill="auto"/>
            <w:tcW w:w="7355" w:type="dxa"/>
            <w:textDirection w:val="lrTb"/>
            <w:noWrap/>
          </w:tcPr>
          <w:p>
            <w:pP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1.屏幕</w:t>
            </w:r>
            <w:r>
              <w:rPr>
                <w:rFonts w:hint="eastAsia" w:asciiTheme="minorEastAsia" w:hAnsiTheme="minorEastAsia" w:eastAsiaTheme="minorEastAsia" w:cstheme="minorEastAsia"/>
                <w:bCs/>
                <w:sz w:val="24"/>
                <w:szCs w:val="24"/>
                <w:lang w:val="en-US" w:eastAsia="zh-CN"/>
              </w:rPr>
              <w:t xml:space="preserve">尺寸</w:t>
            </w:r>
            <w:r>
              <w:rPr>
                <w:rFonts w:hint="eastAsia" w:asciiTheme="minorEastAsia" w:hAnsiTheme="minorEastAsia" w:eastAsiaTheme="minorEastAsia" w:cstheme="minorEastAsia"/>
                <w:bCs/>
                <w:sz w:val="24"/>
                <w:szCs w:val="24"/>
              </w:rPr>
              <w:t xml:space="preserve">≥86英寸，分辨率≥3840×2160。</w:t>
            </w:r>
            <w:r>
              <w:rPr>
                <w:rFonts w:hint="eastAsia" w:asciiTheme="minorEastAsia" w:hAnsiTheme="minorEastAsia" w:eastAsiaTheme="minorEastAsia" w:cstheme="minorEastAsia"/>
                <w:bCs/>
                <w:sz w:val="24"/>
                <w:szCs w:val="24"/>
                <w:lang w:val="en-US" w:eastAsia="zh-CN"/>
              </w:rPr>
              <w:t xml:space="preserve">采用红外触控方式，支持</w:t>
            </w:r>
            <w:r>
              <w:rPr>
                <w:rFonts w:hint="eastAsia" w:asciiTheme="minorEastAsia" w:hAnsiTheme="minorEastAsia" w:eastAsiaTheme="minorEastAsia" w:cstheme="minorEastAsia"/>
                <w:bCs/>
                <w:color w:val="auto"/>
                <w:sz w:val="24"/>
                <w:szCs w:val="24"/>
              </w:rPr>
              <w:t xml:space="preserve">≥50点触控</w:t>
            </w:r>
            <w:r>
              <w:rPr>
                <w:rFonts w:hint="eastAsia" w:asciiTheme="minorEastAsia" w:hAnsiTheme="minorEastAsia" w:eastAsiaTheme="minorEastAsia" w:cstheme="minorEastAsia"/>
                <w:bCs/>
                <w:color w:val="auto"/>
                <w:sz w:val="24"/>
                <w:szCs w:val="24"/>
                <w:lang w:eastAsia="zh-CN"/>
              </w:rPr>
              <w:t xml:space="preserve">。</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2.屏幕中心亮度三分之一的亮度观看视角≥130</w:t>
            </w:r>
            <w:r>
              <w:rPr>
                <w:rFonts w:hint="eastAsia" w:asciiTheme="minorEastAsia" w:hAnsiTheme="minorEastAsia" w:eastAsiaTheme="minorEastAsia" w:cstheme="minorEastAsia"/>
                <w:bCs/>
                <w:sz w:val="24"/>
                <w:szCs w:val="24"/>
                <w:lang w:val="en-US" w:eastAsia="zh-CN"/>
              </w:rPr>
              <w:t xml:space="preserve">度</w:t>
            </w:r>
            <w:r>
              <w:rPr>
                <w:rFonts w:hint="eastAsia" w:asciiTheme="minorEastAsia" w:hAnsiTheme="minorEastAsia" w:eastAsiaTheme="minorEastAsia" w:cstheme="minorEastAsia"/>
                <w:bCs/>
                <w:sz w:val="24"/>
                <w:szCs w:val="24"/>
              </w:rPr>
              <w:t xml:space="preserve">。</w:t>
            </w:r>
            <w:r/>
          </w:p>
          <w:p>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sz w:val="24"/>
                <w:szCs w:val="24"/>
              </w:rPr>
              <w:t xml:space="preserve">3.采用≥12核嵌入式芯片</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color w:val="auto"/>
                <w:sz w:val="24"/>
                <w:szCs w:val="24"/>
                <w:lang w:eastAsia="zh-CN"/>
              </w:rPr>
              <w:t xml:space="preserve">主频≥1.6GHz</w:t>
            </w:r>
            <w:r>
              <w:rPr>
                <w:rFonts w:hint="eastAsia" w:asciiTheme="minorEastAsia" w:hAnsiTheme="minorEastAsia" w:eastAsiaTheme="minorEastAsia" w:cstheme="minorEastAsia"/>
                <w:bCs/>
                <w:color w:val="auto"/>
                <w:sz w:val="24"/>
                <w:szCs w:val="24"/>
              </w:rPr>
              <w:t xml:space="preserve">，CPU≥8核，RAM≥4G，ROM≥32G。</w:t>
            </w:r>
            <w:r/>
          </w:p>
          <w:p>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lang w:val="en-US" w:eastAsia="zh-CN"/>
              </w:rPr>
              <w:t xml:space="preserve">4</w:t>
            </w:r>
            <w:r>
              <w:rPr>
                <w:rFonts w:hint="eastAsia" w:asciiTheme="minorEastAsia" w:hAnsiTheme="minorEastAsia" w:eastAsiaTheme="minorEastAsia" w:cstheme="minorEastAsia"/>
                <w:bCs/>
                <w:color w:val="auto"/>
                <w:sz w:val="24"/>
                <w:szCs w:val="24"/>
              </w:rPr>
              <w:t xml:space="preserve">.书写显示支持单笔双色，同一支笔头、笔尾设定不同的颜色进行书写。</w:t>
            </w:r>
            <w:r/>
          </w:p>
          <w:p>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lang w:val="en-US" w:eastAsia="zh-CN"/>
              </w:rPr>
              <w:t xml:space="preserve">5</w:t>
            </w:r>
            <w:r>
              <w:rPr>
                <w:rFonts w:hint="eastAsia" w:asciiTheme="minorEastAsia" w:hAnsiTheme="minorEastAsia" w:eastAsiaTheme="minorEastAsia" w:cstheme="minorEastAsia"/>
                <w:bCs/>
                <w:color w:val="auto"/>
                <w:sz w:val="24"/>
                <w:szCs w:val="24"/>
              </w:rPr>
              <w:t xml:space="preserve">.内置2.2声道扬声器，采用模块化设计，可单独拆卸，顶置朝前发声，功率≥8</w:t>
            </w:r>
            <w:r>
              <w:rPr>
                <w:rFonts w:hint="eastAsia" w:asciiTheme="minorEastAsia" w:hAnsiTheme="minorEastAsia" w:eastAsiaTheme="minorEastAsia" w:cstheme="minorEastAsia"/>
                <w:bCs/>
                <w:color w:val="auto"/>
                <w:sz w:val="24"/>
                <w:szCs w:val="24"/>
                <w:lang w:val="en-US" w:eastAsia="zh-CN"/>
              </w:rPr>
              <w:t xml:space="preserve">4</w:t>
            </w:r>
            <w:r>
              <w:rPr>
                <w:rFonts w:hint="eastAsia" w:asciiTheme="minorEastAsia" w:hAnsiTheme="minorEastAsia" w:eastAsiaTheme="minorEastAsia" w:cstheme="minorEastAsia"/>
                <w:bCs/>
                <w:color w:val="auto"/>
                <w:sz w:val="24"/>
                <w:szCs w:val="24"/>
              </w:rPr>
              <w:t xml:space="preserve">W；支持人声语言增强功能，扩声系统语言传输指数（STIPA）≥0.75。</w:t>
            </w:r>
            <w:r/>
          </w:p>
          <w:p>
            <w:pPr>
              <w:rPr>
                <w:rFonts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Cs/>
                <w:color w:val="auto"/>
                <w:sz w:val="24"/>
                <w:szCs w:val="24"/>
                <w:lang w:val="en-US" w:eastAsia="zh-CN"/>
              </w:rPr>
              <w:t xml:space="preserve">6</w:t>
            </w:r>
            <w:r>
              <w:rPr>
                <w:rFonts w:hint="eastAsia" w:asciiTheme="minorEastAsia" w:hAnsiTheme="minorEastAsia" w:eastAsiaTheme="minorEastAsia" w:cstheme="minorEastAsia"/>
                <w:b w:val="0"/>
                <w:bCs/>
                <w:color w:val="auto"/>
                <w:sz w:val="24"/>
                <w:szCs w:val="24"/>
              </w:rPr>
              <w:t xml:space="preserve">.内置≥8阵列麦克风，拾音距离≥12m，内置麦克风声源定位</w:t>
            </w:r>
            <w:r>
              <w:rPr>
                <w:rFonts w:hint="eastAsia" w:asciiTheme="minorEastAsia" w:hAnsiTheme="minorEastAsia" w:eastAsiaTheme="minorEastAsia" w:cstheme="minorEastAsia"/>
                <w:b w:val="0"/>
                <w:bCs/>
                <w:color w:val="auto"/>
                <w:sz w:val="24"/>
                <w:szCs w:val="24"/>
                <w:lang w:val="en-US" w:eastAsia="zh-CN"/>
              </w:rPr>
              <w:t xml:space="preserve">功能</w:t>
            </w:r>
            <w:r>
              <w:rPr>
                <w:rFonts w:hint="eastAsia" w:asciiTheme="minorEastAsia" w:hAnsiTheme="minorEastAsia" w:eastAsiaTheme="minorEastAsia" w:cstheme="minorEastAsia"/>
                <w:b w:val="0"/>
                <w:bCs/>
                <w:color w:val="auto"/>
                <w:sz w:val="24"/>
                <w:szCs w:val="24"/>
              </w:rPr>
              <w:t xml:space="preserve">，可以识别回答问题的学生方位。</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7</w:t>
            </w:r>
            <w:r>
              <w:rPr>
                <w:rFonts w:hint="eastAsia" w:asciiTheme="minorEastAsia" w:hAnsiTheme="minorEastAsia" w:eastAsiaTheme="minorEastAsia" w:cstheme="minorEastAsia"/>
                <w:bCs/>
                <w:sz w:val="24"/>
                <w:szCs w:val="24"/>
              </w:rPr>
              <w:t xml:space="preserve">.内置智能语音转文字工具。</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8</w:t>
            </w:r>
            <w:r>
              <w:rPr>
                <w:rFonts w:hint="eastAsia" w:asciiTheme="minorEastAsia" w:hAnsiTheme="minorEastAsia" w:eastAsiaTheme="minorEastAsia" w:cstheme="minorEastAsia"/>
                <w:bCs/>
                <w:sz w:val="24"/>
                <w:szCs w:val="24"/>
              </w:rPr>
              <w:t xml:space="preserve">.黑板上边框内置≥1颗摄像头，像素≥5000万，视场角≥135度，支持人脸识别。</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9</w:t>
            </w:r>
            <w:r>
              <w:rPr>
                <w:rFonts w:hint="eastAsia" w:asciiTheme="minorEastAsia" w:hAnsiTheme="minorEastAsia" w:eastAsiaTheme="minorEastAsia" w:cstheme="minorEastAsia"/>
                <w:bCs/>
                <w:sz w:val="24"/>
                <w:szCs w:val="24"/>
              </w:rPr>
              <w:t xml:space="preserve">.蓝牙版本≥5.4，工作距离≥12m。</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0</w:t>
            </w:r>
            <w:r>
              <w:rPr>
                <w:rFonts w:hint="eastAsia" w:asciiTheme="minorEastAsia" w:hAnsiTheme="minorEastAsia" w:eastAsiaTheme="minorEastAsia" w:cstheme="minorEastAsia"/>
                <w:bCs/>
                <w:sz w:val="24"/>
                <w:szCs w:val="24"/>
              </w:rPr>
              <w:t xml:space="preserve">.内置双WiFi6无线网卡，支持802.11a/b/g/n/ac/ax，工作频率 2.4GHz/5GHz，工作距离≥12m。</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1</w:t>
            </w:r>
            <w:r>
              <w:rPr>
                <w:rFonts w:hint="eastAsia" w:asciiTheme="minorEastAsia" w:hAnsiTheme="minorEastAsia" w:eastAsiaTheme="minorEastAsia" w:cstheme="minorEastAsia"/>
                <w:bCs/>
                <w:sz w:val="24"/>
                <w:szCs w:val="24"/>
              </w:rPr>
              <w:t xml:space="preserve">.接口：HDMI IN≥2，USB 3.0≥2，USB</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 xml:space="preserve">Type-C</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 xml:space="preserve">IN≥1，TOUCH 2.0≥1，AUDIO OUT≥1，RS232≥1，按键≥5个（功能支持自定义）。</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.支持将手机文件传输到大屏上，传输文件格式支持：pptx、pdf、docx、txt、xlsx、enbx、jpg、png、gif、svg、mp4、rmvb、avi、3gp、wmv、flv、mkv、mp3、wav、wma、ogg、zip。</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rPr>
              <w:t xml:space="preserve">.内置语音助手，</w:t>
            </w:r>
            <w:r>
              <w:rPr>
                <w:rFonts w:hint="eastAsia" w:asciiTheme="minorEastAsia" w:hAnsiTheme="minorEastAsia" w:eastAsiaTheme="minorEastAsia" w:cstheme="minorEastAsia"/>
                <w:bCs/>
                <w:sz w:val="24"/>
                <w:szCs w:val="24"/>
                <w:lang w:val="en-US" w:eastAsia="zh-CN"/>
              </w:rPr>
              <w:t xml:space="preserve">支持</w:t>
            </w:r>
            <w:r>
              <w:rPr>
                <w:rFonts w:hint="eastAsia" w:asciiTheme="minorEastAsia" w:hAnsiTheme="minorEastAsia" w:eastAsiaTheme="minorEastAsia" w:cstheme="minorEastAsia"/>
                <w:bCs/>
                <w:sz w:val="24"/>
                <w:szCs w:val="24"/>
              </w:rPr>
              <w:t xml:space="preserve">通过智能笔调起语音助手，语音搜索指定内容。</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4</w:t>
            </w:r>
            <w:r>
              <w:rPr>
                <w:rFonts w:hint="eastAsia" w:asciiTheme="minorEastAsia" w:hAnsiTheme="minorEastAsia" w:eastAsiaTheme="minorEastAsia" w:cstheme="minorEastAsia"/>
                <w:bCs/>
                <w:sz w:val="24"/>
                <w:szCs w:val="24"/>
              </w:rPr>
              <w:t xml:space="preserve">.内置微课制作工具，支持对全屏/区域的屏幕内容、整机声音、麦克风声音、摄像头内容进行录制，录制结束后提取视频中的文字，按照文字对视频进行快速视频剪辑。</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15</w:t>
            </w:r>
            <w:r>
              <w:rPr>
                <w:rFonts w:hint="eastAsia" w:asciiTheme="minorEastAsia" w:hAnsiTheme="minorEastAsia" w:eastAsiaTheme="minorEastAsia" w:cstheme="minorEastAsia"/>
                <w:bCs/>
                <w:sz w:val="24"/>
                <w:szCs w:val="24"/>
              </w:rPr>
              <w:t xml:space="preserve">.内置课堂互动软件</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支持在微课录制、编辑中，插入图片、视频、答题板、课堂活动，增加微课互动性和趣味性</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支持回收微课的观看结果。</w:t>
            </w:r>
            <w:r/>
          </w:p>
          <w:p>
            <w:pPr>
              <w:rPr>
                <w:rFonts w:asciiTheme="minorEastAsia" w:hAnsiTheme="minorEastAsia" w:eastAsiaTheme="minorEastAsia" w:cstheme="minorEastAsia"/>
                <w:sz w:val="22"/>
              </w:rPr>
            </w:pPr>
            <w:r>
              <w:rPr>
                <w:rFonts w:hint="eastAsia" w:asciiTheme="minorEastAsia" w:hAnsiTheme="minorEastAsia" w:eastAsiaTheme="minorEastAsia" w:cstheme="minorEastAsia"/>
                <w:bCs/>
                <w:sz w:val="24"/>
                <w:szCs w:val="24"/>
                <w:lang w:val="en-US" w:eastAsia="zh-CN"/>
              </w:rPr>
              <w:t xml:space="preserve">16</w:t>
            </w:r>
            <w:r>
              <w:rPr>
                <w:rFonts w:hint="eastAsia" w:asciiTheme="minorEastAsia" w:hAnsiTheme="minorEastAsia" w:eastAsiaTheme="minorEastAsia" w:cstheme="minorEastAsia"/>
                <w:bCs/>
                <w:sz w:val="24"/>
                <w:szCs w:val="24"/>
              </w:rPr>
              <w:t xml:space="preserve">.内置教研管理软件</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管理者通过学校数据看板，查看学校课件教案数、累计校本研修次数等情况，掌握学校教研关键数据，了解关键数据环比上周的具体情况</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教研管理软件支持自定义设置学校专属评课表，系统预置模板供使用。点评支持评分题、主观题等评价及拍照上传图片等功能。</w:t>
            </w:r>
            <w:r>
              <w:rPr>
                <w:rStyle w:val="953"/>
                <w:rFonts w:asciiTheme="minorEastAsia" w:hAnsiTheme="minorEastAsia" w:eastAsiaTheme="minorEastAsia" w:cstheme="minorEastAsia"/>
                <w:sz w:val="22"/>
                <w:szCs w:val="22"/>
              </w:rPr>
              <w:t xml:space="preserve">                                      </w:t>
            </w:r>
            <w:r/>
          </w:p>
        </w:tc>
      </w:tr>
      <w:tr>
        <w:trPr>
          <w:trHeight w:val="34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auto"/>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互联书写板</w:t>
            </w:r>
            <w:r/>
          </w:p>
        </w:tc>
        <w:tc>
          <w:tcPr>
            <w:shd w:val="clear" w:color="auto" w:fill="auto"/>
            <w:tcW w:w="7355" w:type="dxa"/>
            <w:vAlign w:val="center"/>
            <w:textDirection w:val="lrTb"/>
            <w:noWrap/>
          </w:tcPr>
          <w:p>
            <w:pPr>
              <w:jc w:val="lef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1.</w:t>
            </w:r>
            <w:r>
              <w:rPr>
                <w:rFonts w:hint="eastAsia" w:asciiTheme="minorEastAsia" w:hAnsiTheme="minorEastAsia" w:eastAsiaTheme="minorEastAsia" w:cstheme="minorEastAsia"/>
                <w:bCs/>
                <w:sz w:val="24"/>
                <w:szCs w:val="24"/>
              </w:rPr>
              <w:t xml:space="preserve">左、右单侧板尺寸≥1100mm；与主屏拼接后，长≥4200mm，高≥1200mm，主副屏中间无单独边框阻隔；书写板支持磁吸附功能。</w:t>
            </w:r>
            <w:r/>
          </w:p>
          <w:p>
            <w:pPr>
              <w:jc w:val="lef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2.左、右两侧书写板采用红外触控方式，分别支持≥10点触控书写，并在主屏上以电子化形式同步显示。</w:t>
            </w:r>
            <w:r/>
          </w:p>
          <w:p>
            <w:pPr>
              <w:jc w:val="lef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3.左、右单侧板分别≥4 个物理按键，支持：启动板书、窗口展开收起、≥2 个自定义按键（自定义功能至少包含：笔颜色切换、保存、翻页等功能）。</w:t>
            </w:r>
            <w:r/>
          </w:p>
          <w:p>
            <w:pPr>
              <w:jc w:val="lef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4.支持板书记录功能，支持互联书写侧板板书与智慧黑板显示终端同步显示。</w:t>
            </w:r>
            <w:r/>
          </w:p>
          <w:p>
            <w:pPr>
              <w:jc w:val="lef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5.为适应不同墙体安装环境，互联书写侧板偏离智慧屏水平面±10°夹角条件下可正常书写、触控，无书写断笔、跳点现象。</w:t>
            </w:r>
            <w:r/>
          </w:p>
          <w:p>
            <w:pPr>
              <w:jc w:val="left"/>
              <w:widowControl/>
              <w:rPr>
                <w:rFonts w:asciiTheme="minorEastAsia" w:hAnsiTheme="minorEastAsia" w:eastAsiaTheme="minorEastAsia" w:cstheme="minorEastAsia"/>
                <w:sz w:val="22"/>
              </w:rPr>
            </w:pPr>
            <w:r>
              <w:rPr>
                <w:rFonts w:hint="eastAsia" w:asciiTheme="minorEastAsia" w:hAnsiTheme="minorEastAsia" w:eastAsiaTheme="minorEastAsia" w:cstheme="minorEastAsia"/>
                <w:bCs/>
                <w:sz w:val="24"/>
                <w:szCs w:val="24"/>
              </w:rPr>
              <w:t xml:space="preserve">6.下边框堆积粉笔灰可以正常进行主屏和两侧黑板的电子化书写、擦除同步显示、触控，不受影响。</w:t>
            </w:r>
            <w:r/>
          </w:p>
        </w:tc>
      </w:tr>
      <w:tr>
        <w:trPr>
          <w:trHeight w:val="9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auto"/>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智慧黑板</w:t>
            </w:r>
            <w:r/>
          </w:p>
        </w:tc>
        <w:tc>
          <w:tcPr>
            <w:shd w:val="clear" w:color="auto" w:fill="auto"/>
            <w:tcW w:w="7355" w:type="dxa"/>
            <w:vAlign w:val="center"/>
            <w:textDirection w:val="lrTb"/>
            <w:noWrap/>
          </w:tcPr>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1.外观尺寸：长≥5000mm，高≥1200m。整机采用全金属外壳，三拼接平面一体化设计，副屏支持磁吸附功能。</w:t>
            </w:r>
            <w:r>
              <w:rPr>
                <w:rFonts w:hint="eastAsia" w:asciiTheme="minorEastAsia" w:hAnsiTheme="minorEastAsia" w:eastAsiaTheme="minorEastAsia" w:cstheme="minorEastAsia"/>
                <w:bCs/>
                <w:color w:val="000000"/>
                <w:sz w:val="24"/>
                <w:szCs w:val="24"/>
                <w:lang w:val="en-US" w:eastAsia="zh-CN"/>
              </w:rPr>
              <w:t xml:space="preserve">屏幕尺寸</w:t>
            </w:r>
            <w:r>
              <w:rPr>
                <w:rFonts w:hint="eastAsia" w:asciiTheme="minorEastAsia" w:hAnsiTheme="minorEastAsia" w:eastAsiaTheme="minorEastAsia" w:cstheme="minorEastAsia"/>
                <w:bCs/>
                <w:color w:val="000000"/>
                <w:sz w:val="24"/>
                <w:szCs w:val="24"/>
              </w:rPr>
              <w:t xml:space="preserve">≥86英寸，分辨率≥3840×2160</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采用红外触控方式，支持≥50点触控。</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.屏幕中心亮度三分之一的亮度观看视角≥130</w:t>
            </w:r>
            <w:r>
              <w:rPr>
                <w:rFonts w:hint="eastAsia" w:asciiTheme="minorEastAsia" w:hAnsiTheme="minorEastAsia" w:eastAsiaTheme="minorEastAsia" w:cstheme="minorEastAsia"/>
                <w:bCs/>
                <w:color w:val="000000"/>
                <w:sz w:val="24"/>
                <w:szCs w:val="24"/>
                <w:lang w:val="en-US" w:eastAsia="zh-CN"/>
              </w:rPr>
              <w:t xml:space="preserve">度</w:t>
            </w:r>
            <w:r>
              <w:rPr>
                <w:rFonts w:hint="eastAsia" w:asciiTheme="minorEastAsia" w:hAnsiTheme="minorEastAsia" w:eastAsiaTheme="minorEastAsia" w:cstheme="minorEastAsia"/>
                <w:bCs/>
                <w:color w:val="000000"/>
                <w:sz w:val="24"/>
                <w:szCs w:val="24"/>
              </w:rPr>
              <w:t xml:space="preserve">。</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.支持智能画质调节，播放视频即可根据屏幕内容自动调节画质参数；自动调整对比度、饱和度、色调色相值等。</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.采用≥12核嵌入式芯片</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lang w:val="en-US" w:eastAsia="zh-CN"/>
              </w:rPr>
              <w:t xml:space="preserve">主频</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val="en-US" w:eastAsia="zh-CN"/>
              </w:rPr>
              <w:t xml:space="preserve">1.6G</w:t>
            </w:r>
            <w:r>
              <w:rPr>
                <w:rFonts w:hint="eastAsia" w:asciiTheme="minorEastAsia" w:hAnsiTheme="minorEastAsia" w:eastAsiaTheme="minorEastAsia" w:cstheme="minorEastAsia"/>
                <w:bCs/>
                <w:color w:val="000000"/>
                <w:sz w:val="24"/>
                <w:szCs w:val="24"/>
              </w:rPr>
              <w:t xml:space="preserve">，CPU≥8核，RAM≥4G，ROM≥32G。</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.内置2.2声道扬声器，采用模块化设计，可单独拆卸，顶置朝前发声，功率≥8</w:t>
            </w: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W；支持人声语言增强功能，扩声系统语言传输指数（STIPA）≥0.75。</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6</w:t>
            </w:r>
            <w:r>
              <w:rPr>
                <w:rFonts w:hint="eastAsia" w:asciiTheme="minorEastAsia" w:hAnsiTheme="minorEastAsia" w:eastAsiaTheme="minorEastAsia" w:cstheme="minorEastAsia"/>
                <w:bCs/>
                <w:color w:val="000000"/>
                <w:sz w:val="24"/>
                <w:szCs w:val="24"/>
              </w:rPr>
              <w:t xml:space="preserve">.内置≥8阵列麦克风，拾音距离≥12m，内置麦克风声源定位</w:t>
            </w:r>
            <w:r>
              <w:rPr>
                <w:rFonts w:hint="eastAsia" w:asciiTheme="minorEastAsia" w:hAnsiTheme="minorEastAsia" w:eastAsiaTheme="minorEastAsia" w:cstheme="minorEastAsia"/>
                <w:bCs/>
                <w:color w:val="000000"/>
                <w:sz w:val="24"/>
                <w:szCs w:val="24"/>
                <w:lang w:val="en-US" w:eastAsia="zh-CN"/>
              </w:rPr>
              <w:t xml:space="preserve">功能</w:t>
            </w:r>
            <w:r>
              <w:rPr>
                <w:rFonts w:hint="eastAsia" w:asciiTheme="minorEastAsia" w:hAnsiTheme="minorEastAsia" w:eastAsiaTheme="minorEastAsia" w:cstheme="minorEastAsia"/>
                <w:bCs/>
                <w:color w:val="000000"/>
                <w:sz w:val="24"/>
                <w:szCs w:val="24"/>
              </w:rPr>
              <w:t xml:space="preserve">，可以识别回答问题的学生方位。</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7</w:t>
            </w:r>
            <w:r>
              <w:rPr>
                <w:rFonts w:hint="eastAsia" w:asciiTheme="minorEastAsia" w:hAnsiTheme="minorEastAsia" w:eastAsiaTheme="minorEastAsia" w:cstheme="minorEastAsia"/>
                <w:bCs/>
                <w:color w:val="000000"/>
                <w:sz w:val="24"/>
                <w:szCs w:val="24"/>
              </w:rPr>
              <w:t xml:space="preserve">.内置智能语音转文字工具。</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8</w:t>
            </w:r>
            <w:r>
              <w:rPr>
                <w:rFonts w:hint="eastAsia" w:asciiTheme="minorEastAsia" w:hAnsiTheme="minorEastAsia" w:eastAsiaTheme="minorEastAsia" w:cstheme="minorEastAsia"/>
                <w:bCs/>
                <w:color w:val="000000"/>
                <w:sz w:val="24"/>
                <w:szCs w:val="24"/>
              </w:rPr>
              <w:t xml:space="preserve">.黑板上边框内置≥1颗摄像头，像素≥5000万，视场角≥135度，支持人脸识别。</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.蓝牙版本≥5.4，工作距离≥12m。</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val="en-US" w:eastAsia="zh-CN"/>
              </w:rPr>
              <w:t xml:space="preserve">0</w:t>
            </w:r>
            <w:r>
              <w:rPr>
                <w:rFonts w:hint="eastAsia" w:asciiTheme="minorEastAsia" w:hAnsiTheme="minorEastAsia" w:eastAsiaTheme="minorEastAsia" w:cstheme="minorEastAsia"/>
                <w:bCs/>
                <w:color w:val="000000"/>
                <w:sz w:val="24"/>
                <w:szCs w:val="24"/>
              </w:rPr>
              <w:t xml:space="preserve">.内置双WiFi6无线网卡，支持802.11a/b/g/n/ac/ax，工作频率 2.4GHz/5GHz，工作距离≥12m。</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.接口：HDMI IN≥2，USB 3.0≥2，USB Type-C IN≥1，TOUCH 2.0≥1，AUDIO OUT≥1，RS232≥1，按键≥5个（功能</w:t>
            </w:r>
            <w:r>
              <w:rPr>
                <w:rFonts w:hint="eastAsia" w:asciiTheme="minorEastAsia" w:hAnsiTheme="minorEastAsia" w:eastAsiaTheme="minorEastAsia" w:cstheme="minorEastAsia"/>
                <w:bCs/>
                <w:color w:val="000000"/>
                <w:sz w:val="24"/>
                <w:szCs w:val="24"/>
                <w:lang w:val="en-US" w:eastAsia="zh-CN"/>
              </w:rPr>
              <w:t xml:space="preserve">支持</w:t>
            </w:r>
            <w:r>
              <w:rPr>
                <w:rFonts w:hint="eastAsia" w:asciiTheme="minorEastAsia" w:hAnsiTheme="minorEastAsia" w:eastAsiaTheme="minorEastAsia" w:cstheme="minorEastAsia"/>
                <w:bCs/>
                <w:color w:val="000000"/>
                <w:sz w:val="24"/>
                <w:szCs w:val="24"/>
              </w:rPr>
              <w:t xml:space="preserve">自定义）。</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.支持将手机文件传输到大屏上，传输文件格式支持：pptx、pdf、docx、txt、xlsx、jpg、png、gif、svg、mp4、rmvb、avi、3gp、wmv、flv、mkv、mp3、wav、wma、ogg、zip。</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.内置语音助手，支持通过智能笔调起语音助手，语音搜索指定内容。</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.内置微课制作工具，支持对全屏/区域的屏幕内容、整机声音、麦克风声音、摄像头内容进行录制，录制结束后提取视频中的文字，按照文字对视频进行快速视频剪辑。</w:t>
            </w:r>
            <w:r/>
          </w:p>
          <w:p>
            <w:pPr>
              <w:jc w:val="left"/>
              <w:rPr>
                <w:rFonts w:hint="eastAsia" w:asciiTheme="minorEastAsia" w:hAnsiTheme="minorEastAsia" w:eastAsiaTheme="minorEastAsia" w:cstheme="minorEastAsia"/>
                <w:bCs/>
                <w:color w:val="000000"/>
                <w:sz w:val="24"/>
                <w:szCs w:val="24"/>
                <w:lang w:eastAsia="zh-CN"/>
              </w:rPr>
            </w:pPr>
            <w:r>
              <w:rPr>
                <w:rFonts w:hint="eastAsia" w:asciiTheme="minorEastAsia" w:hAnsiTheme="minorEastAsia" w:eastAsiaTheme="minorEastAsia" w:cstheme="minorEastAsia"/>
                <w:bCs/>
                <w:color w:val="000000"/>
                <w:sz w:val="24"/>
                <w:szCs w:val="24"/>
                <w:lang w:val="en-US" w:eastAsia="zh-CN"/>
              </w:rPr>
              <w:t xml:space="preserve">15</w:t>
            </w:r>
            <w:r>
              <w:rPr>
                <w:rFonts w:hint="eastAsia" w:asciiTheme="minorEastAsia" w:hAnsiTheme="minorEastAsia" w:eastAsiaTheme="minorEastAsia" w:cstheme="minorEastAsia"/>
                <w:bCs/>
                <w:color w:val="000000"/>
                <w:sz w:val="24"/>
                <w:szCs w:val="24"/>
              </w:rPr>
              <w:t xml:space="preserve">.内置课堂互动软件</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支持在微课录制、编辑中，插入图片、视频、答题板、课堂活动，增加微课互动性和趣味性</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支持回收微课的观看结果</w:t>
            </w:r>
            <w:r>
              <w:rPr>
                <w:rFonts w:hint="eastAsia" w:asciiTheme="minorEastAsia" w:hAnsiTheme="minorEastAsia" w:eastAsiaTheme="minorEastAsia" w:cstheme="minorEastAsia"/>
                <w:bCs/>
                <w:color w:val="000000"/>
                <w:sz w:val="24"/>
                <w:szCs w:val="24"/>
                <w:lang w:eastAsia="zh-CN"/>
              </w:rPr>
              <w:t xml:space="preserve">。</w:t>
            </w:r>
            <w:r/>
          </w:p>
          <w:p>
            <w:pPr>
              <w:jc w:val="left"/>
              <w:rPr>
                <w:rFonts w:hint="eastAsia" w:asciiTheme="minorEastAsia" w:hAnsiTheme="minorEastAsia" w:eastAsiaTheme="minorEastAsia" w:cstheme="minorEastAsia"/>
                <w:color w:val="000000"/>
                <w:sz w:val="22"/>
                <w:lang w:eastAsia="zh-CN"/>
              </w:rPr>
            </w:pPr>
            <w:r>
              <w:rPr>
                <w:rFonts w:hint="eastAsia" w:asciiTheme="minorEastAsia" w:hAnsiTheme="minorEastAsia" w:eastAsiaTheme="minorEastAsia" w:cstheme="minorEastAsia"/>
                <w:bCs/>
                <w:color w:val="000000"/>
                <w:sz w:val="24"/>
                <w:szCs w:val="24"/>
                <w:lang w:val="en-US" w:eastAsia="zh-CN"/>
              </w:rPr>
              <w:t xml:space="preserve">16</w:t>
            </w:r>
            <w:r>
              <w:rPr>
                <w:rFonts w:hint="eastAsia" w:asciiTheme="minorEastAsia" w:hAnsiTheme="minorEastAsia" w:eastAsiaTheme="minorEastAsia" w:cstheme="minorEastAsia"/>
                <w:bCs/>
                <w:color w:val="000000"/>
                <w:sz w:val="24"/>
                <w:szCs w:val="24"/>
              </w:rPr>
              <w:t xml:space="preserve">.内置教研管理软件</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管理者通过学校数据看板，查看学校课件教案数、累计校本研修次数等情况，掌握学校教研关键数据，了解关键数据环比上周的具体情况</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教研管理软件支持自定义设置学校专属评课表，系统预置模板供使用。点评支持评分题、主观题等评价及拍照上传图片等功能。  </w:t>
            </w:r>
            <w:r/>
          </w:p>
        </w:tc>
      </w:tr>
      <w:tr>
        <w:trPr>
          <w:trHeight w:val="1907"/>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w:t>
            </w:r>
            <w:r/>
          </w:p>
        </w:tc>
        <w:tc>
          <w:tcPr>
            <w:tcW w:w="7355" w:type="dxa"/>
            <w:textDirection w:val="lrTb"/>
            <w:noWrap/>
          </w:tcPr>
          <w:p>
            <w:pPr>
              <w:jc w:val="left"/>
              <w:rPr>
                <w:rFonts w:hint="eastAsia" w:asciiTheme="minorEastAsia" w:hAnsiTheme="minorEastAsia" w:eastAsiaTheme="minorEastAsia" w:cstheme="minorEastAsia"/>
                <w:b/>
                <w:bCs w:val="0"/>
                <w:color w:val="000000"/>
                <w:sz w:val="24"/>
                <w:szCs w:val="24"/>
              </w:rPr>
            </w:pPr>
            <w:r>
              <w:rPr>
                <w:rFonts w:hint="eastAsia" w:asciiTheme="minorEastAsia" w:hAnsiTheme="minorEastAsia" w:eastAsiaTheme="minorEastAsia" w:cstheme="minorEastAsia"/>
                <w:b/>
                <w:bCs w:val="0"/>
                <w:color w:val="000000"/>
                <w:sz w:val="24"/>
                <w:szCs w:val="24"/>
              </w:rPr>
              <w:t xml:space="preserve">★1.电脑模块CPU要求：主频≥2.0GHz、8核12线程；配置要求：不低于 DDR4 ≥16GB内存，≥512GB SSD硬盘；接口要求：≥1路HDMI，≥3路USB。</w:t>
            </w:r>
            <w:r/>
          </w:p>
          <w:p>
            <w:pPr>
              <w:jc w:val="left"/>
              <w:rPr>
                <w:rFonts w:hint="eastAsia" w:asciiTheme="minorEastAsia" w:hAnsiTheme="minorEastAsia" w:eastAsiaTheme="minorEastAsia" w:cstheme="minorEastAsia"/>
                <w:b/>
                <w:bCs w:val="0"/>
                <w:color w:val="000000"/>
                <w:sz w:val="24"/>
                <w:szCs w:val="24"/>
              </w:rPr>
            </w:pPr>
            <w:r>
              <w:rPr>
                <w:rFonts w:hint="eastAsia" w:asciiTheme="minorEastAsia" w:hAnsiTheme="minorEastAsia" w:eastAsiaTheme="minorEastAsia" w:cstheme="minorEastAsia"/>
                <w:b/>
                <w:bCs w:val="0"/>
                <w:color w:val="000000"/>
                <w:sz w:val="24"/>
                <w:szCs w:val="24"/>
              </w:rPr>
              <w:t xml:space="preserve">（提供相关证明材料上传至系统，未提供作无效投标处理。）</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2.PC模块无需工具就可快速拆卸。</w:t>
            </w:r>
            <w:r/>
          </w:p>
          <w:p>
            <w:pPr>
              <w:jc w:val="left"/>
              <w:rPr>
                <w:rFonts w:asciiTheme="minorEastAsia" w:hAnsiTheme="minorEastAsia" w:eastAsiaTheme="minorEastAsia" w:cstheme="minorEastAsia"/>
              </w:rPr>
            </w:pPr>
            <w:r>
              <w:rPr>
                <w:rFonts w:hint="eastAsia" w:asciiTheme="minorEastAsia" w:hAnsiTheme="minorEastAsia" w:eastAsiaTheme="minorEastAsia" w:cstheme="minorEastAsia"/>
                <w:bCs/>
                <w:color w:val="000000"/>
                <w:sz w:val="24"/>
                <w:szCs w:val="24"/>
              </w:rPr>
              <w:t xml:space="preserve">3.PC模块和整机的连接传输速率≥10Gbps。</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多媒体集控管理系统</w:t>
            </w:r>
            <w:r/>
          </w:p>
        </w:tc>
        <w:tc>
          <w:tcPr>
            <w:tcW w:w="7355" w:type="dxa"/>
            <w:textDirection w:val="lrTb"/>
            <w:noWrap/>
          </w:tcPr>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1.系统基于SaaS布局，应用界面采用B/S架构设计，支持学校管理员通过网页浏览器登录进行所有管理指令操作。</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2.登录方式多样性：支持账号/密码、手机扫码登录。扫码登录：用户首次登录时绑定微信用户ID与账号的对应关系，之后即可通过微信扫一扫安全登录。</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3.权限管理：支持学校高级管理员添加多位管理员协同管理，并支持为普通管理员分配不同权限，权限支持按系统功能菜单分配、按管理设备分配方式。</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4.移动端管理：支持通过微信小程序，实时查看设备运行状态、异常情况。</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5.批量磁盘清理：支持批量清理单个或多个磁盘文件夹，释放设备磁盘空间；支持格式化非系统盘磁盘，保障设备足够空间</w:t>
            </w:r>
            <w:r>
              <w:rPr>
                <w:rFonts w:hint="eastAsia" w:asciiTheme="minorEastAsia" w:hAnsiTheme="minorEastAsia" w:eastAsiaTheme="minorEastAsia" w:cstheme="minorEastAsia"/>
                <w:bCs/>
                <w:color w:val="000000"/>
                <w:sz w:val="24"/>
                <w:szCs w:val="24"/>
                <w:lang w:val="en-US" w:eastAsia="zh-CN"/>
              </w:rPr>
              <w:t xml:space="preserve">使</w:t>
            </w:r>
            <w:r>
              <w:rPr>
                <w:rFonts w:hint="eastAsia" w:asciiTheme="minorEastAsia" w:hAnsiTheme="minorEastAsia" w:eastAsiaTheme="minorEastAsia" w:cstheme="minorEastAsia"/>
                <w:bCs/>
                <w:color w:val="000000"/>
                <w:sz w:val="24"/>
                <w:szCs w:val="24"/>
              </w:rPr>
              <w:t xml:space="preserve">用。</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设备系统盘管理：支持清理系统盘备份、缓存、日志等垃圾文件；支持大文件迁移，如将系统盘视频、图片、音乐及文档等空间占用较大的文件迁移至其他盘符。保障设备系统盘可用空间最大化，从而提升设备运行流畅性、桌面整洁性。</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7.设备在长时间无人使用时，自动进入屏保、锁屏、息屏、关机状态，从而达到保护显示器作用，延长设备的使用寿命。</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8.还原保护：具备远程批量设置设备的保护状态，支持实时监测设备还原存在的风险。</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9.支持软件静默安装，使用者可自主上传官方正版软件，经过人工封装软件后，批量将软件发送至设备安装，不影响正常教学。</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10.可一键开启全校触摸一体机设备的不良弹窗AI拦截过滤功能，实时监测弹出窗口，当有窗口弹出被判断为不良弹窗时，自动拦截该窗口，以保证课堂教学稳定进行。</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rPr>
              <w:t xml:space="preserve">11.支持同时查看不少于8个教室的实时摄像头画面、设备屏幕画面。</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视频展台</w:t>
            </w:r>
            <w:r/>
          </w:p>
        </w:tc>
        <w:tc>
          <w:tcPr>
            <w:tcW w:w="7355" w:type="dxa"/>
            <w:textDirection w:val="lrTb"/>
            <w:noWrap/>
          </w:tcPr>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1.摄像头像素≥800万。</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2.摄像头支持自动对焦，A4大小拍摄幅面，1080P动态视频预览达到30帧/秒。</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3.整机采用圆弧式设计，无锐角；托板可承重≥3kg，同时托板采用磁吸吸附式结构。</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4.展示托板正上方具备LED补光灯。补光灯开关采用触摸按键设计，同时可通过视频展台软件直接控制开关。</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5.摄像头部分进行外壳防护等级试验，防护等级达IP4X级别。</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6.支持对展台画面进行实时批注、放大、缩小、旋转、自适应、冻结画面等操作。</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7.具备图像增强功能，可自动裁剪背景并增强文字显示，使文档画面更清晰。</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8.具备图像、文本或动态等多种情景模式，适应不同展示内容。</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9.二维码扫码：支持扫一扫功能，将书本上的二维码放入扫描框内即可自动扫描，并进入系统浏览器获取二维码的链接内容，可获取电子教学资源。</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rPr>
              <w:t xml:space="preserve">10.支持故障自动检测，软件无法出现展台拍摄画面时，自动出现检测链接，检测“无画面”的原因，并给出引导性解决方案。可判断硬件连接、显卡驱动、摄像头占用、软件版本等问题。</w:t>
            </w:r>
            <w:r/>
          </w:p>
        </w:tc>
      </w:tr>
      <w:tr>
        <w:trPr>
          <w:trHeight w:val="324"/>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教室后墙黑板</w:t>
            </w:r>
            <w:r/>
          </w:p>
        </w:tc>
        <w:tc>
          <w:tcPr>
            <w:tcW w:w="7355" w:type="dxa"/>
            <w:textDirection w:val="lrTb"/>
            <w:noWrap/>
          </w:tcPr>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1.颜色：墨绿色,尺寸：4000mm×1200mm（±15mm）。</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2.板面：采用金属烤漆书写板面，亚光、墨绿色，光泽度≤12光泽单位；板面表面附有一层透明保护膜。</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3.衬板：选用吸音、防潮、阻燃板，厚度≥14mm。</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4.背板：采用镀锌钢板，设有凹槽加强筋，增加板体强度。</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5.覆板：采用环保型胶水，确保粘接牢固、板面平整，甲醛释放量≤0.025mg/L。</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6.边框：香槟色铝合金型材，尺寸35㎜×20㎜（±5mm），型腔结构，增加板体挺度，教学板面采用槽内镶嵌、全包式结构。</w:t>
            </w:r>
            <w:r/>
          </w:p>
          <w:p>
            <w:pPr>
              <w:pStyle w:val="956"/>
              <w:ind w:firstLine="0"/>
              <w:spacing w:after="80"/>
              <w:widowControl/>
              <w:rPr>
                <w:rFonts w:hint="eastAsia" w:asciiTheme="minorEastAsia" w:hAnsiTheme="minorEastAsia" w:eastAsiaTheme="minorEastAsia" w:cstheme="minorEastAsia"/>
                <w:bCs/>
                <w:color w:val="000000"/>
                <w:sz w:val="24"/>
                <w:szCs w:val="24"/>
                <w:lang w:val="en-US" w:eastAsia="zh-CN" w:bidi="ar-SA"/>
              </w:rPr>
            </w:pPr>
            <w:r>
              <w:rPr>
                <w:rFonts w:hint="eastAsia" w:asciiTheme="minorEastAsia" w:hAnsiTheme="minorEastAsia" w:eastAsiaTheme="minorEastAsia" w:cstheme="minorEastAsia"/>
                <w:bCs/>
                <w:color w:val="000000"/>
                <w:sz w:val="24"/>
                <w:szCs w:val="24"/>
                <w:lang w:val="en-US" w:eastAsia="zh-CN" w:bidi="ar-SA"/>
              </w:rPr>
              <w:t xml:space="preserve">7.包角：抗老化工程塑料注塑成型。≥R15的圆角，无尖角毛刺。</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lang w:val="en-US" w:eastAsia="zh-CN" w:bidi="ar-SA"/>
              </w:rPr>
              <w:t xml:space="preserve">8.安装：配装自制L形钢制安装件，隐形安装、无外露挂接件。</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多媒体讲台（一）</w:t>
            </w:r>
            <w:r/>
          </w:p>
        </w:tc>
        <w:tc>
          <w:tcPr>
            <w:tcW w:w="7355" w:type="dxa"/>
            <w:textDirection w:val="lrTb"/>
            <w:noWrap/>
          </w:tcPr>
          <w:p>
            <w:pPr>
              <w:jc w:val="lef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1.钢木结合设计，采用冷轧钢板桌体，桌体金属板厚度≥0.8~1.2mm，老师接触位置为木质桌面</w:t>
            </w:r>
            <w:r>
              <w:rPr>
                <w:rFonts w:hint="eastAsia" w:asciiTheme="minorEastAsia" w:hAnsiTheme="minorEastAsia" w:eastAsiaTheme="minorEastAsia" w:cstheme="minorEastAsia"/>
                <w:sz w:val="24"/>
                <w:szCs w:val="24"/>
                <w:lang w:eastAsia="zh-CN"/>
              </w:rPr>
              <w:t xml:space="preserve">。</w:t>
            </w:r>
            <w:r/>
          </w:p>
          <w:p>
            <w:pPr>
              <w:jc w:val="left"/>
              <w:widowControl/>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2.讲台尺寸设计为长×宽×高：</w:t>
            </w:r>
            <w:r>
              <w:rPr>
                <w:rFonts w:hint="eastAsia" w:asciiTheme="minorEastAsia" w:hAnsiTheme="minorEastAsia" w:eastAsiaTheme="minorEastAsia" w:cstheme="minorEastAsia"/>
                <w:color w:val="auto"/>
                <w:sz w:val="24"/>
                <w:szCs w:val="24"/>
              </w:rPr>
              <w:t xml:space="preserve">1100*550*1030（±5mm）。</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3.讲台桌面平整，全封闭设计，整体外观圆弧设计，无菱角凸出，正面中部受到170N的冲击力时不会倾倒，保护师生安全。</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sz w:val="24"/>
                <w:szCs w:val="24"/>
              </w:rPr>
              <w:t xml:space="preserve">4.讲台正面支持学校进行LOGO定制。 </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多媒体讲台（二）</w:t>
            </w:r>
            <w:r/>
          </w:p>
        </w:tc>
        <w:tc>
          <w:tcPr>
            <w:tcW w:w="7355" w:type="dxa"/>
            <w:vAlign w:val="center"/>
            <w:textDirection w:val="lrTb"/>
            <w:noWrap/>
          </w:tcPr>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rPr>
              <w:t xml:space="preserve">1.外观尺寸</w:t>
            </w:r>
            <w:r>
              <w:rPr>
                <w:rFonts w:hint="eastAsia" w:asciiTheme="minorEastAsia" w:hAnsiTheme="minorEastAsia" w:eastAsiaTheme="minorEastAsia" w:cstheme="minorEastAsia"/>
                <w:bCs/>
                <w:color w:val="000000"/>
                <w:sz w:val="24"/>
                <w:szCs w:val="24"/>
                <w:lang w:val="en-US" w:eastAsia="zh-CN"/>
              </w:rPr>
              <w:t xml:space="preserve">设计为</w:t>
            </w:r>
            <w:r>
              <w:rPr>
                <w:rFonts w:hint="eastAsia" w:asciiTheme="minorEastAsia" w:hAnsiTheme="minorEastAsia" w:eastAsiaTheme="minorEastAsia" w:cstheme="minorEastAsia"/>
                <w:sz w:val="24"/>
                <w:szCs w:val="24"/>
              </w:rPr>
              <w:t xml:space="preserve">长×宽×高</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auto"/>
                <w:sz w:val="24"/>
                <w:szCs w:val="24"/>
              </w:rPr>
              <w:t xml:space="preserve">1100*650*1000（</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Cs/>
                <w:color w:val="auto"/>
                <w:sz w:val="24"/>
                <w:szCs w:val="24"/>
              </w:rPr>
              <w:t xml:space="preserve">5mm）</w:t>
            </w:r>
            <w:r>
              <w:rPr>
                <w:rFonts w:hint="eastAsia" w:asciiTheme="minorEastAsia" w:hAnsiTheme="minorEastAsia" w:eastAsiaTheme="minorEastAsia" w:cstheme="minorEastAsia"/>
                <w:bCs/>
                <w:color w:val="000000"/>
                <w:sz w:val="24"/>
                <w:szCs w:val="24"/>
              </w:rPr>
              <w:t xml:space="preserve">，讲桌高度根据人体力学设计，适合老师教学使用。                                                                                    2.讲台钢木结合整体拼装设计，整体框架为冷轧钢板，桌面为木制桌面，背面为木质装饰板，柜体边缘及拐角均采用圆弧平滑过渡设计，有效防止碰撞。                                                                              </w:t>
            </w:r>
            <w:r>
              <w:rPr>
                <w:rFonts w:hint="eastAsia" w:asciiTheme="minorEastAsia" w:hAnsiTheme="minorEastAsia" w:eastAsiaTheme="minorEastAsia" w:cstheme="minorEastAsia"/>
                <w:bCs/>
                <w:color w:val="000000"/>
                <w:sz w:val="24"/>
                <w:szCs w:val="24"/>
              </w:rPr>
              <w:t xml:space="preserve">           3.讲台上柜前沿设置弹出式键盘托，按下后可弹出键盘和鼠标托，不使用时直接推回即可。                                                                           4.讲台下柜内嵌12U标准机柜+台式机独立空间，可放置多个设备。                                                                                                 </w:t>
            </w:r>
            <w:r/>
          </w:p>
        </w:tc>
      </w:tr>
      <w:tr>
        <w:trPr>
          <w:trHeight w:val="809"/>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无线键鼠</w:t>
            </w:r>
            <w:r/>
          </w:p>
        </w:tc>
        <w:tc>
          <w:tcPr>
            <w:tcW w:w="7355" w:type="dxa"/>
            <w:vAlign w:val="center"/>
            <w:textDirection w:val="lrTb"/>
            <w:noWrap/>
          </w:tcPr>
          <w:p>
            <w:pPr>
              <w:pStyle w:val="743"/>
              <w:ind w:left="0"/>
              <w:rPr>
                <w:rFonts w:hint="eastAsia" w:asciiTheme="minorEastAsia" w:hAnsiTheme="minorEastAsia" w:eastAsiaTheme="minorEastAsia" w:cstheme="minorEastAsia"/>
                <w:bCs/>
                <w:color w:val="000000"/>
                <w:lang w:eastAsia="zh-CN"/>
              </w:rPr>
            </w:pPr>
            <w:r>
              <w:rPr>
                <w:rFonts w:hint="eastAsia" w:asciiTheme="minorEastAsia" w:hAnsiTheme="minorEastAsia" w:eastAsiaTheme="minorEastAsia" w:cstheme="minorEastAsia"/>
                <w:bCs/>
                <w:color w:val="000000"/>
                <w:lang w:eastAsia="zh-CN"/>
              </w:rPr>
              <w:t xml:space="preserve">1.</w:t>
            </w:r>
            <w:r>
              <w:rPr>
                <w:rFonts w:hint="eastAsia" w:asciiTheme="minorEastAsia" w:hAnsiTheme="minorEastAsia" w:eastAsiaTheme="minorEastAsia" w:cstheme="minorEastAsia"/>
                <w:bCs/>
                <w:color w:val="000000"/>
                <w:lang w:val="en-US" w:eastAsia="zh-CN"/>
              </w:rPr>
              <w:t xml:space="preserve">2.4G无线连接技术，支持10米范围</w:t>
            </w:r>
            <w:r>
              <w:rPr>
                <w:rFonts w:hint="eastAsia" w:asciiTheme="minorEastAsia" w:hAnsiTheme="minorEastAsia" w:eastAsiaTheme="minorEastAsia" w:cstheme="minorEastAsia"/>
                <w:bCs/>
                <w:color w:val="000000"/>
                <w:lang w:eastAsia="zh-CN"/>
              </w:rPr>
              <w:t xml:space="preserve">无线传输。</w:t>
            </w:r>
            <w:r/>
          </w:p>
          <w:p>
            <w:pPr>
              <w:pStyle w:val="743"/>
              <w:numPr>
                <w:ilvl w:val="0"/>
                <w:numId w:val="5"/>
              </w:numPr>
              <w:ind w:left="0"/>
              <w:rPr>
                <w:rFonts w:hint="eastAsia" w:asciiTheme="minorEastAsia" w:hAnsiTheme="minorEastAsia" w:eastAsiaTheme="minorEastAsia" w:cstheme="minorEastAsia"/>
                <w:bCs/>
                <w:color w:val="000000"/>
                <w:lang w:val="en-US" w:eastAsia="zh-CN"/>
              </w:rPr>
            </w:pPr>
            <w:r>
              <w:rPr>
                <w:rFonts w:hint="eastAsia" w:asciiTheme="minorEastAsia" w:hAnsiTheme="minorEastAsia" w:eastAsiaTheme="minorEastAsia" w:cstheme="minorEastAsia"/>
                <w:bCs/>
                <w:color w:val="000000"/>
                <w:lang w:val="en-US" w:eastAsia="zh-CN"/>
              </w:rPr>
              <w:t xml:space="preserve">按键个数：不少于104个标准键。</w:t>
            </w:r>
            <w:r/>
          </w:p>
          <w:p>
            <w:pPr>
              <w:pStyle w:val="743"/>
              <w:numPr>
                <w:ilvl w:val="0"/>
                <w:numId w:val="5"/>
              </w:numPr>
              <w:ind w:left="0"/>
              <w:rPr>
                <w:rFonts w:asciiTheme="minorEastAsia" w:hAnsiTheme="minorEastAsia" w:eastAsiaTheme="minorEastAsia" w:cstheme="minorEastAsia"/>
                <w:bCs/>
                <w:color w:val="000000"/>
                <w:lang w:eastAsia="zh-CN"/>
              </w:rPr>
            </w:pPr>
            <w:r>
              <w:rPr>
                <w:rFonts w:hint="eastAsia" w:asciiTheme="minorEastAsia" w:hAnsiTheme="minorEastAsia" w:eastAsiaTheme="minorEastAsia" w:cstheme="minorEastAsia"/>
                <w:bCs/>
                <w:color w:val="000000"/>
                <w:lang w:eastAsia="zh-CN"/>
              </w:rPr>
              <w:t xml:space="preserve">光电鼠标，配电池。</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接收端插入一体机 USB 接口后，不影响推拉绿板闭合。</w:t>
            </w:r>
            <w:r/>
          </w:p>
        </w:tc>
      </w:tr>
      <w:tr>
        <w:trPr>
          <w:trHeight w:val="279"/>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多媒体教学音箱</w:t>
            </w:r>
            <w:r/>
          </w:p>
        </w:tc>
        <w:tc>
          <w:tcPr>
            <w:tcW w:w="7355" w:type="dxa"/>
            <w:vAlign w:val="center"/>
            <w:textDirection w:val="lrTb"/>
            <w:noWrap/>
          </w:tcPr>
          <w:p>
            <w:pPr>
              <w:pStyle w:val="743"/>
              <w:ind w:left="0"/>
              <w:rPr>
                <w:rFonts w:asciiTheme="minorEastAsia" w:hAnsiTheme="minorEastAsia" w:eastAsiaTheme="minorEastAsia" w:cstheme="minorEastAsia"/>
                <w:b/>
                <w:bCs w:val="0"/>
                <w:color w:val="000000"/>
                <w:lang w:eastAsia="zh-CN"/>
              </w:rPr>
            </w:pPr>
            <w:r>
              <w:rPr>
                <w:rFonts w:hint="eastAsia" w:asciiTheme="minorEastAsia" w:hAnsiTheme="minorEastAsia" w:eastAsiaTheme="minorEastAsia" w:cstheme="minorEastAsia"/>
                <w:b/>
                <w:bCs w:val="0"/>
                <w:color w:val="000000"/>
                <w:lang w:eastAsia="zh-CN"/>
              </w:rPr>
              <w:t xml:space="preserve">有源一体式扩声音箱（主音箱）：</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1.音频处理与放大：内置 D 类无损音频解码器，搭载 6.5 寸全频高品质扬声器单元</w:t>
            </w:r>
            <w:r>
              <w:rPr>
                <w:rFonts w:hint="eastAsia" w:asciiTheme="minorEastAsia" w:hAnsiTheme="minorEastAsia" w:eastAsiaTheme="minorEastAsia" w:cstheme="minorEastAsia"/>
                <w:lang w:val="en-US" w:eastAsia="zh-CN"/>
              </w:rPr>
              <w:t xml:space="preserve">做音</w:t>
            </w:r>
            <w:r>
              <w:rPr>
                <w:rFonts w:hint="eastAsia" w:asciiTheme="minorEastAsia" w:hAnsiTheme="minorEastAsia" w:eastAsiaTheme="minorEastAsia" w:cstheme="minorEastAsia"/>
                <w:lang w:eastAsia="zh-CN"/>
              </w:rPr>
              <w:t xml:space="preserve">频输出。</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2.智能音频处理：内置 DSP 音频处理模组，具备混响时间可调功能。</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lang w:eastAsia="zh-CN"/>
              </w:rPr>
              <w:t xml:space="preserve">.线路输入与节能控制：支持本地线路（AUX）输入及音频功率放大输出。</w:t>
            </w:r>
            <w:r/>
          </w:p>
          <w:p>
            <w:pPr>
              <w:pStyle w:val="743"/>
              <w:ind w:left="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eastAsia="zh-CN"/>
              </w:rPr>
              <w:t xml:space="preserve">.无线扩声配置：配套专业 U 段无线麦克风，支持至少五段均衡调节，开机自动对频锁频。</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lang w:eastAsia="zh-CN"/>
              </w:rPr>
              <w:t xml:space="preserve">.电源供电： AC 220V/50Hz，扬声器：6.5寸全频喇叭。</w:t>
            </w:r>
            <w:r/>
          </w:p>
          <w:p>
            <w:pPr>
              <w:pStyle w:val="743"/>
              <w:ind w:left="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lang w:eastAsia="zh-CN"/>
              </w:rPr>
              <w:t xml:space="preserve">.扬声器频率：50Hz - 18kHz，</w:t>
            </w:r>
            <w:r>
              <w:rPr>
                <w:rFonts w:hint="eastAsia" w:asciiTheme="minorEastAsia" w:hAnsiTheme="minorEastAsia" w:eastAsiaTheme="minorEastAsia" w:cstheme="minorEastAsia"/>
                <w:lang w:val="en-US" w:eastAsia="zh-CN"/>
              </w:rPr>
              <w:t xml:space="preserve">扬声器</w:t>
            </w:r>
            <w:r>
              <w:rPr>
                <w:rFonts w:hint="eastAsia" w:asciiTheme="minorEastAsia" w:hAnsiTheme="minorEastAsia" w:eastAsiaTheme="minorEastAsia" w:cstheme="minorEastAsia"/>
              </w:rPr>
              <w:t xml:space="preserve">灵敏度：@2.83V,1米:86dB / 104 dB</w:t>
            </w:r>
            <w:r>
              <w:rPr>
                <w:rFonts w:hint="eastAsia" w:asciiTheme="minorEastAsia" w:hAnsiTheme="minorEastAsia" w:eastAsiaTheme="minorEastAsia" w:cstheme="minorEastAsia"/>
                <w:lang w:eastAsia="zh-CN"/>
              </w:rPr>
              <w:t xml:space="preserve">。</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lang w:eastAsia="zh-CN"/>
              </w:rPr>
              <w:t xml:space="preserve">.功放频率响应： 20Hz - 20kHz。</w:t>
            </w:r>
            <w:r/>
          </w:p>
          <w:p>
            <w:pPr>
              <w:pStyle w:val="743"/>
              <w:ind w:left="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lang w:eastAsia="zh-CN"/>
              </w:rPr>
              <w:t xml:space="preserve">.功放输出功率： 2*30W，输出阻抗：8</w:t>
            </w:r>
            <w:r>
              <w:rPr>
                <w:rFonts w:hint="eastAsia" w:asciiTheme="minorEastAsia" w:hAnsiTheme="minorEastAsia" w:eastAsiaTheme="minorEastAsia" w:cstheme="minorEastAsia"/>
              </w:rPr>
              <w:t xml:space="preserve">Ω</w:t>
            </w:r>
            <w:r>
              <w:rPr>
                <w:rFonts w:hint="eastAsia" w:asciiTheme="minorEastAsia" w:hAnsiTheme="minorEastAsia" w:eastAsiaTheme="minorEastAsia" w:cstheme="minorEastAsia"/>
                <w:lang w:eastAsia="zh-CN"/>
              </w:rPr>
              <w:t xml:space="preserve">。</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b/>
                <w:bCs/>
                <w:lang w:eastAsia="zh-CN"/>
              </w:rPr>
              <w:t xml:space="preserve">无源音箱（副音箱）：</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lang w:eastAsia="zh-CN"/>
              </w:rPr>
              <w:t xml:space="preserve">扬声器：6.5寸同轴喇叭。</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.扬声器频率：80-20KHz。</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11</w:t>
            </w:r>
            <w:r>
              <w:rPr>
                <w:rFonts w:hint="eastAsia" w:asciiTheme="minorEastAsia" w:hAnsiTheme="minorEastAsia" w:eastAsiaTheme="minorEastAsia" w:cstheme="minorEastAsia"/>
                <w:lang w:eastAsia="zh-CN"/>
              </w:rPr>
              <w:t xml:space="preserve">.定阻功率：20W。</w:t>
            </w:r>
            <w:r/>
          </w:p>
          <w:p>
            <w:pPr>
              <w:pStyle w:val="743"/>
              <w:ind w:left="0"/>
              <w:rPr>
                <w:rFonts w:hint="eastAsia" w:asciiTheme="minorEastAsia" w:hAnsiTheme="minorEastAsia" w:eastAsiaTheme="minorEastAsia" w:cstheme="minorEastAsia"/>
                <w:color w:val="ff0000"/>
                <w:lang w:eastAsia="zh-CN"/>
              </w:rPr>
            </w:pPr>
            <w:r>
              <w:rPr>
                <w:rFonts w:hint="eastAsia" w:asciiTheme="minorEastAsia" w:hAnsiTheme="minorEastAsia" w:eastAsiaTheme="minorEastAsia" w:cstheme="minorEastAsia"/>
                <w:lang w:val="en-US" w:eastAsia="zh-CN"/>
              </w:rPr>
              <w:t xml:space="preserve">12</w:t>
            </w:r>
            <w:r>
              <w:rPr>
                <w:rFonts w:hint="eastAsia" w:asciiTheme="minorEastAsia" w:hAnsiTheme="minorEastAsia" w:eastAsiaTheme="minorEastAsia" w:cstheme="minorEastAsia"/>
                <w:lang w:eastAsia="zh-CN"/>
              </w:rPr>
              <w:t xml:space="preserve">.安装方式：壁挂、支架安装。</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无线笔形手持拾音麦克风</w:t>
            </w:r>
            <w:r/>
          </w:p>
        </w:tc>
        <w:tc>
          <w:tcPr>
            <w:tcW w:w="7355" w:type="dxa"/>
            <w:textDirection w:val="lrTb"/>
            <w:noWrap/>
          </w:tcPr>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1.对频方式：设备开机后可自动搜索空闲无线信道，完成自适应配对连接</w:t>
            </w:r>
            <w:r>
              <w:rPr>
                <w:rFonts w:hint="eastAsia" w:asciiTheme="minorEastAsia" w:hAnsiTheme="minorEastAsia" w:eastAsiaTheme="minorEastAsia" w:cstheme="minorEastAsia"/>
                <w:lang w:val="en-US" w:eastAsia="zh-CN"/>
              </w:rPr>
              <w:t xml:space="preserve">频段</w:t>
            </w:r>
            <w:r>
              <w:rPr>
                <w:rFonts w:hint="eastAsia" w:asciiTheme="minorEastAsia" w:hAnsiTheme="minorEastAsia" w:eastAsiaTheme="minorEastAsia" w:cstheme="minorEastAsia"/>
                <w:lang w:eastAsia="zh-CN"/>
              </w:rPr>
              <w:t xml:space="preserve">。</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2.音频处理：24kHz专业音频采样率，内置专业噪声消除电路。</w:t>
            </w:r>
            <w:r/>
          </w:p>
          <w:p>
            <w:pPr>
              <w:pStyle w:val="743"/>
              <w:ind w:left="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3.拾音系统：搭载高品质电容驻极体拾音单元，支持双音频输入模式。</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4.音量控制：具备麦克风音量调节功能及记忆存储，配置一键静音开关。</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5.麦克风配置：支持内置/外置麦克风切换，集成激光笔教鞭功能。</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6.显示系统：OLED高清液晶显示屏，实时显示信号强度、对频状态、电量、工作频道、音量。</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7.电源管理：智能低功耗设计，Type-C接口充电。</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硬件参数：</w:t>
            </w:r>
            <w:r/>
          </w:p>
          <w:p>
            <w:pPr>
              <w:pStyle w:val="743"/>
              <w:ind w:left="0"/>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lang w:eastAsia="zh-CN"/>
              </w:rPr>
              <w:t xml:space="preserve">.换能方式：电容式。</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lang w:eastAsia="zh-CN"/>
              </w:rPr>
              <w:t xml:space="preserve">.频率响应：30Hz-20kHz。</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.灵敏度：-34dB±2dB。</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11</w:t>
            </w:r>
            <w:r>
              <w:rPr>
                <w:rFonts w:hint="eastAsia" w:asciiTheme="minorEastAsia" w:hAnsiTheme="minorEastAsia" w:eastAsiaTheme="minorEastAsia" w:cstheme="minorEastAsia"/>
                <w:lang w:eastAsia="zh-CN"/>
              </w:rPr>
              <w:t xml:space="preserve">.信噪比：76dB。</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12</w:t>
            </w:r>
            <w:r>
              <w:rPr>
                <w:rFonts w:hint="eastAsia" w:asciiTheme="minorEastAsia" w:hAnsiTheme="minorEastAsia" w:eastAsiaTheme="minorEastAsia" w:cstheme="minorEastAsia"/>
                <w:lang w:eastAsia="zh-CN"/>
              </w:rPr>
              <w:t xml:space="preserve">.有效工作距离：≥30m。</w:t>
            </w:r>
            <w:r/>
          </w:p>
          <w:p>
            <w:pPr>
              <w:pStyle w:val="743"/>
              <w:ind w:left="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13</w:t>
            </w:r>
            <w:r>
              <w:rPr>
                <w:rFonts w:hint="eastAsia" w:asciiTheme="minorEastAsia" w:hAnsiTheme="minorEastAsia" w:eastAsiaTheme="minorEastAsia" w:cstheme="minorEastAsia"/>
                <w:lang w:eastAsia="zh-CN"/>
              </w:rPr>
              <w:t xml:space="preserve">.电池规格：3.7V聚合物锂离子电池。</w:t>
            </w:r>
            <w:r/>
          </w:p>
          <w:p>
            <w:pPr>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.持续工作时间：8h</w:t>
            </w:r>
            <w:r>
              <w:rPr>
                <w:rFonts w:hint="eastAsia" w:asciiTheme="minorEastAsia" w:hAnsiTheme="minorEastAsia" w:eastAsiaTheme="minorEastAsia" w:cstheme="minorEastAsia"/>
                <w:sz w:val="24"/>
                <w:szCs w:val="24"/>
                <w:lang w:eastAsia="zh-CN"/>
              </w:rPr>
              <w:t xml:space="preserve">。</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无线话筒</w:t>
            </w:r>
            <w:r/>
          </w:p>
        </w:tc>
        <w:tc>
          <w:tcPr>
            <w:tcW w:w="7355" w:type="dxa"/>
            <w:textDirection w:val="lrTb"/>
            <w:noWrap/>
          </w:tcPr>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eastAsia="zh-CN"/>
              </w:rPr>
              <w:t xml:space="preserve">1.工</w:t>
            </w:r>
            <w:r>
              <w:rPr>
                <w:rFonts w:ascii="Songti SC Regular" w:hAnsi="Songti SC Regular" w:cs="Songti SC Regular"/>
                <w:color w:val="auto"/>
                <w:lang w:eastAsia="zh-CN"/>
              </w:rPr>
              <w:t xml:space="preserve">作频段：U段</w:t>
            </w:r>
            <w:r>
              <w:rPr>
                <w:rFonts w:hint="eastAsia" w:ascii="Songti SC Regular" w:hAnsi="Songti SC Regular" w:cs="Songti SC Regular"/>
                <w:color w:val="auto"/>
                <w:lang w:eastAsia="zh-CN"/>
              </w:rPr>
              <w:t xml:space="preserve">，</w:t>
            </w:r>
            <w:r>
              <w:rPr>
                <w:rFonts w:ascii="Songti SC Regular" w:hAnsi="Songti SC Regular" w:cs="Songti SC Regular"/>
                <w:color w:val="auto"/>
                <w:lang w:eastAsia="zh-CN"/>
              </w:rPr>
              <w:t xml:space="preserve">可在10 米范围内稳定传输音频数据</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val="en-US" w:eastAsia="zh-CN"/>
              </w:rPr>
            </w:pPr>
            <w:r>
              <w:rPr>
                <w:rFonts w:hint="eastAsia" w:ascii="Songti SC Regular" w:hAnsi="Songti SC Regular" w:cs="Songti SC Regular"/>
                <w:color w:val="auto"/>
                <w:lang w:val="en-US" w:eastAsia="zh-CN"/>
              </w:rPr>
              <w:t xml:space="preserve">2</w:t>
            </w:r>
            <w:r>
              <w:rPr>
                <w:rFonts w:hint="eastAsia" w:ascii="Songti SC Regular" w:hAnsi="Songti SC Regular" w:cs="Songti SC Regular"/>
                <w:color w:val="auto"/>
                <w:lang w:eastAsia="zh-CN"/>
              </w:rPr>
              <w:t xml:space="preserve">.接</w:t>
            </w:r>
            <w:r>
              <w:rPr>
                <w:rFonts w:ascii="Songti SC Regular" w:hAnsi="Songti SC Regular" w:cs="Songti SC Regular"/>
                <w:color w:val="auto"/>
                <w:lang w:eastAsia="zh-CN"/>
              </w:rPr>
              <w:t xml:space="preserve">收模块可选：支持单天线版本和真分集双天线版本</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3</w:t>
            </w:r>
            <w:r>
              <w:rPr>
                <w:rFonts w:hint="eastAsia" w:ascii="Songti SC Regular" w:hAnsi="Songti SC Regular" w:cs="Songti SC Regular"/>
                <w:color w:val="auto"/>
                <w:lang w:eastAsia="zh-CN"/>
              </w:rPr>
              <w:t xml:space="preserve">.</w:t>
            </w:r>
            <w:r>
              <w:rPr>
                <w:rFonts w:ascii="Songti SC Regular" w:hAnsi="Songti SC Regular" w:cs="Songti SC Regular"/>
                <w:color w:val="auto"/>
                <w:lang w:eastAsia="zh-CN"/>
              </w:rPr>
              <w:t xml:space="preserve">UHF、锁ID、红外三种对频方式：开机自动搜索干净信道并自动配对</w:t>
            </w:r>
            <w:r>
              <w:rPr>
                <w:rFonts w:hint="eastAsia" w:ascii="Songti SC Regular" w:hAnsi="Songti SC Regular" w:cs="Songti SC Regular"/>
                <w:color w:val="auto"/>
                <w:lang w:eastAsia="zh-CN"/>
              </w:rPr>
              <w:t xml:space="preserve">。</w:t>
            </w:r>
            <w:r/>
          </w:p>
          <w:p>
            <w:pPr>
              <w:pStyle w:val="743"/>
              <w:ind w:left="0"/>
              <w:rPr>
                <w:rFonts w:asciiTheme="minorEastAsia" w:hAnsiTheme="minorEastAsia" w:eastAsiaTheme="minorEastAsia" w:cstheme="minorEastAsia"/>
                <w:color w:val="auto"/>
                <w:lang w:eastAsia="zh-CN"/>
              </w:rPr>
            </w:pPr>
            <w:r>
              <w:rPr>
                <w:rFonts w:hint="eastAsia" w:ascii="Songti SC Regular" w:hAnsi="Songti SC Regular" w:cs="Songti SC Regular"/>
                <w:color w:val="auto"/>
                <w:lang w:val="en-US" w:eastAsia="zh-CN"/>
              </w:rPr>
              <w:t xml:space="preserve">4</w:t>
            </w:r>
            <w:r>
              <w:rPr>
                <w:rFonts w:hint="eastAsia" w:ascii="Songti SC Regular" w:hAnsi="Songti SC Regular" w:cs="Songti SC Regular"/>
                <w:color w:val="auto"/>
                <w:lang w:eastAsia="zh-CN"/>
              </w:rPr>
              <w:t xml:space="preserve">.</w:t>
            </w:r>
            <w:r>
              <w:rPr>
                <w:rFonts w:hint="eastAsia" w:asciiTheme="minorEastAsia" w:hAnsiTheme="minorEastAsia" w:eastAsiaTheme="minorEastAsia" w:cstheme="minorEastAsia"/>
                <w:color w:val="auto"/>
                <w:lang w:eastAsia="zh-CN"/>
              </w:rPr>
              <w:t xml:space="preserve">采用24kHz专业音频采样率，内置专业噪声消除电路。</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5</w:t>
            </w:r>
            <w:r>
              <w:rPr>
                <w:rFonts w:hint="eastAsia" w:ascii="Songti SC Regular" w:hAnsi="Songti SC Regular" w:cs="Songti SC Regular"/>
                <w:color w:val="auto"/>
                <w:lang w:eastAsia="zh-CN"/>
              </w:rPr>
              <w:t xml:space="preserve">.</w:t>
            </w:r>
            <w:r>
              <w:rPr>
                <w:rFonts w:ascii="Songti SC Regular" w:hAnsi="Songti SC Regular" w:cs="Songti SC Regular"/>
                <w:color w:val="auto"/>
                <w:lang w:eastAsia="zh-CN"/>
              </w:rPr>
              <w:t xml:space="preserve">支持音量调节：可调节麦克风音量的大小，并具有记忆功能</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6</w:t>
            </w:r>
            <w:r>
              <w:rPr>
                <w:rFonts w:hint="eastAsia" w:ascii="Songti SC Regular" w:hAnsi="Songti SC Regular" w:cs="Songti SC Regular"/>
                <w:color w:val="auto"/>
                <w:lang w:eastAsia="zh-CN"/>
              </w:rPr>
              <w:t xml:space="preserve">.</w:t>
            </w:r>
            <w:r>
              <w:rPr>
                <w:rFonts w:ascii="Songti SC Regular" w:hAnsi="Songti SC Regular" w:cs="Songti SC Regular"/>
                <w:color w:val="auto"/>
                <w:lang w:eastAsia="zh-CN"/>
              </w:rPr>
              <w:t xml:space="preserve">全新噪声消除电路设计，可杜绝开关机冲击声</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7</w:t>
            </w:r>
            <w:r>
              <w:rPr>
                <w:rFonts w:hint="eastAsia" w:ascii="Songti SC Regular" w:hAnsi="Songti SC Regular" w:cs="Songti SC Regular"/>
                <w:color w:val="auto"/>
                <w:lang w:eastAsia="zh-CN"/>
              </w:rPr>
              <w:t xml:space="preserve">.</w:t>
            </w:r>
            <w:r>
              <w:rPr>
                <w:rFonts w:ascii="Songti SC Regular" w:hAnsi="Songti SC Regular" w:cs="Songti SC Regular"/>
                <w:color w:val="auto"/>
                <w:lang w:eastAsia="zh-CN"/>
              </w:rPr>
              <w:t xml:space="preserve">内置可充式高性能3.7V聚合物锂电池。电池容量：120mA，Type C接口充电，2小时充足电可持续续航时间≥5H</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Theme="minorEastAsia" w:hAnsiTheme="minorEastAsia" w:eastAsiaTheme="minorEastAsia" w:cstheme="minorEastAsia"/>
                <w:color w:val="auto"/>
                <w:lang w:val="en-US" w:eastAsia="zh-CN"/>
              </w:rPr>
              <w:t xml:space="preserve">8.</w:t>
            </w:r>
            <w:r>
              <w:rPr>
                <w:rFonts w:ascii="Songti SC Regular" w:hAnsi="Songti SC Regular" w:cs="Songti SC Regular"/>
                <w:color w:val="auto"/>
                <w:lang w:eastAsia="zh-CN"/>
              </w:rPr>
              <w:t xml:space="preserve">采样精度：16Bit</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9.</w:t>
            </w:r>
            <w:r>
              <w:rPr>
                <w:rFonts w:ascii="Songti SC Regular" w:hAnsi="Songti SC Regular" w:cs="Songti SC Regular"/>
                <w:color w:val="auto"/>
                <w:lang w:eastAsia="zh-CN"/>
              </w:rPr>
              <w:t xml:space="preserve">采样率：24kHz</w:t>
            </w:r>
            <w:r>
              <w:rPr>
                <w:rFonts w:hint="eastAsia" w:ascii="Songti SC Regular" w:hAnsi="Songti SC Regular" w:cs="Songti SC Regular"/>
                <w:color w:val="auto"/>
                <w:lang w:eastAsia="zh-CN"/>
              </w:rPr>
              <w:t xml:space="preserve">。</w:t>
            </w:r>
            <w:r/>
          </w:p>
          <w:p>
            <w:pPr>
              <w:pStyle w:val="743"/>
              <w:ind w:left="0"/>
              <w:rPr>
                <w:rFonts w:hint="eastAsia" w:ascii="Songti SC Regular" w:hAnsi="Songti SC Regular" w:cs="Songti SC Regular"/>
                <w:color w:val="auto"/>
                <w:lang w:eastAsia="zh-CN"/>
              </w:rPr>
            </w:pPr>
            <w:r>
              <w:rPr>
                <w:rFonts w:hint="eastAsia" w:ascii="Songti SC Regular" w:hAnsi="Songti SC Regular" w:cs="Songti SC Regular"/>
                <w:color w:val="auto"/>
                <w:lang w:val="en-US" w:eastAsia="zh-CN"/>
              </w:rPr>
              <w:t xml:space="preserve">10.</w:t>
            </w:r>
            <w:r>
              <w:rPr>
                <w:rFonts w:ascii="Songti SC Regular" w:hAnsi="Songti SC Regular" w:cs="Songti SC Regular"/>
                <w:color w:val="auto"/>
                <w:lang w:eastAsia="zh-CN"/>
              </w:rPr>
              <w:t xml:space="preserve">频率响应：100Hz-8kHz@±4dB</w:t>
            </w:r>
            <w:r>
              <w:rPr>
                <w:rFonts w:hint="eastAsia" w:ascii="Songti SC Regular" w:hAnsi="Songti SC Regular" w:cs="Songti SC Regular"/>
                <w:color w:val="auto"/>
                <w:lang w:eastAsia="zh-CN"/>
              </w:rPr>
              <w:t xml:space="preserve">。</w:t>
            </w:r>
            <w:r/>
          </w:p>
          <w:p>
            <w:pPr>
              <w:rPr>
                <w:rFonts w:ascii="Songti SC Regular" w:hAnsi="Songti SC Regular" w:cs="Songti SC Regular"/>
                <w:sz w:val="24"/>
                <w:szCs w:val="24"/>
              </w:rPr>
            </w:pPr>
            <w:r>
              <w:rPr>
                <w:rFonts w:hint="eastAsia" w:ascii="Songti SC Regular" w:hAnsi="Songti SC Regular" w:cs="Songti SC Regular"/>
                <w:color w:val="auto"/>
                <w:sz w:val="24"/>
                <w:szCs w:val="24"/>
                <w:lang w:val="en-US" w:eastAsia="zh-CN"/>
              </w:rPr>
              <w:t xml:space="preserve">11.</w:t>
            </w:r>
            <w:r>
              <w:rPr>
                <w:rFonts w:ascii="Songti SC Regular" w:hAnsi="Songti SC Regular" w:cs="Songti SC Regular"/>
                <w:color w:val="auto"/>
                <w:sz w:val="24"/>
                <w:szCs w:val="24"/>
              </w:rPr>
              <w:t xml:space="preserve">失真度：&lt;0.4%@94dBSPL，1kHz</w:t>
            </w:r>
            <w:r>
              <w:rPr>
                <w:rFonts w:hint="eastAsia" w:ascii="Songti SC Regular" w:hAnsi="Songti SC Regular" w:cs="Songti SC Regular"/>
                <w:color w:val="auto"/>
                <w:sz w:val="24"/>
                <w:szCs w:val="24"/>
                <w:lang w:eastAsia="zh-CN"/>
              </w:rPr>
              <w:t xml:space="preserve">。</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USB扩展器</w:t>
            </w:r>
            <w:r/>
          </w:p>
        </w:tc>
        <w:tc>
          <w:tcPr>
            <w:tcW w:w="7355" w:type="dxa"/>
            <w:textDirection w:val="lrTb"/>
            <w:noWrap/>
          </w:tcPr>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1.≥4个USB3.0接口，兼容USB接口设备，支持同时读取。</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2.支持连接键盘/鼠标，支持连接U盘/读卡器。</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rPr>
              <w:t xml:space="preserve">3.颜色：黑色；材质：ABS胶壳；线长：≥2m。</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智能交互笔</w:t>
            </w:r>
            <w:r/>
          </w:p>
        </w:tc>
        <w:tc>
          <w:tcPr>
            <w:tcW w:w="7355" w:type="dxa"/>
            <w:vAlign w:val="center"/>
            <w:textDirection w:val="lrTb"/>
            <w:noWrap/>
          </w:tcPr>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.笔身配置≥5个按键，具备上下翻页、智能语音、远程聚光灯/放大、书写颜色切换、兼顾触摸书写以及远程操控的握持姿态。</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.笔头：采用锥型笔尖设计，直径≤3mm；同时支持电容、红外触控设备书写，书写最小精度2mm，连续书写距离不小于7km。</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.翻页按键：短按上下翻页按键，可实现白板软件、ppt、pdf等文档上下翻页；长按上下翻页按键3s，可实现ppt播放、退出。</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语音：内置麦克风，支持唤醒语音识别，可直接通过语音打开已安装的应用，通过语音调用网络搜索引擎搜索查询相应资料，可进行语音转写输入，支持语音控制屏幕黑屏、亮屏，音量大小调整，返回桌面，截屏，关机等操作。</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.批注：支持按键调起批注功能，可通过按键实现批注颜色切换，长按按键可实现橡皮擦功能。</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6</w:t>
            </w:r>
            <w:r>
              <w:rPr>
                <w:rFonts w:hint="eastAsia" w:asciiTheme="minorEastAsia" w:hAnsiTheme="minorEastAsia" w:eastAsiaTheme="minorEastAsia" w:cstheme="minorEastAsia"/>
                <w:bCs/>
                <w:color w:val="000000"/>
                <w:sz w:val="24"/>
                <w:szCs w:val="24"/>
              </w:rPr>
              <w:t xml:space="preserve">.无线：为保障用户在不同场景使用智能笔，支持无线及蓝牙两种连接方式，支持蓝牙5.1协议。</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7</w:t>
            </w:r>
            <w:r>
              <w:rPr>
                <w:rFonts w:hint="eastAsia" w:asciiTheme="minorEastAsia" w:hAnsiTheme="minorEastAsia" w:eastAsiaTheme="minorEastAsia" w:cstheme="minorEastAsia"/>
                <w:bCs/>
                <w:color w:val="000000"/>
                <w:sz w:val="24"/>
                <w:szCs w:val="24"/>
              </w:rPr>
              <w:t xml:space="preserve">.使用距离：无线</w:t>
            </w:r>
            <w:r>
              <w:rPr>
                <w:rFonts w:hint="eastAsia" w:asciiTheme="minorEastAsia" w:hAnsiTheme="minorEastAsia" w:eastAsiaTheme="minorEastAsia" w:cstheme="minorEastAsia"/>
                <w:bCs/>
                <w:color w:val="000000"/>
                <w:sz w:val="24"/>
                <w:szCs w:val="24"/>
                <w:lang w:val="en-US" w:eastAsia="zh-CN"/>
              </w:rPr>
              <w:t xml:space="preserve">&amp;</w:t>
            </w:r>
            <w:r>
              <w:rPr>
                <w:rFonts w:hint="eastAsia" w:asciiTheme="minorEastAsia" w:hAnsiTheme="minorEastAsia" w:eastAsiaTheme="minorEastAsia" w:cstheme="minorEastAsia"/>
                <w:bCs/>
                <w:color w:val="000000"/>
                <w:sz w:val="24"/>
                <w:szCs w:val="24"/>
              </w:rPr>
              <w:t xml:space="preserve">蓝牙连接距离≥12m，上下翻页/语音控制/远程批注实现距离≥12m，覆盖标准教室。</w:t>
            </w:r>
            <w:r/>
          </w:p>
          <w:p>
            <w:pPr>
              <w:jc w:val="left"/>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8</w:t>
            </w:r>
            <w:r>
              <w:rPr>
                <w:rFonts w:hint="eastAsia" w:asciiTheme="minorEastAsia" w:hAnsiTheme="minorEastAsia" w:eastAsiaTheme="minorEastAsia" w:cstheme="minorEastAsia"/>
                <w:bCs/>
                <w:color w:val="000000"/>
                <w:sz w:val="24"/>
                <w:szCs w:val="24"/>
              </w:rPr>
              <w:t xml:space="preserve">.充电：内置锂电池，支持type-c充电，待机时间≥60h,连续书写时间≥8h，从无电到满电的充电时长≤1小时。</w:t>
            </w:r>
            <w:r/>
          </w:p>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.自动休眠：支持智能休眠节电，当设备&gt;5min无人操作时，设备自动进入休眠节电模式。</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旧设备拆除</w:t>
            </w:r>
            <w:r/>
          </w:p>
        </w:tc>
        <w:tc>
          <w:tcPr>
            <w:tcW w:w="7355" w:type="dxa"/>
            <w:textDirection w:val="lrTb"/>
            <w:noWrap/>
          </w:tcPr>
          <w:p>
            <w:pPr>
              <w:jc w:val="left"/>
              <w:widowControl/>
              <w:rPr>
                <w:rFonts w:asciiTheme="minorEastAsia" w:hAnsiTheme="minorEastAsia" w:eastAsiaTheme="minorEastAsia" w:cstheme="minorEastAsia"/>
                <w:sz w:val="22"/>
              </w:rPr>
            </w:pP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b/>
                <w:bCs w:val="0"/>
                <w:color w:val="000000"/>
                <w:sz w:val="24"/>
                <w:szCs w:val="24"/>
              </w:rPr>
              <w:t xml:space="preserve">旧设备的拆除（含黑板、讲台、投影、电脑、音响、线槽等）和旧设备区域内拆除后的平整修复，垃圾清运至校内指定地点。</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安装辅材</w:t>
            </w:r>
            <w:r/>
          </w:p>
        </w:tc>
        <w:tc>
          <w:tcPr>
            <w:tcW w:w="7355" w:type="dxa"/>
            <w:vAlign w:val="center"/>
            <w:textDirection w:val="lrTb"/>
            <w:noWrap/>
          </w:tcPr>
          <w:p>
            <w:pPr>
              <w:jc w:val="left"/>
              <w:widowControl/>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bCs/>
                <w:color w:val="000000"/>
                <w:sz w:val="24"/>
                <w:szCs w:val="24"/>
              </w:rPr>
              <w:t xml:space="preserve">音频线、网络线缆、各类接头及焊接等。</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tcW w:w="171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设备安装调试</w:t>
            </w:r>
            <w:r/>
          </w:p>
        </w:tc>
        <w:tc>
          <w:tcPr>
            <w:tcW w:w="7355" w:type="dxa"/>
            <w:vAlign w:val="center"/>
            <w:textDirection w:val="lrTb"/>
            <w:noWrap/>
          </w:tcPr>
          <w:p>
            <w:pPr>
              <w:widowControl/>
              <w:rPr>
                <w:rFonts w:asciiTheme="minorEastAsia" w:hAnsiTheme="minorEastAsia" w:eastAsiaTheme="minorEastAsia" w:cstheme="minorEastAsia"/>
                <w:b/>
                <w:bCs/>
                <w:color w:val="000000"/>
                <w:sz w:val="22"/>
              </w:rPr>
            </w:pP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b/>
                <w:bCs w:val="0"/>
                <w:color w:val="000000"/>
                <w:sz w:val="24"/>
                <w:szCs w:val="24"/>
              </w:rPr>
              <w:t xml:space="preserve">所有设备的安装、搬运、调试，让整个多媒体设备能够正常运转。</w:t>
            </w:r>
            <w:r/>
          </w:p>
        </w:tc>
      </w:tr>
    </w:tbl>
    <w:p>
      <w:pPr>
        <w:pStyle w:val="911"/>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60"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中标供应商需在</w:t>
      </w:r>
      <w:r>
        <w:rPr>
          <w:rFonts w:hint="eastAsia"/>
          <w:sz w:val="24"/>
          <w:szCs w:val="24"/>
        </w:rPr>
        <w:t xml:space="preserve">合同签订后</w:t>
      </w:r>
      <w:r>
        <w:rPr>
          <w:rFonts w:hint="eastAsia" w:ascii="宋体" w:hAnsi="宋体" w:cs="宋体"/>
          <w:sz w:val="24"/>
          <w:szCs w:val="24"/>
        </w:rPr>
        <w:t xml:space="preserve">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”的信息化过程管理，在“</w:t>
      </w:r>
      <w:r>
        <w:rPr>
          <w:rFonts w:hint="eastAsia" w:ascii="宋体" w:hAnsi="宋体" w:cs="宋体"/>
          <w:sz w:val="24"/>
          <w:szCs w:val="24"/>
          <w:highlight w:val="none"/>
        </w:rPr>
        <w:t xml:space="preserve">南京教育装备管理平台”中公开投标文件、合同与合同清单，接受南京市教育、财政、审计等行</w:t>
      </w:r>
      <w:r>
        <w:rPr>
          <w:rFonts w:hint="eastAsia" w:ascii="宋体" w:hAnsi="宋体" w:cs="宋体"/>
          <w:sz w:val="24"/>
          <w:szCs w:val="24"/>
        </w:rPr>
        <w:t xml:space="preserve">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w:t>
      </w:r>
      <w:r>
        <w:rPr>
          <w:rFonts w:hint="eastAsia" w:ascii="宋体" w:hAnsi="宋体" w:cs="宋体"/>
          <w:sz w:val="24"/>
          <w:szCs w:val="24"/>
          <w:highlight w:val="none"/>
        </w:rPr>
        <w:t xml:space="preserve">(南京教育装备管理平台</w:t>
      </w:r>
      <w:r>
        <w:rPr>
          <w:rFonts w:hint="eastAsia" w:ascii="宋体" w:hAnsi="宋体" w:cs="宋体"/>
          <w:sz w:val="24"/>
          <w:szCs w:val="24"/>
        </w:rPr>
        <w:t xml:space="preserve">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 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eastAsia="宋体" w:cs="宋体"/>
          <w:sz w:val="24"/>
          <w:szCs w:val="24"/>
        </w:rPr>
        <w:t xml:space="preserve">②</w:t>
      </w:r>
      <w:r>
        <w:rPr>
          <w:rFonts w:hint="eastAsia" w:ascii="宋体" w:hAnsi="宋体" w:cs="宋体"/>
          <w:sz w:val="24"/>
          <w:szCs w:val="24"/>
        </w:rPr>
        <w:t xml:space="preserve">南京</w:t>
      </w:r>
      <w:r>
        <w:rPr>
          <w:rFonts w:hint="eastAsia" w:ascii="宋体" w:hAnsi="宋体" w:cs="宋体"/>
          <w:sz w:val="24"/>
          <w:szCs w:val="24"/>
          <w:lang w:val="en-US" w:eastAsia="zh-CN"/>
        </w:rPr>
        <w:t xml:space="preserve">创科教育装备</w:t>
      </w:r>
      <w:r>
        <w:rPr>
          <w:rFonts w:hint="eastAsia" w:ascii="宋体" w:hAnsi="宋体" w:cs="宋体"/>
          <w:sz w:val="24"/>
          <w:szCs w:val="24"/>
        </w:rPr>
        <w:t xml:space="preserve">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w:t>
      </w:r>
      <w:r>
        <w:rPr>
          <w:rFonts w:hint="eastAsia" w:ascii="宋体" w:hAnsi="宋体"/>
          <w:sz w:val="24"/>
          <w:szCs w:val="24"/>
        </w:rPr>
        <w:t xml:space="preserve">中标后30个日历日内签订合同，合同签订后30个日历日内交货。</w:t>
      </w:r>
      <w:r/>
    </w:p>
    <w:p>
      <w:pPr>
        <w:ind w:firstLine="480"/>
        <w:spacing w:line="360" w:lineRule="exact"/>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bookmarkStart w:id="61" w:name="OLE_LINK1"/>
      <w:r>
        <w:rPr>
          <w:rFonts w:hint="eastAsia" w:ascii="宋体" w:hAnsi="宋体" w:eastAsia="宋体" w:cs="宋体"/>
          <w:bCs/>
          <w:color w:val="auto"/>
          <w:sz w:val="24"/>
          <w:szCs w:val="24"/>
          <w:highlight w:val="none"/>
          <w:lang w:val="en-US" w:eastAsia="zh-CN"/>
        </w:rPr>
        <w:t xml:space="preserve">6.其他要求</w:t>
      </w:r>
      <w:bookmarkEnd w:id="61"/>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w:t>
      </w: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rPr>
        <w:t xml:space="preserve">须将视频文件分段压缩为*.zip文件上传（单个文件不得大于50M，所有文件合计不得大于300M）。文件上传方式见苏采云系统操作指南，上传的演示视频将作为投标文件的组成部分。视频时长总计不超过15分钟。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704"/>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4"/>
        <w:ind w:left="0" w:firstLine="0"/>
      </w:pPr>
      <w:r/>
      <w:r/>
    </w:p>
    <w:p>
      <w:pPr>
        <w:pStyle w:val="704"/>
        <w:ind w:left="0" w:firstLine="0"/>
      </w:pPr>
      <w:r/>
      <w:r/>
    </w:p>
    <w:p>
      <w:r/>
      <w:r/>
    </w:p>
    <w:p>
      <w:r/>
      <w:r/>
    </w:p>
    <w:p>
      <w:r/>
      <w:r/>
    </w:p>
    <w:p>
      <w:pPr>
        <w:jc w:val="both"/>
        <w:spacing w:line="36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”得分由高到低顺序排列。在投标文件满足招标文件全部实质性要求的</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中，按照评审得分由高到低推荐3名中标候选人。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的扣</w:t>
      </w:r>
      <w:r>
        <w:rPr>
          <w:rFonts w:hint="eastAsia" w:ascii="宋体" w:hAnsi="宋体" w:eastAsia="宋体" w:cs="宋体"/>
          <w:sz w:val="24"/>
          <w:szCs w:val="24"/>
          <w:highlight w:val="none"/>
        </w:rPr>
        <w:t xml:space="preserve">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9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548"/>
        <w:gridCol w:w="6961"/>
        <w:gridCol w:w="647"/>
        <w:gridCol w:w="900"/>
      </w:tblGrid>
      <w:tr>
        <w:trPr>
          <w:jc w:val="center"/>
          <w:trHeight w:val="793"/>
          <w:tblHeader/>
        </w:trPr>
        <w:tc>
          <w:tcPr>
            <w:tcW w:w="519"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序号</w:t>
            </w:r>
            <w:r/>
          </w:p>
        </w:tc>
        <w:tc>
          <w:tcPr>
            <w:tcW w:w="548"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评审因素</w:t>
            </w:r>
            <w:r/>
          </w:p>
        </w:tc>
        <w:tc>
          <w:tcPr>
            <w:tcW w:w="6961"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分值</w:t>
            </w:r>
            <w:r/>
          </w:p>
        </w:tc>
        <w:tc>
          <w:tcPr>
            <w:tcW w:w="900"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类型</w:t>
            </w:r>
            <w:r/>
          </w:p>
        </w:tc>
      </w:tr>
      <w:tr>
        <w:trPr>
          <w:jc w:val="center"/>
          <w:trHeight w:val="460"/>
        </w:trPr>
        <w:tc>
          <w:tcPr>
            <w:gridSpan w:val="5"/>
            <w:tcW w:w="9575" w:type="dxa"/>
            <w:textDirection w:val="lrTb"/>
            <w:noWrap/>
          </w:tcPr>
          <w:p>
            <w:pPr>
              <w:ind w:left="114"/>
              <w:spacing w:before="122" w:line="264" w:lineRule="auto"/>
              <w:rPr>
                <w:rFonts w:ascii="宋体" w:hAnsi="宋体" w:cs="宋体"/>
                <w:color w:val="000000"/>
                <w:sz w:val="22"/>
              </w:rPr>
            </w:pPr>
            <w:r>
              <w:rPr>
                <w:rFonts w:hint="eastAsia" w:ascii="宋体" w:hAnsi="宋体" w:cs="宋体"/>
                <w:b/>
                <w:bCs/>
                <w:color w:val="000000"/>
                <w:spacing w:val="-3"/>
                <w:sz w:val="22"/>
              </w:rPr>
              <w:t xml:space="preserve">1.价</w:t>
            </w:r>
            <w:r>
              <w:rPr>
                <w:rFonts w:hint="eastAsia" w:ascii="宋体" w:hAnsi="宋体" w:cs="宋体"/>
                <w:b/>
                <w:bCs/>
                <w:color w:val="000000"/>
                <w:spacing w:val="-2"/>
                <w:sz w:val="22"/>
              </w:rPr>
              <w:t xml:space="preserve">格</w:t>
            </w:r>
            <w:r/>
          </w:p>
        </w:tc>
      </w:tr>
      <w:tr>
        <w:trPr>
          <w:jc w:val="center"/>
          <w:trHeight w:val="346"/>
        </w:trPr>
        <w:tc>
          <w:tcPr>
            <w:tcW w:w="519"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1</w:t>
            </w:r>
            <w:r>
              <w:rPr>
                <w:rFonts w:hint="eastAsia" w:ascii="宋体" w:hAnsi="宋体" w:cs="宋体"/>
                <w:color w:val="000000"/>
                <w:spacing w:val="-5"/>
                <w:sz w:val="22"/>
              </w:rPr>
              <w:t xml:space="preserve">.1</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2"/>
                <w:sz w:val="22"/>
              </w:rPr>
              <w:t xml:space="preserve">价格分</w:t>
            </w:r>
            <w:r/>
          </w:p>
        </w:tc>
        <w:tc>
          <w:tcPr>
            <w:tcW w:w="6961" w:type="dxa"/>
            <w:vAlign w:val="center"/>
            <w:textDirection w:val="lrTb"/>
            <w:noWrap/>
          </w:tcPr>
          <w:p>
            <w:pPr>
              <w:jc w:val="left"/>
              <w:spacing w:line="264" w:lineRule="auto"/>
              <w:rPr>
                <w:rFonts w:hint="eastAsia" w:ascii="宋体" w:hAnsi="宋体" w:cs="宋体"/>
                <w:color w:val="000000"/>
                <w:sz w:val="22"/>
              </w:rPr>
            </w:pPr>
            <w:r>
              <w:rPr>
                <w:rFonts w:hint="eastAsia" w:ascii="宋体" w:hAnsi="宋体" w:cs="宋体"/>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pStyle w:val="704"/>
              <w:ind w:left="0" w:firstLine="0"/>
            </w:pPr>
            <w:r>
              <w:rPr>
                <w:rFonts w:hint="eastAsia" w:ascii="宋体" w:hAnsi="宋体" w:eastAsia="宋体" w:cs="宋体"/>
                <w:color w:val="000000"/>
                <w:sz w:val="22"/>
                <w:szCs w:val="22"/>
                <w:highlight w:val="none"/>
                <w:lang w:val="en-US" w:eastAsia="zh-CN" w:bidi="ar-SA"/>
              </w:rPr>
              <w:t xml:space="preserve">因落实政府采购政策进行价格调整的，以调整后的价格计算评标基准价和投标报价。</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30</w:t>
            </w:r>
            <w:r/>
          </w:p>
        </w:tc>
        <w:tc>
          <w:tcPr>
            <w:tcW w:w="900"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价格分</w:t>
            </w:r>
            <w:r/>
          </w:p>
        </w:tc>
      </w:tr>
      <w:tr>
        <w:trPr>
          <w:jc w:val="center"/>
          <w:trHeight w:val="460"/>
        </w:trPr>
        <w:tc>
          <w:tcPr>
            <w:gridSpan w:val="5"/>
            <w:tcW w:w="9575" w:type="dxa"/>
            <w:textDirection w:val="lrTb"/>
            <w:noWrap/>
          </w:tcPr>
          <w:p>
            <w:pPr>
              <w:ind w:left="114"/>
              <w:spacing w:before="123" w:line="264" w:lineRule="auto"/>
              <w:rPr>
                <w:rFonts w:ascii="宋体" w:hAnsi="宋体" w:cs="宋体"/>
                <w:color w:val="000000"/>
                <w:sz w:val="22"/>
              </w:rPr>
            </w:pPr>
            <w:r>
              <w:rPr>
                <w:rFonts w:hint="eastAsia" w:ascii="宋体" w:hAnsi="宋体" w:cs="宋体"/>
                <w:b/>
                <w:bCs/>
                <w:color w:val="000000"/>
                <w:spacing w:val="-3"/>
                <w:sz w:val="22"/>
              </w:rPr>
              <w:t xml:space="preserve">2.技术</w:t>
            </w:r>
            <w:r/>
          </w:p>
        </w:tc>
      </w:tr>
      <w:tr>
        <w:trPr>
          <w:jc w:val="center"/>
          <w:trHeight w:val="891"/>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2.1</w:t>
            </w:r>
            <w:r/>
          </w:p>
        </w:tc>
        <w:tc>
          <w:tcPr>
            <w:tcW w:w="548"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产品技术参数</w:t>
            </w:r>
            <w:r/>
          </w:p>
        </w:tc>
        <w:tc>
          <w:tcPr>
            <w:tcW w:w="6961" w:type="dxa"/>
            <w:vAlign w:val="center"/>
            <w:textDirection w:val="lrTb"/>
            <w:noWrap/>
          </w:tcPr>
          <w:p>
            <w:pPr>
              <w:jc w:val="left"/>
              <w:spacing w:line="264" w:lineRule="auto"/>
              <w:rPr>
                <w:rFonts w:ascii="宋体" w:hAnsi="宋体" w:cs="宋体"/>
                <w:color w:val="000000"/>
                <w:sz w:val="22"/>
                <w:lang w:val="zh-CN"/>
              </w:rPr>
            </w:pPr>
            <w:r>
              <w:rPr>
                <w:rFonts w:hint="eastAsia" w:ascii="宋体" w:hAnsi="宋体" w:cs="宋体"/>
                <w:color w:val="000000"/>
                <w:sz w:val="22"/>
              </w:rPr>
              <w:t xml:space="preserve">产品技术参数全部满足招标要求的得满分，打★指标为必须满足项，如有负偏离将作为无效投标，其余指标有1项负偏离扣1分，本项最低得0分。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22</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2.2</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产品技术要求</w:t>
            </w:r>
            <w:r/>
          </w:p>
        </w:tc>
        <w:tc>
          <w:tcPr>
            <w:tcW w:w="6961" w:type="dxa"/>
            <w:vAlign w:val="center"/>
            <w:textDirection w:val="lrTb"/>
            <w:noWrap/>
          </w:tcPr>
          <w:p>
            <w:pPr>
              <w:jc w:val="left"/>
              <w:spacing w:line="264" w:lineRule="auto"/>
              <w:rPr>
                <w:rFonts w:ascii="宋体" w:hAnsi="宋体" w:cs="宋体"/>
                <w:color w:val="auto"/>
                <w:sz w:val="22"/>
              </w:rPr>
            </w:pPr>
            <w:r>
              <w:rPr>
                <w:rFonts w:hint="eastAsia" w:ascii="宋体" w:hAnsi="宋体" w:cs="宋体"/>
                <w:sz w:val="22"/>
              </w:rPr>
              <w:t xml:space="preserve">1、投标人所投</w:t>
            </w:r>
            <w:r>
              <w:rPr>
                <w:rFonts w:hint="eastAsia" w:ascii="宋体" w:hAnsi="宋体" w:cs="宋体"/>
                <w:b w:val="0"/>
                <w:bCs w:val="0"/>
                <w:color w:val="auto"/>
                <w:sz w:val="22"/>
              </w:rPr>
              <w:t xml:space="preserve">“</w:t>
            </w:r>
            <w:r>
              <w:rPr>
                <w:rFonts w:hint="eastAsia" w:ascii="宋体" w:hAnsi="宋体" w:cs="宋体"/>
                <w:b w:val="0"/>
                <w:bCs w:val="0"/>
                <w:color w:val="auto"/>
                <w:sz w:val="22"/>
                <w:lang w:val="en-US" w:eastAsia="zh-CN"/>
              </w:rPr>
              <w:t xml:space="preserve">智能交互黑板</w:t>
            </w:r>
            <w:r>
              <w:rPr>
                <w:rFonts w:hint="eastAsia" w:ascii="宋体" w:hAnsi="宋体" w:cs="宋体"/>
                <w:b w:val="0"/>
                <w:bCs w:val="0"/>
                <w:color w:val="auto"/>
                <w:sz w:val="22"/>
              </w:rPr>
              <w:t xml:space="preserve">”（项目清单1），需通过人眼视觉舒适度（VICO）测试，测试结果达到A</w:t>
            </w:r>
            <w:r>
              <w:rPr>
                <w:rFonts w:hint="eastAsia" w:ascii="宋体" w:hAnsi="宋体" w:cs="宋体"/>
                <w:b w:val="0"/>
                <w:bCs w:val="0"/>
                <w:color w:val="auto"/>
                <w:sz w:val="22"/>
                <w:lang w:val="en-US" w:eastAsia="zh-CN"/>
              </w:rPr>
              <w:t xml:space="preserve">+</w:t>
            </w:r>
            <w:r>
              <w:rPr>
                <w:rFonts w:hint="eastAsia" w:ascii="宋体" w:hAnsi="宋体" w:cs="宋体"/>
                <w:b w:val="0"/>
                <w:bCs w:val="0"/>
                <w:color w:val="auto"/>
                <w:sz w:val="22"/>
              </w:rPr>
              <w:t xml:space="preserve">级</w:t>
            </w:r>
            <w:r>
              <w:rPr>
                <w:rFonts w:hint="eastAsia" w:ascii="宋体" w:hAnsi="宋体" w:cs="宋体"/>
                <w:b w:val="0"/>
                <w:bCs w:val="0"/>
                <w:color w:val="auto"/>
                <w:sz w:val="22"/>
                <w:lang w:val="en-US" w:eastAsia="zh-CN"/>
              </w:rPr>
              <w:t xml:space="preserve">得2分，测</w:t>
            </w:r>
            <w:r>
              <w:rPr>
                <w:rFonts w:hint="eastAsia" w:ascii="宋体" w:hAnsi="宋体" w:cs="宋体"/>
                <w:color w:val="auto"/>
                <w:sz w:val="22"/>
                <w:lang w:val="en-US" w:eastAsia="zh-CN"/>
              </w:rPr>
              <w:t xml:space="preserve">试结果达到A级得1分，未</w:t>
            </w:r>
            <w:r>
              <w:rPr>
                <w:rFonts w:hint="eastAsia" w:ascii="宋体" w:hAnsi="宋体" w:cs="宋体"/>
                <w:color w:val="auto"/>
                <w:sz w:val="22"/>
              </w:rPr>
              <w:t xml:space="preserve">提供或不满足不得分。</w:t>
            </w:r>
            <w:r/>
          </w:p>
          <w:p>
            <w:pPr>
              <w:jc w:val="left"/>
              <w:spacing w:line="264" w:lineRule="auto"/>
              <w:rPr>
                <w:rFonts w:ascii="宋体" w:hAnsi="宋体" w:cs="宋体"/>
                <w:sz w:val="22"/>
              </w:rPr>
            </w:pPr>
            <w:r>
              <w:rPr>
                <w:rFonts w:hint="eastAsia" w:ascii="宋体" w:hAnsi="宋体" w:cs="宋体"/>
                <w:sz w:val="22"/>
              </w:rPr>
              <w:t xml:space="preserve">(投标人提供具备资质的第三方检测机构出具的检测结果符合相应要求和标准的检测报告原件扫描件。（检测依据GB/T 44441-2024，检测标准若有更新，执行现行最新有效标准）)。</w:t>
            </w:r>
            <w:r/>
          </w:p>
          <w:p>
            <w:pPr>
              <w:jc w:val="left"/>
              <w:spacing w:line="264" w:lineRule="auto"/>
              <w:rPr>
                <w:rFonts w:ascii="宋体" w:hAnsi="宋体" w:cs="宋体"/>
                <w:sz w:val="22"/>
              </w:rPr>
            </w:pPr>
            <w:r>
              <w:rPr>
                <w:rFonts w:hint="eastAsia" w:ascii="宋体" w:hAnsi="宋体" w:cs="宋体"/>
                <w:sz w:val="22"/>
              </w:rPr>
              <w:t xml:space="preserve">2.投标人所投“</w:t>
            </w:r>
            <w:r>
              <w:rPr>
                <w:rFonts w:hint="eastAsia" w:ascii="宋体" w:hAnsi="宋体" w:cs="宋体"/>
                <w:b w:val="0"/>
                <w:bCs w:val="0"/>
                <w:color w:val="auto"/>
                <w:sz w:val="22"/>
                <w:lang w:val="en-US" w:eastAsia="zh-CN"/>
              </w:rPr>
              <w:t xml:space="preserve">智能交互黑板</w:t>
            </w:r>
            <w:r>
              <w:rPr>
                <w:rFonts w:hint="eastAsia" w:ascii="宋体" w:hAnsi="宋体" w:cs="宋体"/>
                <w:sz w:val="22"/>
              </w:rPr>
              <w:t xml:space="preserve">”（项目清单1）</w:t>
            </w:r>
            <w:r>
              <w:rPr>
                <w:rFonts w:hint="eastAsia" w:ascii="宋体" w:hAnsi="宋体" w:cs="宋体"/>
                <w:sz w:val="22"/>
                <w:highlight w:val="none"/>
                <w:lang w:eastAsia="zh-CN"/>
              </w:rPr>
              <w:t xml:space="preserve">内置的</w:t>
            </w:r>
            <w:r>
              <w:rPr>
                <w:rFonts w:hint="eastAsia" w:ascii="宋体" w:hAnsi="宋体" w:cs="宋体"/>
                <w:sz w:val="22"/>
              </w:rPr>
              <w:t xml:space="preserve">“课堂互动软件”具备数据管理能力成熟度3级及以上。提供得1分，未提供或不满足不得分。</w:t>
            </w:r>
            <w:r/>
          </w:p>
          <w:p>
            <w:pPr>
              <w:jc w:val="left"/>
              <w:spacing w:line="264" w:lineRule="auto"/>
              <w:rPr>
                <w:rFonts w:ascii="宋体" w:hAnsi="宋体" w:cs="宋体"/>
                <w:sz w:val="22"/>
              </w:rPr>
            </w:pPr>
            <w:r>
              <w:rPr>
                <w:rFonts w:hint="eastAsia" w:ascii="宋体" w:hAnsi="宋体" w:cs="宋体"/>
                <w:sz w:val="22"/>
              </w:rPr>
              <w:t xml:space="preserve">(投标人提供具备资质的第三方检测机构出具的检测结果符合相应要求和标准的证书原件扫描件。（依据GB/T 36073-2018《数据管理能力成熟度评估模型》，标准若有更新，执行现行最新有效标准）)。</w:t>
            </w:r>
            <w:r/>
          </w:p>
          <w:p>
            <w:pPr>
              <w:jc w:val="left"/>
              <w:spacing w:line="264" w:lineRule="auto"/>
              <w:rPr>
                <w:rFonts w:ascii="宋体" w:hAnsi="宋体" w:cs="宋体"/>
                <w:sz w:val="22"/>
              </w:rPr>
            </w:pPr>
            <w:r>
              <w:rPr>
                <w:rFonts w:hint="eastAsia" w:ascii="宋体" w:hAnsi="宋体" w:cs="宋体"/>
                <w:sz w:val="22"/>
              </w:rPr>
              <w:t xml:space="preserve">3.投标人所投“多媒体集控管理系统”（项目清单5）具备穿透系统还原保护功能，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全部满足得1分，提供不全或未提供不得分。</w:t>
            </w:r>
            <w:r/>
          </w:p>
          <w:p>
            <w:pPr>
              <w:jc w:val="left"/>
              <w:widowControl/>
              <w:rPr>
                <w:rFonts w:ascii="宋体" w:hAnsi="宋体" w:cs="宋体"/>
                <w:color w:val="000000"/>
                <w:sz w:val="22"/>
              </w:rPr>
            </w:pPr>
            <w:r>
              <w:rPr>
                <w:rFonts w:hint="eastAsia" w:ascii="宋体" w:hAnsi="宋体" w:cs="宋体"/>
                <w:sz w:val="22"/>
              </w:rPr>
              <w:t xml:space="preserve">投标人提供具备资质的第三方检测机构出具的检测结果符合相应要求和标准的检测报告原件扫描件。（检测依据：GB/T 25000.51-2016《系统与软件工程 系统与软件质量要求和评价（SQuaRE） 第51部分：就绪可用软件产品（RUSP）的质量要求和测试细则》，检测标准若有更新，执行现行最新有效标准）。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客观分</w:t>
            </w:r>
            <w:r/>
          </w:p>
        </w:tc>
      </w:tr>
      <w:tr>
        <w:trPr>
          <w:jc w:val="center"/>
          <w:trHeight w:val="90"/>
        </w:trPr>
        <w:tc>
          <w:tcPr>
            <w:tcW w:w="519" w:type="dxa"/>
            <w:vAlign w:val="center"/>
            <w:textDirection w:val="lrTb"/>
            <w:noWrap/>
          </w:tcPr>
          <w:p>
            <w:pPr>
              <w:jc w:val="center"/>
              <w:spacing w:before="68" w:line="264" w:lineRule="auto"/>
              <w:rPr>
                <w:rFonts w:hint="default" w:ascii="宋体" w:hAnsi="宋体" w:eastAsia="宋体" w:cs="宋体"/>
                <w:color w:val="000000"/>
                <w:spacing w:val="-2"/>
                <w:sz w:val="22"/>
                <w:lang w:val="en-US" w:eastAsia="zh-CN"/>
              </w:rPr>
            </w:pPr>
            <w:r>
              <w:rPr>
                <w:rFonts w:hint="eastAsia" w:ascii="宋体" w:hAnsi="宋体" w:cs="宋体"/>
                <w:color w:val="000000"/>
                <w:spacing w:val="-2"/>
                <w:sz w:val="22"/>
                <w:lang w:val="en-US" w:eastAsia="zh-CN"/>
              </w:rPr>
              <w:t xml:space="preserve">2.3</w:t>
            </w:r>
            <w:r/>
          </w:p>
        </w:tc>
        <w:tc>
          <w:tcPr>
            <w:tcW w:w="548" w:type="dxa"/>
            <w:vAlign w:val="center"/>
            <w:textDirection w:val="lrTb"/>
            <w:noWrap/>
          </w:tcPr>
          <w:p>
            <w:pPr>
              <w:jc w:val="center"/>
              <w:spacing w:before="68" w:line="264" w:lineRule="auto"/>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产品性能</w:t>
            </w:r>
            <w:r/>
          </w:p>
        </w:tc>
        <w:tc>
          <w:tcPr>
            <w:tcW w:w="6961" w:type="dxa"/>
            <w:vAlign w:val="center"/>
            <w:textDirection w:val="lrTb"/>
            <w:noWrap/>
          </w:tcPr>
          <w:p>
            <w:pPr>
              <w:numPr>
                <w:ilvl w:val="0"/>
                <w:numId w:val="6"/>
              </w:numPr>
              <w:jc w:val="left"/>
              <w:widowControl/>
              <w:rPr>
                <w:rFonts w:hint="eastAsia" w:ascii="宋体" w:hAnsi="宋体" w:cs="宋体"/>
                <w:highlight w:val="none"/>
                <w:lang w:val="en-US" w:eastAsia="zh-CN"/>
              </w:rPr>
            </w:pPr>
            <w:r>
              <w:rPr>
                <w:rFonts w:hint="eastAsia" w:ascii="宋体" w:hAnsi="宋体" w:cs="宋体"/>
                <w:sz w:val="22"/>
                <w:highlight w:val="none"/>
                <w:lang w:val="en-US" w:eastAsia="zh-CN"/>
              </w:rPr>
              <w:t xml:space="preserve">提供所投产品“</w:t>
            </w:r>
            <w:r>
              <w:rPr>
                <w:rFonts w:hint="eastAsia" w:ascii="宋体" w:hAnsi="宋体" w:cs="宋体"/>
                <w:b w:val="0"/>
                <w:bCs w:val="0"/>
                <w:color w:val="auto"/>
                <w:sz w:val="22"/>
                <w:highlight w:val="none"/>
                <w:lang w:val="en-US" w:eastAsia="zh-CN"/>
              </w:rPr>
              <w:t xml:space="preserve">智能交互黑板</w:t>
            </w:r>
            <w:r>
              <w:rPr>
                <w:rFonts w:hint="eastAsia" w:ascii="宋体" w:hAnsi="宋体" w:cs="宋体"/>
                <w:sz w:val="22"/>
                <w:highlight w:val="none"/>
                <w:lang w:val="en-US" w:eastAsia="zh-CN"/>
              </w:rPr>
              <w:t xml:space="preserve">”（项目清单1）平均无故障时间达到MTBF</w:t>
            </w:r>
            <w:r>
              <w:rPr>
                <w:rFonts w:hint="eastAsia" w:ascii="宋体" w:hAnsi="宋体" w:cs="宋体"/>
                <w:highlight w:val="none"/>
              </w:rPr>
              <w:t xml:space="preserve">≥</w:t>
            </w:r>
            <w:r>
              <w:rPr>
                <w:rFonts w:hint="eastAsia" w:ascii="宋体" w:hAnsi="宋体" w:cs="宋体"/>
                <w:highlight w:val="none"/>
                <w:lang w:val="en-US" w:eastAsia="zh-CN"/>
              </w:rPr>
              <w:t xml:space="preserve">20万小时，满足得1分，未提供或不满足不得分（提供MTBF检测报告上传至投标系统）。</w:t>
            </w:r>
            <w:r/>
          </w:p>
          <w:p>
            <w:pPr>
              <w:numPr>
                <w:ilvl w:val="0"/>
                <w:numId w:val="6"/>
              </w:numPr>
              <w:jc w:val="left"/>
              <w:widowControl/>
              <w:rPr>
                <w:rFonts w:hint="default" w:ascii="宋体" w:hAnsi="宋体" w:cs="宋体"/>
                <w:highlight w:val="none"/>
                <w:lang w:val="en-US" w:eastAsia="zh-CN"/>
              </w:rPr>
            </w:pPr>
            <w:r>
              <w:rPr>
                <w:rFonts w:hint="eastAsia" w:ascii="宋体" w:hAnsi="宋体" w:cs="宋体"/>
                <w:highlight w:val="none"/>
                <w:lang w:val="en-US" w:eastAsia="zh-CN"/>
              </w:rPr>
              <w:t xml:space="preserve">提供所投产品“视频展台”（项目清单6）平均无故障时间达到MTBF≥20万小时，满足得1分，未提供或不满足不得分（提供MTBF检测报告上传至投标系统）。</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val="en-US" w:eastAsia="zh-CN"/>
              </w:rPr>
            </w:pPr>
            <w:r>
              <w:rPr>
                <w:rFonts w:hint="eastAsia" w:ascii="宋体" w:hAnsi="宋体" w:cs="宋体"/>
                <w:color w:val="auto"/>
                <w:sz w:val="22"/>
                <w:lang w:val="en-US" w:eastAsia="zh-CN"/>
              </w:rPr>
              <w:t xml:space="preserve">2</w:t>
            </w:r>
            <w:r/>
          </w:p>
        </w:tc>
        <w:tc>
          <w:tcPr>
            <w:tcW w:w="900" w:type="dxa"/>
            <w:vAlign w:val="center"/>
            <w:textDirection w:val="lrTb"/>
            <w:noWrap/>
          </w:tcPr>
          <w:p>
            <w:pPr>
              <w:jc w:val="center"/>
              <w:spacing w:before="68" w:line="264" w:lineRule="auto"/>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客观分</w:t>
            </w:r>
            <w:r/>
          </w:p>
        </w:tc>
      </w:tr>
      <w:tr>
        <w:trPr>
          <w:jc w:val="center"/>
          <w:trHeight w:val="90"/>
        </w:trPr>
        <w:tc>
          <w:tcPr>
            <w:tcW w:w="519" w:type="dxa"/>
            <w:vAlign w:val="center"/>
            <w:textDirection w:val="lrTb"/>
            <w:noWrap/>
          </w:tcPr>
          <w:p>
            <w:pPr>
              <w:jc w:val="center"/>
              <w:spacing w:before="68" w:line="264" w:lineRule="auto"/>
              <w:rPr>
                <w:rFonts w:hint="eastAsia" w:ascii="宋体" w:hAnsi="宋体" w:eastAsia="宋体" w:cs="宋体"/>
                <w:color w:val="000000"/>
                <w:spacing w:val="-2"/>
                <w:sz w:val="22"/>
                <w:lang w:val="en-US" w:eastAsia="zh-CN"/>
              </w:rPr>
            </w:pPr>
            <w:r>
              <w:rPr>
                <w:rFonts w:hint="eastAsia" w:ascii="宋体" w:hAnsi="宋体" w:cs="宋体"/>
                <w:color w:val="000000"/>
                <w:spacing w:val="-2"/>
                <w:sz w:val="22"/>
              </w:rPr>
              <w:t xml:space="preserve">2.</w:t>
            </w:r>
            <w:r>
              <w:rPr>
                <w:rFonts w:hint="eastAsia" w:ascii="宋体" w:hAnsi="宋体" w:cs="宋体"/>
                <w:color w:val="000000"/>
                <w:spacing w:val="-2"/>
                <w:sz w:val="22"/>
                <w:lang w:val="en-US" w:eastAsia="zh-CN"/>
              </w:rPr>
              <w:t xml:space="preserve">4</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视频演示</w:t>
            </w:r>
            <w:r/>
          </w:p>
        </w:tc>
        <w:tc>
          <w:tcPr>
            <w:tcW w:w="6961" w:type="dxa"/>
            <w:vAlign w:val="center"/>
            <w:textDirection w:val="lrTb"/>
            <w:noWrap/>
          </w:tcPr>
          <w:p>
            <w:pPr>
              <w:jc w:val="left"/>
              <w:spacing w:line="264" w:lineRule="auto"/>
              <w:rPr>
                <w:rFonts w:ascii="宋体" w:hAnsi="宋体" w:cs="宋体"/>
                <w:sz w:val="22"/>
              </w:rPr>
            </w:pPr>
            <w:r>
              <w:rPr>
                <w:rFonts w:hint="eastAsia" w:ascii="宋体" w:hAnsi="宋体" w:cs="宋体"/>
                <w:sz w:val="22"/>
              </w:rPr>
              <w:t xml:space="preserve">视频文件格式为*.mp4 或*.avi，</w:t>
            </w:r>
            <w:r>
              <w:rPr>
                <w:rFonts w:hint="eastAsia" w:ascii="宋体" w:hAnsi="宋体" w:cs="宋体"/>
                <w:sz w:val="22"/>
                <w:lang w:val="en-US" w:eastAsia="zh-CN"/>
              </w:rPr>
              <w:t xml:space="preserve">投标人</w:t>
            </w:r>
            <w:r>
              <w:rPr>
                <w:rFonts w:hint="eastAsia" w:ascii="宋体" w:hAnsi="宋体" w:cs="宋体"/>
                <w:sz w:val="22"/>
              </w:rPr>
              <w:t xml:space="preserve">须将视频文件分段压缩为*.zip 文件上传（单个文件不得大于50M ， 所有文件合计不得大于 300M ）。文件上传方式见《操作手册》</w:t>
            </w:r>
            <w:r>
              <w:rPr>
                <w:rFonts w:hint="eastAsia" w:ascii="宋体" w:hAnsi="宋体" w:cs="宋体"/>
                <w:sz w:val="22"/>
                <w:lang w:eastAsia="zh-CN"/>
              </w:rPr>
              <w:t xml:space="preserve">，</w:t>
            </w:r>
            <w:r>
              <w:rPr>
                <w:rFonts w:hint="eastAsia" w:ascii="宋体" w:hAnsi="宋体" w:cs="宋体"/>
                <w:sz w:val="22"/>
              </w:rPr>
              <w:t xml:space="preserve">上传的演示视频将作为投标 文件的组成部分 。视频时长总计不超过1</w:t>
            </w:r>
            <w:r>
              <w:rPr>
                <w:rFonts w:hint="eastAsia" w:ascii="宋体" w:hAnsi="宋体" w:cs="宋体"/>
                <w:sz w:val="22"/>
                <w:lang w:val="en-US" w:eastAsia="zh-CN"/>
              </w:rPr>
              <w:t xml:space="preserve">5</w:t>
            </w:r>
            <w:r>
              <w:rPr>
                <w:rFonts w:hint="eastAsia" w:ascii="宋体" w:hAnsi="宋体" w:cs="宋体"/>
                <w:sz w:val="22"/>
              </w:rPr>
              <w:t xml:space="preserve">分钟。</w:t>
            </w:r>
            <w:r/>
          </w:p>
          <w:p>
            <w:pPr>
              <w:jc w:val="left"/>
              <w:spacing w:line="264"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演示“</w:t>
            </w:r>
            <w:r>
              <w:rPr>
                <w:rFonts w:hint="eastAsia" w:ascii="宋体" w:hAnsi="宋体" w:cs="宋体"/>
                <w:b w:val="0"/>
                <w:bCs w:val="0"/>
                <w:color w:val="auto"/>
                <w:sz w:val="22"/>
                <w:lang w:val="en-US" w:eastAsia="zh-CN"/>
              </w:rPr>
              <w:t xml:space="preserve">智能交互黑板</w:t>
            </w:r>
            <w:r>
              <w:rPr>
                <w:rFonts w:ascii="宋体" w:hAnsi="宋体" w:cs="宋体"/>
                <w:sz w:val="22"/>
              </w:rPr>
              <w:t xml:space="preserve">”（项目清单1）文件传输功能：无需借助第三方网页/应用，直接通过侧边工具栏调出文件传输工具，将手机文件传输到大屏上，接收的文件支持单份删除，也支持手动全部清空，为防止误清空，全部清空需要经过二次确认。</w:t>
            </w:r>
            <w:r/>
          </w:p>
          <w:p>
            <w:pPr>
              <w:jc w:val="left"/>
              <w:spacing w:line="264" w:lineRule="auto"/>
              <w:rPr>
                <w:rFonts w:ascii="宋体" w:hAnsi="宋体" w:cs="宋体"/>
                <w:sz w:val="22"/>
              </w:rPr>
            </w:pPr>
            <w:r>
              <w:rPr>
                <w:rFonts w:hint="eastAsia" w:ascii="宋体" w:hAnsi="宋体" w:cs="宋体"/>
                <w:sz w:val="22"/>
              </w:rPr>
              <w:t xml:space="preserve">2.</w:t>
            </w:r>
            <w:r>
              <w:rPr>
                <w:rFonts w:ascii="宋体" w:hAnsi="宋体" w:cs="宋体"/>
                <w:sz w:val="22"/>
              </w:rPr>
              <w:t xml:space="preserve">演示“</w:t>
            </w:r>
            <w:r>
              <w:rPr>
                <w:rFonts w:hint="eastAsia" w:ascii="宋体" w:hAnsi="宋体" w:cs="宋体"/>
                <w:b w:val="0"/>
                <w:bCs w:val="0"/>
                <w:color w:val="auto"/>
                <w:sz w:val="22"/>
                <w:lang w:val="en-US" w:eastAsia="zh-CN"/>
              </w:rPr>
              <w:t xml:space="preserve">智能交互黑板</w:t>
            </w:r>
            <w:r>
              <w:rPr>
                <w:rFonts w:ascii="宋体" w:hAnsi="宋体" w:cs="宋体"/>
                <w:sz w:val="22"/>
              </w:rPr>
              <w:t xml:space="preserve">”（项目清单1）整机侧边栏内置智能语音转文字工具，将整机内置麦克风拾取的语音进行文字转译，以悬浮字幕形式将转译文字显示在屏幕上。</w:t>
            </w:r>
            <w:r/>
          </w:p>
          <w:p>
            <w:pPr>
              <w:jc w:val="left"/>
              <w:spacing w:line="264" w:lineRule="auto"/>
              <w:rPr>
                <w:rFonts w:ascii="宋体" w:hAnsi="宋体" w:cs="宋体"/>
                <w:sz w:val="22"/>
              </w:rPr>
            </w:pPr>
            <w:r>
              <w:rPr>
                <w:rFonts w:hint="eastAsia" w:ascii="宋体" w:hAnsi="宋体" w:cs="宋体"/>
                <w:sz w:val="22"/>
              </w:rPr>
              <w:t xml:space="preserve">3.</w:t>
            </w:r>
            <w:r>
              <w:rPr>
                <w:rFonts w:ascii="宋体" w:hAnsi="宋体" w:cs="宋体"/>
                <w:sz w:val="22"/>
              </w:rPr>
              <w:t xml:space="preserve">演示“</w:t>
            </w:r>
            <w:r>
              <w:rPr>
                <w:rFonts w:hint="eastAsia" w:ascii="宋体" w:hAnsi="宋体" w:cs="宋体"/>
                <w:b w:val="0"/>
                <w:bCs w:val="0"/>
                <w:color w:val="auto"/>
                <w:sz w:val="22"/>
                <w:lang w:val="en-US" w:eastAsia="zh-CN"/>
              </w:rPr>
              <w:t xml:space="preserve">智能交互黑板</w:t>
            </w:r>
            <w:r>
              <w:rPr>
                <w:rFonts w:ascii="宋体" w:hAnsi="宋体" w:cs="宋体"/>
                <w:sz w:val="22"/>
              </w:rPr>
              <w:t xml:space="preserve">”（项目清单1）微课统计详细观看结果，包括：学生姓名、观看时长、观看次数、互动参与度等信息。</w:t>
            </w:r>
            <w:r/>
          </w:p>
          <w:p>
            <w:pPr>
              <w:jc w:val="left"/>
              <w:spacing w:line="264" w:lineRule="auto"/>
              <w:rPr>
                <w:rFonts w:ascii="宋体" w:hAnsi="宋体" w:cs="宋体"/>
                <w:sz w:val="22"/>
              </w:rPr>
            </w:pPr>
            <w:r>
              <w:rPr>
                <w:rFonts w:hint="eastAsia" w:ascii="宋体" w:hAnsi="宋体" w:cs="宋体"/>
                <w:sz w:val="22"/>
              </w:rPr>
              <w:t xml:space="preserve">4.</w:t>
            </w:r>
            <w:r>
              <w:rPr>
                <w:rFonts w:ascii="宋体" w:hAnsi="宋体" w:cs="宋体"/>
                <w:sz w:val="22"/>
              </w:rPr>
              <w:t xml:space="preserve">演示“智能交互笔”（项目清单</w:t>
            </w:r>
            <w:r>
              <w:rPr>
                <w:rFonts w:hint="eastAsia" w:ascii="宋体" w:hAnsi="宋体" w:cs="宋体"/>
                <w:sz w:val="22"/>
              </w:rPr>
              <w:t xml:space="preserve">1</w:t>
            </w:r>
            <w:r>
              <w:rPr>
                <w:rFonts w:ascii="宋体" w:hAnsi="宋体" w:cs="宋体"/>
                <w:sz w:val="22"/>
              </w:rPr>
              <w:t xml:space="preserve">5）通过语音调用网络搜索引擎搜索查询相应资料，返回桌面。</w:t>
            </w:r>
            <w:r/>
          </w:p>
          <w:p>
            <w:pPr>
              <w:jc w:val="left"/>
              <w:spacing w:line="264" w:lineRule="auto"/>
              <w:rPr>
                <w:rFonts w:ascii="宋体" w:hAnsi="宋体" w:cs="宋体"/>
                <w:sz w:val="22"/>
              </w:rPr>
            </w:pPr>
            <w:r>
              <w:rPr>
                <w:rFonts w:hint="eastAsia" w:ascii="宋体" w:hAnsi="宋体" w:cs="宋体"/>
                <w:sz w:val="22"/>
              </w:rPr>
              <w:t xml:space="preserve">5.</w:t>
            </w:r>
            <w:r>
              <w:rPr>
                <w:rFonts w:ascii="宋体" w:hAnsi="宋体" w:cs="宋体"/>
                <w:sz w:val="22"/>
              </w:rPr>
              <w:t xml:space="preserve">演示“多媒体集控管理系统”（项目清单</w:t>
            </w:r>
            <w:r>
              <w:rPr>
                <w:rFonts w:hint="eastAsia" w:ascii="宋体" w:hAnsi="宋体" w:cs="宋体"/>
                <w:sz w:val="22"/>
              </w:rPr>
              <w:t xml:space="preserve">5</w:t>
            </w:r>
            <w:r>
              <w:rPr>
                <w:rFonts w:ascii="宋体" w:hAnsi="宋体" w:cs="宋体"/>
                <w:sz w:val="22"/>
              </w:rPr>
              <w:t xml:space="preserve">）移动端小程序，向智慧黑板下发锁屏、解锁、文字提醒等指令。</w:t>
            </w:r>
            <w:r/>
          </w:p>
          <w:p>
            <w:pPr>
              <w:jc w:val="left"/>
            </w:pPr>
            <w:r>
              <w:rPr>
                <w:rFonts w:ascii="宋体" w:hAnsi="宋体" w:cs="宋体"/>
                <w:sz w:val="22"/>
              </w:rPr>
              <w:t xml:space="preserve">以上每成功演示一项得 2分，最多得10分。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auto"/>
                <w:sz w:val="22"/>
              </w:rPr>
              <w:t xml:space="preserve">10</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line="264" w:lineRule="auto"/>
              <w:rPr>
                <w:rFonts w:hint="eastAsia" w:ascii="宋体" w:hAnsi="宋体" w:eastAsia="宋体" w:cs="宋体"/>
                <w:color w:val="000000"/>
                <w:sz w:val="22"/>
                <w:lang w:val="en-US" w:eastAsia="zh-CN"/>
              </w:rPr>
            </w:pPr>
            <w:r>
              <w:rPr>
                <w:rFonts w:hint="eastAsia" w:ascii="宋体" w:hAnsi="宋体" w:cs="宋体"/>
                <w:color w:val="000000"/>
                <w:sz w:val="22"/>
              </w:rPr>
              <w:t xml:space="preserve">2.</w:t>
            </w:r>
            <w:r>
              <w:rPr>
                <w:rFonts w:hint="eastAsia" w:ascii="宋体" w:hAnsi="宋体" w:cs="宋体"/>
                <w:color w:val="000000"/>
                <w:sz w:val="22"/>
                <w:lang w:val="en-US" w:eastAsia="zh-CN"/>
              </w:rPr>
              <w:t xml:space="preserve">5</w:t>
            </w:r>
            <w:r/>
          </w:p>
        </w:tc>
        <w:tc>
          <w:tcPr>
            <w:tcW w:w="548" w:type="dxa"/>
            <w:vAlign w:val="center"/>
            <w:textDirection w:val="lrTb"/>
            <w:noWrap/>
          </w:tcPr>
          <w:p>
            <w:pPr>
              <w:jc w:val="left"/>
              <w:widowControl/>
              <w:rPr>
                <w:rFonts w:ascii="宋体" w:hAnsi="宋体" w:cs="宋体"/>
                <w:sz w:val="22"/>
              </w:rPr>
            </w:pPr>
            <w:r>
              <w:rPr>
                <w:rFonts w:hint="eastAsia" w:ascii="宋体" w:hAnsi="宋体" w:cs="宋体"/>
                <w:sz w:val="22"/>
              </w:rPr>
              <w:t xml:space="preserve">软件著作权证书</w:t>
            </w:r>
            <w:r/>
          </w:p>
        </w:tc>
        <w:tc>
          <w:tcPr>
            <w:tcW w:w="6961" w:type="dxa"/>
            <w:vAlign w:val="center"/>
            <w:textDirection w:val="lrTb"/>
            <w:noWrap/>
          </w:tcPr>
          <w:p>
            <w:pPr>
              <w:jc w:val="left"/>
              <w:spacing w:line="264" w:lineRule="auto"/>
              <w:rPr>
                <w:rFonts w:ascii="宋体" w:hAnsi="宋体" w:cs="宋体"/>
                <w:sz w:val="22"/>
                <w:highlight w:val="none"/>
              </w:rPr>
            </w:pPr>
            <w:r>
              <w:rPr>
                <w:rFonts w:hint="eastAsia" w:ascii="宋体" w:hAnsi="宋体" w:cs="宋体"/>
                <w:sz w:val="22"/>
                <w:highlight w:val="none"/>
              </w:rPr>
              <w:t xml:space="preserve">1.提供所投产品“</w:t>
            </w:r>
            <w:r>
              <w:rPr>
                <w:rFonts w:hint="eastAsia" w:ascii="宋体" w:hAnsi="宋体" w:cs="宋体"/>
                <w:b w:val="0"/>
                <w:bCs w:val="0"/>
                <w:color w:val="auto"/>
                <w:sz w:val="22"/>
                <w:lang w:val="en-US" w:eastAsia="zh-CN"/>
              </w:rPr>
              <w:t xml:space="preserve">智能交互黑板</w:t>
            </w:r>
            <w:r>
              <w:rPr>
                <w:rFonts w:hint="eastAsia" w:ascii="宋体" w:hAnsi="宋体" w:cs="宋体"/>
                <w:sz w:val="22"/>
                <w:highlight w:val="none"/>
              </w:rPr>
              <w:t xml:space="preserve">”（项目清单1）</w:t>
            </w:r>
            <w:r>
              <w:rPr>
                <w:rFonts w:hint="eastAsia" w:ascii="宋体" w:hAnsi="宋体" w:cs="宋体"/>
                <w:sz w:val="22"/>
                <w:highlight w:val="none"/>
                <w:lang w:eastAsia="zh-CN"/>
              </w:rPr>
              <w:t xml:space="preserve">内置的</w:t>
            </w:r>
            <w:r>
              <w:rPr>
                <w:rFonts w:hint="eastAsia" w:ascii="宋体" w:hAnsi="宋体" w:cs="宋体"/>
                <w:sz w:val="22"/>
                <w:highlight w:val="none"/>
              </w:rPr>
              <w:t xml:space="preserve">“课堂互动软件”具有“智能助教”或“协同互动”等相关关键字的《计算机软件著作权登记证书》的得1分，未提供不得分。</w:t>
            </w:r>
            <w:r>
              <w:rPr>
                <w:rFonts w:hint="eastAsia" w:ascii="宋体" w:hAnsi="宋体" w:cs="宋体"/>
                <w:b w:val="0"/>
                <w:bCs w:val="0"/>
                <w:sz w:val="22"/>
                <w:highlight w:val="none"/>
              </w:rPr>
              <w:t xml:space="preserve">上传证书扫描件至投标系统</w:t>
            </w:r>
            <w:r/>
          </w:p>
          <w:p>
            <w:pPr>
              <w:jc w:val="left"/>
              <w:spacing w:line="264" w:lineRule="auto"/>
              <w:rPr>
                <w:rFonts w:ascii="宋体" w:hAnsi="宋体" w:cs="宋体"/>
                <w:sz w:val="22"/>
                <w:highlight w:val="none"/>
              </w:rPr>
            </w:pPr>
            <w:r>
              <w:rPr>
                <w:rFonts w:hint="eastAsia" w:ascii="宋体" w:hAnsi="宋体" w:cs="宋体"/>
                <w:sz w:val="22"/>
                <w:highlight w:val="none"/>
              </w:rPr>
              <w:t xml:space="preserve">2.提供所投产品“</w:t>
            </w:r>
            <w:r>
              <w:rPr>
                <w:rFonts w:hint="eastAsia" w:ascii="宋体" w:hAnsi="宋体" w:cs="宋体"/>
                <w:b w:val="0"/>
                <w:bCs w:val="0"/>
                <w:color w:val="auto"/>
                <w:sz w:val="22"/>
                <w:lang w:val="en-US" w:eastAsia="zh-CN"/>
              </w:rPr>
              <w:t xml:space="preserve">智能交互黑板</w:t>
            </w:r>
            <w:r>
              <w:rPr>
                <w:rFonts w:hint="eastAsia" w:ascii="宋体" w:hAnsi="宋体" w:cs="宋体"/>
                <w:sz w:val="22"/>
                <w:highlight w:val="none"/>
              </w:rPr>
              <w:t xml:space="preserve">”（项目清单1）</w:t>
            </w:r>
            <w:r>
              <w:rPr>
                <w:rFonts w:hint="eastAsia" w:ascii="宋体" w:hAnsi="宋体" w:cs="宋体"/>
                <w:sz w:val="22"/>
                <w:highlight w:val="none"/>
                <w:lang w:eastAsia="zh-CN"/>
              </w:rPr>
              <w:t xml:space="preserve">内置的</w:t>
            </w:r>
            <w:r>
              <w:rPr>
                <w:rFonts w:hint="eastAsia" w:ascii="宋体" w:hAnsi="宋体" w:cs="宋体"/>
                <w:sz w:val="22"/>
                <w:highlight w:val="none"/>
              </w:rPr>
              <w:t xml:space="preserve">“教研管理软件”具有“智慧教研”或“研修平台”等相关关键字的《计算机软件著作权登记证书》的得1分，未提供不得分。</w:t>
            </w:r>
            <w:r>
              <w:rPr>
                <w:rFonts w:hint="eastAsia" w:ascii="宋体" w:hAnsi="宋体" w:cs="宋体"/>
                <w:b w:val="0"/>
                <w:bCs w:val="0"/>
                <w:sz w:val="22"/>
                <w:highlight w:val="none"/>
              </w:rPr>
              <w:t xml:space="preserve">上传证书扫描件至投标系统</w:t>
            </w:r>
            <w:r/>
          </w:p>
          <w:p>
            <w:pPr>
              <w:jc w:val="left"/>
              <w:spacing w:line="264" w:lineRule="auto"/>
              <w:rPr>
                <w:rFonts w:ascii="宋体" w:hAnsi="宋体" w:cs="宋体"/>
                <w:b w:val="0"/>
                <w:bCs w:val="0"/>
                <w:sz w:val="22"/>
                <w:highlight w:val="none"/>
              </w:rPr>
            </w:pPr>
            <w:r>
              <w:rPr>
                <w:rFonts w:ascii="宋体" w:hAnsi="宋体" w:cs="宋体"/>
                <w:sz w:val="22"/>
                <w:highlight w:val="none"/>
              </w:rPr>
              <w:t xml:space="preserve">3.提供所投产品“多媒体集控管理系统”（项目清单</w:t>
            </w:r>
            <w:r>
              <w:rPr>
                <w:rFonts w:hint="eastAsia" w:ascii="宋体" w:hAnsi="宋体" w:cs="宋体"/>
                <w:sz w:val="22"/>
                <w:highlight w:val="none"/>
              </w:rPr>
              <w:t xml:space="preserve">5</w:t>
            </w:r>
            <w:r>
              <w:rPr>
                <w:rFonts w:ascii="宋体" w:hAnsi="宋体" w:cs="宋体"/>
                <w:sz w:val="22"/>
                <w:highlight w:val="none"/>
              </w:rPr>
              <w:t xml:space="preserve">）具有“物联校园”或“集中管控”等相关关键字的《计算机软件著作权登记证书》的得1分，未提供不得分。</w:t>
            </w:r>
            <w:r>
              <w:rPr>
                <w:rFonts w:ascii="宋体" w:hAnsi="宋体" w:cs="宋体"/>
                <w:b w:val="0"/>
                <w:bCs w:val="0"/>
                <w:sz w:val="22"/>
                <w:highlight w:val="none"/>
              </w:rPr>
              <w:t xml:space="preserve">上传证书扫描件至投标系统</w:t>
            </w:r>
            <w:r/>
          </w:p>
          <w:p>
            <w:pPr>
              <w:jc w:val="left"/>
              <w:widowControl/>
              <w:rPr>
                <w:rFonts w:ascii="宋体" w:hAnsi="宋体" w:cs="宋体"/>
                <w:sz w:val="22"/>
                <w:highlight w:val="none"/>
              </w:rPr>
            </w:pPr>
            <w:r>
              <w:rPr>
                <w:rFonts w:ascii="宋体" w:hAnsi="宋体" w:cs="宋体"/>
                <w:sz w:val="22"/>
                <w:highlight w:val="none"/>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3</w:t>
            </w:r>
            <w:r/>
          </w:p>
        </w:tc>
        <w:tc>
          <w:tcPr>
            <w:tcW w:w="900" w:type="dxa"/>
            <w:vAlign w:val="center"/>
            <w:textDirection w:val="lrTb"/>
            <w:noWrap/>
          </w:tcPr>
          <w:p>
            <w:pPr>
              <w:jc w:val="center"/>
              <w:spacing w:line="264" w:lineRule="auto"/>
              <w:rPr>
                <w:rFonts w:ascii="宋体" w:hAnsi="宋体" w:cs="宋体"/>
                <w:color w:val="000000"/>
                <w:spacing w:val="-6"/>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before="68" w:line="264" w:lineRule="auto"/>
              <w:rPr>
                <w:rFonts w:hint="eastAsia" w:ascii="宋体" w:hAnsi="宋体" w:eastAsia="宋体" w:cs="宋体"/>
                <w:color w:val="000000"/>
                <w:spacing w:val="-2"/>
                <w:sz w:val="22"/>
                <w:lang w:val="en-US" w:eastAsia="zh-CN"/>
              </w:rPr>
            </w:pPr>
            <w:r>
              <w:rPr>
                <w:rFonts w:hint="eastAsia" w:ascii="宋体" w:hAnsi="宋体" w:cs="宋体"/>
                <w:color w:val="000000"/>
                <w:spacing w:val="-2"/>
                <w:sz w:val="22"/>
              </w:rPr>
              <w:t xml:space="preserve">2.</w:t>
            </w:r>
            <w:r>
              <w:rPr>
                <w:rFonts w:hint="eastAsia" w:ascii="宋体" w:hAnsi="宋体" w:cs="宋体"/>
                <w:color w:val="000000"/>
                <w:spacing w:val="-2"/>
                <w:sz w:val="22"/>
                <w:lang w:val="en-US" w:eastAsia="zh-CN"/>
              </w:rPr>
              <w:t xml:space="preserve">6</w:t>
            </w:r>
            <w:r/>
          </w:p>
        </w:tc>
        <w:tc>
          <w:tcPr>
            <w:tcW w:w="548" w:type="dxa"/>
            <w:vAlign w:val="center"/>
            <w:textDirection w:val="lrTb"/>
            <w:noWrap/>
          </w:tcPr>
          <w:p>
            <w:pPr>
              <w:jc w:val="center"/>
              <w:spacing w:before="69" w:line="264" w:lineRule="auto"/>
              <w:rPr>
                <w:rFonts w:ascii="宋体" w:hAnsi="宋体" w:cs="宋体"/>
                <w:color w:val="000000"/>
                <w:spacing w:val="-1"/>
                <w:sz w:val="22"/>
              </w:rPr>
            </w:pPr>
            <w:r>
              <w:rPr>
                <w:rFonts w:hint="eastAsia" w:ascii="宋体" w:hAnsi="宋体" w:cs="宋体"/>
                <w:color w:val="000000"/>
                <w:spacing w:val="-1"/>
                <w:sz w:val="22"/>
              </w:rPr>
              <w:t xml:space="preserve">软件安全认证</w:t>
            </w:r>
            <w:r/>
          </w:p>
        </w:tc>
        <w:tc>
          <w:tcPr>
            <w:tcW w:w="6961" w:type="dxa"/>
            <w:vAlign w:val="center"/>
            <w:textDirection w:val="lrTb"/>
            <w:noWrap/>
          </w:tcPr>
          <w:p>
            <w:pPr>
              <w:jc w:val="left"/>
              <w:spacing w:line="264" w:lineRule="auto"/>
              <w:rPr>
                <w:rFonts w:ascii="宋体" w:hAnsi="宋体" w:cs="宋体"/>
                <w:b w:val="0"/>
                <w:bCs w:val="0"/>
                <w:sz w:val="22"/>
                <w:highlight w:val="none"/>
              </w:rPr>
            </w:pPr>
            <w:r>
              <w:rPr>
                <w:rFonts w:hint="eastAsia" w:ascii="宋体" w:hAnsi="宋体" w:cs="宋体"/>
                <w:sz w:val="22"/>
                <w:highlight w:val="none"/>
              </w:rPr>
              <w:t xml:space="preserve">1.提供所投产品“</w:t>
            </w:r>
            <w:r>
              <w:rPr>
                <w:rFonts w:hint="eastAsia" w:ascii="宋体" w:hAnsi="宋体" w:cs="宋体"/>
                <w:b w:val="0"/>
                <w:bCs w:val="0"/>
                <w:color w:val="auto"/>
                <w:sz w:val="22"/>
                <w:lang w:val="en-US" w:eastAsia="zh-CN"/>
              </w:rPr>
              <w:t xml:space="preserve">智能交互黑板</w:t>
            </w:r>
            <w:r>
              <w:rPr>
                <w:rFonts w:hint="eastAsia" w:ascii="宋体" w:hAnsi="宋体" w:cs="宋体"/>
                <w:sz w:val="22"/>
                <w:highlight w:val="none"/>
              </w:rPr>
              <w:t xml:space="preserve">”（项目清单1）</w:t>
            </w:r>
            <w:r>
              <w:rPr>
                <w:rFonts w:hint="eastAsia" w:ascii="宋体" w:hAnsi="宋体" w:cs="宋体"/>
                <w:sz w:val="22"/>
                <w:highlight w:val="none"/>
                <w:lang w:eastAsia="zh-CN"/>
              </w:rPr>
              <w:t xml:space="preserve">内置的</w:t>
            </w:r>
            <w:r>
              <w:rPr>
                <w:rFonts w:hint="eastAsia" w:ascii="宋体" w:hAnsi="宋体" w:cs="宋体"/>
                <w:sz w:val="22"/>
                <w:highlight w:val="none"/>
              </w:rPr>
              <w:t xml:space="preserve">“课堂互动软件”符合《信息安全等级保护管理办法》的有关规定，具备三级以上信息系统安全等级保护备案证明。得1分。</w:t>
            </w:r>
            <w:r>
              <w:rPr>
                <w:rFonts w:hint="eastAsia" w:ascii="宋体" w:hAnsi="宋体" w:cs="宋体"/>
                <w:b w:val="0"/>
                <w:bCs w:val="0"/>
                <w:sz w:val="22"/>
                <w:highlight w:val="none"/>
              </w:rPr>
              <w:t xml:space="preserve">上传证书扫描件至投标系统</w:t>
            </w:r>
            <w:r/>
          </w:p>
          <w:p>
            <w:pPr>
              <w:jc w:val="left"/>
              <w:spacing w:line="264" w:lineRule="auto"/>
              <w:rPr>
                <w:rFonts w:ascii="宋体" w:hAnsi="宋体" w:cs="宋体"/>
                <w:sz w:val="22"/>
                <w:highlight w:val="none"/>
              </w:rPr>
            </w:pPr>
            <w:r>
              <w:rPr>
                <w:rFonts w:hint="eastAsia" w:ascii="宋体" w:hAnsi="宋体" w:cs="宋体"/>
                <w:sz w:val="22"/>
                <w:highlight w:val="none"/>
              </w:rPr>
              <w:t xml:space="preserve">2.提供所投产品“</w:t>
            </w:r>
            <w:r>
              <w:rPr>
                <w:rFonts w:hint="eastAsia" w:ascii="宋体" w:hAnsi="宋体" w:cs="宋体"/>
                <w:b w:val="0"/>
                <w:bCs w:val="0"/>
                <w:color w:val="auto"/>
                <w:sz w:val="22"/>
                <w:lang w:val="en-US" w:eastAsia="zh-CN"/>
              </w:rPr>
              <w:t xml:space="preserve">智能交互黑板</w:t>
            </w:r>
            <w:r>
              <w:rPr>
                <w:rFonts w:hint="eastAsia" w:ascii="宋体" w:hAnsi="宋体" w:cs="宋体"/>
                <w:sz w:val="22"/>
                <w:highlight w:val="none"/>
              </w:rPr>
              <w:t xml:space="preserve">”（项目清单1）</w:t>
            </w:r>
            <w:r>
              <w:rPr>
                <w:rFonts w:hint="eastAsia" w:ascii="宋体" w:hAnsi="宋体" w:cs="宋体"/>
                <w:sz w:val="22"/>
                <w:highlight w:val="none"/>
                <w:lang w:eastAsia="zh-CN"/>
              </w:rPr>
              <w:t xml:space="preserve">内置的</w:t>
            </w:r>
            <w:r>
              <w:rPr>
                <w:rFonts w:hint="eastAsia" w:ascii="宋体" w:hAnsi="宋体" w:cs="宋体"/>
                <w:sz w:val="22"/>
                <w:highlight w:val="none"/>
              </w:rPr>
              <w:t xml:space="preserve">“教研管理软件”符合《信息安全等级保护管理办法》</w:t>
            </w:r>
            <w:r>
              <w:rPr>
                <w:rFonts w:hint="eastAsia" w:ascii="宋体" w:hAnsi="宋体" w:cs="宋体"/>
                <w:b w:val="0"/>
                <w:bCs w:val="0"/>
                <w:sz w:val="22"/>
                <w:highlight w:val="none"/>
              </w:rPr>
              <w:t xml:space="preserve">的有关规定，具备三级以上信息系统安全等级保护备案证明。得1分。上传证书扫描件至投标系统</w:t>
            </w:r>
            <w:r/>
          </w:p>
          <w:p>
            <w:pPr>
              <w:spacing w:line="264" w:lineRule="auto"/>
              <w:rPr>
                <w:rFonts w:ascii="宋体" w:hAnsi="宋体" w:cs="宋体"/>
                <w:sz w:val="22"/>
                <w:highlight w:val="none"/>
              </w:rPr>
            </w:pPr>
            <w:r>
              <w:rPr>
                <w:rFonts w:hint="eastAsia" w:ascii="宋体" w:hAnsi="宋体" w:cs="宋体"/>
                <w:sz w:val="22"/>
                <w:highlight w:val="none"/>
              </w:rPr>
              <w:t xml:space="preserve">3.</w:t>
            </w:r>
            <w:r>
              <w:rPr>
                <w:rFonts w:ascii="宋体" w:hAnsi="宋体" w:cs="宋体"/>
                <w:sz w:val="22"/>
                <w:highlight w:val="none"/>
              </w:rPr>
              <w:t xml:space="preserve">提供所投产品“多媒体集控管理系统”（项目清单</w:t>
            </w:r>
            <w:r>
              <w:rPr>
                <w:rFonts w:hint="eastAsia" w:ascii="宋体" w:hAnsi="宋体" w:cs="宋体"/>
                <w:sz w:val="22"/>
                <w:highlight w:val="none"/>
              </w:rPr>
              <w:t xml:space="preserve">5</w:t>
            </w:r>
            <w:r>
              <w:rPr>
                <w:rFonts w:ascii="宋体" w:hAnsi="宋体" w:cs="宋体"/>
                <w:sz w:val="22"/>
                <w:highlight w:val="none"/>
              </w:rPr>
              <w:t xml:space="preserve">）符合《信息安全等级保护管理办法》的有关规定，具备三级以上信息系统安全等级保护备案证明。得1分。</w:t>
            </w:r>
            <w:r>
              <w:rPr>
                <w:rFonts w:ascii="宋体" w:hAnsi="宋体" w:cs="宋体"/>
                <w:b w:val="0"/>
                <w:bCs w:val="0"/>
                <w:sz w:val="22"/>
                <w:highlight w:val="none"/>
              </w:rPr>
              <w:t xml:space="preserve">上传证书扫描件至投标系统</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3</w:t>
            </w:r>
            <w:r/>
          </w:p>
        </w:tc>
        <w:tc>
          <w:tcPr>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客观分</w:t>
            </w:r>
            <w:r/>
          </w:p>
        </w:tc>
      </w:tr>
      <w:tr>
        <w:trPr>
          <w:jc w:val="center"/>
          <w:trHeight w:val="90"/>
        </w:trPr>
        <w:tc>
          <w:tcPr>
            <w:shd w:val="clear" w:color="auto" w:fill="auto"/>
            <w:tcW w:w="519" w:type="dxa"/>
            <w:vAlign w:val="center"/>
            <w:textDirection w:val="lrTb"/>
            <w:noWrap/>
          </w:tcPr>
          <w:p>
            <w:pPr>
              <w:jc w:val="center"/>
              <w:spacing w:before="68" w:line="264" w:lineRule="auto"/>
              <w:rPr>
                <w:rFonts w:hint="eastAsia" w:ascii="宋体" w:hAnsi="宋体" w:eastAsia="宋体" w:cs="宋体"/>
                <w:color w:val="000000"/>
                <w:spacing w:val="-2"/>
                <w:sz w:val="22"/>
                <w:lang w:val="en-US" w:eastAsia="zh-CN"/>
              </w:rPr>
            </w:pPr>
            <w:r>
              <w:rPr>
                <w:rFonts w:hint="eastAsia" w:ascii="宋体" w:hAnsi="宋体" w:cs="宋体"/>
                <w:color w:val="000000"/>
                <w:spacing w:val="-2"/>
                <w:sz w:val="22"/>
              </w:rPr>
              <w:t xml:space="preserve">2.</w:t>
            </w:r>
            <w:r>
              <w:rPr>
                <w:rFonts w:hint="eastAsia" w:ascii="宋体" w:hAnsi="宋体" w:cs="宋体"/>
                <w:color w:val="000000"/>
                <w:spacing w:val="-2"/>
                <w:sz w:val="22"/>
                <w:lang w:val="en-US" w:eastAsia="zh-CN"/>
              </w:rPr>
              <w:t xml:space="preserve">7</w:t>
            </w:r>
            <w:r/>
          </w:p>
        </w:tc>
        <w:tc>
          <w:tcPr>
            <w:shd w:val="clear" w:color="auto" w:fill="auto"/>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lang w:val="zh-CN"/>
              </w:rPr>
              <w:t xml:space="preserve">设计</w:t>
            </w:r>
            <w:r>
              <w:rPr>
                <w:rFonts w:hint="eastAsia" w:ascii="宋体" w:hAnsi="宋体" w:cs="宋体"/>
                <w:color w:val="000000"/>
                <w:sz w:val="22"/>
              </w:rPr>
              <w:t xml:space="preserve">方案及图纸</w:t>
            </w:r>
            <w:r/>
          </w:p>
        </w:tc>
        <w:tc>
          <w:tcPr>
            <w:shd w:val="clear" w:color="auto" w:fill="auto"/>
            <w:tcW w:w="6961" w:type="dxa"/>
            <w:vAlign w:val="center"/>
            <w:textDirection w:val="lrTb"/>
            <w:noWrap/>
          </w:tcPr>
          <w:p>
            <w:pPr>
              <w:jc w:val="left"/>
              <w:widowControl/>
              <w:rPr>
                <w:rFonts w:ascii="宋体" w:hAnsi="宋体" w:cs="宋体"/>
                <w:sz w:val="22"/>
              </w:rPr>
            </w:pPr>
            <w:r>
              <w:rPr>
                <w:rFonts w:hint="eastAsia" w:ascii="宋体" w:hAnsi="宋体" w:cs="宋体"/>
                <w:sz w:val="22"/>
                <w:lang w:val="zh-CN"/>
              </w:rPr>
              <w:t xml:space="preserve">根据</w:t>
            </w:r>
            <w:r>
              <w:rPr>
                <w:rFonts w:hint="eastAsia" w:ascii="宋体" w:hAnsi="宋体" w:cs="宋体"/>
                <w:sz w:val="22"/>
              </w:rPr>
              <w:t xml:space="preserve">南京市临江高级中学</w:t>
            </w:r>
            <w:r>
              <w:rPr>
                <w:rFonts w:hint="eastAsia" w:ascii="宋体" w:hAnsi="宋体" w:cs="宋体"/>
                <w:sz w:val="22"/>
                <w:lang w:val="zh-CN"/>
              </w:rPr>
              <w:t xml:space="preserve">现场勘察情况，提供</w:t>
            </w:r>
            <w:r>
              <w:rPr>
                <w:rFonts w:hint="eastAsia" w:ascii="宋体" w:hAnsi="宋体" w:cs="宋体"/>
                <w:sz w:val="22"/>
              </w:rPr>
              <w:t xml:space="preserve">临江高级中学教学楼高二1班教室</w:t>
            </w:r>
            <w:r>
              <w:rPr>
                <w:rFonts w:hint="eastAsia" w:ascii="宋体" w:hAnsi="宋体" w:cs="宋体"/>
                <w:sz w:val="22"/>
                <w:lang w:val="zh-CN"/>
              </w:rPr>
              <w:t xml:space="preserve">设计</w:t>
            </w:r>
            <w:r>
              <w:rPr>
                <w:rFonts w:hint="eastAsia" w:ascii="宋体" w:hAnsi="宋体" w:cs="宋体"/>
                <w:sz w:val="22"/>
              </w:rPr>
              <w:t xml:space="preserve">方案及设计图纸</w:t>
            </w:r>
            <w:r>
              <w:rPr>
                <w:rFonts w:hint="eastAsia" w:ascii="宋体" w:hAnsi="宋体" w:cs="宋体"/>
                <w:sz w:val="22"/>
                <w:lang w:val="zh-CN"/>
              </w:rPr>
              <w:t xml:space="preserve">，</w:t>
            </w:r>
            <w:r>
              <w:rPr>
                <w:rFonts w:hint="eastAsia" w:ascii="宋体" w:hAnsi="宋体" w:cs="宋体"/>
                <w:sz w:val="22"/>
              </w:rPr>
              <w:t xml:space="preserve">内容包含：1.设备更新设计方案；2.线路图；3.效果图。</w:t>
            </w:r>
            <w:r/>
          </w:p>
          <w:p>
            <w:pPr>
              <w:jc w:val="left"/>
              <w:widowControl/>
              <w:rPr>
                <w:rFonts w:ascii="宋体" w:hAnsi="宋体" w:cs="宋体"/>
                <w:sz w:val="22"/>
              </w:rPr>
            </w:pPr>
            <w:r>
              <w:rPr>
                <w:rFonts w:hint="eastAsia" w:ascii="宋体" w:hAnsi="宋体" w:cs="宋体"/>
                <w:sz w:val="22"/>
              </w:rPr>
              <w:t xml:space="preserve">设计方案及设计</w:t>
            </w:r>
            <w:r>
              <w:rPr>
                <w:rFonts w:hint="eastAsia" w:ascii="宋体" w:hAnsi="宋体" w:cs="宋体"/>
                <w:sz w:val="22"/>
                <w:lang w:val="zh-CN"/>
              </w:rPr>
              <w:t xml:space="preserve">图纸</w:t>
            </w:r>
            <w:r>
              <w:rPr>
                <w:rFonts w:hint="eastAsia" w:ascii="宋体" w:hAnsi="宋体" w:cs="宋体"/>
                <w:sz w:val="22"/>
              </w:rPr>
              <w:t xml:space="preserve">内设备</w:t>
            </w:r>
            <w:r>
              <w:rPr>
                <w:rFonts w:hint="eastAsia" w:ascii="宋体" w:hAnsi="宋体" w:cs="宋体"/>
                <w:sz w:val="22"/>
                <w:lang w:val="zh-CN"/>
              </w:rPr>
              <w:t xml:space="preserve">应包括</w:t>
            </w:r>
            <w:r>
              <w:rPr>
                <w:rFonts w:hint="eastAsia" w:ascii="宋体" w:hAnsi="宋体" w:cs="宋体"/>
                <w:sz w:val="22"/>
              </w:rPr>
              <w:t xml:space="preserve">智慧黑板(项目清单3）1套、ops终端(项目清单4）1套、视频展台(项目清单6）1套、教室后墙黑板（项目清单7）1套、多媒体讲台（一）（项目清单8）1台、多媒体教学音箱(项目清单11）1套。</w:t>
            </w:r>
            <w:r/>
          </w:p>
          <w:p>
            <w:pPr>
              <w:jc w:val="left"/>
              <w:widowControl/>
              <w:rPr>
                <w:rFonts w:ascii="宋体" w:hAnsi="宋体" w:cs="宋体"/>
                <w:sz w:val="22"/>
                <w:lang w:val="zh-CN"/>
              </w:rPr>
            </w:pPr>
            <w:r>
              <w:rPr>
                <w:rFonts w:hint="eastAsia" w:ascii="宋体" w:hAnsi="宋体" w:cs="宋体"/>
                <w:sz w:val="22"/>
              </w:rPr>
              <w:t xml:space="preserve">以上每项内容逐项评分：</w:t>
            </w:r>
            <w:r/>
          </w:p>
          <w:p>
            <w:r>
              <w:t xml:space="preserve">方案内容</w:t>
            </w:r>
            <w:r>
              <w:rPr>
                <w:rFonts w:hint="eastAsia"/>
                <w:szCs w:val="21"/>
              </w:rPr>
              <w:t xml:space="preserve">全面，且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rFonts w:ascii="宋体" w:hAnsi="宋体" w:cs="宋体"/>
                <w:color w:val="000000"/>
                <w:sz w:val="22"/>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shd w:val="clear" w:color="auto" w:fill="auto"/>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shd w:val="clear" w:color="auto" w:fill="auto"/>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主</w:t>
            </w:r>
            <w:r>
              <w:rPr>
                <w:rFonts w:hint="eastAsia" w:ascii="宋体" w:hAnsi="宋体" w:cs="宋体"/>
                <w:color w:val="000000"/>
                <w:spacing w:val="-4"/>
                <w:sz w:val="22"/>
              </w:rPr>
              <w:t xml:space="preserve">观分</w:t>
            </w:r>
            <w:r/>
          </w:p>
        </w:tc>
      </w:tr>
      <w:tr>
        <w:trPr>
          <w:jc w:val="center"/>
          <w:trHeight w:val="472"/>
        </w:trPr>
        <w:tc>
          <w:tcPr>
            <w:gridSpan w:val="5"/>
            <w:tcW w:w="9575" w:type="dxa"/>
            <w:vAlign w:val="center"/>
            <w:textDirection w:val="lrTb"/>
            <w:noWrap/>
          </w:tcPr>
          <w:p>
            <w:pPr>
              <w:spacing w:before="68" w:line="264" w:lineRule="auto"/>
              <w:rPr>
                <w:rFonts w:ascii="宋体" w:hAnsi="宋体" w:cs="宋体"/>
                <w:color w:val="000000"/>
                <w:sz w:val="22"/>
              </w:rPr>
            </w:pPr>
            <w:r>
              <w:rPr>
                <w:rFonts w:hint="eastAsia" w:ascii="宋体" w:hAnsi="宋体" w:cs="宋体"/>
                <w:b/>
                <w:bCs/>
                <w:color w:val="000000"/>
                <w:spacing w:val="-3"/>
                <w:sz w:val="22"/>
              </w:rPr>
              <w:t xml:space="preserve">3.服务</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3.1</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项目实施方案</w:t>
            </w:r>
            <w:r/>
          </w:p>
        </w:tc>
        <w:tc>
          <w:tcPr>
            <w:tcW w:w="6961" w:type="dxa"/>
            <w:vAlign w:val="center"/>
            <w:textDirection w:val="lrTb"/>
            <w:noWrap/>
          </w:tcPr>
          <w:p>
            <w:pPr>
              <w:spacing w:line="264" w:lineRule="auto"/>
              <w:rPr>
                <w:szCs w:val="21"/>
              </w:rPr>
            </w:pPr>
            <w:r>
              <w:rPr>
                <w:rFonts w:hint="eastAsia"/>
                <w:szCs w:val="21"/>
              </w:rPr>
              <w:t xml:space="preserve">根据本项目采购需求中“实施要求”编制方案，内容包含：1.供货进度保证措施；2.质量保证措施；3.协调配合措施；4.应急措施等内容。</w:t>
            </w:r>
            <w:r/>
          </w:p>
          <w:p>
            <w:pPr>
              <w:spacing w:line="264" w:lineRule="auto"/>
              <w:rPr>
                <w:szCs w:val="21"/>
              </w:rPr>
            </w:pPr>
            <w:r>
              <w:rPr>
                <w:rFonts w:hint="eastAsia"/>
                <w:szCs w:val="21"/>
              </w:rPr>
              <w:t xml:space="preserve">以上每项内容逐项评分：</w:t>
            </w:r>
            <w:r/>
          </w:p>
          <w:p>
            <w:pPr>
              <w:spacing w:line="264" w:lineRule="auto"/>
              <w:rPr>
                <w:szCs w:val="21"/>
              </w:rPr>
            </w:pPr>
            <w:r>
              <w:rPr>
                <w:rFonts w:hint="eastAsia"/>
                <w:szCs w:val="21"/>
              </w:rPr>
              <w:t xml:space="preserve">方案内容</w:t>
            </w:r>
            <w:r>
              <w:rPr>
                <w:rFonts w:hint="eastAsia"/>
                <w:szCs w:val="21"/>
                <w:lang w:val="zh-CN"/>
              </w:rPr>
              <w:t xml:space="preserve">全面、可操作性强</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2"/>
                <w:lang w:bidi="zh-CN"/>
              </w:rPr>
            </w:pPr>
            <w:r>
              <w:rPr>
                <w:rFonts w:hint="eastAsia"/>
                <w:szCs w:val="21"/>
              </w:rPr>
              <w:t xml:space="preserve">上述每项内容符合得1.5分；部分符合得1分；不符合或不提供不得分。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3.2</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售后服务方案</w:t>
            </w:r>
            <w:r/>
          </w:p>
        </w:tc>
        <w:tc>
          <w:tcPr>
            <w:tcW w:w="6961" w:type="dxa"/>
            <w:vAlign w:val="center"/>
            <w:textDirection w:val="lrTb"/>
            <w:noWrap/>
          </w:tcPr>
          <w:p>
            <w:pPr>
              <w:spacing w:line="264" w:lineRule="auto"/>
              <w:rPr>
                <w:szCs w:val="21"/>
              </w:rPr>
            </w:pPr>
            <w:r>
              <w:rPr>
                <w:rFonts w:hint="eastAsia"/>
                <w:szCs w:val="21"/>
              </w:rPr>
              <w:t xml:space="preserve">根据本项目采购需求中“质保（维保）及售后要求”编制方案，内容包含：1.服务体系；2.故障解决方案；3.服务内容；4.技术人员保障和服务电话。</w:t>
            </w:r>
            <w:r/>
          </w:p>
          <w:p>
            <w:pPr>
              <w:spacing w:line="264" w:lineRule="auto"/>
              <w:rPr>
                <w:szCs w:val="21"/>
              </w:rPr>
            </w:pPr>
            <w:r>
              <w:rPr>
                <w:rFonts w:hint="eastAsia"/>
                <w:szCs w:val="21"/>
              </w:rPr>
              <w:t xml:space="preserve">以上每项内容逐项评分：</w:t>
            </w:r>
            <w:r/>
          </w:p>
          <w:p>
            <w:pPr>
              <w:spacing w:line="264" w:lineRule="auto"/>
              <w:rPr>
                <w:szCs w:val="21"/>
              </w:rPr>
            </w:pPr>
            <w:r>
              <w:rPr>
                <w:rFonts w:hint="eastAsia"/>
                <w:szCs w:val="21"/>
              </w:rPr>
              <w:t xml:space="preserve">方案内容</w:t>
            </w:r>
            <w:r>
              <w:rPr>
                <w:rFonts w:hint="eastAsia"/>
                <w:szCs w:val="21"/>
                <w:lang w:val="zh-CN"/>
              </w:rPr>
              <w:t xml:space="preserve">全面、可操作性强</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2"/>
                <w:lang w:bidi="zh-CN"/>
              </w:rPr>
            </w:pPr>
            <w:r>
              <w:rPr>
                <w:rFonts w:hint="eastAsia"/>
                <w:szCs w:val="21"/>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3.3</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培训方案</w:t>
            </w:r>
            <w:r/>
          </w:p>
        </w:tc>
        <w:tc>
          <w:tcPr>
            <w:tcW w:w="6961" w:type="dxa"/>
            <w:vAlign w:val="center"/>
            <w:textDirection w:val="lrTb"/>
            <w:noWrap/>
          </w:tcPr>
          <w:p>
            <w:pPr>
              <w:jc w:val="left"/>
              <w:spacing w:line="264" w:lineRule="auto"/>
              <w:rPr>
                <w:rFonts w:hint="eastAsia" w:ascii="宋体" w:hAnsi="宋体" w:cs="宋体"/>
                <w:color w:val="000000"/>
                <w:sz w:val="22"/>
              </w:rPr>
            </w:pPr>
            <w:r>
              <w:rPr>
                <w:rFonts w:hint="eastAsia"/>
                <w:szCs w:val="21"/>
              </w:rPr>
              <w:t xml:space="preserve">根据本项目采购需求</w:t>
            </w:r>
            <w:r>
              <w:rPr>
                <w:rFonts w:hint="eastAsia"/>
                <w:szCs w:val="21"/>
                <w:lang w:eastAsia="zh-CN"/>
              </w:rPr>
              <w:t xml:space="preserve">中</w:t>
            </w:r>
            <w:r>
              <w:rPr>
                <w:rFonts w:hint="eastAsia"/>
                <w:szCs w:val="21"/>
              </w:rPr>
              <w:t xml:space="preserve">“</w:t>
            </w:r>
            <w:r>
              <w:rPr>
                <w:rFonts w:hint="eastAsia"/>
                <w:szCs w:val="21"/>
                <w:lang w:eastAsia="zh-CN"/>
              </w:rPr>
              <w:t xml:space="preserve">培训</w:t>
            </w:r>
            <w:r>
              <w:rPr>
                <w:rFonts w:hint="eastAsia"/>
                <w:szCs w:val="21"/>
              </w:rPr>
              <w:t xml:space="preserve">要求”编制方案，内容包含：</w:t>
            </w:r>
            <w:r>
              <w:rPr>
                <w:rFonts w:hint="eastAsia" w:ascii="宋体" w:hAnsi="宋体" w:cs="宋体"/>
                <w:color w:val="000000"/>
                <w:sz w:val="22"/>
              </w:rPr>
              <w:t xml:space="preserve">1.培训教材；2.培训平台；3.培训内容安排；4.培训管理系统；5.培训师资。</w:t>
            </w:r>
            <w:r/>
          </w:p>
          <w:p>
            <w:pPr>
              <w:jc w:val="left"/>
              <w:spacing w:line="264" w:lineRule="auto"/>
              <w:rPr>
                <w:rFonts w:hint="eastAsia" w:ascii="宋体" w:hAnsi="宋体" w:cs="宋体"/>
                <w:color w:val="000000"/>
                <w:sz w:val="22"/>
                <w:lang w:val="en-US" w:eastAsia="zh-CN"/>
              </w:rPr>
            </w:pPr>
            <w:r>
              <w:rPr>
                <w:rFonts w:hint="eastAsia" w:ascii="宋体" w:hAnsi="宋体" w:cs="宋体"/>
                <w:color w:val="000000"/>
                <w:sz w:val="22"/>
                <w:lang w:val="en-US" w:eastAsia="zh-CN"/>
              </w:rPr>
              <w:t xml:space="preserve">以上每项内容逐项评分：</w:t>
            </w:r>
            <w:r/>
          </w:p>
          <w:p>
            <w:pPr>
              <w:jc w:val="left"/>
              <w:spacing w:line="264" w:lineRule="auto"/>
              <w:rPr>
                <w:rFonts w:hint="eastAsia" w:ascii="宋体" w:hAnsi="宋体" w:cs="宋体"/>
                <w:color w:val="000000"/>
                <w:sz w:val="22"/>
                <w:lang w:val="en-US" w:eastAsia="zh-CN"/>
              </w:rPr>
            </w:pPr>
            <w:r>
              <w:rPr>
                <w:rFonts w:hint="eastAsia" w:ascii="宋体" w:hAnsi="宋体" w:cs="宋体"/>
                <w:color w:val="000000"/>
                <w:sz w:val="22"/>
                <w:lang w:val="en-US" w:eastAsia="zh-CN"/>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000000"/>
                <w:sz w:val="22"/>
              </w:rPr>
            </w:pPr>
            <w:r>
              <w:rPr>
                <w:rFonts w:hint="eastAsia"/>
                <w:szCs w:val="21"/>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5</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455"/>
        </w:trPr>
        <w:tc>
          <w:tcPr>
            <w:gridSpan w:val="5"/>
            <w:tcW w:w="9575" w:type="dxa"/>
            <w:vAlign w:val="center"/>
            <w:textDirection w:val="lrTb"/>
            <w:noWrap/>
          </w:tcPr>
          <w:p>
            <w:pPr>
              <w:spacing w:line="264" w:lineRule="auto"/>
              <w:rPr>
                <w:rFonts w:ascii="宋体" w:hAnsi="宋体" w:cs="宋体"/>
                <w:color w:val="000000"/>
                <w:sz w:val="22"/>
              </w:rPr>
            </w:pPr>
            <w:r>
              <w:rPr>
                <w:rFonts w:hint="eastAsia" w:ascii="宋体" w:hAnsi="宋体" w:cs="宋体"/>
                <w:b/>
                <w:bCs/>
                <w:color w:val="000000"/>
                <w:spacing w:val="-3"/>
                <w:sz w:val="22"/>
              </w:rPr>
              <w:t xml:space="preserve">4.业绩</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4.1</w:t>
            </w:r>
            <w:r/>
          </w:p>
        </w:tc>
        <w:tc>
          <w:tcPr>
            <w:tcW w:w="548" w:type="dxa"/>
            <w:vAlign w:val="center"/>
            <w:textDirection w:val="lrTb"/>
            <w:noWrap/>
          </w:tcPr>
          <w:p>
            <w:pPr>
              <w:jc w:val="center"/>
              <w:spacing w:before="69" w:line="264" w:lineRule="auto"/>
              <w:rPr>
                <w:rFonts w:ascii="宋体" w:hAnsi="宋体" w:cs="宋体"/>
                <w:color w:val="000000"/>
                <w:spacing w:val="-2"/>
                <w:sz w:val="22"/>
              </w:rPr>
            </w:pPr>
            <w:r>
              <w:rPr>
                <w:rFonts w:hint="eastAsia" w:ascii="宋体" w:hAnsi="宋体" w:cs="宋体"/>
                <w:color w:val="000000"/>
                <w:spacing w:val="-1"/>
                <w:sz w:val="22"/>
              </w:rPr>
              <w:t xml:space="preserve">投标人业绩</w:t>
            </w:r>
            <w:r/>
          </w:p>
        </w:tc>
        <w:tc>
          <w:tcPr>
            <w:tcW w:w="6961" w:type="dxa"/>
            <w:vAlign w:val="center"/>
            <w:textDirection w:val="lrTb"/>
            <w:noWrap/>
          </w:tcPr>
          <w:p>
            <w:pPr>
              <w:spacing w:line="264" w:lineRule="auto"/>
              <w:rPr>
                <w:rFonts w:ascii="宋体" w:hAnsi="宋体" w:cs="宋体"/>
                <w:color w:val="000000"/>
                <w:sz w:val="22"/>
              </w:rPr>
            </w:pPr>
            <w:r>
              <w:rPr>
                <w:rFonts w:hint="eastAsia"/>
                <w:szCs w:val="21"/>
              </w:rPr>
              <w:t xml:space="preserve">投标人提供2021年1月1日（以签订合同为准）以来类似项目业绩（至少包含多媒体设备），每提供1个得1分，最多得3分。(须同时提供合同及发票，合同及发票页须清晰可见相应内容，缺项不得分）。</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3</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gridSpan w:val="5"/>
            <w:tcW w:w="9575" w:type="dxa"/>
            <w:vAlign w:val="center"/>
            <w:textDirection w:val="lrTb"/>
            <w:noWrap/>
          </w:tcPr>
          <w:p>
            <w:pPr>
              <w:jc w:val="left"/>
              <w:spacing w:before="68" w:line="264" w:lineRule="auto"/>
              <w:rPr>
                <w:rFonts w:ascii="宋体" w:hAnsi="宋体" w:cs="宋体"/>
                <w:color w:val="000000"/>
                <w:spacing w:val="-6"/>
                <w:sz w:val="22"/>
              </w:rPr>
            </w:pPr>
            <w:r>
              <w:rPr>
                <w:rFonts w:hint="eastAsia" w:cs="宋体" w:asciiTheme="minorEastAsia" w:hAnsiTheme="minorEastAsia" w:eastAsiaTheme="minorEastAsia"/>
                <w:b/>
                <w:bCs/>
                <w:color w:val="000000"/>
                <w:spacing w:val="-3"/>
                <w:szCs w:val="21"/>
              </w:rPr>
              <w:t xml:space="preserve">5.节能环保</w:t>
            </w:r>
            <w:r/>
          </w:p>
        </w:tc>
      </w:tr>
      <w:tr>
        <w:trPr>
          <w:jc w:val="center"/>
          <w:trHeight w:val="90"/>
        </w:trPr>
        <w:tc>
          <w:tcPr>
            <w:tcW w:w="519" w:type="dxa"/>
            <w:vAlign w:val="center"/>
            <w:textDirection w:val="lrTb"/>
            <w:noWrap/>
          </w:tcPr>
          <w:p>
            <w:pPr>
              <w:jc w:val="center"/>
              <w:spacing w:before="68"/>
              <w:rPr>
                <w:rFonts w:cs="宋体" w:asciiTheme="minorEastAsia" w:hAnsiTheme="minorEastAsia" w:eastAsiaTheme="minorEastAsia"/>
                <w:color w:val="000000"/>
                <w:spacing w:val="-2"/>
                <w:szCs w:val="21"/>
              </w:rPr>
            </w:pPr>
            <w:r>
              <w:rPr>
                <w:rFonts w:hint="eastAsia" w:cs="宋体" w:asciiTheme="minorEastAsia" w:hAnsiTheme="minorEastAsia" w:eastAsiaTheme="minorEastAsia"/>
                <w:color w:val="000000"/>
                <w:spacing w:val="-2"/>
                <w:szCs w:val="21"/>
              </w:rPr>
              <w:t xml:space="preserve">5</w:t>
            </w:r>
            <w:r>
              <w:rPr>
                <w:rFonts w:cs="宋体" w:asciiTheme="minorEastAsia" w:hAnsiTheme="minorEastAsia" w:eastAsiaTheme="minorEastAsia"/>
                <w:color w:val="000000"/>
                <w:spacing w:val="-2"/>
                <w:szCs w:val="21"/>
              </w:rPr>
              <w:t xml:space="preserve">.1</w:t>
            </w:r>
            <w:r/>
          </w:p>
        </w:tc>
        <w:tc>
          <w:tcPr>
            <w:tcW w:w="548" w:type="dxa"/>
            <w:vAlign w:val="center"/>
            <w:textDirection w:val="lrTb"/>
            <w:noWrap/>
          </w:tcPr>
          <w:p>
            <w:pPr>
              <w:jc w:val="center"/>
              <w:spacing w:before="69"/>
              <w:rPr>
                <w:rFonts w:cs="宋体" w:asciiTheme="minorEastAsia" w:hAnsiTheme="minorEastAsia" w:eastAsiaTheme="minorEastAsia"/>
                <w:color w:val="000000"/>
                <w:spacing w:val="-1"/>
                <w:szCs w:val="21"/>
              </w:rPr>
            </w:pPr>
            <w:r>
              <w:rPr>
                <w:rFonts w:hint="eastAsia" w:cs="宋体" w:asciiTheme="minorEastAsia" w:hAnsiTheme="minorEastAsia" w:eastAsiaTheme="minorEastAsia"/>
                <w:color w:val="000000"/>
                <w:spacing w:val="-1"/>
                <w:szCs w:val="21"/>
              </w:rPr>
              <w:t xml:space="preserve">节能</w:t>
            </w:r>
            <w:r/>
          </w:p>
          <w:p>
            <w:pPr>
              <w:jc w:val="center"/>
              <w:spacing w:before="69"/>
              <w:rPr>
                <w:rFonts w:cs="宋体" w:asciiTheme="minorEastAsia" w:hAnsiTheme="minorEastAsia" w:eastAsiaTheme="minorEastAsia"/>
                <w:color w:val="000000"/>
                <w:spacing w:val="-1"/>
                <w:szCs w:val="21"/>
              </w:rPr>
            </w:pPr>
            <w:r>
              <w:rPr>
                <w:rFonts w:hint="eastAsia" w:cs="宋体" w:asciiTheme="minorEastAsia" w:hAnsiTheme="minorEastAsia" w:eastAsiaTheme="minorEastAsia"/>
                <w:color w:val="000000"/>
                <w:spacing w:val="-1"/>
                <w:szCs w:val="21"/>
              </w:rPr>
              <w:t xml:space="preserve">环保</w:t>
            </w:r>
            <w:r/>
          </w:p>
        </w:tc>
        <w:tc>
          <w:tcPr>
            <w:tcW w:w="6961" w:type="dxa"/>
            <w:vAlign w:val="center"/>
            <w:textDirection w:val="lrTb"/>
            <w:noWrap/>
          </w:tcPr>
          <w:p>
            <w:pPr>
              <w:rPr>
                <w:szCs w:val="21"/>
              </w:rPr>
            </w:pPr>
            <w:r>
              <w:rPr>
                <w:rFonts w:hint="eastAsia" w:ascii="宋体" w:hAnsi="宋体" w:cs="宋体"/>
                <w:color w:val="000000"/>
                <w:szCs w:val="21"/>
              </w:rPr>
              <w:t xml:space="preserve">1</w:t>
            </w:r>
            <w:r>
              <w:rPr>
                <w:rFonts w:hint="eastAsia"/>
                <w:szCs w:val="21"/>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rPr>
                <w:rFonts w:cs="宋体" w:asciiTheme="minorEastAsia" w:hAnsiTheme="minorEastAsia" w:eastAsiaTheme="minorEastAsia"/>
                <w:color w:val="000000"/>
                <w:szCs w:val="21"/>
              </w:rPr>
            </w:pPr>
            <w:r>
              <w:rPr>
                <w:rFonts w:hint="eastAsia"/>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w:t>
            </w:r>
            <w:r/>
          </w:p>
        </w:tc>
        <w:tc>
          <w:tcPr>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464"/>
        </w:trPr>
        <w:tc>
          <w:tcPr>
            <w:tcW w:w="519"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3"/>
                <w:sz w:val="22"/>
              </w:rPr>
              <w:t xml:space="preserve">合</w:t>
            </w:r>
            <w:r>
              <w:rPr>
                <w:rFonts w:hint="eastAsia" w:ascii="宋体" w:hAnsi="宋体" w:cs="宋体"/>
                <w:color w:val="000000"/>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000000"/>
                <w:spacing w:val="-2"/>
                <w:sz w:val="22"/>
              </w:rPr>
            </w:pPr>
            <w:r>
              <w:rPr>
                <w:rFonts w:ascii="宋体" w:hAnsi="宋体" w:cs="宋体"/>
                <w:color w:val="000000"/>
                <w:spacing w:val="-2"/>
                <w:sz w:val="22"/>
              </w:rPr>
            </w:r>
            <w:r/>
          </w:p>
        </w:tc>
        <w:tc>
          <w:tcPr>
            <w:gridSpan w:val="2"/>
            <w:tcW w:w="15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11"/>
                <w:sz w:val="22"/>
              </w:rPr>
              <w:t xml:space="preserve">100分</w:t>
            </w:r>
            <w:r/>
          </w:p>
        </w:tc>
      </w:tr>
    </w:tbl>
    <w:p>
      <w:pPr>
        <w:pStyle w:val="704"/>
        <w:ind w:firstLine="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bookmarkEnd w:id="55"/>
      <w:bookmarkEnd w:id="56"/>
      <w:bookmarkEnd w:id="58"/>
      <w:bookmarkEnd w:id="59"/>
      <w:bookmarkEnd w:id="60"/>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120614282"/>
      <w:r/>
      <w:bookmarkStart w:id="65" w:name="_Toc49090576"/>
      <w:r/>
      <w:bookmarkStart w:id="66"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default"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bookmarkEnd w:id="64"/>
      <w:bookmarkEnd w:id="65"/>
      <w:bookmarkEnd w:id="66"/>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center"/>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highlight w:val="none"/>
        </w:rPr>
      </w:pPr>
      <w:r/>
      <w:bookmarkStart w:id="67"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十一、关于符合本国产品标准的声明函（如有）</w:t>
      </w:r>
      <w:r/>
    </w:p>
    <w:p>
      <w:pPr>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pStyle w:val="947"/>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48"/>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20"/>
        <w:ind w:firstLine="480"/>
        <w:spacing w:line="420" w:lineRule="exact"/>
        <w:rPr>
          <w:rFonts w:hint="eastAsia"/>
          <w:sz w:val="24"/>
          <w:szCs w:val="24"/>
          <w:highlight w:val="none"/>
        </w:rPr>
      </w:pPr>
      <w:r>
        <w:rPr>
          <w:rFonts w:hint="eastAsia"/>
          <w:sz w:val="24"/>
          <w:szCs w:val="24"/>
          <w:highlight w:val="none"/>
        </w:rPr>
      </w:r>
      <w:r/>
    </w:p>
    <w:p>
      <w:pPr>
        <w:pStyle w:val="920"/>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20"/>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20"/>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2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2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2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20"/>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w:t>
      </w:r>
      <w:r/>
    </w:p>
    <w:p>
      <w:pPr>
        <w:pStyle w:val="92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2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68"/>
        <w:ind w:firstLine="0"/>
        <w:rPr>
          <w:rFonts w:hint="eastAsia"/>
          <w:highlight w:val="none"/>
        </w:rPr>
      </w:pPr>
      <w:r>
        <w:rPr>
          <w:rFonts w:hint="eastAsia"/>
          <w:highlight w:val="none"/>
        </w:rPr>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2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20"/>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2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2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2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2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2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2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2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2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04"/>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2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2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2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2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22"/>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24"/>
        <w:rPr>
          <w:rFonts w:hint="eastAsia"/>
          <w:highlight w:val="none"/>
        </w:rPr>
      </w:pPr>
      <w:r>
        <w:rPr>
          <w:rFonts w:hint="eastAsia"/>
          <w:highlight w:val="none"/>
        </w:rPr>
      </w:r>
      <w:r/>
    </w:p>
    <w:p>
      <w:pPr>
        <w:pStyle w:val="724"/>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704"/>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04"/>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66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66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69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6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69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69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699"/>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69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04"/>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699"/>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699"/>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99"/>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699"/>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69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04"/>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9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9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69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724"/>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724"/>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6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10"/>
          <w:rFonts w:hint="eastAsia"/>
          <w:i w:val="0"/>
          <w:highlight w:val="none"/>
          <w:u w:val="single"/>
          <w:shd w:val="clear" w:color="auto" w:fill="ffffff"/>
        </w:rPr>
        <w:t xml:space="preserve">（产品名称1）</w:t>
      </w:r>
      <w:r>
        <w:rPr>
          <w:rStyle w:val="71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10"/>
          <w:rFonts w:hint="eastAsia"/>
          <w:i w:val="0"/>
          <w:highlight w:val="none"/>
          <w:u w:val="single"/>
          <w:shd w:val="clear" w:color="auto" w:fill="ffffff"/>
        </w:rPr>
        <w:t xml:space="preserve">（厂名）</w:t>
      </w:r>
      <w:r>
        <w:rPr>
          <w:rStyle w:val="71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1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1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10"/>
          <w:rFonts w:hint="eastAsia"/>
          <w:i/>
          <w:strike w:val="0"/>
          <w:highlight w:val="none"/>
          <w:u w:val="single"/>
          <w:shd w:val="clear" w:color="auto" w:fill="ffffff"/>
        </w:rPr>
        <w:t xml:space="preserve">（规定比例）</w:t>
      </w:r>
      <w:r>
        <w:rPr>
          <w:rStyle w:val="71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1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10"/>
          <w:rFonts w:hint="eastAsia"/>
          <w:i/>
          <w:strike w:val="0"/>
          <w:highlight w:val="none"/>
          <w:u w:val="single"/>
          <w:shd w:val="clear" w:color="auto" w:fill="ffffff"/>
        </w:rPr>
        <w:t xml:space="preserve">（关键组件）</w:t>
      </w:r>
      <w:r>
        <w:rPr>
          <w:rStyle w:val="71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1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10"/>
          <w:rFonts w:hint="eastAsia"/>
          <w:i/>
          <w:strike w:val="0"/>
          <w:highlight w:val="none"/>
          <w:u w:val="single"/>
          <w:shd w:val="clear" w:color="auto" w:fill="ffffff"/>
        </w:rPr>
        <w:t xml:space="preserve">（关键工序）</w:t>
      </w:r>
      <w:r>
        <w:rPr>
          <w:rStyle w:val="71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1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1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1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1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1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1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1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1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1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6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699"/>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699"/>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699"/>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69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69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699"/>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69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69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bookmarkEnd w:id="68"/>
      <w:r/>
    </w:p>
    <w:p>
      <w:pPr>
        <w:jc w:val="left"/>
        <w:keepLines w:val="0"/>
        <w:keepNext w:val="0"/>
        <w:pageBreakBefore w:val="0"/>
        <w:spacing w:line="360" w:lineRule="auto"/>
        <w:widowControl/>
        <w:rPr>
          <w:rFonts w:hint="eastAsia"/>
          <w:b w:val="0"/>
          <w:bCs w:val="0"/>
          <w:sz w:val="21"/>
          <w:szCs w:val="21"/>
          <w:highlight w:val="none"/>
          <w:shd w:val="clear" w:color="auto" w:fill="ffffff"/>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67"/>
      <w:r/>
    </w:p>
    <w:p>
      <w:pPr>
        <w:rPr>
          <w:color w:val="000000"/>
          <w:highlight w:val="none"/>
        </w:rPr>
      </w:pPr>
      <w:r>
        <w:rPr>
          <w:color w:val="000000"/>
          <w:highlight w:val="none"/>
        </w:rPr>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Songti SC Regular">
    <w:panose1 w:val="020B0503020202020204"/>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8"/>
        <w:rFonts w:ascii="宋体" w:hAnsi="宋体"/>
      </w:rPr>
      <w:framePr w:wrap="around" w:vAnchor="text" w:hAnchor="margin" w:xAlign="center" w:y="1"/>
    </w:pPr>
    <w:r>
      <w:rPr>
        <w:rFonts w:ascii="宋体" w:hAnsi="宋体"/>
      </w:rPr>
      <w:fldChar w:fldCharType="begin"/>
    </w:r>
    <w:r>
      <w:rPr>
        <w:rStyle w:val="708"/>
        <w:rFonts w:ascii="宋体" w:hAnsi="宋体"/>
      </w:rPr>
      <w:instrText xml:space="preserve">PAGE  </w:instrText>
    </w:r>
    <w:r>
      <w:rPr>
        <w:rFonts w:ascii="宋体" w:hAnsi="宋体"/>
      </w:rPr>
      <w:fldChar w:fldCharType="separate"/>
    </w:r>
    <w:r>
      <w:rPr>
        <w:rStyle w:val="708"/>
        <w:rFonts w:ascii="宋体" w:hAnsi="宋体"/>
      </w:rPr>
      <w:t xml:space="preserve">51</w:t>
    </w:r>
    <w:r>
      <w:rPr>
        <w:rFonts w:ascii="宋体" w:hAnsi="宋体"/>
      </w:rPr>
      <w:fldChar w:fldCharType="end"/>
    </w:r>
    <w:r/>
  </w:p>
  <w:p>
    <w:pPr>
      <w:pStyle w:val="68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8"/>
      </w:rPr>
      <w:framePr w:wrap="around" w:vAnchor="text" w:hAnchor="margin" w:xAlign="center" w:y="1"/>
    </w:pPr>
    <w:r>
      <w:fldChar w:fldCharType="begin"/>
    </w:r>
    <w:r>
      <w:rPr>
        <w:rStyle w:val="708"/>
      </w:rPr>
      <w:instrText xml:space="preserve">PAGE  </w:instrText>
    </w:r>
    <w:r>
      <w:fldChar w:fldCharType="separate"/>
    </w:r>
    <w:r>
      <w:rPr>
        <w:rStyle w:val="708"/>
      </w:rP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5">
    <w:name w:val="Caption"/>
    <w:basedOn w:val="656"/>
    <w:next w:val="656"/>
    <w:uiPriority w:val="35"/>
    <w:semiHidden/>
    <w:unhideWhenUsed/>
    <w:qFormat/>
    <w:pPr>
      <w:spacing w:line="276" w:lineRule="auto"/>
    </w:pPr>
    <w:rPr>
      <w:b/>
      <w:bCs/>
      <w:color w:val="4f81bd" w:themeColor="accent1"/>
      <w:sz w:val="18"/>
      <w:szCs w:val="18"/>
    </w:r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7">
    <w:name w:val="Heading 1"/>
    <w:basedOn w:val="656"/>
    <w:next w:val="656"/>
    <w:link w:val="886"/>
    <w:uiPriority w:val="0"/>
    <w:qFormat/>
    <w:pPr>
      <w:jc w:val="center"/>
      <w:keepNext/>
      <w:outlineLvl w:val="0"/>
    </w:pPr>
    <w:rPr>
      <w:rFonts w:ascii="楷体_GB2312" w:eastAsia="楷体_GB2312"/>
      <w:sz w:val="28"/>
      <w:szCs w:val="28"/>
    </w:rPr>
  </w:style>
  <w:style w:type="paragraph" w:styleId="658">
    <w:name w:val="Heading 2"/>
    <w:basedOn w:val="656"/>
    <w:next w:val="656"/>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68"/>
    <w:link w:val="887"/>
    <w:uiPriority w:val="0"/>
    <w:qFormat/>
    <w:pPr>
      <w:keepLines/>
      <w:keepNext/>
      <w:spacing w:before="260" w:after="260" w:line="416" w:lineRule="auto"/>
      <w:outlineLvl w:val="2"/>
    </w:pPr>
    <w:rPr>
      <w:b/>
      <w:bCs/>
      <w:sz w:val="32"/>
      <w:szCs w:val="32"/>
    </w:rPr>
  </w:style>
  <w:style w:type="paragraph" w:styleId="660">
    <w:name w:val="Heading 4"/>
    <w:basedOn w:val="656"/>
    <w:next w:val="668"/>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68"/>
    <w:link w:val="890"/>
    <w:uiPriority w:val="0"/>
    <w:qFormat/>
    <w:pPr>
      <w:keepNext/>
      <w:outlineLvl w:val="4"/>
    </w:pPr>
    <w:rPr>
      <w:rFonts w:ascii="宋体"/>
      <w:color w:val="000000"/>
      <w:sz w:val="28"/>
      <w:szCs w:val="28"/>
    </w:rPr>
  </w:style>
  <w:style w:type="paragraph" w:styleId="662">
    <w:name w:val="Heading 6"/>
    <w:basedOn w:val="656"/>
    <w:next w:val="656"/>
    <w:link w:val="8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92"/>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89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94"/>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link w:val="888"/>
    <w:uiPriority w:val="0"/>
    <w:qFormat/>
    <w:pPr>
      <w:ind w:firstLine="420"/>
    </w:pPr>
    <w:rPr>
      <w:szCs w:val="21"/>
    </w:rPr>
  </w:style>
  <w:style w:type="paragraph" w:styleId="669">
    <w:name w:val="List 3"/>
    <w:basedOn w:val="656"/>
    <w:uiPriority w:val="0"/>
    <w:qFormat/>
    <w:pPr>
      <w:ind w:left="100" w:hanging="200"/>
    </w:pPr>
    <w:rPr>
      <w:szCs w:val="21"/>
    </w:rPr>
  </w:style>
  <w:style w:type="paragraph" w:styleId="670">
    <w:name w:val="toc 7"/>
    <w:basedOn w:val="656"/>
    <w:next w:val="656"/>
    <w:uiPriority w:val="0"/>
    <w:semiHidden/>
    <w:qFormat/>
    <w:pPr>
      <w:ind w:left="1260"/>
      <w:jc w:val="left"/>
    </w:pPr>
    <w:rPr>
      <w:szCs w:val="21"/>
    </w:rPr>
  </w:style>
  <w:style w:type="paragraph" w:styleId="671">
    <w:name w:val="Document Map"/>
    <w:basedOn w:val="656"/>
    <w:link w:val="895"/>
    <w:uiPriority w:val="0"/>
    <w:semiHidden/>
    <w:qFormat/>
    <w:pPr>
      <w:shd w:val="clear" w:color="auto" w:fill="000080"/>
    </w:pPr>
    <w:rPr>
      <w:szCs w:val="21"/>
    </w:rPr>
  </w:style>
  <w:style w:type="paragraph" w:styleId="672">
    <w:name w:val="annotation text"/>
    <w:basedOn w:val="656"/>
    <w:link w:val="896"/>
    <w:uiPriority w:val="0"/>
    <w:unhideWhenUsed/>
    <w:qFormat/>
    <w:pPr>
      <w:jc w:val="left"/>
    </w:pPr>
  </w:style>
  <w:style w:type="paragraph" w:styleId="673">
    <w:name w:val="Body Text 3"/>
    <w:basedOn w:val="656"/>
    <w:link w:val="897"/>
    <w:uiPriority w:val="0"/>
    <w:qFormat/>
    <w:rPr>
      <w:rFonts w:ascii="仿宋_GB2312" w:hAnsi="Arial" w:eastAsia="仿宋_GB2312"/>
      <w:sz w:val="32"/>
      <w:szCs w:val="32"/>
    </w:rPr>
  </w:style>
  <w:style w:type="paragraph" w:styleId="674">
    <w:name w:val="Body Text"/>
    <w:basedOn w:val="656"/>
    <w:next w:val="656"/>
    <w:link w:val="898"/>
    <w:uiPriority w:val="0"/>
    <w:qFormat/>
    <w:rPr>
      <w:rFonts w:ascii="楷体_GB2312" w:hAnsi="Arial" w:eastAsia="楷体_GB2312"/>
      <w:sz w:val="28"/>
      <w:szCs w:val="28"/>
    </w:rPr>
  </w:style>
  <w:style w:type="paragraph" w:styleId="675">
    <w:name w:val="Body Text Indent"/>
    <w:basedOn w:val="656"/>
    <w:next w:val="676"/>
    <w:link w:val="899"/>
    <w:uiPriority w:val="0"/>
    <w:unhideWhenUsed/>
    <w:qFormat/>
    <w:pPr>
      <w:ind w:left="420"/>
      <w:spacing w:after="120"/>
    </w:pPr>
  </w:style>
  <w:style w:type="paragraph" w:styleId="676">
    <w:name w:val="envelope return"/>
    <w:basedOn w:val="656"/>
    <w:uiPriority w:val="0"/>
    <w:qFormat/>
    <w:rPr>
      <w:rFonts w:ascii="Arial" w:hAnsi="Arial" w:cs="宋体"/>
    </w:rPr>
  </w:style>
  <w:style w:type="paragraph" w:styleId="677">
    <w:name w:val="List 2"/>
    <w:basedOn w:val="656"/>
    <w:uiPriority w:val="0"/>
    <w:qFormat/>
    <w:pPr>
      <w:ind w:left="100" w:hanging="200"/>
    </w:pPr>
    <w:rPr>
      <w:szCs w:val="21"/>
    </w:rPr>
  </w:style>
  <w:style w:type="paragraph" w:styleId="678">
    <w:name w:val="toc 5"/>
    <w:basedOn w:val="656"/>
    <w:next w:val="656"/>
    <w:uiPriority w:val="0"/>
    <w:semiHidden/>
    <w:qFormat/>
    <w:pPr>
      <w:ind w:left="840"/>
      <w:jc w:val="left"/>
    </w:pPr>
    <w:rPr>
      <w:szCs w:val="21"/>
    </w:rPr>
  </w:style>
  <w:style w:type="paragraph" w:styleId="679">
    <w:name w:val="toc 3"/>
    <w:basedOn w:val="656"/>
    <w:next w:val="656"/>
    <w:uiPriority w:val="0"/>
    <w:semiHidden/>
    <w:qFormat/>
    <w:pPr>
      <w:ind w:left="420"/>
      <w:jc w:val="left"/>
    </w:pPr>
    <w:rPr>
      <w:i/>
      <w:iCs/>
      <w:szCs w:val="24"/>
    </w:rPr>
  </w:style>
  <w:style w:type="paragraph" w:styleId="680">
    <w:name w:val="Plain Text"/>
    <w:basedOn w:val="656"/>
    <w:link w:val="901"/>
    <w:uiPriority w:val="0"/>
    <w:qFormat/>
    <w:rPr>
      <w:rFonts w:ascii="宋体" w:hAnsi="Courier New" w:cs="Courier New"/>
      <w:szCs w:val="21"/>
    </w:rPr>
  </w:style>
  <w:style w:type="paragraph" w:styleId="681">
    <w:name w:val="toc 8"/>
    <w:basedOn w:val="656"/>
    <w:next w:val="656"/>
    <w:uiPriority w:val="0"/>
    <w:semiHidden/>
    <w:qFormat/>
    <w:pPr>
      <w:ind w:left="1470"/>
      <w:jc w:val="left"/>
    </w:pPr>
    <w:rPr>
      <w:szCs w:val="21"/>
    </w:rPr>
  </w:style>
  <w:style w:type="paragraph" w:styleId="682">
    <w:name w:val="Date"/>
    <w:basedOn w:val="656"/>
    <w:next w:val="656"/>
    <w:link w:val="902"/>
    <w:uiPriority w:val="0"/>
    <w:qFormat/>
    <w:rPr>
      <w:sz w:val="24"/>
      <w:szCs w:val="24"/>
    </w:rPr>
  </w:style>
  <w:style w:type="paragraph" w:styleId="683">
    <w:name w:val="Body Text Indent 2"/>
    <w:basedOn w:val="656"/>
    <w:link w:val="903"/>
    <w:uiPriority w:val="0"/>
    <w:qFormat/>
    <w:pPr>
      <w:ind w:left="630" w:firstLine="645"/>
    </w:pPr>
    <w:rPr>
      <w:rFonts w:ascii="Arial" w:hAnsi="Arial" w:eastAsia="仿宋_GB2312" w:cs="Arial"/>
      <w:sz w:val="32"/>
      <w:szCs w:val="32"/>
    </w:rPr>
  </w:style>
  <w:style w:type="paragraph" w:styleId="684">
    <w:name w:val="endnote text"/>
    <w:basedOn w:val="656"/>
    <w:link w:val="883"/>
    <w:uiPriority w:val="99"/>
    <w:semiHidden/>
    <w:unhideWhenUsed/>
    <w:qFormat/>
    <w:rPr>
      <w:sz w:val="20"/>
    </w:rPr>
  </w:style>
  <w:style w:type="paragraph" w:styleId="685">
    <w:name w:val="Balloon Text"/>
    <w:basedOn w:val="656"/>
    <w:link w:val="904"/>
    <w:uiPriority w:val="0"/>
    <w:semiHidden/>
    <w:qFormat/>
    <w:rPr>
      <w:sz w:val="18"/>
      <w:szCs w:val="18"/>
    </w:rPr>
  </w:style>
  <w:style w:type="paragraph" w:styleId="686">
    <w:name w:val="Footer"/>
    <w:basedOn w:val="656"/>
    <w:link w:val="905"/>
    <w:uiPriority w:val="0"/>
    <w:qFormat/>
    <w:pPr>
      <w:jc w:val="left"/>
      <w:tabs>
        <w:tab w:val="center" w:pos="4153" w:leader="none"/>
        <w:tab w:val="right" w:pos="8306" w:leader="none"/>
      </w:tabs>
    </w:pPr>
    <w:rPr>
      <w:sz w:val="18"/>
      <w:szCs w:val="18"/>
    </w:rPr>
  </w:style>
  <w:style w:type="paragraph" w:styleId="687">
    <w:name w:val="Header"/>
    <w:basedOn w:val="656"/>
    <w:link w:val="906"/>
    <w:uiPriority w:val="0"/>
    <w:qFormat/>
    <w:pPr>
      <w:jc w:val="center"/>
      <w:tabs>
        <w:tab w:val="center" w:pos="4153" w:leader="none"/>
        <w:tab w:val="right" w:pos="8306" w:leader="none"/>
      </w:tabs>
      <w:pBdr>
        <w:bottom w:val="single" w:color="000000" w:sz="6" w:space="1"/>
      </w:pBdr>
    </w:pPr>
    <w:rPr>
      <w:sz w:val="18"/>
      <w:szCs w:val="18"/>
    </w:rPr>
  </w:style>
  <w:style w:type="paragraph" w:styleId="688">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89">
    <w:name w:val="toc 4"/>
    <w:basedOn w:val="656"/>
    <w:next w:val="656"/>
    <w:uiPriority w:val="0"/>
    <w:semiHidden/>
    <w:qFormat/>
    <w:pPr>
      <w:ind w:left="630"/>
      <w:jc w:val="left"/>
    </w:pPr>
    <w:rPr>
      <w:szCs w:val="21"/>
    </w:rPr>
  </w:style>
  <w:style w:type="paragraph" w:styleId="690">
    <w:name w:val="Subtitle"/>
    <w:basedOn w:val="656"/>
    <w:next w:val="656"/>
    <w:link w:val="746"/>
    <w:uiPriority w:val="11"/>
    <w:qFormat/>
    <w:pPr>
      <w:spacing w:before="200" w:after="200"/>
    </w:pPr>
    <w:rPr>
      <w:sz w:val="24"/>
      <w:szCs w:val="24"/>
    </w:rPr>
  </w:style>
  <w:style w:type="paragraph" w:styleId="691">
    <w:name w:val="List"/>
    <w:basedOn w:val="656"/>
    <w:uiPriority w:val="0"/>
    <w:qFormat/>
    <w:pPr>
      <w:ind w:left="200" w:hanging="200"/>
    </w:pPr>
    <w:rPr>
      <w:szCs w:val="21"/>
    </w:rPr>
  </w:style>
  <w:style w:type="paragraph" w:styleId="692">
    <w:name w:val="footnote text"/>
    <w:basedOn w:val="656"/>
    <w:link w:val="882"/>
    <w:uiPriority w:val="99"/>
    <w:semiHidden/>
    <w:unhideWhenUsed/>
    <w:qFormat/>
    <w:pPr>
      <w:spacing w:after="40"/>
    </w:pPr>
    <w:rPr>
      <w:sz w:val="18"/>
    </w:rPr>
  </w:style>
  <w:style w:type="paragraph" w:styleId="693">
    <w:name w:val="toc 6"/>
    <w:basedOn w:val="656"/>
    <w:next w:val="656"/>
    <w:uiPriority w:val="0"/>
    <w:semiHidden/>
    <w:qFormat/>
    <w:pPr>
      <w:ind w:left="1050"/>
      <w:jc w:val="left"/>
    </w:pPr>
    <w:rPr>
      <w:szCs w:val="21"/>
    </w:rPr>
  </w:style>
  <w:style w:type="paragraph" w:styleId="694">
    <w:name w:val="Body Text Indent 3"/>
    <w:basedOn w:val="656"/>
    <w:link w:val="907"/>
    <w:uiPriority w:val="0"/>
    <w:qFormat/>
    <w:pPr>
      <w:ind w:left="645" w:firstLine="645"/>
    </w:pPr>
    <w:rPr>
      <w:rFonts w:ascii="Arial" w:hAnsi="Arial" w:eastAsia="仿宋_GB2312" w:cs="Arial"/>
      <w:color w:val="ffff00"/>
      <w:sz w:val="32"/>
      <w:szCs w:val="32"/>
    </w:rPr>
  </w:style>
  <w:style w:type="paragraph" w:styleId="695">
    <w:name w:val="table of figures"/>
    <w:basedOn w:val="656"/>
    <w:next w:val="656"/>
    <w:uiPriority w:val="0"/>
    <w:semiHidden/>
    <w:qFormat/>
    <w:pPr>
      <w:ind w:left="840" w:hanging="420"/>
    </w:pPr>
    <w:rPr>
      <w:szCs w:val="21"/>
    </w:rPr>
  </w:style>
  <w:style w:type="paragraph" w:styleId="696">
    <w:name w:val="toc 2"/>
    <w:basedOn w:val="656"/>
    <w:next w:val="656"/>
    <w:uiPriority w:val="0"/>
    <w:semiHidden/>
    <w:qFormat/>
    <w:pPr>
      <w:ind w:left="210"/>
      <w:jc w:val="left"/>
    </w:pPr>
    <w:rPr>
      <w:smallCaps/>
      <w:szCs w:val="24"/>
    </w:rPr>
  </w:style>
  <w:style w:type="paragraph" w:styleId="697">
    <w:name w:val="toc 9"/>
    <w:basedOn w:val="656"/>
    <w:next w:val="656"/>
    <w:uiPriority w:val="0"/>
    <w:semiHidden/>
    <w:qFormat/>
    <w:pPr>
      <w:ind w:left="1680"/>
      <w:jc w:val="left"/>
    </w:pPr>
    <w:rPr>
      <w:szCs w:val="21"/>
    </w:rPr>
  </w:style>
  <w:style w:type="paragraph" w:styleId="698">
    <w:name w:val="Body Text 2"/>
    <w:basedOn w:val="656"/>
    <w:link w:val="908"/>
    <w:uiPriority w:val="0"/>
    <w:qFormat/>
    <w:pPr>
      <w:jc w:val="center"/>
      <w:widowControl/>
    </w:pPr>
    <w:rPr>
      <w:rFonts w:ascii="楷体_GB2312" w:eastAsia="楷体_GB2312"/>
      <w:sz w:val="28"/>
      <w:szCs w:val="28"/>
    </w:rPr>
  </w:style>
  <w:style w:type="paragraph" w:styleId="699">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0">
    <w:name w:val="index 1"/>
    <w:basedOn w:val="656"/>
    <w:next w:val="656"/>
    <w:uiPriority w:val="0"/>
    <w:semiHidden/>
    <w:qFormat/>
    <w:pPr>
      <w:spacing w:line="240" w:lineRule="atLeast"/>
    </w:pPr>
    <w:rPr>
      <w:b/>
      <w:bCs/>
      <w:szCs w:val="21"/>
    </w:rPr>
  </w:style>
  <w:style w:type="paragraph" w:styleId="701">
    <w:name w:val="Title"/>
    <w:basedOn w:val="656"/>
    <w:next w:val="656"/>
    <w:link w:val="745"/>
    <w:uiPriority w:val="10"/>
    <w:qFormat/>
    <w:pPr>
      <w:contextualSpacing/>
      <w:spacing w:before="300" w:after="200"/>
    </w:pPr>
    <w:rPr>
      <w:sz w:val="48"/>
      <w:szCs w:val="48"/>
    </w:rPr>
  </w:style>
  <w:style w:type="paragraph" w:styleId="702">
    <w:name w:val="annotation subject"/>
    <w:basedOn w:val="672"/>
    <w:next w:val="672"/>
    <w:link w:val="909"/>
    <w:uiPriority w:val="0"/>
    <w:semiHidden/>
    <w:qFormat/>
    <w:rPr>
      <w:b/>
      <w:bCs/>
      <w:szCs w:val="21"/>
    </w:rPr>
  </w:style>
  <w:style w:type="paragraph" w:styleId="703">
    <w:name w:val="Body Text First Indent"/>
    <w:basedOn w:val="656"/>
    <w:link w:val="910"/>
    <w:uiPriority w:val="0"/>
    <w:qFormat/>
    <w:pPr>
      <w:ind w:firstLine="200"/>
      <w:spacing w:line="360" w:lineRule="auto"/>
    </w:pPr>
    <w:rPr>
      <w:rFonts w:ascii="仿宋_GB2312" w:eastAsia="仿宋_GB2312"/>
      <w:sz w:val="30"/>
      <w:szCs w:val="30"/>
    </w:rPr>
  </w:style>
  <w:style w:type="paragraph" w:styleId="704">
    <w:name w:val="Body Text First Indent 2"/>
    <w:basedOn w:val="675"/>
    <w:next w:val="656"/>
    <w:link w:val="900"/>
    <w:uiPriority w:val="0"/>
    <w:qFormat/>
    <w:pPr>
      <w:ind w:left="0" w:firstLine="420"/>
      <w:spacing w:after="0" w:line="360" w:lineRule="auto"/>
    </w:pPr>
    <w:rPr>
      <w:rFonts w:ascii="宋体" w:hAnsi="宋体"/>
      <w:szCs w:val="20"/>
    </w:rPr>
  </w:style>
  <w:style w:type="table" w:styleId="705">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Strong"/>
    <w:uiPriority w:val="0"/>
    <w:qFormat/>
    <w:rPr>
      <w:b/>
      <w:bCs/>
    </w:rPr>
  </w:style>
  <w:style w:type="character" w:styleId="707">
    <w:name w:val="endnote reference"/>
    <w:uiPriority w:val="99"/>
    <w:semiHidden/>
    <w:unhideWhenUsed/>
    <w:qFormat/>
    <w:rPr>
      <w:vertAlign w:val="superscript"/>
    </w:rPr>
  </w:style>
  <w:style w:type="character" w:styleId="708">
    <w:name w:val="page number"/>
    <w:uiPriority w:val="0"/>
    <w:qFormat/>
  </w:style>
  <w:style w:type="character" w:styleId="709">
    <w:name w:val="FollowedHyperlink"/>
    <w:uiPriority w:val="0"/>
    <w:qFormat/>
    <w:rPr>
      <w:color w:val="800080"/>
      <w:u w:val="single"/>
    </w:rPr>
  </w:style>
  <w:style w:type="character" w:styleId="710">
    <w:name w:val="Emphasis"/>
    <w:uiPriority w:val="0"/>
    <w:qFormat/>
    <w:rPr>
      <w:i/>
    </w:rPr>
  </w:style>
  <w:style w:type="character" w:styleId="711">
    <w:name w:val="Hyperlink"/>
    <w:uiPriority w:val="0"/>
    <w:qFormat/>
    <w:rPr>
      <w:color w:val="0000ff"/>
      <w:u w:val="single"/>
    </w:rPr>
  </w:style>
  <w:style w:type="character" w:styleId="712">
    <w:name w:val="annotation reference"/>
    <w:uiPriority w:val="0"/>
    <w:semiHidden/>
    <w:qFormat/>
    <w:rPr>
      <w:sz w:val="21"/>
      <w:szCs w:val="21"/>
    </w:rPr>
  </w:style>
  <w:style w:type="character" w:styleId="713">
    <w:name w:val="footnote reference"/>
    <w:uiPriority w:val="99"/>
    <w:unhideWhenUsed/>
    <w:qFormat/>
    <w:rPr>
      <w:vertAlign w:val="superscript"/>
    </w:rPr>
  </w:style>
  <w:style w:type="paragraph" w:styleId="714" w:customStyle="1">
    <w:name w:val="TOC 标题1"/>
    <w:uiPriority w:val="39"/>
    <w:unhideWhenUsed/>
    <w:qFormat/>
    <w:rPr>
      <w:rFonts w:ascii="Times New Roman" w:hAnsi="Times New Roman" w:eastAsia="宋体" w:cs="Times New Roman"/>
      <w:lang w:val="en-US" w:eastAsia="zh-CN" w:bidi="ar-SA"/>
    </w:rPr>
  </w:style>
  <w:style w:type="character" w:styleId="715" w:customStyle="1">
    <w:name w:val="Title Char"/>
    <w:basedOn w:val="666"/>
    <w:uiPriority w:val="10"/>
    <w:qFormat/>
    <w:rPr>
      <w:sz w:val="48"/>
      <w:szCs w:val="48"/>
    </w:rPr>
  </w:style>
  <w:style w:type="character" w:styleId="716" w:customStyle="1">
    <w:name w:val="Subtitle Char"/>
    <w:basedOn w:val="666"/>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Footnote Text Char"/>
    <w:uiPriority w:val="99"/>
    <w:qFormat/>
    <w:rPr>
      <w:sz w:val="18"/>
    </w:rPr>
  </w:style>
  <w:style w:type="character" w:styleId="720" w:customStyle="1">
    <w:name w:val="Endnote Text Char"/>
    <w:uiPriority w:val="99"/>
    <w:qFormat/>
    <w:rPr>
      <w:sz w:val="20"/>
    </w:rPr>
  </w:style>
  <w:style w:type="paragraph" w:styleId="721" w:customStyle="1">
    <w:name w:val="TOC 标题111"/>
    <w:uiPriority w:val="39"/>
    <w:unhideWhenUsed/>
    <w:qFormat/>
    <w:rPr>
      <w:rFonts w:ascii="Times New Roman" w:hAnsi="Times New Roman" w:eastAsia="宋体" w:cs="Times New Roman"/>
      <w:lang w:val="en-US" w:eastAsia="zh-CN" w:bidi="ar-SA"/>
    </w:rPr>
  </w:style>
  <w:style w:type="paragraph" w:styleId="722" w:customStyle="1">
    <w:name w:val="正文文本缩进1"/>
    <w:basedOn w:val="656"/>
    <w:next w:val="723"/>
    <w:uiPriority w:val="0"/>
    <w:unhideWhenUsed/>
    <w:qFormat/>
    <w:pPr>
      <w:ind w:left="420"/>
      <w:spacing w:after="120"/>
    </w:pPr>
  </w:style>
  <w:style w:type="paragraph" w:styleId="723" w:customStyle="1">
    <w:name w:val="正文文本首行缩进 21"/>
    <w:basedOn w:val="722"/>
    <w:uiPriority w:val="0"/>
    <w:qFormat/>
    <w:pPr>
      <w:ind w:left="0" w:firstLine="420"/>
      <w:spacing w:after="0" w:line="360" w:lineRule="auto"/>
    </w:pPr>
    <w:rPr>
      <w:rFonts w:ascii="宋体" w:hAnsi="宋体"/>
      <w:sz w:val="20"/>
      <w:szCs w:val="20"/>
      <w:lang w:eastAsia="en-US"/>
    </w:rPr>
  </w:style>
  <w:style w:type="paragraph" w:styleId="724" w:customStyle="1">
    <w:name w:val="索引 41"/>
    <w:basedOn w:val="656"/>
    <w:next w:val="656"/>
    <w:uiPriority w:val="0"/>
    <w:semiHidden/>
    <w:qFormat/>
    <w:pPr>
      <w:ind w:left="1260"/>
    </w:pPr>
    <w:rPr>
      <w:rFonts w:ascii="Calibri" w:hAnsi="Calibri" w:eastAsia="Calibri" w:cs="宋体"/>
      <w:sz w:val="20"/>
      <w:lang w:val="zh-CN"/>
    </w:rPr>
  </w:style>
  <w:style w:type="paragraph" w:styleId="725" w:customStyle="1">
    <w:name w:val="标题 11"/>
    <w:basedOn w:val="656"/>
    <w:next w:val="656"/>
    <w:link w:val="726"/>
    <w:uiPriority w:val="9"/>
    <w:qFormat/>
    <w:pPr>
      <w:keepLines/>
      <w:keepNext/>
      <w:spacing w:before="480" w:after="200"/>
      <w:outlineLvl w:val="0"/>
    </w:pPr>
    <w:rPr>
      <w:rFonts w:ascii="Arial" w:hAnsi="Arial" w:eastAsia="Arial" w:cs="Arial"/>
      <w:sz w:val="40"/>
      <w:szCs w:val="40"/>
    </w:rPr>
  </w:style>
  <w:style w:type="character" w:styleId="726" w:customStyle="1">
    <w:name w:val="Heading 1 Char"/>
    <w:link w:val="725"/>
    <w:uiPriority w:val="9"/>
    <w:qFormat/>
    <w:rPr>
      <w:rFonts w:ascii="Arial" w:hAnsi="Arial" w:eastAsia="Arial" w:cs="Arial"/>
      <w:sz w:val="40"/>
      <w:szCs w:val="40"/>
    </w:rPr>
  </w:style>
  <w:style w:type="paragraph" w:styleId="727" w:customStyle="1">
    <w:name w:val="标题 21"/>
    <w:basedOn w:val="656"/>
    <w:next w:val="656"/>
    <w:link w:val="728"/>
    <w:uiPriority w:val="9"/>
    <w:unhideWhenUsed/>
    <w:qFormat/>
    <w:pPr>
      <w:keepLines/>
      <w:keepNext/>
      <w:spacing w:before="360" w:after="200"/>
      <w:outlineLvl w:val="1"/>
    </w:pPr>
    <w:rPr>
      <w:rFonts w:ascii="Arial" w:hAnsi="Arial" w:eastAsia="Arial" w:cs="Arial"/>
      <w:sz w:val="34"/>
    </w:rPr>
  </w:style>
  <w:style w:type="character" w:styleId="728" w:customStyle="1">
    <w:name w:val="Heading 2 Char"/>
    <w:link w:val="727"/>
    <w:uiPriority w:val="9"/>
    <w:qFormat/>
    <w:rPr>
      <w:rFonts w:ascii="Arial" w:hAnsi="Arial" w:eastAsia="Arial" w:cs="Arial"/>
      <w:sz w:val="34"/>
    </w:rPr>
  </w:style>
  <w:style w:type="paragraph" w:styleId="729" w:customStyle="1">
    <w:name w:val="标题 31"/>
    <w:basedOn w:val="656"/>
    <w:next w:val="656"/>
    <w:link w:val="730"/>
    <w:uiPriority w:val="9"/>
    <w:unhideWhenUsed/>
    <w:qFormat/>
    <w:pPr>
      <w:keepLines/>
      <w:keepNext/>
      <w:spacing w:before="320" w:after="200"/>
      <w:outlineLvl w:val="2"/>
    </w:pPr>
    <w:rPr>
      <w:rFonts w:ascii="Arial" w:hAnsi="Arial" w:eastAsia="Arial" w:cs="Arial"/>
      <w:sz w:val="30"/>
      <w:szCs w:val="30"/>
    </w:rPr>
  </w:style>
  <w:style w:type="character" w:styleId="730" w:customStyle="1">
    <w:name w:val="Heading 3 Char"/>
    <w:link w:val="729"/>
    <w:uiPriority w:val="9"/>
    <w:qFormat/>
    <w:rPr>
      <w:rFonts w:ascii="Arial" w:hAnsi="Arial" w:eastAsia="Arial" w:cs="Arial"/>
      <w:sz w:val="30"/>
      <w:szCs w:val="30"/>
    </w:rPr>
  </w:style>
  <w:style w:type="paragraph" w:styleId="731" w:customStyle="1">
    <w:name w:val="标题 41"/>
    <w:basedOn w:val="656"/>
    <w:next w:val="656"/>
    <w:link w:val="732"/>
    <w:uiPriority w:val="9"/>
    <w:unhideWhenUsed/>
    <w:qFormat/>
    <w:pPr>
      <w:keepLines/>
      <w:keepNext/>
      <w:spacing w:before="320" w:after="200"/>
      <w:outlineLvl w:val="3"/>
    </w:pPr>
    <w:rPr>
      <w:rFonts w:ascii="Arial" w:hAnsi="Arial" w:eastAsia="Arial" w:cs="Arial"/>
      <w:b/>
      <w:bCs/>
      <w:sz w:val="26"/>
      <w:szCs w:val="26"/>
    </w:rPr>
  </w:style>
  <w:style w:type="character" w:styleId="732" w:customStyle="1">
    <w:name w:val="Heading 4 Char"/>
    <w:link w:val="731"/>
    <w:uiPriority w:val="9"/>
    <w:qFormat/>
    <w:rPr>
      <w:rFonts w:ascii="Arial" w:hAnsi="Arial" w:eastAsia="Arial" w:cs="Arial"/>
      <w:b/>
      <w:bCs/>
      <w:sz w:val="26"/>
      <w:szCs w:val="26"/>
    </w:rPr>
  </w:style>
  <w:style w:type="paragraph" w:styleId="733" w:customStyle="1">
    <w:name w:val="标题 51"/>
    <w:basedOn w:val="656"/>
    <w:next w:val="656"/>
    <w:link w:val="734"/>
    <w:uiPriority w:val="9"/>
    <w:unhideWhenUsed/>
    <w:qFormat/>
    <w:pPr>
      <w:keepLines/>
      <w:keepNext/>
      <w:spacing w:before="320" w:after="200"/>
      <w:outlineLvl w:val="4"/>
    </w:pPr>
    <w:rPr>
      <w:rFonts w:ascii="Arial" w:hAnsi="Arial" w:eastAsia="Arial" w:cs="Arial"/>
      <w:b/>
      <w:bCs/>
      <w:sz w:val="24"/>
      <w:szCs w:val="24"/>
    </w:rPr>
  </w:style>
  <w:style w:type="character" w:styleId="734" w:customStyle="1">
    <w:name w:val="Heading 5 Char"/>
    <w:link w:val="733"/>
    <w:uiPriority w:val="9"/>
    <w:qFormat/>
    <w:rPr>
      <w:rFonts w:ascii="Arial" w:hAnsi="Arial" w:eastAsia="Arial" w:cs="Arial"/>
      <w:b/>
      <w:bCs/>
      <w:sz w:val="24"/>
      <w:szCs w:val="24"/>
    </w:rPr>
  </w:style>
  <w:style w:type="paragraph" w:styleId="735" w:customStyle="1">
    <w:name w:val="标题 61"/>
    <w:basedOn w:val="656"/>
    <w:next w:val="656"/>
    <w:link w:val="736"/>
    <w:uiPriority w:val="9"/>
    <w:unhideWhenUsed/>
    <w:qFormat/>
    <w:pPr>
      <w:keepLines/>
      <w:keepNext/>
      <w:spacing w:before="320" w:after="200"/>
      <w:outlineLvl w:val="5"/>
    </w:pPr>
    <w:rPr>
      <w:rFonts w:ascii="Arial" w:hAnsi="Arial" w:eastAsia="Arial" w:cs="Arial"/>
      <w:b/>
      <w:bCs/>
      <w:sz w:val="22"/>
    </w:rPr>
  </w:style>
  <w:style w:type="character" w:styleId="736" w:customStyle="1">
    <w:name w:val="Heading 6 Char"/>
    <w:link w:val="735"/>
    <w:uiPriority w:val="9"/>
    <w:qFormat/>
    <w:rPr>
      <w:rFonts w:ascii="Arial" w:hAnsi="Arial" w:eastAsia="Arial" w:cs="Arial"/>
      <w:b/>
      <w:bCs/>
      <w:sz w:val="22"/>
      <w:szCs w:val="22"/>
    </w:rPr>
  </w:style>
  <w:style w:type="paragraph" w:styleId="737" w:customStyle="1">
    <w:name w:val="标题 71"/>
    <w:basedOn w:val="656"/>
    <w:next w:val="656"/>
    <w:link w:val="738"/>
    <w:uiPriority w:val="9"/>
    <w:unhideWhenUsed/>
    <w:qFormat/>
    <w:pPr>
      <w:keepLines/>
      <w:keepNext/>
      <w:spacing w:before="320" w:after="200"/>
      <w:outlineLvl w:val="6"/>
    </w:pPr>
    <w:rPr>
      <w:rFonts w:ascii="Arial" w:hAnsi="Arial" w:eastAsia="Arial" w:cs="Arial"/>
      <w:b/>
      <w:bCs/>
      <w:i/>
      <w:iCs/>
      <w:sz w:val="22"/>
    </w:rPr>
  </w:style>
  <w:style w:type="character" w:styleId="738" w:customStyle="1">
    <w:name w:val="Heading 7 Char"/>
    <w:link w:val="737"/>
    <w:uiPriority w:val="9"/>
    <w:qFormat/>
    <w:rPr>
      <w:rFonts w:ascii="Arial" w:hAnsi="Arial" w:eastAsia="Arial" w:cs="Arial"/>
      <w:b/>
      <w:bCs/>
      <w:i/>
      <w:iCs/>
      <w:sz w:val="22"/>
      <w:szCs w:val="22"/>
    </w:rPr>
  </w:style>
  <w:style w:type="paragraph" w:styleId="739" w:customStyle="1">
    <w:name w:val="标题 81"/>
    <w:basedOn w:val="656"/>
    <w:next w:val="656"/>
    <w:link w:val="740"/>
    <w:uiPriority w:val="9"/>
    <w:unhideWhenUsed/>
    <w:qFormat/>
    <w:pPr>
      <w:keepLines/>
      <w:keepNext/>
      <w:spacing w:before="320" w:after="200"/>
      <w:outlineLvl w:val="7"/>
    </w:pPr>
    <w:rPr>
      <w:rFonts w:ascii="Arial" w:hAnsi="Arial" w:eastAsia="Arial" w:cs="Arial"/>
      <w:i/>
      <w:iCs/>
      <w:sz w:val="22"/>
    </w:rPr>
  </w:style>
  <w:style w:type="character" w:styleId="740" w:customStyle="1">
    <w:name w:val="Heading 8 Char"/>
    <w:link w:val="739"/>
    <w:uiPriority w:val="9"/>
    <w:qFormat/>
    <w:rPr>
      <w:rFonts w:ascii="Arial" w:hAnsi="Arial" w:eastAsia="Arial" w:cs="Arial"/>
      <w:i/>
      <w:iCs/>
      <w:sz w:val="22"/>
      <w:szCs w:val="22"/>
    </w:rPr>
  </w:style>
  <w:style w:type="paragraph" w:styleId="741" w:customStyle="1">
    <w:name w:val="标题 91"/>
    <w:basedOn w:val="656"/>
    <w:next w:val="656"/>
    <w:link w:val="742"/>
    <w:uiPriority w:val="9"/>
    <w:unhideWhenUsed/>
    <w:qFormat/>
    <w:pPr>
      <w:keepLines/>
      <w:keepNext/>
      <w:spacing w:before="320" w:after="200"/>
      <w:outlineLvl w:val="8"/>
    </w:pPr>
    <w:rPr>
      <w:rFonts w:ascii="Arial" w:hAnsi="Arial" w:eastAsia="Arial" w:cs="Arial"/>
      <w:i/>
      <w:iCs/>
      <w:szCs w:val="21"/>
    </w:rPr>
  </w:style>
  <w:style w:type="character" w:styleId="742" w:customStyle="1">
    <w:name w:val="Heading 9 Char"/>
    <w:link w:val="741"/>
    <w:uiPriority w:val="9"/>
    <w:qFormat/>
    <w:rPr>
      <w:rFonts w:ascii="Arial" w:hAnsi="Arial" w:eastAsia="Arial" w:cs="Arial"/>
      <w:i/>
      <w:iCs/>
      <w:sz w:val="21"/>
      <w:szCs w:val="21"/>
    </w:rPr>
  </w:style>
  <w:style w:type="paragraph" w:styleId="743">
    <w:name w:val="List Paragraph"/>
    <w:basedOn w:val="656"/>
    <w:uiPriority w:val="0"/>
    <w:qFormat/>
    <w:pPr>
      <w:contextualSpacing/>
      <w:ind w:left="720"/>
      <w:jc w:val="left"/>
      <w:widowControl/>
    </w:pPr>
    <w:rPr>
      <w:rFonts w:ascii="Calibri" w:hAnsi="Calibri"/>
      <w:sz w:val="24"/>
      <w:szCs w:val="24"/>
      <w:lang w:eastAsia="en-US" w:bidi="en-US"/>
    </w:rPr>
  </w:style>
  <w:style w:type="paragraph" w:styleId="74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45" w:customStyle="1">
    <w:name w:val="标题 字符"/>
    <w:link w:val="701"/>
    <w:uiPriority w:val="10"/>
    <w:qFormat/>
    <w:rPr>
      <w:sz w:val="48"/>
      <w:szCs w:val="48"/>
    </w:rPr>
  </w:style>
  <w:style w:type="character" w:styleId="746" w:customStyle="1">
    <w:name w:val="副标题 字符"/>
    <w:link w:val="690"/>
    <w:uiPriority w:val="11"/>
    <w:qFormat/>
    <w:rPr>
      <w:sz w:val="24"/>
      <w:szCs w:val="24"/>
    </w:rPr>
  </w:style>
  <w:style w:type="paragraph" w:styleId="747">
    <w:name w:val="Quote"/>
    <w:basedOn w:val="656"/>
    <w:next w:val="656"/>
    <w:link w:val="748"/>
    <w:uiPriority w:val="29"/>
    <w:qFormat/>
    <w:pPr>
      <w:ind w:left="720" w:right="720"/>
    </w:pPr>
    <w:rPr>
      <w:i/>
    </w:rPr>
  </w:style>
  <w:style w:type="character" w:styleId="748" w:customStyle="1">
    <w:name w:val="引用 字符"/>
    <w:link w:val="747"/>
    <w:uiPriority w:val="29"/>
    <w:qFormat/>
    <w:rPr>
      <w:i/>
    </w:rPr>
  </w:style>
  <w:style w:type="paragraph" w:styleId="749">
    <w:name w:val="Intense Quote"/>
    <w:basedOn w:val="656"/>
    <w:next w:val="656"/>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字符"/>
    <w:link w:val="749"/>
    <w:uiPriority w:val="30"/>
    <w:qFormat/>
    <w:rPr>
      <w:i/>
    </w:rPr>
  </w:style>
  <w:style w:type="paragraph" w:styleId="751" w:customStyle="1">
    <w:name w:val="页眉1"/>
    <w:basedOn w:val="656"/>
    <w:link w:val="752"/>
    <w:uiPriority w:val="99"/>
    <w:unhideWhenUsed/>
    <w:qFormat/>
    <w:pPr>
      <w:tabs>
        <w:tab w:val="center" w:pos="7143" w:leader="none"/>
        <w:tab w:val="right" w:pos="14287" w:leader="none"/>
      </w:tabs>
    </w:pPr>
  </w:style>
  <w:style w:type="character" w:styleId="752" w:customStyle="1">
    <w:name w:val="Header Char"/>
    <w:link w:val="751"/>
    <w:uiPriority w:val="99"/>
    <w:qFormat/>
  </w:style>
  <w:style w:type="paragraph" w:styleId="753" w:customStyle="1">
    <w:name w:val="页脚1"/>
    <w:basedOn w:val="656"/>
    <w:link w:val="756"/>
    <w:uiPriority w:val="99"/>
    <w:unhideWhenUsed/>
    <w:qFormat/>
    <w:pPr>
      <w:tabs>
        <w:tab w:val="center" w:pos="7143" w:leader="none"/>
        <w:tab w:val="right" w:pos="14287" w:leader="none"/>
      </w:tabs>
    </w:pPr>
  </w:style>
  <w:style w:type="character" w:styleId="754" w:customStyle="1">
    <w:name w:val="Footer Char"/>
    <w:uiPriority w:val="99"/>
    <w:qFormat/>
  </w:style>
  <w:style w:type="paragraph" w:styleId="755" w:customStyle="1">
    <w:name w:val="题注1"/>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56" w:customStyle="1">
    <w:name w:val="Caption Char"/>
    <w:link w:val="753"/>
    <w:uiPriority w:val="99"/>
    <w:qFormat/>
  </w:style>
  <w:style w:type="table" w:styleId="7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字符"/>
    <w:link w:val="692"/>
    <w:uiPriority w:val="99"/>
    <w:qFormat/>
    <w:rPr>
      <w:sz w:val="18"/>
    </w:rPr>
  </w:style>
  <w:style w:type="character" w:styleId="883" w:customStyle="1">
    <w:name w:val="尾注文本 字符"/>
    <w:link w:val="684"/>
    <w:uiPriority w:val="99"/>
    <w:qFormat/>
    <w:rPr>
      <w:sz w:val="20"/>
    </w:rPr>
  </w:style>
  <w:style w:type="paragraph" w:styleId="884" w:customStyle="1">
    <w:name w:val="TOC 标题11"/>
    <w:uiPriority w:val="39"/>
    <w:unhideWhenUsed/>
    <w:qFormat/>
    <w:rPr>
      <w:rFonts w:ascii="Times New Roman" w:hAnsi="Times New Roman" w:eastAsia="宋体" w:cs="Times New Roman"/>
      <w:lang w:val="en-US" w:eastAsia="zh-CN" w:bidi="ar-SA"/>
    </w:rPr>
  </w:style>
  <w:style w:type="character" w:styleId="885" w:customStyle="1">
    <w:name w:val="标题 2 字符"/>
    <w:link w:val="658"/>
    <w:uiPriority w:val="0"/>
    <w:qFormat/>
    <w:rPr>
      <w:rFonts w:ascii="Arial" w:hAnsi="Arial" w:eastAsia="幼圆" w:cs="Arial"/>
      <w:b/>
      <w:bCs/>
      <w:sz w:val="44"/>
      <w:szCs w:val="44"/>
    </w:rPr>
  </w:style>
  <w:style w:type="character" w:styleId="886" w:customStyle="1">
    <w:name w:val="标题 1 字符"/>
    <w:link w:val="657"/>
    <w:uiPriority w:val="0"/>
    <w:qFormat/>
    <w:rPr>
      <w:rFonts w:ascii="楷体_GB2312" w:hAnsi="Times New Roman" w:eastAsia="楷体_GB2312" w:cs="Times New Roman"/>
      <w:sz w:val="28"/>
      <w:szCs w:val="28"/>
    </w:rPr>
  </w:style>
  <w:style w:type="character" w:styleId="887" w:customStyle="1">
    <w:name w:val="标题 3 字符"/>
    <w:link w:val="659"/>
    <w:uiPriority w:val="0"/>
    <w:qFormat/>
    <w:rPr>
      <w:rFonts w:ascii="Times New Roman" w:hAnsi="Times New Roman" w:eastAsia="宋体" w:cs="Times New Roman"/>
      <w:b/>
      <w:bCs/>
      <w:sz w:val="32"/>
      <w:szCs w:val="32"/>
    </w:rPr>
  </w:style>
  <w:style w:type="character" w:styleId="888" w:customStyle="1">
    <w:name w:val="正文缩进 字符"/>
    <w:link w:val="668"/>
    <w:uiPriority w:val="0"/>
    <w:qFormat/>
    <w:rPr>
      <w:szCs w:val="21"/>
    </w:rPr>
  </w:style>
  <w:style w:type="character" w:styleId="889" w:customStyle="1">
    <w:name w:val="标题 4 字符"/>
    <w:link w:val="660"/>
    <w:uiPriority w:val="0"/>
    <w:qFormat/>
    <w:rPr>
      <w:rFonts w:ascii="Arial" w:hAnsi="Arial" w:eastAsia="黑体" w:cs="Arial"/>
      <w:b/>
      <w:bCs/>
      <w:sz w:val="28"/>
      <w:szCs w:val="28"/>
    </w:rPr>
  </w:style>
  <w:style w:type="character" w:styleId="890" w:customStyle="1">
    <w:name w:val="标题 5 字符"/>
    <w:link w:val="661"/>
    <w:uiPriority w:val="0"/>
    <w:qFormat/>
    <w:rPr>
      <w:rFonts w:ascii="宋体" w:hAnsi="Times New Roman" w:eastAsia="宋体" w:cs="Times New Roman"/>
      <w:color w:val="000000"/>
      <w:sz w:val="28"/>
      <w:szCs w:val="28"/>
    </w:rPr>
  </w:style>
  <w:style w:type="character" w:styleId="891" w:customStyle="1">
    <w:name w:val="标题 6 字符"/>
    <w:link w:val="662"/>
    <w:uiPriority w:val="0"/>
    <w:qFormat/>
    <w:rPr>
      <w:rFonts w:ascii="Arial" w:hAnsi="Arial" w:eastAsia="黑体" w:cs="Times New Roman"/>
      <w:b/>
      <w:bCs/>
      <w:sz w:val="24"/>
      <w:szCs w:val="24"/>
    </w:rPr>
  </w:style>
  <w:style w:type="character" w:styleId="892" w:customStyle="1">
    <w:name w:val="标题 7 字符"/>
    <w:link w:val="663"/>
    <w:uiPriority w:val="0"/>
    <w:qFormat/>
    <w:rPr>
      <w:rFonts w:ascii="Times New Roman" w:hAnsi="Times New Roman" w:eastAsia="宋体" w:cs="Times New Roman"/>
      <w:b/>
      <w:bCs/>
      <w:sz w:val="24"/>
      <w:szCs w:val="24"/>
    </w:rPr>
  </w:style>
  <w:style w:type="character" w:styleId="893" w:customStyle="1">
    <w:name w:val="标题 8 字符"/>
    <w:link w:val="664"/>
    <w:uiPriority w:val="0"/>
    <w:qFormat/>
    <w:rPr>
      <w:rFonts w:ascii="Arial" w:hAnsi="Arial" w:eastAsia="黑体" w:cs="Times New Roman"/>
      <w:sz w:val="24"/>
      <w:szCs w:val="24"/>
    </w:rPr>
  </w:style>
  <w:style w:type="character" w:styleId="894" w:customStyle="1">
    <w:name w:val="标题 9 字符"/>
    <w:link w:val="665"/>
    <w:uiPriority w:val="0"/>
    <w:qFormat/>
    <w:rPr>
      <w:rFonts w:ascii="Arial" w:hAnsi="Arial" w:eastAsia="黑体" w:cs="Times New Roman"/>
      <w:szCs w:val="21"/>
    </w:rPr>
  </w:style>
  <w:style w:type="character" w:styleId="895" w:customStyle="1">
    <w:name w:val="文档结构图 字符"/>
    <w:link w:val="671"/>
    <w:uiPriority w:val="0"/>
    <w:semiHidden/>
    <w:qFormat/>
    <w:rPr>
      <w:rFonts w:ascii="Times New Roman" w:hAnsi="Times New Roman" w:eastAsia="宋体" w:cs="Times New Roman"/>
      <w:szCs w:val="21"/>
      <w:shd w:val="clear" w:color="auto" w:fill="000080"/>
    </w:rPr>
  </w:style>
  <w:style w:type="character" w:styleId="896" w:customStyle="1">
    <w:name w:val="批注文字 字符"/>
    <w:basedOn w:val="666"/>
    <w:link w:val="672"/>
    <w:uiPriority w:val="99"/>
    <w:semiHidden/>
    <w:qFormat/>
  </w:style>
  <w:style w:type="character" w:styleId="897" w:customStyle="1">
    <w:name w:val="正文文本 3 字符"/>
    <w:link w:val="673"/>
    <w:uiPriority w:val="0"/>
    <w:qFormat/>
    <w:rPr>
      <w:rFonts w:ascii="仿宋_GB2312" w:hAnsi="Arial" w:eastAsia="仿宋_GB2312" w:cs="Times New Roman"/>
      <w:sz w:val="32"/>
      <w:szCs w:val="32"/>
    </w:rPr>
  </w:style>
  <w:style w:type="character" w:styleId="898" w:customStyle="1">
    <w:name w:val="正文文本 字符"/>
    <w:link w:val="674"/>
    <w:uiPriority w:val="0"/>
    <w:qFormat/>
    <w:rPr>
      <w:rFonts w:ascii="楷体_GB2312" w:hAnsi="Arial" w:eastAsia="楷体_GB2312" w:cs="Times New Roman"/>
      <w:sz w:val="28"/>
      <w:szCs w:val="28"/>
    </w:rPr>
  </w:style>
  <w:style w:type="character" w:styleId="899" w:customStyle="1">
    <w:name w:val="正文文本缩进 字符"/>
    <w:basedOn w:val="666"/>
    <w:link w:val="675"/>
    <w:uiPriority w:val="99"/>
    <w:semiHidden/>
    <w:qFormat/>
  </w:style>
  <w:style w:type="character" w:styleId="900" w:customStyle="1">
    <w:name w:val="正文文本首行缩进 2 字符"/>
    <w:link w:val="704"/>
    <w:uiPriority w:val="0"/>
    <w:qFormat/>
    <w:rPr>
      <w:rFonts w:ascii="宋体" w:hAnsi="宋体" w:eastAsia="宋体" w:cs="Times New Roman"/>
      <w:szCs w:val="20"/>
    </w:rPr>
  </w:style>
  <w:style w:type="character" w:styleId="901" w:customStyle="1">
    <w:name w:val="纯文本 字符"/>
    <w:link w:val="680"/>
    <w:uiPriority w:val="0"/>
    <w:qFormat/>
    <w:rPr>
      <w:rFonts w:ascii="宋体" w:hAnsi="Courier New" w:eastAsia="宋体" w:cs="Courier New"/>
      <w:szCs w:val="21"/>
    </w:rPr>
  </w:style>
  <w:style w:type="character" w:styleId="902" w:customStyle="1">
    <w:name w:val="日期 字符"/>
    <w:link w:val="682"/>
    <w:uiPriority w:val="0"/>
    <w:qFormat/>
    <w:rPr>
      <w:rFonts w:ascii="Times New Roman" w:hAnsi="Times New Roman" w:eastAsia="宋体" w:cs="Times New Roman"/>
      <w:sz w:val="24"/>
      <w:szCs w:val="24"/>
    </w:rPr>
  </w:style>
  <w:style w:type="character" w:styleId="903" w:customStyle="1">
    <w:name w:val="正文文本缩进 2 字符"/>
    <w:link w:val="683"/>
    <w:uiPriority w:val="0"/>
    <w:qFormat/>
    <w:rPr>
      <w:rFonts w:ascii="Arial" w:hAnsi="Arial" w:eastAsia="仿宋_GB2312" w:cs="Arial"/>
      <w:sz w:val="32"/>
      <w:szCs w:val="32"/>
    </w:rPr>
  </w:style>
  <w:style w:type="character" w:styleId="904" w:customStyle="1">
    <w:name w:val="批注框文本 字符"/>
    <w:link w:val="685"/>
    <w:uiPriority w:val="0"/>
    <w:semiHidden/>
    <w:qFormat/>
    <w:rPr>
      <w:rFonts w:ascii="Times New Roman" w:hAnsi="Times New Roman" w:eastAsia="宋体" w:cs="Times New Roman"/>
      <w:sz w:val="18"/>
      <w:szCs w:val="18"/>
    </w:rPr>
  </w:style>
  <w:style w:type="character" w:styleId="905" w:customStyle="1">
    <w:name w:val="页脚 字符"/>
    <w:link w:val="686"/>
    <w:uiPriority w:val="0"/>
    <w:qFormat/>
    <w:rPr>
      <w:rFonts w:ascii="Times New Roman" w:hAnsi="Times New Roman" w:eastAsia="宋体" w:cs="Times New Roman"/>
      <w:sz w:val="18"/>
      <w:szCs w:val="18"/>
    </w:rPr>
  </w:style>
  <w:style w:type="character" w:styleId="906" w:customStyle="1">
    <w:name w:val="页眉 字符"/>
    <w:link w:val="687"/>
    <w:uiPriority w:val="0"/>
    <w:qFormat/>
    <w:rPr>
      <w:rFonts w:ascii="Times New Roman" w:hAnsi="Times New Roman" w:eastAsia="宋体" w:cs="Times New Roman"/>
      <w:sz w:val="18"/>
      <w:szCs w:val="18"/>
    </w:rPr>
  </w:style>
  <w:style w:type="character" w:styleId="907" w:customStyle="1">
    <w:name w:val="正文文本缩进 3 字符"/>
    <w:link w:val="694"/>
    <w:uiPriority w:val="0"/>
    <w:qFormat/>
    <w:rPr>
      <w:rFonts w:ascii="Arial" w:hAnsi="Arial" w:eastAsia="仿宋_GB2312" w:cs="Arial"/>
      <w:color w:val="ffff00"/>
      <w:sz w:val="32"/>
      <w:szCs w:val="32"/>
    </w:rPr>
  </w:style>
  <w:style w:type="character" w:styleId="908" w:customStyle="1">
    <w:name w:val="正文文本 2 字符"/>
    <w:link w:val="698"/>
    <w:uiPriority w:val="0"/>
    <w:qFormat/>
    <w:rPr>
      <w:rFonts w:ascii="楷体_GB2312" w:hAnsi="Times New Roman" w:eastAsia="楷体_GB2312" w:cs="Times New Roman"/>
      <w:sz w:val="28"/>
      <w:szCs w:val="28"/>
    </w:rPr>
  </w:style>
  <w:style w:type="character" w:styleId="909" w:customStyle="1">
    <w:name w:val="批注主题 字符"/>
    <w:link w:val="702"/>
    <w:uiPriority w:val="0"/>
    <w:semiHidden/>
    <w:qFormat/>
    <w:rPr>
      <w:rFonts w:ascii="Times New Roman" w:hAnsi="Times New Roman" w:eastAsia="宋体" w:cs="Times New Roman"/>
      <w:b/>
      <w:bCs/>
      <w:szCs w:val="21"/>
    </w:rPr>
  </w:style>
  <w:style w:type="character" w:styleId="910" w:customStyle="1">
    <w:name w:val="正文文本首行缩进 字符"/>
    <w:link w:val="703"/>
    <w:uiPriority w:val="0"/>
    <w:qFormat/>
    <w:rPr>
      <w:rFonts w:ascii="仿宋_GB2312" w:hAnsi="Times New Roman" w:eastAsia="仿宋_GB2312" w:cs="Times New Roman"/>
      <w:sz w:val="30"/>
      <w:szCs w:val="30"/>
    </w:rPr>
  </w:style>
  <w:style w:type="paragraph" w:styleId="911" w:customStyle="1">
    <w:name w:val="正文文本首行缩进 211"/>
    <w:basedOn w:val="722"/>
    <w:uiPriority w:val="0"/>
    <w:qFormat/>
    <w:pPr>
      <w:ind w:left="0" w:firstLine="420"/>
      <w:spacing w:after="0" w:line="360" w:lineRule="auto"/>
    </w:pPr>
    <w:rPr>
      <w:rFonts w:ascii="宋体" w:hAnsi="宋体"/>
      <w:sz w:val="20"/>
      <w:szCs w:val="20"/>
      <w:lang w:eastAsia="en-US"/>
    </w:rPr>
  </w:style>
  <w:style w:type="character" w:styleId="912" w:customStyle="1">
    <w:name w:val="font5 Char"/>
    <w:uiPriority w:val="0"/>
    <w:qFormat/>
    <w:rPr>
      <w:rFonts w:ascii="宋体" w:hAnsi="宋体" w:eastAsia="宋体"/>
      <w:sz w:val="28"/>
      <w:szCs w:val="28"/>
      <w:lang w:val="en-US" w:eastAsia="zh-CN" w:bidi="ar-SA"/>
    </w:rPr>
  </w:style>
  <w:style w:type="character" w:styleId="913" w:customStyle="1">
    <w:name w:val="二级目录 Char"/>
    <w:link w:val="914"/>
    <w:uiPriority w:val="0"/>
    <w:qFormat/>
    <w:rPr>
      <w:b/>
      <w:sz w:val="30"/>
      <w:szCs w:val="28"/>
    </w:rPr>
  </w:style>
  <w:style w:type="paragraph" w:styleId="914" w:customStyle="1">
    <w:name w:val="二级目录"/>
    <w:next w:val="656"/>
    <w:link w:val="91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656"/>
    <w:link w:val="915"/>
    <w:uiPriority w:val="0"/>
    <w:qFormat/>
    <w:pPr>
      <w:contextualSpacing/>
      <w:ind w:left="720"/>
      <w:jc w:val="left"/>
      <w:widowControl/>
    </w:pPr>
    <w:rPr>
      <w:rFonts w:ascii="Calibri" w:hAnsi="Calibri"/>
      <w:sz w:val="24"/>
      <w:szCs w:val="24"/>
      <w:lang w:eastAsia="en-US" w:bidi="en-US"/>
    </w:rPr>
  </w:style>
  <w:style w:type="paragraph" w:styleId="917" w:customStyle="1">
    <w:name w:val="Body Text(ch)"/>
    <w:basedOn w:val="656"/>
    <w:next w:val="674"/>
    <w:uiPriority w:val="0"/>
    <w:qFormat/>
    <w:pPr>
      <w:spacing w:after="120"/>
    </w:pPr>
    <w:rPr>
      <w:rFonts w:ascii="宋体" w:hAnsi="Arial"/>
      <w:bCs/>
      <w:iCs/>
      <w:szCs w:val="24"/>
    </w:rPr>
  </w:style>
  <w:style w:type="paragraph" w:styleId="918"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9"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0" w:customStyle="1">
    <w:name w:val="Char"/>
    <w:basedOn w:val="656"/>
    <w:uiPriority w:val="0"/>
    <w:qFormat/>
    <w:pPr>
      <w:ind w:firstLine="200"/>
      <w:tabs>
        <w:tab w:val="left" w:pos="360" w:leader="none"/>
      </w:tabs>
    </w:pPr>
    <w:rPr>
      <w:sz w:val="28"/>
      <w:szCs w:val="30"/>
    </w:rPr>
  </w:style>
  <w:style w:type="paragraph" w:styleId="921" w:customStyle="1">
    <w:name w:val="Char1"/>
    <w:basedOn w:val="671"/>
    <w:uiPriority w:val="0"/>
    <w:qFormat/>
    <w:rPr>
      <w:rFonts w:ascii="Tahoma" w:hAnsi="Tahoma"/>
      <w:sz w:val="24"/>
      <w:szCs w:val="24"/>
    </w:rPr>
  </w:style>
  <w:style w:type="paragraph" w:styleId="922"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23" w:customStyle="1">
    <w:name w:val="table_lines"/>
    <w:basedOn w:val="656"/>
    <w:uiPriority w:val="0"/>
    <w:qFormat/>
    <w:pPr>
      <w:jc w:val="left"/>
      <w:widowControl/>
    </w:pPr>
    <w:rPr>
      <w:sz w:val="20"/>
      <w:szCs w:val="20"/>
      <w:lang w:val="de-DE" w:eastAsia="de-DE"/>
    </w:rPr>
  </w:style>
  <w:style w:type="paragraph" w:styleId="92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5"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26" w:customStyle="1">
    <w:name w:val="Char Char Char Char"/>
    <w:basedOn w:val="671"/>
    <w:uiPriority w:val="0"/>
    <w:qFormat/>
    <w:pPr>
      <w:spacing w:line="360" w:lineRule="auto"/>
    </w:pPr>
    <w:rPr>
      <w:rFonts w:ascii="Tahoma" w:hAnsi="Tahoma"/>
      <w:sz w:val="24"/>
      <w:szCs w:val="24"/>
    </w:rPr>
  </w:style>
  <w:style w:type="paragraph" w:styleId="927" w:customStyle="1">
    <w:name w:val="4"/>
    <w:basedOn w:val="656"/>
    <w:next w:val="694"/>
    <w:uiPriority w:val="0"/>
    <w:qFormat/>
    <w:pPr>
      <w:ind w:firstLine="420"/>
      <w:spacing w:line="360" w:lineRule="auto"/>
    </w:pPr>
    <w:rPr>
      <w:color w:val="ff0000"/>
      <w:sz w:val="24"/>
      <w:szCs w:val="24"/>
    </w:rPr>
  </w:style>
  <w:style w:type="paragraph" w:styleId="928"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29" w:customStyle="1">
    <w:name w:val="Char Char Char Char Char Char Char Char Char Char"/>
    <w:basedOn w:val="656"/>
    <w:uiPriority w:val="0"/>
    <w:qFormat/>
    <w:pPr>
      <w:spacing w:line="360" w:lineRule="auto"/>
    </w:pPr>
    <w:rPr>
      <w:sz w:val="24"/>
      <w:szCs w:val="20"/>
    </w:rPr>
  </w:style>
  <w:style w:type="paragraph" w:styleId="930" w:customStyle="1">
    <w:name w:val="样式1"/>
    <w:basedOn w:val="656"/>
    <w:uiPriority w:val="0"/>
    <w:qFormat/>
    <w:pPr>
      <w:numPr>
        <w:ilvl w:val="0"/>
        <w:numId w:val="3"/>
      </w:numPr>
    </w:pPr>
    <w:rPr>
      <w:rFonts w:ascii="宋体" w:hAnsi="宋体"/>
      <w:szCs w:val="21"/>
    </w:rPr>
  </w:style>
  <w:style w:type="paragraph" w:styleId="931"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32"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3"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4"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35"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38"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9"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40"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41" w:customStyle="1">
    <w:name w:val="Char Char Char Char1"/>
    <w:basedOn w:val="671"/>
    <w:uiPriority w:val="0"/>
    <w:qFormat/>
    <w:pPr>
      <w:spacing w:line="360" w:lineRule="auto"/>
    </w:pPr>
    <w:rPr>
      <w:rFonts w:ascii="Tahoma" w:hAnsi="Tahoma"/>
      <w:sz w:val="24"/>
      <w:szCs w:val="24"/>
    </w:rPr>
  </w:style>
  <w:style w:type="paragraph" w:styleId="942" w:customStyle="1">
    <w:name w:val="table_1stline"/>
    <w:basedOn w:val="656"/>
    <w:uiPriority w:val="0"/>
    <w:qFormat/>
    <w:pPr>
      <w:jc w:val="left"/>
      <w:spacing w:before="120"/>
      <w:widowControl/>
    </w:pPr>
    <w:rPr>
      <w:bCs/>
      <w:sz w:val="20"/>
      <w:szCs w:val="20"/>
      <w:lang w:val="de-DE" w:eastAsia="de-DE"/>
    </w:rPr>
  </w:style>
  <w:style w:type="paragraph" w:styleId="943"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44"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customStyle="1">
    <w:name w:val="修订1"/>
    <w:uiPriority w:val="99"/>
    <w:semiHidden/>
    <w:qFormat/>
    <w:rPr>
      <w:rFonts w:ascii="Times New Roman" w:hAnsi="Times New Roman" w:eastAsia="宋体" w:cs="Times New Roman"/>
      <w:sz w:val="21"/>
      <w:szCs w:val="21"/>
      <w:lang w:val="en-US" w:eastAsia="zh-CN" w:bidi="ar-SA"/>
    </w:rPr>
  </w:style>
  <w:style w:type="table" w:styleId="946" w:customStyle="1">
    <w:name w:val="Table Normal"/>
    <w:uiPriority w:val="0"/>
    <w:qFormat/>
    <w:tblPr>
      <w:tblCellMar>
        <w:left w:w="0" w:type="dxa"/>
        <w:top w:w="0" w:type="dxa"/>
        <w:right w:w="0" w:type="dxa"/>
        <w:bottom w:w="0" w:type="dxa"/>
      </w:tblCellMar>
    </w:tblPr>
  </w:style>
  <w:style w:type="paragraph" w:styleId="947" w:customStyle="1">
    <w:name w:val="正文文本12"/>
    <w:basedOn w:val="656"/>
    <w:uiPriority w:val="1"/>
    <w:qFormat/>
    <w:pPr>
      <w:ind w:left="120"/>
    </w:pPr>
    <w:rPr>
      <w:rFonts w:ascii="宋体" w:hAnsi="宋体" w:cs="宋体"/>
      <w:szCs w:val="21"/>
      <w:lang w:val="zh-CN" w:bidi="zh-CN"/>
    </w:rPr>
  </w:style>
  <w:style w:type="paragraph" w:styleId="948" w:customStyle="1">
    <w:name w:val="正文文本 211"/>
    <w:basedOn w:val="656"/>
    <w:uiPriority w:val="99"/>
    <w:qFormat/>
    <w:pPr>
      <w:jc w:val="center"/>
    </w:pPr>
    <w:rPr>
      <w:b/>
      <w:bCs/>
      <w:sz w:val="20"/>
      <w:szCs w:val="20"/>
    </w:rPr>
  </w:style>
  <w:style w:type="paragraph" w:styleId="949" w:customStyle="1">
    <w:name w:val="正文文本1"/>
    <w:basedOn w:val="656"/>
    <w:next w:val="656"/>
    <w:uiPriority w:val="0"/>
    <w:semiHidden/>
    <w:qFormat/>
    <w:rPr>
      <w:rFonts w:ascii="Arial" w:hAnsi="Arial" w:eastAsia="Arial" w:cs="Arial"/>
      <w:szCs w:val="21"/>
      <w:lang w:eastAsia="en-US"/>
    </w:rPr>
  </w:style>
  <w:style w:type="paragraph" w:styleId="950" w:customStyle="1">
    <w:name w:val="Table Paragraph"/>
    <w:basedOn w:val="656"/>
    <w:uiPriority w:val="1"/>
    <w:qFormat/>
    <w:pPr>
      <w:jc w:val="left"/>
    </w:pPr>
    <w:rPr>
      <w:rFonts w:ascii="宋体" w:hAnsi="宋体" w:cs="宋体"/>
      <w:sz w:val="22"/>
      <w:lang w:val="zh-CN" w:bidi="zh-CN"/>
    </w:rPr>
  </w:style>
  <w:style w:type="table" w:styleId="951" w:customStyle="1">
    <w:name w:val="网格型1"/>
    <w:basedOn w:val="952"/>
    <w:uiPriority w:val="0"/>
    <w:qFormat/>
    <w:pPr>
      <w:jc w:val="both"/>
      <w:widowControl w:val="off"/>
    </w:pPr>
    <w:tblPr/>
  </w:style>
  <w:style w:type="table" w:styleId="952" w:customStyle="1">
    <w:name w:val="普通表格1"/>
    <w:uiPriority w:val="99"/>
    <w:unhideWhenUsed/>
    <w:qFormat/>
    <w:tblPr>
      <w:tblCellMar>
        <w:left w:w="0" w:type="dxa"/>
        <w:top w:w="0" w:type="dxa"/>
        <w:right w:w="0" w:type="dxa"/>
        <w:bottom w:w="0" w:type="dxa"/>
      </w:tblCellMar>
    </w:tblPr>
  </w:style>
  <w:style w:type="character" w:styleId="953" w:customStyle="1">
    <w:name w:val="font21"/>
    <w:basedOn w:val="666"/>
    <w:uiPriority w:val="0"/>
    <w:qFormat/>
    <w:rPr>
      <w:rFonts w:hint="eastAsia" w:ascii="宋体" w:hAnsi="宋体" w:eastAsia="宋体" w:cs="宋体"/>
      <w:color w:val="000000"/>
      <w:sz w:val="20"/>
      <w:szCs w:val="20"/>
      <w:u w:val="none"/>
    </w:rPr>
  </w:style>
  <w:style w:type="character" w:styleId="954" w:customStyle="1">
    <w:name w:val="font71"/>
    <w:basedOn w:val="666"/>
    <w:uiPriority w:val="0"/>
    <w:qFormat/>
    <w:rPr>
      <w:rFonts w:hint="eastAsia" w:ascii="宋体" w:hAnsi="宋体" w:eastAsia="宋体" w:cs="宋体"/>
      <w:b/>
      <w:bCs/>
      <w:color w:val="000000"/>
      <w:sz w:val="20"/>
      <w:szCs w:val="20"/>
      <w:u w:val="none"/>
    </w:rPr>
  </w:style>
  <w:style w:type="character" w:styleId="955" w:customStyle="1">
    <w:name w:val="font31"/>
    <w:basedOn w:val="666"/>
    <w:uiPriority w:val="0"/>
    <w:qFormat/>
    <w:rPr>
      <w:rFonts w:hint="eastAsia" w:ascii="宋体" w:hAnsi="宋体" w:eastAsia="宋体" w:cs="宋体"/>
      <w:color w:val="000000"/>
      <w:sz w:val="20"/>
      <w:szCs w:val="20"/>
      <w:u w:val="none"/>
    </w:rPr>
  </w:style>
  <w:style w:type="paragraph" w:styleId="956" w:customStyle="1">
    <w:name w:val="List Paragraph1"/>
    <w:basedOn w:val="656"/>
    <w:uiPriority w:val="99"/>
    <w:qFormat/>
    <w:pPr>
      <w:ind w:firstLine="420"/>
    </w:pPr>
  </w:style>
  <w:style w:type="numbering" w:styleId="115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6</cp:revision>
  <dcterms:created xsi:type="dcterms:W3CDTF">2026-06-18T17:22:00Z</dcterms:created>
  <dcterms:modified xsi:type="dcterms:W3CDTF">2026-09-22T05:45:53Z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7049752CFE9849E2B0C01351EDE38FEE_13</vt:lpwstr>
  </property>
</Properties>
</file>