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rPr>
          <w:rFonts w:hint="eastAsia" w:ascii="宋体" w:hAnsi="宋体" w:cs="宋体"/>
          <w:b/>
          <w:color w:val="auto"/>
          <w:sz w:val="84"/>
          <w:highlight w:val="none"/>
        </w:rPr>
      </w:pPr>
      <w:r>
        <w:rPr>
          <w:rFonts w:hint="eastAsia" w:ascii="宋体" w:hAnsi="宋体" w:cs="宋体"/>
          <w:b/>
          <w:color w:val="auto"/>
          <w:sz w:val="84"/>
          <w:highlight w:val="none"/>
        </w:rPr>
        <w:t xml:space="preserve">苏 州 市 政 府 采 购</w:t>
      </w:r>
      <w:r/>
    </w:p>
    <w:p>
      <w:pPr>
        <w:jc w:val="center"/>
        <w:rPr>
          <w:rFonts w:hint="eastAsia" w:ascii="宋体" w:hAnsi="宋体" w:cs="宋体"/>
          <w:b/>
          <w:bCs/>
          <w:color w:val="auto"/>
          <w:sz w:val="84"/>
          <w:szCs w:val="84"/>
          <w:highlight w:val="none"/>
        </w:rPr>
      </w:pPr>
      <w:r>
        <w:rPr>
          <w:rFonts w:hint="eastAsia" w:ascii="宋体" w:hAnsi="宋体" w:cs="宋体"/>
          <w:b/>
          <w:color w:val="auto"/>
          <w:sz w:val="84"/>
          <w:highlight w:val="none"/>
        </w:rPr>
        <w:t xml:space="preserve">招标文件</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ind w:firstLine="1276"/>
        <w:jc w:val="left"/>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招标编号：</w:t>
      </w:r>
      <w:r>
        <w:rPr>
          <w:rFonts w:hint="eastAsia" w:ascii="宋体" w:hAnsi="宋体" w:cs="宋体"/>
          <w:b/>
          <w:bCs/>
          <w:color w:val="auto"/>
          <w:sz w:val="28"/>
          <w:szCs w:val="28"/>
          <w:highlight w:val="none"/>
          <w:lang w:eastAsia="zh-CN"/>
        </w:rPr>
        <w:t xml:space="preserve">JSZC-320506-SZSD-G2026-0055</w:t>
      </w:r>
      <w:r>
        <w:rPr>
          <w:rFonts w:ascii="宋体" w:hAnsi="宋体" w:cs="宋体"/>
          <w:b/>
          <w:bCs/>
          <w:color w:val="auto"/>
          <w:sz w:val="28"/>
          <w:szCs w:val="28"/>
          <w:highlight w:val="none"/>
        </w:rPr>
        <w:t xml:space="preserve"> </w:t>
      </w:r>
      <w:r>
        <w:rPr>
          <w:rFonts w:hint="eastAsia" w:ascii="宋体" w:hAnsi="宋体" w:cs="宋体"/>
          <w:b/>
          <w:bCs/>
          <w:color w:val="auto"/>
          <w:sz w:val="28"/>
          <w:szCs w:val="28"/>
          <w:highlight w:val="none"/>
        </w:rPr>
        <w:t xml:space="preserve">   </w:t>
      </w:r>
      <w:r/>
    </w:p>
    <w:p>
      <w:pPr>
        <w:ind w:firstLine="1276"/>
        <w:jc w:val="left"/>
        <w:spacing w:line="360" w:lineRule="auto"/>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rPr>
        <w:t xml:space="preserve">采购单位：</w:t>
      </w:r>
      <w:r>
        <w:rPr>
          <w:rFonts w:hint="eastAsia" w:ascii="宋体" w:hAnsi="宋体" w:cs="宋体"/>
          <w:b/>
          <w:bCs/>
          <w:color w:val="auto"/>
          <w:sz w:val="28"/>
          <w:szCs w:val="28"/>
          <w:highlight w:val="none"/>
          <w:lang w:eastAsia="zh-CN"/>
        </w:rPr>
        <w:t xml:space="preserve">苏州市文化广电和旅游局</w:t>
      </w:r>
      <w:r/>
    </w:p>
    <w:p>
      <w:pPr>
        <w:ind w:firstLine="1276"/>
        <w:jc w:val="left"/>
        <w:spacing w:line="360" w:lineRule="auto"/>
        <w:rPr>
          <w:rFonts w:hint="eastAsia" w:ascii="宋体" w:hAnsi="宋体" w:cs="宋体"/>
          <w:b/>
          <w:bCs/>
          <w:color w:val="auto"/>
          <w:sz w:val="28"/>
          <w:szCs w:val="28"/>
          <w:highlight w:val="none"/>
          <w:lang w:eastAsia="zh-CN"/>
        </w:rPr>
      </w:pPr>
      <w:r>
        <w:rPr>
          <w:rFonts w:hint="eastAsia" w:ascii="宋体" w:hAnsi="宋体" w:cs="宋体"/>
          <w:b/>
          <w:bCs/>
          <w:color w:val="auto"/>
          <w:sz w:val="28"/>
          <w:szCs w:val="28"/>
          <w:highlight w:val="none"/>
        </w:rPr>
        <w:t xml:space="preserve">采购内容：2026年第二批考古发掘保障服务</w:t>
      </w:r>
      <w:r/>
    </w:p>
    <w:p>
      <w:pPr>
        <w:ind w:firstLine="1276"/>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项目类别：</w:t>
      </w:r>
      <w:r>
        <w:rPr>
          <w:rFonts w:hint="eastAsia" w:ascii="宋体" w:hAnsi="宋体"/>
          <w:b/>
          <w:bCs/>
          <w:color w:val="auto"/>
          <w:sz w:val="28"/>
          <w:szCs w:val="28"/>
          <w:highlight w:val="none"/>
        </w:rPr>
        <w:t xml:space="preserve">服务类</w:t>
      </w:r>
      <w:r/>
    </w:p>
    <w:p>
      <w:pPr>
        <w:pStyle w:val="1032"/>
        <w:ind w:firstLine="420"/>
        <w:rPr>
          <w:rFonts w:hint="eastAsia" w:ascii="宋体" w:hAnsi="宋体" w:cs="宋体"/>
          <w:color w:val="auto"/>
          <w:highlight w:val="none"/>
        </w:rPr>
      </w:pPr>
      <w:r>
        <w:rPr>
          <w:rFonts w:hint="eastAsia" w:ascii="宋体" w:hAnsi="宋体" w:cs="宋体"/>
          <w:color w:val="auto"/>
          <w:highlight w:val="none"/>
        </w:rPr>
      </w:r>
      <w:r/>
    </w:p>
    <w:p>
      <w:pPr>
        <w:pStyle w:val="1032"/>
        <w:ind w:firstLine="420"/>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32"/>
          <w:highlight w:val="none"/>
        </w:rPr>
      </w:pPr>
      <w:r>
        <w:rPr>
          <w:rFonts w:hint="eastAsia" w:ascii="宋体" w:hAnsi="宋体" w:cs="宋体"/>
          <w:color w:val="auto"/>
          <w:sz w:val="32"/>
          <w:highlight w:val="none"/>
        </w:rPr>
        <mc:AlternateContent>
          <mc:Choice Requires="wpg">
            <w:drawing>
              <wp:inline xmlns:wp="http://schemas.openxmlformats.org/drawingml/2006/wordprocessingDrawing" distT="0" distB="0" distL="0" distR="0">
                <wp:extent cx="2793365" cy="1384935"/>
                <wp:effectExtent l="0" t="0" r="6985" b="5715"/>
                <wp:docPr id="10" name="图片 4"/>
                <wp:cNvGraphicFramePr/>
                <a:graphic xmlns:a="http://schemas.openxmlformats.org/drawingml/2006/main">
                  <a:graphicData uri="http://schemas.openxmlformats.org/drawingml/2006/picture">
                    <pic:pic xmlns:pic="http://schemas.openxmlformats.org/drawingml/2006/picture">
                      <pic:nvPicPr>
                        <pic:cNvPr id="6" name="图片 4"/>
                        <pic:cNvPicPr/>
                        <pic:nvPr/>
                      </pic:nvPicPr>
                      <pic:blipFill>
                        <a:blip r:embed="rId20"/>
                        <a:stretch/>
                      </pic:blipFill>
                      <pic:spPr bwMode="auto">
                        <a:xfrm>
                          <a:off x="0" y="0"/>
                          <a:ext cx="2793467" cy="1385049"/>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19.9pt;height:109.0pt;mso-wrap-distance-left:0.0pt;mso-wrap-distance-top:0.0pt;mso-wrap-distance-right:0.0pt;mso-wrap-distance-bottom:0.0pt;" stroked="f">
                <v:path textboxrect="0,0,0,0"/>
                <v:imagedata r:id="rId20" o:title=""/>
              </v:shape>
            </w:pict>
          </mc:Fallback>
        </mc:AlternateContent>
      </w:r>
      <w:r/>
    </w:p>
    <w:p>
      <w:pPr>
        <w:rPr>
          <w:rFonts w:hint="eastAsia" w:ascii="宋体" w:hAnsi="宋体" w:cs="宋体"/>
          <w:color w:val="auto"/>
          <w:sz w:val="32"/>
          <w:highlight w:val="none"/>
        </w:rPr>
      </w:pPr>
      <w:r>
        <w:rPr>
          <w:rFonts w:hint="eastAsia" w:ascii="宋体" w:hAnsi="宋体" w:cs="宋体"/>
          <w:color w:val="auto"/>
          <w:sz w:val="32"/>
          <w:highlight w:val="none"/>
        </w:rPr>
      </w:r>
      <w:r/>
    </w:p>
    <w:p>
      <w:pPr>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苏州时代招投标有限公司</w:t>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二〇二六年</w:t>
      </w:r>
      <w:r>
        <w:rPr>
          <w:rFonts w:hint="eastAsia" w:ascii="宋体" w:hAnsi="宋体" w:cs="宋体"/>
          <w:color w:val="auto"/>
          <w:sz w:val="32"/>
          <w:szCs w:val="32"/>
          <w:highlight w:val="none"/>
          <w:lang w:val="en-US" w:eastAsia="zh-CN"/>
        </w:rPr>
        <w:t xml:space="preserve">十</w:t>
      </w:r>
      <w:r>
        <w:rPr>
          <w:rFonts w:hint="eastAsia" w:ascii="宋体" w:hAnsi="宋体" w:cs="宋体"/>
          <w:color w:val="auto"/>
          <w:sz w:val="32"/>
          <w:szCs w:val="32"/>
          <w:highlight w:val="none"/>
        </w:rPr>
        <w:t xml:space="preserve">月</w:t>
      </w:r>
      <w:r/>
    </w:p>
    <w:p>
      <w:pPr>
        <w:jc w:val="center"/>
        <w:spacing w:line="360" w:lineRule="auto"/>
        <w:rPr>
          <w:rFonts w:hint="eastAsia" w:ascii="宋体" w:hAnsi="宋体" w:cs="宋体"/>
          <w:color w:val="auto"/>
          <w:sz w:val="44"/>
          <w:szCs w:val="44"/>
          <w:highlight w:val="none"/>
        </w:rPr>
        <w:sectPr>
          <w:headerReference w:type="default" r:id="rId9"/>
          <w:footerReference w:type="default" r:id="rId11"/>
          <w:footnotePr/>
          <w:endnotePr/>
          <w:type w:val="nextPage"/>
          <w:pgSz w:w="11906" w:h="16838" w:orient="portrait"/>
          <w:pgMar w:top="1134" w:right="1134" w:bottom="1134" w:left="1134" w:header="907" w:footer="1020" w:gutter="0"/>
          <w:pgNumType w:start="1"/>
          <w:cols w:num="1" w:sep="0" w:space="1701" w:equalWidth="1"/>
          <w:docGrid w:linePitch="360"/>
        </w:sectPr>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t xml:space="preserve">总目录</w:t>
      </w:r>
      <w:r/>
    </w:p>
    <w:p>
      <w:pPr>
        <w:pStyle w:val="1028"/>
        <w:ind w:firstLine="0"/>
        <w:jc w:val="cente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ind w:firstLine="560"/>
        <w:spacing w:line="480" w:lineRule="auto"/>
        <w:rPr>
          <w:rFonts w:hint="eastAsia" w:ascii="宋体" w:hAnsi="宋体"/>
          <w:color w:val="auto"/>
          <w:sz w:val="28"/>
          <w:szCs w:val="28"/>
          <w:highlight w:val="none"/>
        </w:rPr>
      </w:pPr>
      <w:r>
        <w:rPr>
          <w:rFonts w:hint="eastAsia" w:ascii="宋体" w:hAnsi="宋体"/>
          <w:color w:val="auto"/>
          <w:sz w:val="28"/>
          <w:szCs w:val="28"/>
          <w:highlight w:val="none"/>
        </w:rPr>
        <w:t xml:space="preserve">前附表 …………………………………………………………… 2 </w:t>
      </w:r>
      <w:r/>
    </w:p>
    <w:p>
      <w:pPr>
        <w:ind w:firstLine="560"/>
        <w:spacing w:line="480" w:lineRule="auto"/>
        <w:rPr>
          <w:rFonts w:hint="eastAsia" w:ascii="宋体" w:hAnsi="宋体"/>
          <w:color w:val="auto"/>
          <w:sz w:val="28"/>
          <w:szCs w:val="28"/>
          <w:highlight w:val="none"/>
        </w:rPr>
      </w:pPr>
      <w:r>
        <w:rPr>
          <w:rFonts w:hint="eastAsia" w:ascii="宋体" w:hAnsi="宋体"/>
          <w:color w:val="auto"/>
          <w:sz w:val="28"/>
          <w:szCs w:val="28"/>
          <w:highlight w:val="none"/>
        </w:rPr>
        <w:t xml:space="preserve">第一章 投标邀请函……………………………………………… 4</w:t>
      </w:r>
      <w:r/>
    </w:p>
    <w:p>
      <w:pPr>
        <w:ind w:firstLine="560"/>
        <w:spacing w:line="480" w:lineRule="auto"/>
        <w:rPr>
          <w:rFonts w:hint="eastAsia" w:ascii="宋体" w:hAnsi="宋体"/>
          <w:color w:val="auto"/>
          <w:sz w:val="28"/>
          <w:szCs w:val="28"/>
          <w:highlight w:val="none"/>
        </w:rPr>
      </w:pPr>
      <w:r>
        <w:rPr>
          <w:rFonts w:hint="eastAsia" w:ascii="宋体" w:hAnsi="宋体"/>
          <w:color w:val="auto"/>
          <w:sz w:val="28"/>
          <w:szCs w:val="28"/>
          <w:highlight w:val="none"/>
        </w:rPr>
        <w:t xml:space="preserve">第二章 投标人须知……………………………………………… 8</w:t>
      </w:r>
      <w:r/>
    </w:p>
    <w:p>
      <w:pPr>
        <w:ind w:firstLine="560"/>
        <w:spacing w:line="480" w:lineRule="auto"/>
        <w:rPr>
          <w:rFonts w:hint="eastAsia"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第三章 投标文件格式……………………………………………2</w:t>
      </w:r>
      <w:r>
        <w:rPr>
          <w:rFonts w:hint="eastAsia" w:ascii="宋体" w:hAnsi="宋体"/>
          <w:color w:val="auto"/>
          <w:sz w:val="28"/>
          <w:szCs w:val="28"/>
          <w:highlight w:val="none"/>
          <w:lang w:val="en-US" w:eastAsia="zh-CN"/>
        </w:rPr>
        <w:t xml:space="preserve">3</w:t>
      </w:r>
      <w:r/>
    </w:p>
    <w:p>
      <w:pPr>
        <w:ind w:firstLine="560"/>
        <w:spacing w:line="480" w:lineRule="auto"/>
        <w:rPr>
          <w:rFonts w:hint="default"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第四章 招标书……………………………………………………</w:t>
      </w:r>
      <w:r>
        <w:rPr>
          <w:rFonts w:hint="eastAsia" w:ascii="宋体" w:hAnsi="宋体"/>
          <w:color w:val="auto"/>
          <w:sz w:val="28"/>
          <w:szCs w:val="28"/>
          <w:highlight w:val="none"/>
          <w:lang w:val="en-US" w:eastAsia="zh-CN"/>
        </w:rPr>
        <w:t xml:space="preserve">38</w:t>
      </w:r>
      <w:r/>
    </w:p>
    <w:p>
      <w:pPr>
        <w:ind w:firstLine="560"/>
        <w:spacing w:line="480" w:lineRule="auto"/>
        <w:rPr>
          <w:rFonts w:hint="default"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第五章 合同主要条款……………………………………………</w:t>
      </w:r>
      <w:r>
        <w:rPr>
          <w:rFonts w:hint="eastAsia" w:ascii="宋体" w:hAnsi="宋体"/>
          <w:color w:val="auto"/>
          <w:sz w:val="28"/>
          <w:szCs w:val="28"/>
          <w:highlight w:val="none"/>
          <w:lang w:val="en-US" w:eastAsia="zh-CN"/>
        </w:rPr>
        <w:t xml:space="preserve">46</w:t>
      </w:r>
      <w:r/>
    </w:p>
    <w:p>
      <w:pPr>
        <w:ind w:firstLine="560"/>
        <w:spacing w:line="480" w:lineRule="auto"/>
        <w:rPr>
          <w:rFonts w:hint="eastAsia"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第六章 评标方法、评分标准……………………………………61</w:t>
      </w:r>
      <w:r/>
    </w:p>
    <w:p>
      <w:pPr>
        <w:spacing w:line="480" w:lineRule="auto"/>
        <w:rPr>
          <w:rFonts w:hint="eastAsia" w:ascii="宋体" w:hAnsi="宋体" w:cs="宋体"/>
          <w:color w:val="auto"/>
          <w:spacing w:val="20"/>
          <w:sz w:val="36"/>
          <w:highlight w:val="none"/>
        </w:rPr>
        <w:sectPr>
          <w:footerReference w:type="default" r:id="rId12"/>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cs="宋体"/>
          <w:color w:val="auto"/>
          <w:spacing w:val="20"/>
          <w:sz w:val="36"/>
          <w:highlight w:val="none"/>
        </w:rPr>
      </w:r>
      <w:r/>
    </w:p>
    <w:p>
      <w:pPr>
        <w:jc w:val="center"/>
        <w:spacing w:line="360" w:lineRule="auto"/>
        <w:rPr>
          <w:rFonts w:hint="eastAsia" w:ascii="宋体" w:hAnsi="宋体" w:cs="宋体"/>
          <w:color w:val="auto"/>
          <w:spacing w:val="20"/>
          <w:sz w:val="36"/>
          <w:highlight w:val="none"/>
        </w:rPr>
      </w:pPr>
      <w:r>
        <w:rPr>
          <w:rFonts w:hint="eastAsia" w:ascii="宋体" w:hAnsi="宋体" w:cs="宋体"/>
          <w:color w:val="auto"/>
          <w:spacing w:val="20"/>
          <w:sz w:val="36"/>
          <w:highlight w:val="none"/>
        </w:rPr>
        <w:t xml:space="preserve">前附表</w:t>
      </w:r>
      <w:r/>
    </w:p>
    <w:p>
      <w:pPr>
        <w:ind w:right="88" w:firstLine="480"/>
        <w:spacing w:line="30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下述关于要采购的项目具体资料是对招标文件第一部分投标人须知的具体补充和修改，如果有矛盾的话，应以本附表为准。</w:t>
      </w:r>
      <w:r/>
    </w:p>
    <w:tbl>
      <w:tblPr>
        <w:tblStyle w:val="956"/>
        <w:tblW w:w="9060"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1975"/>
        <w:gridCol w:w="6334"/>
      </w:tblGrid>
      <w:tr>
        <w:trPr>
          <w:trHeight w:val="420"/>
        </w:trPr>
        <w:tc>
          <w:tcPr>
            <w:tcW w:w="751"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975"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   目</w:t>
            </w:r>
            <w:r/>
          </w:p>
        </w:tc>
        <w:tc>
          <w:tcPr>
            <w:tcW w:w="6334"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        容</w:t>
            </w:r>
            <w:r/>
          </w:p>
        </w:tc>
      </w:tr>
      <w:tr>
        <w:trPr>
          <w:trHeight w:val="420"/>
        </w:trPr>
        <w:tc>
          <w:tcPr>
            <w:tcW w:w="751"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975"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w:t>
            </w:r>
            <w:r/>
          </w:p>
        </w:tc>
        <w:tc>
          <w:tcPr>
            <w:tcW w:w="6334" w:type="dxa"/>
            <w:vAlign w:val="center"/>
            <w:textDirection w:val="lrTb"/>
            <w:noWrap w:val="false"/>
          </w:tcPr>
          <w:p>
            <w:pPr>
              <w:pStyle w:val="1184"/>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JSZC-320506-SZSD-G2026-0055</w:t>
            </w:r>
            <w:r>
              <w:rPr>
                <w:rFonts w:hint="eastAsia" w:ascii="宋体" w:hAnsi="宋体" w:cs="宋体"/>
                <w:color w:val="auto"/>
                <w:sz w:val="24"/>
                <w:szCs w:val="24"/>
                <w:highlight w:val="none"/>
              </w:rPr>
              <w:t xml:space="preserve">    </w:t>
            </w:r>
            <w:r/>
          </w:p>
        </w:tc>
      </w:tr>
      <w:tr>
        <w:trPr>
          <w:trHeight w:val="420"/>
        </w:trPr>
        <w:tc>
          <w:tcPr>
            <w:tcW w:w="751"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975"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W w:w="6334" w:type="dxa"/>
            <w:vAlign w:val="center"/>
            <w:textDirection w:val="lrTb"/>
            <w:noWrap w:val="false"/>
          </w:tcPr>
          <w:p>
            <w:pPr>
              <w:pStyle w:val="1184"/>
              <w:ind w:left="0"/>
              <w:jc w:val="left"/>
              <w:spacing w:after="0" w:line="24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2026年第二批考古发掘保障服务</w:t>
            </w:r>
            <w:r/>
          </w:p>
        </w:tc>
      </w:tr>
      <w:tr>
        <w:trPr>
          <w:trHeight w:val="420"/>
        </w:trPr>
        <w:tc>
          <w:tcPr>
            <w:tcW w:w="751"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975"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招标代理机构名称及地址</w:t>
            </w:r>
            <w:r/>
          </w:p>
        </w:tc>
        <w:tc>
          <w:tcPr>
            <w:tcW w:w="6334" w:type="dxa"/>
            <w:vAlign w:val="center"/>
            <w:textDirection w:val="lrTb"/>
            <w:noWrap w:val="false"/>
          </w:tcPr>
          <w:p>
            <w:pPr>
              <w:pStyle w:val="1184"/>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名称：苏州时代招投标有限公司</w:t>
            </w:r>
            <w:r/>
          </w:p>
          <w:p>
            <w:pPr>
              <w:pStyle w:val="1184"/>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地址：苏州市虎丘区滨河路1388号3B 501室</w:t>
            </w:r>
            <w:r/>
          </w:p>
          <w:p>
            <w:pPr>
              <w:pStyle w:val="1184"/>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邮编：215011</w:t>
            </w:r>
            <w:r/>
          </w:p>
          <w:p>
            <w:pPr>
              <w:pStyle w:val="1184"/>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电话/传真：0512-65201419</w:t>
            </w:r>
            <w:r/>
          </w:p>
          <w:p>
            <w:pPr>
              <w:pStyle w:val="1184"/>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联系人：叶素萍、汪泽华、褚磊、徐蕾、陈婷</w:t>
            </w:r>
            <w:r/>
          </w:p>
        </w:tc>
      </w:tr>
      <w:tr>
        <w:trPr>
          <w:trHeight w:val="420"/>
        </w:trPr>
        <w:tc>
          <w:tcPr>
            <w:tcW w:w="751"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975"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采购单位</w:t>
            </w:r>
            <w:r/>
          </w:p>
        </w:tc>
        <w:tc>
          <w:tcPr>
            <w:tcW w:w="6334" w:type="dxa"/>
            <w:vAlign w:val="center"/>
            <w:textDirection w:val="lrTb"/>
            <w:noWrap w:val="false"/>
          </w:tcPr>
          <w:p>
            <w:pPr>
              <w:pStyle w:val="1184"/>
              <w:ind w:left="0"/>
              <w:jc w:val="left"/>
              <w:spacing w:after="0" w:line="24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苏州市文化广电和旅游局</w:t>
            </w:r>
            <w:r/>
          </w:p>
          <w:p>
            <w:pPr>
              <w:pStyle w:val="1184"/>
              <w:ind w:left="0"/>
              <w:jc w:val="left"/>
              <w:spacing w:after="0"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胡磊</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联系电话：</w:t>
            </w:r>
            <w:r>
              <w:rPr>
                <w:rFonts w:hint="eastAsia" w:ascii="宋体" w:hAnsi="宋体" w:cs="宋体"/>
                <w:color w:val="auto"/>
                <w:sz w:val="24"/>
                <w:szCs w:val="24"/>
                <w:highlight w:val="none"/>
                <w:lang w:val="en-US" w:eastAsia="zh-CN"/>
              </w:rPr>
              <w:t xml:space="preserve">0512-69823131</w:t>
            </w:r>
            <w:r/>
          </w:p>
        </w:tc>
      </w:tr>
      <w:tr>
        <w:trPr>
          <w:trHeight w:val="420"/>
        </w:trPr>
        <w:tc>
          <w:tcPr>
            <w:tcW w:w="751"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1975"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标书组成</w:t>
            </w:r>
            <w:r/>
          </w:p>
        </w:tc>
        <w:tc>
          <w:tcPr>
            <w:tcW w:w="6334" w:type="dxa"/>
            <w:vAlign w:val="center"/>
            <w:textDirection w:val="lrTb"/>
            <w:noWrap w:val="false"/>
          </w:tcPr>
          <w:p>
            <w:pPr>
              <w:pStyle w:val="1184"/>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详见招标文件第二章。</w:t>
            </w:r>
            <w:r/>
          </w:p>
        </w:tc>
      </w:tr>
      <w:tr>
        <w:trPr>
          <w:trHeight w:val="420"/>
        </w:trPr>
        <w:tc>
          <w:tcPr>
            <w:tcW w:w="751"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1975"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334" w:type="dxa"/>
            <w:vAlign w:val="center"/>
            <w:textDirection w:val="lrTb"/>
            <w:noWrap w:val="false"/>
          </w:tcPr>
          <w:p>
            <w:pPr>
              <w:pStyle w:val="1184"/>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本项目免收投标保证金。</w:t>
            </w:r>
            <w:r/>
          </w:p>
        </w:tc>
      </w:tr>
      <w:tr>
        <w:trPr>
          <w:trHeight w:val="420"/>
        </w:trPr>
        <w:tc>
          <w:tcPr>
            <w:tcW w:w="751"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1975"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334" w:type="dxa"/>
            <w:vAlign w:val="center"/>
            <w:textDirection w:val="lrTb"/>
            <w:noWrap w:val="false"/>
          </w:tcPr>
          <w:p>
            <w:pPr>
              <w:pStyle w:val="1184"/>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开标后九十日</w:t>
            </w:r>
            <w:r/>
          </w:p>
        </w:tc>
      </w:tr>
      <w:tr>
        <w:trPr>
          <w:trHeight w:val="420"/>
        </w:trPr>
        <w:tc>
          <w:tcPr>
            <w:tcW w:w="751"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W w:w="1975"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w:t>
            </w:r>
            <w:r/>
          </w:p>
        </w:tc>
        <w:tc>
          <w:tcPr>
            <w:tcW w:w="6334" w:type="dxa"/>
            <w:vAlign w:val="center"/>
            <w:textDirection w:val="lrTb"/>
            <w:noWrap w:val="false"/>
          </w:tcPr>
          <w:p>
            <w:pPr>
              <w:pStyle w:val="1184"/>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本项目采用电子投标文件，投标人按照招标文件要求制作上传电子投标文件，投标人无需提供纸质投标文件。</w:t>
            </w:r>
            <w:r/>
          </w:p>
        </w:tc>
      </w:tr>
      <w:tr>
        <w:trPr>
          <w:trHeight w:val="420"/>
        </w:trPr>
        <w:tc>
          <w:tcPr>
            <w:tcW w:w="751"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W w:w="1975"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获取招标文件</w:t>
            </w:r>
            <w:r/>
          </w:p>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时间</w:t>
            </w:r>
            <w:r/>
          </w:p>
        </w:tc>
        <w:tc>
          <w:tcPr>
            <w:tcW w:w="6334" w:type="dxa"/>
            <w:vAlign w:val="center"/>
            <w:textDirection w:val="lrTb"/>
            <w:noWrap w:val="false"/>
          </w:tcPr>
          <w:p>
            <w:pPr>
              <w:pStyle w:val="1184"/>
              <w:ind w:left="0"/>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自公告发布之日起5个工作日</w:t>
            </w:r>
            <w:r/>
          </w:p>
        </w:tc>
      </w:tr>
      <w:tr>
        <w:trPr>
          <w:trHeight w:val="420"/>
        </w:trPr>
        <w:tc>
          <w:tcPr>
            <w:tcW w:w="751"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1975" w:type="dxa"/>
            <w:vAlign w:val="center"/>
            <w:textDirection w:val="lrTb"/>
            <w:noWrap w:val="false"/>
          </w:tcPr>
          <w:p>
            <w:pPr>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投标文件网上</w:t>
            </w:r>
            <w:r/>
          </w:p>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提交截止时间</w:t>
            </w:r>
            <w:r/>
          </w:p>
        </w:tc>
        <w:tc>
          <w:tcPr>
            <w:tcW w:w="6334" w:type="dxa"/>
            <w:vAlign w:val="center"/>
            <w:textDirection w:val="lrTb"/>
            <w:noWrap w:val="false"/>
          </w:tcPr>
          <w:p>
            <w:pPr>
              <w:pStyle w:val="1184"/>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2026年</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月9日13:30（北京时间）</w:t>
            </w:r>
            <w:r/>
          </w:p>
          <w:p>
            <w:pPr>
              <w:pStyle w:val="1184"/>
              <w:ind w:left="0"/>
              <w:jc w:val="left"/>
              <w:spacing w:after="0" w:line="24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投标文件必须在截止时间前完成提交（上传），逾期提交（上传）的投标文件恕不接受。</w:t>
            </w:r>
            <w:r/>
          </w:p>
        </w:tc>
      </w:tr>
      <w:tr>
        <w:trPr>
          <w:trHeight w:val="420"/>
        </w:trPr>
        <w:tc>
          <w:tcPr>
            <w:tcW w:w="751"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w:t>
            </w:r>
            <w:r/>
          </w:p>
        </w:tc>
        <w:tc>
          <w:tcPr>
            <w:tcW w:w="1975"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开标时间及</w:t>
            </w:r>
            <w:r/>
          </w:p>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开标地点</w:t>
            </w:r>
            <w:r/>
          </w:p>
        </w:tc>
        <w:tc>
          <w:tcPr>
            <w:tcW w:w="6334" w:type="dxa"/>
            <w:vAlign w:val="center"/>
            <w:textDirection w:val="lrTb"/>
            <w:noWrap w:val="false"/>
          </w:tcPr>
          <w:p>
            <w:pPr>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2026年</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月9日13:30（北京时间）</w:t>
            </w:r>
            <w:r/>
          </w:p>
          <w:p>
            <w:pPr>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“苏采云”系统（网址：http://jszfcg.jsczt.cn/）</w:t>
            </w:r>
            <w:r/>
          </w:p>
          <w:p>
            <w:pPr>
              <w:pStyle w:val="1184"/>
              <w:ind w:left="0"/>
              <w:jc w:val="left"/>
              <w:spacing w:after="0" w:line="240" w:lineRule="auto"/>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本项目为线上不见面开标项目，开标阶段供应商在【供应商解密】环节必须使用 CA证书解密电子投标文件，如在系统规定的解密时间（投标文件提交截止时间后30分钟）内未能完成解密的视为放弃投标。</w:t>
            </w:r>
            <w:r/>
          </w:p>
        </w:tc>
      </w:tr>
      <w:tr>
        <w:trPr>
          <w:trHeight w:val="420"/>
        </w:trPr>
        <w:tc>
          <w:tcPr>
            <w:tcW w:w="751"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w:t>
            </w:r>
            <w:r/>
          </w:p>
        </w:tc>
        <w:tc>
          <w:tcPr>
            <w:tcW w:w="1975" w:type="dxa"/>
            <w:vAlign w:val="center"/>
            <w:textDirection w:val="lrTb"/>
            <w:noWrap w:val="false"/>
          </w:tcPr>
          <w:p>
            <w:pPr>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评标时间及</w:t>
            </w:r>
            <w:r/>
          </w:p>
          <w:p>
            <w:pPr>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评标地点</w:t>
            </w:r>
            <w:r/>
          </w:p>
        </w:tc>
        <w:tc>
          <w:tcPr>
            <w:tcW w:w="6334" w:type="dxa"/>
            <w:vAlign w:val="center"/>
            <w:textDirection w:val="lrTb"/>
            <w:noWrap w:val="false"/>
          </w:tcPr>
          <w:p>
            <w:pPr>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2026年</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月9日13:30（北京时间）</w:t>
            </w:r>
            <w:r/>
          </w:p>
          <w:p>
            <w:pPr>
              <w:jc w:val="left"/>
              <w:spacing w:after="0" w:line="240" w:lineRule="auto"/>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苏州市高新区邓尉路105号狮山科技馆8楼（投标人无需到场）</w:t>
            </w:r>
            <w:r/>
          </w:p>
        </w:tc>
      </w:tr>
      <w:tr>
        <w:trPr>
          <w:trHeight w:val="420"/>
        </w:trPr>
        <w:tc>
          <w:tcPr>
            <w:tcW w:w="751"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p>
        </w:tc>
        <w:tc>
          <w:tcPr>
            <w:tcW w:w="1975"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投标报价本位币</w:t>
            </w:r>
            <w:r/>
          </w:p>
        </w:tc>
        <w:tc>
          <w:tcPr>
            <w:tcW w:w="6334" w:type="dxa"/>
            <w:vAlign w:val="center"/>
            <w:textDirection w:val="lrTb"/>
            <w:noWrap w:val="false"/>
          </w:tcPr>
          <w:p>
            <w:pPr>
              <w:pStyle w:val="1184"/>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人民币</w:t>
            </w:r>
            <w:r/>
          </w:p>
        </w:tc>
      </w:tr>
      <w:tr>
        <w:trPr>
          <w:trHeight w:val="420"/>
        </w:trPr>
        <w:tc>
          <w:tcPr>
            <w:tcW w:w="751"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w:t>
            </w:r>
            <w:r/>
          </w:p>
        </w:tc>
        <w:tc>
          <w:tcPr>
            <w:tcW w:w="1975" w:type="dxa"/>
            <w:vAlign w:val="center"/>
            <w:textDirection w:val="lrTb"/>
            <w:noWrap w:val="false"/>
          </w:tcPr>
          <w:p>
            <w:pPr>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334" w:type="dxa"/>
            <w:vAlign w:val="center"/>
            <w:textDirection w:val="lrTb"/>
            <w:noWrap w:val="false"/>
          </w:tcPr>
          <w:p>
            <w:pPr>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w:t>
            </w:r>
            <w:r/>
          </w:p>
        </w:tc>
      </w:tr>
      <w:tr>
        <w:trPr>
          <w:trHeight w:val="420"/>
        </w:trPr>
        <w:tc>
          <w:tcPr>
            <w:tcW w:w="751"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w:t>
            </w:r>
            <w:r/>
          </w:p>
        </w:tc>
        <w:tc>
          <w:tcPr>
            <w:tcW w:w="1975"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代理服务费</w:t>
            </w:r>
            <w:r/>
          </w:p>
        </w:tc>
        <w:tc>
          <w:tcPr>
            <w:tcW w:w="6334" w:type="dxa"/>
            <w:vAlign w:val="center"/>
            <w:textDirection w:val="lrTb"/>
            <w:noWrap w:val="false"/>
          </w:tcPr>
          <w:p>
            <w:pPr>
              <w:pStyle w:val="1184"/>
              <w:ind w:left="0" w:firstLine="48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依据《关于进一步规范政府采购活动相关费用管理的通知》（苏财规〔2026〕1号）相关规定，本项目收取招标代理服务费的要求如下：</w:t>
            </w:r>
            <w:r/>
          </w:p>
          <w:p>
            <w:pPr>
              <w:pStyle w:val="1184"/>
              <w:ind w:left="0" w:firstLine="48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支付主体：本项目招标代理服务费由中标供应商支付。</w:t>
            </w:r>
            <w:r/>
          </w:p>
          <w:p>
            <w:pPr>
              <w:pStyle w:val="1184"/>
              <w:ind w:left="0" w:firstLine="48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支付原因：结合本项目实际情况，采购预算中已包含该项代理服务费，供应商报价应当包含代理服务费，但无需单独列明。</w:t>
            </w:r>
            <w:r/>
          </w:p>
          <w:p>
            <w:pPr>
              <w:pStyle w:val="1184"/>
              <w:ind w:left="0" w:firstLine="48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收取方式：中标供应商在领取中标通知书前，须向采购代理机构一次性付清招标代理服务费。 </w:t>
            </w:r>
            <w:r/>
          </w:p>
          <w:p>
            <w:pPr>
              <w:pStyle w:val="1184"/>
              <w:ind w:left="0" w:firstLine="48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收费标准：本项目招标代理服务费参照“苏州市级政府采购代理服务收费公告信息变更表第二批（苏财购告</w:t>
            </w:r>
            <w:r>
              <w:rPr>
                <w:rFonts w:hint="eastAsia" w:ascii="宋体" w:hAnsi="宋体" w:cs="宋体"/>
                <w:color w:val="auto"/>
                <w:sz w:val="24"/>
                <w:szCs w:val="24"/>
                <w:highlight w:val="none"/>
                <w:lang w:eastAsia="zh-CN"/>
              </w:rPr>
              <w:t xml:space="preserve">〔2017〕19号</w:t>
            </w:r>
            <w:r>
              <w:rPr>
                <w:rFonts w:hint="eastAsia" w:ascii="宋体" w:hAnsi="宋体" w:cs="宋体"/>
                <w:color w:val="auto"/>
                <w:sz w:val="24"/>
                <w:szCs w:val="24"/>
                <w:highlight w:val="none"/>
              </w:rPr>
              <w:t xml:space="preserve">）”规定的收费标准，以项目预算为基数，采用“比例差额定率累进法计算”，具体如下：</w:t>
            </w:r>
            <w:r/>
          </w:p>
          <w:p>
            <w:pPr>
              <w:pStyle w:val="1184"/>
              <w:ind w:left="0" w:firstLine="48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1.预算金额100万元以下部分，费率为该部分预算金额的1.5%；</w:t>
            </w:r>
            <w:r/>
          </w:p>
          <w:p>
            <w:pPr>
              <w:pStyle w:val="1184"/>
              <w:ind w:left="0" w:firstLine="48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2.预算金额100万元（含）－500万元部分，费率为该部分预算金额的1.1%；</w:t>
            </w:r>
            <w:r/>
          </w:p>
          <w:p>
            <w:pPr>
              <w:pStyle w:val="1184"/>
              <w:ind w:left="0" w:firstLine="48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3.预算金额500万元（含）－1000万元部分，费率为该部分预算金额的0.8%；</w:t>
            </w:r>
            <w:r/>
          </w:p>
          <w:p>
            <w:pPr>
              <w:pStyle w:val="1184"/>
              <w:ind w:left="0" w:firstLine="48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4.预算金额1000万元（含）－5000万元部分，费率为该部分预算金额的0.5%；</w:t>
            </w:r>
            <w:r/>
          </w:p>
          <w:p>
            <w:pPr>
              <w:pStyle w:val="1184"/>
              <w:ind w:left="0" w:firstLine="48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5.预算金额5000万元（含）以上部分，费率为该部分预算金额的0.25%。</w:t>
            </w:r>
            <w:r/>
          </w:p>
          <w:p>
            <w:pPr>
              <w:pStyle w:val="1184"/>
              <w:ind w:left="0" w:firstLine="48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计算示例：若预算金额为150万元，则代理服务费计算方式为：100万元×1.5%＋（150万元－100万元</w:t>
            </w:r>
            <w:r>
              <w:rPr>
                <w:rFonts w:hint="eastAsia" w:ascii="宋体" w:hAnsi="宋体" w:cs="宋体"/>
                <w:color w:val="auto"/>
                <w:sz w:val="24"/>
                <w:szCs w:val="24"/>
                <w:highlight w:val="none"/>
                <w:lang w:eastAsia="zh-CN"/>
              </w:rPr>
              <w:t xml:space="preserve">）部</w:t>
            </w:r>
            <w:r>
              <w:rPr>
                <w:rFonts w:hint="eastAsia" w:ascii="宋体" w:hAnsi="宋体" w:cs="宋体"/>
                <w:color w:val="auto"/>
                <w:sz w:val="24"/>
                <w:szCs w:val="24"/>
                <w:highlight w:val="none"/>
              </w:rPr>
              <w:t xml:space="preserve">分）×1.1%。</w:t>
            </w:r>
            <w:r/>
          </w:p>
          <w:p>
            <w:pPr>
              <w:pStyle w:val="1184"/>
              <w:ind w:left="0" w:firstLine="48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服务费交纳账户：苏州时代招投标有限公司</w:t>
            </w:r>
            <w:r/>
          </w:p>
          <w:p>
            <w:pPr>
              <w:pStyle w:val="1184"/>
              <w:ind w:left="0" w:firstLine="48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开户行：中信银行苏州南门支行</w:t>
            </w:r>
            <w:r/>
          </w:p>
          <w:p>
            <w:pPr>
              <w:pStyle w:val="1184"/>
              <w:ind w:left="0" w:firstLine="48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  号：7323010182600103353</w:t>
            </w:r>
            <w:r/>
          </w:p>
        </w:tc>
      </w:tr>
      <w:tr>
        <w:trPr>
          <w:trHeight w:val="420"/>
        </w:trPr>
        <w:tc>
          <w:tcPr>
            <w:tcW w:w="751" w:type="dxa"/>
            <w:vAlign w:val="center"/>
            <w:textDirection w:val="lrTb"/>
            <w:noWrap w:val="false"/>
          </w:tcPr>
          <w:p>
            <w:pPr>
              <w:pStyle w:val="1184"/>
              <w:ind w:left="0"/>
              <w:jc w:val="center"/>
              <w:spacing w:after="0" w:line="24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6</w:t>
            </w:r>
            <w:r/>
          </w:p>
        </w:tc>
        <w:tc>
          <w:tcPr>
            <w:tcW w:w="1975"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导致废标因素</w:t>
            </w:r>
            <w:r/>
          </w:p>
        </w:tc>
        <w:tc>
          <w:tcPr>
            <w:tcW w:w="6334" w:type="dxa"/>
            <w:vAlign w:val="center"/>
            <w:textDirection w:val="lrTb"/>
            <w:noWrap w:val="false"/>
          </w:tcPr>
          <w:p>
            <w:pPr>
              <w:pStyle w:val="1184"/>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出现下列情形之一的，为废标：</w:t>
            </w:r>
            <w:r/>
          </w:p>
          <w:p>
            <w:pPr>
              <w:pStyle w:val="1184"/>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（一）符合专业条件的投标人或者对招标文件作实质响应的投标人不足三家的；</w:t>
            </w:r>
            <w:r/>
          </w:p>
          <w:p>
            <w:pPr>
              <w:pStyle w:val="1184"/>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（二）出现影响采购公正的违法、违规行为的；</w:t>
            </w:r>
            <w:r/>
          </w:p>
          <w:p>
            <w:pPr>
              <w:pStyle w:val="1184"/>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（三）投标人的报价均超过了采购预算，采购人不能支付的；</w:t>
            </w:r>
            <w:r/>
          </w:p>
          <w:p>
            <w:pPr>
              <w:pStyle w:val="1184"/>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（四）因重大变故，采购任务取消的。</w:t>
            </w:r>
            <w:r/>
          </w:p>
        </w:tc>
      </w:tr>
      <w:tr>
        <w:trPr>
          <w:trHeight w:val="420"/>
        </w:trPr>
        <w:tc>
          <w:tcPr>
            <w:tcW w:w="751" w:type="dxa"/>
            <w:vAlign w:val="center"/>
            <w:textDirection w:val="lrTb"/>
            <w:noWrap w:val="false"/>
          </w:tcPr>
          <w:p>
            <w:pPr>
              <w:pStyle w:val="1184"/>
              <w:ind w:left="0"/>
              <w:jc w:val="center"/>
              <w:spacing w:after="0" w:line="24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7</w:t>
            </w:r>
            <w:r/>
          </w:p>
        </w:tc>
        <w:tc>
          <w:tcPr>
            <w:tcW w:w="1975" w:type="dxa"/>
            <w:vAlign w:val="center"/>
            <w:textDirection w:val="lrTb"/>
            <w:noWrap w:val="false"/>
          </w:tcPr>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导致无效标</w:t>
            </w:r>
            <w:r/>
          </w:p>
          <w:p>
            <w:pPr>
              <w:pStyle w:val="1184"/>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因素</w:t>
            </w:r>
            <w:r/>
          </w:p>
        </w:tc>
        <w:tc>
          <w:tcPr>
            <w:tcW w:w="6334" w:type="dxa"/>
            <w:vAlign w:val="center"/>
            <w:textDirection w:val="lrTb"/>
            <w:noWrap w:val="false"/>
          </w:tcPr>
          <w:p>
            <w:pPr>
              <w:pStyle w:val="1184"/>
              <w:ind w:left="0" w:firstLine="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投标文件属下列情况之一的，在资格性、符合性检查时按照无效投标处理：</w:t>
            </w:r>
            <w:r/>
          </w:p>
          <w:p>
            <w:pPr>
              <w:pStyle w:val="1184"/>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（一）未按照采购文件规定要求签署、盖章的；</w:t>
            </w:r>
            <w:r/>
          </w:p>
          <w:p>
            <w:pPr>
              <w:pStyle w:val="1184"/>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（二）不具备采购文件中规定资格要求的；</w:t>
            </w:r>
            <w:r/>
          </w:p>
          <w:p>
            <w:pPr>
              <w:pStyle w:val="1184"/>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（三）投标书技术部分和资格证明文件中出现总报价的；</w:t>
            </w:r>
            <w:r/>
          </w:p>
          <w:p>
            <w:pPr>
              <w:pStyle w:val="1184"/>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（四）投标文件含有采购人不能接受的附加条件的；</w:t>
            </w:r>
            <w:r/>
          </w:p>
          <w:p>
            <w:pPr>
              <w:pStyle w:val="1184"/>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（五）机器码检查中，出现不同投标人投标文件机器码一致情形的；</w:t>
            </w:r>
            <w:r/>
          </w:p>
          <w:p>
            <w:pPr>
              <w:pStyle w:val="1184"/>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（六）法律、法规和采购文件规定的其他无效情形。</w:t>
            </w:r>
            <w:r/>
          </w:p>
        </w:tc>
      </w:tr>
    </w:tbl>
    <w:p>
      <w:pPr>
        <w:jc w:val="center"/>
        <w:spacing w:before="240" w:after="60"/>
        <w:rPr>
          <w:rFonts w:hint="eastAsia" w:ascii="宋体" w:hAnsi="宋体" w:cs="宋体"/>
          <w:bCs/>
          <w:color w:val="auto"/>
          <w:sz w:val="44"/>
          <w:szCs w:val="32"/>
          <w:highlight w:val="none"/>
        </w:rPr>
        <w:outlineLvl w:val="0"/>
      </w:pPr>
      <w:r>
        <w:rPr>
          <w:rFonts w:hint="eastAsia" w:ascii="宋体" w:hAnsi="宋体" w:cs="宋体"/>
          <w:bCs/>
          <w:color w:val="auto"/>
          <w:sz w:val="44"/>
          <w:szCs w:val="32"/>
          <w:highlight w:val="none"/>
        </w:rPr>
      </w:r>
      <w:r/>
    </w:p>
    <w:p>
      <w:pPr>
        <w:jc w:val="center"/>
        <w:spacing w:before="240" w:after="60"/>
        <w:rPr>
          <w:rFonts w:hint="eastAsia" w:ascii="宋体" w:hAnsi="宋体" w:cs="宋体"/>
          <w:b/>
          <w:bCs/>
          <w:color w:val="auto"/>
          <w:sz w:val="44"/>
          <w:szCs w:val="44"/>
          <w:highlight w:val="none"/>
        </w:rPr>
        <w:outlineLvl w:val="0"/>
      </w:pPr>
      <w:r>
        <w:rPr>
          <w:rFonts w:hint="eastAsia" w:ascii="宋体" w:hAnsi="宋体" w:cs="宋体"/>
          <w:bCs/>
          <w:color w:val="auto"/>
          <w:sz w:val="44"/>
          <w:szCs w:val="32"/>
          <w:highlight w:val="none"/>
        </w:rPr>
        <w:t xml:space="preserve">第一章 投标邀请函</w:t>
      </w:r>
      <w:r/>
    </w:p>
    <w:tbl>
      <w:tblPr>
        <w:tblStyle w:val="956"/>
        <w:tblW w:w="8580" w:type="dxa"/>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0"/>
      </w:tblGrid>
      <w:tr>
        <w:trPr/>
        <w:tc>
          <w:tcPr>
            <w:tcW w:w="8580" w:type="dxa"/>
            <w:textDirection w:val="lrTb"/>
            <w:noWrap w:val="false"/>
          </w:tcPr>
          <w:p>
            <w:pPr>
              <w:jc w:val="left"/>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pStyle w:val="1185"/>
              <w:ind w:firstLine="480"/>
              <w:jc w:val="both"/>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2026年第二批考古发掘保障服务</w:t>
            </w:r>
            <w:r>
              <w:rPr>
                <w:rFonts w:hint="eastAsia" w:ascii="宋体" w:hAnsi="宋体" w:cs="宋体"/>
                <w:color w:val="auto"/>
                <w:sz w:val="24"/>
                <w:szCs w:val="24"/>
                <w:highlight w:val="none"/>
              </w:rPr>
              <w:t xml:space="preserve">招标项目</w:t>
            </w:r>
            <w:r>
              <w:rPr>
                <w:rFonts w:hint="eastAsia" w:ascii="宋体" w:hAnsi="宋体" w:cs="宋体"/>
                <w:color w:val="auto"/>
                <w:sz w:val="24"/>
                <w:szCs w:val="24"/>
                <w:highlight w:val="none"/>
                <w:lang w:eastAsia="zh-CN"/>
              </w:rPr>
              <w:t xml:space="preserve">JSZC-320506-SZSD-G2026-0055</w:t>
            </w:r>
            <w:r>
              <w:rPr>
                <w:rFonts w:hint="eastAsia" w:ascii="宋体" w:hAnsi="宋体" w:cs="宋体"/>
                <w:color w:val="auto"/>
                <w:sz w:val="24"/>
                <w:szCs w:val="24"/>
                <w:highlight w:val="none"/>
              </w:rPr>
              <w:t xml:space="preserve">的潜在投标人应在“苏采云”系统获取招标文件，并于2026年</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月9日13点30分（北京时间）前提交投标文件。</w:t>
            </w:r>
            <w:r/>
          </w:p>
        </w:tc>
      </w:tr>
    </w:tbl>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一、项目基本情况</w:t>
      </w:r>
      <w:r/>
    </w:p>
    <w:p>
      <w:pPr>
        <w:ind w:firstLine="480"/>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1、项目编号：</w:t>
      </w:r>
      <w:r>
        <w:rPr>
          <w:rFonts w:hint="eastAsia" w:asciiTheme="minorEastAsia" w:hAnsiTheme="minorEastAsia" w:eastAsiaTheme="minorEastAsia" w:cstheme="minorEastAsia"/>
          <w:color w:val="auto"/>
          <w:sz w:val="24"/>
          <w:szCs w:val="24"/>
          <w:highlight w:val="none"/>
          <w:lang w:eastAsia="zh-CN"/>
        </w:rPr>
        <w:t xml:space="preserve">JSZC-320506-SZSD-G2026-0055</w:t>
      </w:r>
      <w:r>
        <w:rPr>
          <w:rFonts w:hint="eastAsia" w:asciiTheme="minorEastAsia" w:hAnsiTheme="minorEastAsia" w:eastAsiaTheme="minorEastAsia" w:cstheme="minorEastAsia"/>
          <w:color w:val="auto"/>
          <w:sz w:val="24"/>
          <w:szCs w:val="24"/>
          <w:highlight w:val="none"/>
        </w:rPr>
        <w:t xml:space="preserve">    </w:t>
      </w:r>
      <w:r/>
    </w:p>
    <w:p>
      <w:pPr>
        <w:ind w:firstLine="480"/>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2、项目名称：</w:t>
      </w:r>
      <w:r>
        <w:rPr>
          <w:rFonts w:hint="eastAsia" w:asciiTheme="minorEastAsia" w:hAnsiTheme="minorEastAsia" w:eastAsiaTheme="minorEastAsia" w:cstheme="minorEastAsia"/>
          <w:color w:val="auto"/>
          <w:sz w:val="24"/>
          <w:szCs w:val="24"/>
          <w:highlight w:val="none"/>
          <w:lang w:eastAsia="zh-CN"/>
        </w:rPr>
        <w:t xml:space="preserve">2026年第二批考古发掘保障服务</w:t>
      </w:r>
      <w:r/>
    </w:p>
    <w:p>
      <w:pPr>
        <w:ind w:firstLine="480"/>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3、预算金额（人民币）：</w:t>
      </w:r>
      <w:r>
        <w:rPr>
          <w:rFonts w:hint="eastAsia" w:asciiTheme="minorEastAsia" w:hAnsiTheme="minorEastAsia" w:eastAsiaTheme="minorEastAsia" w:cstheme="minorEastAsia"/>
          <w:color w:val="auto"/>
          <w:sz w:val="24"/>
          <w:szCs w:val="24"/>
          <w:highlight w:val="none"/>
          <w:lang w:eastAsia="zh-CN"/>
        </w:rPr>
        <w:t xml:space="preserve">肆佰万元整（¥400</w:t>
      </w:r>
      <w:r>
        <w:rPr>
          <w:rFonts w:hint="eastAsia" w:asciiTheme="minorEastAsia" w:hAnsiTheme="minorEastAsia" w:eastAsiaTheme="minorEastAsia" w:cstheme="minorEastAsia"/>
          <w:color w:val="auto"/>
          <w:sz w:val="24"/>
          <w:szCs w:val="24"/>
          <w:highlight w:val="none"/>
          <w:lang w:val="en-US" w:eastAsia="zh-CN"/>
        </w:rPr>
        <w:t xml:space="preserve">00</w:t>
      </w:r>
      <w:r>
        <w:rPr>
          <w:rFonts w:hint="eastAsia" w:asciiTheme="minorEastAsia" w:hAnsiTheme="minorEastAsia" w:eastAsiaTheme="minorEastAsia" w:cstheme="minorEastAsia"/>
          <w:color w:val="auto"/>
          <w:sz w:val="24"/>
          <w:szCs w:val="24"/>
          <w:highlight w:val="none"/>
          <w:lang w:eastAsia="zh-CN"/>
        </w:rPr>
        <w:t xml:space="preserve">00.00）)</w:t>
      </w:r>
      <w:r/>
    </w:p>
    <w:p>
      <w:pPr>
        <w:ind w:firstLine="480"/>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采购包1:2026年第二批考古发掘保障服务(昆山片区)¥1500000.00；</w:t>
      </w:r>
      <w:r/>
    </w:p>
    <w:p>
      <w:pPr>
        <w:ind w:firstLine="480"/>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采购包2:2026年第二批考古发掘保障服务(吴江、常熟片区)¥1000000.00；</w:t>
      </w:r>
      <w:r/>
    </w:p>
    <w:p>
      <w:pPr>
        <w:ind w:firstLine="48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采购包3:2026年第二批考古发掘保障服务[姑苏区(护城河及以内古城核心区)</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eastAsia="zh-CN"/>
        </w:rPr>
        <w:t xml:space="preserve">¥1000000.00；</w:t>
      </w:r>
      <w:r/>
    </w:p>
    <w:p>
      <w:pPr>
        <w:ind w:firstLine="48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采购包4:2026年第二批考古发掘保障服务[姑苏区(护城河以外)+工业园区</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eastAsia="zh-CN"/>
        </w:rPr>
        <w:t xml:space="preserve">¥500000.00</w:t>
      </w:r>
      <w:r/>
    </w:p>
    <w:p>
      <w:pPr>
        <w:ind w:firstLine="787"/>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最高限价（人民币）：</w:t>
      </w:r>
      <w:r>
        <w:rPr>
          <w:rFonts w:hint="eastAsia" w:asciiTheme="minorEastAsia" w:hAnsiTheme="minorEastAsia" w:eastAsiaTheme="minorEastAsia" w:cstheme="minorEastAsia"/>
          <w:color w:val="auto"/>
          <w:sz w:val="24"/>
          <w:szCs w:val="24"/>
          <w:highlight w:val="none"/>
          <w:lang w:val="en-US" w:eastAsia="zh-CN"/>
        </w:rPr>
        <w:t xml:space="preserve">叁佰玖拾玖万陆仟</w:t>
      </w:r>
      <w:r>
        <w:rPr>
          <w:rFonts w:hint="eastAsia" w:asciiTheme="minorEastAsia" w:hAnsiTheme="minorEastAsia" w:eastAsiaTheme="minorEastAsia" w:cstheme="minorEastAsia"/>
          <w:color w:val="auto"/>
          <w:sz w:val="24"/>
          <w:szCs w:val="24"/>
          <w:highlight w:val="none"/>
          <w:lang w:eastAsia="zh-CN"/>
        </w:rPr>
        <w:t xml:space="preserve">元整（¥</w:t>
      </w:r>
      <w:r>
        <w:rPr>
          <w:rFonts w:hint="eastAsia" w:asciiTheme="minorEastAsia" w:hAnsiTheme="minorEastAsia" w:eastAsiaTheme="minorEastAsia" w:cstheme="minorEastAsia"/>
          <w:color w:val="auto"/>
          <w:sz w:val="24"/>
          <w:szCs w:val="24"/>
          <w:highlight w:val="none"/>
          <w:lang w:val="en-US" w:eastAsia="zh-CN"/>
        </w:rPr>
        <w:t xml:space="preserve">3996</w:t>
      </w:r>
      <w:r>
        <w:rPr>
          <w:rFonts w:hint="eastAsia" w:asciiTheme="minorEastAsia" w:hAnsiTheme="minorEastAsia" w:eastAsiaTheme="minorEastAsia" w:cstheme="minorEastAsia"/>
          <w:color w:val="auto"/>
          <w:sz w:val="24"/>
          <w:szCs w:val="24"/>
          <w:highlight w:val="none"/>
          <w:lang w:eastAsia="zh-CN"/>
        </w:rPr>
        <w:t xml:space="preserve">000.00）</w:t>
      </w:r>
      <w:r/>
    </w:p>
    <w:tbl>
      <w:tblPr>
        <w:tblStyle w:val="956"/>
        <w:tblW w:w="473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7"/>
        <w:gridCol w:w="2412"/>
        <w:gridCol w:w="1702"/>
        <w:gridCol w:w="2122"/>
        <w:gridCol w:w="1502"/>
      </w:tblGrid>
      <w:tr>
        <w:trPr>
          <w:jc w:val="center"/>
          <w:trHeight w:val="567"/>
        </w:trPr>
        <w:tc>
          <w:tcPr>
            <w:tcW w:w="1389"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采购包</w:t>
            </w:r>
            <w:r>
              <w:rPr>
                <w:rFonts w:hint="eastAsia" w:asciiTheme="minorEastAsia" w:hAnsiTheme="minorEastAsia" w:eastAsiaTheme="minorEastAsia" w:cstheme="minorEastAsia"/>
                <w:color w:val="auto"/>
                <w:sz w:val="24"/>
                <w:szCs w:val="24"/>
                <w:highlight w:val="none"/>
              </w:rPr>
              <w:t xml:space="preserve">号</w:t>
            </w:r>
            <w:r/>
          </w:p>
        </w:tc>
        <w:tc>
          <w:tcPr>
            <w:tcW w:w="2416"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项目</w:t>
            </w:r>
            <w:r>
              <w:rPr>
                <w:rFonts w:hint="eastAsia" w:asciiTheme="minorEastAsia" w:hAnsiTheme="minorEastAsia" w:eastAsiaTheme="minorEastAsia" w:cstheme="minorEastAsia"/>
                <w:color w:val="auto"/>
                <w:sz w:val="24"/>
                <w:szCs w:val="24"/>
                <w:highlight w:val="none"/>
                <w:lang w:val="en-US" w:eastAsia="zh-CN"/>
              </w:rPr>
              <w:t xml:space="preserve">片区</w:t>
            </w:r>
            <w:r/>
          </w:p>
        </w:tc>
        <w:tc>
          <w:tcPr>
            <w:tcBorders>
              <w:right w:val="single" w:color="auto" w:sz="4" w:space="0"/>
            </w:tcBorders>
            <w:tcW w:w="1703"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最高限价（元）</w:t>
            </w:r>
            <w:r/>
          </w:p>
        </w:tc>
        <w:tc>
          <w:tcPr>
            <w:tcBorders>
              <w:left w:val="single" w:color="auto" w:sz="4" w:space="0"/>
              <w:right w:val="single" w:color="auto" w:sz="4" w:space="0"/>
            </w:tcBorders>
            <w:tcW w:w="2124"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strike w:val="0"/>
                <w:color w:val="auto"/>
                <w:sz w:val="24"/>
                <w:szCs w:val="24"/>
                <w:highlight w:val="none"/>
                <w:lang w:val="en-US" w:eastAsia="zh-CN"/>
              </w:rPr>
            </w:pPr>
            <w:r>
              <w:rPr>
                <w:rFonts w:hint="eastAsia" w:asciiTheme="minorEastAsia" w:hAnsiTheme="minorEastAsia" w:eastAsiaTheme="minorEastAsia" w:cstheme="minorEastAsia"/>
                <w:strike w:val="0"/>
                <w:color w:val="auto"/>
                <w:sz w:val="24"/>
                <w:szCs w:val="24"/>
                <w:highlight w:val="none"/>
                <w:lang w:val="en-US" w:eastAsia="zh-CN"/>
              </w:rPr>
              <w:t xml:space="preserve">单价限价</w:t>
            </w:r>
            <w:r>
              <w:rPr>
                <w:rFonts w:hint="eastAsia" w:asciiTheme="minorEastAsia" w:hAnsiTheme="minorEastAsia" w:eastAsiaTheme="minorEastAsia" w:cstheme="minorEastAsia"/>
                <w:strike w:val="0"/>
                <w:dstrike/>
                <w:color w:val="auto"/>
                <w:sz w:val="24"/>
                <w:szCs w:val="24"/>
                <w:highlight w:val="none"/>
                <w:lang w:val="en-US" w:eastAsia="zh-CN"/>
              </w:rPr>
            </w:r>
            <w:r/>
          </w:p>
          <w:p>
            <w:pPr>
              <w:jc w:val="center"/>
              <w:keepLines w:val="0"/>
              <w:keepNext w:val="0"/>
              <w:pageBreakBefore w:val="0"/>
              <w:spacing w:after="0" w:line="240" w:lineRule="auto"/>
              <w:widowControl w:val="off"/>
              <w:rPr>
                <w:rFonts w:hint="eastAsia" w:asciiTheme="minorEastAsia" w:hAnsiTheme="minorEastAsia" w:eastAsiaTheme="minorEastAsia" w:cstheme="minorEastAsia"/>
                <w:strike w:val="0"/>
                <w:dstrike/>
                <w:color w:val="auto"/>
                <w:sz w:val="24"/>
                <w:szCs w:val="24"/>
                <w:highlight w:val="none"/>
                <w:lang w:val="en-US" w:eastAsia="zh-CN"/>
              </w:rPr>
            </w:pPr>
            <w:r>
              <w:rPr>
                <w:rFonts w:hint="eastAsia" w:asciiTheme="minorEastAsia" w:hAnsiTheme="minorEastAsia" w:eastAsiaTheme="minorEastAsia" w:cstheme="minorEastAsia"/>
                <w:strike w:val="0"/>
                <w:color w:val="auto"/>
                <w:sz w:val="24"/>
                <w:szCs w:val="24"/>
                <w:highlight w:val="none"/>
                <w:lang w:val="en-US" w:eastAsia="zh-CN"/>
              </w:rPr>
              <w:t xml:space="preserve">（元/平方米）</w:t>
            </w:r>
            <w:r/>
          </w:p>
        </w:tc>
        <w:tc>
          <w:tcPr>
            <w:tcBorders>
              <w:left w:val="single" w:color="auto" w:sz="4" w:space="0"/>
            </w:tcBorders>
            <w:tcW w:w="1503" w:type="dxa"/>
            <w:vAlign w:val="center"/>
            <w:textDirection w:val="lrTb"/>
            <w:noWrap w:val="false"/>
          </w:tcPr>
          <w:p>
            <w:pPr>
              <w:jc w:val="center"/>
              <w:keepLines w:val="0"/>
              <w:keepNext w:val="0"/>
              <w:pageBreakBefore w:val="0"/>
              <w:spacing w:after="0" w:line="240" w:lineRule="auto"/>
              <w:widowControl w:val="off"/>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备注</w:t>
            </w:r>
            <w:r/>
          </w:p>
        </w:tc>
      </w:tr>
      <w:tr>
        <w:trPr>
          <w:jc w:val="center"/>
          <w:trHeight w:val="567"/>
        </w:trPr>
        <w:tc>
          <w:tcPr>
            <w:tcW w:w="1389"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采购包1</w:t>
            </w:r>
            <w:r/>
          </w:p>
        </w:tc>
        <w:tc>
          <w:tcPr>
            <w:tcW w:w="2416"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昆山片区</w:t>
            </w:r>
            <w:r/>
          </w:p>
        </w:tc>
        <w:tc>
          <w:tcPr>
            <w:tcBorders>
              <w:right w:val="single" w:color="auto" w:sz="4" w:space="0"/>
            </w:tcBorders>
            <w:tcW w:w="1703"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eastAsia="zh-CN"/>
              </w:rPr>
              <w:t xml:space="preserve">1499000.00</w:t>
            </w:r>
            <w:r/>
          </w:p>
        </w:tc>
        <w:tc>
          <w:tcPr>
            <w:tcBorders>
              <w:left w:val="single" w:color="auto" w:sz="4" w:space="0"/>
              <w:right w:val="single" w:color="auto" w:sz="4" w:space="0"/>
            </w:tcBorders>
            <w:tcW w:w="2124" w:type="dxa"/>
            <w:vAlign w:val="center"/>
            <w:textDirection w:val="lrTb"/>
            <w:noWrap w:val="false"/>
          </w:tcPr>
          <w:p>
            <w:pPr>
              <w:jc w:val="center"/>
              <w:keepLines w:val="0"/>
              <w:keepNext w:val="0"/>
              <w:pageBreakBefore w:val="0"/>
              <w:spacing w:after="0" w:line="240" w:lineRule="auto"/>
              <w:widowControl w:val="off"/>
              <w:rPr>
                <w:rFonts w:hint="default" w:asciiTheme="minorEastAsia" w:hAnsiTheme="minorEastAsia" w:eastAsiaTheme="minorEastAsia" w:cstheme="minorEastAsia"/>
                <w:strike w:val="0"/>
                <w:dstrike/>
                <w:color w:val="auto"/>
                <w:sz w:val="24"/>
                <w:szCs w:val="24"/>
                <w:highlight w:val="none"/>
                <w:lang w:val="en-US" w:eastAsia="zh-CN"/>
              </w:rPr>
            </w:pPr>
            <w:r>
              <w:rPr>
                <w:rFonts w:hint="eastAsia" w:asciiTheme="minorEastAsia" w:hAnsiTheme="minorEastAsia" w:eastAsiaTheme="minorEastAsia" w:cstheme="minorEastAsia"/>
                <w:strike w:val="0"/>
                <w:color w:val="auto"/>
                <w:sz w:val="24"/>
                <w:szCs w:val="24"/>
                <w:highlight w:val="none"/>
                <w:lang w:val="en-US" w:eastAsia="zh-CN"/>
              </w:rPr>
              <w:t xml:space="preserve">1048.80</w:t>
            </w:r>
            <w:r/>
          </w:p>
        </w:tc>
        <w:tc>
          <w:tcPr>
            <w:tcBorders>
              <w:left w:val="single" w:color="auto" w:sz="4" w:space="0"/>
            </w:tcBorders>
            <w:tcW w:w="1503" w:type="dxa"/>
            <w:vAlign w:val="top"/>
            <w:vMerge w:val="restart"/>
            <w:textDirection w:val="lrTb"/>
            <w:noWrap w:val="false"/>
          </w:tcPr>
          <w:p>
            <w:pPr>
              <w:pStyle w:val="1205"/>
              <w:ind w:left="0" w:firstLine="0"/>
              <w:jc w:val="left"/>
              <w:spacing w:before="165" w:line="220" w:lineRule="auto"/>
              <w:rPr>
                <w:rFonts w:hint="eastAsia" w:eastAsia="宋体" w:asciiTheme="minorEastAsia" w:hAnsiTheme="minorEastAsia" w:cstheme="minorEastAsia"/>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投标报价不得超过</w:t>
            </w:r>
            <w:r>
              <w:rPr>
                <w:rFonts w:hint="eastAsia" w:ascii="宋体" w:hAnsi="宋体" w:eastAsia="宋体" w:cs="宋体"/>
                <w:b w:val="0"/>
                <w:bCs w:val="0"/>
                <w:color w:val="auto"/>
                <w:sz w:val="24"/>
                <w:szCs w:val="24"/>
                <w:highlight w:val="none"/>
                <w:lang w:val="en-US" w:eastAsia="zh-CN"/>
              </w:rPr>
              <w:t xml:space="preserve">各采购包预算金额及</w:t>
            </w:r>
            <w:r>
              <w:rPr>
                <w:rFonts w:hint="eastAsia" w:ascii="宋体" w:hAnsi="宋体" w:eastAsia="宋体" w:cs="宋体"/>
                <w:b w:val="0"/>
                <w:bCs w:val="0"/>
                <w:color w:val="auto"/>
                <w:sz w:val="24"/>
                <w:szCs w:val="24"/>
                <w:highlight w:val="none"/>
              </w:rPr>
              <w:t xml:space="preserve">最高</w:t>
            </w:r>
            <w:r>
              <w:rPr>
                <w:rFonts w:hint="eastAsia" w:ascii="宋体" w:hAnsi="宋体" w:eastAsia="宋体" w:cs="宋体"/>
                <w:b w:val="0"/>
                <w:bCs w:val="0"/>
                <w:color w:val="auto"/>
                <w:sz w:val="24"/>
                <w:szCs w:val="24"/>
                <w:highlight w:val="none"/>
                <w:lang w:val="en-US" w:eastAsia="zh-CN"/>
              </w:rPr>
              <w:t xml:space="preserve">单价</w:t>
            </w:r>
            <w:r>
              <w:rPr>
                <w:rFonts w:hint="eastAsia" w:ascii="宋体" w:hAnsi="宋体" w:eastAsia="宋体" w:cs="宋体"/>
                <w:b w:val="0"/>
                <w:bCs w:val="0"/>
                <w:color w:val="auto"/>
                <w:sz w:val="24"/>
                <w:szCs w:val="24"/>
                <w:highlight w:val="none"/>
              </w:rPr>
              <w:t xml:space="preserve">限价金额，否则作无效</w:t>
            </w:r>
            <w:r>
              <w:rPr>
                <w:rFonts w:hint="eastAsia" w:ascii="宋体" w:hAnsi="宋体" w:eastAsia="宋体" w:cs="宋体"/>
                <w:b w:val="0"/>
                <w:bCs w:val="0"/>
                <w:color w:val="auto"/>
                <w:sz w:val="24"/>
                <w:szCs w:val="24"/>
                <w:highlight w:val="none"/>
                <w:lang w:val="en-US" w:eastAsia="zh-CN"/>
              </w:rPr>
              <w:t xml:space="preserve">报价</w:t>
            </w:r>
            <w:r>
              <w:rPr>
                <w:rFonts w:hint="eastAsia" w:ascii="宋体" w:hAnsi="宋体" w:eastAsia="宋体" w:cs="宋体"/>
                <w:b w:val="0"/>
                <w:bCs w:val="0"/>
                <w:color w:val="auto"/>
                <w:sz w:val="24"/>
                <w:szCs w:val="24"/>
                <w:highlight w:val="none"/>
              </w:rPr>
              <w:t xml:space="preserve">处理</w:t>
            </w:r>
            <w:r>
              <w:rPr>
                <w:rFonts w:hint="eastAsia" w:ascii="宋体" w:hAnsi="宋体" w:eastAsia="宋体" w:cs="宋体"/>
                <w:b w:val="0"/>
                <w:bCs w:val="0"/>
                <w:color w:val="auto"/>
                <w:sz w:val="24"/>
                <w:szCs w:val="24"/>
                <w:highlight w:val="none"/>
                <w:shd w:val="clear" w:color="auto" w:fill="ffffff"/>
                <w:lang w:eastAsia="zh-CN"/>
              </w:rPr>
              <w:t xml:space="preserve">。</w:t>
            </w:r>
            <w:r/>
          </w:p>
        </w:tc>
      </w:tr>
      <w:tr>
        <w:trPr>
          <w:jc w:val="center"/>
          <w:trHeight w:val="544"/>
        </w:trPr>
        <w:tc>
          <w:tcPr>
            <w:tcW w:w="1389"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eastAsia="zh-CN"/>
              </w:rPr>
              <w:t xml:space="preserve">采购包2</w:t>
            </w:r>
            <w:r/>
          </w:p>
        </w:tc>
        <w:tc>
          <w:tcPr>
            <w:tcW w:w="2416"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吴江、常熟片区</w:t>
            </w:r>
            <w:r/>
          </w:p>
        </w:tc>
        <w:tc>
          <w:tcPr>
            <w:tcBorders>
              <w:right w:val="single" w:color="auto" w:sz="4" w:space="0"/>
            </w:tcBorders>
            <w:tcW w:w="1703"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999000.00</w:t>
            </w:r>
            <w:r/>
          </w:p>
        </w:tc>
        <w:tc>
          <w:tcPr>
            <w:tcBorders>
              <w:left w:val="single" w:color="auto" w:sz="4" w:space="0"/>
              <w:right w:val="single" w:color="auto" w:sz="4" w:space="0"/>
            </w:tcBorders>
            <w:tcW w:w="2124"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strike w:val="0"/>
                <w:dstrike/>
                <w:color w:val="auto"/>
                <w:sz w:val="24"/>
                <w:szCs w:val="24"/>
                <w:highlight w:val="none"/>
                <w:lang w:val="en-US" w:eastAsia="zh-CN"/>
              </w:rPr>
            </w:pPr>
            <w:r>
              <w:rPr>
                <w:rFonts w:hint="eastAsia" w:asciiTheme="minorEastAsia" w:hAnsiTheme="minorEastAsia" w:eastAsiaTheme="minorEastAsia" w:cstheme="minorEastAsia"/>
                <w:strike w:val="0"/>
                <w:color w:val="auto"/>
                <w:sz w:val="24"/>
                <w:szCs w:val="24"/>
                <w:highlight w:val="none"/>
                <w:lang w:val="en-US" w:eastAsia="zh-CN"/>
              </w:rPr>
              <w:t xml:space="preserve">912.00</w:t>
            </w:r>
            <w:r/>
          </w:p>
        </w:tc>
        <w:tc>
          <w:tcPr>
            <w:tcBorders>
              <w:left w:val="single" w:color="auto" w:sz="4" w:space="0"/>
            </w:tcBorders>
            <w:tcW w:w="1503" w:type="dxa"/>
            <w:vAlign w:val="top"/>
            <w:vMerge w:val="continue"/>
            <w:textDirection w:val="lrTb"/>
            <w:noWrap w:val="false"/>
          </w:tcPr>
          <w:p>
            <w:pPr>
              <w:pStyle w:val="1205"/>
              <w:ind w:left="0" w:firstLine="0"/>
              <w:jc w:val="center"/>
              <w:spacing w:before="165" w:line="22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567"/>
        </w:trPr>
        <w:tc>
          <w:tcPr>
            <w:tcW w:w="1389"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eastAsia="zh-CN"/>
              </w:rPr>
              <w:t xml:space="preserve">采购包3</w:t>
            </w:r>
            <w:r/>
          </w:p>
        </w:tc>
        <w:tc>
          <w:tcPr>
            <w:tcW w:w="2416" w:type="dxa"/>
            <w:vAlign w:val="center"/>
            <w:textDirection w:val="lrTb"/>
            <w:noWrap w:val="false"/>
          </w:tcPr>
          <w:p>
            <w:pPr>
              <w:jc w:val="both"/>
              <w:keepLines w:val="0"/>
              <w:keepNext w:val="0"/>
              <w:pageBreakBefore w:val="0"/>
              <w:spacing w:after="0" w:line="24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姑苏</w:t>
            </w:r>
            <w:r>
              <w:rPr>
                <w:rFonts w:hint="eastAsia" w:asciiTheme="minorEastAsia" w:hAnsiTheme="minorEastAsia" w:eastAsiaTheme="minorEastAsia" w:cstheme="minorEastAsia"/>
                <w:color w:val="auto"/>
                <w:sz w:val="24"/>
                <w:szCs w:val="24"/>
                <w:highlight w:val="none"/>
              </w:rPr>
              <w:t xml:space="preserve">区</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护城河</w:t>
            </w:r>
            <w:r>
              <w:rPr>
                <w:rFonts w:hint="eastAsia" w:asciiTheme="minorEastAsia" w:hAnsiTheme="minorEastAsia" w:eastAsiaTheme="minorEastAsia" w:cstheme="minorEastAsia"/>
                <w:color w:val="auto"/>
                <w:sz w:val="24"/>
                <w:szCs w:val="24"/>
                <w:highlight w:val="none"/>
                <w:lang w:val="en-US" w:eastAsia="zh-CN"/>
              </w:rPr>
              <w:t xml:space="preserve">及</w:t>
            </w:r>
            <w:r>
              <w:rPr>
                <w:rFonts w:hint="eastAsia" w:asciiTheme="minorEastAsia" w:hAnsiTheme="minorEastAsia" w:eastAsiaTheme="minorEastAsia" w:cstheme="minorEastAsia"/>
                <w:color w:val="auto"/>
                <w:sz w:val="24"/>
                <w:szCs w:val="24"/>
                <w:highlight w:val="none"/>
                <w:lang w:val="en-US" w:eastAsia="zh-CN"/>
              </w:rPr>
              <w:t xml:space="preserve">以内古城核心区</w:t>
            </w:r>
            <w:r>
              <w:rPr>
                <w:rFonts w:hint="eastAsia" w:asciiTheme="minorEastAsia" w:hAnsiTheme="minorEastAsia" w:eastAsiaTheme="minorEastAsia" w:cstheme="minorEastAsia"/>
                <w:color w:val="auto"/>
                <w:sz w:val="24"/>
                <w:szCs w:val="24"/>
                <w:highlight w:val="none"/>
                <w:lang w:eastAsia="zh-CN"/>
              </w:rPr>
              <w:t xml:space="preserve">）</w:t>
            </w:r>
            <w:r/>
          </w:p>
        </w:tc>
        <w:tc>
          <w:tcPr>
            <w:tcBorders>
              <w:right w:val="single" w:color="auto" w:sz="4" w:space="0"/>
            </w:tcBorders>
            <w:tcW w:w="1703"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eastAsia="zh-CN"/>
              </w:rPr>
              <w:t xml:space="preserve">999000.00</w:t>
            </w:r>
            <w:r/>
          </w:p>
        </w:tc>
        <w:tc>
          <w:tcPr>
            <w:tcBorders>
              <w:left w:val="single" w:color="auto" w:sz="4" w:space="0"/>
              <w:right w:val="single" w:color="auto" w:sz="4" w:space="0"/>
            </w:tcBorders>
            <w:tcW w:w="2124"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strike w:val="0"/>
                <w:dstrike/>
                <w:color w:val="auto"/>
                <w:sz w:val="24"/>
                <w:szCs w:val="24"/>
                <w:highlight w:val="none"/>
                <w:lang w:val="en-US" w:eastAsia="zh-CN"/>
              </w:rPr>
            </w:pPr>
            <w:r>
              <w:rPr>
                <w:rFonts w:hint="eastAsia" w:asciiTheme="minorEastAsia" w:hAnsiTheme="minorEastAsia" w:eastAsiaTheme="minorEastAsia" w:cstheme="minorEastAsia"/>
                <w:strike w:val="0"/>
                <w:color w:val="auto"/>
                <w:sz w:val="24"/>
                <w:szCs w:val="24"/>
                <w:highlight w:val="none"/>
                <w:lang w:val="en-US" w:eastAsia="zh-CN"/>
              </w:rPr>
              <w:t xml:space="preserve">1185.60</w:t>
            </w:r>
            <w:r/>
          </w:p>
        </w:tc>
        <w:tc>
          <w:tcPr>
            <w:tcBorders>
              <w:left w:val="single" w:color="auto" w:sz="4" w:space="0"/>
            </w:tcBorders>
            <w:tcW w:w="1503" w:type="dxa"/>
            <w:vAlign w:val="top"/>
            <w:vMerge w:val="continue"/>
            <w:textDirection w:val="lrTb"/>
            <w:noWrap w:val="false"/>
          </w:tcPr>
          <w:p>
            <w:pPr>
              <w:pStyle w:val="1205"/>
              <w:ind w:left="0" w:firstLine="0"/>
              <w:jc w:val="center"/>
              <w:spacing w:before="194" w:line="221"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567"/>
        </w:trPr>
        <w:tc>
          <w:tcPr>
            <w:tcW w:w="1389"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eastAsia="zh-CN"/>
              </w:rPr>
              <w:t xml:space="preserve">采购包4</w:t>
            </w:r>
            <w:r/>
          </w:p>
        </w:tc>
        <w:tc>
          <w:tcPr>
            <w:tcW w:w="2416" w:type="dxa"/>
            <w:vAlign w:val="center"/>
            <w:textDirection w:val="lrTb"/>
            <w:noWrap w:val="false"/>
          </w:tcPr>
          <w:p>
            <w:pPr>
              <w:jc w:val="both"/>
              <w:keepLines w:val="0"/>
              <w:keepNext w:val="0"/>
              <w:pageBreakBefore w:val="0"/>
              <w:spacing w:after="0" w:line="240" w:lineRule="auto"/>
              <w:widowControl w:val="off"/>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eastAsia="zh-CN"/>
              </w:rPr>
              <w:t xml:space="preserve">姑苏</w:t>
            </w:r>
            <w:r>
              <w:rPr>
                <w:rFonts w:hint="eastAsia" w:asciiTheme="minorEastAsia" w:hAnsiTheme="minorEastAsia" w:eastAsiaTheme="minorEastAsia" w:cstheme="minorEastAsia"/>
                <w:color w:val="auto"/>
                <w:sz w:val="24"/>
                <w:szCs w:val="24"/>
                <w:highlight w:val="none"/>
              </w:rPr>
              <w:t xml:space="preserve">区</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护城河</w:t>
            </w:r>
            <w:r>
              <w:rPr>
                <w:rFonts w:hint="eastAsia" w:asciiTheme="minorEastAsia" w:hAnsiTheme="minorEastAsia" w:eastAsiaTheme="minorEastAsia" w:cstheme="minorEastAsia"/>
                <w:color w:val="auto"/>
                <w:sz w:val="24"/>
                <w:szCs w:val="24"/>
                <w:highlight w:val="none"/>
                <w:lang w:val="en-US" w:eastAsia="zh-CN"/>
              </w:rPr>
              <w:t xml:space="preserve">以外）+工业园区</w:t>
            </w:r>
            <w:r/>
          </w:p>
        </w:tc>
        <w:tc>
          <w:tcPr>
            <w:tcBorders>
              <w:right w:val="single" w:color="auto" w:sz="4" w:space="0"/>
            </w:tcBorders>
            <w:tcW w:w="1703"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499000.00</w:t>
            </w:r>
            <w:r/>
          </w:p>
        </w:tc>
        <w:tc>
          <w:tcPr>
            <w:tcBorders>
              <w:left w:val="single" w:color="auto" w:sz="4" w:space="0"/>
              <w:right w:val="single" w:color="auto" w:sz="4" w:space="0"/>
            </w:tcBorders>
            <w:tcW w:w="2124" w:type="dxa"/>
            <w:vAlign w:val="center"/>
            <w:textDirection w:val="lrTb"/>
            <w:noWrap w:val="false"/>
          </w:tcPr>
          <w:p>
            <w:pPr>
              <w:jc w:val="center"/>
              <w:keepLines w:val="0"/>
              <w:keepNext w:val="0"/>
              <w:pageBreakBefore w:val="0"/>
              <w:spacing w:after="0" w:line="240" w:lineRule="auto"/>
              <w:widowControl w:val="off"/>
              <w:rPr>
                <w:rFonts w:hint="default" w:asciiTheme="minorEastAsia" w:hAnsiTheme="minorEastAsia" w:eastAsiaTheme="minorEastAsia" w:cstheme="minorEastAsia"/>
                <w:strike w:val="0"/>
                <w:dstrike/>
                <w:color w:val="auto"/>
                <w:sz w:val="24"/>
                <w:szCs w:val="24"/>
                <w:highlight w:val="none"/>
                <w:lang w:val="en-US" w:eastAsia="zh-CN"/>
              </w:rPr>
            </w:pPr>
            <w:r>
              <w:rPr>
                <w:rFonts w:hint="eastAsia" w:asciiTheme="minorEastAsia" w:hAnsiTheme="minorEastAsia" w:eastAsiaTheme="minorEastAsia" w:cstheme="minorEastAsia"/>
                <w:strike w:val="0"/>
                <w:color w:val="auto"/>
                <w:sz w:val="24"/>
                <w:szCs w:val="24"/>
                <w:highlight w:val="none"/>
                <w:lang w:val="en-US" w:eastAsia="zh-CN"/>
              </w:rPr>
              <w:t xml:space="preserve">1048.80</w:t>
            </w:r>
            <w:r/>
          </w:p>
        </w:tc>
        <w:tc>
          <w:tcPr>
            <w:tcBorders>
              <w:left w:val="single" w:color="auto" w:sz="4" w:space="0"/>
            </w:tcBorders>
            <w:tcW w:w="1503" w:type="dxa"/>
            <w:vAlign w:val="top"/>
            <w:vMerge w:val="continue"/>
            <w:textDirection w:val="lrTb"/>
            <w:noWrap w:val="false"/>
          </w:tcPr>
          <w:p>
            <w:pPr>
              <w:pStyle w:val="1205"/>
              <w:ind w:left="0" w:firstLine="0"/>
              <w:jc w:val="center"/>
              <w:spacing w:before="193" w:line="22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567"/>
        </w:trPr>
        <w:tc>
          <w:tcPr>
            <w:gridSpan w:val="5"/>
            <w:tcW w:w="9135" w:type="dxa"/>
            <w:vAlign w:val="center"/>
            <w:textDirection w:val="lrTb"/>
            <w:noWrap w:val="false"/>
          </w:tcPr>
          <w:p>
            <w:pPr>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备注：</w:t>
            </w:r>
            <w:r>
              <w:rPr>
                <w:rFonts w:hint="eastAsia" w:asciiTheme="minorEastAsia" w:hAnsiTheme="minorEastAsia" w:eastAsiaTheme="minorEastAsia" w:cstheme="minorEastAsia"/>
                <w:color w:val="auto"/>
                <w:sz w:val="24"/>
                <w:szCs w:val="24"/>
                <w:highlight w:val="none"/>
                <w:lang w:val="zh-CN"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val="zh-CN" w:eastAsia="zh-CN"/>
              </w:rPr>
              <w:t xml:space="preserve">本项目</w:t>
            </w:r>
            <w:r>
              <w:rPr>
                <w:rFonts w:hint="eastAsia" w:asciiTheme="minorEastAsia" w:hAnsiTheme="minorEastAsia" w:eastAsiaTheme="minorEastAsia" w:cstheme="minorEastAsia"/>
                <w:color w:val="auto"/>
                <w:sz w:val="24"/>
                <w:szCs w:val="24"/>
                <w:highlight w:val="none"/>
                <w:lang w:val="en-US" w:eastAsia="zh-CN"/>
              </w:rPr>
              <w:t xml:space="preserve">根据国家文物局《考古发掘经费预算定额》规定，按文化层平均厚度不同划</w:t>
            </w:r>
            <w:r>
              <w:rPr>
                <w:rFonts w:hint="eastAsia" w:asciiTheme="minorEastAsia" w:hAnsiTheme="minorEastAsia" w:eastAsiaTheme="minorEastAsia" w:cstheme="minorEastAsia"/>
                <w:color w:val="auto"/>
                <w:sz w:val="24"/>
                <w:szCs w:val="24"/>
                <w:highlight w:val="none"/>
                <w:lang w:val="zh-CN" w:eastAsia="zh-CN"/>
              </w:rPr>
              <w:t xml:space="preserve">分</w:t>
            </w:r>
            <w:r>
              <w:rPr>
                <w:rFonts w:hint="eastAsia" w:asciiTheme="minorEastAsia" w:hAnsiTheme="minorEastAsia" w:eastAsiaTheme="minorEastAsia" w:cstheme="minorEastAsia"/>
                <w:color w:val="auto"/>
                <w:sz w:val="24"/>
                <w:szCs w:val="24"/>
                <w:highlight w:val="none"/>
                <w:lang w:val="en-US" w:eastAsia="zh-CN"/>
              </w:rPr>
              <w:t xml:space="preserve">定价：基准单价912元/m²；姑苏区（护城河</w:t>
            </w:r>
            <w:r>
              <w:rPr>
                <w:rFonts w:hint="eastAsia" w:asciiTheme="minorEastAsia" w:hAnsiTheme="minorEastAsia" w:eastAsiaTheme="minorEastAsia" w:cstheme="minorEastAsia"/>
                <w:color w:val="auto"/>
                <w:sz w:val="24"/>
                <w:szCs w:val="24"/>
                <w:highlight w:val="none"/>
                <w:lang w:val="en-US" w:eastAsia="zh-CN"/>
              </w:rPr>
              <w:t xml:space="preserve">及</w:t>
            </w:r>
            <w:r>
              <w:rPr>
                <w:rFonts w:hint="eastAsia" w:asciiTheme="minorEastAsia" w:hAnsiTheme="minorEastAsia" w:eastAsiaTheme="minorEastAsia" w:cstheme="minorEastAsia"/>
                <w:color w:val="auto"/>
                <w:sz w:val="24"/>
                <w:szCs w:val="24"/>
                <w:highlight w:val="none"/>
                <w:lang w:val="en-US" w:eastAsia="zh-CN"/>
              </w:rPr>
              <w:t xml:space="preserve">以内古城核心区）作业难度最高，按基准价1.3倍上浮，即1185.60元/m²；姑苏区（护城河以外）、工业园区、昆山片区文化层较厚，按基准价1.15倍上浮，即1048.80元/m²；吴江、常熟片区按基准价912元/m²执行。</w:t>
            </w:r>
            <w:r/>
          </w:p>
          <w:p>
            <w:pPr>
              <w:numPr>
                <w:ilvl w:val="0"/>
                <w:numId w:val="0"/>
              </w:numPr>
              <w:ind w:firstLine="720"/>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（2）若有特殊项目，另行协商定价。</w:t>
            </w:r>
            <w:r/>
          </w:p>
        </w:tc>
      </w:tr>
    </w:tbl>
    <w:p>
      <w:pPr>
        <w:ind w:firstLine="720"/>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en-US" w:eastAsia="zh-CN"/>
        </w:rPr>
        <w:t xml:space="preserve">注：</w:t>
      </w:r>
      <w:r>
        <w:rPr>
          <w:rFonts w:hint="eastAsia" w:asciiTheme="minorEastAsia" w:hAnsiTheme="minorEastAsia" w:eastAsiaTheme="minorEastAsia" w:cstheme="minorEastAsia"/>
          <w:color w:val="auto"/>
          <w:sz w:val="24"/>
          <w:szCs w:val="24"/>
          <w:highlight w:val="none"/>
          <w:lang w:val="zh-CN" w:eastAsia="zh-CN"/>
        </w:rPr>
        <w:t xml:space="preserve">本项目</w:t>
      </w:r>
      <w:r>
        <w:rPr>
          <w:rFonts w:hint="eastAsia" w:asciiTheme="minorEastAsia" w:hAnsiTheme="minorEastAsia" w:eastAsiaTheme="minorEastAsia" w:cstheme="minorEastAsia"/>
          <w:color w:val="auto"/>
          <w:sz w:val="24"/>
          <w:szCs w:val="24"/>
          <w:highlight w:val="none"/>
          <w:lang w:val="en-US" w:eastAsia="zh-CN"/>
        </w:rPr>
        <w:t xml:space="preserve">划</w:t>
      </w:r>
      <w:r>
        <w:rPr>
          <w:rFonts w:hint="eastAsia" w:asciiTheme="minorEastAsia" w:hAnsiTheme="minorEastAsia" w:eastAsiaTheme="minorEastAsia" w:cstheme="minorEastAsia"/>
          <w:color w:val="auto"/>
          <w:sz w:val="24"/>
          <w:szCs w:val="24"/>
          <w:highlight w:val="none"/>
          <w:lang w:val="zh-CN" w:eastAsia="zh-CN"/>
        </w:rPr>
        <w:t xml:space="preserve">分为</w:t>
      </w:r>
      <w:r>
        <w:rPr>
          <w:rFonts w:hint="eastAsia" w:asciiTheme="minorEastAsia" w:hAnsiTheme="minorEastAsia" w:eastAsiaTheme="minorEastAsia" w:cstheme="minorEastAsia"/>
          <w:color w:val="auto"/>
          <w:sz w:val="24"/>
          <w:szCs w:val="24"/>
          <w:highlight w:val="none"/>
          <w:lang w:val="en-US" w:eastAsia="zh-CN"/>
        </w:rPr>
        <w:t xml:space="preserve">四</w:t>
      </w:r>
      <w:r>
        <w:rPr>
          <w:rFonts w:hint="eastAsia" w:asciiTheme="minorEastAsia" w:hAnsiTheme="minorEastAsia" w:eastAsiaTheme="minorEastAsia" w:cstheme="minorEastAsia"/>
          <w:color w:val="auto"/>
          <w:sz w:val="24"/>
          <w:szCs w:val="24"/>
          <w:highlight w:val="none"/>
          <w:lang w:val="zh-CN" w:eastAsia="zh-CN"/>
        </w:rPr>
        <w:t xml:space="preserve">个采购包，</w:t>
      </w:r>
      <w:r>
        <w:rPr>
          <w:rFonts w:hint="eastAsia" w:asciiTheme="minorEastAsia" w:hAnsiTheme="minorEastAsia" w:eastAsiaTheme="minorEastAsia" w:cstheme="minorEastAsia"/>
          <w:color w:val="auto"/>
          <w:sz w:val="24"/>
          <w:szCs w:val="24"/>
          <w:highlight w:val="none"/>
          <w:lang w:val="en-US" w:eastAsia="zh-CN"/>
        </w:rPr>
        <w:t xml:space="preserve">投标</w:t>
      </w:r>
      <w:r>
        <w:rPr>
          <w:rFonts w:hint="eastAsia" w:asciiTheme="minorEastAsia" w:hAnsiTheme="minorEastAsia" w:eastAsiaTheme="minorEastAsia" w:cstheme="minorEastAsia"/>
          <w:color w:val="auto"/>
          <w:sz w:val="24"/>
          <w:szCs w:val="24"/>
          <w:highlight w:val="none"/>
          <w:lang w:val="zh-CN" w:eastAsia="zh-CN"/>
        </w:rPr>
        <w:t xml:space="preserve">单位可</w:t>
      </w:r>
      <w:r>
        <w:rPr>
          <w:rFonts w:hint="eastAsia" w:asciiTheme="minorEastAsia" w:hAnsiTheme="minorEastAsia" w:eastAsiaTheme="minorEastAsia" w:cstheme="minorEastAsia"/>
          <w:color w:val="auto"/>
          <w:sz w:val="24"/>
          <w:szCs w:val="24"/>
          <w:highlight w:val="none"/>
          <w:lang w:val="en-US" w:eastAsia="zh-CN"/>
        </w:rPr>
        <w:t xml:space="preserve">自行</w:t>
      </w:r>
      <w:r>
        <w:rPr>
          <w:rFonts w:hint="eastAsia" w:asciiTheme="minorEastAsia" w:hAnsiTheme="minorEastAsia" w:eastAsiaTheme="minorEastAsia" w:cstheme="minorEastAsia"/>
          <w:color w:val="auto"/>
          <w:sz w:val="24"/>
          <w:szCs w:val="24"/>
          <w:highlight w:val="none"/>
          <w:lang w:val="zh-CN" w:eastAsia="zh-CN"/>
        </w:rPr>
        <w:t xml:space="preserve">选择一个或</w:t>
      </w:r>
      <w:r>
        <w:rPr>
          <w:rFonts w:hint="eastAsia" w:asciiTheme="minorEastAsia" w:hAnsiTheme="minorEastAsia" w:eastAsiaTheme="minorEastAsia" w:cstheme="minorEastAsia"/>
          <w:color w:val="auto"/>
          <w:sz w:val="24"/>
          <w:szCs w:val="24"/>
          <w:highlight w:val="none"/>
          <w:lang w:val="en-US" w:eastAsia="zh-CN"/>
        </w:rPr>
        <w:t xml:space="preserve">多个采购包参与</w:t>
      </w:r>
      <w:r>
        <w:rPr>
          <w:rFonts w:hint="eastAsia" w:asciiTheme="minorEastAsia" w:hAnsiTheme="minorEastAsia" w:eastAsiaTheme="minorEastAsia" w:cstheme="minorEastAsia"/>
          <w:color w:val="auto"/>
          <w:sz w:val="24"/>
          <w:szCs w:val="24"/>
          <w:highlight w:val="none"/>
          <w:lang w:val="zh-CN" w:eastAsia="zh-CN"/>
        </w:rPr>
        <w:t xml:space="preserve">投标，</w:t>
      </w:r>
      <w:r>
        <w:rPr>
          <w:rFonts w:hint="eastAsia" w:asciiTheme="minorEastAsia" w:hAnsiTheme="minorEastAsia" w:eastAsiaTheme="minorEastAsia" w:cstheme="minorEastAsia"/>
          <w:color w:val="auto"/>
          <w:sz w:val="24"/>
          <w:szCs w:val="24"/>
          <w:highlight w:val="none"/>
          <w:lang w:val="en-US" w:eastAsia="zh-CN"/>
        </w:rPr>
        <w:t xml:space="preserve">但同一投标单位最多</w:t>
      </w:r>
      <w:r>
        <w:rPr>
          <w:rFonts w:hint="eastAsia" w:asciiTheme="minorEastAsia" w:hAnsiTheme="minorEastAsia" w:eastAsiaTheme="minorEastAsia" w:cstheme="minorEastAsia"/>
          <w:color w:val="auto"/>
          <w:sz w:val="24"/>
          <w:szCs w:val="24"/>
          <w:highlight w:val="none"/>
          <w:lang w:val="zh-CN" w:eastAsia="zh-CN"/>
        </w:rPr>
        <w:t xml:space="preserve">只能被确定为</w:t>
      </w:r>
      <w:r>
        <w:rPr>
          <w:rFonts w:hint="eastAsia" w:asciiTheme="minorEastAsia" w:hAnsiTheme="minorEastAsia" w:eastAsiaTheme="minorEastAsia" w:cstheme="minorEastAsia"/>
          <w:color w:val="auto"/>
          <w:sz w:val="24"/>
          <w:szCs w:val="24"/>
          <w:highlight w:val="none"/>
          <w:lang w:val="en-US" w:eastAsia="zh-CN"/>
        </w:rPr>
        <w:t xml:space="preserve">一个采购包的</w:t>
      </w:r>
      <w:r>
        <w:rPr>
          <w:rFonts w:hint="eastAsia" w:asciiTheme="minorEastAsia" w:hAnsiTheme="minorEastAsia" w:eastAsiaTheme="minorEastAsia" w:cstheme="minorEastAsia"/>
          <w:color w:val="auto"/>
          <w:sz w:val="24"/>
          <w:szCs w:val="24"/>
          <w:highlight w:val="none"/>
          <w:lang w:val="zh-CN" w:eastAsia="zh-CN"/>
        </w:rPr>
        <w:t xml:space="preserve">中标供应商。</w:t>
      </w:r>
      <w:r>
        <w:rPr>
          <w:rFonts w:hint="eastAsia" w:asciiTheme="minorEastAsia" w:hAnsiTheme="minorEastAsia" w:eastAsiaTheme="minorEastAsia" w:cstheme="minorEastAsia"/>
          <w:color w:val="auto"/>
          <w:sz w:val="24"/>
          <w:szCs w:val="24"/>
          <w:highlight w:val="none"/>
          <w:lang w:val="en-US" w:eastAsia="zh-CN"/>
        </w:rPr>
        <w:t xml:space="preserve">本项目按采购包1、采购包2、采购包3、采购包4顺序依次开展评标评审，实行</w:t>
      </w:r>
      <w:r>
        <w:rPr>
          <w:rFonts w:hint="eastAsia" w:asciiTheme="minorEastAsia" w:hAnsiTheme="minorEastAsia" w:eastAsiaTheme="minorEastAsia" w:cstheme="minorEastAsia"/>
          <w:color w:val="auto"/>
          <w:sz w:val="24"/>
          <w:szCs w:val="24"/>
          <w:highlight w:val="none"/>
          <w:lang w:val="zh-CN" w:eastAsia="zh-CN"/>
        </w:rPr>
        <w:t xml:space="preserve">先</w:t>
      </w:r>
      <w:r>
        <w:rPr>
          <w:rFonts w:hint="eastAsia" w:asciiTheme="minorEastAsia" w:hAnsiTheme="minorEastAsia" w:eastAsiaTheme="minorEastAsia" w:cstheme="minorEastAsia"/>
          <w:color w:val="auto"/>
          <w:sz w:val="24"/>
          <w:szCs w:val="24"/>
          <w:highlight w:val="none"/>
          <w:lang w:val="en-US" w:eastAsia="zh-CN"/>
        </w:rPr>
        <w:t xml:space="preserve">评先</w:t>
      </w:r>
      <w:r>
        <w:rPr>
          <w:rFonts w:hint="eastAsia" w:asciiTheme="minorEastAsia" w:hAnsiTheme="minorEastAsia" w:eastAsiaTheme="minorEastAsia" w:cstheme="minorEastAsia"/>
          <w:color w:val="auto"/>
          <w:sz w:val="24"/>
          <w:szCs w:val="24"/>
          <w:highlight w:val="none"/>
          <w:lang w:val="zh-CN" w:eastAsia="zh-CN"/>
        </w:rPr>
        <w:t xml:space="preserve">中</w:t>
      </w:r>
      <w:r>
        <w:rPr>
          <w:rFonts w:hint="eastAsia" w:asciiTheme="minorEastAsia" w:hAnsiTheme="minorEastAsia" w:eastAsiaTheme="minorEastAsia" w:cstheme="minorEastAsia"/>
          <w:color w:val="auto"/>
          <w:sz w:val="24"/>
          <w:szCs w:val="24"/>
          <w:highlight w:val="none"/>
          <w:lang w:val="en-US" w:eastAsia="zh-CN"/>
        </w:rPr>
        <w:t xml:space="preserve">规</w:t>
      </w:r>
      <w:r>
        <w:rPr>
          <w:rFonts w:hint="eastAsia" w:asciiTheme="minorEastAsia" w:hAnsiTheme="minorEastAsia" w:eastAsiaTheme="minorEastAsia" w:cstheme="minorEastAsia"/>
          <w:color w:val="auto"/>
          <w:sz w:val="24"/>
          <w:szCs w:val="24"/>
          <w:highlight w:val="none"/>
          <w:lang w:val="zh-CN" w:eastAsia="zh-CN"/>
        </w:rPr>
        <w:t xml:space="preserve">则：</w:t>
      </w:r>
      <w:r>
        <w:rPr>
          <w:rFonts w:hint="eastAsia" w:asciiTheme="minorEastAsia" w:hAnsiTheme="minorEastAsia" w:eastAsiaTheme="minorEastAsia" w:cstheme="minorEastAsia"/>
          <w:color w:val="auto"/>
          <w:sz w:val="24"/>
          <w:szCs w:val="24"/>
          <w:highlight w:val="none"/>
          <w:lang w:val="en-US" w:eastAsia="zh-CN"/>
        </w:rPr>
        <w:t xml:space="preserve">投标单位若</w:t>
      </w:r>
      <w:r>
        <w:rPr>
          <w:rFonts w:hint="eastAsia" w:asciiTheme="minorEastAsia" w:hAnsiTheme="minorEastAsia" w:eastAsiaTheme="minorEastAsia" w:cstheme="minorEastAsia"/>
          <w:color w:val="auto"/>
          <w:sz w:val="24"/>
          <w:szCs w:val="24"/>
          <w:highlight w:val="none"/>
          <w:lang w:val="zh-CN" w:eastAsia="zh-CN"/>
        </w:rPr>
        <w:t xml:space="preserve">在</w:t>
      </w:r>
      <w:r>
        <w:rPr>
          <w:rFonts w:hint="eastAsia" w:asciiTheme="minorEastAsia" w:hAnsiTheme="minorEastAsia" w:eastAsiaTheme="minorEastAsia" w:cstheme="minorEastAsia"/>
          <w:color w:val="auto"/>
          <w:sz w:val="24"/>
          <w:szCs w:val="24"/>
          <w:highlight w:val="none"/>
          <w:lang w:val="en-US" w:eastAsia="zh-CN"/>
        </w:rPr>
        <w:t xml:space="preserve">前序</w:t>
      </w:r>
      <w:r>
        <w:rPr>
          <w:rFonts w:hint="eastAsia" w:asciiTheme="minorEastAsia" w:hAnsiTheme="minorEastAsia" w:eastAsiaTheme="minorEastAsia" w:cstheme="minorEastAsia"/>
          <w:color w:val="auto"/>
          <w:sz w:val="24"/>
          <w:szCs w:val="24"/>
          <w:highlight w:val="none"/>
          <w:lang w:val="zh-CN" w:eastAsia="zh-CN"/>
        </w:rPr>
        <w:t xml:space="preserve">采购包中</w:t>
      </w:r>
      <w:r>
        <w:rPr>
          <w:rFonts w:hint="eastAsia" w:asciiTheme="minorEastAsia" w:hAnsiTheme="minorEastAsia" w:eastAsiaTheme="minorEastAsia" w:cstheme="minorEastAsia"/>
          <w:color w:val="auto"/>
          <w:sz w:val="24"/>
          <w:szCs w:val="24"/>
          <w:highlight w:val="none"/>
          <w:lang w:val="en-US" w:eastAsia="zh-CN"/>
        </w:rPr>
        <w:t xml:space="preserve">被确定为</w:t>
      </w:r>
      <w:r>
        <w:rPr>
          <w:rFonts w:hint="eastAsia" w:asciiTheme="minorEastAsia" w:hAnsiTheme="minorEastAsia" w:eastAsiaTheme="minorEastAsia" w:cstheme="minorEastAsia"/>
          <w:color w:val="auto"/>
          <w:sz w:val="24"/>
          <w:szCs w:val="24"/>
          <w:highlight w:val="none"/>
          <w:lang w:val="zh-CN" w:eastAsia="zh-CN"/>
        </w:rPr>
        <w:t xml:space="preserve">中标</w:t>
      </w:r>
      <w:r>
        <w:rPr>
          <w:rFonts w:hint="eastAsia" w:asciiTheme="minorEastAsia" w:hAnsiTheme="minorEastAsia" w:eastAsiaTheme="minorEastAsia" w:cstheme="minorEastAsia"/>
          <w:color w:val="auto"/>
          <w:sz w:val="24"/>
          <w:szCs w:val="24"/>
          <w:highlight w:val="none"/>
          <w:lang w:val="en-US" w:eastAsia="zh-CN"/>
        </w:rPr>
        <w:t xml:space="preserve">候选人的，自动丧失</w:t>
      </w:r>
      <w:r>
        <w:rPr>
          <w:rFonts w:hint="eastAsia" w:asciiTheme="minorEastAsia" w:hAnsiTheme="minorEastAsia" w:eastAsiaTheme="minorEastAsia" w:cstheme="minorEastAsia"/>
          <w:color w:val="auto"/>
          <w:sz w:val="24"/>
          <w:szCs w:val="24"/>
          <w:highlight w:val="none"/>
          <w:lang w:val="zh-CN" w:eastAsia="zh-CN"/>
        </w:rPr>
        <w:t xml:space="preserve">后续</w:t>
      </w:r>
      <w:r>
        <w:rPr>
          <w:rFonts w:hint="eastAsia" w:asciiTheme="minorEastAsia" w:hAnsiTheme="minorEastAsia" w:eastAsiaTheme="minorEastAsia" w:cstheme="minorEastAsia"/>
          <w:color w:val="auto"/>
          <w:sz w:val="24"/>
          <w:szCs w:val="24"/>
          <w:highlight w:val="none"/>
          <w:lang w:val="en-US" w:eastAsia="zh-CN"/>
        </w:rPr>
        <w:t xml:space="preserve">所有</w:t>
      </w:r>
      <w:r>
        <w:rPr>
          <w:rFonts w:hint="eastAsia" w:asciiTheme="minorEastAsia" w:hAnsiTheme="minorEastAsia" w:eastAsiaTheme="minorEastAsia" w:cstheme="minorEastAsia"/>
          <w:color w:val="auto"/>
          <w:sz w:val="24"/>
          <w:szCs w:val="24"/>
          <w:highlight w:val="none"/>
          <w:lang w:val="zh-CN" w:eastAsia="zh-CN"/>
        </w:rPr>
        <w:t xml:space="preserve">采购包</w:t>
      </w:r>
      <w:r>
        <w:rPr>
          <w:rFonts w:hint="eastAsia" w:asciiTheme="minorEastAsia" w:hAnsiTheme="minorEastAsia" w:eastAsiaTheme="minorEastAsia" w:cstheme="minorEastAsia"/>
          <w:color w:val="auto"/>
          <w:sz w:val="24"/>
          <w:szCs w:val="24"/>
          <w:highlight w:val="none"/>
          <w:lang w:val="en-US" w:eastAsia="zh-CN"/>
        </w:rPr>
        <w:t xml:space="preserve">中的</w:t>
      </w:r>
      <w:r>
        <w:rPr>
          <w:rFonts w:hint="eastAsia" w:asciiTheme="minorEastAsia" w:hAnsiTheme="minorEastAsia" w:eastAsiaTheme="minorEastAsia" w:cstheme="minorEastAsia"/>
          <w:color w:val="auto"/>
          <w:sz w:val="24"/>
          <w:szCs w:val="24"/>
          <w:highlight w:val="none"/>
          <w:lang w:val="zh-CN" w:eastAsia="zh-CN"/>
        </w:rPr>
        <w:t xml:space="preserve">中标资格，不再</w:t>
      </w:r>
      <w:r>
        <w:rPr>
          <w:rFonts w:hint="eastAsia" w:asciiTheme="minorEastAsia" w:hAnsiTheme="minorEastAsia" w:eastAsiaTheme="minorEastAsia" w:cstheme="minorEastAsia"/>
          <w:color w:val="auto"/>
          <w:sz w:val="24"/>
          <w:szCs w:val="24"/>
          <w:highlight w:val="none"/>
          <w:lang w:val="en-US" w:eastAsia="zh-CN"/>
        </w:rPr>
        <w:t xml:space="preserve">参与</w:t>
      </w:r>
      <w:r>
        <w:rPr>
          <w:rFonts w:hint="eastAsia" w:asciiTheme="minorEastAsia" w:hAnsiTheme="minorEastAsia" w:eastAsiaTheme="minorEastAsia" w:cstheme="minorEastAsia"/>
          <w:color w:val="auto"/>
          <w:sz w:val="24"/>
          <w:szCs w:val="24"/>
          <w:highlight w:val="none"/>
          <w:lang w:val="zh-CN" w:eastAsia="zh-CN"/>
        </w:rPr>
        <w:t xml:space="preserve">后续采购包</w:t>
      </w:r>
      <w:r>
        <w:rPr>
          <w:rFonts w:hint="eastAsia" w:asciiTheme="minorEastAsia" w:hAnsiTheme="minorEastAsia" w:eastAsiaTheme="minorEastAsia" w:cstheme="minorEastAsia"/>
          <w:color w:val="auto"/>
          <w:sz w:val="24"/>
          <w:szCs w:val="24"/>
          <w:highlight w:val="none"/>
          <w:lang w:val="en-US" w:eastAsia="zh-CN"/>
        </w:rPr>
        <w:t xml:space="preserve">中标评审</w:t>
      </w:r>
      <w:r>
        <w:rPr>
          <w:rFonts w:hint="eastAsia" w:asciiTheme="minorEastAsia" w:hAnsiTheme="minorEastAsia" w:eastAsiaTheme="minorEastAsia" w:cstheme="minorEastAsia"/>
          <w:color w:val="auto"/>
          <w:sz w:val="24"/>
          <w:szCs w:val="24"/>
          <w:highlight w:val="none"/>
          <w:lang w:val="zh-CN"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且不</w:t>
      </w:r>
      <w:r>
        <w:rPr>
          <w:rFonts w:hint="eastAsia" w:asciiTheme="minorEastAsia" w:hAnsiTheme="minorEastAsia" w:eastAsiaTheme="minorEastAsia" w:cstheme="minorEastAsia"/>
          <w:color w:val="auto"/>
          <w:sz w:val="24"/>
          <w:szCs w:val="24"/>
          <w:highlight w:val="none"/>
          <w:lang w:val="zh-CN" w:eastAsia="zh-CN"/>
        </w:rPr>
        <w:t xml:space="preserve">计入后续采购包</w:t>
      </w:r>
      <w:r>
        <w:rPr>
          <w:rFonts w:hint="eastAsia" w:asciiTheme="minorEastAsia" w:hAnsiTheme="minorEastAsia" w:eastAsiaTheme="minorEastAsia" w:cstheme="minorEastAsia"/>
          <w:color w:val="auto"/>
          <w:sz w:val="24"/>
          <w:szCs w:val="24"/>
          <w:highlight w:val="none"/>
          <w:lang w:val="en-US" w:eastAsia="zh-CN"/>
        </w:rPr>
        <w:t xml:space="preserve">有效</w:t>
      </w:r>
      <w:r>
        <w:rPr>
          <w:rFonts w:hint="eastAsia" w:asciiTheme="minorEastAsia" w:hAnsiTheme="minorEastAsia" w:eastAsiaTheme="minorEastAsia" w:cstheme="minorEastAsia"/>
          <w:color w:val="auto"/>
          <w:sz w:val="24"/>
          <w:szCs w:val="24"/>
          <w:highlight w:val="none"/>
          <w:lang w:val="zh-CN" w:eastAsia="zh-CN"/>
        </w:rPr>
        <w:t xml:space="preserve">实质性响应供应商</w:t>
      </w:r>
      <w:r>
        <w:rPr>
          <w:rFonts w:hint="eastAsia" w:asciiTheme="minorEastAsia" w:hAnsiTheme="minorEastAsia" w:eastAsiaTheme="minorEastAsia" w:cstheme="minorEastAsia"/>
          <w:color w:val="auto"/>
          <w:sz w:val="24"/>
          <w:szCs w:val="24"/>
          <w:highlight w:val="none"/>
          <w:lang w:val="en-US" w:eastAsia="zh-CN"/>
        </w:rPr>
        <w:t xml:space="preserve">家数；</w:t>
      </w:r>
      <w:r>
        <w:rPr>
          <w:rFonts w:hint="eastAsia" w:asciiTheme="minorEastAsia" w:hAnsiTheme="minorEastAsia" w:eastAsiaTheme="minorEastAsia" w:cstheme="minorEastAsia"/>
          <w:color w:val="auto"/>
          <w:sz w:val="24"/>
          <w:szCs w:val="24"/>
          <w:highlight w:val="none"/>
          <w:lang w:val="zh-CN" w:eastAsia="zh-CN"/>
        </w:rPr>
        <w:t xml:space="preserve">每</w:t>
      </w:r>
      <w:r>
        <w:rPr>
          <w:rFonts w:hint="eastAsia" w:asciiTheme="minorEastAsia" w:hAnsiTheme="minorEastAsia" w:eastAsiaTheme="minorEastAsia" w:cstheme="minorEastAsia"/>
          <w:color w:val="auto"/>
          <w:sz w:val="24"/>
          <w:szCs w:val="24"/>
          <w:highlight w:val="none"/>
          <w:lang w:val="en-US" w:eastAsia="zh-CN"/>
        </w:rPr>
        <w:t xml:space="preserve">个采购包通过资格性、符合性审查</w:t>
      </w:r>
      <w:r>
        <w:rPr>
          <w:rFonts w:hint="eastAsia" w:asciiTheme="minorEastAsia" w:hAnsiTheme="minorEastAsia" w:eastAsiaTheme="minorEastAsia" w:cstheme="minorEastAsia"/>
          <w:color w:val="auto"/>
          <w:sz w:val="24"/>
          <w:szCs w:val="24"/>
          <w:highlight w:val="none"/>
          <w:lang w:val="zh-CN" w:eastAsia="zh-CN"/>
        </w:rPr>
        <w:t xml:space="preserve">进入评审的</w:t>
      </w:r>
      <w:r>
        <w:rPr>
          <w:rFonts w:hint="eastAsia" w:asciiTheme="minorEastAsia" w:hAnsiTheme="minorEastAsia" w:eastAsiaTheme="minorEastAsia" w:cstheme="minorEastAsia"/>
          <w:color w:val="auto"/>
          <w:sz w:val="24"/>
          <w:szCs w:val="24"/>
          <w:highlight w:val="none"/>
          <w:lang w:val="en-US" w:eastAsia="zh-CN"/>
        </w:rPr>
        <w:t xml:space="preserve">有效投标</w:t>
      </w:r>
      <w:r>
        <w:rPr>
          <w:rFonts w:hint="eastAsia" w:asciiTheme="minorEastAsia" w:hAnsiTheme="minorEastAsia" w:eastAsiaTheme="minorEastAsia" w:cstheme="minorEastAsia"/>
          <w:color w:val="auto"/>
          <w:sz w:val="24"/>
          <w:szCs w:val="24"/>
          <w:highlight w:val="none"/>
          <w:lang w:val="zh-CN" w:eastAsia="zh-CN"/>
        </w:rPr>
        <w:t xml:space="preserve">单位数量须</w:t>
      </w:r>
      <w:r>
        <w:rPr>
          <w:rFonts w:hint="eastAsia" w:asciiTheme="minorEastAsia" w:hAnsiTheme="minorEastAsia" w:eastAsiaTheme="minorEastAsia" w:cstheme="minorEastAsia"/>
          <w:color w:val="auto"/>
          <w:sz w:val="24"/>
          <w:szCs w:val="24"/>
          <w:highlight w:val="none"/>
          <w:lang w:val="en-US" w:eastAsia="zh-CN"/>
        </w:rPr>
        <w:t xml:space="preserve">不少于3</w:t>
      </w:r>
      <w:r>
        <w:rPr>
          <w:rFonts w:hint="eastAsia" w:asciiTheme="minorEastAsia" w:hAnsiTheme="minorEastAsia" w:eastAsiaTheme="minorEastAsia" w:cstheme="minorEastAsia"/>
          <w:color w:val="auto"/>
          <w:sz w:val="24"/>
          <w:szCs w:val="24"/>
          <w:highlight w:val="none"/>
          <w:lang w:val="zh-CN" w:eastAsia="zh-CN"/>
        </w:rPr>
        <w:t xml:space="preserve">家，</w:t>
      </w:r>
      <w:r>
        <w:rPr>
          <w:rFonts w:hint="eastAsia" w:asciiTheme="minorEastAsia" w:hAnsiTheme="minorEastAsia" w:eastAsiaTheme="minorEastAsia" w:cstheme="minorEastAsia"/>
          <w:color w:val="auto"/>
          <w:sz w:val="24"/>
          <w:szCs w:val="24"/>
          <w:highlight w:val="none"/>
          <w:lang w:val="en-US" w:eastAsia="zh-CN"/>
        </w:rPr>
        <w:t xml:space="preserve">不足3家该采购包作采购失败处理</w:t>
      </w:r>
      <w:r>
        <w:rPr>
          <w:rFonts w:hint="eastAsia" w:asciiTheme="minorEastAsia" w:hAnsiTheme="minorEastAsia" w:eastAsiaTheme="minorEastAsia" w:cstheme="minorEastAsia"/>
          <w:color w:val="auto"/>
          <w:sz w:val="24"/>
          <w:szCs w:val="24"/>
          <w:highlight w:val="none"/>
          <w:lang w:val="zh-CN" w:eastAsia="zh-CN"/>
        </w:rPr>
        <w:t xml:space="preserve">。</w:t>
      </w:r>
      <w:r/>
    </w:p>
    <w:p>
      <w:pPr>
        <w:ind w:firstLine="480"/>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采购需求：依据《中华人民共和国文物保护法》《江苏省文物保护条例》《苏州市地下文物保护办法》等相关法律法规规定，为统筹协调文物保护与城市建设发展关系，规范苏州市地下文物发掘，组织实施本次</w:t>
      </w:r>
      <w:r>
        <w:rPr>
          <w:rFonts w:hint="eastAsia" w:asciiTheme="minorEastAsia" w:hAnsiTheme="minorEastAsia" w:eastAsiaTheme="minorEastAsia" w:cstheme="minorEastAsia"/>
          <w:color w:val="auto"/>
          <w:sz w:val="24"/>
          <w:szCs w:val="24"/>
          <w:highlight w:val="none"/>
          <w:lang w:eastAsia="zh-CN"/>
        </w:rPr>
        <w:t xml:space="preserve">基建考古发掘服务</w:t>
      </w:r>
      <w:r>
        <w:rPr>
          <w:rFonts w:hint="eastAsia" w:asciiTheme="minorEastAsia" w:hAnsiTheme="minorEastAsia" w:eastAsiaTheme="minorEastAsia" w:cstheme="minorEastAsia"/>
          <w:color w:val="auto"/>
          <w:sz w:val="24"/>
          <w:szCs w:val="24"/>
          <w:highlight w:val="none"/>
        </w:rPr>
        <w:t xml:space="preserve">（具体内容详见第四章招标书）。</w:t>
      </w:r>
      <w:r/>
    </w:p>
    <w:p>
      <w:pPr>
        <w:ind w:firstLine="480"/>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5、合同履行期限：</w:t>
      </w:r>
      <w:r>
        <w:rPr>
          <w:rFonts w:hint="eastAsia" w:asciiTheme="minorEastAsia" w:hAnsiTheme="minorEastAsia" w:eastAsiaTheme="minorEastAsia" w:cstheme="minorEastAsia"/>
          <w:color w:val="auto"/>
          <w:sz w:val="24"/>
          <w:szCs w:val="24"/>
          <w:highlight w:val="none"/>
          <w:lang w:eastAsia="zh-CN"/>
        </w:rPr>
        <w:t xml:space="preserve">2027年6月1</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lang w:eastAsia="zh-CN"/>
        </w:rPr>
        <w:t xml:space="preserve">日止（具体进场时间以采购人通知为准）。</w:t>
      </w:r>
      <w:r/>
    </w:p>
    <w:p>
      <w:pPr>
        <w:ind w:firstLine="480"/>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二、供应商的资格要求：</w:t>
      </w:r>
      <w:r/>
    </w:p>
    <w:p>
      <w:pPr>
        <w:ind w:firstLine="480"/>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1、满足《中华人民共和国政府采购法》第二十二条规定，供应商应当具备下列条件：</w:t>
      </w:r>
      <w:r/>
    </w:p>
    <w:p>
      <w:pPr>
        <w:ind w:firstLine="480"/>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1.1具有独立承担民事责任的能力；</w:t>
      </w:r>
      <w:r/>
    </w:p>
    <w:p>
      <w:pPr>
        <w:ind w:firstLine="480"/>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1.2具有良好的商业信誉和健全的财务会计制度；</w:t>
      </w:r>
      <w:r/>
    </w:p>
    <w:p>
      <w:pPr>
        <w:ind w:firstLine="480"/>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1.3具有履行合同所必需的设备和专业技术能力；</w:t>
      </w:r>
      <w:r/>
    </w:p>
    <w:p>
      <w:pPr>
        <w:ind w:firstLine="480"/>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1.4有依法缴纳税收和社会保障基金的良好记录；</w:t>
      </w:r>
      <w:r/>
    </w:p>
    <w:p>
      <w:pPr>
        <w:ind w:firstLine="480"/>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1.5参加政府采购活动前三年内，在经营活动中没有重大违法记录；</w:t>
      </w:r>
      <w:r/>
    </w:p>
    <w:p>
      <w:pPr>
        <w:ind w:firstLine="480"/>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1.6法律、行政法规规定的其他条件。</w:t>
      </w:r>
      <w:r/>
    </w:p>
    <w:p>
      <w:pPr>
        <w:ind w:firstLine="480"/>
        <w:jc w:val="left"/>
        <w:keepLines w:val="0"/>
        <w:keepNext w:val="0"/>
        <w:pageBreakBefore w:val="0"/>
        <w:spacing w:after="0" w:line="360"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2、落实政府采购政策需满足的资格要</w:t>
      </w:r>
      <w:r>
        <w:rPr>
          <w:rFonts w:hint="eastAsia" w:asciiTheme="minorEastAsia" w:hAnsiTheme="minorEastAsia" w:eastAsiaTheme="minorEastAsia" w:cstheme="minorEastAsia"/>
          <w:b w:val="0"/>
          <w:bCs w:val="0"/>
          <w:color w:val="auto"/>
          <w:sz w:val="24"/>
          <w:szCs w:val="24"/>
          <w:highlight w:val="none"/>
        </w:rPr>
        <w:t xml:space="preserve">求</w:t>
      </w:r>
      <w:r>
        <w:rPr>
          <w:rFonts w:hint="eastAsia" w:asciiTheme="minorEastAsia" w:hAnsiTheme="minorEastAsia" w:eastAsiaTheme="minorEastAsia" w:cstheme="minorEastAsia"/>
          <w:b w:val="0"/>
          <w:bCs w:val="0"/>
          <w:color w:val="auto"/>
          <w:sz w:val="24"/>
          <w:szCs w:val="24"/>
          <w:highlight w:val="none"/>
        </w:rPr>
        <w:t xml:space="preserve">（</w:t>
      </w:r>
      <w:r>
        <w:rPr>
          <w:rFonts w:hint="eastAsia" w:asciiTheme="minorEastAsia" w:hAnsiTheme="minorEastAsia" w:eastAsiaTheme="minorEastAsia" w:cstheme="minorEastAsia"/>
          <w:b w:val="0"/>
          <w:bCs w:val="0"/>
          <w:color w:val="auto"/>
          <w:sz w:val="24"/>
          <w:szCs w:val="24"/>
          <w:highlight w:val="none"/>
        </w:rPr>
        <w:t xml:space="preserve">采购包1、采购包2、采购包3、采购包4</w:t>
      </w:r>
      <w:r>
        <w:rPr>
          <w:rFonts w:hint="eastAsia" w:asciiTheme="minorEastAsia" w:hAnsiTheme="minorEastAsia" w:eastAsiaTheme="minorEastAsia" w:cstheme="minorEastAsia"/>
          <w:b w:val="0"/>
          <w:bCs w:val="0"/>
          <w:color w:val="auto"/>
          <w:sz w:val="24"/>
          <w:szCs w:val="24"/>
          <w:highlight w:val="none"/>
        </w:rPr>
        <w:t xml:space="preserve">）</w:t>
      </w:r>
      <w:r>
        <w:rPr>
          <w:rFonts w:hint="eastAsia" w:asciiTheme="minorEastAsia" w:hAnsiTheme="minorEastAsia" w:eastAsiaTheme="minorEastAsia" w:cstheme="minorEastAsia"/>
          <w:b w:val="0"/>
          <w:bCs w:val="0"/>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rPr>
        <w:t xml:space="preserve">本项目专门面向中小企业采购，所属行业为</w:t>
      </w:r>
      <w:r>
        <w:rPr>
          <w:rFonts w:hint="eastAsia" w:asciiTheme="minorEastAsia" w:hAnsiTheme="minorEastAsia" w:eastAsiaTheme="minorEastAsia" w:cstheme="minorEastAsia"/>
          <w:b/>
          <w:bCs/>
          <w:color w:val="auto"/>
          <w:sz w:val="24"/>
          <w:szCs w:val="24"/>
          <w:highlight w:val="none"/>
        </w:rPr>
        <w:t xml:space="preserve">租赁和商务服务业</w:t>
      </w:r>
      <w:r>
        <w:rPr>
          <w:rFonts w:hint="eastAsia" w:asciiTheme="minorEastAsia" w:hAnsiTheme="minorEastAsia" w:eastAsiaTheme="minorEastAsia" w:cstheme="minorEastAsia"/>
          <w:b w:val="0"/>
          <w:bCs w:val="0"/>
          <w:color w:val="auto"/>
          <w:sz w:val="24"/>
          <w:szCs w:val="24"/>
          <w:highlight w:val="none"/>
        </w:rPr>
        <w:t xml:space="preserve">。</w:t>
      </w:r>
      <w:r/>
    </w:p>
    <w:p>
      <w:pPr>
        <w:ind w:firstLine="480"/>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3、本项目的特定资格要求</w:t>
      </w:r>
      <w:r>
        <w:rPr>
          <w:rFonts w:hint="eastAsia" w:asciiTheme="minorEastAsia" w:hAnsiTheme="minorEastAsia" w:eastAsiaTheme="minorEastAsia" w:cstheme="minorEastAsia"/>
          <w:b w:val="0"/>
          <w:bCs w:val="0"/>
          <w:color w:val="auto"/>
          <w:sz w:val="24"/>
          <w:szCs w:val="24"/>
          <w:highlight w:val="none"/>
        </w:rPr>
        <w:t xml:space="preserve">（</w:t>
      </w:r>
      <w:r>
        <w:rPr>
          <w:rFonts w:hint="eastAsia" w:asciiTheme="minorEastAsia" w:hAnsiTheme="minorEastAsia" w:eastAsiaTheme="minorEastAsia" w:cstheme="minorEastAsia"/>
          <w:b w:val="0"/>
          <w:bCs w:val="0"/>
          <w:color w:val="auto"/>
          <w:sz w:val="24"/>
          <w:szCs w:val="24"/>
          <w:highlight w:val="none"/>
        </w:rPr>
        <w:t xml:space="preserve">采购包1、采购包2、采购包3、采购包4</w:t>
      </w:r>
      <w:r>
        <w:rPr>
          <w:rFonts w:hint="eastAsia" w:asciiTheme="minorEastAsia" w:hAnsiTheme="minorEastAsia" w:eastAsiaTheme="minorEastAsia" w:cstheme="minorEastAsia"/>
          <w:b w:val="0"/>
          <w:bCs w:val="0"/>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rPr>
        <w:t xml:space="preserve">：</w:t>
      </w:r>
      <w:r/>
    </w:p>
    <w:p>
      <w:pPr>
        <w:ind w:firstLine="480"/>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3.1未被“信用中国”网站（www.creditchina.gov.cn）列入失信被执行人、重大税收违法案件当事人名单、政府采购严重失信行为记录名单。</w:t>
      </w:r>
      <w:r/>
    </w:p>
    <w:p>
      <w:pPr>
        <w:ind w:firstLine="480"/>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4、联合体及转包、分包：本项目不接受联合体，不得转包、分包本项目。</w:t>
      </w:r>
      <w:r/>
    </w:p>
    <w:p>
      <w:pPr>
        <w:ind w:firstLine="480"/>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三、获取招标文件：</w:t>
      </w:r>
      <w:r/>
    </w:p>
    <w:p>
      <w:pPr>
        <w:ind w:firstLine="480"/>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1、时间：自公告发布之日起5个工作日</w:t>
      </w:r>
      <w:r/>
    </w:p>
    <w:p>
      <w:pPr>
        <w:ind w:firstLine="480"/>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2、地点：苏采云系统 </w:t>
      </w:r>
      <w:r/>
    </w:p>
    <w:p>
      <w:pPr>
        <w:ind w:firstLine="480"/>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3、方式：苏采云系统报名后自行下载 </w:t>
      </w:r>
      <w:r/>
    </w:p>
    <w:p>
      <w:pPr>
        <w:ind w:firstLine="480"/>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4、售价：0.00元</w:t>
      </w:r>
      <w:r/>
    </w:p>
    <w:p>
      <w:pPr>
        <w:ind w:firstLine="480"/>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四、提交投标文件截止时间、开标时间和地点</w:t>
      </w:r>
      <w:r/>
    </w:p>
    <w:p>
      <w:pPr>
        <w:ind w:firstLine="480"/>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1、提交投标文件截止时间：2026年</w:t>
      </w:r>
      <w:r>
        <w:rPr>
          <w:rFonts w:hint="eastAsia" w:asciiTheme="minorEastAsia" w:hAnsiTheme="minorEastAsia" w:eastAsiaTheme="minorEastAsia" w:cstheme="minorEastAsia"/>
          <w:color w:val="auto"/>
          <w:sz w:val="24"/>
          <w:szCs w:val="24"/>
          <w:highlight w:val="none"/>
          <w:lang w:val="en-US" w:eastAsia="zh-CN"/>
        </w:rPr>
        <w:t xml:space="preserve">11</w:t>
      </w:r>
      <w:r>
        <w:rPr>
          <w:rFonts w:hint="eastAsia" w:asciiTheme="minorEastAsia" w:hAnsiTheme="minorEastAsia" w:eastAsiaTheme="minorEastAsia" w:cstheme="minorEastAsia"/>
          <w:color w:val="auto"/>
          <w:sz w:val="24"/>
          <w:szCs w:val="24"/>
          <w:highlight w:val="none"/>
        </w:rPr>
        <w:t xml:space="preserve">月9日13点30分（北京时间）</w:t>
      </w:r>
      <w:r/>
    </w:p>
    <w:p>
      <w:pPr>
        <w:ind w:firstLine="480"/>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2、开标时间：2026年</w:t>
      </w:r>
      <w:r>
        <w:rPr>
          <w:rFonts w:hint="eastAsia" w:asciiTheme="minorEastAsia" w:hAnsiTheme="minorEastAsia" w:eastAsiaTheme="minorEastAsia" w:cstheme="minorEastAsia"/>
          <w:color w:val="auto"/>
          <w:sz w:val="24"/>
          <w:szCs w:val="24"/>
          <w:highlight w:val="none"/>
          <w:lang w:val="en-US" w:eastAsia="zh-CN"/>
        </w:rPr>
        <w:t xml:space="preserve">11</w:t>
      </w:r>
      <w:r>
        <w:rPr>
          <w:rFonts w:hint="eastAsia" w:asciiTheme="minorEastAsia" w:hAnsiTheme="minorEastAsia" w:eastAsiaTheme="minorEastAsia" w:cstheme="minorEastAsia"/>
          <w:color w:val="auto"/>
          <w:sz w:val="24"/>
          <w:szCs w:val="24"/>
          <w:highlight w:val="none"/>
        </w:rPr>
        <w:t xml:space="preserve">月9日13点30分（北京时间）</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3、开标地点：“苏采云”系统（网址：http://jszfcg.jsczt.cn/）</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五、公告期限：自本公告发布之日起5个工作日。</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六、其他补充事宜</w:t>
      </w:r>
      <w:bookmarkStart w:id="18" w:name="_GoBack"/>
      <w:r/>
      <w:bookmarkEnd w:id="18"/>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本次采购的有关信息将在苏州市政府采购网、江苏政府采购网、中国政府采购网上发布；有关该采购项目的澄清、修正及中标等信息亦在以上网站发布，敬请留意。</w:t>
      </w:r>
      <w:r>
        <w:rPr>
          <w:rFonts w:hint="eastAsia" w:ascii="宋体" w:hAnsi="宋体" w:eastAsia="宋体" w:cs="宋体"/>
          <w:color w:val="auto"/>
          <w:sz w:val="24"/>
          <w:szCs w:val="24"/>
          <w:highlight w:val="none"/>
        </w:rPr>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2.政府采购监督电话：</w:t>
      </w:r>
      <w:r>
        <w:rPr>
          <w:rFonts w:hint="eastAsia" w:ascii="宋体" w:hAnsi="宋体" w:cs="宋体"/>
          <w:color w:val="auto"/>
          <w:sz w:val="24"/>
          <w:szCs w:val="24"/>
          <w:highlight w:val="none"/>
          <w:lang w:eastAsia="zh-CN"/>
        </w:rPr>
        <w:t xml:space="preserve">0512-</w:t>
      </w:r>
      <w:r>
        <w:rPr>
          <w:rFonts w:hint="eastAsia" w:ascii="宋体" w:hAnsi="宋体" w:cs="宋体"/>
          <w:color w:val="auto"/>
          <w:sz w:val="24"/>
          <w:szCs w:val="24"/>
          <w:highlight w:val="none"/>
          <w:lang w:val="en-US" w:eastAsia="zh-CN"/>
        </w:rPr>
        <w:t xml:space="preserve">68616651</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TW" w:eastAsia="zh-TW"/>
        </w:rPr>
        <w:t xml:space="preserve">供应商在</w:t>
      </w:r>
      <w:r>
        <w:rPr>
          <w:rFonts w:hint="eastAsia" w:ascii="宋体" w:hAnsi="宋体" w:eastAsia="宋体" w:cs="宋体"/>
          <w:color w:val="auto"/>
          <w:sz w:val="24"/>
          <w:szCs w:val="24"/>
          <w:highlight w:val="none"/>
          <w:lang w:val="zh-TW"/>
        </w:rPr>
        <w:t xml:space="preserve">报名、下载、制作采购文件</w:t>
      </w:r>
      <w:r>
        <w:rPr>
          <w:rFonts w:hint="eastAsia" w:ascii="宋体" w:hAnsi="宋体" w:eastAsia="宋体" w:cs="宋体"/>
          <w:color w:val="auto"/>
          <w:sz w:val="24"/>
          <w:szCs w:val="24"/>
          <w:highlight w:val="none"/>
          <w:lang w:val="zh-TW" w:eastAsia="zh-TW"/>
        </w:rPr>
        <w:t xml:space="preserve">过程中如有</w:t>
      </w:r>
      <w:r>
        <w:rPr>
          <w:rFonts w:hint="eastAsia" w:ascii="宋体" w:hAnsi="宋体" w:eastAsia="宋体" w:cs="宋体"/>
          <w:color w:val="auto"/>
          <w:sz w:val="24"/>
          <w:szCs w:val="24"/>
          <w:highlight w:val="none"/>
          <w:lang w:val="zh-TW"/>
        </w:rPr>
        <w:t xml:space="preserve">软件操作方面</w:t>
      </w:r>
      <w:r>
        <w:rPr>
          <w:rFonts w:hint="eastAsia" w:ascii="宋体" w:hAnsi="宋体" w:eastAsia="宋体" w:cs="宋体"/>
          <w:color w:val="auto"/>
          <w:sz w:val="24"/>
          <w:szCs w:val="24"/>
          <w:highlight w:val="none"/>
          <w:lang w:val="zh-TW" w:eastAsia="zh-TW"/>
        </w:rPr>
        <w:t xml:space="preserve">疑问，请拨打</w:t>
      </w:r>
      <w:r>
        <w:rPr>
          <w:rFonts w:hint="eastAsia" w:ascii="宋体" w:hAnsi="宋体" w:eastAsia="宋体" w:cs="宋体"/>
          <w:color w:val="auto"/>
          <w:sz w:val="24"/>
          <w:szCs w:val="24"/>
          <w:highlight w:val="none"/>
          <w:lang w:val="zh-TW"/>
        </w:rPr>
        <w:t xml:space="preserve">（1）注册咨询：18261002950；（2）CA技术咨询电话：400-608-6099；（3）签章使用问题：025-83633811、025-83633812、15380932027、15371015030；（4）系统使用指导与咨询：联系电话：18261002950；QQ：3048755361、1315179389、895706745。 </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4.报名方式（网上报名）</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4.1申领CA</w:t>
      </w:r>
      <w:r>
        <w:rPr>
          <w:rFonts w:hint="eastAsia" w:ascii="宋体" w:hAnsi="宋体" w:eastAsia="宋体" w:cs="宋体"/>
          <w:color w:val="auto"/>
          <w:sz w:val="24"/>
          <w:szCs w:val="24"/>
          <w:highlight w:val="none"/>
        </w:rPr>
        <w:t xml:space="preserve">证书：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登录报名：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5.制作、提交电子投标文件：</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本项目采用电子招投标方式，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"https://czju.suzhou.gov.cn/zfcg/html/content/20231220161910031.shtml"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https://czju.suzhou.gov.cn/zfcg/html/content/20231220161910031.shtml</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本项目采用电子投标形式，请供应商按照《苏采云系统供应商操作手册》、招标文件要求进行制作、上传电子投标文件；电子投标文件制作完成后请于投标文件提交截止时间前成功上传至“苏采云”系统，否则视为放弃参加该采购项目；供应商应充分考虑网络环境、网络带宽等风险因素，如因供应商自身原因造成的电子投标文件上传不成功由供应商自行承担全部责任。</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开标方式：线上不见面开标，供应商登录“苏采云”系统在平台首页点击“开标大厅”，进入江苏省政府采购一体化不见面开标（采购）大厅，在今日项目列表，点击项目，进入不见面开标系统。开标阶段供应商在【供应商解密】环节必须使用CA证书解密电子投标文件，如在系统规定的解密时间内</w:t>
      </w:r>
      <w:r>
        <w:rPr>
          <w:rFonts w:hint="eastAsia" w:ascii="宋体" w:hAnsi="宋体" w:eastAsia="宋体" w:cs="宋体"/>
          <w:b/>
          <w:bCs/>
          <w:color w:val="auto"/>
          <w:sz w:val="24"/>
          <w:szCs w:val="24"/>
          <w:highlight w:val="none"/>
        </w:rPr>
        <w:t xml:space="preserve">（投标文件提交截止时间后30分钟）</w:t>
      </w:r>
      <w:r>
        <w:rPr>
          <w:rFonts w:hint="eastAsia" w:ascii="宋体" w:hAnsi="宋体" w:eastAsia="宋体" w:cs="宋体"/>
          <w:color w:val="auto"/>
          <w:sz w:val="24"/>
          <w:szCs w:val="24"/>
          <w:highlight w:val="none"/>
        </w:rPr>
        <w:t xml:space="preserve">未能完成解密的视为放弃投标。请供应商确保电脑、系统及其他设备（视频输入输出设备等）无误，且开标直至项目结束始终保持系统在线状态。</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七、对本次招标提出询问，请按以下方式联系：</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苏州市文化广电和旅游局</w:t>
      </w:r>
      <w:r/>
    </w:p>
    <w:p>
      <w:pPr>
        <w:ind w:firstLine="480"/>
        <w:jc w:val="left"/>
        <w:keepLines w:val="0"/>
        <w:keepNext w:val="0"/>
        <w:pageBreakBefore w:val="0"/>
        <w:spacing w:after="0" w:line="36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地 址：</w:t>
      </w:r>
      <w:r>
        <w:rPr>
          <w:rFonts w:hint="eastAsia" w:ascii="宋体" w:hAnsi="宋体" w:cs="宋体"/>
          <w:color w:val="auto"/>
          <w:sz w:val="24"/>
          <w:szCs w:val="24"/>
          <w:highlight w:val="none"/>
          <w:lang w:val="en-US" w:eastAsia="zh-CN"/>
        </w:rPr>
        <w:t xml:space="preserve">苏州市公园路38号</w:t>
      </w:r>
      <w:r/>
    </w:p>
    <w:p>
      <w:pPr>
        <w:ind w:firstLine="480"/>
        <w:jc w:val="left"/>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胡磊</w:t>
      </w:r>
      <w:r>
        <w:rPr>
          <w:rFonts w:hint="eastAsia" w:ascii="宋体" w:hAnsi="宋体" w:eastAsia="宋体" w:cs="宋体"/>
          <w:color w:val="auto"/>
          <w:sz w:val="24"/>
          <w:szCs w:val="24"/>
          <w:highlight w:val="none"/>
        </w:rPr>
        <w:t xml:space="preserve">/0512-</w:t>
      </w:r>
      <w:r>
        <w:rPr>
          <w:rFonts w:hint="eastAsia" w:ascii="宋体" w:hAnsi="宋体" w:cs="宋体"/>
          <w:bCs/>
          <w:color w:val="auto"/>
          <w:sz w:val="24"/>
          <w:szCs w:val="24"/>
          <w:highlight w:val="none"/>
          <w:lang w:val="en-US" w:eastAsia="zh-CN"/>
        </w:rPr>
        <w:t xml:space="preserve">69823131</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称：苏州时代招投标有限公司</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址：苏州市虎丘区滨河路1388号3B 501室</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联系方式：叶素萍/0512-65201419</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项目联系人：叶素萍、汪泽华、褚磊、徐蕾、陈婷</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话：0512-65201419</w:t>
      </w:r>
      <w:r/>
    </w:p>
    <w:p>
      <w:pPr>
        <w:jc w:val="center"/>
        <w:spacing w:line="360" w:lineRule="auto"/>
        <w:rPr>
          <w:rFonts w:hint="eastAsia" w:ascii="宋体" w:hAnsi="宋体" w:cs="宋体"/>
          <w:bCs/>
          <w:color w:val="auto"/>
          <w:sz w:val="44"/>
          <w:szCs w:val="32"/>
          <w:highlight w:val="none"/>
        </w:rPr>
        <w:outlineLvl w:val="0"/>
      </w:pPr>
      <w:r>
        <w:rPr>
          <w:rFonts w:hint="eastAsia" w:ascii="宋体" w:hAnsi="宋体" w:cs="宋体"/>
          <w:bCs/>
          <w:color w:val="auto"/>
          <w:sz w:val="44"/>
          <w:szCs w:val="32"/>
          <w:highlight w:val="none"/>
        </w:rPr>
        <w:br w:type="page" w:clear="all"/>
      </w:r>
      <w:r>
        <w:rPr>
          <w:rFonts w:hint="eastAsia" w:ascii="宋体" w:hAnsi="宋体" w:cs="宋体"/>
          <w:bCs/>
          <w:color w:val="auto"/>
          <w:sz w:val="44"/>
          <w:szCs w:val="32"/>
          <w:highlight w:val="none"/>
        </w:rPr>
        <w:t xml:space="preserve">第二章 投标人须知</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一、</w:t>
      </w:r>
      <w:r>
        <w:rPr>
          <w:rFonts w:hint="eastAsia" w:ascii="宋体" w:hAnsi="宋体" w:eastAsia="宋体" w:cs="宋体"/>
          <w:color w:val="auto"/>
          <w:sz w:val="24"/>
          <w:szCs w:val="24"/>
          <w:highlight w:val="none"/>
        </w:rPr>
        <w:t xml:space="preserve">说明和释义</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1．说明</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1.1本招标文件仅适用于</w:t>
      </w:r>
      <w:r>
        <w:rPr>
          <w:rFonts w:hint="eastAsia" w:ascii="宋体" w:hAnsi="宋体" w:eastAsia="宋体" w:cs="宋体"/>
          <w:color w:val="auto"/>
          <w:sz w:val="24"/>
          <w:szCs w:val="24"/>
          <w:highlight w:val="none"/>
          <w:u w:val="single"/>
        </w:rPr>
        <w:t xml:space="preserve">苏州时代招投标有限公司</w:t>
      </w:r>
      <w:r>
        <w:rPr>
          <w:rFonts w:hint="eastAsia" w:ascii="宋体" w:hAnsi="宋体" w:eastAsia="宋体" w:cs="宋体"/>
          <w:color w:val="auto"/>
          <w:sz w:val="24"/>
          <w:szCs w:val="24"/>
          <w:highlight w:val="none"/>
        </w:rPr>
        <w:t xml:space="preserve">组织的采购活动。</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1.2本次采购活动及因本次采购产生的合同受中国法律制约和保护。</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1.3本招标文件的解释权属于</w:t>
      </w:r>
      <w:r>
        <w:rPr>
          <w:rFonts w:hint="eastAsia" w:ascii="宋体" w:hAnsi="宋体" w:eastAsia="宋体" w:cs="宋体"/>
          <w:color w:val="auto"/>
          <w:sz w:val="24"/>
          <w:szCs w:val="24"/>
          <w:highlight w:val="none"/>
          <w:u w:val="single"/>
        </w:rPr>
        <w:t xml:space="preserve">苏州时代招投标有限公司</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2．词语释义</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2.1采购人：指依法进行政府采购的国家机关、事业单位、团体组织。</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2.2采购代理机构：指依法接受采购人委托，从事政府采购代理业务的社会中介机构。</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2.3投标人（供应商）：经认定有资格响应采购，参加投标竞争的法人、其他组织或者自然人。</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2.4响应：投标人根据采购人或采购代理机构发布的招标文件，编制投标文件并按规定投标行为。</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2.5合同：采供双方根据招标文件和中标的投标文件及中标通知书规定的内容签署的以书面形式所达成的协议，包括所有的附件、附录和构成协议的所有文件。</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2.6甲方（采购人）：指招标文件中载明的，依法进行政府采购的国家机关、事业单位、团体组织。</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2.7乙方（中标供应商）：合同中规定的向采购人提供货物和服务的法人或其他组织和自然人。</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2.8货物：系指乙方按招标文件规定，应向甲方提供的一切设备、备品、备件、工具、手册及其他有关技术资料和材料。</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2.9服务：系指本次招标文件规定乙方应承担的与提供货物和服务有关的辅助服务，比如运输、保险、安装、调试、提供技术援助、培训、配合措施、维修响应及合同中规定乙方应承担的其他义务。</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2.10知识产权：指专利权、商标权、著作权等无形财产专有权的统称。</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2.11天：日历日；时间：除特别说明，均指北京时间。</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2.12地点：合同中明确约定的乙方提交的货物和履行服务最终地点。</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2.13合同价款：根据合同规定，乙方在正确地履行合同义务后甲方应支付乙方的价款。</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2.14不可抗力：不能预见、不能避免并且不能克服的客观情况。</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2.15实质性响应：满足有关本次采购标的、数量、质量、价款或者报酬、履行期限、履行地点和方式、违约责任和解决争议方法等要求。</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2.16书面形式：指书面文字、合同书、信件等可有形地表现所载内容的形式。</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2.17进口产品：指通过中国海关报关验放进入中国境内且产自关境外的产品。</w:t>
      </w:r>
      <w:r/>
    </w:p>
    <w:p>
      <w:pPr>
        <w:ind w:left="0" w:hanging="307"/>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二、投标人</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3.合格投标人的资格条件</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3.1满足《中华人民共和国政府采购法》第二十二条规定，投标人应当具备下列条件：</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3.1.1具有独立承担民事责任的能力。</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3.1.2具有良好的商业信誉和健全的财务会计制度。</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3.1.3具有履行合同所必需的设备和专业技术能力。</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3.1.4有依法缴纳税收和社会保障资金的良好记录。</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3.1.5参加政府采购活动前三年内，在经营活动中没有重大违法记录。</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3.1.6法律、行政法规规定的其他条件。</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3.2落实政府采购政策需满足的资格要求：</w:t>
      </w:r>
      <w:r>
        <w:rPr>
          <w:rFonts w:hint="eastAsia" w:ascii="宋体" w:hAnsi="宋体" w:eastAsia="宋体" w:cs="宋体"/>
          <w:bCs/>
          <w:color w:val="auto"/>
          <w:sz w:val="24"/>
          <w:szCs w:val="24"/>
          <w:highlight w:val="none"/>
        </w:rPr>
        <w:t xml:space="preserve">本项目专门面向中小企业，所属行业为</w:t>
      </w:r>
      <w:r>
        <w:rPr>
          <w:rFonts w:hint="eastAsia" w:ascii="宋体" w:hAnsi="宋体" w:cs="宋体"/>
          <w:bCs/>
          <w:color w:val="auto"/>
          <w:sz w:val="24"/>
          <w:szCs w:val="24"/>
          <w:highlight w:val="none"/>
          <w:lang w:eastAsia="zh-CN"/>
        </w:rPr>
        <w:t xml:space="preserve">租赁和商务服务业</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3.3本项目的特定资格要求：</w:t>
      </w:r>
      <w:r/>
    </w:p>
    <w:p>
      <w:pPr>
        <w:ind w:left="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3.3.1未被“信用中国”网站（www.creditchina.gov.cn）列入失信被执行人、重大税收违法案件当事人名单、政府采购严重失信行为记录名单。</w:t>
      </w:r>
      <w:r/>
    </w:p>
    <w:p>
      <w:pPr>
        <w:ind w:left="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4.投标人代表</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4.1指全权代表投标人参加投标活动并签署投标文件的人，如果投标人代表不是法定代表人，须持有《法人授权委托书》（详见统一格式）。</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5.投标费用</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5.1无论投标过程的做法和结果如何，投标人自行承担所有与参加投标有关的全部费用。</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6.联合、进口投标及转包、分包</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6.1本项目不接受联合体投标。</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6.2本项目不接受转包、分包。</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6.3本项目不接受进口产品。</w:t>
      </w:r>
      <w:r/>
    </w:p>
    <w:p>
      <w:pPr>
        <w:ind w:left="0" w:hanging="307"/>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三、招标文件的说明</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7.招标文件</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招标文件由目录所列内容组成。投标人获取招标文件后，应仔细检查招标文件的全部内容，认真审阅招标文件中所有的事项、格式、条款和规范要求。若投标人的投标文件未按招标文件要求提交全部资料，或未对招标文件作出实质性响应，其风险由投标人自行承担，并有可能被拒绝投标。</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w:t>
      </w:r>
      <w:r>
        <w:rPr>
          <w:rFonts w:hint="eastAsia" w:ascii="宋体" w:hAnsi="宋体" w:eastAsia="宋体" w:cs="宋体"/>
          <w:color w:val="auto"/>
          <w:sz w:val="24"/>
          <w:szCs w:val="24"/>
          <w:highlight w:val="none"/>
          <w:shd w:val="clear" w:color="auto" w:fill="ffffff"/>
        </w:rPr>
        <w:t xml:space="preserve">凡非直接从指定的政府采购信息发布媒体下载的招标文件及其补充通知（包括更正公告），采购人或采购代理机构对其真实性、完整性不承担任何责任</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8.采购文件的澄清、修改</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w:t>
      </w:r>
      <w:r>
        <w:rPr>
          <w:rFonts w:hint="eastAsia" w:ascii="宋体" w:hAnsi="宋体" w:eastAsia="宋体" w:cs="宋体"/>
          <w:color w:val="auto"/>
          <w:sz w:val="24"/>
          <w:szCs w:val="24"/>
          <w:highlight w:val="none"/>
          <w:shd w:val="clear" w:color="auto" w:fill="ffffff"/>
        </w:rPr>
        <w:t xml:space="preserve">采购人或采购代理机构可根据需要或对投标人的提问，对已发出的招标文件进行澄清或修改，澄清或修改内容不得改变采购标的和资格条件。澄清或修改将通过政府采购网对外发布，并构成招标文件的组成部分</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shd w:val="clear" w:color="auto" w:fill="ffffff"/>
        </w:rPr>
        <w:t xml:space="preserve">澄清或修改可能影响投标文件编制的，采购人或采购代理机构应当在投标截止时间至少15日前发布；不足15日的，应当顺延提交投标文件的截止时间</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w:t>
      </w:r>
      <w:r>
        <w:rPr>
          <w:rFonts w:hint="eastAsia" w:ascii="宋体" w:hAnsi="宋体" w:eastAsia="宋体" w:cs="宋体"/>
          <w:color w:val="auto"/>
          <w:sz w:val="24"/>
          <w:szCs w:val="24"/>
          <w:highlight w:val="none"/>
          <w:shd w:val="clear" w:color="auto" w:fill="ffffff"/>
        </w:rPr>
        <w:t xml:space="preserve">供应商应及时关注政府采购信息发布媒体上发布的更正（补充）公告，并同时在“苏采云”系统中下载更正（补充）资料。因未及时下载或下载不完整导致无法解密投标文件的，由此造成的投标失败或损失由供应商自行承担。补充通知（包括更正公告）作为招标文件的组成部分，对所有投标人具有约束力</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9.勘察现场</w:t>
      </w:r>
      <w:r>
        <w:rPr>
          <w:rFonts w:hint="eastAsia" w:ascii="宋体" w:hAnsi="宋体" w:eastAsia="宋体" w:cs="宋体"/>
          <w:bCs/>
          <w:color w:val="auto"/>
          <w:sz w:val="24"/>
          <w:szCs w:val="24"/>
          <w:highlight w:val="none"/>
        </w:rPr>
        <w:t xml:space="preserve">（不涉及此条的忽略）</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w:t>
      </w:r>
      <w:r>
        <w:rPr>
          <w:rFonts w:hint="eastAsia" w:ascii="宋体" w:hAnsi="宋体" w:eastAsia="宋体" w:cs="宋体"/>
          <w:color w:val="auto"/>
          <w:sz w:val="24"/>
          <w:szCs w:val="24"/>
          <w:highlight w:val="none"/>
          <w:shd w:val="clear" w:color="auto" w:fill="ffffff"/>
        </w:rPr>
        <w:t xml:space="preserve">投标人可根据自身需要，对有关现场和周围环境进行踏勘，以获取编制投标文件和签署合同所需的信息。踏勘现场所发生的费用由投标人自行承担</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w:t>
      </w:r>
      <w:r>
        <w:rPr>
          <w:rFonts w:hint="eastAsia" w:ascii="宋体" w:hAnsi="宋体" w:eastAsia="宋体" w:cs="宋体"/>
          <w:color w:val="auto"/>
          <w:sz w:val="24"/>
          <w:szCs w:val="24"/>
          <w:highlight w:val="none"/>
          <w:shd w:val="clear" w:color="auto" w:fill="ffffff"/>
        </w:rPr>
        <w:t xml:space="preserve">采购人或采购代理机构向投标人提供的现场资料，是采购人或采购代理机构现有的、认为可供投标人利用的资料。采购人或采购代理机构对投标人据此作出的推论、理解和结论概不负责</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w:t>
      </w:r>
      <w:r>
        <w:rPr>
          <w:rFonts w:hint="eastAsia" w:ascii="宋体" w:hAnsi="宋体" w:eastAsia="宋体" w:cs="宋体"/>
          <w:color w:val="auto"/>
          <w:sz w:val="24"/>
          <w:szCs w:val="24"/>
          <w:highlight w:val="none"/>
          <w:shd w:val="clear" w:color="auto" w:fill="ffffff"/>
        </w:rPr>
        <w:t xml:space="preserve">经采购人允许，投标人可为踏勘目的进入采购人的项目现场，但不得因此使采购人承担相关责任和蒙受损失。投标人应承担踏勘现场的责任和风险</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w:t>
      </w:r>
      <w:r>
        <w:rPr>
          <w:rFonts w:hint="eastAsia" w:ascii="宋体" w:hAnsi="宋体" w:eastAsia="宋体" w:cs="宋体"/>
          <w:color w:val="auto"/>
          <w:sz w:val="24"/>
          <w:szCs w:val="24"/>
          <w:highlight w:val="none"/>
          <w:shd w:val="clear" w:color="auto" w:fill="ffffff"/>
        </w:rPr>
        <w:t xml:space="preserve">投标人应在踏勘现场时熟悉现场及周围交通道路等情况，以获得可能影响投标的直接资料。投标人中标后，不得以不完全了解现场情况为由向采购人或采购代理机构提出任何索赔要求，对此采购人或采购代理机构不承担任何责任，且不作任何答复与考虑</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10.投标质疑</w:t>
      </w:r>
      <w:r/>
    </w:p>
    <w:p>
      <w:pPr>
        <w:ind w:left="0"/>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10.1供应商认为招标文件、采购过程、中标结果使自己的权益受到损害的，可以在知道或者应知其权益受到损害之日起7个工作日内，以书面形式向采购人、采购代理机构提出质</w:t>
      </w:r>
      <w:r>
        <w:rPr>
          <w:rFonts w:hint="eastAsia" w:ascii="宋体" w:hAnsi="宋体" w:eastAsia="宋体" w:cs="宋体"/>
          <w:bCs/>
          <w:color w:val="auto"/>
          <w:sz w:val="24"/>
          <w:szCs w:val="24"/>
          <w:highlight w:val="none"/>
        </w:rPr>
        <w:t xml:space="preserve">疑。招标代理机构应当在收到书面质疑后7个工作日内作出答复。</w:t>
      </w:r>
      <w:r/>
    </w:p>
    <w:p>
      <w:pPr>
        <w:ind w:left="0"/>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10.2</w:t>
      </w:r>
      <w:r>
        <w:rPr>
          <w:rFonts w:hint="eastAsia" w:ascii="宋体" w:hAnsi="宋体" w:eastAsia="宋体" w:cs="宋体"/>
          <w:color w:val="auto"/>
          <w:sz w:val="24"/>
          <w:szCs w:val="24"/>
          <w:highlight w:val="none"/>
          <w:shd w:val="clear" w:color="auto" w:fill="ffffff"/>
        </w:rPr>
        <w:t xml:space="preserve">根据《政府采购质疑和投诉办法》（财政部第94号令）第十一条规定，提出质疑的供应商应当是参与所质疑项目采购活动的供应商。凡对采购文件提出质疑的供应商，必须依法获取采购文件，并须将符合资格条件的证明材料及网上报名页面材料与质疑函一并递交，否则不予受理</w:t>
      </w:r>
      <w:r>
        <w:rPr>
          <w:rFonts w:hint="eastAsia" w:ascii="宋体" w:hAnsi="宋体" w:eastAsia="宋体" w:cs="宋体"/>
          <w:bCs/>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10.3</w:t>
      </w:r>
      <w:r>
        <w:rPr>
          <w:rFonts w:hint="eastAsia" w:ascii="宋体" w:hAnsi="宋体" w:eastAsia="宋体" w:cs="宋体"/>
          <w:color w:val="auto"/>
          <w:sz w:val="24"/>
          <w:szCs w:val="24"/>
          <w:highlight w:val="none"/>
          <w:shd w:val="clear" w:color="auto" w:fill="ffffff"/>
        </w:rPr>
        <w:t xml:space="preserve">供应商应当在法定质疑期内一次性提出针对同一采购程序环节的质疑</w:t>
      </w:r>
      <w:r>
        <w:rPr>
          <w:rFonts w:hint="eastAsia" w:ascii="宋体" w:hAnsi="宋体" w:eastAsia="宋体" w:cs="宋体"/>
          <w:bCs/>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10.4</w:t>
      </w:r>
      <w:r>
        <w:rPr>
          <w:rFonts w:hint="eastAsia" w:ascii="宋体" w:hAnsi="宋体" w:eastAsia="宋体" w:cs="宋体"/>
          <w:color w:val="auto"/>
          <w:sz w:val="24"/>
          <w:szCs w:val="24"/>
          <w:highlight w:val="none"/>
          <w:shd w:val="clear" w:color="auto" w:fill="ffffff"/>
        </w:rPr>
        <w:t xml:space="preserve">供应商提出质疑应当提交质疑函和必要的证明材料。质疑函应当包括下列内容</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10.4.1</w:t>
      </w:r>
      <w:r>
        <w:rPr>
          <w:rFonts w:hint="eastAsia" w:ascii="宋体" w:hAnsi="宋体" w:eastAsia="宋体" w:cs="宋体"/>
          <w:color w:val="auto"/>
          <w:sz w:val="24"/>
          <w:szCs w:val="24"/>
          <w:highlight w:val="none"/>
          <w:shd w:val="clear" w:color="auto" w:fill="ffffff"/>
        </w:rPr>
        <w:t xml:space="preserve">供应商的姓名或者名称（提供营业执照副本复印件）、地址、邮编、联系人及联系电话</w:t>
      </w:r>
      <w:r>
        <w:rPr>
          <w:rFonts w:hint="eastAsia" w:ascii="宋体" w:hAnsi="宋体" w:cs="宋体"/>
          <w:color w:val="auto"/>
          <w:sz w:val="24"/>
          <w:szCs w:val="24"/>
          <w:highlight w:val="none"/>
          <w:shd w:val="clear" w:color="auto" w:fill="ffffff"/>
          <w:lang w:eastAsia="zh-CN"/>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10.4.2质疑项目的名称、编号；</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10.4.3具体、明确的质疑事项和与质疑事项相关的请求；</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10.4.4事实依据；</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10.4.5必要的法律依据；</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10.4.6提出质疑的日期。</w:t>
      </w:r>
      <w:r/>
    </w:p>
    <w:p>
      <w:pPr>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授权代表签字或者盖章，并加盖公章。供应商委托代理人进行质疑的，授权委托书上应当载明代理人的姓名、代理事项、具体权限、期限和相关事项。</w:t>
      </w:r>
      <w:r/>
    </w:p>
    <w:p>
      <w:pPr>
        <w:pStyle w:val="1028"/>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供应商提交的质疑函必须按照《政府采购供应商质疑函范本》要求的格式和内容进行填写，质疑函范本下载网址详见链接：https://czju.suzhou.gov.cn/zfcg/html/content/20180305093615738.shtml。</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10.5接收质疑函的方式：书面形式（当场送达或邮寄）</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10.5.1质疑联系人：叶素萍；</w:t>
      </w:r>
      <w:r/>
    </w:p>
    <w:p>
      <w:pPr>
        <w:pStyle w:val="1026"/>
        <w:ind w:left="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10.5.2质疑联系电话：0512-65201419</w:t>
      </w:r>
      <w:r>
        <w:rPr>
          <w:rFonts w:hint="eastAsia" w:ascii="宋体" w:hAnsi="宋体" w:cs="宋体"/>
          <w:color w:val="auto"/>
          <w:sz w:val="24"/>
          <w:szCs w:val="24"/>
          <w:highlight w:val="none"/>
          <w:lang w:val="en-US" w:eastAsia="zh-CN"/>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10.5.3现场递交/邮寄收取地址：苏州市虎丘区滨河路1388号 3B 501室。</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四、投标文件说明</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11.提示与要求</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11.1投标人应仔细阅读招标文件的所有内容，按照招标文件的要求编制投标文件，并保证所提供的全部资料真实有效，以使其投标对招标文件作出实质性响应。否则，其投标可能被拒绝。</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11.2无论是否提交并提（递）交投标文件，投标人均应将招标文件及以后的所有通知、文件等视为保密文件。</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12.投标文件计量单位和使用文字</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w:t>
      </w:r>
      <w:r>
        <w:rPr>
          <w:rFonts w:hint="eastAsia" w:ascii="宋体" w:hAnsi="宋体" w:eastAsia="宋体" w:cs="宋体"/>
          <w:color w:val="auto"/>
          <w:sz w:val="24"/>
          <w:szCs w:val="24"/>
          <w:highlight w:val="none"/>
          <w:shd w:val="clear" w:color="auto" w:fill="ffffff"/>
        </w:rPr>
        <w:t xml:space="preserve">投标文件中所使用的计量单位，除招标文件有特殊要求外，应采用中华人民共和国法定计量单位</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color w:val="auto"/>
          <w:sz w:val="24"/>
          <w:szCs w:val="24"/>
          <w:highlight w:val="none"/>
          <w:shd w:val="clear" w:color="auto" w:fill="ffffff"/>
        </w:rPr>
        <w:t xml:space="preserve">投标文件应使用中文编制。投标文件中必须使用其他文字的，须附有中文译本。未附中文译本或中文译本不准确的，由此引起的不利后果由投标人自行承担。</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13.投标文件的组成（部分格式见第三章）</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13.1封面；</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13.2开标一览表；</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13.3投标报价明细表（如有）。</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w:t>
      </w:r>
      <w:r>
        <w:rPr>
          <w:rFonts w:hint="eastAsia" w:ascii="宋体" w:hAnsi="宋体" w:eastAsia="宋体" w:cs="宋体"/>
          <w:b/>
          <w:bCs/>
          <w:color w:val="auto"/>
          <w:sz w:val="24"/>
          <w:szCs w:val="24"/>
          <w:highlight w:val="none"/>
        </w:rPr>
        <w:t xml:space="preserve">资格审查文件</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13.4.1关于资格文件的声明函（格式见第三章）；</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13.4.2投标人法定代表人身份证复印件；</w:t>
      </w:r>
      <w:r/>
    </w:p>
    <w:p>
      <w:pPr>
        <w:ind w:left="0"/>
        <w:keepLines w:val="0"/>
        <w:keepNext w:val="0"/>
        <w:pageBreakBefore w:val="0"/>
        <w:spacing w:after="0" w:line="360" w:lineRule="auto"/>
        <w:widowControl w:val="off"/>
        <w:tabs>
          <w:tab w:val="left" w:pos="851" w:leader="none"/>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13.4.3法定代表人授权委托书（如有授权，格式见第三章）；</w:t>
      </w:r>
      <w:r/>
    </w:p>
    <w:p>
      <w:pPr>
        <w:ind w:left="0"/>
        <w:keepLines w:val="0"/>
        <w:keepNext w:val="0"/>
        <w:pageBreakBefore w:val="0"/>
        <w:spacing w:after="0" w:line="360" w:lineRule="auto"/>
        <w:widowControl w:val="off"/>
        <w:tabs>
          <w:tab w:val="left" w:pos="851" w:leader="none"/>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13.4.4投标人授权代理人身份证复印件（如有授权）；</w:t>
      </w:r>
      <w:r/>
    </w:p>
    <w:p>
      <w:pPr>
        <w:ind w:left="0"/>
        <w:keepLines w:val="0"/>
        <w:keepNext w:val="0"/>
        <w:pageBreakBefore w:val="0"/>
        <w:spacing w:after="0" w:line="360" w:lineRule="auto"/>
        <w:widowControl w:val="off"/>
        <w:tabs>
          <w:tab w:val="left" w:pos="851" w:leader="none"/>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13.4.5合格投标人资格证明材料：</w:t>
      </w:r>
      <w:r/>
    </w:p>
    <w:p>
      <w:pPr>
        <w:ind w:left="0"/>
        <w:keepLines w:val="0"/>
        <w:keepNext w:val="0"/>
        <w:pageBreakBefore w:val="0"/>
        <w:spacing w:after="0" w:line="360" w:lineRule="auto"/>
        <w:widowControl w:val="off"/>
        <w:tabs>
          <w:tab w:val="left" w:pos="851" w:leader="none"/>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13.4.5.1具有独立承担民事责任的能力证明（</w:t>
      </w:r>
      <w:r>
        <w:rPr>
          <w:rFonts w:hint="eastAsia" w:ascii="宋体" w:hAnsi="宋体" w:eastAsia="宋体" w:cs="宋体"/>
          <w:color w:val="auto"/>
          <w:sz w:val="24"/>
          <w:szCs w:val="24"/>
          <w:highlight w:val="none"/>
          <w:shd w:val="clear" w:color="auto" w:fill="ffffff"/>
        </w:rPr>
        <w:t xml:space="preserve">法人营业执照等证明文件，自然人的身份证明</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tabs>
          <w:tab w:val="left" w:pos="851" w:leader="none"/>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13.4.5.2具有良好的商业信誉和健全的财务会计制度证明（法人应提供最近一期经会计师事务所审计的财务报告，其他组织、自然人及成立未满一年的法人应提供银行出具的资信证明）；</w:t>
      </w:r>
      <w:r/>
    </w:p>
    <w:p>
      <w:pPr>
        <w:ind w:left="0"/>
        <w:keepLines w:val="0"/>
        <w:keepNext w:val="0"/>
        <w:pageBreakBefore w:val="0"/>
        <w:spacing w:after="0" w:line="360" w:lineRule="auto"/>
        <w:widowControl w:val="off"/>
        <w:tabs>
          <w:tab w:val="left" w:pos="851" w:leader="none"/>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13.4.5.3依法缴纳税收和社会保障资金的良好记录证明（提供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ind w:left="0"/>
        <w:keepLines w:val="0"/>
        <w:keepNext w:val="0"/>
        <w:pageBreakBefore w:val="0"/>
        <w:spacing w:after="0" w:line="360" w:lineRule="auto"/>
        <w:widowControl w:val="off"/>
        <w:tabs>
          <w:tab w:val="left" w:pos="851" w:leader="none"/>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13.4.5.4具备履行合同所必需的设备和专业技术能力的证明材料或承诺；</w:t>
      </w:r>
      <w:r/>
    </w:p>
    <w:p>
      <w:pPr>
        <w:ind w:left="0"/>
        <w:keepLines w:val="0"/>
        <w:keepNext w:val="0"/>
        <w:pageBreakBefore w:val="0"/>
        <w:spacing w:after="0" w:line="360" w:lineRule="auto"/>
        <w:widowControl w:val="off"/>
        <w:tabs>
          <w:tab w:val="left" w:pos="851" w:leader="none"/>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13.4.5.5参加政府采购活动前三年内，在经营活动中没有重大违法记录的书面声明函；</w:t>
      </w:r>
      <w:r/>
    </w:p>
    <w:p>
      <w:pPr>
        <w:ind w:left="0"/>
        <w:keepLines w:val="0"/>
        <w:keepNext w:val="0"/>
        <w:pageBreakBefore w:val="0"/>
        <w:spacing w:after="0" w:line="360" w:lineRule="auto"/>
        <w:widowControl w:val="off"/>
        <w:tabs>
          <w:tab w:val="left" w:pos="851" w:leader="none"/>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13.4.5.6《中小企业声明函》或《残疾人福利性单位声明函》或由省级以上监狱管理局、戒毒管理局（含新疆生产建设兵团）出具的属于监狱企业的证明文件（如有）；</w:t>
      </w:r>
      <w:r/>
    </w:p>
    <w:p>
      <w:pPr>
        <w:ind w:left="0"/>
        <w:keepLines w:val="0"/>
        <w:keepNext w:val="0"/>
        <w:pageBreakBefore w:val="0"/>
        <w:spacing w:after="0" w:line="360" w:lineRule="auto"/>
        <w:widowControl w:val="off"/>
        <w:tabs>
          <w:tab w:val="left" w:pos="851" w:leader="none"/>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13.4.5.7未被“信用中国”网站（www.creditchina.gov.cn/）列入失信被执行人、</w:t>
      </w:r>
      <w:r>
        <w:rPr>
          <w:rFonts w:hint="eastAsia" w:ascii="宋体" w:hAnsi="宋体" w:eastAsia="宋体" w:cs="宋体"/>
          <w:bCs/>
          <w:color w:val="auto"/>
          <w:sz w:val="24"/>
          <w:szCs w:val="24"/>
          <w:highlight w:val="none"/>
          <w:shd w:val="clear" w:color="auto" w:fill="ffffff"/>
        </w:rPr>
        <w:t xml:space="preserve">重大税收违法；</w:t>
      </w:r>
      <w:r/>
    </w:p>
    <w:p>
      <w:pPr>
        <w:pStyle w:val="1026"/>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13.4.5.8其他有关资格证明文件。</w:t>
      </w:r>
      <w:r/>
    </w:p>
    <w:p>
      <w:pPr>
        <w:pStyle w:val="1026"/>
        <w:ind w:left="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13.5符合性审查文件</w:t>
      </w:r>
      <w:r/>
    </w:p>
    <w:p>
      <w:pPr>
        <w:pStyle w:val="1026"/>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13.5.1投标函（格式见第三章）；</w:t>
      </w:r>
      <w:r/>
    </w:p>
    <w:p>
      <w:pPr>
        <w:pStyle w:val="1026"/>
        <w:ind w:left="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13.5.2</w:t>
      </w:r>
      <w:r>
        <w:rPr>
          <w:rFonts w:hint="eastAsia" w:ascii="宋体" w:hAnsi="宋体" w:cs="宋体"/>
          <w:color w:val="auto"/>
          <w:sz w:val="24"/>
          <w:szCs w:val="24"/>
          <w:highlight w:val="none"/>
          <w:lang w:val="en-US" w:eastAsia="zh-CN"/>
        </w:rPr>
        <w:t xml:space="preserve">商务偏离表</w:t>
      </w:r>
      <w:r/>
    </w:p>
    <w:p>
      <w:pPr>
        <w:pStyle w:val="1026"/>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13.5.3服务或技术要求偏离表（格式见第三章）；</w:t>
      </w:r>
      <w:r/>
    </w:p>
    <w:p>
      <w:pPr>
        <w:pStyle w:val="1026"/>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13.5.4针对本项目制定的服务实施方案；</w:t>
      </w:r>
      <w:r/>
    </w:p>
    <w:p>
      <w:pPr>
        <w:pStyle w:val="1026"/>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其他有关符合性证明的文件。</w:t>
      </w:r>
      <w:r/>
    </w:p>
    <w:p>
      <w:pPr>
        <w:pStyle w:val="1026"/>
        <w:ind w:left="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13.6综合评审文件</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13.6.1评审条款中涉及的服务方案；</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13.6.2</w:t>
      </w:r>
      <w:r>
        <w:rPr>
          <w:rFonts w:hint="eastAsia" w:ascii="宋体" w:hAnsi="宋体" w:eastAsia="宋体" w:cs="宋体"/>
          <w:bCs/>
          <w:color w:val="auto"/>
          <w:sz w:val="24"/>
          <w:szCs w:val="24"/>
          <w:highlight w:val="none"/>
        </w:rPr>
        <w:t xml:space="preserve">投标单位综合履约能力</w:t>
      </w:r>
      <w:r>
        <w:rPr>
          <w:rFonts w:hint="eastAsia" w:ascii="宋体" w:hAnsi="宋体" w:eastAsia="宋体" w:cs="宋体"/>
          <w:color w:val="auto"/>
          <w:sz w:val="24"/>
          <w:szCs w:val="24"/>
          <w:highlight w:val="none"/>
        </w:rPr>
        <w:t xml:space="preserve">；</w:t>
      </w:r>
      <w:r/>
    </w:p>
    <w:p>
      <w:pPr>
        <w:pStyle w:val="981"/>
        <w:ind w:left="0" w:firstLine="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13.6.3所投项目、招标文件及评审条款中要求的相关证书及证明材料等。</w:t>
      </w:r>
      <w:r/>
    </w:p>
    <w:p>
      <w:pPr>
        <w:pStyle w:val="1026"/>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13.7其他可以证明投标人资质、服务质量的证书、文件等相关资料。</w:t>
      </w:r>
      <w:r/>
    </w:p>
    <w:p>
      <w:pPr>
        <w:pStyle w:val="1026"/>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注：（1）以上资格审查要求提供的材料，是作为对供应商资格审查、质疑身份认定的依据，投标人必须提供并加盖电子公章。否则，投标文件将被认定为不符合资格审查要求。</w:t>
      </w:r>
      <w:r/>
    </w:p>
    <w:p>
      <w:pPr>
        <w:pStyle w:val="1026"/>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（2）以上符合性审查须提供的资料，投标人必须提供并加盖电子公章。否则，投标文件将被认定为未实质性响应。</w:t>
      </w:r>
      <w:r/>
    </w:p>
    <w:p>
      <w:pPr>
        <w:pStyle w:val="1026"/>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（3）以上13.4-13.7中不得出现投标总报价。投标人所提交的资料的完整与否，将直接影响投标人的评分。</w:t>
      </w:r>
      <w:r/>
    </w:p>
    <w:p>
      <w:pPr>
        <w:pStyle w:val="1026"/>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（4）制作电子投标文件时必须与投标文件制作软件目录一一对应，将相关资料上传至相应模块。</w:t>
      </w:r>
      <w:r/>
    </w:p>
    <w:p>
      <w:pPr>
        <w:pStyle w:val="1026"/>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（5）开评标过程中如有问题，采购代理机构工作人员将及时通过《投标供应商确认函》留存的手机号与供应商联系。请供应商确保该手机号通信畅通，否则导致的不利后果由供应商自行承担。</w:t>
      </w:r>
      <w:r/>
    </w:p>
    <w:p>
      <w:pPr>
        <w:pStyle w:val="1026"/>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14.投标文件编制要求</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14.1投标文件按统一格式、顺序编写。</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14.2《开标一览表》为在开标仪式上唱标的内容，要求按格式填写，统一规范，不得自行增减内容。</w:t>
      </w:r>
      <w:r/>
    </w:p>
    <w:p>
      <w:pPr>
        <w:pStyle w:val="1026"/>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15.投标报价（编制）要求的说明</w:t>
      </w:r>
      <w:r/>
    </w:p>
    <w:p>
      <w:pPr>
        <w:pStyle w:val="1026"/>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15.1除非合同中另有规定，投标人对《开标一览表》中的报价</w:t>
      </w:r>
      <w:r>
        <w:rPr>
          <w:rFonts w:hint="default" w:ascii="宋体" w:hAnsi="宋体" w:eastAsia="宋体" w:cs="宋体"/>
          <w:color w:val="auto"/>
          <w:sz w:val="24"/>
          <w:szCs w:val="24"/>
          <w:highlight w:val="none"/>
          <w:lang w:val="en-US" w:eastAsia="zh-CN"/>
        </w:rPr>
        <w:t xml:space="preserve">包含但不限于机械设备使用费、服务人员薪酬福利（严格遵照苏州市最低工资标准、月度最高工时等相关规定执行，含法定节假日加班薪资、特定岗位高温补贴等合规薪酬）、项目往返交通费用、安全帽、作业工具等器材设备及耗材购置使用费、工装、工号牌等配套物资费用、室外作业专项津补贴、从业人员体检费、岗位教育培训费、员工五险一金缴纳费用、企业日常行政办公经费、各类税费、企业合理利润</w:t>
      </w:r>
      <w:r>
        <w:rPr>
          <w:rFonts w:hint="eastAsia" w:ascii="宋体" w:hAnsi="宋体" w:cs="宋体"/>
          <w:color w:val="auto"/>
          <w:sz w:val="24"/>
          <w:szCs w:val="24"/>
          <w:highlight w:val="none"/>
          <w:lang w:val="en-US" w:eastAsia="zh-CN"/>
        </w:rPr>
        <w:t xml:space="preserve">及招标代理服务费</w:t>
      </w:r>
      <w:r>
        <w:rPr>
          <w:rFonts w:hint="default" w:ascii="宋体" w:hAnsi="宋体" w:eastAsia="宋体" w:cs="宋体"/>
          <w:color w:val="auto"/>
          <w:sz w:val="24"/>
          <w:szCs w:val="24"/>
          <w:highlight w:val="none"/>
          <w:lang w:val="en-US" w:eastAsia="zh-CN"/>
        </w:rPr>
        <w:t xml:space="preserve">，以及国家、行业政策性文件规定的所有必备费用，涵盖完成本招标文件约定全部服务内容所需的一切相关费用。</w:t>
      </w:r>
      <w:r/>
    </w:p>
    <w:p>
      <w:pPr>
        <w:pStyle w:val="1026"/>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15.2投标人应按投标报价表中的全部服务内容填写，并由其法定代表人或授权代理人签署。</w:t>
      </w:r>
      <w:r/>
    </w:p>
    <w:p>
      <w:pPr>
        <w:pStyle w:val="1026"/>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15.3投标人应对招标文件内所要采购的全部内容进行报价，只投其中部分内容者，其标书将被拒绝。</w:t>
      </w:r>
      <w:r/>
    </w:p>
    <w:p>
      <w:pPr>
        <w:pStyle w:val="1026"/>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15.4一项投标内容只允许一个报价，招标人不接受任何有选择性的投标报价。</w:t>
      </w:r>
      <w:r/>
    </w:p>
    <w:p>
      <w:pPr>
        <w:pStyle w:val="1026"/>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15.5投标文件报价中的单价和总价全部采用人民币表示，除非合同的特殊条款另有规定。</w:t>
      </w:r>
      <w:r/>
    </w:p>
    <w:p>
      <w:pPr>
        <w:pStyle w:val="1026"/>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16.投标保证金：本项目不收取投标保证金。</w:t>
      </w:r>
      <w:r/>
    </w:p>
    <w:p>
      <w:pPr>
        <w:pStyle w:val="1026"/>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17.投标文件的有效期</w:t>
      </w:r>
      <w:r/>
    </w:p>
    <w:p>
      <w:pPr>
        <w:pStyle w:val="1026"/>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17.1自提交投标文件截止之日起90天内，投标文件中承诺的投标有效期应当不少于招标文件中载明的投标有效期。</w:t>
      </w:r>
      <w:r/>
    </w:p>
    <w:p>
      <w:pPr>
        <w:pStyle w:val="1026"/>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17.2在特殊情况下，采购人、采购代理机构可与投标人协商延长投标书的有效期。这种要求和答复都应以书面形式进行。同意延长有效期的投标人不能修改投标文件，拒绝接受延期要求的投标人的投标将被拒绝。</w:t>
      </w:r>
      <w:r/>
    </w:p>
    <w:p>
      <w:pPr>
        <w:pStyle w:val="1026"/>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18.投标文件的制作、签署、上传</w:t>
      </w:r>
      <w:r/>
    </w:p>
    <w:p>
      <w:pPr>
        <w:pStyle w:val="1026"/>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18.1本项目采用电子招投标形式，请供应商按照《苏采云系统供应商操作手册》进行制作、上传电子投标文件。</w:t>
      </w:r>
      <w:r/>
    </w:p>
    <w:p>
      <w:pPr>
        <w:pStyle w:val="1026"/>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18.2制作电子投标文件时，应按照招标文件要求加盖投标人电子公章。</w:t>
      </w:r>
      <w:r/>
    </w:p>
    <w:p>
      <w:pPr>
        <w:pStyle w:val="1026"/>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18.3电子投标文件制作完成后请于投标文件网上提交截止时间前成功上传至“苏采云”系统，否则视为放弃参加该采购项目。</w:t>
      </w:r>
      <w:bookmarkStart w:id="0" w:name="_Toc31150"/>
      <w:r/>
      <w:bookmarkStart w:id="1" w:name="_Toc25608"/>
      <w:r>
        <w:rPr>
          <w:rFonts w:hint="eastAsia" w:ascii="宋体" w:hAnsi="宋体" w:eastAsia="宋体" w:cs="宋体"/>
          <w:color w:val="auto"/>
          <w:sz w:val="24"/>
          <w:szCs w:val="24"/>
          <w:highlight w:val="none"/>
        </w:rPr>
        <w:t xml:space="preserve">投标人提交投标文件的时间以系统收到上传的电子投标文件时间为准，投标人应充分考虑网络环境、网络带宽等风险因素，如因投标人自身原因造成的电子投标文件上传不成功由投标人自行承担全部责任。</w:t>
      </w:r>
      <w:bookmarkEnd w:id="0"/>
      <w:r/>
      <w:bookmarkEnd w:id="1"/>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五、</w:t>
      </w:r>
      <w:r>
        <w:rPr>
          <w:rFonts w:hint="eastAsia" w:ascii="宋体" w:hAnsi="宋体" w:eastAsia="宋体" w:cs="宋体"/>
          <w:b/>
          <w:color w:val="auto"/>
          <w:sz w:val="24"/>
          <w:szCs w:val="24"/>
          <w:highlight w:val="none"/>
        </w:rPr>
        <w:t xml:space="preserve">投标文件的提交、补充、修改和撤回</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19.投标文件的提交</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19.1投标人应当在投标截止时间前制作并上传电子投标文件。</w:t>
      </w:r>
      <w:r/>
    </w:p>
    <w:p>
      <w:pPr>
        <w:ind w:left="0"/>
        <w:keepLines w:val="0"/>
        <w:keepNext w:val="0"/>
        <w:pageBreakBefore w:val="0"/>
        <w:spacing w:after="0" w:line="360" w:lineRule="auto"/>
        <w:widowControl w:val="off"/>
        <w:tabs>
          <w:tab w:val="left" w:pos="9000" w:leader="none"/>
        </w:tabs>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19.2</w:t>
      </w:r>
      <w:r>
        <w:rPr>
          <w:rFonts w:hint="eastAsia" w:ascii="宋体" w:hAnsi="宋体" w:eastAsia="宋体" w:cs="宋体"/>
          <w:b/>
          <w:bCs/>
          <w:color w:val="auto"/>
          <w:sz w:val="24"/>
          <w:szCs w:val="24"/>
          <w:highlight w:val="none"/>
        </w:rPr>
        <w:t xml:space="preserve">投标人通过“苏采云”系统不见面开标大厅在线参与开标活动。（具体操作详见《苏采云系统供应商操作手册》，网址链接https://czju.suzhou.gov.cn/zfcg/html/content/20231220161910031.shtml）</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20.投标截止时间</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20.1投标人电子投标文件制作完成后请于投标文件网上提交截止时间前成功上传至“苏采云”系统，否则视为放弃参加该采购项目。</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shd w:val="clear" w:color="auto" w:fill="ffffff"/>
        </w:rPr>
        <w:t xml:space="preserve">采购人和采购代理机构如需推迟投标截止时间，将按本须知规定的更正公告方式对外发布。在此情况下，采购人、采购代理机构和投标人的权利和义务将受到新的截止时间的约束</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w:t>
      </w:r>
      <w:r>
        <w:rPr>
          <w:rFonts w:hint="eastAsia" w:ascii="宋体" w:hAnsi="宋体" w:eastAsia="宋体" w:cs="宋体"/>
          <w:color w:val="auto"/>
          <w:sz w:val="24"/>
          <w:szCs w:val="24"/>
          <w:highlight w:val="none"/>
          <w:shd w:val="clear" w:color="auto" w:fill="ffffff"/>
        </w:rPr>
        <w:t xml:space="preserve">在投标截止时间止，成功解密的投标文件少于三个的，采购代理机构有权宣布本次招标失败</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21.投标文件的补充、修改和撤回</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eastAsia="宋体" w:cs="宋体"/>
          <w:color w:val="auto"/>
          <w:sz w:val="24"/>
          <w:szCs w:val="24"/>
          <w:highlight w:val="none"/>
          <w:shd w:val="clear" w:color="auto" w:fill="ffffff"/>
        </w:rPr>
        <w:t xml:space="preserve">投标人在投标截止时间前，可以对其电子投标文件进行补充或修改，具体操作方法见《苏采云系统供应商操作手册》。在投标截止时间后，投标人不得对其电子投标文件作任何修改</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w:t>
      </w:r>
      <w:r>
        <w:rPr>
          <w:rFonts w:hint="eastAsia" w:ascii="宋体" w:hAnsi="宋体" w:eastAsia="宋体" w:cs="宋体"/>
          <w:color w:val="auto"/>
          <w:sz w:val="24"/>
          <w:szCs w:val="24"/>
          <w:highlight w:val="none"/>
          <w:shd w:val="clear" w:color="auto" w:fill="ffffff"/>
        </w:rPr>
        <w:t xml:space="preserve">投标人在投标截止时间前，可以撤回其电子投标文件，具体操作方法见《苏采云系统供应商操作手册》。投标人撤回电子投标文件，视为不再参与本项目投标活动。在投标截止时间至投标有效期满前，投标人不得撤回其投标</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六、开标和评标</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22.开标</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22.1开标由招标代理机构在线主持，邀请投标人在线参加。投标人应按照《苏采云系统供应商操作手册》的规定，</w:t>
      </w:r>
      <w:r>
        <w:rPr>
          <w:rFonts w:hint="eastAsia" w:ascii="宋体" w:hAnsi="宋体" w:eastAsia="宋体" w:cs="宋体"/>
          <w:b/>
          <w:bCs/>
          <w:color w:val="auto"/>
          <w:sz w:val="24"/>
          <w:szCs w:val="24"/>
          <w:highlight w:val="none"/>
        </w:rPr>
        <w:t xml:space="preserve">参加开标活动，并在“苏采云”系统规定的时间内对投标文件进行解密。</w:t>
      </w:r>
      <w:r>
        <w:rPr>
          <w:rFonts w:hint="eastAsia" w:ascii="宋体" w:hAnsi="宋体" w:eastAsia="宋体" w:cs="宋体"/>
          <w:color w:val="auto"/>
          <w:sz w:val="24"/>
          <w:szCs w:val="24"/>
          <w:highlight w:val="none"/>
        </w:rPr>
        <w:t xml:space="preserve">评标委员会成员不得参加开标活动。</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23.资格审查</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23.1公开招标采购项目开标结束后，采购人或者采购代理机构应当依法对投标人的资格进行审查，未通过资格审查的视为无效投标。</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23.2根据政府采购法及相关法规，以及苏州市财政局《关于印发苏州市市级政府采购信用记录查询和使用工作试行办法的通知》（苏财购〔2017〕11号）文件的规定，采购代理机构将对供应商进行信用查询：</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23.2.1查询时间：投标文件递交截止时间。</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23.2.2查询渠道：采购代理机构会在接收投标文件截止时间后，登录信用中国网站（www.creditchina.gov.cn）和中国政府采购网（www.ccgp.gov.cn/）查询供应商的信用记录，并将查询结果递交评标委员会。</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23.2.3查询证据留存方式：采购人、采购代理机构工作人员等应按照相关管理办法查询相关主体的信用记录，并保存好相关证据材料，信用查询记录及相关证据应当归入采购档案妥善保管。采购代理机构工作人员应登录来源网站页面进行复核并打印，作为证据留存。</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24.评标委员会</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24.1评标委员会负责具体评标事务，并独立履行下列职责；</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24.1.1审查、评价投标文件是否符合招标文件的商务、技术等实质性要求；</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24.1.2要求投标人对投标文件有关事项作出澄清或者说明；</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24.1.3对投标文件进行比较和评价；</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24.1.4确定中标候选人名单，并根据采购人委托直接确定中标人；</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24.1.5向采购人、招标代理机构或者有关部门报告评标中发现的违法行为。</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24.2评标委员会成员应当履行下列义务：</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24.2.1遵纪守法，客观、公正、廉洁地履行职责；</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24.2.2按照招标文件规定的评标办法和评标标准进行评标，对评标意见承担个人责任；</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24.2.3对评标过程和结果，以及投标人的商业秘密保密；</w:t>
      </w:r>
      <w:r/>
    </w:p>
    <w:p>
      <w:pPr>
        <w:pStyle w:val="1032"/>
        <w:ind w:left="0" w:firstLine="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24.2.4根据全体评标成员签字的原始评标记录和评标结果编写评标报告；</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24.2.5配合相关部门的投诉处理工作；</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24.2.6配合采购人、采购代理机构答复投标人提出的质疑。</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25.评标内容的保密</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25.1公开开标后，直到宣布授予中标人合同为止，凡属于审查、澄清、评价和比较投标的所有资料，有关授予合同的信息都不应向投标人或与评标无关的其他人泄露。</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25.2在投标文件的审查、澄清、评价和比较以及授予合同的过程中，投标人对采购人、招标代理机构和评标委员会成员施加影响的任何行为，都将取消其中标资格。</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26.对投标文件初审</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26.1评标委员会应当对符合资格的投标人的投标文件进行符合性审查，以确定其是否满足招标文件的实质性要求。投标文件有下列情况之一者评标委员会有权将其拒绝：</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26.1.1投标人的投标文件未按照本须知规定制作的；</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26.1.2未按本须知规定提交资格文件；</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26.1.3与招标文件有重大偏离；</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26.1.4投标人拒绝修正错误；</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26.1.5投标人的报价是选择性的；</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26.1.6投标人的报价只投了部分内容；</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26.1.7投标文件出现了评标委员会认为不应当雷同的情况；</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26.1.8其他被评委会认定无效的情况。</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32"/>
        <w:ind w:left="0" w:firstLine="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26.3投标文件报价出现前后不一致的，除招标文件另有规定外，按照下列规定修正：</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26.3.1投标文件中开标一览表（报价表）内容与投标文件中相应内容不一致的，以开标一览表（报价表）为准；</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26.3.2大写金额和小写金额不一致的，以大写金额为准；</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26.3.3单价金额小数点或者百分比有明显错位的，以开标一览表的总价为准，并修改单价；</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26.3.4总价金额与按单价汇总金额不一致的，以单价金额计算结果为准。</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26.3.5同时出现两种以上不一致的，按照前款规定的顺序修正。修正后的报价按照本须知相关规定经投标人确认后产生约束力，投标人不确认的，其投标无效。</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26.4异常低价投标审查</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26.4.1评标过程中出现下列情形之一的，</w:t>
      </w:r>
      <w:bookmarkStart w:id="2" w:name="OLE_LINK6"/>
      <w:r/>
      <w:bookmarkStart w:id="3" w:name="OLE_LINK5"/>
      <w:r>
        <w:rPr>
          <w:rFonts w:hint="eastAsia" w:ascii="宋体" w:hAnsi="宋体" w:eastAsia="宋体" w:cs="宋体"/>
          <w:color w:val="auto"/>
          <w:sz w:val="24"/>
          <w:szCs w:val="24"/>
          <w:highlight w:val="none"/>
        </w:rPr>
        <w:t xml:space="preserve">评标</w:t>
      </w:r>
      <w:bookmarkEnd w:id="2"/>
      <w:r/>
      <w:bookmarkEnd w:id="3"/>
      <w:r>
        <w:rPr>
          <w:rFonts w:hint="eastAsia" w:ascii="宋体" w:hAnsi="宋体" w:eastAsia="宋体" w:cs="宋体"/>
          <w:color w:val="auto"/>
          <w:sz w:val="24"/>
          <w:szCs w:val="24"/>
          <w:highlight w:val="none"/>
        </w:rPr>
        <w:t xml:space="preserve">委员会应当启动异常低价投标审查程序：</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（一）投标报价低于全部通过符合性审查供应商投标报价平均值50%的，即投标报价</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全部通过符合性审查供应商投标报价平均值×50%；</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（二）投标报价低于通过符合性审查的次低报价供应商投标报价50%的，即投标报价</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通过符合性审查的次低报价供应商投标报价×50%；</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（三）投标报价低于采购项目最高限价45%的，即投标报价</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采购项目最高限价×45%；</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w:t>
      </w:r>
      <w:bookmarkStart w:id="4" w:name="OLE_LINK4"/>
      <w:r/>
      <w:bookmarkStart w:id="5" w:name="OLE_LINK3"/>
      <w:r>
        <w:rPr>
          <w:rFonts w:hint="eastAsia" w:ascii="宋体" w:hAnsi="宋体" w:eastAsia="宋体" w:cs="宋体"/>
          <w:color w:val="auto"/>
          <w:sz w:val="24"/>
          <w:szCs w:val="24"/>
          <w:highlight w:val="none"/>
        </w:rPr>
        <w:t xml:space="preserve">评审委员会基于专业判断，认为供应商报价过低，有可能影响产品质量或者不能诚信履约的其他情形。</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26.4.2启动异常低价投标审查后，</w:t>
      </w:r>
      <w:bookmarkStart w:id="6" w:name="OLE_LINK1"/>
      <w:r>
        <w:rPr>
          <w:rFonts w:hint="eastAsia" w:ascii="宋体" w:hAnsi="宋体" w:eastAsia="宋体" w:cs="宋体"/>
          <w:color w:val="auto"/>
          <w:sz w:val="24"/>
          <w:szCs w:val="24"/>
          <w:highlight w:val="none"/>
        </w:rPr>
        <w:t xml:space="preserve">评标委员会</w:t>
      </w:r>
      <w:bookmarkEnd w:id="6"/>
      <w:r>
        <w:rPr>
          <w:rFonts w:hint="eastAsia" w:ascii="宋体" w:hAnsi="宋体" w:eastAsia="宋体" w:cs="宋体"/>
          <w:color w:val="auto"/>
          <w:sz w:val="24"/>
          <w:szCs w:val="24"/>
          <w:highlight w:val="none"/>
        </w:rPr>
        <w:t xml:space="preserve">应当要求相关供应商在评标现场合理的时间内，提供项目具体成本测算等与报价合理性相关的书面说明及相关证明材料</w:t>
      </w:r>
      <w:bookmarkStart w:id="7" w:name="OLE_LINK9"/>
      <w:r/>
      <w:bookmarkStart w:id="8" w:name="OLE_LINK10"/>
      <w:r>
        <w:rPr>
          <w:rFonts w:hint="eastAsia" w:ascii="宋体" w:hAnsi="宋体" w:eastAsia="宋体" w:cs="宋体"/>
          <w:color w:val="auto"/>
          <w:sz w:val="24"/>
          <w:szCs w:val="24"/>
          <w:highlight w:val="none"/>
        </w:rPr>
        <w:t xml:space="preserve">，</w:t>
      </w:r>
      <w:bookmarkEnd w:id="7"/>
      <w:r/>
      <w:bookmarkEnd w:id="8"/>
      <w:r>
        <w:rPr>
          <w:rFonts w:hint="eastAsia" w:ascii="宋体" w:hAnsi="宋体" w:eastAsia="宋体" w:cs="宋体"/>
          <w:color w:val="auto"/>
          <w:sz w:val="24"/>
          <w:szCs w:val="24"/>
          <w:highlight w:val="none"/>
        </w:rPr>
        <w:t xml:space="preserve">对投标价格作出解释，由评标委员会结合同类产品在主要电商平台的价格、该行业当地</w:t>
      </w:r>
      <w:bookmarkStart w:id="9" w:name="OLE_LINK8"/>
      <w:r/>
      <w:bookmarkStart w:id="10" w:name="OLE_LINK7"/>
      <w:r>
        <w:rPr>
          <w:rFonts w:hint="eastAsia" w:ascii="宋体" w:hAnsi="宋体" w:eastAsia="宋体" w:cs="宋体"/>
          <w:color w:val="auto"/>
          <w:sz w:val="24"/>
          <w:szCs w:val="24"/>
          <w:highlight w:val="none"/>
        </w:rPr>
        <w:t xml:space="preserve">薪资</w:t>
      </w:r>
      <w:bookmarkEnd w:id="9"/>
      <w:r/>
      <w:bookmarkEnd w:id="10"/>
      <w:r>
        <w:rPr>
          <w:rFonts w:hint="eastAsia" w:ascii="宋体" w:hAnsi="宋体" w:eastAsia="宋体" w:cs="宋体"/>
          <w:color w:val="auto"/>
          <w:sz w:val="24"/>
          <w:szCs w:val="24"/>
          <w:highlight w:val="none"/>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4"/>
      <w:r/>
      <w:bookmarkEnd w:id="5"/>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26.5评标委员会成员对需要共同认定的事项存在争议的，应当按照少数服从多数的原则作出结论。持不同意见的评标委员会成员应当在评标报告上签署不同意见及理由，否则视为同意评标报告。</w:t>
      </w:r>
      <w:r/>
    </w:p>
    <w:p>
      <w:pPr>
        <w:ind w:left="0"/>
        <w:keepLines w:val="0"/>
        <w:keepNext w:val="0"/>
        <w:pageBreakBefore w:val="0"/>
        <w:spacing w:after="0"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26.6除上述情形外，对投标文件的判定，只依据投标文件本身，不依靠开标后的任何外来证明。</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26.7对不同文字文本投标文件的解释发生异议的，以中文文本为准。</w:t>
      </w:r>
      <w:r/>
    </w:p>
    <w:p>
      <w:pPr>
        <w:ind w:left="0"/>
        <w:keepLines w:val="0"/>
        <w:keepNext w:val="0"/>
        <w:pageBreakBefore w:val="0"/>
        <w:spacing w:after="0" w:line="360" w:lineRule="auto"/>
        <w:widowControl w:val="off"/>
        <w:tabs>
          <w:tab w:val="left" w:pos="90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27.投标的澄清</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27.1对于投标文件中含义不明确、同类问题表述不一致或者有明显文字和计算错误内容，评标委员会应当以书面形式要求投标人作出必要的澄清、说明或者补正。</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27.2投标人的澄清、说明或者补正应当采用书面形式，并加盖其单位电子公章。投标人的澄清、说明或者补正不得超出投标文件的范围或者改变投标文件的实质性内容。</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27.3本项目采用线上澄清方式：</w:t>
      </w:r>
      <w:r>
        <w:rPr>
          <w:rFonts w:hint="eastAsia" w:ascii="宋体" w:hAnsi="宋体" w:eastAsia="宋体" w:cs="宋体"/>
          <w:color w:val="auto"/>
          <w:sz w:val="24"/>
          <w:szCs w:val="24"/>
          <w:highlight w:val="none"/>
          <w:shd w:val="clear" w:color="auto" w:fill="ffffff"/>
        </w:rPr>
        <w:t xml:space="preserve">评标委员会将通过“苏采云”系统向投标人发布“澄清要求函”。接到“澄清要求函”的投标人应当按要求在规定时间内通过“苏采云”系统提交“澄清响应函”并加盖CA电子公章，澄清、说明和补充的内容作为投标文件的补充部分。规定时间以系统中的倒计时为准。供应商应随时保持系统在线，因供应商自身原因未在规定时间内提交澄清确认资料的，由此导致的不利后果由其自行承担</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28.投标无效</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28.1投标人存在下列情况之一的，投标无效：</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28.1.1投标文件未按招标文件要求签署、盖章的；</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28.1.2不具备招标文件中规定的资格要求的；</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28.1.3报价超过招标文件中规定的预算金额或者最高限价的；</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28.1.4投标文件含有采购人不能接受的附加条件的；</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28.1.5</w:t>
      </w:r>
      <w:r>
        <w:rPr>
          <w:rFonts w:hint="eastAsia" w:ascii="宋体" w:hAnsi="宋体" w:eastAsia="宋体" w:cs="宋体"/>
          <w:color w:val="auto"/>
          <w:sz w:val="24"/>
          <w:szCs w:val="24"/>
          <w:highlight w:val="none"/>
          <w:shd w:val="clear" w:color="auto" w:fill="ffffff"/>
        </w:rPr>
        <w:t xml:space="preserve">经机器码检查，发现不同投标人投标文件机器码一致的</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28.1.6法律、法规和招标文件规定的其他无效情形。</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28.3有下列情形之一的，视为投标人串通投标，其投标无效：</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28.3.1不同投标人的投标文件由同一单位或者个人编制；</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28.3.2不同投标人委托同一单位或者个人办理投标事宜；</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28.3.3不同投标人的投标文件载明的项目管理成员或者联系人员为同一人；</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28.3.4不同投标人的投标文件异常一致或者投标报价呈规律性差异；</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28.3.5不同投标人的投标文件相互混装的。</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29.废标</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29.1在招标过程中，出现下列情况之一的，应予废标：</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29.1.1符合专业条件的供应商或者对招标文件作实质投标的供应商不足三家的；</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29.1.2出现影响采购公正的违法、违规行为的；</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29.1.3投标人的报价均超过了采购预算，采购人不能支付的；</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.1.4因重大变故，采购任务取消的；</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29.2废标后，采购人和招标代理机构将把废标的理由通知所有投标人。</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30.投标文件的评价和比较</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w:t>
      </w:r>
      <w:r>
        <w:rPr>
          <w:rFonts w:hint="eastAsia" w:ascii="宋体" w:hAnsi="宋体" w:eastAsia="宋体" w:cs="宋体"/>
          <w:color w:val="auto"/>
          <w:sz w:val="24"/>
          <w:szCs w:val="24"/>
          <w:highlight w:val="none"/>
          <w:shd w:val="clear" w:color="auto" w:fill="ffffff"/>
        </w:rPr>
        <w:t xml:space="preserve">本项目采用综合评分法。评标结果按评审后得分由高到低顺序排列。得分相同的，按投标报价由低到高顺序排列。得分且投标报价相同的并列，由评标委员会组织抽签确定中标人。投标文件满足招标文件全部实质性要求，且按照评审因素的量化指标评审得分最高的投标人为排名第一的中标候选人</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w:t>
      </w:r>
      <w:r>
        <w:rPr>
          <w:rFonts w:hint="eastAsia" w:ascii="宋体" w:hAnsi="宋体" w:eastAsia="宋体" w:cs="宋体"/>
          <w:color w:val="auto"/>
          <w:sz w:val="24"/>
          <w:szCs w:val="24"/>
          <w:highlight w:val="none"/>
          <w:shd w:val="clear" w:color="auto" w:fill="ffffff"/>
        </w:rPr>
        <w:t xml:space="preserve">最低投标报价或最高折扣比例是中标的重要条件，但不是唯一条件</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七、授予合同</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31.中标人的确定</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31.1评标委员会根据投标人资格审查情况，对投标文件进行评价和比较，按照评标办法和标准进行评标，并确定中标人。</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w:t>
      </w:r>
      <w:r>
        <w:rPr>
          <w:rFonts w:hint="eastAsia" w:ascii="宋体" w:hAnsi="宋体" w:eastAsia="宋体" w:cs="宋体"/>
          <w:color w:val="auto"/>
          <w:sz w:val="24"/>
          <w:szCs w:val="24"/>
          <w:highlight w:val="none"/>
          <w:shd w:val="clear" w:color="auto" w:fill="ffffff"/>
        </w:rPr>
        <w:t xml:space="preserve">经评标委员会评审确定中标人后，采购代理机构将在规定时间内在政府采购管理部门指定媒体上公告中标结果，公告期为一个工作日。各投标人如对中标公告有异议，应在中标公告期届满之日起7个工作日内，以书面形式向采购代理机构提出质疑。质疑须按《政府采购质疑和投诉办法》《江苏省政府采购供应商监督管理暂行办法》的规定提交。采购代理机构将在收到质疑后7个工作日内作出答复。在此期限后提出的质疑，或质疑未经投标人法定代表人或授权代理人签署并加盖公章（原件）的，采购代理机构有权不予答复</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32.合同授予：</w:t>
      </w:r>
      <w:r>
        <w:rPr>
          <w:rFonts w:hint="eastAsia" w:ascii="宋体" w:hAnsi="宋体" w:eastAsia="宋体" w:cs="宋体"/>
          <w:color w:val="auto"/>
          <w:sz w:val="24"/>
          <w:szCs w:val="24"/>
          <w:highlight w:val="none"/>
          <w:shd w:val="clear" w:color="auto" w:fill="ffffff"/>
        </w:rPr>
        <w:t xml:space="preserve">采购人、采购代理机构将把合同授予其投标文件实质性响应招标文件要求，并按本须知规定评选出的投标人。确定为中标的投标人必须具有实施本合同的能力和资源</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33.中标通知书/未中标通知书</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33.1确定中标人后，招标代理机构在法定时间内向中标人发出中标通知书。</w:t>
      </w:r>
      <w:r>
        <w:rPr>
          <w:rFonts w:hint="eastAsia" w:ascii="宋体" w:hAnsi="宋体" w:eastAsia="宋体" w:cs="宋体"/>
          <w:b/>
          <w:bCs/>
          <w:color w:val="auto"/>
          <w:sz w:val="24"/>
          <w:szCs w:val="24"/>
          <w:highlight w:val="none"/>
        </w:rPr>
        <w:t xml:space="preserve">请中标人在中标结果公告届满之日起30日内，使用CA证书登录“苏采云”系统及时下载中标通知书。</w:t>
      </w:r>
      <w:r>
        <w:rPr>
          <w:rFonts w:hint="eastAsia" w:ascii="宋体" w:hAnsi="宋体" w:eastAsia="宋体" w:cs="宋体"/>
          <w:color w:val="auto"/>
          <w:sz w:val="24"/>
          <w:szCs w:val="24"/>
          <w:highlight w:val="none"/>
        </w:rPr>
        <w:t xml:space="preserve">因系统存储空间有限，自中标结果公告届满之日起30日后，“苏采云”系统不再保证提供下载中标通知书服务，因未及时下载而造成的不利后果由中标人自行承担。</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w:t>
      </w:r>
      <w:r>
        <w:rPr>
          <w:rFonts w:hint="eastAsia" w:ascii="宋体" w:hAnsi="宋体" w:eastAsia="宋体" w:cs="宋体"/>
          <w:color w:val="auto"/>
          <w:sz w:val="24"/>
          <w:szCs w:val="24"/>
          <w:highlight w:val="none"/>
          <w:shd w:val="clear" w:color="auto" w:fill="ffffff"/>
        </w:rPr>
        <w:t xml:space="preserve">中标通知书构成合同的组成部分，对采购人和中标人具有同等法律效力</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33.3中标通知书发出后，采购人不得违法改变中标结果，中标人无正当理由不得放弃中标。</w:t>
      </w:r>
      <w:r/>
    </w:p>
    <w:p>
      <w:pPr>
        <w:pStyle w:val="1026"/>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33.4未中标通知书将以邮件方式发送。</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33.5采购代理机构对未中标人不承担解释未中标原因的义务。</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shd w:val="clear" w:color="auto" w:fill="ffffff"/>
        </w:rPr>
      </w:pPr>
      <w:r/>
      <w:bookmarkStart w:id="11" w:name="_Hlk193374841"/>
      <w:r>
        <w:rPr>
          <w:rFonts w:hint="eastAsia" w:ascii="宋体" w:hAnsi="宋体" w:eastAsia="宋体" w:cs="宋体"/>
          <w:b/>
          <w:color w:val="auto"/>
          <w:sz w:val="24"/>
          <w:szCs w:val="24"/>
          <w:highlight w:val="none"/>
          <w:shd w:val="clear" w:color="auto" w:fill="ffffff"/>
        </w:rPr>
        <w:t xml:space="preserve">34.履约保证金：</w:t>
      </w:r>
      <w:r>
        <w:rPr>
          <w:rFonts w:hint="eastAsia" w:ascii="宋体" w:hAnsi="宋体" w:eastAsia="宋体" w:cs="宋体"/>
          <w:color w:val="auto"/>
          <w:sz w:val="24"/>
          <w:szCs w:val="24"/>
          <w:highlight w:val="none"/>
          <w:shd w:val="clear" w:color="auto" w:fill="ffffff"/>
        </w:rPr>
        <w:t xml:space="preserve">根据《关于在全省政府采购领域推行电子履约保函（保险）的通知（苏财购</w:t>
      </w:r>
      <w:r>
        <w:rPr>
          <w:rFonts w:hint="eastAsia" w:ascii="宋体" w:hAnsi="宋体" w:cs="宋体"/>
          <w:color w:val="auto"/>
          <w:sz w:val="24"/>
          <w:szCs w:val="24"/>
          <w:highlight w:val="none"/>
          <w:shd w:val="clear" w:color="auto" w:fill="ffffff"/>
          <w:lang w:eastAsia="zh-CN"/>
        </w:rPr>
        <w:t xml:space="preserve">〔2023〕150号</w:t>
      </w:r>
      <w:r>
        <w:rPr>
          <w:rFonts w:hint="eastAsia" w:ascii="宋体" w:hAnsi="宋体" w:eastAsia="宋体" w:cs="宋体"/>
          <w:color w:val="auto"/>
          <w:sz w:val="24"/>
          <w:szCs w:val="24"/>
          <w:highlight w:val="none"/>
          <w:shd w:val="clear" w:color="auto" w:fill="ffffff"/>
        </w:rPr>
        <w:t xml:space="preserve">）》规定，中标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34.1中标的供应商应按前附表的规定提交履约保证金。</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34.2在中标通知书发出的七天内，中标单位应当以支票、汇票、本票或者金融机构、担保机构出具的保函等非现金形式提交履约保证金。如选择转账方式提交履约保证金的，款项转入以下账户：</w:t>
      </w:r>
      <w:r/>
    </w:p>
    <w:p>
      <w:pPr>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账  户：</w:t>
      </w:r>
      <w:r/>
    </w:p>
    <w:p>
      <w:pPr>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开户行：</w:t>
      </w:r>
      <w:r/>
    </w:p>
    <w:p>
      <w:pPr>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账  号：</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34.3中标单位无故拖延或拒不提交履约保证金的，视为拒绝与采购人签订合同，采购人可以按照评审报告推荐的中标候选人名单排序，确定下一候选人为中标单位或者重新开展政府采购活动。</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34.4履约保证金（无息）在服务期满且服务缺陷更正后，中标单位配合采购人和新中标单位办理移交手续，由采购人确认后退还。如中标单位对服务缺陷不予更正，采购人有权另请其他单位更正，所发生的费用在履约保证金中扣除。</w:t>
      </w:r>
      <w:bookmarkEnd w:id="11"/>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35.合同的签订</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w:t>
      </w:r>
      <w:r>
        <w:rPr>
          <w:rFonts w:hint="eastAsia" w:ascii="宋体" w:hAnsi="宋体" w:eastAsia="宋体" w:cs="宋体"/>
          <w:color w:val="auto"/>
          <w:sz w:val="24"/>
          <w:szCs w:val="24"/>
          <w:highlight w:val="none"/>
          <w:shd w:val="clear" w:color="auto" w:fill="ffffff"/>
        </w:rPr>
        <w:t xml:space="preserve">按照《关于印发〈苏州市政府采购促进中小企业发展实施意见〉的通知》（苏财购〔2022〕16号）文件精神，采购人与中标人原则上应当在中标通知书发出之日起15日内，按照招标文件及投标文件确定的事项签订政府采购合同</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w:t>
      </w:r>
      <w:r>
        <w:rPr>
          <w:rFonts w:hint="eastAsia" w:ascii="宋体" w:hAnsi="宋体" w:eastAsia="宋体" w:cs="宋体"/>
          <w:color w:val="auto"/>
          <w:sz w:val="24"/>
          <w:szCs w:val="24"/>
          <w:highlight w:val="none"/>
          <w:shd w:val="clear" w:color="auto" w:fill="ffffff"/>
        </w:rPr>
        <w:t xml:space="preserve">采购人和中标人所签订的合同不得对招标文件确定的事项和中标人投标文件作实质性修改</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35.3采购人不得向中标人提出任何不合理的要求作为签订合同的条件。</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35.4招标文件、中标人的投标文件及招标过程中有关澄清、承诺文件均应作为合同附件。</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35.5政府采购合同履行中，采购人需追加与合同标的相同货物、工程或者服务的，在不改变合同其他条款的前提下，可以与中标人协商签订补充合同，但所有补充合同的采购金额不得超过原合同采购金额的10%。</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35.6采购人和中标人应当根据合同的约定依法履行合同义务。</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八、其他事项</w:t>
      </w:r>
      <w:r/>
    </w:p>
    <w:p>
      <w:pPr>
        <w:ind w:left="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36.中标人须按前附表的规定计算并支付中标服务费，该费用应在领取中标通知书时一次性付清，若未按规定缴纳中标服务费，招标代理机构保留诉讼的权利。</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缴纳代理服务费时，供应商须将公司开票信息以word文档格式发送至邮箱：szsdzb@126.com【注：发票开出后一律不予退换。供应商须对所提供材料信息的真实性、准确性和完整性负责，因材料信息内容的差错缺漏等而导致的后果，由供应商自行承担。】</w:t>
      </w:r>
      <w:r/>
    </w:p>
    <w:p>
      <w:pPr>
        <w:ind w:left="0"/>
        <w:jc w:val="cente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开票信息</w:t>
      </w:r>
      <w:r/>
    </w:p>
    <w:tbl>
      <w:tblPr>
        <w:tblStyle w:val="956"/>
        <w:tblW w:w="6278" w:type="dxa"/>
        <w:jc w:val="center"/>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报名单位公司名称</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开户行</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37.未尽事宜按《中华人民共和国政府采购法》及其他有关法律法规规定执行。</w:t>
      </w:r>
      <w:r/>
    </w:p>
    <w:p>
      <w:pPr>
        <w:ind w:left="0" w:firstLine="1200"/>
        <w:keepLines w:val="0"/>
        <w:keepNext w:val="0"/>
        <w:pageBreakBefore w:val="0"/>
        <w:spacing w:after="0" w:line="360" w:lineRule="auto"/>
        <w:widowControl w:val="off"/>
        <w:rPr>
          <w:rFonts w:hint="eastAsia" w:ascii="宋体" w:hAnsi="宋体" w:eastAsia="宋体" w:cs="宋体"/>
          <w:bCs/>
          <w:color w:val="auto"/>
          <w:sz w:val="24"/>
          <w:szCs w:val="24"/>
          <w:highlight w:val="none"/>
        </w:rPr>
        <w:sectPr>
          <w:footerReference w:type="default" r:id="rId13"/>
          <w:footnotePr/>
          <w:endnotePr/>
          <w:type w:val="nextPage"/>
          <w:pgSz w:w="11906" w:h="16838" w:orient="portrait"/>
          <w:pgMar w:top="1134" w:right="1134" w:bottom="1134" w:left="1134" w:header="851" w:footer="992" w:gutter="0"/>
          <w:cols w:num="1" w:sep="0" w:space="1701" w:equalWidth="1"/>
          <w:docGrid w:linePitch="360"/>
        </w:sectPr>
        <w:outlineLvl w:val="0"/>
      </w:pPr>
      <w:r>
        <w:rPr>
          <w:rFonts w:hint="eastAsia" w:ascii="宋体" w:hAnsi="宋体" w:eastAsia="宋体" w:cs="宋体"/>
          <w:bCs/>
          <w:color w:val="auto"/>
          <w:sz w:val="24"/>
          <w:szCs w:val="24"/>
          <w:highlight w:val="none"/>
        </w:rPr>
      </w:r>
      <w:r/>
    </w:p>
    <w:p>
      <w:pPr>
        <w:ind w:firstLine="2200"/>
        <w:spacing w:before="240" w:after="60"/>
        <w:rPr>
          <w:rFonts w:hint="eastAsia" w:ascii="宋体" w:hAnsi="宋体" w:cs="宋体"/>
          <w:b/>
          <w:color w:val="auto"/>
          <w:sz w:val="44"/>
          <w:szCs w:val="44"/>
          <w:highlight w:val="none"/>
        </w:rPr>
        <w:outlineLvl w:val="0"/>
      </w:pPr>
      <w:r>
        <w:rPr>
          <w:rFonts w:hint="eastAsia" w:ascii="宋体" w:hAnsi="宋体" w:cs="宋体"/>
          <w:bCs/>
          <w:color w:val="auto"/>
          <w:sz w:val="44"/>
          <w:szCs w:val="32"/>
          <w:highlight w:val="none"/>
        </w:rPr>
        <w:t xml:space="preserve">第三章 投标文件格式</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说明：</w:t>
      </w:r>
      <w:r/>
    </w:p>
    <w:p>
      <w:pPr>
        <w:ind w:firstLine="435"/>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对本章所有的投标书格式，投标方可根据自身情况进行补充和修改，但补充和修改不得造成与本格式内容有实质性的违背。</w:t>
      </w:r>
      <w:r/>
    </w:p>
    <w:p>
      <w:pPr>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1、（投标方）法定代表人授权委托书</w:t>
      </w:r>
      <w:r/>
    </w:p>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授权委托书</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本授权委托书声明：我</w:t>
      </w:r>
      <w:r>
        <w:rPr>
          <w:rFonts w:hint="eastAsia" w:ascii="宋体" w:hAnsi="宋体" w:cs="宋体"/>
          <w:color w:val="auto"/>
          <w:sz w:val="24"/>
          <w:highlight w:val="none"/>
          <w:u w:val="single"/>
        </w:rPr>
        <w:t xml:space="preserve">  （姓名）</w:t>
      </w:r>
      <w:r>
        <w:rPr>
          <w:rFonts w:hint="eastAsia" w:ascii="宋体" w:hAnsi="宋体" w:cs="宋体"/>
          <w:color w:val="auto"/>
          <w:sz w:val="24"/>
          <w:highlight w:val="none"/>
        </w:rPr>
        <w:t xml:space="preserve">系</w:t>
      </w:r>
      <w:r>
        <w:rPr>
          <w:rFonts w:hint="eastAsia" w:ascii="宋体" w:hAnsi="宋体" w:cs="宋体"/>
          <w:color w:val="auto"/>
          <w:sz w:val="24"/>
          <w:highlight w:val="none"/>
          <w:u w:val="single"/>
        </w:rPr>
        <w:t xml:space="preserve">  （投标单位名称）  </w:t>
      </w:r>
      <w:r>
        <w:rPr>
          <w:rFonts w:hint="eastAsia" w:ascii="宋体" w:hAnsi="宋体" w:cs="宋体"/>
          <w:color w:val="auto"/>
          <w:sz w:val="24"/>
          <w:highlight w:val="none"/>
        </w:rPr>
        <w:t xml:space="preserve">的法定代表人，现授权委托</w:t>
      </w:r>
      <w:r>
        <w:rPr>
          <w:rFonts w:hint="eastAsia" w:ascii="宋体" w:hAnsi="宋体" w:cs="宋体"/>
          <w:color w:val="auto"/>
          <w:sz w:val="24"/>
          <w:highlight w:val="none"/>
          <w:u w:val="single"/>
        </w:rPr>
        <w:t xml:space="preserve">  （单位名称）  </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  （姓名）  </w:t>
      </w:r>
      <w:r>
        <w:rPr>
          <w:rFonts w:hint="eastAsia" w:ascii="宋体" w:hAnsi="宋体" w:cs="宋体"/>
          <w:color w:val="auto"/>
          <w:sz w:val="24"/>
          <w:highlight w:val="none"/>
        </w:rPr>
        <w:t xml:space="preserve">为我公司被授权人，以本公司的名义参加苏州时代招投标有限公司组织实施的编号为</w:t>
      </w:r>
      <w:r>
        <w:rPr>
          <w:rFonts w:hint="eastAsia" w:ascii="宋体" w:hAnsi="宋体" w:cs="宋体"/>
          <w:color w:val="auto"/>
          <w:sz w:val="24"/>
          <w:highlight w:val="none"/>
          <w:u w:val="single"/>
        </w:rPr>
        <w:t xml:space="preserve">  （招标编号）  </w:t>
      </w:r>
      <w:r>
        <w:rPr>
          <w:rFonts w:hint="eastAsia" w:ascii="宋体" w:hAnsi="宋体" w:cs="宋体"/>
          <w:color w:val="auto"/>
          <w:sz w:val="24"/>
          <w:highlight w:val="none"/>
        </w:rPr>
        <w:t xml:space="preserve">号的招标活动。被授权人在开标、评标、合同谈判过程中所签署的一切文件和处理与此有关的一切事务，我均予以承认。</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被授权人在授权委托书有效期内签署的所有文件不因授权委托的撤销而失效，除非有撤销授权委托的书面通知，本授权委托书自投标开始至合同履行完毕止。</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被授权人无转委托权。特此委托。</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投标单位：（盖章）</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法定代表人：（签字或盖章）</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被授权人：（签字）</w:t>
      </w:r>
      <w:r/>
    </w:p>
    <w:p>
      <w:pPr>
        <w:ind w:firstLine="420"/>
        <w:jc w:val="right"/>
        <w:rPr>
          <w:rFonts w:hint="eastAsia" w:ascii="宋体" w:hAnsi="宋体" w:cs="宋体"/>
          <w:color w:val="auto"/>
          <w:sz w:val="24"/>
          <w:highlight w:val="none"/>
        </w:rPr>
      </w:pPr>
      <w:r>
        <w:rPr>
          <w:rFonts w:hint="eastAsia" w:ascii="宋体" w:hAnsi="宋体" w:cs="宋体"/>
          <w:color w:val="auto"/>
          <w:sz w:val="24"/>
          <w:highlight w:val="none"/>
        </w:rPr>
      </w:r>
      <w:r/>
    </w:p>
    <w:p>
      <w:pPr>
        <w:ind w:firstLine="420"/>
        <w:jc w:val="lef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jc w:val="left"/>
        <w:spacing w:line="360" w:lineRule="auto"/>
        <w:rPr>
          <w:rFonts w:hint="eastAsia" w:ascii="宋体" w:hAnsi="宋体" w:cs="宋体"/>
          <w:color w:val="auto"/>
          <w:sz w:val="28"/>
          <w:szCs w:val="28"/>
          <w:highlight w:val="none"/>
        </w:rPr>
      </w:pPr>
      <w:r>
        <w:rPr>
          <w:rFonts w:hint="eastAsia" w:ascii="宋体" w:hAnsi="宋体" w:cs="宋体"/>
          <w:color w:val="auto"/>
          <w:sz w:val="24"/>
          <w:szCs w:val="20"/>
          <w:highlight w:val="none"/>
        </w:rPr>
        <w:br w:type="page" w:clear="all"/>
      </w:r>
      <w:r>
        <w:rPr>
          <w:rFonts w:hint="eastAsia" w:ascii="宋体" w:hAnsi="宋体" w:cs="宋体"/>
          <w:color w:val="auto"/>
          <w:sz w:val="28"/>
          <w:szCs w:val="28"/>
          <w:highlight w:val="none"/>
        </w:rPr>
        <w:t xml:space="preserve">2、投标函</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投标函</w:t>
      </w:r>
      <w:r/>
    </w:p>
    <w:p>
      <w:pPr>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u w:val="single"/>
        </w:rPr>
        <w:t xml:space="preserve"> 苏州时代招投标有限公司 </w:t>
      </w:r>
      <w:r>
        <w:rPr>
          <w:rFonts w:hint="eastAsia" w:ascii="宋体" w:hAnsi="宋体" w:cs="宋体"/>
          <w:color w:val="auto"/>
          <w:sz w:val="24"/>
          <w:highlight w:val="none"/>
        </w:rPr>
        <w:t xml:space="preserve">：</w:t>
      </w:r>
      <w:r/>
    </w:p>
    <w:p>
      <w:pPr>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我们收到贵公司</w:t>
      </w:r>
      <w:r>
        <w:rPr>
          <w:rFonts w:hint="eastAsia" w:ascii="宋体" w:hAnsi="宋体" w:cs="宋体"/>
          <w:color w:val="auto"/>
          <w:sz w:val="24"/>
          <w:highlight w:val="none"/>
          <w:u w:val="single"/>
        </w:rPr>
        <w:t xml:space="preserve">（招标编号）</w:t>
      </w:r>
      <w:r>
        <w:rPr>
          <w:rFonts w:hint="eastAsia" w:ascii="宋体" w:hAnsi="宋体" w:cs="宋体"/>
          <w:color w:val="auto"/>
          <w:sz w:val="24"/>
          <w:highlight w:val="none"/>
        </w:rPr>
        <w:t xml:space="preserve">号招标文件，经仔细阅读和研究，我们同意招标文件中各款要求并决定参加投标。</w:t>
      </w:r>
      <w:r/>
    </w:p>
    <w:p>
      <w:pPr>
        <w:ind w:firstLine="480"/>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1、我们愿意按照招标文件的一切要求，提供包括招标书中要求的</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全部项目的所有费用。</w:t>
      </w:r>
      <w:r/>
    </w:p>
    <w:p>
      <w:pPr>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2、如果我们的投标书被接受，我们将严格履行招标文件中规定的每一项要求，按期、按质、按量履行合同的义务。</w:t>
      </w:r>
      <w:r/>
    </w:p>
    <w:p>
      <w:pPr>
        <w:ind w:firstLine="480"/>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3、我们已详细审查并同意招标文件及更正文件（如有）中的规定。我们完全理解并同意放弃对这方面有不明及误解的权力。</w:t>
      </w:r>
      <w:r/>
    </w:p>
    <w:p>
      <w:pPr>
        <w:ind w:firstLine="480"/>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4、我们同意按招标文件中的规定，本投标书的有效期限为投标截止日起</w:t>
      </w:r>
      <w:r>
        <w:rPr>
          <w:rFonts w:hint="eastAsia" w:ascii="宋体" w:hAnsi="宋体" w:cs="宋体"/>
          <w:color w:val="auto"/>
          <w:sz w:val="24"/>
          <w:highlight w:val="none"/>
          <w:u w:val="single"/>
        </w:rPr>
        <w:t xml:space="preserve">九十天</w:t>
      </w:r>
      <w:r>
        <w:rPr>
          <w:rFonts w:hint="eastAsia" w:ascii="宋体" w:hAnsi="宋体" w:cs="宋体"/>
          <w:color w:val="auto"/>
          <w:sz w:val="24"/>
          <w:highlight w:val="none"/>
        </w:rPr>
        <w:t xml:space="preserve">。</w:t>
      </w:r>
      <w:r/>
    </w:p>
    <w:p>
      <w:pPr>
        <w:ind w:firstLine="480"/>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5、我们愿意提供采购人或采购代理机构在招标文件中要求的所有资料。</w:t>
      </w:r>
      <w:r/>
    </w:p>
    <w:p>
      <w:pPr>
        <w:ind w:firstLine="480"/>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6、我们声明：我们在参加本次政府采购活动前3年内在经营活动中没有重大违法记录。</w:t>
      </w:r>
      <w:r/>
    </w:p>
    <w:p>
      <w:pPr>
        <w:ind w:firstLine="480"/>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7、我们愿意遵守招标公告及招标文件中所列的收费标准。</w:t>
      </w:r>
      <w:r/>
    </w:p>
    <w:p>
      <w:pPr>
        <w:ind w:firstLine="480"/>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8、我们承诺该项投标在开标后的全过程中保持有效，不做任何更改和变动。</w:t>
      </w:r>
      <w:r/>
    </w:p>
    <w:p>
      <w:pPr>
        <w:ind w:firstLine="480"/>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9、如果我们中标，我们愿意按招标文件规定支付代理服务费；</w:t>
      </w:r>
      <w:r/>
    </w:p>
    <w:p>
      <w:pPr>
        <w:ind w:firstLine="480"/>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10、我们承诺我公司符合招标文件投标人须知中“合格投标人的资格条件”的要求，若与真实情况不符，本公司愿意承担由此而产生的一切后果。</w:t>
      </w:r>
      <w:r/>
    </w:p>
    <w:p>
      <w:pPr>
        <w:ind w:firstLine="480"/>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11、我们</w:t>
      </w:r>
      <w:r>
        <w:rPr>
          <w:rFonts w:hint="eastAsia" w:ascii="宋体" w:hAnsi="宋体" w:cs="宋体"/>
          <w:color w:val="auto"/>
          <w:sz w:val="24"/>
          <w:highlight w:val="none"/>
          <w:lang w:val="zh-CN"/>
        </w:rPr>
        <w:t xml:space="preserve">承诺若在机器码检查中被查出存在与其他投标供应商机器码一致情形的，愿意承担由此产生的一切后果，包括但不限于不得参与后续本项目因故废标后重新开展的相关采购活动。</w:t>
      </w:r>
      <w:r/>
    </w:p>
    <w:p>
      <w:pPr>
        <w:ind w:firstLine="480"/>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12、所有有关标书的函电，请按下列地址联系：</w:t>
      </w:r>
      <w:r/>
    </w:p>
    <w:p>
      <w:pPr>
        <w:ind w:firstLine="480"/>
        <w:jc w:val="left"/>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单    位：                                  联 系 人：</w:t>
      </w:r>
      <w:r/>
    </w:p>
    <w:p>
      <w:pPr>
        <w:ind w:firstLine="480"/>
        <w:jc w:val="left"/>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地    址：                                  邮政编码：</w:t>
      </w:r>
      <w:r/>
    </w:p>
    <w:p>
      <w:pPr>
        <w:ind w:firstLine="480"/>
        <w:jc w:val="left"/>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联系电话：                                  传真（或邮箱）：</w:t>
      </w:r>
      <w:r/>
    </w:p>
    <w:p>
      <w:pPr>
        <w:ind w:right="480" w:firstLine="4080"/>
        <w:keepLines w:val="0"/>
        <w:keepNext w:val="0"/>
        <w:pageBreakBefore w:val="0"/>
        <w:spacing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r>
      <w:r/>
    </w:p>
    <w:p>
      <w:pPr>
        <w:ind w:right="480" w:firstLine="4080"/>
        <w:keepLines w:val="0"/>
        <w:keepNext w:val="0"/>
        <w:pageBreakBefore w:val="0"/>
        <w:spacing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投标单位：（单位盖章）</w:t>
      </w:r>
      <w:r/>
    </w:p>
    <w:p>
      <w:pPr>
        <w:jc w:val="right"/>
        <w:keepLines w:val="0"/>
        <w:keepNext w:val="0"/>
        <w:pageBreakBefore w:val="0"/>
        <w:spacing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法定代表人或被授权人：（签字或盖章）</w:t>
      </w:r>
      <w:r/>
    </w:p>
    <w:p>
      <w:pPr>
        <w:jc w:val="right"/>
        <w:keepLines w:val="0"/>
        <w:keepNext w:val="0"/>
        <w:pageBreakBefore w:val="0"/>
        <w:spacing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年     月     日</w:t>
      </w:r>
      <w:r/>
    </w:p>
    <w:p>
      <w:pPr>
        <w:pStyle w:val="1186"/>
        <w:rPr>
          <w:color w:val="auto"/>
          <w:highlight w:val="none"/>
        </w:rPr>
      </w:pPr>
      <w:r>
        <w:rPr>
          <w:color w:val="auto"/>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3、开标一览表（</w:t>
      </w:r>
      <w:r>
        <w:rPr>
          <w:rFonts w:hint="eastAsia" w:ascii="宋体" w:hAnsi="宋体" w:cs="宋体"/>
          <w:b/>
          <w:color w:val="auto"/>
          <w:sz w:val="24"/>
          <w:highlight w:val="none"/>
        </w:rPr>
        <w:t xml:space="preserve">按苏采云投标系统内统一格式填写）</w:t>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u w:val="none"/>
          <w:lang w:val="en-US" w:eastAsia="zh-CN"/>
        </w:rPr>
        <w:t xml:space="preserve"> （采购包</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none"/>
          <w:lang w:val="en-US" w:eastAsia="zh-CN"/>
        </w:rPr>
        <w:t xml:space="preserve">）</w:t>
      </w:r>
      <w:r>
        <w:rPr>
          <w:rFonts w:hint="eastAsia" w:ascii="宋体" w:hAnsi="宋体"/>
          <w:color w:val="auto"/>
          <w:sz w:val="28"/>
          <w:szCs w:val="28"/>
          <w:highlight w:val="none"/>
        </w:rPr>
        <w:t xml:space="preserve">开标一览表</w:t>
      </w:r>
      <w:r/>
    </w:p>
    <w:p>
      <w:pPr>
        <w:spacing w:line="360" w:lineRule="auto"/>
        <w:rPr>
          <w:color w:val="auto"/>
          <w:highlight w:val="none"/>
        </w:rPr>
      </w:pPr>
      <w:r>
        <w:rPr>
          <w:rFonts w:hint="eastAsia" w:ascii="宋体" w:hAnsi="宋体"/>
          <w:color w:val="auto"/>
          <w:sz w:val="24"/>
          <w:szCs w:val="24"/>
          <w:highlight w:val="none"/>
          <w:lang w:val="zh-CN"/>
        </w:rPr>
        <w:t xml:space="preserve">投标人全称（加盖公章）：</w:t>
      </w:r>
      <w:r/>
    </w:p>
    <w:p>
      <w:pPr>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项目编号：  </w:t>
      </w:r>
      <w:r/>
    </w:p>
    <w:tbl>
      <w:tblPr>
        <w:tblStyle w:val="982"/>
        <w:tblW w:w="851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8"/>
        <w:gridCol w:w="3569"/>
        <w:gridCol w:w="2342"/>
        <w:gridCol w:w="1967"/>
      </w:tblGrid>
      <w:tr>
        <w:trPr>
          <w:trHeight w:val="6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jc w:val="center"/>
              <w:spacing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69" w:type="dxa"/>
            <w:vAlign w:val="center"/>
            <w:textDirection w:val="lrTb"/>
            <w:noWrap w:val="false"/>
          </w:tcPr>
          <w:p>
            <w:pPr>
              <w:jc w:val="center"/>
              <w:spacing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42" w:type="dxa"/>
            <w:vAlign w:val="center"/>
            <w:textDirection w:val="lrTb"/>
            <w:noWrap w:val="false"/>
          </w:tcPr>
          <w:p>
            <w:pPr>
              <w:jc w:val="center"/>
              <w:spacing w:after="0" w:line="85"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单价报价</w:t>
            </w:r>
            <w:r/>
          </w:p>
          <w:p>
            <w:pPr>
              <w:jc w:val="center"/>
              <w:spacing w:after="0" w:line="85" w:lineRule="atLeast"/>
              <w:rPr>
                <w:rFonts w:hint="default"/>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（元/</w:t>
            </w:r>
            <w:r>
              <w:rPr>
                <w:rFonts w:hint="eastAsia" w:ascii="宋体" w:hAnsi="宋体" w:cs="宋体"/>
                <w:color w:val="auto"/>
                <w:sz w:val="24"/>
                <w:highlight w:val="none"/>
                <w:lang w:val="en-US" w:eastAsia="zh-CN"/>
              </w:rPr>
              <w:t xml:space="preserve">平方米</w:t>
            </w:r>
            <w:r>
              <w:rPr>
                <w:rFonts w:hint="eastAsia" w:ascii="宋体" w:hAnsi="宋体" w:eastAsia="宋体" w:cs="宋体"/>
                <w:color w:val="auto"/>
                <w:sz w:val="24"/>
                <w:highlight w:val="none"/>
                <w:lang w:val="en-US" w:eastAsia="zh-CN"/>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jc w:val="center"/>
              <w:spacing w:after="0" w:line="85" w:lineRule="atLeast"/>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服务期限</w:t>
            </w:r>
            <w:r/>
          </w:p>
        </w:tc>
      </w:tr>
      <w:tr>
        <w:trPr>
          <w:trHeight w:val="10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jc w:val="center"/>
              <w:spacing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9" w:type="dxa"/>
            <w:vAlign w:val="center"/>
            <w:textDirection w:val="lrTb"/>
            <w:noWrap w:val="false"/>
          </w:tcPr>
          <w:p>
            <w:pPr>
              <w:spacing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2" w:type="dxa"/>
            <w:vAlign w:val="center"/>
            <w:textDirection w:val="lrTb"/>
            <w:noWrap w:val="false"/>
          </w:tcPr>
          <w:p>
            <w:pPr>
              <w:spacing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spacing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6" w:type="dxa"/>
            <w:vAlign w:val="bottom"/>
            <w:textDirection w:val="lrTb"/>
            <w:noWrap w:val="false"/>
          </w:tcPr>
          <w:p>
            <w:pPr>
              <w:spacing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投标报价（人民币大写）：</w:t>
            </w:r>
            <w:r>
              <w:rPr>
                <w:rFonts w:ascii="宋体" w:hAnsi="宋体" w:cs="宋体"/>
                <w:color w:val="auto"/>
                <w:sz w:val="24"/>
                <w:highlight w:val="none"/>
                <w:u w:val="single"/>
              </w:rPr>
              <w:t xml:space="preserve">            </w:t>
            </w:r>
            <w:r>
              <w:rPr>
                <w:rFonts w:ascii="宋体" w:hAnsi="宋体" w:cs="宋体"/>
                <w:color w:val="auto"/>
                <w:sz w:val="24"/>
                <w:highlight w:val="none"/>
              </w:rPr>
              <w:t xml:space="preserve">  ￥：</w:t>
            </w:r>
            <w:r>
              <w:rPr>
                <w:rFonts w:ascii="宋体" w:hAnsi="宋体" w:cs="宋体"/>
                <w:color w:val="auto"/>
                <w:sz w:val="24"/>
                <w:highlight w:val="none"/>
                <w:u w:val="single"/>
              </w:rPr>
              <w:t xml:space="preserve">     </w:t>
            </w:r>
            <w:r/>
          </w:p>
        </w:tc>
      </w:tr>
    </w:tbl>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w:t>
      </w:r>
      <w:r>
        <w:rPr>
          <w:rFonts w:ascii="宋体" w:hAnsi="宋体" w:eastAsia="宋体" w:cs="宋体"/>
          <w:color w:val="auto"/>
          <w:sz w:val="24"/>
          <w:szCs w:val="24"/>
          <w:highlight w:val="none"/>
        </w:rPr>
        <w:t xml:space="preserve">各投标单位按单价进行报价，</w:t>
      </w:r>
      <w:r>
        <w:rPr>
          <w:rFonts w:hint="eastAsia" w:ascii="宋体" w:hAnsi="宋体" w:cs="宋体"/>
          <w:color w:val="auto"/>
          <w:sz w:val="24"/>
          <w:szCs w:val="24"/>
          <w:highlight w:val="none"/>
          <w:lang w:val="en-US" w:eastAsia="zh-CN"/>
        </w:rPr>
        <w:t xml:space="preserve">最终</w:t>
      </w:r>
      <w:r>
        <w:rPr>
          <w:rFonts w:ascii="宋体" w:hAnsi="宋体" w:eastAsia="宋体" w:cs="宋体"/>
          <w:color w:val="auto"/>
          <w:sz w:val="24"/>
          <w:szCs w:val="24"/>
          <w:highlight w:val="none"/>
        </w:rPr>
        <w:t xml:space="preserve">按中标单价据实结算；</w:t>
      </w:r>
      <w:r>
        <w:rPr>
          <w:rFonts w:hint="eastAsia" w:asciiTheme="minorEastAsia" w:hAnsiTheme="minorEastAsia" w:eastAsiaTheme="minorEastAsia" w:cstheme="minorEastAsia"/>
          <w:color w:val="auto"/>
          <w:sz w:val="24"/>
          <w:szCs w:val="24"/>
          <w:highlight w:val="none"/>
          <w:lang w:val="en-US" w:eastAsia="zh-CN"/>
        </w:rPr>
        <w:t xml:space="preserve">结算金额达到预算金额总价或合同履行期限到期，任一条件先到，本项目自动终止</w:t>
      </w:r>
      <w:r>
        <w:rPr>
          <w:rFonts w:hint="eastAsia" w:ascii="宋体" w:hAnsi="宋体" w:eastAsia="宋体" w:cs="宋体"/>
          <w:color w:val="auto"/>
          <w:sz w:val="24"/>
          <w:szCs w:val="24"/>
          <w:highlight w:val="none"/>
          <w:lang w:val="en-US" w:eastAsia="zh-CN"/>
        </w:rPr>
        <w:t xml:space="preserve">。</w:t>
      </w:r>
      <w:r/>
    </w:p>
    <w:p>
      <w:pPr>
        <w:spacing w:line="600" w:lineRule="exact"/>
        <w:rPr>
          <w:color w:val="auto"/>
          <w:highlight w:val="none"/>
        </w:rPr>
      </w:pPr>
      <w:r>
        <w:rPr>
          <w:color w:val="auto"/>
          <w:highlight w:val="none"/>
        </w:rPr>
      </w:r>
      <w:r/>
    </w:p>
    <w:p>
      <w:pPr>
        <w:jc w:val="left"/>
        <w:spacing w:line="360" w:lineRule="auto"/>
        <w:rPr>
          <w:color w:val="auto"/>
          <w:highlight w:val="none"/>
        </w:rPr>
      </w:pP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 w:val="24"/>
          <w:szCs w:val="24"/>
          <w:highlight w:val="none"/>
          <w:lang w:val="zh-CN"/>
        </w:rPr>
        <w:t xml:space="preserve">  日期：    年   月   日</w:t>
      </w:r>
      <w:r/>
    </w:p>
    <w:p>
      <w:pPr>
        <w:pStyle w:val="1028"/>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pStyle w:val="1028"/>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rPr>
          <w:rFonts w:hint="eastAsia" w:ascii="宋体" w:hAnsi="宋体"/>
          <w:color w:val="auto"/>
          <w:sz w:val="28"/>
          <w:szCs w:val="28"/>
          <w:highlight w:val="none"/>
        </w:rPr>
      </w:pPr>
      <w:r>
        <w:rPr>
          <w:rFonts w:hint="eastAsia" w:ascii="宋体" w:hAnsi="宋体"/>
          <w:color w:val="auto"/>
          <w:sz w:val="28"/>
          <w:szCs w:val="28"/>
          <w:highlight w:val="none"/>
        </w:rPr>
        <w:br w:type="page" w:clear="all"/>
      </w:r>
      <w:r/>
    </w:p>
    <w:p>
      <w:pPr>
        <w:pStyle w:val="1028"/>
        <w:ind w:firstLine="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、关于投标报价合理性的澄清说明（若涉及）</w:t>
      </w:r>
      <w:r/>
    </w:p>
    <w:p>
      <w:pPr>
        <w:ind w:firstLine="420"/>
        <w:jc w:val="center"/>
        <w:rPr>
          <w:rFonts w:hint="eastAsia" w:ascii="宋体" w:hAnsi="宋体"/>
          <w:b/>
          <w:color w:val="auto"/>
          <w:szCs w:val="21"/>
          <w:highlight w:val="none"/>
        </w:rPr>
      </w:pPr>
      <w:r>
        <w:rPr>
          <w:rFonts w:hint="eastAsia" w:ascii="宋体" w:hAnsi="宋体"/>
          <w:b/>
          <w:color w:val="auto"/>
          <w:szCs w:val="21"/>
          <w:highlight w:val="none"/>
        </w:rPr>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关于投标报价合理性的澄清说明</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苏州时代招投标有限公司</w:t>
      </w:r>
      <w:r>
        <w:rPr>
          <w:rFonts w:ascii="宋体" w:hAnsi="宋体"/>
          <w:color w:val="auto"/>
          <w:sz w:val="24"/>
          <w:szCs w:val="24"/>
          <w:highlight w:val="none"/>
        </w:rPr>
        <w:t xml:space="preserve">：</w:t>
      </w:r>
      <w:r/>
    </w:p>
    <w:p>
      <w:pPr>
        <w:pStyle w:val="963"/>
        <w:ind w:firstLine="420"/>
        <w:spacing w:line="360" w:lineRule="auto"/>
        <w:rPr>
          <w:rFonts w:hint="eastAsia" w:cs="宋体"/>
          <w:color w:val="auto"/>
          <w:sz w:val="24"/>
          <w:szCs w:val="24"/>
          <w:highlight w:val="none"/>
        </w:rPr>
      </w:pPr>
      <w:r>
        <w:rPr>
          <w:color w:val="auto"/>
          <w:sz w:val="24"/>
          <w:szCs w:val="24"/>
          <w:highlight w:val="none"/>
        </w:rPr>
        <w:t xml:space="preserve">本公司愿就由贵</w:t>
      </w:r>
      <w:r>
        <w:rPr>
          <w:rFonts w:hint="eastAsia"/>
          <w:color w:val="auto"/>
          <w:sz w:val="24"/>
          <w:szCs w:val="24"/>
          <w:highlight w:val="none"/>
        </w:rPr>
        <w:t xml:space="preserve">中心</w:t>
      </w:r>
      <w:r>
        <w:rPr>
          <w:color w:val="auto"/>
          <w:sz w:val="24"/>
          <w:szCs w:val="24"/>
          <w:highlight w:val="none"/>
        </w:rPr>
        <w:t xml:space="preserve">组织实施的编号为</w:t>
      </w:r>
      <w:r>
        <w:rPr>
          <w:color w:val="auto"/>
          <w:sz w:val="24"/>
          <w:szCs w:val="24"/>
          <w:highlight w:val="none"/>
          <w:u w:val="single"/>
        </w:rPr>
        <w:t xml:space="preserve">              </w:t>
      </w:r>
      <w:r>
        <w:rPr>
          <w:color w:val="auto"/>
          <w:sz w:val="24"/>
          <w:szCs w:val="24"/>
          <w:highlight w:val="none"/>
        </w:rPr>
        <w:t xml:space="preserve">号（</w:t>
      </w:r>
      <w:r>
        <w:rPr>
          <w:rFonts w:hint="eastAsia"/>
          <w:color w:val="auto"/>
          <w:sz w:val="24"/>
          <w:szCs w:val="24"/>
          <w:highlight w:val="none"/>
        </w:rPr>
        <w:t xml:space="preserve">项目</w:t>
      </w:r>
      <w:r>
        <w:rPr>
          <w:color w:val="auto"/>
          <w:sz w:val="24"/>
          <w:szCs w:val="24"/>
          <w:highlight w:val="none"/>
        </w:rPr>
        <w:t xml:space="preserve">编号）的招标活动进行投标</w:t>
      </w:r>
      <w:r>
        <w:rPr>
          <w:rFonts w:hint="eastAsia"/>
          <w:color w:val="auto"/>
          <w:sz w:val="24"/>
          <w:szCs w:val="24"/>
          <w:highlight w:val="none"/>
        </w:rPr>
        <w:t xml:space="preserve">，对于本公司的投标报价合理性作出说明如下：</w:t>
      </w:r>
      <w:r/>
    </w:p>
    <w:tbl>
      <w:tblPr>
        <w:tblStyle w:val="956"/>
        <w:tblW w:w="82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3"/>
      </w:tblGrid>
      <w:tr>
        <w:trPr>
          <w:trHeight w:val="3280"/>
        </w:trPr>
        <w:tc>
          <w:tcPr>
            <w:tcW w:w="8283" w:type="dxa"/>
            <w:vAlign w:val="center"/>
            <w:textDirection w:val="lrTb"/>
            <w:noWrap w:val="false"/>
          </w:tcPr>
          <w:p>
            <w:pPr>
              <w:keepLines w:val="0"/>
              <w:keepNext w:val="0"/>
              <w:pageBreakBefore w:val="0"/>
              <w:spacing w:after="0" w:line="360" w:lineRule="auto"/>
              <w:widowControl w:val="off"/>
              <w:rPr>
                <w:rFonts w:hint="eastAsia" w:ascii="宋体" w:hAnsi="宋体"/>
                <w:b/>
                <w:color w:val="auto"/>
                <w:sz w:val="24"/>
                <w:szCs w:val="24"/>
                <w:highlight w:val="none"/>
                <w:shd w:val="pct10" w:color="auto" w:fill="ffffff"/>
              </w:rPr>
            </w:pPr>
            <w:r>
              <w:rPr>
                <w:rFonts w:hint="eastAsia" w:ascii="宋体" w:hAnsi="宋体"/>
                <w:b/>
                <w:color w:val="auto"/>
                <w:sz w:val="24"/>
                <w:szCs w:val="24"/>
                <w:highlight w:val="none"/>
              </w:rPr>
              <w:t xml:space="preserve">投标人应当根据实际情况自拟答复并根据评标委员会关于澄清的要求提供相关证明材料作为附件。</w:t>
            </w:r>
            <w:r/>
          </w:p>
        </w:tc>
      </w:tr>
    </w:tbl>
    <w:p>
      <w:pPr>
        <w:spacing w:line="360" w:lineRule="auto"/>
        <w:rPr>
          <w:rFonts w:hint="eastAsia" w:ascii="宋体" w:hAnsi="宋体" w:cs="宋体"/>
          <w:bCs/>
          <w:color w:val="auto"/>
          <w:sz w:val="24"/>
          <w:szCs w:val="24"/>
          <w:highlight w:val="none"/>
        </w:rPr>
      </w:pPr>
      <w:r/>
      <w:bookmarkStart w:id="12" w:name="OLE_LINK23"/>
      <w:r/>
      <w:bookmarkStart w:id="13" w:name="OLE_LINK21"/>
      <w:r/>
      <w:bookmarkStart w:id="14" w:name="OLE_LINK26"/>
      <w:r/>
      <w:bookmarkStart w:id="15" w:name="OLE_LINK24"/>
      <w:r>
        <w:rPr>
          <w:rFonts w:hint="eastAsia" w:ascii="宋体" w:hAnsi="宋体"/>
          <w:bCs/>
          <w:color w:val="auto"/>
          <w:sz w:val="24"/>
          <w:szCs w:val="24"/>
          <w:highlight w:val="none"/>
          <w:lang w:val="zh-CN"/>
        </w:rPr>
        <w:t xml:space="preserve">备注：</w:t>
      </w:r>
      <w:r>
        <w:rPr>
          <w:rFonts w:hint="eastAsia" w:ascii="宋体" w:hAnsi="宋体" w:cs="宋体"/>
          <w:bCs/>
          <w:color w:val="auto"/>
          <w:sz w:val="24"/>
          <w:szCs w:val="24"/>
          <w:highlight w:val="none"/>
          <w:lang w:val="zh-CN"/>
        </w:rPr>
        <w:t xml:space="preserve">根据招标文件第二章“投标人须知”要求，</w:t>
      </w:r>
      <w:r>
        <w:rPr>
          <w:rFonts w:hint="eastAsia" w:ascii="宋体" w:hAnsi="宋体"/>
          <w:bCs/>
          <w:color w:val="auto"/>
          <w:sz w:val="24"/>
          <w:szCs w:val="24"/>
          <w:highlight w:val="none"/>
          <w:lang w:val="zh-CN"/>
        </w:rPr>
        <w:t xml:space="preserve">在评标过程中</w:t>
      </w:r>
      <w:r>
        <w:rPr>
          <w:rFonts w:hint="eastAsia" w:ascii="宋体" w:hAnsi="宋体" w:cs="宋体"/>
          <w:bCs/>
          <w:color w:val="auto"/>
          <w:sz w:val="24"/>
          <w:szCs w:val="24"/>
          <w:highlight w:val="none"/>
          <w:lang w:val="zh-CN"/>
        </w:rPr>
        <w:t xml:space="preserve">当投标报价低于</w:t>
      </w:r>
      <w:r>
        <w:rPr>
          <w:rFonts w:hint="eastAsia" w:ascii="宋体" w:hAnsi="宋体" w:cs="宋体"/>
          <w:color w:val="auto"/>
          <w:sz w:val="24"/>
          <w:szCs w:val="24"/>
          <w:highlight w:val="none"/>
        </w:rPr>
        <w:t xml:space="preserve">全部通过符合性审查供应商投标报价平均值50%或</w:t>
      </w:r>
      <w:r>
        <w:rPr>
          <w:rFonts w:ascii="宋体" w:hAnsi="宋体" w:cs="宋体"/>
          <w:color w:val="auto"/>
          <w:sz w:val="24"/>
          <w:szCs w:val="24"/>
          <w:highlight w:val="none"/>
        </w:rPr>
        <w:t xml:space="preserve">通过符合性审查的次低报价供应商投标报价50%</w:t>
      </w:r>
      <w:r>
        <w:rPr>
          <w:rFonts w:hint="eastAsia" w:ascii="宋体" w:hAnsi="宋体" w:cs="宋体"/>
          <w:bCs/>
          <w:color w:val="auto"/>
          <w:sz w:val="24"/>
          <w:szCs w:val="24"/>
          <w:highlight w:val="none"/>
          <w:lang w:val="zh-CN"/>
        </w:rPr>
        <w:t xml:space="preserve">的或者投标报价低于采购项目最高限价45%的或者评标委员会认定的供应商报价过低、有可能影响产品质量或者不能诚信履约的其他情形，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r>
        <w:rPr>
          <w:rFonts w:hint="eastAsia" w:ascii="宋体" w:hAnsi="宋体" w:cs="宋体"/>
          <w:bCs/>
          <w:color w:val="auto"/>
          <w:sz w:val="24"/>
          <w:szCs w:val="24"/>
          <w:highlight w:val="none"/>
        </w:rPr>
        <w:t xml:space="preserve">。</w:t>
      </w:r>
      <w:bookmarkEnd w:id="12"/>
      <w:r/>
      <w:bookmarkEnd w:id="13"/>
      <w:r/>
      <w:bookmarkEnd w:id="14"/>
      <w:r/>
      <w:bookmarkEnd w:id="15"/>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投标单位：（单位盖章）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480" w:lineRule="auto"/>
        <w:rPr>
          <w:rFonts w:hint="eastAsia" w:ascii="宋体" w:hAnsi="宋体"/>
          <w:color w:val="auto"/>
          <w:sz w:val="24"/>
          <w:highlight w:val="none"/>
        </w:rPr>
      </w:pPr>
      <w:r>
        <w:rPr>
          <w:rFonts w:hint="eastAsia" w:ascii="宋体" w:hAnsi="宋体"/>
          <w:color w:val="auto"/>
          <w:sz w:val="24"/>
          <w:highlight w:val="none"/>
        </w:rPr>
        <w:t xml:space="preserve">日期：     年     月     日</w:t>
      </w:r>
      <w:r/>
    </w:p>
    <w:p>
      <w:pPr>
        <w:spacing w:line="48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5</w:t>
      </w:r>
      <w:r>
        <w:rPr>
          <w:rFonts w:hint="eastAsia" w:ascii="宋体" w:hAnsi="宋体"/>
          <w:color w:val="auto"/>
          <w:sz w:val="28"/>
          <w:szCs w:val="28"/>
          <w:highlight w:val="none"/>
        </w:rPr>
        <w:t xml:space="preserve">、偏离表</w:t>
      </w:r>
      <w:r/>
    </w:p>
    <w:p>
      <w:pPr>
        <w:jc w:val="center"/>
        <w:spacing w:line="380" w:lineRule="exact"/>
        <w:rPr>
          <w:rFonts w:hint="eastAsia" w:ascii="宋体" w:hAnsi="宋体"/>
          <w:b/>
          <w:color w:val="auto"/>
          <w:sz w:val="24"/>
          <w:highlight w:val="none"/>
        </w:rPr>
      </w:pPr>
      <w:r>
        <w:rPr>
          <w:rFonts w:ascii="宋体" w:hAnsi="宋体"/>
          <w:b/>
          <w:color w:val="auto"/>
          <w:sz w:val="24"/>
          <w:highlight w:val="none"/>
        </w:rPr>
        <w:t xml:space="preserve">偏离表</w:t>
      </w:r>
      <w:r>
        <w:rPr>
          <w:rFonts w:hint="eastAsia" w:ascii="宋体" w:hAnsi="宋体"/>
          <w:b/>
          <w:color w:val="auto"/>
          <w:sz w:val="24"/>
          <w:highlight w:val="none"/>
        </w:rPr>
        <w:t xml:space="preserve">（技术、商务）</w:t>
      </w:r>
      <w:r/>
    </w:p>
    <w:p>
      <w:pPr>
        <w:ind w:left="420" w:firstLine="420"/>
        <w:spacing w:after="120"/>
        <w:rPr>
          <w:color w:val="auto"/>
          <w:highlight w:val="none"/>
        </w:rPr>
      </w:pPr>
      <w:r>
        <w:rPr>
          <w:color w:val="auto"/>
          <w:highlight w:val="none"/>
        </w:rPr>
      </w:r>
      <w:r/>
    </w:p>
    <w:tbl>
      <w:tblPr>
        <w:tblStyle w:val="956"/>
        <w:tblW w:w="8340" w:type="dxa"/>
        <w:tblInd w:w="126" w:type="dxa"/>
        <w:tblLayout w:type="fixed"/>
        <w:tblCellMar>
          <w:left w:w="108" w:type="dxa"/>
          <w:top w:w="0" w:type="dxa"/>
          <w:right w:w="108" w:type="dxa"/>
          <w:bottom w:w="0" w:type="dxa"/>
        </w:tblCellMar>
        <w:tblLook w:val="04A0" w:firstRow="1" w:lastRow="0" w:firstColumn="1" w:lastColumn="0" w:noHBand="0" w:noVBand="1"/>
      </w:tblPr>
      <w:tblGrid>
        <w:gridCol w:w="900"/>
        <w:gridCol w:w="1728"/>
        <w:gridCol w:w="2130"/>
        <w:gridCol w:w="1950"/>
        <w:gridCol w:w="1632"/>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招标要求</w:t>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投标内容</w:t>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偏离说明</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证明材料</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val="false"/>
          </w:tcPr>
          <w:p>
            <w:pPr>
              <w:jc w:val="center"/>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bl>
    <w:p>
      <w:pPr>
        <w:ind w:firstLine="210"/>
        <w:spacing w:line="360" w:lineRule="auto"/>
        <w:rPr>
          <w:rFonts w:hint="eastAsia" w:ascii="宋体" w:hAnsi="宋体"/>
          <w:color w:val="auto"/>
          <w:sz w:val="24"/>
          <w:highlight w:val="none"/>
        </w:rPr>
      </w:pPr>
      <w:r>
        <w:rPr>
          <w:rFonts w:ascii="宋体" w:hAnsi="宋体"/>
          <w:color w:val="auto"/>
          <w:sz w:val="24"/>
          <w:szCs w:val="24"/>
          <w:highlight w:val="none"/>
        </w:rPr>
        <w:t xml:space="preserve">注：供应商</w:t>
      </w:r>
      <w:r>
        <w:rPr>
          <w:rFonts w:hint="eastAsia" w:ascii="宋体" w:hAnsi="宋体"/>
          <w:color w:val="auto"/>
          <w:sz w:val="24"/>
          <w:szCs w:val="24"/>
          <w:highlight w:val="none"/>
        </w:rPr>
        <w:t xml:space="preserve">应在本表中对照招标文件要求逐项对应列出响应内容，并在“偏离说明”项下填写以下内容：优于的，填写“正偏离”；符合的，填写“无偏离”；低于的，填写“负偏离”；未说明偏离的，将被认为响应招标文件的规定。但该表不作为投标人对所投标服务关于商务条款等详细描述和说明的替代。</w:t>
      </w:r>
      <w:r/>
    </w:p>
    <w:p>
      <w:pPr>
        <w:pStyle w:val="1186"/>
        <w:rPr>
          <w:color w:val="auto"/>
          <w:highlight w:val="none"/>
        </w:rPr>
      </w:pPr>
      <w:r>
        <w:rPr>
          <w:color w:val="auto"/>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投标</w:t>
      </w:r>
      <w:r>
        <w:rPr>
          <w:rFonts w:ascii="宋体" w:hAnsi="宋体"/>
          <w:color w:val="auto"/>
          <w:sz w:val="24"/>
          <w:highlight w:val="none"/>
        </w:rPr>
        <w:t xml:space="preserve">单位：（单位盖章）</w:t>
      </w:r>
      <w:r/>
    </w:p>
    <w:p>
      <w:pPr>
        <w:spacing w:line="360" w:lineRule="auto"/>
        <w:rPr>
          <w:rFonts w:hint="eastAsia" w:ascii="宋体" w:hAnsi="宋体"/>
          <w:color w:val="auto"/>
          <w:sz w:val="24"/>
          <w:highlight w:val="none"/>
        </w:rPr>
      </w:pPr>
      <w:r>
        <w:rPr>
          <w:rFonts w:ascii="宋体" w:hAnsi="宋体"/>
          <w:color w:val="auto"/>
          <w:sz w:val="24"/>
          <w:highlight w:val="none"/>
        </w:rPr>
        <w:t xml:space="preserve">法定代表人或代理人：（签字或盖章）</w:t>
      </w:r>
      <w:r/>
    </w:p>
    <w:p>
      <w:pPr>
        <w:spacing w:line="380" w:lineRule="exact"/>
        <w:rPr>
          <w:rFonts w:hint="eastAsia" w:ascii="宋体" w:hAnsi="宋体"/>
          <w:color w:val="auto"/>
          <w:sz w:val="24"/>
          <w:highlight w:val="none"/>
        </w:rPr>
      </w:pPr>
      <w:r>
        <w:rPr>
          <w:rFonts w:hint="eastAsia" w:ascii="宋体" w:hAnsi="宋体"/>
          <w:color w:val="auto"/>
          <w:sz w:val="24"/>
          <w:highlight w:val="none"/>
        </w:rPr>
        <w:t xml:space="preserve">日期：    年    月    日</w:t>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8"/>
          <w:szCs w:val="28"/>
          <w:highlight w:val="none"/>
        </w:rPr>
      </w:pPr>
      <w:r>
        <w:rPr>
          <w:rFonts w:hint="eastAsia" w:ascii="宋体" w:hAnsi="宋体"/>
          <w:color w:val="auto"/>
          <w:sz w:val="28"/>
          <w:szCs w:val="28"/>
          <w:highlight w:val="none"/>
        </w:rPr>
        <w:br w:type="page" w:clear="all"/>
      </w:r>
      <w:r/>
    </w:p>
    <w:p>
      <w:pPr>
        <w:jc w:val="left"/>
        <w:spacing w:line="360" w:lineRule="auto"/>
        <w:rPr>
          <w:rFonts w:hint="eastAsia" w:ascii="宋体" w:hAnsi="宋体" w:cs="宋体"/>
          <w:color w:val="auto"/>
          <w:sz w:val="28"/>
          <w:szCs w:val="28"/>
          <w:highlight w:val="none"/>
        </w:rPr>
      </w:pPr>
      <w:r>
        <w:rPr>
          <w:rFonts w:hint="eastAsia" w:ascii="宋体" w:hAnsi="宋体"/>
          <w:color w:val="auto"/>
          <w:sz w:val="28"/>
          <w:szCs w:val="28"/>
          <w:highlight w:val="none"/>
          <w:lang w:val="en-US" w:eastAsia="zh-CN"/>
        </w:rPr>
        <w:t xml:space="preserve">6</w:t>
      </w:r>
      <w:r>
        <w:rPr>
          <w:rFonts w:hint="eastAsia" w:ascii="宋体" w:hAnsi="宋体"/>
          <w:color w:val="auto"/>
          <w:sz w:val="28"/>
          <w:szCs w:val="28"/>
          <w:highlight w:val="none"/>
        </w:rPr>
        <w:t xml:space="preserve">、</w:t>
      </w:r>
      <w:r>
        <w:rPr>
          <w:rFonts w:hint="eastAsia" w:ascii="宋体" w:hAnsi="宋体" w:cs="宋体"/>
          <w:color w:val="auto"/>
          <w:sz w:val="28"/>
          <w:szCs w:val="28"/>
          <w:highlight w:val="none"/>
        </w:rPr>
        <w:t xml:space="preserve">项目实施方案</w:t>
      </w:r>
      <w:r/>
    </w:p>
    <w:p>
      <w:pPr>
        <w:jc w:val="center"/>
        <w:spacing w:line="380" w:lineRule="exact"/>
        <w:rPr>
          <w:rFonts w:hint="eastAsia" w:ascii="宋体" w:hAnsi="宋体" w:cs="宋体"/>
          <w:color w:val="auto"/>
          <w:sz w:val="24"/>
          <w:szCs w:val="24"/>
          <w:highlight w:val="none"/>
        </w:rPr>
      </w:pPr>
      <w:r>
        <w:rPr>
          <w:rFonts w:hint="eastAsia" w:ascii="宋体" w:hAnsi="宋体"/>
          <w:b/>
          <w:color w:val="auto"/>
          <w:sz w:val="24"/>
          <w:szCs w:val="24"/>
          <w:highlight w:val="none"/>
        </w:rPr>
        <w:t xml:space="preserve"> 实施方案</w:t>
      </w:r>
      <w:r/>
    </w:p>
    <w:p>
      <w:pPr>
        <w:pStyle w:val="1186"/>
        <w:rPr>
          <w:color w:val="auto"/>
          <w:highlight w:val="none"/>
        </w:rPr>
      </w:pPr>
      <w:r>
        <w:rPr>
          <w:color w:val="auto"/>
          <w:highlight w:val="none"/>
        </w:rPr>
      </w:r>
      <w:r/>
    </w:p>
    <w:tbl>
      <w:tblPr>
        <w:tblStyle w:val="956"/>
        <w:tblW w:w="8912" w:type="dxa"/>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12"/>
      </w:tblGrid>
      <w:tr>
        <w:trPr>
          <w:trHeight w:val="1676"/>
        </w:trPr>
        <w:tc>
          <w:tcPr>
            <w:tcW w:w="8912" w:type="dxa"/>
            <w:textDirection w:val="lrTb"/>
            <w:noWrap w:val="false"/>
          </w:tcPr>
          <w:p>
            <w:pPr>
              <w:spacing w:line="240" w:lineRule="auto"/>
              <w:rPr>
                <w:rFonts w:hint="eastAsia" w:ascii="宋体" w:hAnsi="宋体"/>
                <w:color w:val="auto"/>
                <w:sz w:val="24"/>
                <w:highlight w:val="none"/>
              </w:rPr>
            </w:pPr>
            <w:r>
              <w:rPr>
                <w:rFonts w:hint="eastAsia" w:ascii="宋体" w:hAnsi="宋体"/>
                <w:color w:val="auto"/>
                <w:sz w:val="24"/>
                <w:highlight w:val="none"/>
              </w:rPr>
              <w:t xml:space="preserve">提示：</w:t>
            </w:r>
            <w:r/>
          </w:p>
          <w:p>
            <w:pPr>
              <w:spacing w:line="240" w:lineRule="auto"/>
              <w:rPr>
                <w:rFonts w:hint="eastAsia" w:ascii="宋体" w:hAnsi="宋体"/>
                <w:b/>
                <w:bCs/>
                <w:color w:val="auto"/>
                <w:sz w:val="24"/>
                <w:highlight w:val="none"/>
              </w:rPr>
            </w:pPr>
            <w:r>
              <w:rPr>
                <w:rFonts w:hint="eastAsia" w:ascii="宋体" w:hAnsi="宋体"/>
                <w:color w:val="auto"/>
                <w:sz w:val="24"/>
                <w:highlight w:val="none"/>
              </w:rPr>
              <w:t xml:space="preserve">1、投标单位应针对本次采购项目特点编写公司中标后拟采取的详细的服务方案、组织计划，包括人员安排、时间安排等，以及遇重大、紧急事件的应急措施等。</w:t>
            </w:r>
            <w:r/>
          </w:p>
          <w:p>
            <w:pPr>
              <w:spacing w:line="240" w:lineRule="auto"/>
              <w:rPr>
                <w:rFonts w:hint="eastAsia" w:ascii="宋体" w:hAnsi="宋体"/>
                <w:color w:val="auto"/>
                <w:sz w:val="24"/>
                <w:highlight w:val="none"/>
              </w:rPr>
            </w:pPr>
            <w:r>
              <w:rPr>
                <w:rFonts w:hint="eastAsia" w:ascii="宋体" w:hAnsi="宋体"/>
                <w:color w:val="auto"/>
                <w:sz w:val="24"/>
                <w:highlight w:val="none"/>
              </w:rPr>
              <w:t xml:space="preserve">2、投标单位可根据自身情况编写，本页不够可另加页附后。</w:t>
            </w:r>
            <w:r/>
          </w:p>
        </w:tc>
      </w:tr>
      <w:tr>
        <w:trPr>
          <w:trHeight w:val="7541"/>
        </w:trPr>
        <w:tc>
          <w:tcPr>
            <w:tcW w:w="8912" w:type="dxa"/>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40"/>
              <w:spacing w:line="360" w:lineRule="auto"/>
              <w:rPr>
                <w:rFonts w:hint="eastAsia" w:ascii="宋体" w:hAnsi="宋体"/>
                <w:color w:val="auto"/>
                <w:sz w:val="24"/>
                <w:highlight w:val="none"/>
              </w:rPr>
            </w:pPr>
            <w:r>
              <w:rPr>
                <w:rFonts w:hint="eastAsia" w:ascii="宋体" w:hAnsi="宋体"/>
                <w:color w:val="auto"/>
                <w:sz w:val="24"/>
                <w:highlight w:val="none"/>
              </w:rPr>
            </w:r>
            <w:r/>
          </w:p>
        </w:tc>
      </w:tr>
    </w:tbl>
    <w:p>
      <w:pPr>
        <w:pStyle w:val="1193"/>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t xml:space="preserve">投标单位（公章）：</w:t>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法定代表人或代理人：（签字或签章）</w:t>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t xml:space="preserve">日期：    年    月    日</w:t>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7</w:t>
      </w:r>
      <w:r>
        <w:rPr>
          <w:rFonts w:hint="eastAsia" w:ascii="宋体" w:hAnsi="宋体"/>
          <w:color w:val="auto"/>
          <w:sz w:val="28"/>
          <w:szCs w:val="28"/>
          <w:highlight w:val="none"/>
        </w:rPr>
        <w:t xml:space="preserve">、服务人员配备表（如有）</w:t>
      </w:r>
      <w:r/>
    </w:p>
    <w:p>
      <w:pPr>
        <w:jc w:val="center"/>
        <w:spacing w:line="36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项目配备人员表</w:t>
      </w:r>
      <w:r/>
    </w:p>
    <w:tbl>
      <w:tblPr>
        <w:tblStyle w:val="956"/>
        <w:tblW w:w="80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388"/>
        <w:gridCol w:w="1138"/>
        <w:gridCol w:w="1087"/>
        <w:gridCol w:w="825"/>
        <w:gridCol w:w="1282"/>
        <w:gridCol w:w="1549"/>
      </w:tblGrid>
      <w:tr>
        <w:trPr>
          <w:jc w:val="center"/>
          <w:trHeight w:val="760"/>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3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岗位</w:t>
            </w:r>
            <w:r/>
          </w:p>
        </w:tc>
        <w:tc>
          <w:tcPr>
            <w:tcW w:w="11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姓名</w:t>
            </w:r>
            <w:r/>
          </w:p>
        </w:tc>
        <w:tc>
          <w:tcPr>
            <w:tcW w:w="1087"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性别</w:t>
            </w:r>
            <w:r/>
          </w:p>
        </w:tc>
        <w:tc>
          <w:tcPr>
            <w:tcW w:w="8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年龄</w:t>
            </w:r>
            <w:r/>
          </w:p>
        </w:tc>
        <w:tc>
          <w:tcPr>
            <w:tcW w:w="128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职称或专业证书</w:t>
            </w:r>
            <w:r/>
          </w:p>
        </w:tc>
        <w:tc>
          <w:tcPr>
            <w:tcW w:w="1549"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3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87"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8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8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549"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3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87"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8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8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549"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3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87"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8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8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549"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3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87"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8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8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549"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13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87"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8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8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549"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13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87"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8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8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549"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7</w:t>
            </w:r>
            <w:r/>
          </w:p>
        </w:tc>
        <w:tc>
          <w:tcPr>
            <w:tcW w:w="13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87"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8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8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549"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8</w:t>
            </w:r>
            <w:r/>
          </w:p>
        </w:tc>
        <w:tc>
          <w:tcPr>
            <w:tcW w:w="13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87"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8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8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549"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13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87"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8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8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549"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87"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8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8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549"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87"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8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8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549"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87"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8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8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549"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87"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8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8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549"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bl>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注：1）针对完成本项目所配备的人员。</w:t>
      </w:r>
      <w:r/>
    </w:p>
    <w:p>
      <w:pPr>
        <w:ind w:firstLine="420"/>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2）附相关证明材料复印件；</w:t>
      </w:r>
      <w:r/>
    </w:p>
    <w:p>
      <w:pPr>
        <w:ind w:firstLine="420"/>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3）表格不够填写可添加（或自拟）。</w:t>
      </w:r>
      <w:r/>
    </w:p>
    <w:p>
      <w:pPr>
        <w:pStyle w:val="1188"/>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投标单位：（单位盖章）</w:t>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法定代表人或代理人：（签字或盖章）</w:t>
      </w:r>
      <w:r/>
    </w:p>
    <w:p>
      <w:pPr>
        <w:keepLines w:val="0"/>
        <w:keepNext w:val="0"/>
        <w:pageBreakBefore w:val="0"/>
        <w:spacing w:after="0" w:line="360" w:lineRule="auto"/>
        <w:widowControl w:val="off"/>
        <w:rPr>
          <w:rFonts w:hint="eastAsia" w:ascii="宋体" w:hAnsi="宋体"/>
          <w:color w:val="auto"/>
          <w:sz w:val="24"/>
          <w:szCs w:val="24"/>
          <w:highlight w:val="none"/>
        </w:rPr>
      </w:pPr>
      <w:r>
        <w:rPr>
          <w:rFonts w:hint="eastAsia" w:ascii="宋体" w:hAnsi="宋体" w:cs="宋体"/>
          <w:color w:val="auto"/>
          <w:sz w:val="24"/>
          <w:szCs w:val="24"/>
          <w:highlight w:val="none"/>
        </w:rPr>
        <w:t xml:space="preserve">日期：     年     月    日</w:t>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br w:type="page" w:clear="all"/>
      </w:r>
      <w:r>
        <w:rPr>
          <w:rFonts w:hint="eastAsia" w:ascii="宋体" w:hAnsi="宋体"/>
          <w:color w:val="auto"/>
          <w:sz w:val="28"/>
          <w:szCs w:val="28"/>
          <w:highlight w:val="none"/>
          <w:lang w:val="en-US" w:eastAsia="zh-CN"/>
        </w:rPr>
        <w:t xml:space="preserve">8</w:t>
      </w:r>
      <w:r>
        <w:rPr>
          <w:rFonts w:hint="eastAsia" w:ascii="宋体" w:hAnsi="宋体"/>
          <w:color w:val="auto"/>
          <w:sz w:val="28"/>
          <w:szCs w:val="28"/>
          <w:highlight w:val="none"/>
        </w:rPr>
        <w:t xml:space="preserve">、投标单位类似项目业绩一览表（如有）</w:t>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类似项目业绩一览表</w:t>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tbl>
      <w:tblPr>
        <w:tblStyle w:val="956"/>
        <w:tblW w:w="8213" w:type="dxa"/>
        <w:tblInd w:w="-5" w:type="dxa"/>
        <w:tblLayout w:type="fixed"/>
        <w:tblCellMar>
          <w:left w:w="0" w:type="dxa"/>
          <w:top w:w="0" w:type="dxa"/>
          <w:right w:w="0" w:type="dxa"/>
          <w:bottom w:w="0" w:type="dxa"/>
        </w:tblCellMar>
        <w:tblLook w:val="04A0" w:firstRow="1" w:lastRow="0" w:firstColumn="1" w:lastColumn="0" w:noHBand="0" w:noVBand="1"/>
      </w:tblPr>
      <w:tblGrid>
        <w:gridCol w:w="753"/>
        <w:gridCol w:w="1804"/>
        <w:gridCol w:w="1472"/>
        <w:gridCol w:w="1600"/>
        <w:gridCol w:w="1331"/>
        <w:gridCol w:w="1253"/>
      </w:tblGrid>
      <w:tr>
        <w:trPr>
          <w:trHeight w:val="76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项目时间</w:t>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合同金额</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（人民币）</w:t>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032"/>
        <w:ind w:firstLine="420"/>
        <w:rPr>
          <w:color w:val="auto"/>
          <w:highlight w:val="none"/>
        </w:rPr>
      </w:pPr>
      <w:r>
        <w:rPr>
          <w:color w:val="auto"/>
          <w:highlight w:val="none"/>
        </w:rPr>
      </w:r>
      <w:r/>
    </w:p>
    <w:p>
      <w:pPr>
        <w:ind w:firstLine="480"/>
        <w:spacing w:before="25" w:after="25"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投标单位：（单位盖章）</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法定代表人或代理人：（签字或盖章）</w:t>
      </w:r>
      <w:r/>
    </w:p>
    <w:p>
      <w:pPr>
        <w:jc w:val="left"/>
        <w:spacing w:line="360" w:lineRule="auto"/>
        <w:rPr>
          <w:rFonts w:hint="eastAsia" w:ascii="宋体" w:hAnsi="宋体"/>
          <w:color w:val="auto"/>
          <w:sz w:val="24"/>
          <w:highlight w:val="none"/>
        </w:rPr>
      </w:pPr>
      <w:r>
        <w:rPr>
          <w:rFonts w:hint="eastAsia" w:ascii="宋体" w:hAnsi="宋体" w:cs="宋体"/>
          <w:color w:val="auto"/>
          <w:sz w:val="24"/>
          <w:szCs w:val="24"/>
          <w:highlight w:val="none"/>
        </w:rPr>
        <w:t xml:space="preserve">日期：    年     月    日</w:t>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rPr>
          <w:rFonts w:hint="eastAsia" w:ascii="宋体" w:hAnsi="宋体"/>
          <w:color w:val="auto"/>
          <w:sz w:val="28"/>
          <w:szCs w:val="28"/>
          <w:highlight w:val="none"/>
        </w:rPr>
      </w:pPr>
      <w:r>
        <w:rPr>
          <w:rFonts w:hint="eastAsia" w:ascii="宋体" w:hAnsi="宋体"/>
          <w:color w:val="auto"/>
          <w:sz w:val="28"/>
          <w:szCs w:val="28"/>
          <w:highlight w:val="none"/>
        </w:rPr>
        <w:br w:type="page" w:clear="all"/>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9</w:t>
      </w:r>
      <w:r>
        <w:rPr>
          <w:rFonts w:hint="eastAsia" w:ascii="宋体" w:hAnsi="宋体"/>
          <w:color w:val="auto"/>
          <w:sz w:val="28"/>
          <w:szCs w:val="28"/>
          <w:highlight w:val="none"/>
        </w:rPr>
        <w:t xml:space="preserve">、有关资格证明文件</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关于资格文件的声明函</w:t>
      </w:r>
      <w:r/>
    </w:p>
    <w:p>
      <w:pPr>
        <w:ind w:firstLine="420"/>
        <w:jc w:val="center"/>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u w:val="single"/>
        </w:rPr>
        <w:t xml:space="preserve">  苏州时代招投标有限公司  </w:t>
      </w:r>
      <w:r>
        <w:rPr>
          <w:rFonts w:hint="eastAsia" w:ascii="宋体" w:hAnsi="宋体"/>
          <w:color w:val="auto"/>
          <w:sz w:val="24"/>
          <w:highlight w:val="none"/>
        </w:rPr>
        <w:t xml:space="preserve">：</w:t>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本公司愿就由贵公司组织实施的编号为</w:t>
      </w:r>
      <w:r>
        <w:rPr>
          <w:rFonts w:hint="eastAsia" w:ascii="宋体" w:hAnsi="宋体"/>
          <w:color w:val="auto"/>
          <w:sz w:val="24"/>
          <w:highlight w:val="none"/>
          <w:u w:val="single"/>
        </w:rPr>
        <w:t xml:space="preserve">（招标编号）</w:t>
      </w:r>
      <w:r>
        <w:rPr>
          <w:rFonts w:hint="eastAsia" w:ascii="宋体" w:hAnsi="宋体"/>
          <w:color w:val="auto"/>
          <w:sz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ab/>
      </w:r>
      <w:r/>
    </w:p>
    <w:p>
      <w:pPr>
        <w:ind w:firstLine="4260"/>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260"/>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26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投标单位（盖公章）：</w:t>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  法定代表人或被授权人（签字或盖章）：</w:t>
      </w:r>
      <w:r/>
    </w:p>
    <w:p>
      <w:pPr>
        <w:ind w:firstLine="425"/>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                               年 </w:t>
      </w:r>
      <w:r>
        <w:rPr>
          <w:rFonts w:hint="eastAsia" w:ascii="宋体" w:hAnsi="宋体"/>
          <w:color w:val="auto"/>
          <w:sz w:val="24"/>
          <w:highlight w:val="none"/>
        </w:rPr>
        <w:tab/>
      </w:r>
      <w:r>
        <w:rPr>
          <w:rFonts w:hint="eastAsia" w:ascii="宋体" w:hAnsi="宋体"/>
          <w:color w:val="auto"/>
          <w:sz w:val="24"/>
          <w:highlight w:val="none"/>
        </w:rPr>
        <w:t xml:space="preserve">   月   </w:t>
      </w:r>
      <w:r>
        <w:rPr>
          <w:rFonts w:hint="eastAsia" w:ascii="宋体" w:hAnsi="宋体"/>
          <w:color w:val="auto"/>
          <w:sz w:val="24"/>
          <w:highlight w:val="none"/>
        </w:rPr>
        <w:tab/>
      </w:r>
      <w:r>
        <w:rPr>
          <w:rFonts w:hint="eastAsia" w:ascii="宋体" w:hAnsi="宋体"/>
          <w:color w:val="auto"/>
          <w:sz w:val="24"/>
          <w:highlight w:val="none"/>
        </w:rPr>
        <w:t xml:space="preserve">日</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jc w:val="left"/>
        <w:spacing w:line="360" w:lineRule="auto"/>
        <w:rPr>
          <w:rFonts w:hint="eastAsia" w:ascii="宋体" w:hAnsi="宋体"/>
          <w:color w:val="auto"/>
          <w:sz w:val="28"/>
          <w:szCs w:val="28"/>
          <w:highlight w:val="none"/>
        </w:rPr>
      </w:pPr>
      <w:r>
        <w:rPr>
          <w:rFonts w:hint="eastAsia" w:ascii="宋体" w:hAnsi="宋体"/>
          <w:color w:val="auto"/>
          <w:sz w:val="28"/>
          <w:szCs w:val="28"/>
          <w:highlight w:val="none"/>
        </w:rPr>
        <w:br w:type="column"/>
      </w:r>
      <w:r>
        <w:rPr>
          <w:rFonts w:hint="eastAsia" w:ascii="宋体" w:hAnsi="宋体"/>
          <w:color w:val="auto"/>
          <w:sz w:val="28"/>
          <w:szCs w:val="28"/>
          <w:highlight w:val="none"/>
        </w:rPr>
        <w:t xml:space="preserve">1</w:t>
      </w:r>
      <w:r>
        <w:rPr>
          <w:rFonts w:hint="eastAsia" w:ascii="宋体" w:hAnsi="宋体"/>
          <w:color w:val="auto"/>
          <w:sz w:val="28"/>
          <w:szCs w:val="28"/>
          <w:highlight w:val="none"/>
          <w:lang w:val="en-US" w:eastAsia="zh-CN"/>
        </w:rPr>
        <w:t xml:space="preserve">0</w:t>
      </w:r>
      <w:r>
        <w:rPr>
          <w:rFonts w:hint="eastAsia" w:ascii="宋体" w:hAnsi="宋体"/>
          <w:color w:val="auto"/>
          <w:sz w:val="28"/>
          <w:szCs w:val="28"/>
          <w:highlight w:val="none"/>
        </w:rPr>
        <w:t xml:space="preserve">、中小企业声明函</w:t>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中小企业声明函</w:t>
      </w:r>
      <w:r/>
    </w:p>
    <w:p>
      <w:pPr>
        <w:pStyle w:val="1033"/>
        <w:ind w:firstLine="640"/>
        <w:keepLines w:val="0"/>
        <w:keepNext w:val="0"/>
        <w:pageBreakBefore w:val="0"/>
        <w:spacing w:after="0" w:line="360" w:lineRule="auto"/>
        <w:widowControl w:val="off"/>
        <w:rPr>
          <w:rFonts w:hint="eastAsia" w:ascii="宋体" w:hAnsi="宋体"/>
          <w:color w:val="auto"/>
          <w:sz w:val="24"/>
          <w:szCs w:val="24"/>
          <w:highlight w:val="none"/>
        </w:rPr>
      </w:pPr>
      <w:r>
        <w:rPr>
          <w:rFonts w:hint="eastAsia" w:ascii="宋体" w:hAnsi="宋体"/>
          <w:color w:val="auto"/>
          <w:spacing w:val="-2"/>
          <w:sz w:val="24"/>
          <w:szCs w:val="24"/>
          <w:highlight w:val="none"/>
        </w:rPr>
        <w:t xml:space="preserve">本公司</w:t>
      </w:r>
      <w:r>
        <w:rPr>
          <w:rFonts w:hint="eastAsia" w:ascii="宋体" w:hAnsi="宋体"/>
          <w:color w:val="auto"/>
          <w:sz w:val="24"/>
          <w:szCs w:val="24"/>
          <w:highlight w:val="none"/>
        </w:rPr>
        <w:t xml:space="preserve">（联合体</w:t>
      </w:r>
      <w:r>
        <w:rPr>
          <w:rFonts w:hint="eastAsia" w:ascii="宋体" w:hAnsi="宋体"/>
          <w:color w:val="auto"/>
          <w:spacing w:val="-5"/>
          <w:sz w:val="24"/>
          <w:szCs w:val="24"/>
          <w:highlight w:val="none"/>
        </w:rPr>
        <w:t xml:space="preserve">）</w:t>
      </w:r>
      <w:r>
        <w:rPr>
          <w:rFonts w:hint="eastAsia" w:ascii="宋体" w:hAnsi="宋体"/>
          <w:color w:val="auto"/>
          <w:spacing w:val="-2"/>
          <w:sz w:val="24"/>
          <w:szCs w:val="24"/>
          <w:highlight w:val="none"/>
        </w:rPr>
        <w:t xml:space="preserve">郑重声明，根据</w:t>
      </w:r>
      <w:r>
        <w:rPr>
          <w:rFonts w:hint="eastAsia" w:ascii="宋体" w:hAnsi="宋体"/>
          <w:color w:val="auto"/>
          <w:sz w:val="24"/>
          <w:highlight w:val="none"/>
        </w:rPr>
        <w:t xml:space="preserve">《关于印发〈苏州市政府采购促进中小企业发展实施意见〉的通知》（苏财购〔2022〕16号）</w:t>
      </w:r>
      <w:r>
        <w:rPr>
          <w:rFonts w:hint="eastAsia" w:ascii="宋体" w:hAnsi="宋体"/>
          <w:color w:val="auto"/>
          <w:sz w:val="24"/>
          <w:szCs w:val="24"/>
          <w:highlight w:val="none"/>
        </w:rPr>
        <w:t xml:space="preserve">的规定，本公司（联合体）</w:t>
      </w:r>
      <w:r>
        <w:rPr>
          <w:rFonts w:hint="eastAsia" w:ascii="宋体" w:hAnsi="宋体"/>
          <w:color w:val="auto"/>
          <w:spacing w:val="-8"/>
          <w:sz w:val="24"/>
          <w:szCs w:val="24"/>
          <w:highlight w:val="none"/>
        </w:rPr>
        <w:t xml:space="preserve">参</w:t>
      </w:r>
      <w:r>
        <w:rPr>
          <w:rFonts w:hint="eastAsia" w:ascii="宋体" w:hAnsi="宋体"/>
          <w:color w:val="auto"/>
          <w:spacing w:val="-2"/>
          <w:sz w:val="24"/>
          <w:szCs w:val="24"/>
          <w:highlight w:val="none"/>
        </w:rPr>
        <w:t xml:space="preserve">加</w:t>
      </w:r>
      <w:r>
        <w:rPr>
          <w:rFonts w:hint="eastAsia" w:ascii="宋体" w:hAnsi="宋体"/>
          <w:color w:val="auto"/>
          <w:spacing w:val="-2"/>
          <w:sz w:val="24"/>
          <w:szCs w:val="24"/>
          <w:highlight w:val="none"/>
          <w:u w:val="single"/>
        </w:rPr>
        <w:t xml:space="preserve">（单位名称）</w:t>
      </w:r>
      <w:r>
        <w:rPr>
          <w:rFonts w:hint="eastAsia" w:ascii="宋体" w:hAnsi="宋体"/>
          <w:color w:val="auto"/>
          <w:spacing w:val="-2"/>
          <w:sz w:val="24"/>
          <w:szCs w:val="24"/>
          <w:highlight w:val="none"/>
        </w:rPr>
        <w:t xml:space="preserve">的</w:t>
      </w:r>
      <w:r>
        <w:rPr>
          <w:rFonts w:hint="eastAsia" w:ascii="宋体" w:hAnsi="宋体"/>
          <w:color w:val="auto"/>
          <w:spacing w:val="-2"/>
          <w:sz w:val="24"/>
          <w:szCs w:val="24"/>
          <w:highlight w:val="none"/>
          <w:u w:val="single"/>
        </w:rPr>
        <w:t xml:space="preserve">（项目名称）</w:t>
      </w:r>
      <w:r>
        <w:rPr>
          <w:rFonts w:hint="eastAsia" w:ascii="宋体" w:hAnsi="宋体"/>
          <w:color w:val="auto"/>
          <w:spacing w:val="-2"/>
          <w:sz w:val="24"/>
          <w:szCs w:val="24"/>
          <w:highlight w:val="none"/>
        </w:rPr>
        <w:t xml:space="preserve">采购活</w:t>
      </w:r>
      <w:r>
        <w:rPr>
          <w:rFonts w:hint="eastAsia" w:ascii="宋体" w:hAnsi="宋体"/>
          <w:color w:val="auto"/>
          <w:spacing w:val="-1"/>
          <w:sz w:val="24"/>
          <w:szCs w:val="24"/>
          <w:highlight w:val="none"/>
        </w:rPr>
        <w:t xml:space="preserve">动，</w:t>
      </w:r>
      <w:r>
        <w:rPr>
          <w:rFonts w:hint="eastAsia" w:ascii="宋体" w:hAnsi="宋体"/>
          <w:color w:val="auto"/>
          <w:spacing w:val="-2"/>
          <w:sz w:val="24"/>
          <w:szCs w:val="24"/>
          <w:highlight w:val="none"/>
        </w:rPr>
        <w:t xml:space="preserve">服务全部由符合政策要求的中小企业制造。相关企业（含联合体中的中小企业、签订分包</w:t>
      </w:r>
      <w:r>
        <w:rPr>
          <w:rFonts w:hint="eastAsia" w:ascii="宋体" w:hAnsi="宋体"/>
          <w:color w:val="auto"/>
          <w:sz w:val="24"/>
          <w:szCs w:val="24"/>
          <w:highlight w:val="none"/>
        </w:rPr>
        <w:t xml:space="preserve">意向协议的中小企业） 的具体情况如下：</w:t>
      </w:r>
      <w:r/>
    </w:p>
    <w:p>
      <w:pPr>
        <w:ind w:firstLine="480"/>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u w:val="single"/>
        </w:rPr>
        <w:t xml:space="preserve">（标的名称）</w:t>
      </w:r>
      <w:r>
        <w:rPr>
          <w:rFonts w:ascii="宋体" w:hAnsi="宋体" w:cs="宋体"/>
          <w:color w:val="auto"/>
          <w:sz w:val="24"/>
          <w:szCs w:val="24"/>
          <w:highlight w:val="none"/>
        </w:rPr>
        <w:t xml:space="preserve">，属于</w:t>
      </w:r>
      <w:r>
        <w:rPr>
          <w:rFonts w:ascii="宋体" w:hAnsi="宋体" w:cs="宋体"/>
          <w:color w:val="auto"/>
          <w:sz w:val="24"/>
          <w:szCs w:val="24"/>
          <w:highlight w:val="none"/>
          <w:u w:val="single"/>
        </w:rPr>
        <w:t xml:space="preserve">（采购文件中明确的所属行业）</w:t>
      </w:r>
      <w:r>
        <w:rPr>
          <w:rFonts w:ascii="宋体" w:hAnsi="宋体" w:cs="宋体"/>
          <w:color w:val="auto"/>
          <w:sz w:val="24"/>
          <w:szCs w:val="24"/>
          <w:highlight w:val="none"/>
        </w:rPr>
        <w:t xml:space="preserve">；承建（承接）企业为</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（企业名称）</w:t>
      </w:r>
      <w:r>
        <w:rPr>
          <w:rFonts w:ascii="宋体" w:hAnsi="宋体" w:cs="宋体"/>
          <w:color w:val="auto"/>
          <w:sz w:val="24"/>
          <w:szCs w:val="24"/>
          <w:highlight w:val="none"/>
        </w:rPr>
        <w:t xml:space="preserve">，从业人员</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人，营业收入为</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万元，资产总额为</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（中型企业、小型企业、微型企业）</w:t>
      </w:r>
      <w:r>
        <w:rPr>
          <w:rFonts w:ascii="宋体" w:hAnsi="宋体" w:cs="宋体"/>
          <w:color w:val="auto"/>
          <w:sz w:val="24"/>
          <w:szCs w:val="24"/>
          <w:highlight w:val="none"/>
        </w:rPr>
        <w:t xml:space="preserve">； </w:t>
      </w:r>
      <w:r/>
    </w:p>
    <w:p>
      <w:pPr>
        <w:pStyle w:val="1033"/>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u w:val="single"/>
        </w:rPr>
        <w:t xml:space="preserve">（标的名称）</w:t>
      </w:r>
      <w:r>
        <w:rPr>
          <w:rFonts w:ascii="宋体" w:hAnsi="宋体" w:cs="宋体"/>
          <w:color w:val="auto"/>
          <w:sz w:val="24"/>
          <w:szCs w:val="24"/>
          <w:highlight w:val="none"/>
        </w:rPr>
        <w:t xml:space="preserve">，属于</w:t>
      </w:r>
      <w:r>
        <w:rPr>
          <w:rFonts w:ascii="宋体" w:hAnsi="宋体" w:cs="宋体"/>
          <w:color w:val="auto"/>
          <w:sz w:val="24"/>
          <w:szCs w:val="24"/>
          <w:highlight w:val="none"/>
          <w:u w:val="single"/>
        </w:rPr>
        <w:t xml:space="preserve">（采购文件中明确的所属行业）</w:t>
      </w:r>
      <w:r>
        <w:rPr>
          <w:rFonts w:ascii="宋体" w:hAnsi="宋体" w:cs="宋体"/>
          <w:color w:val="auto"/>
          <w:sz w:val="24"/>
          <w:szCs w:val="24"/>
          <w:highlight w:val="none"/>
        </w:rPr>
        <w:t xml:space="preserve">； 承建（承接）企业为</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（企业名称）</w:t>
      </w:r>
      <w:r>
        <w:rPr>
          <w:rFonts w:ascii="宋体" w:hAnsi="宋体" w:cs="宋体"/>
          <w:color w:val="auto"/>
          <w:sz w:val="24"/>
          <w:szCs w:val="24"/>
          <w:highlight w:val="none"/>
        </w:rPr>
        <w:t xml:space="preserve">，从业人员</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人，营业收入为</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万元，资产总额为</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（中型企业、小型企业、微型企业）</w:t>
      </w:r>
      <w:r>
        <w:rPr>
          <w:rFonts w:ascii="宋体" w:hAnsi="宋体" w:cs="宋体"/>
          <w:color w:val="auto"/>
          <w:sz w:val="24"/>
          <w:szCs w:val="24"/>
          <w:highlight w:val="none"/>
        </w:rPr>
        <w:t xml:space="preserve">； </w:t>
      </w:r>
      <w:r/>
    </w:p>
    <w:p>
      <w:pPr>
        <w:pStyle w:val="1033"/>
        <w:ind w:firstLine="472"/>
        <w:keepLines w:val="0"/>
        <w:keepNext w:val="0"/>
        <w:pageBreakBefore w:val="0"/>
        <w:spacing w:after="0" w:line="360" w:lineRule="auto"/>
        <w:widowControl w:val="off"/>
        <w:rPr>
          <w:rFonts w:hint="eastAsia" w:ascii="宋体" w:hAnsi="宋体"/>
          <w:color w:val="auto"/>
          <w:spacing w:val="-2"/>
          <w:sz w:val="24"/>
          <w:szCs w:val="24"/>
          <w:highlight w:val="none"/>
        </w:rPr>
      </w:pPr>
      <w:r>
        <w:rPr>
          <w:rFonts w:hint="eastAsia" w:ascii="宋体" w:hAnsi="宋体"/>
          <w:color w:val="auto"/>
          <w:spacing w:val="-2"/>
          <w:sz w:val="24"/>
          <w:szCs w:val="24"/>
          <w:highlight w:val="none"/>
        </w:rPr>
        <w:t xml:space="preserve">  ……</w:t>
      </w:r>
      <w:r/>
    </w:p>
    <w:p>
      <w:pPr>
        <w:pStyle w:val="1033"/>
        <w:ind w:firstLine="645"/>
        <w:keepLines w:val="0"/>
        <w:keepNext w:val="0"/>
        <w:pageBreakBefore w:val="0"/>
        <w:spacing w:after="0" w:line="360" w:lineRule="auto"/>
        <w:widowControl w:val="off"/>
        <w:rPr>
          <w:rFonts w:hint="eastAsia" w:ascii="宋体" w:hAnsi="宋体"/>
          <w:color w:val="auto"/>
          <w:sz w:val="24"/>
          <w:szCs w:val="24"/>
          <w:highlight w:val="none"/>
        </w:rPr>
      </w:pPr>
      <w:r>
        <w:rPr>
          <w:rFonts w:hint="eastAsia" w:ascii="宋体" w:hAnsi="宋体"/>
          <w:color w:val="auto"/>
          <w:spacing w:val="-3"/>
          <w:sz w:val="24"/>
          <w:szCs w:val="24"/>
          <w:highlight w:val="none"/>
        </w:rPr>
        <w:t xml:space="preserve">以上企业，不属于大企业的分支机构，不存在控股股东</w:t>
      </w:r>
      <w:r>
        <w:rPr>
          <w:rFonts w:hint="eastAsia" w:ascii="宋体" w:hAnsi="宋体"/>
          <w:color w:val="auto"/>
          <w:spacing w:val="-5"/>
          <w:sz w:val="24"/>
          <w:szCs w:val="24"/>
          <w:highlight w:val="none"/>
        </w:rPr>
        <w:t xml:space="preserve">为大企业的情形，也不存在与大企业的负责人为同一人的情形。</w:t>
      </w:r>
      <w:r/>
    </w:p>
    <w:p>
      <w:pPr>
        <w:pStyle w:val="1033"/>
        <w:ind w:firstLine="645"/>
        <w:keepLines w:val="0"/>
        <w:keepNext w:val="0"/>
        <w:pageBreakBefore w:val="0"/>
        <w:spacing w:after="0"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rPr>
          <w:rFonts w:ascii="宋体" w:hAnsi="宋体" w:cs="宋体"/>
          <w:color w:val="auto"/>
          <w:sz w:val="24"/>
          <w:szCs w:val="24"/>
          <w:highlight w:val="none"/>
        </w:rPr>
        <w:t xml:space="preserve">。</w:t>
      </w:r>
      <w:r/>
    </w:p>
    <w:p>
      <w:pPr>
        <w:jc w:val="right"/>
        <w:keepLines w:val="0"/>
        <w:keepNext w:val="0"/>
        <w:pageBreakBefore w:val="0"/>
        <w:spacing w:after="0"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投标单位：（盖章）</w:t>
      </w:r>
      <w:r/>
    </w:p>
    <w:p>
      <w:pPr>
        <w:jc w:val="center"/>
        <w:keepLines w:val="0"/>
        <w:keepNext w:val="0"/>
        <w:pageBreakBefore w:val="0"/>
        <w:spacing w:after="0"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                                                    日    期：</w:t>
      </w:r>
      <w:r/>
    </w:p>
    <w:p>
      <w:pPr>
        <w:jc w:val="left"/>
        <w:keepLines w:val="0"/>
        <w:pageBreakBefore w:val="0"/>
        <w:spacing w:after="0" w:line="360" w:lineRule="exact"/>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备注：1.从业人员、营业收入、资产总额填报上一年度数据，无上一年度数据的新成立企业可不填报。</w:t>
      </w:r>
      <w:r/>
    </w:p>
    <w:p>
      <w:pPr>
        <w:ind w:firstLine="720"/>
        <w:jc w:val="left"/>
        <w:keepLines w:val="0"/>
        <w:pageBreakBefore w:val="0"/>
        <w:spacing w:after="0" w:line="360" w:lineRule="exact"/>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2.在服务采购项目中，服务由中小企业承接，即提供服务的人员为中小企业依照《中华人民共和国劳动合同法》订立劳动合同的从业人员。服务类项目中供应商若使用退休人员，将不享受相应扶持政策。</w:t>
      </w:r>
      <w:r/>
    </w:p>
    <w:p>
      <w:pPr>
        <w:pStyle w:val="1190"/>
        <w:ind w:firstLine="600"/>
        <w:keepLines w:val="0"/>
        <w:pageBreakBefore w:val="0"/>
        <w:spacing w:after="0" w:line="360" w:lineRule="exact"/>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3.《中小企业声明函》中所填的行业应与本采购标的对应的中小企业划分标准所属行业一致，不一致的不可享受相应政策优惠。本采购标的对应的中小企业划分标准所属行业，以招标文件规定为准。</w:t>
      </w:r>
      <w:r/>
    </w:p>
    <w:p>
      <w:pPr>
        <w:pStyle w:val="1190"/>
        <w:ind w:firstLine="600"/>
        <w:keepLines w:val="0"/>
        <w:pageBreakBefore w:val="0"/>
        <w:spacing w:after="0" w:line="360" w:lineRule="exact"/>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4.如未对（中型企业、小型企业、微型企业）进行勾选，视同非中小微企业，不可享受相应扶持政策。</w:t>
      </w:r>
      <w:r/>
    </w:p>
    <w:p>
      <w:pPr>
        <w:pStyle w:val="1190"/>
        <w:ind w:firstLine="600"/>
        <w:keepLines w:val="0"/>
        <w:pageBreakBefore w:val="0"/>
        <w:spacing w:after="0" w:line="360" w:lineRule="exact"/>
        <w:widowControl w:val="off"/>
        <w:rPr>
          <w:rFonts w:hint="eastAsia" w:ascii="宋体" w:hAnsi="宋体"/>
          <w:b w:val="0"/>
          <w:bCs/>
          <w:color w:val="auto"/>
          <w:sz w:val="24"/>
          <w:szCs w:val="24"/>
          <w:highlight w:val="none"/>
        </w:rPr>
      </w:pPr>
      <w:r>
        <w:rPr>
          <w:rFonts w:hint="eastAsia" w:ascii="宋体" w:hAnsi="宋体" w:cs="宋体"/>
          <w:b w:val="0"/>
          <w:bCs/>
          <w:color w:val="auto"/>
          <w:sz w:val="24"/>
          <w:szCs w:val="24"/>
          <w:highlight w:val="none"/>
        </w:rPr>
        <w:t xml:space="preserve">5.中标单位为中小企业的，《中小企业声明函》将随中标结果同时公告。</w:t>
      </w:r>
      <w:r/>
    </w:p>
    <w:p>
      <w:pPr>
        <w:rPr>
          <w:rFonts w:hint="eastAsia" w:ascii="宋体" w:hAnsi="宋体"/>
          <w:b/>
          <w:color w:val="auto"/>
          <w:sz w:val="24"/>
          <w:szCs w:val="24"/>
          <w:highlight w:val="none"/>
        </w:rPr>
      </w:pPr>
      <w:r>
        <w:rPr>
          <w:rFonts w:hint="eastAsia" w:ascii="宋体" w:hAnsi="宋体"/>
          <w:b/>
          <w:color w:val="auto"/>
          <w:sz w:val="24"/>
          <w:szCs w:val="24"/>
          <w:highlight w:val="none"/>
        </w:rPr>
        <w:br w:type="page" w:clear="all"/>
      </w:r>
      <w:r/>
    </w:p>
    <w:p>
      <w:pPr>
        <w:spacing w:line="3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附：中小企业划型标准规定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（一）农、林、牧、渔业。</w:t>
      </w:r>
      <w:r>
        <w:rPr>
          <w:rFonts w:hint="eastAsia" w:ascii="宋体" w:hAnsi="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（二）工业。</w:t>
      </w:r>
      <w:r>
        <w:rPr>
          <w:rFonts w:hint="eastAsia" w:ascii="宋体" w:hAnsi="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（三）建筑业。</w:t>
      </w:r>
      <w:r>
        <w:rPr>
          <w:rFonts w:hint="eastAsia" w:ascii="宋体" w:hAnsi="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（四）批发业。</w:t>
      </w:r>
      <w:r>
        <w:rPr>
          <w:rFonts w:hint="eastAsia" w:ascii="宋体" w:hAnsi="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（五）零售业。</w:t>
      </w:r>
      <w:r>
        <w:rPr>
          <w:rFonts w:hint="eastAsia" w:ascii="宋体" w:hAnsi="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（六）交通运输业。</w:t>
      </w:r>
      <w:r>
        <w:rPr>
          <w:rFonts w:hint="eastAsia" w:ascii="宋体" w:hAnsi="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（七）仓储业。</w:t>
      </w:r>
      <w:r>
        <w:rPr>
          <w:rFonts w:hint="eastAsia" w:ascii="宋体" w:hAnsi="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（八）邮政业。</w:t>
      </w:r>
      <w:r>
        <w:rPr>
          <w:rFonts w:hint="eastAsia" w:ascii="宋体" w:hAnsi="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（九）住宿业。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（十）餐饮业。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（十一）</w:t>
      </w:r>
      <w:r>
        <w:rPr>
          <w:rFonts w:hint="eastAsia" w:ascii="宋体" w:hAnsi="宋体"/>
          <w:b/>
          <w:color w:val="auto"/>
          <w:sz w:val="24"/>
          <w:szCs w:val="24"/>
          <w:highlight w:val="none"/>
          <w:lang w:val="en-US" w:eastAsia="zh-CN"/>
        </w:rPr>
        <w:t xml:space="preserve">信息传输</w:t>
      </w:r>
      <w:r>
        <w:rPr>
          <w:rFonts w:hint="eastAsia" w:ascii="宋体" w:hAnsi="宋体"/>
          <w:b/>
          <w:color w:val="auto"/>
          <w:sz w:val="24"/>
          <w:szCs w:val="24"/>
          <w:highlight w:val="none"/>
          <w:lang w:eastAsia="zh-CN"/>
        </w:rPr>
        <w:t xml:space="preserve">业</w:t>
      </w:r>
      <w:r>
        <w:rPr>
          <w:rFonts w:hint="eastAsia" w:ascii="宋体" w:hAnsi="宋体"/>
          <w:b/>
          <w:color w:val="auto"/>
          <w:sz w:val="24"/>
          <w:szCs w:val="24"/>
          <w:highlight w:val="none"/>
        </w:rPr>
        <w:t xml:space="preserve">。</w:t>
      </w:r>
      <w:r>
        <w:rPr>
          <w:rFonts w:hint="eastAsia" w:ascii="宋体" w:hAnsi="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（十二）软件和信息技术服务业。</w:t>
      </w:r>
      <w:r>
        <w:rPr>
          <w:rFonts w:hint="eastAsia" w:ascii="宋体" w:hAnsi="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（十三）房地产开发经营。</w:t>
      </w:r>
      <w:r>
        <w:rPr>
          <w:rFonts w:hint="eastAsia" w:ascii="宋体" w:hAnsi="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（十四）物业管理。</w:t>
      </w:r>
      <w:r>
        <w:rPr>
          <w:rFonts w:hint="eastAsia" w:ascii="宋体" w:hAnsi="宋体"/>
          <w:color w:val="auto"/>
          <w:sz w:val="24"/>
          <w:szCs w:val="24"/>
          <w:highlight w:val="none"/>
        </w:rPr>
        <w:t xml:space="preserve">从业人员1000人以下或营业收入5000万元以下的为中小微型企业。其中，从业人员</w:t>
      </w:r>
      <w:r/>
    </w:p>
    <w:p>
      <w:pPr>
        <w:spacing w:line="276" w:lineRule="auto"/>
        <w:rPr>
          <w:rFonts w:hint="eastAsia" w:ascii="宋体" w:hAnsi="宋体"/>
          <w:color w:val="auto"/>
          <w:sz w:val="24"/>
          <w:szCs w:val="24"/>
          <w:highlight w:val="none"/>
        </w:rPr>
      </w:pPr>
      <w:r>
        <w:rPr>
          <w:rFonts w:hint="eastAsia" w:ascii="宋体" w:hAnsi="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（十五）租赁和商务服务业。</w:t>
      </w:r>
      <w:r>
        <w:rPr>
          <w:rFonts w:hint="eastAsia" w:ascii="宋体" w:hAnsi="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76" w:lineRule="auto"/>
        <w:rPr>
          <w:rFonts w:hint="eastAsia" w:ascii="宋体" w:hAnsi="宋体"/>
          <w:bCs/>
          <w:color w:val="auto"/>
          <w:sz w:val="52"/>
          <w:szCs w:val="52"/>
          <w:highlight w:val="none"/>
        </w:rPr>
      </w:pPr>
      <w:r>
        <w:rPr>
          <w:rFonts w:hint="eastAsia" w:ascii="宋体" w:hAnsi="宋体"/>
          <w:b/>
          <w:color w:val="auto"/>
          <w:sz w:val="24"/>
          <w:szCs w:val="24"/>
          <w:highlight w:val="none"/>
        </w:rPr>
        <w:t xml:space="preserve">（十六）其他未列明行业。</w:t>
      </w:r>
      <w:r>
        <w:rPr>
          <w:rFonts w:hint="eastAsia" w:ascii="宋体" w:hAnsi="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br w:type="page" w:clear="all"/>
      </w:r>
      <w:r>
        <w:rPr>
          <w:rFonts w:hint="eastAsia" w:ascii="宋体" w:hAnsi="宋体"/>
          <w:color w:val="auto"/>
          <w:sz w:val="28"/>
          <w:szCs w:val="28"/>
          <w:highlight w:val="none"/>
          <w:lang w:val="en-US" w:eastAsia="zh-CN"/>
        </w:rPr>
        <w:t xml:space="preserve">11</w:t>
      </w:r>
      <w:r>
        <w:rPr>
          <w:rFonts w:hint="eastAsia" w:ascii="宋体" w:hAnsi="宋体"/>
          <w:color w:val="auto"/>
          <w:sz w:val="28"/>
          <w:szCs w:val="28"/>
          <w:highlight w:val="none"/>
        </w:rPr>
        <w:t xml:space="preserve">、残疾人福利性单位声明函</w:t>
      </w:r>
      <w:r/>
    </w:p>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残疾人福利性单位声明函</w:t>
      </w:r>
      <w:r/>
    </w:p>
    <w:p>
      <w:pPr>
        <w:ind w:firstLine="480"/>
        <w:keepLines w:val="0"/>
        <w:keepNext w:val="0"/>
        <w:pageBreakBefore w:val="0"/>
        <w:spacing w:after="0"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auto"/>
          <w:sz w:val="24"/>
          <w:szCs w:val="24"/>
          <w:highlight w:val="none"/>
          <w:u w:val="single"/>
        </w:rPr>
        <w:t xml:space="preserve">苏州时代招投标有限公司</w:t>
      </w:r>
      <w:r>
        <w:rPr>
          <w:rFonts w:hint="eastAsia" w:ascii="宋体" w:hAnsi="宋体"/>
          <w:color w:val="auto"/>
          <w:sz w:val="24"/>
          <w:szCs w:val="24"/>
          <w:highlight w:val="none"/>
        </w:rPr>
        <w:t xml:space="preserve">单位的</w:t>
      </w:r>
      <w:r>
        <w:rPr>
          <w:rFonts w:hint="eastAsia" w:ascii="宋体" w:hAnsi="宋体"/>
          <w:color w:val="auto"/>
          <w:sz w:val="24"/>
          <w:szCs w:val="24"/>
          <w:highlight w:val="none"/>
          <w:u w:val="single"/>
        </w:rPr>
        <w:t xml:space="preserve">（采购编号及项目名称）</w:t>
      </w:r>
      <w:r>
        <w:rPr>
          <w:rFonts w:hint="eastAsia" w:ascii="宋体" w:hAnsi="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after="0"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本单位对上述声明的真实性负责。如有虚假，将依法承担相应责任。</w:t>
      </w:r>
      <w:r/>
    </w:p>
    <w:p>
      <w:pPr>
        <w:keepLines w:val="0"/>
        <w:keepNext w:val="0"/>
        <w:pageBreakBefore w:val="0"/>
        <w:spacing w:after="0"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keepLines w:val="0"/>
        <w:keepNext w:val="0"/>
        <w:pageBreakBefore w:val="0"/>
        <w:spacing w:after="0"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                                        单位名称（盖章）：</w:t>
      </w:r>
      <w:r/>
    </w:p>
    <w:p>
      <w:pPr>
        <w:jc w:val="center"/>
        <w:keepLines w:val="0"/>
        <w:keepNext w:val="0"/>
        <w:pageBreakBefore w:val="0"/>
        <w:spacing w:after="0" w:line="360" w:lineRule="auto"/>
        <w:widowControl w:val="off"/>
        <w:rPr>
          <w:rFonts w:hint="eastAsia" w:ascii="宋体" w:hAnsi="宋体" w:cs="宋体"/>
          <w:bCs/>
          <w:color w:val="auto"/>
          <w:sz w:val="24"/>
          <w:szCs w:val="24"/>
          <w:highlight w:val="none"/>
        </w:rPr>
        <w:outlineLvl w:val="0"/>
      </w:pPr>
      <w:r>
        <w:rPr>
          <w:rFonts w:hint="eastAsia" w:ascii="宋体" w:hAnsi="宋体"/>
          <w:color w:val="auto"/>
          <w:sz w:val="24"/>
          <w:szCs w:val="24"/>
          <w:highlight w:val="none"/>
        </w:rPr>
        <w:t xml:space="preserve">                                      日  期：</w:t>
      </w:r>
      <w:r/>
    </w:p>
    <w:p>
      <w:pPr>
        <w:pStyle w:val="1186"/>
        <w:ind w:left="0" w:firstLine="0"/>
        <w:keepLines w:val="0"/>
        <w:keepNext w:val="0"/>
        <w:pageBreakBefore w:val="0"/>
        <w:spacing w:after="0" w:line="380" w:lineRule="exact"/>
        <w:widowControl w:val="off"/>
        <w:rPr>
          <w:rFonts w:hint="eastAsia" w:ascii="宋体" w:hAnsi="宋体" w:cs="Arial"/>
          <w:bCs/>
          <w:color w:val="auto"/>
          <w:sz w:val="24"/>
          <w:szCs w:val="24"/>
          <w:highlight w:val="none"/>
          <w:shd w:val="clear" w:color="auto" w:fill="ffffff"/>
        </w:rPr>
      </w:pPr>
      <w:r>
        <w:rPr>
          <w:rFonts w:hint="eastAsia" w:ascii="宋体" w:hAnsi="宋体"/>
          <w:bCs/>
          <w:color w:val="auto"/>
          <w:sz w:val="24"/>
          <w:szCs w:val="24"/>
          <w:highlight w:val="none"/>
          <w:lang w:val="zh-CN"/>
        </w:rPr>
        <w:t xml:space="preserve">备注：1.</w:t>
      </w:r>
      <w:r>
        <w:rPr>
          <w:rFonts w:hint="eastAsia" w:ascii="宋体" w:hAnsi="宋体" w:cs="Arial"/>
          <w:bCs/>
          <w:color w:val="auto"/>
          <w:sz w:val="24"/>
          <w:szCs w:val="24"/>
          <w:highlight w:val="none"/>
          <w:shd w:val="clear" w:color="auto" w:fill="ffffff"/>
        </w:rPr>
        <w:t xml:space="preserve">享受政府采购支持政策的残疾人福利性单位应当同时满足以下条件：</w:t>
      </w:r>
      <w:r/>
    </w:p>
    <w:p>
      <w:pPr>
        <w:pStyle w:val="1186"/>
        <w:ind w:left="0" w:firstLine="400"/>
        <w:keepLines w:val="0"/>
        <w:keepNext w:val="0"/>
        <w:pageBreakBefore w:val="0"/>
        <w:spacing w:after="0" w:line="380" w:lineRule="exact"/>
        <w:widowControl w:val="off"/>
        <w:rPr>
          <w:rFonts w:hint="eastAsia" w:ascii="宋体" w:hAnsi="宋体" w:cs="Arial"/>
          <w:bCs/>
          <w:color w:val="auto"/>
          <w:sz w:val="24"/>
          <w:szCs w:val="24"/>
          <w:highlight w:val="none"/>
          <w:shd w:val="clear" w:color="auto" w:fill="ffffff"/>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1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①</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安置的残疾人占本单位在职职工人数的比例不低于25%（含25%），并且安置的残疾人人数不少于10人（含10人）；</w:t>
      </w:r>
      <w:r/>
    </w:p>
    <w:p>
      <w:pPr>
        <w:pStyle w:val="1186"/>
        <w:ind w:left="0" w:firstLine="400"/>
        <w:keepLines w:val="0"/>
        <w:keepNext w:val="0"/>
        <w:pageBreakBefore w:val="0"/>
        <w:spacing w:after="0" w:line="38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2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②</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依法与安置的每位残疾人签订了一年以上（含一年）的劳动合同或服务协议；</w:t>
      </w:r>
      <w:r/>
    </w:p>
    <w:p>
      <w:pPr>
        <w:pStyle w:val="1186"/>
        <w:ind w:left="0" w:firstLine="400"/>
        <w:keepLines w:val="0"/>
        <w:keepNext w:val="0"/>
        <w:pageBreakBefore w:val="0"/>
        <w:spacing w:after="0" w:line="38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3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③</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为安置的每位残疾人按月足额缴纳了基本养老保险、基本医疗保险、失业保险、工伤保险和生育保险等社会保险费；</w:t>
      </w:r>
      <w:r/>
    </w:p>
    <w:p>
      <w:pPr>
        <w:pStyle w:val="1186"/>
        <w:ind w:left="0" w:firstLine="400"/>
        <w:keepLines w:val="0"/>
        <w:keepNext w:val="0"/>
        <w:pageBreakBefore w:val="0"/>
        <w:spacing w:after="0" w:line="38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4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④</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通过银行等金融机构向安置的每位残疾人，按月支付了不低于单位所在区县适用的经省级人民政府批准的月最低工资标准的工资；</w:t>
      </w:r>
      <w:r/>
    </w:p>
    <w:p>
      <w:pPr>
        <w:pStyle w:val="1186"/>
        <w:ind w:left="0" w:firstLine="400"/>
        <w:keepLines w:val="0"/>
        <w:keepNext w:val="0"/>
        <w:pageBreakBefore w:val="0"/>
        <w:spacing w:after="0" w:line="38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5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⑤</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1186"/>
        <w:ind w:left="0" w:firstLine="400"/>
        <w:keepLines w:val="0"/>
        <w:keepNext w:val="0"/>
        <w:pageBreakBefore w:val="0"/>
        <w:spacing w:after="0" w:line="38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186"/>
        <w:ind w:left="0" w:firstLine="402"/>
        <w:keepLines w:val="0"/>
        <w:keepNext w:val="0"/>
        <w:pageBreakBefore w:val="0"/>
        <w:spacing w:after="0" w:line="38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2.中标单位为残疾人福利性单位的，《残疾人福利性单位声明函》将随中标结果同时公告。</w:t>
      </w:r>
      <w:r/>
    </w:p>
    <w:p>
      <w:pPr>
        <w:pStyle w:val="1186"/>
        <w:ind w:left="0" w:firstLine="402"/>
        <w:keepLines w:val="0"/>
        <w:keepNext w:val="0"/>
        <w:pageBreakBefore w:val="0"/>
        <w:spacing w:after="0" w:line="38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3.供应商提供的《残疾人福利性单位声明函》与事实不符的，依照《中华人民共和国政府采购法》第七十七条第一款的规定追究法律责任。</w:t>
      </w:r>
      <w:r/>
    </w:p>
    <w:p>
      <w:pPr>
        <w:spacing w:line="360" w:lineRule="auto"/>
        <w:rPr>
          <w:rFonts w:hint="eastAsia" w:ascii="宋体" w:hAnsi="宋体" w:cs="宋体"/>
          <w:color w:val="auto"/>
          <w:highlight w:val="none"/>
        </w:rPr>
      </w:pPr>
      <w:r>
        <w:rPr>
          <w:rFonts w:hint="eastAsia" w:ascii="宋体" w:hAnsi="宋体" w:cs="宋体"/>
          <w:color w:val="auto"/>
          <w:highlight w:val="none"/>
        </w:rPr>
        <w:br w:type="page" w:clear="all"/>
      </w:r>
      <w:r>
        <w:rPr>
          <w:rFonts w:hint="eastAsia" w:ascii="宋体" w:hAnsi="宋体"/>
          <w:color w:val="auto"/>
          <w:sz w:val="28"/>
          <w:szCs w:val="28"/>
          <w:highlight w:val="none"/>
        </w:rPr>
        <w:t xml:space="preserve">1</w:t>
      </w:r>
      <w:r>
        <w:rPr>
          <w:rFonts w:hint="eastAsia" w:ascii="宋体" w:hAnsi="宋体"/>
          <w:color w:val="auto"/>
          <w:sz w:val="28"/>
          <w:szCs w:val="28"/>
          <w:highlight w:val="none"/>
          <w:lang w:val="en-US" w:eastAsia="zh-CN"/>
        </w:rPr>
        <w:t xml:space="preserve">2</w:t>
      </w:r>
      <w:r>
        <w:rPr>
          <w:rFonts w:hint="eastAsia" w:ascii="宋体" w:hAnsi="宋体"/>
          <w:color w:val="auto"/>
          <w:sz w:val="28"/>
          <w:szCs w:val="28"/>
          <w:highlight w:val="none"/>
        </w:rPr>
        <w:t xml:space="preserve">、供应商情况表</w:t>
      </w:r>
      <w:r/>
    </w:p>
    <w:p>
      <w:pPr>
        <w:jc w:val="center"/>
        <w:spacing w:line="360" w:lineRule="auto"/>
        <w:rPr>
          <w:rFonts w:eastAsia="黑体"/>
          <w:b/>
          <w:bCs/>
          <w:color w:val="auto"/>
          <w:spacing w:val="20"/>
          <w:sz w:val="32"/>
          <w:szCs w:val="32"/>
          <w:highlight w:val="none"/>
        </w:rPr>
      </w:pPr>
      <w:r>
        <w:rPr>
          <w:rFonts w:hint="eastAsia" w:eastAsia="黑体"/>
          <w:b/>
          <w:bCs/>
          <w:color w:val="auto"/>
          <w:spacing w:val="20"/>
          <w:sz w:val="32"/>
          <w:szCs w:val="32"/>
          <w:highlight w:val="none"/>
        </w:rPr>
        <w:t xml:space="preserve">供应商情况表</w:t>
      </w:r>
      <w:r/>
    </w:p>
    <w:tbl>
      <w:tblPr>
        <w:tblStyle w:val="956"/>
        <w:tblW w:w="8487"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212"/>
        <w:gridCol w:w="1319"/>
      </w:tblGrid>
      <w:tr>
        <w:trPr>
          <w:trHeight w:val="1021"/>
        </w:trPr>
        <w:tc>
          <w:tcPr>
            <w:gridSpan w:val="3"/>
            <w:tcW w:w="1756"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单位名称</w:t>
            </w:r>
            <w:r/>
          </w:p>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（盖章）</w:t>
            </w:r>
            <w:r/>
          </w:p>
        </w:tc>
        <w:tc>
          <w:tcPr>
            <w:gridSpan w:val="2"/>
            <w:tcW w:w="1668"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gridSpan w:val="2"/>
            <w:tcW w:w="1361"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注册号</w:t>
            </w:r>
            <w:r/>
          </w:p>
        </w:tc>
        <w:tc>
          <w:tcPr>
            <w:tcW w:w="1275"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gridSpan w:val="2"/>
            <w:tcW w:w="1108"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电话</w:t>
            </w:r>
            <w:r/>
          </w:p>
        </w:tc>
        <w:tc>
          <w:tcPr>
            <w:tcW w:w="1319"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908"/>
        </w:trPr>
        <w:tc>
          <w:tcPr>
            <w:gridSpan w:val="3"/>
            <w:tcW w:w="1756"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企业地址</w:t>
            </w:r>
            <w:r/>
          </w:p>
        </w:tc>
        <w:tc>
          <w:tcPr>
            <w:gridSpan w:val="2"/>
            <w:tcW w:w="1668"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gridSpan w:val="2"/>
            <w:tcW w:w="1361"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注册资金</w:t>
            </w:r>
            <w:r/>
          </w:p>
        </w:tc>
        <w:tc>
          <w:tcPr>
            <w:tcW w:w="1275"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gridSpan w:val="2"/>
            <w:tcW w:w="1108"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传真</w:t>
            </w:r>
            <w:r/>
          </w:p>
        </w:tc>
        <w:tc>
          <w:tcPr>
            <w:tcW w:w="1319"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1090"/>
        </w:trPr>
        <w:tc>
          <w:tcPr>
            <w:gridSpan w:val="3"/>
            <w:tcW w:w="1756"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一、单位简历及机构</w:t>
            </w:r>
            <w:r/>
          </w:p>
        </w:tc>
        <w:tc>
          <w:tcPr>
            <w:gridSpan w:val="8"/>
            <w:tcW w:w="6731"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1159"/>
        </w:trPr>
        <w:tc>
          <w:tcPr>
            <w:gridSpan w:val="3"/>
            <w:tcW w:w="1756"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二、单位优势及特长</w:t>
            </w:r>
            <w:r/>
          </w:p>
        </w:tc>
        <w:tc>
          <w:tcPr>
            <w:gridSpan w:val="8"/>
            <w:tcW w:w="6731"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cantSplit/>
          <w:trHeight w:val="919"/>
        </w:trPr>
        <w:tc>
          <w:tcPr>
            <w:tcW w:w="776" w:type="dxa"/>
            <w:vAlign w:val="center"/>
            <w:vMerge w:val="restart"/>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三、单</w:t>
            </w:r>
            <w:r/>
          </w:p>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位</w:t>
            </w:r>
            <w:r/>
          </w:p>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概</w:t>
            </w:r>
            <w:r/>
          </w:p>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况</w:t>
            </w:r>
            <w:r/>
          </w:p>
        </w:tc>
        <w:tc>
          <w:tcPr>
            <w:gridSpan w:val="3"/>
            <w:tcW w:w="1676"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职工总数</w:t>
            </w:r>
            <w:r/>
          </w:p>
        </w:tc>
        <w:tc>
          <w:tcPr>
            <w:gridSpan w:val="2"/>
            <w:tcW w:w="1502"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gridSpan w:val="3"/>
            <w:tcW w:w="3002"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其中：中级职称人员</w:t>
            </w:r>
            <w:r/>
          </w:p>
        </w:tc>
        <w:tc>
          <w:tcPr>
            <w:gridSpan w:val="2"/>
            <w:tcW w:w="1531"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cantSplit/>
          <w:trHeight w:val="931"/>
        </w:trPr>
        <w:tc>
          <w:tcPr>
            <w:tcW w:w="776" w:type="dxa"/>
            <w:vAlign w:val="center"/>
            <w:vMerge w:val="continue"/>
            <w:textDirection w:val="lrTb"/>
            <w:noWrap w:val="false"/>
          </w:tcPr>
          <w:p>
            <w:pPr>
              <w:jc w:val="left"/>
              <w:keepLines w:val="0"/>
              <w:keepNext w:val="0"/>
              <w:pageBreakBefore w:val="0"/>
              <w:spacing w:after="0" w:line="360" w:lineRule="auto"/>
              <w:widowControl/>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gridSpan w:val="10"/>
            <w:tcW w:w="7711" w:type="dxa"/>
            <w:vAlign w:val="center"/>
            <w:textDirection w:val="lrTb"/>
            <w:noWrap w:val="false"/>
          </w:tcPr>
          <w:p>
            <w:pP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资产总计：  万元；资产净值： 万元；股东权益：   万元</w:t>
            </w:r>
            <w:r/>
          </w:p>
        </w:tc>
      </w:tr>
      <w:tr>
        <w:trPr>
          <w:cantSplit/>
          <w:trHeight w:val="930"/>
        </w:trPr>
        <w:tc>
          <w:tcPr>
            <w:tcW w:w="776" w:type="dxa"/>
            <w:vAlign w:val="center"/>
            <w:vMerge w:val="continue"/>
            <w:textDirection w:val="lrTb"/>
            <w:noWrap w:val="false"/>
          </w:tcPr>
          <w:p>
            <w:pPr>
              <w:jc w:val="left"/>
              <w:keepLines w:val="0"/>
              <w:keepNext w:val="0"/>
              <w:pageBreakBefore w:val="0"/>
              <w:spacing w:after="0" w:line="360" w:lineRule="auto"/>
              <w:widowControl/>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gridSpan w:val="10"/>
            <w:tcW w:w="7711" w:type="dxa"/>
            <w:vAlign w:val="center"/>
            <w:textDirection w:val="lrTb"/>
            <w:noWrap w:val="false"/>
          </w:tcPr>
          <w:p>
            <w:pP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营业面积（含厂房面积）：   M</w:t>
            </w:r>
            <w:r>
              <w:rPr>
                <w:rFonts w:hint="eastAsia" w:ascii="宋体" w:hAnsi="宋体" w:eastAsia="宋体" w:cs="宋体"/>
                <w:color w:val="auto"/>
                <w:spacing w:val="20"/>
                <w:sz w:val="24"/>
                <w:szCs w:val="24"/>
                <w:highlight w:val="none"/>
                <w:vertAlign w:val="superscript"/>
              </w:rPr>
              <w:t xml:space="preserve">2</w:t>
            </w:r>
            <w:r>
              <w:rPr>
                <w:rFonts w:hint="eastAsia" w:ascii="宋体" w:hAnsi="宋体" w:eastAsia="宋体" w:cs="宋体"/>
                <w:color w:val="auto"/>
                <w:spacing w:val="20"/>
                <w:sz w:val="24"/>
                <w:szCs w:val="24"/>
                <w:highlight w:val="none"/>
              </w:rPr>
              <w:t xml:space="preserve">，产权：  M</w:t>
            </w:r>
            <w:r>
              <w:rPr>
                <w:rFonts w:hint="eastAsia" w:ascii="宋体" w:hAnsi="宋体" w:eastAsia="宋体" w:cs="宋体"/>
                <w:color w:val="auto"/>
                <w:spacing w:val="20"/>
                <w:sz w:val="24"/>
                <w:szCs w:val="24"/>
                <w:highlight w:val="none"/>
                <w:vertAlign w:val="superscript"/>
              </w:rPr>
              <w:t xml:space="preserve">2</w:t>
            </w:r>
            <w:r>
              <w:rPr>
                <w:rFonts w:hint="eastAsia" w:ascii="宋体" w:hAnsi="宋体" w:eastAsia="宋体" w:cs="宋体"/>
                <w:color w:val="auto"/>
                <w:spacing w:val="20"/>
                <w:sz w:val="24"/>
                <w:szCs w:val="24"/>
                <w:highlight w:val="none"/>
              </w:rPr>
              <w:t xml:space="preserve">，租：   M</w:t>
            </w:r>
            <w:r>
              <w:rPr>
                <w:rFonts w:hint="eastAsia" w:ascii="宋体" w:hAnsi="宋体" w:eastAsia="宋体" w:cs="宋体"/>
                <w:color w:val="auto"/>
                <w:spacing w:val="20"/>
                <w:sz w:val="24"/>
                <w:szCs w:val="24"/>
                <w:highlight w:val="none"/>
                <w:vertAlign w:val="superscript"/>
              </w:rPr>
              <w:t xml:space="preserve">2</w:t>
            </w:r>
            <w:r/>
          </w:p>
        </w:tc>
      </w:tr>
      <w:tr>
        <w:trPr>
          <w:cantSplit/>
          <w:trHeight w:val="736"/>
        </w:trPr>
        <w:tc>
          <w:tcPr>
            <w:tcW w:w="776" w:type="dxa"/>
            <w:vAlign w:val="center"/>
            <w:vMerge w:val="continue"/>
            <w:textDirection w:val="lrTb"/>
            <w:noWrap w:val="false"/>
          </w:tcPr>
          <w:p>
            <w:pPr>
              <w:jc w:val="left"/>
              <w:keepLines w:val="0"/>
              <w:keepNext w:val="0"/>
              <w:pageBreakBefore w:val="0"/>
              <w:spacing w:after="0" w:line="360" w:lineRule="auto"/>
              <w:widowControl/>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gridSpan w:val="10"/>
            <w:tcW w:w="7711" w:type="dxa"/>
            <w:vAlign w:val="center"/>
            <w:textDirection w:val="lrTb"/>
            <w:noWrap w:val="false"/>
          </w:tcPr>
          <w:p>
            <w:pP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销（零）售额：    年     万元；     年：      万元</w:t>
            </w:r>
            <w:r/>
          </w:p>
        </w:tc>
      </w:tr>
      <w:tr>
        <w:trPr>
          <w:cantSplit/>
          <w:trHeight w:val="690"/>
        </w:trPr>
        <w:tc>
          <w:tcPr>
            <w:tcW w:w="776" w:type="dxa"/>
            <w:vAlign w:val="center"/>
            <w:vMerge w:val="continue"/>
            <w:textDirection w:val="lrTb"/>
            <w:noWrap w:val="false"/>
          </w:tcPr>
          <w:p>
            <w:pPr>
              <w:jc w:val="left"/>
              <w:keepLines w:val="0"/>
              <w:keepNext w:val="0"/>
              <w:pageBreakBefore w:val="0"/>
              <w:spacing w:after="0" w:line="360" w:lineRule="auto"/>
              <w:widowControl/>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gridSpan w:val="10"/>
            <w:tcW w:w="7711" w:type="dxa"/>
            <w:vAlign w:val="center"/>
            <w:textDirection w:val="lrTb"/>
            <w:noWrap w:val="false"/>
          </w:tcPr>
          <w:p>
            <w:pP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实现利润：    年        万元；      年：     万元</w:t>
            </w:r>
            <w:r/>
          </w:p>
        </w:tc>
      </w:tr>
      <w:tr>
        <w:trPr>
          <w:cantSplit/>
          <w:trHeight w:val="935"/>
        </w:trPr>
        <w:tc>
          <w:tcPr>
            <w:tcW w:w="776" w:type="dxa"/>
            <w:vAlign w:val="center"/>
            <w:vMerge w:val="continue"/>
            <w:textDirection w:val="lrTb"/>
            <w:noWrap w:val="false"/>
          </w:tcPr>
          <w:p>
            <w:pPr>
              <w:jc w:val="left"/>
              <w:keepLines w:val="0"/>
              <w:keepNext w:val="0"/>
              <w:pageBreakBefore w:val="0"/>
              <w:spacing w:after="0" w:line="360" w:lineRule="auto"/>
              <w:widowControl/>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W w:w="590" w:type="dxa"/>
            <w:vAlign w:val="center"/>
            <w:vMerge w:val="restart"/>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主</w:t>
            </w:r>
            <w:r/>
          </w:p>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要</w:t>
            </w:r>
            <w:r/>
          </w:p>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业务</w:t>
            </w:r>
            <w:r/>
          </w:p>
        </w:tc>
        <w:tc>
          <w:tcPr>
            <w:gridSpan w:val="9"/>
            <w:tcW w:w="7121" w:type="dxa"/>
            <w:vAlign w:val="center"/>
            <w:textDirection w:val="lrTb"/>
            <w:noWrap w:val="false"/>
          </w:tcPr>
          <w:p>
            <w:pP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cantSplit/>
          <w:trHeight w:val="1001"/>
        </w:trPr>
        <w:tc>
          <w:tcPr>
            <w:tcW w:w="776" w:type="dxa"/>
            <w:vAlign w:val="center"/>
            <w:vMerge w:val="continue"/>
            <w:textDirection w:val="lrTb"/>
            <w:noWrap w:val="false"/>
          </w:tcPr>
          <w:p>
            <w:pPr>
              <w:jc w:val="left"/>
              <w:keepLines w:val="0"/>
              <w:keepNext w:val="0"/>
              <w:pageBreakBefore w:val="0"/>
              <w:spacing w:after="0" w:line="360" w:lineRule="auto"/>
              <w:widowControl/>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W w:w="590" w:type="dxa"/>
            <w:vAlign w:val="center"/>
            <w:vMerge w:val="continue"/>
            <w:textDirection w:val="lrTb"/>
            <w:noWrap w:val="false"/>
          </w:tcPr>
          <w:p>
            <w:pPr>
              <w:jc w:val="left"/>
              <w:keepLines w:val="0"/>
              <w:keepNext w:val="0"/>
              <w:pageBreakBefore w:val="0"/>
              <w:spacing w:after="0" w:line="360" w:lineRule="auto"/>
              <w:widowControl/>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gridSpan w:val="9"/>
            <w:tcW w:w="7121" w:type="dxa"/>
            <w:vAlign w:val="center"/>
            <w:textDirection w:val="lrTb"/>
            <w:noWrap w:val="false"/>
          </w:tcPr>
          <w:p>
            <w:pP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cantSplit/>
          <w:trHeight w:val="1051"/>
        </w:trPr>
        <w:tc>
          <w:tcPr>
            <w:tcW w:w="776" w:type="dxa"/>
            <w:vAlign w:val="center"/>
            <w:vMerge w:val="continue"/>
            <w:textDirection w:val="lrTb"/>
            <w:noWrap w:val="false"/>
          </w:tcPr>
          <w:p>
            <w:pPr>
              <w:jc w:val="left"/>
              <w:keepLines w:val="0"/>
              <w:keepNext w:val="0"/>
              <w:pageBreakBefore w:val="0"/>
              <w:spacing w:after="0" w:line="360" w:lineRule="auto"/>
              <w:widowControl/>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W w:w="590" w:type="dxa"/>
            <w:vAlign w:val="center"/>
            <w:vMerge w:val="continue"/>
            <w:textDirection w:val="lrTb"/>
            <w:noWrap w:val="false"/>
          </w:tcPr>
          <w:p>
            <w:pPr>
              <w:jc w:val="left"/>
              <w:keepLines w:val="0"/>
              <w:keepNext w:val="0"/>
              <w:pageBreakBefore w:val="0"/>
              <w:spacing w:after="0" w:line="360" w:lineRule="auto"/>
              <w:widowControl/>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gridSpan w:val="9"/>
            <w:tcW w:w="7121" w:type="dxa"/>
            <w:vAlign w:val="center"/>
            <w:textDirection w:val="lrTb"/>
            <w:noWrap w:val="false"/>
          </w:tcPr>
          <w:p>
            <w:pP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bl>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1</w:t>
      </w:r>
      <w:r>
        <w:rPr>
          <w:rFonts w:hint="eastAsia" w:ascii="宋体" w:hAnsi="宋体"/>
          <w:color w:val="auto"/>
          <w:sz w:val="28"/>
          <w:szCs w:val="28"/>
          <w:highlight w:val="none"/>
          <w:lang w:val="en-US" w:eastAsia="zh-CN"/>
        </w:rPr>
        <w:t xml:space="preserve">3</w:t>
      </w:r>
      <w:r>
        <w:rPr>
          <w:rFonts w:hint="eastAsia" w:ascii="宋体" w:hAnsi="宋体"/>
          <w:color w:val="auto"/>
          <w:sz w:val="28"/>
          <w:szCs w:val="28"/>
          <w:highlight w:val="none"/>
        </w:rPr>
        <w:t xml:space="preserve">、供应商与其他单位存在直接控股、管理关系情况表</w:t>
      </w:r>
      <w:r/>
    </w:p>
    <w:p>
      <w:pPr>
        <w:jc w:val="center"/>
        <w:spacing w:line="360" w:lineRule="auto"/>
        <w:rPr>
          <w:rFonts w:hint="eastAsia" w:ascii="宋体" w:hAnsi="宋体" w:eastAsia="宋体" w:cs="宋体"/>
          <w:b/>
          <w:bCs/>
          <w:color w:val="auto"/>
          <w:spacing w:val="20"/>
          <w:sz w:val="30"/>
          <w:szCs w:val="30"/>
          <w:highlight w:val="none"/>
        </w:rPr>
      </w:pPr>
      <w:r>
        <w:rPr>
          <w:rFonts w:hint="eastAsia" w:ascii="宋体" w:hAnsi="宋体" w:eastAsia="宋体" w:cs="宋体"/>
          <w:b/>
          <w:bCs/>
          <w:color w:val="auto"/>
          <w:spacing w:val="20"/>
          <w:sz w:val="30"/>
          <w:szCs w:val="30"/>
          <w:highlight w:val="none"/>
        </w:rPr>
        <w:t xml:space="preserve">供应商与其他单位存在直接控股、管理关系情况表</w:t>
      </w:r>
      <w:r/>
    </w:p>
    <w:p>
      <w:pPr>
        <w:ind w:firstLine="420"/>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单位名称：</w:t>
      </w:r>
      <w:r/>
    </w:p>
    <w:tbl>
      <w:tblPr>
        <w:tblStyle w:val="956"/>
        <w:tblW w:w="85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29"/>
        <w:gridCol w:w="1310"/>
        <w:gridCol w:w="1176"/>
        <w:gridCol w:w="1174"/>
        <w:gridCol w:w="1092"/>
        <w:gridCol w:w="1286"/>
        <w:gridCol w:w="1149"/>
      </w:tblGrid>
      <w:tr>
        <w:trPr>
          <w:jc w:val="center"/>
          <w:trHeight w:val="766"/>
        </w:trPr>
        <w:tc>
          <w:tcPr>
            <w:gridSpan w:val="4"/>
            <w:tcW w:w="498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与供应商存在直接股权关系</w:t>
            </w:r>
            <w:r/>
          </w:p>
        </w:tc>
        <w:tc>
          <w:tcPr>
            <w:gridSpan w:val="3"/>
            <w:tcW w:w="352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与供应商存在直接管理关系</w:t>
            </w:r>
            <w:r/>
          </w:p>
        </w:tc>
      </w:tr>
      <w:tr>
        <w:trPr>
          <w:jc w:val="center"/>
          <w:trHeight w:val="991"/>
        </w:trPr>
        <w:tc>
          <w:tcPr>
            <w:tcW w:w="132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单位名称</w:t>
            </w:r>
            <w:r/>
          </w:p>
        </w:tc>
        <w:tc>
          <w:tcPr>
            <w:tcW w:w="131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是否为大型企业</w:t>
            </w:r>
            <w:r/>
          </w:p>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（填写“是”或 “否”）</w:t>
            </w:r>
            <w:r/>
          </w:p>
        </w:tc>
        <w:tc>
          <w:tcPr>
            <w:tcW w:w="117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是否直接控股</w:t>
            </w:r>
            <w:r/>
          </w:p>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（填写“是”或 “否”）</w:t>
            </w:r>
            <w:r/>
          </w:p>
        </w:tc>
        <w:tc>
          <w:tcPr>
            <w:tcW w:w="117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直接控股关系情况说明（持股比例等）</w:t>
            </w:r>
            <w:r/>
          </w:p>
        </w:tc>
        <w:tc>
          <w:tcPr>
            <w:tcW w:w="10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单位名称</w:t>
            </w:r>
            <w:r/>
          </w:p>
        </w:tc>
        <w:tc>
          <w:tcPr>
            <w:tcW w:w="128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是否为大型企业</w:t>
            </w:r>
            <w:r/>
          </w:p>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（填写“是”或 “否”）</w:t>
            </w:r>
            <w:r/>
          </w:p>
        </w:tc>
        <w:tc>
          <w:tcPr>
            <w:tcW w:w="114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直接管理关系情况说明</w:t>
            </w:r>
            <w:r/>
          </w:p>
        </w:tc>
      </w:tr>
      <w:tr>
        <w:trPr>
          <w:jc w:val="center"/>
          <w:trHeight w:val="850"/>
        </w:trPr>
        <w:tc>
          <w:tcPr>
            <w:tcW w:w="132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31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7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7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28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4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Height w:val="850"/>
        </w:trPr>
        <w:tc>
          <w:tcPr>
            <w:tcW w:w="132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31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7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7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28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4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Height w:val="850"/>
        </w:trPr>
        <w:tc>
          <w:tcPr>
            <w:tcW w:w="132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31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7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7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28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4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Height w:val="850"/>
        </w:trPr>
        <w:tc>
          <w:tcPr>
            <w:tcW w:w="132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31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7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7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28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4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Height w:val="850"/>
        </w:trPr>
        <w:tc>
          <w:tcPr>
            <w:tcW w:w="132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31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7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7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28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4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Height w:val="850"/>
        </w:trPr>
        <w:tc>
          <w:tcPr>
            <w:tcW w:w="132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31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7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7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28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4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bl>
    <w:p>
      <w:pPr>
        <w:ind w:right="0" w:firstLine="482"/>
        <w:keepLines w:val="0"/>
        <w:keepNext w:val="0"/>
        <w:pageBreakBefore w:val="0"/>
        <w:spacing w:after="0" w:line="360" w:lineRule="auto"/>
        <w:widowControl w:val="off"/>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注：1)本表仅须填写与供应商存在直接股权、管理关系的企业情况。供应商应按上表要求据实填写，如填写“无”或不填写，均视为供应商声明不存在有关情形。</w:t>
      </w:r>
      <w:r/>
    </w:p>
    <w:p>
      <w:pPr>
        <w:pStyle w:val="963"/>
        <w:ind w:right="0" w:firstLine="482"/>
        <w:keepLines w:val="0"/>
        <w:keepNext w:val="0"/>
        <w:pageBreakBefore w:val="0"/>
        <w:spacing w:after="0" w:line="360" w:lineRule="auto"/>
        <w:widowControl w:val="off"/>
        <w:rPr>
          <w:rFonts w:hint="eastAsia" w:cs="宋体"/>
          <w:color w:val="auto"/>
          <w:sz w:val="24"/>
          <w:szCs w:val="24"/>
          <w:highlight w:val="none"/>
        </w:rPr>
      </w:pPr>
      <w:r>
        <w:rPr>
          <w:rFonts w:hint="eastAsia" w:cs="宋体"/>
          <w:color w:val="auto"/>
          <w:sz w:val="24"/>
          <w:szCs w:val="24"/>
          <w:highlight w:val="none"/>
          <w:shd w:val="clear" w:color="auto" w:fill="ffffff"/>
          <w:lang w:eastAsia="zh-CN"/>
        </w:rPr>
        <w:t xml:space="preserve">2）</w:t>
      </w:r>
      <w:r>
        <w:rPr>
          <w:rFonts w:hint="eastAsia" w:cs="宋体"/>
          <w:color w:val="auto"/>
          <w:sz w:val="24"/>
          <w:szCs w:val="24"/>
          <w:highlight w:val="none"/>
          <w:shd w:val="clear" w:color="auto" w:fill="ffffff"/>
        </w:rPr>
        <w:t xml:space="preserve">其中“直接控股”是指供应商与大型企业之间存在直接投资并控股（非普通持股）的关系。</w:t>
      </w:r>
      <w:r/>
    </w:p>
    <w:p>
      <w:pPr>
        <w:ind w:right="0"/>
        <w:keepLines w:val="0"/>
        <w:keepNext w:val="0"/>
        <w:pageBreakBefore w:val="0"/>
        <w:spacing w:after="0" w:line="360" w:lineRule="auto"/>
        <w:widowControl w:val="off"/>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r>
      <w:r/>
    </w:p>
    <w:p>
      <w:pPr>
        <w:ind w:right="0" w:firstLine="210"/>
        <w:jc w:val="right"/>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cs="宋体"/>
          <w:color w:val="auto"/>
          <w:highlight w:val="none"/>
        </w:rPr>
        <w:sectPr>
          <w:footerReference w:type="default" r:id="rId14"/>
          <w:footnotePr/>
          <w:endnotePr/>
          <w:type w:val="nextPage"/>
          <w:pgSz w:w="11906" w:h="16838" w:orient="portrait"/>
          <w:pgMar w:top="1134" w:right="1417" w:bottom="1134" w:left="1417" w:header="851" w:footer="992" w:gutter="0"/>
          <w:cols w:num="1" w:sep="0" w:space="1701" w:equalWidth="1"/>
          <w:docGrid w:linePitch="360"/>
        </w:sectPr>
      </w:pPr>
      <w:r>
        <w:rPr>
          <w:rFonts w:hint="eastAsia" w:ascii="宋体" w:hAnsi="宋体" w:cs="宋体"/>
          <w:color w:val="auto"/>
          <w:sz w:val="24"/>
          <w:szCs w:val="24"/>
          <w:highlight w:val="none"/>
        </w:rPr>
        <w:t xml:space="preserve">日期：　　　年　　月　　日</w:t>
      </w:r>
      <w:r>
        <w:rPr>
          <w:rFonts w:hint="eastAsia" w:ascii="宋体" w:hAnsi="宋体" w:cs="宋体"/>
          <w:color w:val="auto"/>
          <w:highlight w:val="none"/>
        </w:rPr>
        <w:br w:type="page" w:clear="all"/>
      </w:r>
      <w:r/>
    </w:p>
    <w:p>
      <w:pPr>
        <w:jc w:val="center"/>
        <w:spacing w:line="360" w:lineRule="auto"/>
        <w:rPr>
          <w:rFonts w:hint="eastAsia" w:ascii="宋体" w:hAnsi="宋体" w:cs="宋体"/>
          <w:b/>
          <w:color w:val="auto"/>
          <w:sz w:val="44"/>
          <w:highlight w:val="none"/>
        </w:rPr>
        <w:outlineLvl w:val="0"/>
      </w:pPr>
      <w:r>
        <w:rPr>
          <w:rFonts w:hint="eastAsia" w:ascii="宋体" w:hAnsi="宋体" w:cs="宋体"/>
          <w:b/>
          <w:color w:val="auto"/>
          <w:sz w:val="44"/>
          <w:highlight w:val="none"/>
        </w:rPr>
        <w:t xml:space="preserve">第四章 招标书</w:t>
      </w:r>
      <w:r/>
    </w:p>
    <w:p>
      <w:pPr>
        <w:ind w:left="0" w:firstLine="480"/>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苏州时代招投标有限公司受</w:t>
      </w:r>
      <w:r>
        <w:rPr>
          <w:rFonts w:hint="eastAsia" w:asciiTheme="minorEastAsia" w:hAnsiTheme="minorEastAsia" w:eastAsiaTheme="minorEastAsia" w:cstheme="minorEastAsia"/>
          <w:color w:val="auto"/>
          <w:sz w:val="24"/>
          <w:szCs w:val="24"/>
          <w:highlight w:val="none"/>
          <w:lang w:eastAsia="zh-CN"/>
        </w:rPr>
        <w:t xml:space="preserve">苏州市文化广电和旅游局</w:t>
      </w:r>
      <w:r>
        <w:rPr>
          <w:rFonts w:hint="eastAsia" w:asciiTheme="minorEastAsia" w:hAnsiTheme="minorEastAsia" w:eastAsiaTheme="minorEastAsia" w:cstheme="minorEastAsia"/>
          <w:color w:val="auto"/>
          <w:sz w:val="24"/>
          <w:szCs w:val="24"/>
          <w:highlight w:val="none"/>
        </w:rPr>
        <w:t xml:space="preserve">的委托，就其</w:t>
      </w:r>
      <w:r>
        <w:rPr>
          <w:rFonts w:hint="eastAsia" w:asciiTheme="minorEastAsia" w:hAnsiTheme="minorEastAsia" w:eastAsiaTheme="minorEastAsia" w:cstheme="minorEastAsia"/>
          <w:color w:val="auto"/>
          <w:sz w:val="24"/>
          <w:szCs w:val="24"/>
          <w:highlight w:val="none"/>
          <w:lang w:eastAsia="zh-CN"/>
        </w:rPr>
        <w:t xml:space="preserve">2026年第二批考古发掘保障服务项目</w:t>
      </w:r>
      <w:r>
        <w:rPr>
          <w:rFonts w:hint="eastAsia" w:asciiTheme="minorEastAsia" w:hAnsiTheme="minorEastAsia" w:eastAsiaTheme="minorEastAsia" w:cstheme="minorEastAsia"/>
          <w:color w:val="auto"/>
          <w:sz w:val="24"/>
          <w:szCs w:val="24"/>
          <w:highlight w:val="none"/>
        </w:rPr>
        <w:t xml:space="preserve">的政府采购进行国内公开招标。欢迎有资格的投标人前来参加投标。本次招标具体情况如下：</w:t>
      </w:r>
      <w:r/>
    </w:p>
    <w:p>
      <w:pPr>
        <w:ind w:left="0"/>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一、招标编号：</w:t>
      </w:r>
      <w:r>
        <w:rPr>
          <w:rFonts w:hint="eastAsia" w:asciiTheme="minorEastAsia" w:hAnsiTheme="minorEastAsia" w:eastAsiaTheme="minorEastAsia" w:cstheme="minorEastAsia"/>
          <w:color w:val="auto"/>
          <w:sz w:val="24"/>
          <w:szCs w:val="24"/>
          <w:highlight w:val="none"/>
          <w:lang w:eastAsia="zh-CN"/>
        </w:rPr>
        <w:t xml:space="preserve">JSZC-320506-SZSD-G2026-0055</w:t>
      </w:r>
      <w:r>
        <w:rPr>
          <w:rFonts w:hint="eastAsia" w:asciiTheme="minorEastAsia" w:hAnsiTheme="minorEastAsia" w:eastAsiaTheme="minorEastAsia" w:cstheme="minorEastAsia"/>
          <w:color w:val="auto"/>
          <w:sz w:val="24"/>
          <w:szCs w:val="24"/>
          <w:highlight w:val="none"/>
        </w:rPr>
        <w:t xml:space="preserve">    </w:t>
      </w:r>
      <w:r/>
    </w:p>
    <w:p>
      <w:pPr>
        <w:ind w:left="0"/>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二</w:t>
      </w:r>
      <w:r>
        <w:rPr>
          <w:rFonts w:hint="eastAsia" w:asciiTheme="minorEastAsia" w:hAnsiTheme="minorEastAsia" w:eastAsiaTheme="minorEastAsia" w:cstheme="minorEastAsia"/>
          <w:color w:val="auto"/>
          <w:sz w:val="24"/>
          <w:szCs w:val="24"/>
          <w:highlight w:val="none"/>
        </w:rPr>
        <w:t xml:space="preserve">、预算金额（人民币）：</w:t>
      </w:r>
      <w:r>
        <w:rPr>
          <w:rFonts w:hint="eastAsia" w:asciiTheme="minorEastAsia" w:hAnsiTheme="minorEastAsia" w:eastAsiaTheme="minorEastAsia" w:cstheme="minorEastAsia"/>
          <w:color w:val="auto"/>
          <w:sz w:val="24"/>
          <w:szCs w:val="24"/>
          <w:highlight w:val="none"/>
          <w:lang w:eastAsia="zh-CN"/>
        </w:rPr>
        <w:t xml:space="preserve">肆佰万元整（¥40000</w:t>
      </w:r>
      <w:r>
        <w:rPr>
          <w:rFonts w:hint="eastAsia" w:asciiTheme="minorEastAsia" w:hAnsiTheme="minorEastAsia" w:eastAsiaTheme="minorEastAsia" w:cstheme="minorEastAsia"/>
          <w:color w:val="auto"/>
          <w:sz w:val="24"/>
          <w:szCs w:val="24"/>
          <w:highlight w:val="none"/>
          <w:lang w:val="en-US" w:eastAsia="zh-CN"/>
        </w:rPr>
        <w:t xml:space="preserve">00</w:t>
      </w:r>
      <w:r>
        <w:rPr>
          <w:rFonts w:hint="eastAsia" w:asciiTheme="minorEastAsia" w:hAnsiTheme="minorEastAsia" w:eastAsiaTheme="minorEastAsia" w:cstheme="minorEastAsia"/>
          <w:color w:val="auto"/>
          <w:sz w:val="24"/>
          <w:szCs w:val="24"/>
          <w:highlight w:val="none"/>
          <w:lang w:eastAsia="zh-CN"/>
        </w:rPr>
        <w:t xml:space="preserve">.00）</w:t>
      </w:r>
      <w:r/>
    </w:p>
    <w:p>
      <w:pPr>
        <w:ind w:firstLine="480"/>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采购包1:2026年第二批考古发掘保障服务(昆山片区)¥1500000.00；</w:t>
      </w:r>
      <w:r/>
    </w:p>
    <w:p>
      <w:pPr>
        <w:ind w:firstLine="480"/>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采购包2:2026年第二批考古发掘保障服务(吴江、常熟片区)¥1000000.00；</w:t>
      </w:r>
      <w:r/>
    </w:p>
    <w:p>
      <w:pPr>
        <w:ind w:firstLine="48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采购包3:2026年第二批考古发掘保障服务[姑苏区(护城河及以内古城核心区)</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eastAsia="zh-CN"/>
        </w:rPr>
        <w:t xml:space="preserve">¥1000000.00；</w:t>
      </w:r>
      <w:r/>
    </w:p>
    <w:p>
      <w:pPr>
        <w:ind w:firstLine="48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采购包4:2026年第二批考古发掘保障服务[姑苏区(护城河以外)+工业园区</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eastAsia="zh-CN"/>
        </w:rPr>
        <w:t xml:space="preserve">¥500000.00</w:t>
      </w:r>
      <w:r/>
    </w:p>
    <w:p>
      <w:pPr>
        <w:ind w:firstLine="480"/>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最高限价（人民币）：</w:t>
      </w:r>
      <w:r>
        <w:rPr>
          <w:rFonts w:hint="eastAsia" w:asciiTheme="minorEastAsia" w:hAnsiTheme="minorEastAsia" w:eastAsiaTheme="minorEastAsia" w:cstheme="minorEastAsia"/>
          <w:color w:val="auto"/>
          <w:sz w:val="24"/>
          <w:szCs w:val="24"/>
          <w:highlight w:val="none"/>
          <w:lang w:val="en-US" w:eastAsia="zh-CN"/>
        </w:rPr>
        <w:t xml:space="preserve">叁佰玖拾玖万陆仟</w:t>
      </w:r>
      <w:r>
        <w:rPr>
          <w:rFonts w:hint="eastAsia" w:asciiTheme="minorEastAsia" w:hAnsiTheme="minorEastAsia" w:eastAsiaTheme="minorEastAsia" w:cstheme="minorEastAsia"/>
          <w:color w:val="auto"/>
          <w:sz w:val="24"/>
          <w:szCs w:val="24"/>
          <w:highlight w:val="none"/>
          <w:lang w:eastAsia="zh-CN"/>
        </w:rPr>
        <w:t xml:space="preserve">元整（¥</w:t>
      </w:r>
      <w:r>
        <w:rPr>
          <w:rFonts w:hint="eastAsia" w:asciiTheme="minorEastAsia" w:hAnsiTheme="minorEastAsia" w:eastAsiaTheme="minorEastAsia" w:cstheme="minorEastAsia"/>
          <w:color w:val="auto"/>
          <w:sz w:val="24"/>
          <w:szCs w:val="24"/>
          <w:highlight w:val="none"/>
          <w:lang w:val="en-US" w:eastAsia="zh-CN"/>
        </w:rPr>
        <w:t xml:space="preserve">3996</w:t>
      </w:r>
      <w:r>
        <w:rPr>
          <w:rFonts w:hint="eastAsia" w:asciiTheme="minorEastAsia" w:hAnsiTheme="minorEastAsia" w:eastAsiaTheme="minorEastAsia" w:cstheme="minorEastAsia"/>
          <w:color w:val="auto"/>
          <w:sz w:val="24"/>
          <w:szCs w:val="24"/>
          <w:highlight w:val="none"/>
          <w:lang w:eastAsia="zh-CN"/>
        </w:rPr>
        <w:t xml:space="preserve">000.00）</w:t>
      </w:r>
      <w:r/>
    </w:p>
    <w:tbl>
      <w:tblPr>
        <w:tblStyle w:val="956"/>
        <w:tblW w:w="473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7"/>
        <w:gridCol w:w="2412"/>
        <w:gridCol w:w="1702"/>
        <w:gridCol w:w="2122"/>
        <w:gridCol w:w="1502"/>
      </w:tblGrid>
      <w:tr>
        <w:trPr>
          <w:jc w:val="center"/>
          <w:trHeight w:val="567"/>
        </w:trPr>
        <w:tc>
          <w:tcPr>
            <w:tcW w:w="1389"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采购包</w:t>
            </w:r>
            <w:r>
              <w:rPr>
                <w:rFonts w:hint="eastAsia" w:asciiTheme="minorEastAsia" w:hAnsiTheme="minorEastAsia" w:eastAsiaTheme="minorEastAsia" w:cstheme="minorEastAsia"/>
                <w:color w:val="auto"/>
                <w:sz w:val="24"/>
                <w:szCs w:val="24"/>
                <w:highlight w:val="none"/>
              </w:rPr>
              <w:t xml:space="preserve">号</w:t>
            </w:r>
            <w:r/>
          </w:p>
        </w:tc>
        <w:tc>
          <w:tcPr>
            <w:tcW w:w="2416"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项目</w:t>
            </w:r>
            <w:r>
              <w:rPr>
                <w:rFonts w:hint="eastAsia" w:asciiTheme="minorEastAsia" w:hAnsiTheme="minorEastAsia" w:eastAsiaTheme="minorEastAsia" w:cstheme="minorEastAsia"/>
                <w:color w:val="auto"/>
                <w:sz w:val="24"/>
                <w:szCs w:val="24"/>
                <w:highlight w:val="none"/>
                <w:lang w:val="en-US" w:eastAsia="zh-CN"/>
              </w:rPr>
              <w:t xml:space="preserve">片区</w:t>
            </w:r>
            <w:r/>
          </w:p>
        </w:tc>
        <w:tc>
          <w:tcPr>
            <w:tcBorders>
              <w:right w:val="single" w:color="auto" w:sz="4" w:space="0"/>
            </w:tcBorders>
            <w:tcW w:w="1703"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最高限价（元）</w:t>
            </w:r>
            <w:r/>
          </w:p>
        </w:tc>
        <w:tc>
          <w:tcPr>
            <w:tcBorders>
              <w:left w:val="single" w:color="auto" w:sz="4" w:space="0"/>
              <w:right w:val="single" w:color="auto" w:sz="4" w:space="0"/>
            </w:tcBorders>
            <w:tcW w:w="2124"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strike w:val="0"/>
                <w:color w:val="auto"/>
                <w:sz w:val="24"/>
                <w:szCs w:val="24"/>
                <w:highlight w:val="none"/>
                <w:lang w:val="en-US" w:eastAsia="zh-CN"/>
              </w:rPr>
            </w:pPr>
            <w:r>
              <w:rPr>
                <w:rFonts w:hint="eastAsia" w:asciiTheme="minorEastAsia" w:hAnsiTheme="minorEastAsia" w:eastAsiaTheme="minorEastAsia" w:cstheme="minorEastAsia"/>
                <w:strike w:val="0"/>
                <w:color w:val="auto"/>
                <w:sz w:val="24"/>
                <w:szCs w:val="24"/>
                <w:highlight w:val="none"/>
                <w:lang w:val="en-US" w:eastAsia="zh-CN"/>
              </w:rPr>
              <w:t xml:space="preserve">单价限价</w:t>
            </w:r>
            <w:r>
              <w:rPr>
                <w:rFonts w:hint="eastAsia" w:asciiTheme="minorEastAsia" w:hAnsiTheme="minorEastAsia" w:eastAsiaTheme="minorEastAsia" w:cstheme="minorEastAsia"/>
                <w:strike w:val="0"/>
                <w:dstrike/>
                <w:color w:val="auto"/>
                <w:sz w:val="24"/>
                <w:szCs w:val="24"/>
                <w:highlight w:val="none"/>
                <w:lang w:val="en-US" w:eastAsia="zh-CN"/>
              </w:rPr>
            </w:r>
            <w:r/>
          </w:p>
          <w:p>
            <w:pPr>
              <w:jc w:val="center"/>
              <w:keepLines w:val="0"/>
              <w:keepNext w:val="0"/>
              <w:pageBreakBefore w:val="0"/>
              <w:spacing w:after="0" w:line="240" w:lineRule="auto"/>
              <w:widowControl w:val="off"/>
              <w:rPr>
                <w:rFonts w:hint="eastAsia" w:asciiTheme="minorEastAsia" w:hAnsiTheme="minorEastAsia" w:eastAsiaTheme="minorEastAsia" w:cstheme="minorEastAsia"/>
                <w:strike w:val="0"/>
                <w:dstrike/>
                <w:color w:val="auto"/>
                <w:sz w:val="24"/>
                <w:szCs w:val="24"/>
                <w:highlight w:val="none"/>
                <w:lang w:val="en-US" w:eastAsia="zh-CN"/>
              </w:rPr>
            </w:pPr>
            <w:r>
              <w:rPr>
                <w:rFonts w:hint="eastAsia" w:asciiTheme="minorEastAsia" w:hAnsiTheme="minorEastAsia" w:eastAsiaTheme="minorEastAsia" w:cstheme="minorEastAsia"/>
                <w:strike w:val="0"/>
                <w:color w:val="auto"/>
                <w:sz w:val="24"/>
                <w:szCs w:val="24"/>
                <w:highlight w:val="none"/>
                <w:lang w:val="en-US" w:eastAsia="zh-CN"/>
              </w:rPr>
              <w:t xml:space="preserve">（元/平方米）</w:t>
            </w:r>
            <w:r/>
          </w:p>
        </w:tc>
        <w:tc>
          <w:tcPr>
            <w:tcBorders>
              <w:left w:val="single" w:color="auto" w:sz="4" w:space="0"/>
            </w:tcBorders>
            <w:tcW w:w="1503" w:type="dxa"/>
            <w:vAlign w:val="center"/>
            <w:textDirection w:val="lrTb"/>
            <w:noWrap w:val="false"/>
          </w:tcPr>
          <w:p>
            <w:pPr>
              <w:jc w:val="center"/>
              <w:keepLines w:val="0"/>
              <w:keepNext w:val="0"/>
              <w:pageBreakBefore w:val="0"/>
              <w:spacing w:after="0" w:line="240" w:lineRule="auto"/>
              <w:widowControl w:val="off"/>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备注</w:t>
            </w:r>
            <w:r/>
          </w:p>
        </w:tc>
      </w:tr>
      <w:tr>
        <w:trPr>
          <w:jc w:val="center"/>
          <w:trHeight w:val="567"/>
        </w:trPr>
        <w:tc>
          <w:tcPr>
            <w:tcW w:w="1389"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采购包1</w:t>
            </w:r>
            <w:r/>
          </w:p>
        </w:tc>
        <w:tc>
          <w:tcPr>
            <w:tcW w:w="2416"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昆山片区</w:t>
            </w:r>
            <w:r/>
          </w:p>
        </w:tc>
        <w:tc>
          <w:tcPr>
            <w:tcBorders>
              <w:right w:val="single" w:color="auto" w:sz="4" w:space="0"/>
            </w:tcBorders>
            <w:tcW w:w="1703"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eastAsia="zh-CN"/>
              </w:rPr>
              <w:t xml:space="preserve">1499000.00</w:t>
            </w:r>
            <w:r/>
          </w:p>
        </w:tc>
        <w:tc>
          <w:tcPr>
            <w:tcBorders>
              <w:left w:val="single" w:color="auto" w:sz="4" w:space="0"/>
              <w:right w:val="single" w:color="auto" w:sz="4" w:space="0"/>
            </w:tcBorders>
            <w:tcW w:w="2124" w:type="dxa"/>
            <w:vAlign w:val="center"/>
            <w:textDirection w:val="lrTb"/>
            <w:noWrap w:val="false"/>
          </w:tcPr>
          <w:p>
            <w:pPr>
              <w:jc w:val="center"/>
              <w:keepLines w:val="0"/>
              <w:keepNext w:val="0"/>
              <w:pageBreakBefore w:val="0"/>
              <w:spacing w:after="0" w:line="240" w:lineRule="auto"/>
              <w:widowControl w:val="off"/>
              <w:rPr>
                <w:rFonts w:hint="default" w:asciiTheme="minorEastAsia" w:hAnsiTheme="minorEastAsia" w:eastAsiaTheme="minorEastAsia" w:cstheme="minorEastAsia"/>
                <w:strike w:val="0"/>
                <w:dstrike/>
                <w:color w:val="auto"/>
                <w:sz w:val="24"/>
                <w:szCs w:val="24"/>
                <w:highlight w:val="none"/>
                <w:lang w:val="en-US" w:eastAsia="zh-CN"/>
              </w:rPr>
            </w:pPr>
            <w:r>
              <w:rPr>
                <w:rFonts w:hint="eastAsia" w:asciiTheme="minorEastAsia" w:hAnsiTheme="minorEastAsia" w:eastAsiaTheme="minorEastAsia" w:cstheme="minorEastAsia"/>
                <w:strike w:val="0"/>
                <w:color w:val="auto"/>
                <w:sz w:val="24"/>
                <w:szCs w:val="24"/>
                <w:highlight w:val="none"/>
                <w:lang w:val="en-US" w:eastAsia="zh-CN"/>
              </w:rPr>
              <w:t xml:space="preserve">1048.80</w:t>
            </w:r>
            <w:r/>
          </w:p>
        </w:tc>
        <w:tc>
          <w:tcPr>
            <w:tcBorders>
              <w:left w:val="single" w:color="auto" w:sz="4" w:space="0"/>
            </w:tcBorders>
            <w:tcW w:w="1503" w:type="dxa"/>
            <w:vAlign w:val="top"/>
            <w:vMerge w:val="restart"/>
            <w:textDirection w:val="lrTb"/>
            <w:noWrap w:val="false"/>
          </w:tcPr>
          <w:p>
            <w:pPr>
              <w:pStyle w:val="1205"/>
              <w:ind w:left="0" w:firstLine="0"/>
              <w:jc w:val="left"/>
              <w:spacing w:before="165" w:line="220" w:lineRule="auto"/>
              <w:rPr>
                <w:rFonts w:hint="eastAsia" w:eastAsia="宋体" w:asciiTheme="minorEastAsia" w:hAnsiTheme="minorEastAsia" w:cstheme="minorEastAsia"/>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投标报价不得超过</w:t>
            </w:r>
            <w:r>
              <w:rPr>
                <w:rFonts w:hint="eastAsia" w:ascii="宋体" w:hAnsi="宋体" w:eastAsia="宋体" w:cs="宋体"/>
                <w:b w:val="0"/>
                <w:bCs w:val="0"/>
                <w:color w:val="auto"/>
                <w:sz w:val="24"/>
                <w:szCs w:val="24"/>
                <w:highlight w:val="none"/>
                <w:lang w:val="en-US" w:eastAsia="zh-CN"/>
              </w:rPr>
              <w:t xml:space="preserve">各采购包预算金额及</w:t>
            </w:r>
            <w:r>
              <w:rPr>
                <w:rFonts w:hint="eastAsia" w:ascii="宋体" w:hAnsi="宋体" w:eastAsia="宋体" w:cs="宋体"/>
                <w:b w:val="0"/>
                <w:bCs w:val="0"/>
                <w:color w:val="auto"/>
                <w:sz w:val="24"/>
                <w:szCs w:val="24"/>
                <w:highlight w:val="none"/>
              </w:rPr>
              <w:t xml:space="preserve">最高</w:t>
            </w:r>
            <w:r>
              <w:rPr>
                <w:rFonts w:hint="eastAsia" w:ascii="宋体" w:hAnsi="宋体" w:eastAsia="宋体" w:cs="宋体"/>
                <w:b w:val="0"/>
                <w:bCs w:val="0"/>
                <w:color w:val="auto"/>
                <w:sz w:val="24"/>
                <w:szCs w:val="24"/>
                <w:highlight w:val="none"/>
                <w:lang w:val="en-US" w:eastAsia="zh-CN"/>
              </w:rPr>
              <w:t xml:space="preserve">单价</w:t>
            </w:r>
            <w:r>
              <w:rPr>
                <w:rFonts w:hint="eastAsia" w:ascii="宋体" w:hAnsi="宋体" w:eastAsia="宋体" w:cs="宋体"/>
                <w:b w:val="0"/>
                <w:bCs w:val="0"/>
                <w:color w:val="auto"/>
                <w:sz w:val="24"/>
                <w:szCs w:val="24"/>
                <w:highlight w:val="none"/>
              </w:rPr>
              <w:t xml:space="preserve">限价金额，否则作无效</w:t>
            </w:r>
            <w:r>
              <w:rPr>
                <w:rFonts w:hint="eastAsia" w:ascii="宋体" w:hAnsi="宋体" w:eastAsia="宋体" w:cs="宋体"/>
                <w:b w:val="0"/>
                <w:bCs w:val="0"/>
                <w:color w:val="auto"/>
                <w:sz w:val="24"/>
                <w:szCs w:val="24"/>
                <w:highlight w:val="none"/>
                <w:lang w:val="en-US" w:eastAsia="zh-CN"/>
              </w:rPr>
              <w:t xml:space="preserve">报价</w:t>
            </w:r>
            <w:r>
              <w:rPr>
                <w:rFonts w:hint="eastAsia" w:ascii="宋体" w:hAnsi="宋体" w:eastAsia="宋体" w:cs="宋体"/>
                <w:b w:val="0"/>
                <w:bCs w:val="0"/>
                <w:color w:val="auto"/>
                <w:sz w:val="24"/>
                <w:szCs w:val="24"/>
                <w:highlight w:val="none"/>
              </w:rPr>
              <w:t xml:space="preserve">处理</w:t>
            </w:r>
            <w:r>
              <w:rPr>
                <w:rFonts w:hint="eastAsia" w:ascii="宋体" w:hAnsi="宋体" w:eastAsia="宋体" w:cs="宋体"/>
                <w:b w:val="0"/>
                <w:bCs w:val="0"/>
                <w:color w:val="auto"/>
                <w:sz w:val="24"/>
                <w:szCs w:val="24"/>
                <w:highlight w:val="none"/>
                <w:shd w:val="clear" w:color="auto" w:fill="ffffff"/>
                <w:lang w:eastAsia="zh-CN"/>
              </w:rPr>
              <w:t xml:space="preserve">。</w:t>
            </w:r>
            <w:r/>
          </w:p>
        </w:tc>
      </w:tr>
      <w:tr>
        <w:trPr>
          <w:jc w:val="center"/>
          <w:trHeight w:val="544"/>
        </w:trPr>
        <w:tc>
          <w:tcPr>
            <w:tcW w:w="1389"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eastAsia="zh-CN"/>
              </w:rPr>
              <w:t xml:space="preserve">采购包2</w:t>
            </w:r>
            <w:r/>
          </w:p>
        </w:tc>
        <w:tc>
          <w:tcPr>
            <w:tcW w:w="2416"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吴江、常熟片区</w:t>
            </w:r>
            <w:r/>
          </w:p>
        </w:tc>
        <w:tc>
          <w:tcPr>
            <w:tcBorders>
              <w:right w:val="single" w:color="auto" w:sz="4" w:space="0"/>
            </w:tcBorders>
            <w:tcW w:w="1703"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999000.00</w:t>
            </w:r>
            <w:r/>
          </w:p>
        </w:tc>
        <w:tc>
          <w:tcPr>
            <w:tcBorders>
              <w:left w:val="single" w:color="auto" w:sz="4" w:space="0"/>
              <w:right w:val="single" w:color="auto" w:sz="4" w:space="0"/>
            </w:tcBorders>
            <w:tcW w:w="2124"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strike w:val="0"/>
                <w:dstrike/>
                <w:color w:val="auto"/>
                <w:sz w:val="24"/>
                <w:szCs w:val="24"/>
                <w:highlight w:val="none"/>
                <w:lang w:val="en-US" w:eastAsia="zh-CN"/>
              </w:rPr>
            </w:pPr>
            <w:r>
              <w:rPr>
                <w:rFonts w:hint="eastAsia" w:asciiTheme="minorEastAsia" w:hAnsiTheme="minorEastAsia" w:eastAsiaTheme="minorEastAsia" w:cstheme="minorEastAsia"/>
                <w:strike w:val="0"/>
                <w:color w:val="auto"/>
                <w:sz w:val="24"/>
                <w:szCs w:val="24"/>
                <w:highlight w:val="none"/>
                <w:lang w:val="en-US" w:eastAsia="zh-CN"/>
              </w:rPr>
              <w:t xml:space="preserve">912.00</w:t>
            </w:r>
            <w:r/>
          </w:p>
        </w:tc>
        <w:tc>
          <w:tcPr>
            <w:tcBorders>
              <w:left w:val="single" w:color="auto" w:sz="4" w:space="0"/>
            </w:tcBorders>
            <w:tcW w:w="1503" w:type="dxa"/>
            <w:vAlign w:val="top"/>
            <w:vMerge w:val="continue"/>
            <w:textDirection w:val="lrTb"/>
            <w:noWrap w:val="false"/>
          </w:tcPr>
          <w:p>
            <w:pPr>
              <w:pStyle w:val="1205"/>
              <w:ind w:left="0" w:firstLine="0"/>
              <w:jc w:val="center"/>
              <w:spacing w:before="165" w:line="22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567"/>
        </w:trPr>
        <w:tc>
          <w:tcPr>
            <w:tcW w:w="1389"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eastAsia="zh-CN"/>
              </w:rPr>
              <w:t xml:space="preserve">采购包3</w:t>
            </w:r>
            <w:r/>
          </w:p>
        </w:tc>
        <w:tc>
          <w:tcPr>
            <w:tcW w:w="2416" w:type="dxa"/>
            <w:vAlign w:val="center"/>
            <w:textDirection w:val="lrTb"/>
            <w:noWrap w:val="false"/>
          </w:tcPr>
          <w:p>
            <w:pPr>
              <w:jc w:val="both"/>
              <w:keepLines w:val="0"/>
              <w:keepNext w:val="0"/>
              <w:pageBreakBefore w:val="0"/>
              <w:spacing w:after="0" w:line="24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姑苏</w:t>
            </w:r>
            <w:r>
              <w:rPr>
                <w:rFonts w:hint="eastAsia" w:asciiTheme="minorEastAsia" w:hAnsiTheme="minorEastAsia" w:eastAsiaTheme="minorEastAsia" w:cstheme="minorEastAsia"/>
                <w:color w:val="auto"/>
                <w:sz w:val="24"/>
                <w:szCs w:val="24"/>
                <w:highlight w:val="none"/>
              </w:rPr>
              <w:t xml:space="preserve">区</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护城河</w:t>
            </w:r>
            <w:r>
              <w:rPr>
                <w:rFonts w:hint="eastAsia" w:asciiTheme="minorEastAsia" w:hAnsiTheme="minorEastAsia" w:eastAsiaTheme="minorEastAsia" w:cstheme="minorEastAsia"/>
                <w:color w:val="auto"/>
                <w:sz w:val="24"/>
                <w:szCs w:val="24"/>
                <w:highlight w:val="none"/>
                <w:lang w:val="en-US" w:eastAsia="zh-CN"/>
              </w:rPr>
              <w:t xml:space="preserve">及</w:t>
            </w:r>
            <w:r>
              <w:rPr>
                <w:rFonts w:hint="eastAsia" w:asciiTheme="minorEastAsia" w:hAnsiTheme="minorEastAsia" w:eastAsiaTheme="minorEastAsia" w:cstheme="minorEastAsia"/>
                <w:color w:val="auto"/>
                <w:sz w:val="24"/>
                <w:szCs w:val="24"/>
                <w:highlight w:val="none"/>
                <w:lang w:val="en-US" w:eastAsia="zh-CN"/>
              </w:rPr>
              <w:t xml:space="preserve">以内古城核心区</w:t>
            </w:r>
            <w:r>
              <w:rPr>
                <w:rFonts w:hint="eastAsia" w:asciiTheme="minorEastAsia" w:hAnsiTheme="minorEastAsia" w:eastAsiaTheme="minorEastAsia" w:cstheme="minorEastAsia"/>
                <w:color w:val="auto"/>
                <w:sz w:val="24"/>
                <w:szCs w:val="24"/>
                <w:highlight w:val="none"/>
                <w:lang w:eastAsia="zh-CN"/>
              </w:rPr>
              <w:t xml:space="preserve">）</w:t>
            </w:r>
            <w:r/>
          </w:p>
        </w:tc>
        <w:tc>
          <w:tcPr>
            <w:tcBorders>
              <w:right w:val="single" w:color="auto" w:sz="4" w:space="0"/>
            </w:tcBorders>
            <w:tcW w:w="1703"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eastAsia="zh-CN"/>
              </w:rPr>
              <w:t xml:space="preserve">999000.00</w:t>
            </w:r>
            <w:r/>
          </w:p>
        </w:tc>
        <w:tc>
          <w:tcPr>
            <w:tcBorders>
              <w:left w:val="single" w:color="auto" w:sz="4" w:space="0"/>
              <w:right w:val="single" w:color="auto" w:sz="4" w:space="0"/>
            </w:tcBorders>
            <w:tcW w:w="2124"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strike w:val="0"/>
                <w:dstrike/>
                <w:color w:val="auto"/>
                <w:sz w:val="24"/>
                <w:szCs w:val="24"/>
                <w:highlight w:val="none"/>
                <w:lang w:val="en-US" w:eastAsia="zh-CN"/>
              </w:rPr>
            </w:pPr>
            <w:r>
              <w:rPr>
                <w:rFonts w:hint="eastAsia" w:asciiTheme="minorEastAsia" w:hAnsiTheme="minorEastAsia" w:eastAsiaTheme="minorEastAsia" w:cstheme="minorEastAsia"/>
                <w:strike w:val="0"/>
                <w:color w:val="auto"/>
                <w:sz w:val="24"/>
                <w:szCs w:val="24"/>
                <w:highlight w:val="none"/>
                <w:lang w:val="en-US" w:eastAsia="zh-CN"/>
              </w:rPr>
              <w:t xml:space="preserve">1185.60</w:t>
            </w:r>
            <w:r/>
          </w:p>
        </w:tc>
        <w:tc>
          <w:tcPr>
            <w:tcBorders>
              <w:left w:val="single" w:color="auto" w:sz="4" w:space="0"/>
            </w:tcBorders>
            <w:tcW w:w="1503" w:type="dxa"/>
            <w:vAlign w:val="top"/>
            <w:vMerge w:val="continue"/>
            <w:textDirection w:val="lrTb"/>
            <w:noWrap w:val="false"/>
          </w:tcPr>
          <w:p>
            <w:pPr>
              <w:pStyle w:val="1205"/>
              <w:ind w:left="0" w:firstLine="0"/>
              <w:jc w:val="center"/>
              <w:spacing w:before="194" w:line="221"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567"/>
        </w:trPr>
        <w:tc>
          <w:tcPr>
            <w:tcW w:w="1389"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eastAsia="zh-CN"/>
              </w:rPr>
              <w:t xml:space="preserve">采购包4</w:t>
            </w:r>
            <w:r/>
          </w:p>
        </w:tc>
        <w:tc>
          <w:tcPr>
            <w:tcW w:w="2416" w:type="dxa"/>
            <w:vAlign w:val="center"/>
            <w:textDirection w:val="lrTb"/>
            <w:noWrap w:val="false"/>
          </w:tcPr>
          <w:p>
            <w:pPr>
              <w:jc w:val="both"/>
              <w:keepLines w:val="0"/>
              <w:keepNext w:val="0"/>
              <w:pageBreakBefore w:val="0"/>
              <w:spacing w:after="0" w:line="240" w:lineRule="auto"/>
              <w:widowControl w:val="off"/>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eastAsia="zh-CN"/>
              </w:rPr>
              <w:t xml:space="preserve">姑苏</w:t>
            </w:r>
            <w:r>
              <w:rPr>
                <w:rFonts w:hint="eastAsia" w:asciiTheme="minorEastAsia" w:hAnsiTheme="minorEastAsia" w:eastAsiaTheme="minorEastAsia" w:cstheme="minorEastAsia"/>
                <w:color w:val="auto"/>
                <w:sz w:val="24"/>
                <w:szCs w:val="24"/>
                <w:highlight w:val="none"/>
              </w:rPr>
              <w:t xml:space="preserve">区</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护城河</w:t>
            </w:r>
            <w:r>
              <w:rPr>
                <w:rFonts w:hint="eastAsia" w:asciiTheme="minorEastAsia" w:hAnsiTheme="minorEastAsia" w:eastAsiaTheme="minorEastAsia" w:cstheme="minorEastAsia"/>
                <w:color w:val="auto"/>
                <w:sz w:val="24"/>
                <w:szCs w:val="24"/>
                <w:highlight w:val="none"/>
                <w:lang w:val="en-US" w:eastAsia="zh-CN"/>
              </w:rPr>
              <w:t xml:space="preserve">以外）+工业园区</w:t>
            </w:r>
            <w:r/>
          </w:p>
        </w:tc>
        <w:tc>
          <w:tcPr>
            <w:tcBorders>
              <w:right w:val="single" w:color="auto" w:sz="4" w:space="0"/>
            </w:tcBorders>
            <w:tcW w:w="1703"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499000.00</w:t>
            </w:r>
            <w:r/>
          </w:p>
        </w:tc>
        <w:tc>
          <w:tcPr>
            <w:tcBorders>
              <w:left w:val="single" w:color="auto" w:sz="4" w:space="0"/>
              <w:right w:val="single" w:color="auto" w:sz="4" w:space="0"/>
            </w:tcBorders>
            <w:tcW w:w="2124" w:type="dxa"/>
            <w:vAlign w:val="center"/>
            <w:textDirection w:val="lrTb"/>
            <w:noWrap w:val="false"/>
          </w:tcPr>
          <w:p>
            <w:pPr>
              <w:jc w:val="center"/>
              <w:keepLines w:val="0"/>
              <w:keepNext w:val="0"/>
              <w:pageBreakBefore w:val="0"/>
              <w:spacing w:after="0" w:line="240" w:lineRule="auto"/>
              <w:widowControl w:val="off"/>
              <w:rPr>
                <w:rFonts w:hint="default" w:asciiTheme="minorEastAsia" w:hAnsiTheme="minorEastAsia" w:eastAsiaTheme="minorEastAsia" w:cstheme="minorEastAsia"/>
                <w:strike w:val="0"/>
                <w:dstrike/>
                <w:color w:val="auto"/>
                <w:sz w:val="24"/>
                <w:szCs w:val="24"/>
                <w:highlight w:val="none"/>
                <w:lang w:val="en-US" w:eastAsia="zh-CN"/>
              </w:rPr>
            </w:pPr>
            <w:r>
              <w:rPr>
                <w:rFonts w:hint="eastAsia" w:asciiTheme="minorEastAsia" w:hAnsiTheme="minorEastAsia" w:eastAsiaTheme="minorEastAsia" w:cstheme="minorEastAsia"/>
                <w:strike w:val="0"/>
                <w:color w:val="auto"/>
                <w:sz w:val="24"/>
                <w:szCs w:val="24"/>
                <w:highlight w:val="none"/>
                <w:lang w:val="en-US" w:eastAsia="zh-CN"/>
              </w:rPr>
              <w:t xml:space="preserve">1048.80</w:t>
            </w:r>
            <w:r/>
          </w:p>
        </w:tc>
        <w:tc>
          <w:tcPr>
            <w:tcBorders>
              <w:left w:val="single" w:color="auto" w:sz="4" w:space="0"/>
            </w:tcBorders>
            <w:tcW w:w="1503" w:type="dxa"/>
            <w:vAlign w:val="top"/>
            <w:vMerge w:val="continue"/>
            <w:textDirection w:val="lrTb"/>
            <w:noWrap w:val="false"/>
          </w:tcPr>
          <w:p>
            <w:pPr>
              <w:pStyle w:val="1205"/>
              <w:ind w:left="0" w:firstLine="0"/>
              <w:jc w:val="center"/>
              <w:spacing w:before="193" w:line="22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567"/>
        </w:trPr>
        <w:tc>
          <w:tcPr>
            <w:gridSpan w:val="5"/>
            <w:tcW w:w="9135" w:type="dxa"/>
            <w:vAlign w:val="center"/>
            <w:textDirection w:val="lrTb"/>
            <w:noWrap w:val="false"/>
          </w:tcPr>
          <w:p>
            <w:pPr>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备注：</w:t>
            </w:r>
            <w:r>
              <w:rPr>
                <w:rFonts w:hint="eastAsia" w:asciiTheme="minorEastAsia" w:hAnsiTheme="minorEastAsia" w:eastAsiaTheme="minorEastAsia" w:cstheme="minorEastAsia"/>
                <w:color w:val="auto"/>
                <w:sz w:val="24"/>
                <w:szCs w:val="24"/>
                <w:highlight w:val="none"/>
                <w:lang w:val="zh-CN"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val="zh-CN" w:eastAsia="zh-CN"/>
              </w:rPr>
              <w:t xml:space="preserve">本项目</w:t>
            </w:r>
            <w:r>
              <w:rPr>
                <w:rFonts w:hint="eastAsia" w:asciiTheme="minorEastAsia" w:hAnsiTheme="minorEastAsia" w:eastAsiaTheme="minorEastAsia" w:cstheme="minorEastAsia"/>
                <w:color w:val="auto"/>
                <w:sz w:val="24"/>
                <w:szCs w:val="24"/>
                <w:highlight w:val="none"/>
                <w:lang w:val="en-US" w:eastAsia="zh-CN"/>
              </w:rPr>
              <w:t xml:space="preserve">根据国家文物局《考古发掘经费预算定额》规定，按文化层平均厚度不同划</w:t>
            </w:r>
            <w:r>
              <w:rPr>
                <w:rFonts w:hint="eastAsia" w:asciiTheme="minorEastAsia" w:hAnsiTheme="minorEastAsia" w:eastAsiaTheme="minorEastAsia" w:cstheme="minorEastAsia"/>
                <w:color w:val="auto"/>
                <w:sz w:val="24"/>
                <w:szCs w:val="24"/>
                <w:highlight w:val="none"/>
                <w:lang w:val="zh-CN" w:eastAsia="zh-CN"/>
              </w:rPr>
              <w:t xml:space="preserve">分</w:t>
            </w:r>
            <w:r>
              <w:rPr>
                <w:rFonts w:hint="eastAsia" w:asciiTheme="minorEastAsia" w:hAnsiTheme="minorEastAsia" w:eastAsiaTheme="minorEastAsia" w:cstheme="minorEastAsia"/>
                <w:color w:val="auto"/>
                <w:sz w:val="24"/>
                <w:szCs w:val="24"/>
                <w:highlight w:val="none"/>
                <w:lang w:val="en-US" w:eastAsia="zh-CN"/>
              </w:rPr>
              <w:t xml:space="preserve">定价：基准单价912元/m²；姑苏区（护城河</w:t>
            </w:r>
            <w:r>
              <w:rPr>
                <w:rFonts w:hint="eastAsia" w:asciiTheme="minorEastAsia" w:hAnsiTheme="minorEastAsia" w:eastAsiaTheme="minorEastAsia" w:cstheme="minorEastAsia"/>
                <w:color w:val="auto"/>
                <w:sz w:val="24"/>
                <w:szCs w:val="24"/>
                <w:highlight w:val="none"/>
                <w:lang w:val="en-US" w:eastAsia="zh-CN"/>
              </w:rPr>
              <w:t xml:space="preserve">及</w:t>
            </w:r>
            <w:r>
              <w:rPr>
                <w:rFonts w:hint="eastAsia" w:asciiTheme="minorEastAsia" w:hAnsiTheme="minorEastAsia" w:eastAsiaTheme="minorEastAsia" w:cstheme="minorEastAsia"/>
                <w:color w:val="auto"/>
                <w:sz w:val="24"/>
                <w:szCs w:val="24"/>
                <w:highlight w:val="none"/>
                <w:lang w:val="en-US" w:eastAsia="zh-CN"/>
              </w:rPr>
              <w:t xml:space="preserve">以内古城核心区）作业难度最高，按基准价1.3倍上浮，即1185.60元/m²；姑苏区（护城河以外）、工业园区、昆山片区文化层较厚，按基准价1.15倍上浮，即1048.80元/m²；吴江、常熟片区按基准价912元/m²执行。</w:t>
            </w:r>
            <w:r/>
          </w:p>
          <w:p>
            <w:pPr>
              <w:numPr>
                <w:ilvl w:val="0"/>
                <w:numId w:val="0"/>
              </w:numPr>
              <w:ind w:firstLine="720"/>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（2）若有特殊项目，另行协商定价。</w:t>
            </w:r>
            <w:r/>
          </w:p>
        </w:tc>
      </w:tr>
    </w:tbl>
    <w:p>
      <w:pPr>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注：本项目按单价据实结算；最终结算金额达到预算金额总价或合同履行期限到期，任一条件先到，本项目自动终止。</w:t>
      </w:r>
      <w:r/>
    </w:p>
    <w:p>
      <w:pPr>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三、服务内容及要求</w:t>
      </w:r>
      <w:r/>
    </w:p>
    <w:p>
      <w:pPr>
        <w:ind w:right="0"/>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shd w:val="clear" w:color="auto" w:fill="ffffff"/>
          <w:lang w:val="en-US" w:eastAsia="zh-CN"/>
        </w:rPr>
      </w:pPr>
      <w:r>
        <w:rPr>
          <w:rFonts w:hint="eastAsia" w:asciiTheme="minorEastAsia" w:hAnsiTheme="minorEastAsia" w:eastAsiaTheme="minorEastAsia" w:cstheme="minorEastAsia"/>
          <w:color w:val="auto"/>
          <w:sz w:val="24"/>
          <w:szCs w:val="24"/>
          <w:highlight w:val="none"/>
          <w:shd w:val="clear" w:color="auto" w:fill="ffffff"/>
          <w:lang w:val="en-US" w:eastAsia="zh-CN"/>
        </w:rPr>
        <w:t xml:space="preserve">1、项目背景：依据《中华人民共和国文物保护法》《江苏省文物保护条例》《苏州市地下文物保护办法》等法律法规相关要求，为统筹协调文物保护与城市建设发展之间的关系，落实地下文物保护相关法定职责，进一步规范苏州市地下文物考古发掘管理工作，平衡城市开发建设与历史文化遗产保护需求，保障地下文物得到及时、科学、有效保护，现组织开展本次基建考古发掘服务。</w:t>
      </w:r>
      <w:r/>
    </w:p>
    <w:p>
      <w:pPr>
        <w:ind w:right="0"/>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shd w:val="clear" w:color="auto" w:fill="ffffff"/>
          <w:lang w:val="en-US" w:eastAsia="zh-CN"/>
        </w:rPr>
      </w:pPr>
      <w:r>
        <w:rPr>
          <w:rFonts w:hint="eastAsia" w:asciiTheme="minorEastAsia" w:hAnsiTheme="minorEastAsia" w:eastAsiaTheme="minorEastAsia" w:cstheme="minorEastAsia"/>
          <w:color w:val="auto"/>
          <w:sz w:val="24"/>
          <w:szCs w:val="24"/>
          <w:highlight w:val="none"/>
          <w:shd w:val="clear" w:color="auto" w:fill="ffffff"/>
          <w:lang w:val="en-US" w:eastAsia="zh-CN"/>
        </w:rPr>
        <w:t xml:space="preserve">2、项目概况：本次基建考古发掘服务划分为四个标段，分别为昆山片区、吴江及常熟片区、姑苏区（护城河以内及古城核心区）、姑苏区（护城河以外）+ 工业园区标段。主要针对上述区域范围内开展基建考古发掘相关保障，按要求完成各标段对应的基建考古发掘配套保障相关任务，支撑区域地下文物考古工作有序实施。</w:t>
      </w:r>
      <w:r/>
    </w:p>
    <w:p>
      <w:pPr>
        <w:ind w:right="0"/>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lang w:val="en-US" w:eastAsia="zh-CN"/>
        </w:rPr>
        <w:t xml:space="preserve">3</w:t>
      </w:r>
      <w:r>
        <w:rPr>
          <w:rFonts w:hint="eastAsia" w:asciiTheme="minorEastAsia" w:hAnsiTheme="minorEastAsia" w:eastAsiaTheme="minorEastAsia" w:cstheme="minorEastAsia"/>
          <w:color w:val="auto"/>
          <w:sz w:val="24"/>
          <w:szCs w:val="24"/>
          <w:highlight w:val="none"/>
          <w:shd w:val="clear" w:color="auto" w:fill="ffffff"/>
        </w:rPr>
        <w:t xml:space="preserve">、服务要求：</w:t>
      </w:r>
      <w:r/>
    </w:p>
    <w:p>
      <w:pPr>
        <w:ind w:right="0"/>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shd w:val="clear" w:color="auto" w:fill="ffffff"/>
          <w:lang w:val="en-US" w:eastAsia="zh-CN"/>
        </w:rPr>
      </w:pPr>
      <w:r>
        <w:rPr>
          <w:rFonts w:hint="eastAsia" w:asciiTheme="minorEastAsia" w:hAnsiTheme="minorEastAsia" w:eastAsiaTheme="minorEastAsia" w:cstheme="minorEastAsia"/>
          <w:color w:val="auto"/>
          <w:sz w:val="24"/>
          <w:szCs w:val="24"/>
          <w:highlight w:val="none"/>
          <w:shd w:val="clear" w:color="auto" w:fill="ffffff"/>
          <w:lang w:val="en-US" w:eastAsia="zh-CN"/>
        </w:rPr>
        <w:t xml:space="preserve">3.1严格遵循国家文物局颁布的《田野考古工作规程》，结合昆山区、吴江及常熟区、姑苏古城核心区、姑苏区城外及工业园区各标段区域考古工作特点、场地条件及文物保护要求规范作业，确保所有保障工作合规标准化。</w:t>
      </w:r>
      <w:r/>
    </w:p>
    <w:p>
      <w:pPr>
        <w:ind w:right="0"/>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shd w:val="clear" w:color="auto" w:fill="ffffff"/>
          <w:lang w:val="en-US" w:eastAsia="zh-CN"/>
        </w:rPr>
      </w:pPr>
      <w:r>
        <w:rPr>
          <w:rFonts w:hint="eastAsia" w:asciiTheme="minorEastAsia" w:hAnsiTheme="minorEastAsia" w:eastAsiaTheme="minorEastAsia" w:cstheme="minorEastAsia"/>
          <w:color w:val="auto"/>
          <w:sz w:val="24"/>
          <w:szCs w:val="24"/>
          <w:highlight w:val="none"/>
          <w:shd w:val="clear" w:color="auto" w:fill="ffffff"/>
          <w:lang w:val="en-US" w:eastAsia="zh-CN"/>
        </w:rPr>
        <w:t xml:space="preserve">3.2</w:t>
      </w:r>
      <w:r>
        <w:rPr>
          <w:rFonts w:hint="default" w:asciiTheme="minorEastAsia" w:hAnsiTheme="minorEastAsia" w:eastAsiaTheme="minorEastAsia" w:cstheme="minorEastAsia"/>
          <w:color w:val="auto"/>
          <w:sz w:val="24"/>
          <w:szCs w:val="24"/>
          <w:highlight w:val="none"/>
          <w:shd w:val="clear" w:color="auto" w:fill="ffffff"/>
          <w:lang w:val="en-US" w:eastAsia="zh-CN"/>
        </w:rPr>
        <w:t xml:space="preserve">考古发掘作业设备</w:t>
      </w:r>
      <w:r/>
    </w:p>
    <w:p>
      <w:pPr>
        <w:ind w:right="0"/>
        <w:keepLines w:val="0"/>
        <w:keepNext w:val="0"/>
        <w:pageBreakBefore w:val="0"/>
        <w:spacing w:after="0" w:line="360" w:lineRule="auto"/>
        <w:widowControl w:val="off"/>
        <w:rPr>
          <w:rFonts w:hint="eastAsia" w:asciiTheme="minorEastAsia" w:hAnsiTheme="minorEastAsia" w:eastAsiaTheme="minorEastAsia" w:cstheme="minorEastAsia"/>
          <w:strike w:val="0"/>
          <w:color w:val="auto"/>
          <w:sz w:val="24"/>
          <w:szCs w:val="24"/>
          <w:highlight w:val="none"/>
          <w:shd w:val="clear" w:color="auto" w:fill="ffffff"/>
          <w:lang w:val="en-US" w:eastAsia="zh-CN"/>
        </w:rPr>
      </w:pPr>
      <w:r>
        <w:rPr>
          <w:rFonts w:hint="eastAsia" w:asciiTheme="minorEastAsia" w:hAnsiTheme="minorEastAsia" w:eastAsiaTheme="minorEastAsia" w:cstheme="minorEastAsia"/>
          <w:strike w:val="0"/>
          <w:color w:val="auto"/>
          <w:sz w:val="24"/>
          <w:szCs w:val="24"/>
          <w:highlight w:val="none"/>
          <w:shd w:val="clear" w:color="auto" w:fill="ffffff"/>
          <w:lang w:val="en-US" w:eastAsia="zh-CN"/>
        </w:rPr>
        <w:t xml:space="preserve">3.2.1本次考古发掘作业所需基础工具（含测量仪、接收机等RTK设备）、作业设备、辅助保障设备，以及项目实施期间所需食宿、安保等全部配套保障资源，均由中标人自行配备、运维及更新；同步提供出土文物基础清洗、修复、器物绘图、项目资料整理等配套服务（所有相关费用均包含在投标综合报价中，采购人不另行支付任何费用）。</w:t>
      </w:r>
      <w:r/>
    </w:p>
    <w:p>
      <w:pPr>
        <w:ind w:right="0"/>
        <w:keepLines w:val="0"/>
        <w:keepNext w:val="0"/>
        <w:pageBreakBefore w:val="0"/>
        <w:spacing w:after="0" w:line="360" w:lineRule="auto"/>
        <w:widowControl w:val="off"/>
        <w:rPr>
          <w:rFonts w:hint="eastAsia" w:asciiTheme="minorEastAsia" w:hAnsiTheme="minorEastAsia" w:eastAsiaTheme="minorEastAsia" w:cstheme="minorEastAsia"/>
          <w:strike w:val="0"/>
          <w:color w:val="auto"/>
          <w:sz w:val="24"/>
          <w:szCs w:val="24"/>
          <w:highlight w:val="none"/>
          <w:shd w:val="clear" w:color="auto" w:fill="ffffff"/>
          <w:lang w:val="en-US" w:eastAsia="zh-CN"/>
        </w:rPr>
      </w:pPr>
      <w:r>
        <w:rPr>
          <w:rFonts w:hint="eastAsia" w:asciiTheme="minorEastAsia" w:hAnsiTheme="minorEastAsia" w:eastAsiaTheme="minorEastAsia" w:cstheme="minorEastAsia"/>
          <w:strike w:val="0"/>
          <w:color w:val="auto"/>
          <w:sz w:val="24"/>
          <w:szCs w:val="24"/>
          <w:highlight w:val="none"/>
          <w:shd w:val="clear" w:color="auto" w:fill="ffffff"/>
          <w:lang w:val="en-US" w:eastAsia="zh-CN"/>
        </w:rPr>
        <w:t xml:space="preserve">3.2.2投标文件中须提供测量仪、接收机等RTK设备的购置发票或租赁协议或承诺中标后购买/租赁等有效证明文件（承诺中标后购买或租赁的，投标文件中需提供书面承诺函加盖单位鲜章），并出具设备专用于本项目的书面承诺；未按要求提供材料或作出承诺的，按无效响应处理。</w:t>
      </w:r>
      <w:r/>
    </w:p>
    <w:p>
      <w:pPr>
        <w:ind w:right="0"/>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shd w:val="clear" w:color="auto" w:fill="ffffff"/>
          <w:lang w:val="en-US" w:eastAsia="zh-CN"/>
        </w:rPr>
      </w:pPr>
      <w:r>
        <w:rPr>
          <w:rFonts w:hint="eastAsia" w:asciiTheme="minorEastAsia" w:hAnsiTheme="minorEastAsia" w:eastAsiaTheme="minorEastAsia" w:cstheme="minorEastAsia"/>
          <w:color w:val="auto"/>
          <w:sz w:val="24"/>
          <w:szCs w:val="24"/>
          <w:highlight w:val="none"/>
          <w:shd w:val="clear" w:color="auto" w:fill="ffffff"/>
          <w:lang w:val="en-US" w:eastAsia="zh-CN"/>
        </w:rPr>
        <w:t xml:space="preserve">3.3严格遵守采购人各项保密管理制度及文物项目保密规范，所有考古项目资料、场地信息、发掘进度、文物数据、工作成果、专项报告等全部信息严格保密。严禁私自留存、复制、保管相关资料，严禁向任何第三方泄露项目开展情况及核心考古资料，项目全过程及服务期满后均需持续履行保密义务。</w:t>
      </w:r>
      <w:r/>
    </w:p>
    <w:p>
      <w:pPr>
        <w:ind w:right="0"/>
        <w:keepLines w:val="0"/>
        <w:keepNext w:val="0"/>
        <w:pageBreakBefore w:val="0"/>
        <w:spacing w:after="0" w:line="360" w:lineRule="auto"/>
        <w:widowControl w:val="off"/>
        <w:rPr>
          <w:rFonts w:hint="default" w:ascii="宋体" w:hAnsi="宋体" w:cs="宋体"/>
          <w:color w:val="auto"/>
          <w:sz w:val="24"/>
          <w:szCs w:val="24"/>
          <w:highlight w:val="none"/>
          <w:shd w:val="clear" w:color="auto" w:fill="ffffff"/>
          <w:lang w:val="en-US" w:eastAsia="zh-CN"/>
        </w:rPr>
      </w:pPr>
      <w:r>
        <w:rPr>
          <w:rFonts w:hint="eastAsia" w:asciiTheme="minorEastAsia" w:hAnsiTheme="minorEastAsia" w:eastAsiaTheme="minorEastAsia" w:cstheme="minorEastAsia"/>
          <w:color w:val="auto"/>
          <w:sz w:val="24"/>
          <w:szCs w:val="24"/>
          <w:highlight w:val="none"/>
          <w:shd w:val="clear" w:color="auto" w:fill="ffffff"/>
          <w:lang w:val="en-US" w:eastAsia="zh-CN"/>
        </w:rPr>
        <w:t xml:space="preserve">3.4派驻所有人员须熟知并严格遵守《中华人民共和国文物保护法》及地方文物保护相关规定，坚守职业底线。</w:t>
      </w:r>
      <w:r>
        <w:rPr>
          <w:rFonts w:hint="eastAsia" w:asciiTheme="minorEastAsia" w:hAnsiTheme="minorEastAsia" w:eastAsiaTheme="minorEastAsia" w:cstheme="minorEastAsia"/>
          <w:color w:val="auto"/>
          <w:spacing w:val="1"/>
          <w:sz w:val="24"/>
          <w:szCs w:val="24"/>
          <w:highlight w:val="none"/>
        </w:rPr>
        <w:t xml:space="preserve">严禁以任何形</w:t>
      </w:r>
      <w:r>
        <w:rPr>
          <w:rFonts w:hint="eastAsia" w:asciiTheme="minorEastAsia" w:hAnsiTheme="minorEastAsia" w:eastAsiaTheme="minorEastAsia" w:cstheme="minorEastAsia"/>
          <w:color w:val="auto"/>
          <w:sz w:val="24"/>
          <w:szCs w:val="24"/>
          <w:highlight w:val="none"/>
        </w:rPr>
        <w:t xml:space="preserve">式私自传播泄露工地任何工作</w:t>
      </w:r>
      <w:r>
        <w:rPr>
          <w:rFonts w:hint="eastAsia" w:asciiTheme="minorEastAsia" w:hAnsiTheme="minorEastAsia" w:eastAsiaTheme="minorEastAsia" w:cstheme="minorEastAsia"/>
          <w:color w:val="auto"/>
          <w:spacing w:val="1"/>
          <w:sz w:val="24"/>
          <w:szCs w:val="24"/>
          <w:highlight w:val="none"/>
        </w:rPr>
        <w:t xml:space="preserve">信息资料</w:t>
      </w:r>
      <w:r>
        <w:rPr>
          <w:rFonts w:hint="eastAsia" w:asciiTheme="minorEastAsia" w:hAnsiTheme="minorEastAsia" w:eastAsiaTheme="minorEastAsia" w:cstheme="minorEastAsia"/>
          <w:color w:val="auto"/>
          <w:sz w:val="24"/>
          <w:szCs w:val="24"/>
          <w:highlight w:val="none"/>
          <w:shd w:val="clear" w:color="auto" w:fill="ffffff"/>
          <w:lang w:val="en-US" w:eastAsia="zh-CN"/>
        </w:rPr>
        <w:t xml:space="preserve">。一经发现违规行为，采购人有权无条件终止服务合同</w:t>
      </w:r>
      <w:r>
        <w:rPr>
          <w:rFonts w:hint="default" w:ascii="宋体" w:hAnsi="宋体" w:cs="宋体"/>
          <w:color w:val="auto"/>
          <w:sz w:val="24"/>
          <w:szCs w:val="24"/>
          <w:highlight w:val="none"/>
          <w:shd w:val="clear" w:color="auto" w:fill="ffffff"/>
          <w:lang w:val="en-US" w:eastAsia="zh-CN"/>
        </w:rPr>
        <w:t xml:space="preserve">，扣除相关履约保证金，并依法追究涉事人员及中标单位的连带法律责任。</w:t>
      </w:r>
      <w:r/>
    </w:p>
    <w:p>
      <w:pPr>
        <w:ind w:right="0"/>
        <w:keepLines w:val="0"/>
        <w:keepNext w:val="0"/>
        <w:pageBreakBefore w:val="0"/>
        <w:spacing w:after="0" w:line="360" w:lineRule="auto"/>
        <w:widowControl w:val="off"/>
        <w:rPr>
          <w:rFonts w:hint="default" w:ascii="宋体" w:hAnsi="宋体" w:cs="宋体"/>
          <w:color w:val="auto"/>
          <w:sz w:val="24"/>
          <w:szCs w:val="24"/>
          <w:highlight w:val="none"/>
          <w:shd w:val="clear" w:color="auto" w:fill="ffffff"/>
          <w:lang w:val="en-US" w:eastAsia="zh-CN"/>
        </w:rPr>
      </w:pPr>
      <w:r>
        <w:rPr>
          <w:rFonts w:hint="eastAsia" w:ascii="宋体" w:hAnsi="宋体" w:cs="宋体"/>
          <w:color w:val="auto"/>
          <w:sz w:val="24"/>
          <w:szCs w:val="24"/>
          <w:highlight w:val="none"/>
          <w:shd w:val="clear" w:color="auto" w:fill="ffffff"/>
          <w:lang w:val="en-US" w:eastAsia="zh-CN"/>
        </w:rPr>
        <w:t xml:space="preserve">3.5</w:t>
      </w:r>
      <w:r>
        <w:rPr>
          <w:rFonts w:hint="default" w:ascii="宋体" w:hAnsi="宋体" w:cs="宋体"/>
          <w:color w:val="auto"/>
          <w:sz w:val="24"/>
          <w:szCs w:val="24"/>
          <w:highlight w:val="none"/>
          <w:shd w:val="clear" w:color="auto" w:fill="ffffff"/>
          <w:lang w:val="en-US" w:eastAsia="zh-CN"/>
        </w:rPr>
        <w:t xml:space="preserve">作业期间需全面落实安全管理制度、安全防护措施，全程管控作业风险，</w:t>
      </w:r>
      <w:r>
        <w:rPr>
          <w:rFonts w:hint="eastAsia" w:ascii="宋体" w:hAnsi="宋体" w:cs="宋体"/>
          <w:color w:val="auto"/>
          <w:sz w:val="24"/>
          <w:szCs w:val="24"/>
          <w:highlight w:val="none"/>
          <w:shd w:val="clear" w:color="auto" w:fill="ffffff"/>
          <w:lang w:val="en-US" w:eastAsia="zh-CN"/>
        </w:rPr>
        <w:t xml:space="preserve">对</w:t>
      </w:r>
      <w:r>
        <w:rPr>
          <w:rFonts w:hint="default" w:ascii="宋体" w:hAnsi="宋体" w:cs="宋体"/>
          <w:color w:val="auto"/>
          <w:sz w:val="24"/>
          <w:szCs w:val="24"/>
          <w:highlight w:val="none"/>
          <w:shd w:val="clear" w:color="auto" w:fill="ffffff"/>
          <w:lang w:val="en-US" w:eastAsia="zh-CN"/>
        </w:rPr>
        <w:t xml:space="preserve">考古发掘</w:t>
      </w:r>
      <w:r>
        <w:rPr>
          <w:rFonts w:hint="eastAsia" w:ascii="宋体" w:hAnsi="宋体" w:cs="宋体"/>
          <w:color w:val="auto"/>
          <w:sz w:val="24"/>
          <w:szCs w:val="24"/>
          <w:highlight w:val="none"/>
          <w:shd w:val="clear" w:color="auto" w:fill="ffffff"/>
          <w:lang w:val="en-US" w:eastAsia="zh-CN"/>
        </w:rPr>
        <w:t xml:space="preserve">服务</w:t>
      </w:r>
      <w:r>
        <w:rPr>
          <w:rFonts w:hint="default" w:ascii="宋体" w:hAnsi="宋体" w:cs="宋体"/>
          <w:color w:val="auto"/>
          <w:sz w:val="24"/>
          <w:szCs w:val="24"/>
          <w:highlight w:val="none"/>
          <w:shd w:val="clear" w:color="auto" w:fill="ffffff"/>
          <w:lang w:val="en-US" w:eastAsia="zh-CN"/>
        </w:rPr>
        <w:t xml:space="preserve">人员安全、设备物资安全、作业场地安全、周边环境安全及文物作业安全承担全部主体责任</w:t>
      </w:r>
      <w:r>
        <w:rPr>
          <w:rFonts w:hint="eastAsia" w:ascii="宋体" w:hAnsi="宋体" w:cs="宋体"/>
          <w:color w:val="auto"/>
          <w:sz w:val="24"/>
          <w:szCs w:val="24"/>
          <w:highlight w:val="none"/>
          <w:shd w:val="clear" w:color="auto" w:fill="ffffff"/>
          <w:lang w:val="en-US" w:eastAsia="zh-CN"/>
        </w:rPr>
        <w:t xml:space="preserve">，</w:t>
      </w:r>
      <w:r>
        <w:rPr>
          <w:rFonts w:hint="default" w:ascii="宋体" w:hAnsi="宋体" w:cs="宋体"/>
          <w:color w:val="auto"/>
          <w:sz w:val="24"/>
          <w:szCs w:val="24"/>
          <w:highlight w:val="none"/>
          <w:shd w:val="clear" w:color="auto" w:fill="ffffff"/>
          <w:lang w:val="en-US" w:eastAsia="zh-CN"/>
        </w:rPr>
        <w:t xml:space="preserve">若发生人员伤亡、物资损毁、场地事故、文物损坏、舆情纠纷等一切安全事故及不利后果，均由中标人全权承担所有损失及全部法律、经济责任。</w:t>
      </w:r>
      <w:r/>
    </w:p>
    <w:p>
      <w:pPr>
        <w:ind w:right="0"/>
        <w:keepLines w:val="0"/>
        <w:keepNext w:val="0"/>
        <w:pageBreakBefore w:val="0"/>
        <w:spacing w:after="0" w:line="360" w:lineRule="auto"/>
        <w:widowControl w:val="off"/>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val="en-US" w:eastAsia="zh-CN"/>
        </w:rPr>
        <w:t xml:space="preserve">4</w:t>
      </w:r>
      <w:r>
        <w:rPr>
          <w:rFonts w:hint="eastAsia" w:ascii="宋体" w:hAnsi="宋体" w:cs="宋体"/>
          <w:color w:val="auto"/>
          <w:sz w:val="24"/>
          <w:szCs w:val="24"/>
          <w:highlight w:val="none"/>
          <w:shd w:val="clear" w:color="auto" w:fill="ffffff"/>
        </w:rPr>
        <w:t xml:space="preserve">、服务人员要求</w:t>
      </w:r>
      <w:r/>
    </w:p>
    <w:p>
      <w:pPr>
        <w:ind w:right="0"/>
        <w:keepLines w:val="0"/>
        <w:keepNext w:val="0"/>
        <w:pageBreakBefore w:val="0"/>
        <w:spacing w:after="0"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配置人员：</w:t>
      </w:r>
      <w:r>
        <w:rPr>
          <w:rFonts w:ascii="宋体" w:hAnsi="宋体" w:eastAsia="宋体" w:cs="宋体"/>
          <w:strike w:val="0"/>
          <w:color w:val="auto"/>
          <w:sz w:val="24"/>
          <w:szCs w:val="24"/>
          <w:highlight w:val="none"/>
        </w:rPr>
        <w:t xml:space="preserve">总数不少于</w:t>
      </w:r>
      <w:r>
        <w:rPr>
          <w:rFonts w:hint="eastAsia" w:ascii="宋体" w:hAnsi="宋体" w:cs="宋体"/>
          <w:strike w:val="0"/>
          <w:color w:val="auto"/>
          <w:sz w:val="24"/>
          <w:szCs w:val="24"/>
          <w:highlight w:val="none"/>
          <w:lang w:val="en-US" w:eastAsia="zh-CN"/>
        </w:rPr>
        <w:t xml:space="preserve">6</w:t>
      </w:r>
      <w:r>
        <w:rPr>
          <w:rFonts w:ascii="宋体" w:hAnsi="宋体" w:eastAsia="宋体" w:cs="宋体"/>
          <w:strike w:val="0"/>
          <w:color w:val="auto"/>
          <w:sz w:val="24"/>
          <w:szCs w:val="24"/>
          <w:highlight w:val="none"/>
        </w:rPr>
        <w:t xml:space="preserve">名</w:t>
      </w:r>
      <w:r>
        <w:rPr>
          <w:rFonts w:hint="eastAsia" w:ascii="宋体" w:hAnsi="宋体" w:eastAsia="宋体" w:cs="宋体"/>
          <w:strike w:val="0"/>
          <w:color w:val="auto"/>
          <w:sz w:val="24"/>
          <w:szCs w:val="24"/>
          <w:highlight w:val="none"/>
          <w:lang w:val="en-US" w:eastAsia="zh-CN"/>
        </w:rPr>
        <w:t xml:space="preserve">；其中</w:t>
      </w:r>
      <w:r>
        <w:rPr>
          <w:rFonts w:ascii="宋体" w:hAnsi="宋体" w:eastAsia="宋体" w:cs="宋体"/>
          <w:strike w:val="0"/>
          <w:color w:val="auto"/>
          <w:sz w:val="24"/>
          <w:szCs w:val="24"/>
          <w:highlight w:val="none"/>
        </w:rPr>
        <w:t xml:space="preserve">现场负责人 1 名、专业技术人员</w:t>
      </w:r>
      <w:r>
        <w:rPr>
          <w:rFonts w:hint="eastAsia" w:ascii="宋体" w:hAnsi="宋体" w:eastAsia="宋体" w:cs="宋体"/>
          <w:strike w:val="0"/>
          <w:color w:val="auto"/>
          <w:sz w:val="24"/>
          <w:szCs w:val="24"/>
          <w:highlight w:val="none"/>
          <w:lang w:eastAsia="zh-CN"/>
        </w:rPr>
        <w:t xml:space="preserve">（</w:t>
      </w:r>
      <w:r>
        <w:rPr>
          <w:rFonts w:hint="eastAsia" w:ascii="宋体" w:hAnsi="宋体" w:eastAsia="宋体" w:cs="宋体"/>
          <w:strike w:val="0"/>
          <w:color w:val="auto"/>
          <w:sz w:val="24"/>
          <w:szCs w:val="24"/>
          <w:highlight w:val="none"/>
          <w:lang w:val="en-US" w:eastAsia="zh-CN"/>
        </w:rPr>
        <w:t xml:space="preserve">不含项目负责人）</w:t>
      </w:r>
      <w:r>
        <w:rPr>
          <w:rFonts w:hint="eastAsia" w:ascii="宋体" w:hAnsi="宋体" w:cs="宋体"/>
          <w:strike w:val="0"/>
          <w:color w:val="auto"/>
          <w:sz w:val="24"/>
          <w:szCs w:val="24"/>
          <w:highlight w:val="none"/>
          <w:lang w:val="en-US" w:eastAsia="zh-CN"/>
        </w:rPr>
        <w:t xml:space="preserve">不少于2</w:t>
      </w:r>
      <w:r>
        <w:rPr>
          <w:rFonts w:ascii="宋体" w:hAnsi="宋体" w:eastAsia="宋体" w:cs="宋体"/>
          <w:strike w:val="0"/>
          <w:color w:val="auto"/>
          <w:sz w:val="24"/>
          <w:szCs w:val="24"/>
          <w:highlight w:val="none"/>
        </w:rPr>
        <w:t xml:space="preserve">名，同时按需配备</w:t>
      </w:r>
      <w:r>
        <w:rPr>
          <w:rFonts w:hint="eastAsia" w:ascii="宋体" w:hAnsi="宋体" w:cs="宋体"/>
          <w:strike w:val="0"/>
          <w:color w:val="auto"/>
          <w:sz w:val="24"/>
          <w:szCs w:val="24"/>
          <w:highlight w:val="none"/>
          <w:lang w:val="en-US" w:eastAsia="zh-CN"/>
        </w:rPr>
        <w:t xml:space="preserve">相关</w:t>
      </w:r>
      <w:r>
        <w:rPr>
          <w:rFonts w:ascii="宋体" w:hAnsi="宋体" w:eastAsia="宋体" w:cs="宋体"/>
          <w:strike w:val="0"/>
          <w:color w:val="auto"/>
          <w:sz w:val="24"/>
          <w:szCs w:val="24"/>
          <w:highlight w:val="none"/>
        </w:rPr>
        <w:t xml:space="preserve">配套服务人员</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 </w:t>
      </w:r>
      <w:r/>
    </w:p>
    <w:p>
      <w:pPr>
        <w:ind w:right="0"/>
        <w:keepLines w:val="0"/>
        <w:keepNext w:val="0"/>
        <w:pageBreakBefore w:val="0"/>
        <w:spacing w:after="0"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4.2为</w:t>
      </w:r>
      <w:r>
        <w:rPr>
          <w:rFonts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所</w:t>
      </w:r>
      <w:r>
        <w:rPr>
          <w:rFonts w:ascii="宋体" w:hAnsi="宋体" w:eastAsia="宋体" w:cs="宋体"/>
          <w:color w:val="auto"/>
          <w:sz w:val="24"/>
          <w:szCs w:val="24"/>
          <w:highlight w:val="none"/>
        </w:rPr>
        <w:t xml:space="preserve">配备现场负责人，投标文件中</w:t>
      </w:r>
      <w:r>
        <w:rPr>
          <w:rFonts w:hint="eastAsia" w:ascii="宋体" w:hAnsi="宋体" w:eastAsia="宋体" w:cs="宋体"/>
          <w:color w:val="auto"/>
          <w:sz w:val="24"/>
          <w:szCs w:val="24"/>
          <w:highlight w:val="none"/>
          <w:lang w:val="en-US" w:eastAsia="zh-CN"/>
        </w:rPr>
        <w:t xml:space="preserve">需</w:t>
      </w:r>
      <w:r>
        <w:rPr>
          <w:rFonts w:ascii="宋体" w:hAnsi="宋体" w:eastAsia="宋体" w:cs="宋体"/>
          <w:color w:val="auto"/>
          <w:sz w:val="24"/>
          <w:szCs w:val="24"/>
          <w:highlight w:val="none"/>
        </w:rPr>
        <w:t xml:space="preserve">提供该人员近</w:t>
      </w:r>
      <w:r>
        <w:rPr>
          <w:rFonts w:hint="eastAsia" w:ascii="宋体" w:hAnsi="宋体" w:eastAsia="宋体" w:cs="宋体"/>
          <w:color w:val="auto"/>
          <w:sz w:val="24"/>
          <w:szCs w:val="24"/>
          <w:highlight w:val="none"/>
          <w:lang w:val="en-US" w:eastAsia="zh-CN"/>
        </w:rPr>
        <w:t xml:space="preserve">一</w:t>
      </w:r>
      <w:r>
        <w:rPr>
          <w:rFonts w:ascii="宋体" w:hAnsi="宋体" w:eastAsia="宋体" w:cs="宋体"/>
          <w:color w:val="auto"/>
          <w:sz w:val="24"/>
          <w:szCs w:val="24"/>
          <w:highlight w:val="none"/>
        </w:rPr>
        <w:t xml:space="preserve">个月</w:t>
      </w:r>
      <w:r>
        <w:rPr>
          <w:rFonts w:hint="eastAsia" w:ascii="宋体" w:hAnsi="宋体" w:eastAsia="宋体" w:cs="宋体"/>
          <w:color w:val="auto"/>
          <w:sz w:val="24"/>
          <w:szCs w:val="24"/>
          <w:highlight w:val="none"/>
          <w:lang w:val="en-US" w:eastAsia="zh-CN"/>
        </w:rPr>
        <w:t xml:space="preserve">投标单位缴纳</w:t>
      </w:r>
      <w:r>
        <w:rPr>
          <w:rFonts w:ascii="宋体" w:hAnsi="宋体" w:eastAsia="宋体" w:cs="宋体"/>
          <w:color w:val="auto"/>
          <w:sz w:val="24"/>
          <w:szCs w:val="24"/>
          <w:highlight w:val="none"/>
        </w:rPr>
        <w:t xml:space="preserve">社保证明（社保部门出具，需载明人员姓名）及劳动合同，未按要求提供的按非实质性响应处理。</w:t>
      </w:r>
      <w:r/>
    </w:p>
    <w:p>
      <w:pPr>
        <w:ind w:right="0"/>
        <w:keepLines w:val="0"/>
        <w:keepNext w:val="0"/>
        <w:pageBreakBefore w:val="0"/>
        <w:spacing w:after="0" w:line="360" w:lineRule="auto"/>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4.3</w:t>
      </w:r>
      <w:r>
        <w:rPr>
          <w:rFonts w:hint="eastAsia" w:ascii="宋体" w:hAnsi="宋体" w:cs="宋体"/>
          <w:color w:val="auto"/>
          <w:sz w:val="24"/>
          <w:szCs w:val="24"/>
          <w:highlight w:val="none"/>
          <w:lang w:val="en-US" w:eastAsia="zh-CN"/>
        </w:rPr>
        <w:t xml:space="preserve">根据项目</w:t>
      </w:r>
      <w:r>
        <w:rPr>
          <w:rFonts w:ascii="宋体" w:hAnsi="宋体" w:eastAsia="宋体" w:cs="宋体"/>
          <w:color w:val="auto"/>
          <w:sz w:val="24"/>
          <w:szCs w:val="24"/>
          <w:highlight w:val="none"/>
        </w:rPr>
        <w:t xml:space="preserve">实施强度及</w:t>
      </w:r>
      <w:r>
        <w:rPr>
          <w:rFonts w:hint="eastAsia" w:ascii="宋体" w:hAnsi="宋体" w:cs="宋体"/>
          <w:color w:val="auto"/>
          <w:sz w:val="24"/>
          <w:szCs w:val="24"/>
          <w:highlight w:val="none"/>
          <w:lang w:val="en-US" w:eastAsia="zh-CN"/>
        </w:rPr>
        <w:t xml:space="preserve">实际需求</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提供足够数量作业人员；</w:t>
      </w:r>
      <w:r>
        <w:rPr>
          <w:rFonts w:ascii="宋体" w:hAnsi="宋体" w:eastAsia="宋体" w:cs="宋体"/>
          <w:color w:val="auto"/>
          <w:sz w:val="24"/>
          <w:szCs w:val="24"/>
          <w:highlight w:val="none"/>
        </w:rPr>
        <w:t xml:space="preserve">作业人员须具备相关工作经验，身体健康，适宜户外作业，能够胜任中等强度体力劳</w:t>
      </w:r>
      <w:r>
        <w:rPr>
          <w:rFonts w:hint="eastAsia" w:ascii="宋体" w:hAnsi="宋体" w:cs="宋体"/>
          <w:color w:val="auto"/>
          <w:sz w:val="24"/>
          <w:szCs w:val="24"/>
          <w:highlight w:val="none"/>
          <w:lang w:val="en-US" w:eastAsia="zh-CN"/>
        </w:rPr>
        <w:t xml:space="preserve">动，所有进场人员均无违法犯罪记录。单个项目作业人员应保持相对稳定，确需更换人员的，须提前 2 个工作日书面告知采购人，经采购人同意后方可更换。</w:t>
      </w:r>
      <w:r/>
    </w:p>
    <w:p>
      <w:pPr>
        <w:ind w:right="0"/>
        <w:keepLines w:val="0"/>
        <w:keepNext w:val="0"/>
        <w:pageBreakBefore w:val="0"/>
        <w:spacing w:after="0"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4.4</w:t>
      </w:r>
      <w:r>
        <w:rPr>
          <w:rFonts w:ascii="宋体" w:hAnsi="宋体" w:eastAsia="宋体" w:cs="宋体"/>
          <w:color w:val="auto"/>
          <w:sz w:val="24"/>
          <w:szCs w:val="24"/>
          <w:highlight w:val="none"/>
        </w:rPr>
        <w:t xml:space="preserve">进场作业前须组织全部进场人员</w:t>
      </w:r>
      <w:r>
        <w:rPr>
          <w:rFonts w:hint="eastAsia" w:ascii="宋体" w:hAnsi="宋体" w:eastAsia="宋体" w:cs="宋体"/>
          <w:color w:val="auto"/>
          <w:sz w:val="24"/>
          <w:szCs w:val="24"/>
          <w:highlight w:val="none"/>
          <w:lang w:val="en-US" w:eastAsia="zh-CN"/>
        </w:rPr>
        <w:t xml:space="preserve">进行</w:t>
      </w:r>
      <w:r>
        <w:rPr>
          <w:rFonts w:ascii="宋体" w:hAnsi="宋体" w:eastAsia="宋体" w:cs="宋体"/>
          <w:color w:val="auto"/>
          <w:sz w:val="24"/>
          <w:szCs w:val="24"/>
          <w:highlight w:val="none"/>
        </w:rPr>
        <w:t xml:space="preserve">安全生产教育培训，明确现场工作纪律。强化现场管理，维护作业现场秩序，保障考古发掘工作有序开展；落实各项安全防护措施，保障现场人员及作业安全。若因中标人人员原因引发安全事故，全部责任由中标人承担，采购人保留追究中标人相应责任的权利。 </w:t>
      </w:r>
      <w:r/>
    </w:p>
    <w:p>
      <w:pPr>
        <w:ind w:right="0"/>
        <w:keepLines w:val="0"/>
        <w:keepNext w:val="0"/>
        <w:pageBreakBefore w:val="0"/>
        <w:spacing w:after="0"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4.5</w:t>
      </w:r>
      <w:r>
        <w:rPr>
          <w:rFonts w:ascii="宋体" w:hAnsi="宋体" w:eastAsia="宋体" w:cs="宋体"/>
          <w:color w:val="auto"/>
          <w:sz w:val="24"/>
          <w:szCs w:val="24"/>
          <w:highlight w:val="none"/>
        </w:rPr>
        <w:t xml:space="preserve">中标人须为上述全部进场人员投保团体人身意外伤害保险</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投标文件中需提供书面承诺，否则作未实质性响应处理）</w:t>
      </w:r>
      <w:r>
        <w:rPr>
          <w:rFonts w:ascii="宋体" w:hAnsi="宋体" w:eastAsia="宋体" w:cs="宋体"/>
          <w:color w:val="auto"/>
          <w:sz w:val="24"/>
          <w:szCs w:val="24"/>
          <w:highlight w:val="none"/>
        </w:rPr>
        <w:t xml:space="preserve">。 </w:t>
      </w:r>
      <w:r/>
    </w:p>
    <w:p>
      <w:pPr>
        <w:ind w:right="0"/>
        <w:keepLines w:val="0"/>
        <w:keepNext w:val="0"/>
        <w:pageBreakBefore w:val="0"/>
        <w:spacing w:after="0"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4.6</w:t>
      </w:r>
      <w:r>
        <w:rPr>
          <w:rFonts w:ascii="宋体" w:hAnsi="宋体" w:eastAsia="宋体" w:cs="宋体"/>
          <w:color w:val="auto"/>
          <w:sz w:val="24"/>
          <w:szCs w:val="24"/>
          <w:highlight w:val="none"/>
        </w:rPr>
        <w:t xml:space="preserve">若因中标人人员违规操作引发安全事故或造成地下管线损坏，由中标人负责处置，并承担由此产生的全部损失与费用。发掘过程中涉及高危作业内容的，中标人应当及时向采购人报备，并落实合理防护措施，保障人员安全；安全条件、防护措施未到位的，中标人应及时向采购人报告并暂停相关作业。</w:t>
      </w:r>
      <w:r/>
    </w:p>
    <w:p>
      <w:pPr>
        <w:ind w:right="0"/>
        <w:keepLines w:val="0"/>
        <w:keepNext w:val="0"/>
        <w:pageBreakBefore w:val="0"/>
        <w:spacing w:after="0" w:line="360" w:lineRule="auto"/>
        <w:widowControl w:val="off"/>
        <w:rPr>
          <w:rFonts w:hint="eastAsia" w:ascii="宋体" w:hAnsi="宋体" w:cs="宋体"/>
          <w:color w:val="auto"/>
          <w:sz w:val="24"/>
          <w:szCs w:val="24"/>
          <w:highlight w:val="none"/>
          <w:shd w:val="clear" w:color="auto" w:fill="ffffff"/>
        </w:rPr>
      </w:pPr>
      <w:r>
        <w:rPr>
          <w:rFonts w:hint="eastAsia" w:ascii="宋体" w:hAnsi="宋体" w:eastAsia="宋体" w:cs="宋体"/>
          <w:color w:val="auto"/>
          <w:sz w:val="24"/>
          <w:szCs w:val="24"/>
          <w:highlight w:val="none"/>
          <w:lang w:val="en-US" w:eastAsia="zh-CN"/>
        </w:rPr>
        <w:t xml:space="preserve">4.7</w:t>
      </w:r>
      <w:r>
        <w:rPr>
          <w:rFonts w:ascii="宋体" w:hAnsi="宋体" w:eastAsia="宋体" w:cs="宋体"/>
          <w:color w:val="auto"/>
          <w:sz w:val="24"/>
          <w:szCs w:val="24"/>
          <w:highlight w:val="none"/>
        </w:rPr>
        <w:t xml:space="preserve">提供临时驻地至项目工地的交通保障，承担交通安全管理责任；如发生交通事故，全部责任由中标人承担。</w:t>
      </w:r>
      <w:r/>
    </w:p>
    <w:p>
      <w:pPr>
        <w:numPr>
          <w:ilvl w:val="0"/>
          <w:numId w:val="2"/>
        </w:numPr>
        <w:ind w:right="0"/>
        <w:keepLines w:val="0"/>
        <w:keepNext w:val="0"/>
        <w:pageBreakBefore w:val="0"/>
        <w:spacing w:after="0"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其他要求</w:t>
      </w:r>
      <w:r/>
    </w:p>
    <w:p>
      <w:pPr>
        <w:numPr>
          <w:ilvl w:val="0"/>
          <w:numId w:val="0"/>
        </w:numPr>
        <w:ind w:right="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5.1</w:t>
      </w:r>
      <w:r>
        <w:rPr>
          <w:rFonts w:hint="default" w:ascii="宋体" w:hAnsi="宋体" w:eastAsia="宋体" w:cs="宋体"/>
          <w:color w:val="auto"/>
          <w:sz w:val="24"/>
          <w:szCs w:val="24"/>
          <w:highlight w:val="none"/>
          <w:lang w:val="en-US" w:eastAsia="zh-CN"/>
        </w:rPr>
        <w:t xml:space="preserve">严格遵守国家相关法律法规、行业执业准则，秉持独立、客观、公正的执业原则，严格执行标准执业规范与工作流程，合规开展项目各项工作。</w:t>
      </w:r>
      <w:r/>
    </w:p>
    <w:p>
      <w:pPr>
        <w:ind w:right="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default" w:ascii="宋体" w:hAnsi="宋体" w:eastAsia="宋体" w:cs="宋体"/>
          <w:color w:val="auto"/>
          <w:sz w:val="24"/>
          <w:szCs w:val="24"/>
          <w:highlight w:val="none"/>
          <w:lang w:val="en-US" w:eastAsia="zh-CN"/>
        </w:rPr>
        <w:t xml:space="preserve">2全程恪守诚实信用原则，坚守职业底线，严禁出现损害国家利益、社会公共利益及第三方合法权益的行为。</w:t>
      </w:r>
      <w:r/>
    </w:p>
    <w:p>
      <w:pPr>
        <w:ind w:right="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default" w:ascii="宋体" w:hAnsi="宋体" w:eastAsia="宋体" w:cs="宋体"/>
          <w:color w:val="auto"/>
          <w:sz w:val="24"/>
          <w:szCs w:val="24"/>
          <w:highlight w:val="none"/>
          <w:lang w:val="en-US" w:eastAsia="zh-CN"/>
        </w:rPr>
        <w:t xml:space="preserve">3项目全过程涉及的工作信息、作业资料、工作成果、验收报告等所有相关内容严格保密，严格遵守国家保密法规及本项目调查、审核、履约相关保密约定。严禁泄露工作中知悉的国家秘密、合作方商业秘密及项目内部信息，严禁擅自将项目获取的各类文物信息披露、传递给任何第三方主体。</w:t>
      </w:r>
      <w:r/>
    </w:p>
    <w:p>
      <w:pPr>
        <w:ind w:right="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default" w:ascii="宋体" w:hAnsi="宋体" w:eastAsia="宋体" w:cs="宋体"/>
          <w:color w:val="auto"/>
          <w:sz w:val="24"/>
          <w:szCs w:val="24"/>
          <w:highlight w:val="none"/>
          <w:lang w:val="en-US" w:eastAsia="zh-CN"/>
        </w:rPr>
        <w:t xml:space="preserve">4规范做好考古发掘全过程工作记录，作业过程中形成的各类资料、台账</w:t>
      </w:r>
      <w:r>
        <w:rPr>
          <w:rFonts w:hint="eastAsia" w:ascii="宋体" w:hAnsi="宋体" w:cs="宋体"/>
          <w:color w:val="auto"/>
          <w:sz w:val="24"/>
          <w:szCs w:val="24"/>
          <w:highlight w:val="none"/>
          <w:lang w:val="en-US" w:eastAsia="zh-CN"/>
        </w:rPr>
        <w:t xml:space="preserve">及所在地电子资料信息归档；</w:t>
      </w:r>
      <w:r>
        <w:rPr>
          <w:rFonts w:hint="default" w:ascii="宋体" w:hAnsi="宋体" w:eastAsia="宋体" w:cs="宋体"/>
          <w:color w:val="auto"/>
          <w:sz w:val="24"/>
          <w:szCs w:val="24"/>
          <w:highlight w:val="none"/>
          <w:lang w:val="en-US" w:eastAsia="zh-CN"/>
        </w:rPr>
        <w:t xml:space="preserve">数据须真实、完整、准确，如实反映现场作业及项目实施实际情况，确保记录清晰、数据准确、结论严谨，并对其出具的所有工作记录、成果资料、正式报告承担全部法律及工作责任。</w:t>
      </w:r>
      <w:r/>
    </w:p>
    <w:p>
      <w:pPr>
        <w:ind w:right="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default" w:ascii="宋体" w:hAnsi="宋体" w:eastAsia="宋体" w:cs="宋体"/>
          <w:color w:val="auto"/>
          <w:sz w:val="24"/>
          <w:szCs w:val="24"/>
          <w:highlight w:val="none"/>
          <w:lang w:val="en-US" w:eastAsia="zh-CN"/>
        </w:rPr>
        <w:t xml:space="preserve">5本项目所有任务由采购人统一统筹、调度与安排。各中标人须无条件服从采购人的合理工作部署、现场管理及任务调配安排。</w:t>
      </w:r>
      <w:r/>
    </w:p>
    <w:p>
      <w:pPr>
        <w:ind w:right="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default" w:ascii="宋体" w:hAnsi="宋体" w:eastAsia="宋体" w:cs="宋体"/>
          <w:color w:val="auto"/>
          <w:sz w:val="24"/>
          <w:szCs w:val="24"/>
          <w:highlight w:val="none"/>
          <w:lang w:val="en-US" w:eastAsia="zh-CN"/>
        </w:rPr>
        <w:t xml:space="preserve">6项目正式实施前，须按要求与采购人签订安全生产协议书及廉政自律协议书，严格遵守协议全部条款约定。若中标人违反协议条款、出现违规违约行为，采购人有权依据协议约定及相关法律法规，依法追究中标人的全部责任。</w:t>
      </w:r>
      <w:r/>
    </w:p>
    <w:p>
      <w:pPr>
        <w:ind w:right="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5.7</w:t>
      </w:r>
      <w:r>
        <w:rPr>
          <w:rFonts w:hint="default" w:ascii="宋体" w:hAnsi="宋体" w:eastAsia="宋体" w:cs="宋体"/>
          <w:color w:val="auto"/>
          <w:sz w:val="24"/>
          <w:szCs w:val="24"/>
          <w:highlight w:val="none"/>
          <w:lang w:val="en-US" w:eastAsia="zh-CN"/>
        </w:rPr>
        <w:t xml:space="preserve">本次投标报价包含但不限于机械设备使用费、服务人员薪酬福利（严格遵照苏州市最低工资标准、月度最高工时等相关规定执行，含法定节假日加班薪资、特定岗位高温补贴等合规薪酬）、项目往返交通费用、安全帽、作业工具等器材设备及耗材购置使用费、工装、工号牌等配套物资费用、室外作业专项津补贴、从业人员体检费、岗位教育培训费、员工五险一金缴纳费用、企业日常行政办公经费、各类税费、企业合理利润</w:t>
      </w:r>
      <w:r>
        <w:rPr>
          <w:rFonts w:hint="eastAsia" w:ascii="宋体" w:hAnsi="宋体" w:cs="宋体"/>
          <w:color w:val="auto"/>
          <w:sz w:val="24"/>
          <w:szCs w:val="24"/>
          <w:highlight w:val="none"/>
          <w:lang w:val="en-US" w:eastAsia="zh-CN"/>
        </w:rPr>
        <w:t xml:space="preserve">及招标代理服务费</w:t>
      </w:r>
      <w:r>
        <w:rPr>
          <w:rFonts w:hint="default" w:ascii="宋体" w:hAnsi="宋体" w:eastAsia="宋体" w:cs="宋体"/>
          <w:color w:val="auto"/>
          <w:sz w:val="24"/>
          <w:szCs w:val="24"/>
          <w:highlight w:val="none"/>
          <w:lang w:val="en-US" w:eastAsia="zh-CN"/>
        </w:rPr>
        <w:t xml:space="preserve">，以及国家、行业政策性文件规定的所有必备费用，涵盖完成本招标文件约定全部服务内容所需的一切相关费用。投标人须充分考量招标文件、合同条款明确约定的全部履约内容及潜在衍生费用，投标报价的任何疏漏、偏差，均不得作为免除责任、缩减服务内容、提高收费标准、降低服务质量的依据。</w:t>
      </w:r>
      <w:r/>
    </w:p>
    <w:p>
      <w:pPr>
        <w:ind w:right="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default" w:ascii="宋体" w:hAnsi="宋体" w:eastAsia="宋体" w:cs="宋体"/>
          <w:color w:val="auto"/>
          <w:sz w:val="24"/>
          <w:szCs w:val="24"/>
          <w:highlight w:val="none"/>
          <w:lang w:val="en-US" w:eastAsia="zh-CN"/>
        </w:rPr>
        <w:t xml:space="preserve">、服务保障及违约自罚承诺要求：</w:t>
      </w:r>
      <w:r/>
    </w:p>
    <w:p>
      <w:pPr>
        <w:ind w:right="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6.1</w:t>
      </w:r>
      <w:r>
        <w:rPr>
          <w:rFonts w:hint="default" w:ascii="宋体" w:hAnsi="宋体" w:eastAsia="宋体" w:cs="宋体"/>
          <w:color w:val="auto"/>
          <w:sz w:val="24"/>
          <w:szCs w:val="24"/>
          <w:highlight w:val="none"/>
          <w:lang w:val="en-US" w:eastAsia="zh-CN"/>
        </w:rPr>
        <w:t xml:space="preserve">对照本采购文件全部需求条款，在投标文件中明确说明对采购需求的实质性响应情况，若存在偏差、偏离或例外事项，须逐项清晰申明、详细说明。</w:t>
      </w:r>
      <w:r/>
    </w:p>
    <w:p>
      <w:pPr>
        <w:ind w:right="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6.2投标人可</w:t>
      </w:r>
      <w:r>
        <w:rPr>
          <w:rFonts w:hint="default" w:ascii="宋体" w:hAnsi="宋体" w:eastAsia="宋体" w:cs="宋体"/>
          <w:color w:val="auto"/>
          <w:sz w:val="24"/>
          <w:szCs w:val="24"/>
          <w:highlight w:val="none"/>
          <w:lang w:val="en-US" w:eastAsia="zh-CN"/>
        </w:rPr>
        <w:t xml:space="preserve">自主提出优于采购文件要求的服务标准、履约保障承诺及替代服务方案，但须确保替代服务质量、标准不低于采购文件原有要求，且针对各项具体参数指标，必须列明精准、详实的具体参数数值。</w:t>
      </w:r>
      <w:r/>
    </w:p>
    <w:p>
      <w:pPr>
        <w:ind w:right="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default" w:ascii="宋体" w:hAnsi="宋体" w:eastAsia="宋体" w:cs="宋体"/>
          <w:color w:val="auto"/>
          <w:sz w:val="24"/>
          <w:szCs w:val="24"/>
          <w:highlight w:val="none"/>
          <w:lang w:val="en-US" w:eastAsia="zh-CN"/>
        </w:rPr>
        <w:t xml:space="preserve">、若中标人派驻本考古发掘项目的工作人员服务质量、作业规范未达到行业考古发掘标准及项目要求，经采购人督促整改后仍未达标，或刻意隐瞒作业不规范、履职不到位等问题的，采购人有权立即终止项目合同，并依法追究相关责任人及中标人的连带法律责任。</w:t>
      </w:r>
      <w:r/>
    </w:p>
    <w:p>
      <w:pPr>
        <w:ind w:right="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rPr>
          <w:rFonts w:hint="default" w:ascii="宋体" w:hAnsi="宋体" w:eastAsia="宋体" w:cs="宋体"/>
          <w:color w:val="auto"/>
          <w:sz w:val="24"/>
          <w:szCs w:val="24"/>
          <w:highlight w:val="none"/>
          <w:lang w:val="en-US" w:eastAsia="zh-CN"/>
        </w:rPr>
        <w:t xml:space="preserve">、非苏州市注册设立的投标人，须在投标文件中出具正式加盖企业鲜章的书面承诺函（格式自拟），承诺中标后在苏州市（采购人所在地）设立专属办事服务机构，保障项目落地履约及后续服务。未按要求提供承诺函的，其投标文件视为非实质性响应，作无效投标处理。</w:t>
      </w:r>
      <w:r/>
    </w:p>
    <w:p>
      <w:pPr>
        <w:ind w:right="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hint="default" w:ascii="宋体" w:hAnsi="宋体" w:eastAsia="宋体" w:cs="宋体"/>
          <w:color w:val="auto"/>
          <w:sz w:val="24"/>
          <w:szCs w:val="24"/>
          <w:highlight w:val="none"/>
          <w:lang w:val="en-US" w:eastAsia="zh-CN"/>
        </w:rPr>
        <w:t xml:space="preserve">、若因采购人出现重大客观变故导致本采购任务取消，或合同履行期间因中标人原因无法达成合同履约目的，或因国家法律法规、行业政策重大调整导致合同无法继续履行的，本合同自动终止，合同双方互不承担违约责任、互不追责。</w:t>
      </w:r>
      <w:r/>
    </w:p>
    <w:p>
      <w:pPr>
        <w:ind w:firstLine="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考核：</w:t>
      </w:r>
      <w:r/>
    </w:p>
    <w:p>
      <w:pPr>
        <w:ind w:firstLine="0"/>
        <w:jc w:val="left"/>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10.1</w:t>
      </w:r>
      <w:r>
        <w:rPr>
          <w:rFonts w:hint="eastAsia" w:ascii="宋体" w:hAnsi="宋体" w:eastAsia="宋体" w:cs="宋体"/>
          <w:bCs/>
          <w:color w:val="auto"/>
          <w:sz w:val="24"/>
          <w:szCs w:val="24"/>
          <w:highlight w:val="none"/>
        </w:rPr>
        <w:t xml:space="preserve">考核：</w:t>
      </w:r>
      <w:r>
        <w:rPr>
          <w:rFonts w:hint="eastAsia" w:ascii="宋体" w:hAnsi="宋体" w:eastAsia="宋体" w:cs="宋体"/>
          <w:color w:val="auto"/>
          <w:sz w:val="24"/>
          <w:szCs w:val="24"/>
          <w:highlight w:val="none"/>
        </w:rPr>
        <w:t xml:space="preserve">按项目结项</w:t>
      </w:r>
      <w:r>
        <w:rPr>
          <w:rFonts w:hint="eastAsia" w:ascii="宋体" w:hAnsi="宋体" w:eastAsia="宋体" w:cs="宋体"/>
          <w:bCs/>
          <w:color w:val="auto"/>
          <w:sz w:val="24"/>
          <w:szCs w:val="24"/>
          <w:highlight w:val="none"/>
          <w:lang w:eastAsia="zh-CN"/>
        </w:rPr>
        <w:t xml:space="preserve">。</w:t>
      </w:r>
      <w:r/>
    </w:p>
    <w:p>
      <w:pPr>
        <w:ind w:firstLine="0"/>
        <w:jc w:val="left"/>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10.2</w:t>
      </w:r>
      <w:r>
        <w:rPr>
          <w:rFonts w:hint="eastAsia" w:ascii="宋体" w:hAnsi="宋体" w:eastAsia="宋体" w:cs="宋体"/>
          <w:bCs/>
          <w:color w:val="auto"/>
          <w:sz w:val="24"/>
          <w:szCs w:val="24"/>
          <w:highlight w:val="none"/>
        </w:rPr>
        <w:t xml:space="preserve">考核结果及运用：</w:t>
      </w:r>
      <w:r/>
    </w:p>
    <w:p>
      <w:pPr>
        <w:ind w:firstLine="0"/>
        <w:jc w:val="left"/>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①得分≥</w:t>
      </w:r>
      <w:r>
        <w:rPr>
          <w:rFonts w:hint="eastAsia" w:ascii="宋体" w:hAnsi="宋体" w:eastAsia="宋体" w:cs="宋体"/>
          <w:bCs/>
          <w:color w:val="auto"/>
          <w:sz w:val="24"/>
          <w:szCs w:val="24"/>
          <w:highlight w:val="none"/>
          <w:lang w:val="en-US" w:eastAsia="zh-CN"/>
        </w:rPr>
        <w:t xml:space="preserve">8</w:t>
      </w:r>
      <w:r>
        <w:rPr>
          <w:rFonts w:hint="eastAsia" w:ascii="宋体" w:hAnsi="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分，全额结算该</w:t>
      </w:r>
      <w:r>
        <w:rPr>
          <w:rFonts w:hint="eastAsia" w:ascii="宋体" w:hAnsi="宋体" w:eastAsia="宋体" w:cs="宋体"/>
          <w:bCs/>
          <w:color w:val="auto"/>
          <w:sz w:val="24"/>
          <w:szCs w:val="24"/>
          <w:highlight w:val="none"/>
          <w:lang w:eastAsia="zh-CN"/>
        </w:rPr>
        <w:t xml:space="preserve">考核项目</w:t>
      </w:r>
      <w:r>
        <w:rPr>
          <w:rFonts w:hint="eastAsia" w:ascii="宋体" w:hAnsi="宋体" w:eastAsia="宋体" w:cs="宋体"/>
          <w:bCs/>
          <w:color w:val="auto"/>
          <w:sz w:val="24"/>
          <w:szCs w:val="24"/>
          <w:highlight w:val="none"/>
        </w:rPr>
        <w:t xml:space="preserve">服务费用；</w:t>
      </w:r>
      <w:r/>
    </w:p>
    <w:p>
      <w:pPr>
        <w:ind w:firstLine="0"/>
        <w:jc w:val="left"/>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w:t>
      </w:r>
      <w:r>
        <w:rPr>
          <w:rFonts w:hint="eastAsia" w:ascii="宋体" w:hAnsi="宋体" w:eastAsia="宋体" w:cs="宋体"/>
          <w:bCs/>
          <w:color w:val="auto"/>
          <w:sz w:val="24"/>
          <w:szCs w:val="24"/>
          <w:highlight w:val="none"/>
          <w:lang w:val="en-US" w:eastAsia="zh-CN"/>
        </w:rPr>
        <w:t xml:space="preserve">70</w:t>
      </w:r>
      <w:r>
        <w:rPr>
          <w:rFonts w:hint="eastAsia" w:ascii="宋体" w:hAnsi="宋体" w:eastAsia="宋体" w:cs="宋体"/>
          <w:bCs/>
          <w:color w:val="auto"/>
          <w:sz w:val="24"/>
          <w:szCs w:val="24"/>
          <w:highlight w:val="none"/>
        </w:rPr>
        <w:t xml:space="preserve">分≤得分＜</w:t>
      </w:r>
      <w:r>
        <w:rPr>
          <w:rFonts w:hint="eastAsia" w:ascii="宋体" w:hAnsi="宋体" w:eastAsia="宋体" w:cs="宋体"/>
          <w:bCs/>
          <w:color w:val="auto"/>
          <w:sz w:val="24"/>
          <w:szCs w:val="24"/>
          <w:highlight w:val="none"/>
          <w:lang w:val="en-US" w:eastAsia="zh-CN"/>
        </w:rPr>
        <w:t xml:space="preserve">8</w:t>
      </w:r>
      <w:r>
        <w:rPr>
          <w:rFonts w:hint="eastAsia" w:ascii="宋体" w:hAnsi="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分，扣除该</w:t>
      </w:r>
      <w:r>
        <w:rPr>
          <w:rFonts w:hint="eastAsia" w:ascii="宋体" w:hAnsi="宋体" w:eastAsia="宋体" w:cs="宋体"/>
          <w:bCs/>
          <w:color w:val="auto"/>
          <w:sz w:val="24"/>
          <w:szCs w:val="24"/>
          <w:highlight w:val="none"/>
          <w:lang w:eastAsia="zh-CN"/>
        </w:rPr>
        <w:t xml:space="preserve">考核项目</w:t>
      </w:r>
      <w:r>
        <w:rPr>
          <w:rFonts w:hint="eastAsia" w:ascii="宋体" w:hAnsi="宋体" w:eastAsia="宋体" w:cs="宋体"/>
          <w:bCs/>
          <w:color w:val="auto"/>
          <w:sz w:val="24"/>
          <w:szCs w:val="24"/>
          <w:highlight w:val="none"/>
        </w:rPr>
        <w:t xml:space="preserve">服务费用的5％；</w:t>
      </w:r>
      <w:r/>
    </w:p>
    <w:p>
      <w:pPr>
        <w:ind w:firstLine="0"/>
        <w:jc w:val="left"/>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w:t>
      </w:r>
      <w:r>
        <w:rPr>
          <w:rFonts w:hint="eastAsia" w:ascii="宋体" w:hAnsi="宋体" w:eastAsia="宋体" w:cs="宋体"/>
          <w:bCs/>
          <w:color w:val="auto"/>
          <w:sz w:val="24"/>
          <w:szCs w:val="24"/>
          <w:highlight w:val="none"/>
          <w:lang w:val="en-US" w:eastAsia="zh-CN"/>
        </w:rPr>
        <w:t xml:space="preserve">60</w:t>
      </w:r>
      <w:r>
        <w:rPr>
          <w:rFonts w:hint="eastAsia" w:ascii="宋体" w:hAnsi="宋体" w:eastAsia="宋体" w:cs="宋体"/>
          <w:bCs/>
          <w:color w:val="auto"/>
          <w:sz w:val="24"/>
          <w:szCs w:val="24"/>
          <w:highlight w:val="none"/>
        </w:rPr>
        <w:t xml:space="preserve">分≤得分＜</w:t>
      </w:r>
      <w:r>
        <w:rPr>
          <w:rFonts w:hint="eastAsia" w:ascii="宋体" w:hAnsi="宋体" w:eastAsia="宋体" w:cs="宋体"/>
          <w:bCs/>
          <w:color w:val="auto"/>
          <w:sz w:val="24"/>
          <w:szCs w:val="24"/>
          <w:highlight w:val="none"/>
          <w:lang w:val="en-US" w:eastAsia="zh-CN"/>
        </w:rPr>
        <w:t xml:space="preserve">70</w:t>
      </w:r>
      <w:r>
        <w:rPr>
          <w:rFonts w:hint="eastAsia" w:ascii="宋体" w:hAnsi="宋体" w:eastAsia="宋体" w:cs="宋体"/>
          <w:bCs/>
          <w:color w:val="auto"/>
          <w:sz w:val="24"/>
          <w:szCs w:val="24"/>
          <w:highlight w:val="none"/>
        </w:rPr>
        <w:t xml:space="preserve">分，扣除该</w:t>
      </w:r>
      <w:r>
        <w:rPr>
          <w:rFonts w:hint="eastAsia" w:ascii="宋体" w:hAnsi="宋体" w:eastAsia="宋体" w:cs="宋体"/>
          <w:bCs/>
          <w:color w:val="auto"/>
          <w:sz w:val="24"/>
          <w:szCs w:val="24"/>
          <w:highlight w:val="none"/>
          <w:lang w:eastAsia="zh-CN"/>
        </w:rPr>
        <w:t xml:space="preserve">考核项目</w:t>
      </w:r>
      <w:r>
        <w:rPr>
          <w:rFonts w:hint="eastAsia" w:ascii="宋体" w:hAnsi="宋体" w:eastAsia="宋体" w:cs="宋体"/>
          <w:bCs/>
          <w:color w:val="auto"/>
          <w:sz w:val="24"/>
          <w:szCs w:val="24"/>
          <w:highlight w:val="none"/>
        </w:rPr>
        <w:t xml:space="preserve">服务费用的10％；</w:t>
      </w:r>
      <w:r/>
    </w:p>
    <w:p>
      <w:pPr>
        <w:ind w:firstLine="0"/>
        <w:jc w:val="left"/>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④得分＜</w:t>
      </w:r>
      <w:r>
        <w:rPr>
          <w:rFonts w:hint="eastAsia" w:ascii="宋体" w:hAnsi="宋体" w:eastAsia="宋体" w:cs="宋体"/>
          <w:bCs/>
          <w:color w:val="auto"/>
          <w:sz w:val="24"/>
          <w:szCs w:val="24"/>
          <w:highlight w:val="none"/>
          <w:lang w:val="en-US" w:eastAsia="zh-CN"/>
        </w:rPr>
        <w:t xml:space="preserve">60</w:t>
      </w:r>
      <w:r>
        <w:rPr>
          <w:rFonts w:hint="eastAsia" w:ascii="宋体" w:hAnsi="宋体" w:eastAsia="宋体" w:cs="宋体"/>
          <w:bCs/>
          <w:color w:val="auto"/>
          <w:sz w:val="24"/>
          <w:szCs w:val="24"/>
          <w:highlight w:val="none"/>
        </w:rPr>
        <w:t xml:space="preserve">分为不合格，扣除该</w:t>
      </w:r>
      <w:r>
        <w:rPr>
          <w:rFonts w:hint="eastAsia" w:ascii="宋体" w:hAnsi="宋体" w:eastAsia="宋体" w:cs="宋体"/>
          <w:bCs/>
          <w:color w:val="auto"/>
          <w:sz w:val="24"/>
          <w:szCs w:val="24"/>
          <w:highlight w:val="none"/>
          <w:lang w:eastAsia="zh-CN"/>
        </w:rPr>
        <w:t xml:space="preserve">考核项目</w:t>
      </w:r>
      <w:r>
        <w:rPr>
          <w:rFonts w:hint="eastAsia" w:ascii="宋体" w:hAnsi="宋体" w:eastAsia="宋体" w:cs="宋体"/>
          <w:bCs/>
          <w:color w:val="auto"/>
          <w:sz w:val="24"/>
          <w:szCs w:val="24"/>
          <w:highlight w:val="none"/>
        </w:rPr>
        <w:t xml:space="preserve">服务费用的20％；</w:t>
      </w:r>
      <w:r/>
    </w:p>
    <w:p>
      <w:pPr>
        <w:ind w:firstLine="0"/>
        <w:jc w:val="left"/>
        <w:keepLines w:val="0"/>
        <w:keepNext w:val="0"/>
        <w:pageBreakBefore w:val="0"/>
        <w:spacing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⑤项目检查或考核不合格，经整改通过后，按不及格标准结算服务费用。</w:t>
      </w:r>
      <w:r/>
    </w:p>
    <w:p>
      <w:pPr>
        <w:ind w:firstLine="0"/>
        <w:jc w:val="left"/>
        <w:keepLines w:val="0"/>
        <w:keepNext w:val="0"/>
        <w:pageBreakBefore w:val="0"/>
        <w:spacing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⑥乙方在合同履行期限内，如果经</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val="en-US" w:eastAsia="zh-CN"/>
        </w:rPr>
        <w:t xml:space="preserve">检查或考核，合计两次/项不合格的，</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val="en-US" w:eastAsia="zh-CN"/>
        </w:rPr>
        <w:t xml:space="preserve">有权直接解除合同，取消</w:t>
      </w:r>
      <w:r>
        <w:rPr>
          <w:rFonts w:hint="eastAsia" w:ascii="宋体" w:hAnsi="宋体" w:cs="宋体"/>
          <w:color w:val="auto"/>
          <w:sz w:val="24"/>
          <w:szCs w:val="24"/>
          <w:highlight w:val="none"/>
          <w:lang w:val="en-US" w:eastAsia="zh-CN"/>
        </w:rPr>
        <w:t xml:space="preserve">其中标</w:t>
      </w:r>
      <w:r>
        <w:rPr>
          <w:rFonts w:hint="eastAsia" w:ascii="宋体" w:hAnsi="宋体" w:eastAsia="宋体" w:cs="宋体"/>
          <w:color w:val="auto"/>
          <w:sz w:val="24"/>
          <w:szCs w:val="24"/>
          <w:highlight w:val="none"/>
          <w:lang w:val="en-US" w:eastAsia="zh-CN"/>
        </w:rPr>
        <w:t xml:space="preserve">资格，</w:t>
      </w:r>
      <w:r>
        <w:rPr>
          <w:rFonts w:hint="eastAsia" w:ascii="宋体" w:hAnsi="宋体" w:cs="宋体"/>
          <w:color w:val="auto"/>
          <w:sz w:val="24"/>
          <w:szCs w:val="24"/>
          <w:highlight w:val="none"/>
          <w:lang w:val="en-US" w:eastAsia="zh-CN"/>
        </w:rPr>
        <w:t xml:space="preserve">重新组织招标活动</w:t>
      </w:r>
      <w:r>
        <w:rPr>
          <w:rFonts w:hint="eastAsia" w:ascii="宋体" w:hAnsi="宋体" w:eastAsia="宋体" w:cs="宋体"/>
          <w:color w:val="auto"/>
          <w:sz w:val="24"/>
          <w:szCs w:val="24"/>
          <w:highlight w:val="none"/>
          <w:lang w:val="en-US" w:eastAsia="zh-CN"/>
        </w:rPr>
        <w:t xml:space="preserve">。</w:t>
      </w:r>
      <w:r/>
    </w:p>
    <w:p>
      <w:pPr>
        <w:ind w:firstLine="0"/>
        <w:jc w:val="left"/>
        <w:keepLines w:val="0"/>
        <w:keepNext w:val="0"/>
        <w:pageBreakBefore w:val="0"/>
        <w:spacing w:after="0" w:line="360" w:lineRule="auto"/>
        <w:shd w:val="clear" w:color="auto" w:fill="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1</w:t>
      </w:r>
      <w:r>
        <w:rPr>
          <w:rFonts w:hint="default" w:ascii="宋体" w:hAnsi="宋体" w:eastAsia="宋体" w:cs="宋体"/>
          <w:color w:val="auto"/>
          <w:sz w:val="24"/>
          <w:szCs w:val="24"/>
          <w:highlight w:val="none"/>
          <w:lang w:val="en-US" w:eastAsia="zh-CN"/>
        </w:rPr>
        <w:t xml:space="preserve">、当中标人实际签约合同金额达到项目标底金额的60%、90%两个节点时，须第一时间向采购人提交书面上报材料，如实报备相关情况。中标人未按规定时限、要求完成上报工作的，由此产生的一切后果和全部责任由中标人自行承担。</w:t>
      </w:r>
      <w:r/>
    </w:p>
    <w:p>
      <w:pPr>
        <w:ind w:firstLine="0"/>
        <w:jc w:val="left"/>
        <w:keepLines w:val="0"/>
        <w:keepNext w:val="0"/>
        <w:pageBreakBefore w:val="0"/>
        <w:spacing w:after="0" w:line="360" w:lineRule="auto"/>
        <w:shd w:val="clear" w:color="auto" w:fill="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hint="default" w:ascii="宋体" w:hAnsi="宋体" w:eastAsia="宋体" w:cs="宋体"/>
          <w:color w:val="auto"/>
          <w:sz w:val="24"/>
          <w:szCs w:val="24"/>
          <w:highlight w:val="none"/>
          <w:lang w:val="en-US" w:eastAsia="zh-CN"/>
        </w:rPr>
        <w:t xml:space="preserve">、执行标准规范：严格遵照国家文物局《田野考古工作规程》（2009年4月版）。</w:t>
      </w:r>
      <w:r/>
    </w:p>
    <w:p>
      <w:pPr>
        <w:ind w:firstLine="0"/>
        <w:jc w:val="left"/>
        <w:keepLines w:val="0"/>
        <w:keepNext w:val="0"/>
        <w:pageBreakBefore w:val="0"/>
        <w:spacing w:after="0" w:line="360" w:lineRule="auto"/>
        <w:shd w:val="clear" w:color="auto" w:fill="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3</w:t>
      </w:r>
      <w:r>
        <w:rPr>
          <w:rFonts w:hint="default" w:ascii="宋体" w:hAnsi="宋体" w:eastAsia="宋体" w:cs="宋体"/>
          <w:color w:val="auto"/>
          <w:sz w:val="24"/>
          <w:szCs w:val="24"/>
          <w:highlight w:val="none"/>
          <w:lang w:val="en-US" w:eastAsia="zh-CN"/>
        </w:rPr>
        <w:t xml:space="preserve">、项目有关要求</w:t>
      </w:r>
      <w:r/>
    </w:p>
    <w:p>
      <w:pPr>
        <w:ind w:firstLine="0"/>
        <w:jc w:val="left"/>
        <w:keepLines w:val="0"/>
        <w:keepNext w:val="0"/>
        <w:pageBreakBefore w:val="0"/>
        <w:spacing w:after="0" w:line="360" w:lineRule="auto"/>
        <w:shd w:val="clear" w:color="auto" w:fill="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13.1</w:t>
      </w:r>
      <w:r>
        <w:rPr>
          <w:rFonts w:hint="default" w:ascii="宋体" w:hAnsi="宋体" w:eastAsia="宋体" w:cs="宋体"/>
          <w:color w:val="auto"/>
          <w:sz w:val="24"/>
          <w:szCs w:val="24"/>
          <w:highlight w:val="none"/>
          <w:lang w:val="en-US" w:eastAsia="zh-CN"/>
        </w:rPr>
        <w:t xml:space="preserve">项目实施质量须严格遵照国家现行规范、江苏省及苏州市地方相关规范、本招标文件技术规范的各项要求执行。合同履行期间，若国家、行业（部委）出台新的规范、标准，中标人须主动适配新标准、新</w:t>
      </w:r>
      <w:r>
        <w:rPr>
          <w:rFonts w:hint="eastAsia" w:asciiTheme="minorEastAsia" w:hAnsiTheme="minorEastAsia" w:eastAsiaTheme="minorEastAsia" w:cstheme="minorEastAsia"/>
          <w:color w:val="auto"/>
          <w:sz w:val="24"/>
          <w:szCs w:val="24"/>
          <w:highlight w:val="none"/>
          <w:lang w:val="en-US" w:eastAsia="zh-CN"/>
        </w:rPr>
        <w:t xml:space="preserve">规范，确保项目成果完全符合最新合规要求，因标准更新产生的所有新增费用、履约风险均由中标人自行承担。</w:t>
      </w:r>
      <w:r/>
    </w:p>
    <w:p>
      <w:pPr>
        <w:ind w:firstLine="0"/>
        <w:jc w:val="left"/>
        <w:keepLines w:val="0"/>
        <w:keepNext w:val="0"/>
        <w:pageBreakBefore w:val="0"/>
        <w:spacing w:after="0" w:line="360" w:lineRule="auto"/>
        <w:shd w:val="clear" w:color="auto" w:fill="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13.2项目正式实施前，中标人须编制完整、详细的项目实施方案，报送采购人审核审批，方案经采购人批复同意后方可组织进场、开展施工及各项作业。项目实施全过程中，中标人须严格遵守项目现场管理规定及采购人各项规章制度。</w:t>
      </w:r>
      <w:r/>
    </w:p>
    <w:p>
      <w:pPr>
        <w:ind w:firstLine="0"/>
        <w:jc w:val="left"/>
        <w:keepLines w:val="0"/>
        <w:keepNext w:val="0"/>
        <w:pageBreakBefore w:val="0"/>
        <w:spacing w:after="0" w:line="360" w:lineRule="auto"/>
        <w:shd w:val="clear" w:color="auto" w:fill="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13.3项目实施期间，中标人须无条件接受采购人的全过程监督、检查与管理。针对采购人检查指出的质量问题、履约问题，中标人须第一时间完成整改，整改完成后报请采购人核查验收，验收合格后须将相关整改资料、验收情况书面报送采购人备案留存。</w:t>
      </w:r>
      <w:r/>
    </w:p>
    <w:p>
      <w:pPr>
        <w:ind w:firstLine="0"/>
        <w:jc w:val="left"/>
        <w:keepLines w:val="0"/>
        <w:keepNext w:val="0"/>
        <w:pageBreakBefore w:val="0"/>
        <w:spacing w:after="0" w:line="360" w:lineRule="auto"/>
        <w:shd w:val="clear" w:color="auto" w:fill="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13.4知识产权要求</w:t>
      </w:r>
      <w:r/>
    </w:p>
    <w:p>
      <w:pPr>
        <w:ind w:firstLine="0"/>
        <w:jc w:val="left"/>
        <w:keepLines w:val="0"/>
        <w:keepNext w:val="0"/>
        <w:pageBreakBefore w:val="0"/>
        <w:spacing w:after="0" w:line="360" w:lineRule="auto"/>
        <w:shd w:val="clear" w:color="auto" w:fill="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13.4.1本项目实施过程中产生的全部成果、资料、报告等所有知识产权均归采购人独家所有。未经采购人书面许可，无论相关成果是否被采购人采用，中标人均不得擅自对外披露、发布、转载、授权第三方使用。</w:t>
      </w:r>
      <w:r/>
    </w:p>
    <w:p>
      <w:pPr>
        <w:ind w:firstLine="0"/>
        <w:jc w:val="left"/>
        <w:keepLines w:val="0"/>
        <w:keepNext w:val="0"/>
        <w:pageBreakBefore w:val="0"/>
        <w:spacing w:after="0" w:line="360" w:lineRule="auto"/>
        <w:shd w:val="clear" w:color="auto" w:fill="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13.4.2对于采购人提供的各类项目资料、文件、数据，中标人负有永久保密义务，严禁擅自泄露、外传、挪作他用。</w:t>
      </w:r>
      <w:r/>
    </w:p>
    <w:p>
      <w:pPr>
        <w:ind w:firstLine="0"/>
        <w:jc w:val="left"/>
        <w:keepLines w:val="0"/>
        <w:keepNext w:val="0"/>
        <w:pageBreakBefore w:val="0"/>
        <w:spacing w:after="0" w:line="360" w:lineRule="auto"/>
        <w:shd w:val="clear" w:color="auto" w:fill="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13.4.3中标人为实施本项目引用、收集的各类文件、资料，若引发版权、侵权等各类法律纠纷及产生相关费用、赔偿责任，全部由中标人独立承担，采购人不承担任何责任。</w:t>
      </w:r>
      <w:r/>
    </w:p>
    <w:p>
      <w:pPr>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四</w:t>
      </w:r>
      <w:r>
        <w:rPr>
          <w:rFonts w:hint="eastAsia" w:asciiTheme="minorEastAsia" w:hAnsiTheme="minorEastAsia" w:eastAsiaTheme="minorEastAsia" w:cstheme="minorEastAsia"/>
          <w:color w:val="auto"/>
          <w:sz w:val="24"/>
          <w:szCs w:val="24"/>
          <w:highlight w:val="none"/>
        </w:rPr>
        <w:t xml:space="preserve">、履约验收：</w:t>
      </w:r>
      <w:r/>
    </w:p>
    <w:p>
      <w:pPr>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采购人将根据《江苏省财政厅关于印发&lt;江苏省政府采购履约验收管理办法</w:t>
      </w:r>
      <w:r>
        <w:rPr>
          <w:rFonts w:hint="eastAsia" w:asciiTheme="minorEastAsia" w:hAnsiTheme="minorEastAsia" w:eastAsiaTheme="minorEastAsia" w:cstheme="minorEastAsia"/>
          <w:color w:val="auto"/>
          <w:sz w:val="24"/>
          <w:szCs w:val="24"/>
          <w:highlight w:val="none"/>
          <w:lang w:eastAsia="zh-CN"/>
        </w:rPr>
        <w:t xml:space="preserve">〉的通知》</w:t>
      </w:r>
      <w:r>
        <w:rPr>
          <w:rFonts w:hint="eastAsia" w:asciiTheme="minorEastAsia" w:hAnsiTheme="minorEastAsia" w:eastAsiaTheme="minorEastAsia" w:cstheme="minorEastAsia"/>
          <w:color w:val="auto"/>
          <w:sz w:val="24"/>
          <w:szCs w:val="24"/>
          <w:highlight w:val="none"/>
        </w:rPr>
        <w:t xml:space="preserve">（苏财规〔2024〕7号）相关要求，组织项目履约验收基本工作。</w:t>
      </w:r>
      <w:r/>
    </w:p>
    <w:p>
      <w:pPr>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招标文件、投标文件、政府采购合同等是履约验收工作的重要依据。在政府采购合同约定的履行验收条件达到时，中标单位可以主动联系采购人启动履约验收工作。</w:t>
      </w:r>
      <w:r/>
    </w:p>
    <w:p>
      <w:pPr>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采购人在组织履约验收前，将根据项目特点制定验收方案，明确履约验收的时间、方式、程序等内容。中标单位应根据验收方案内容做好相应配合工作。</w:t>
      </w:r>
      <w:r/>
    </w:p>
    <w:p>
      <w:pPr>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采购人将按照验收标准要求组织验收，验收内容和标准至少包括服务质量、服务过程文档资料等内容。</w:t>
      </w:r>
      <w:r/>
    </w:p>
    <w:p>
      <w:pPr>
        <w:ind w:left="0"/>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五、综合说</w:t>
      </w:r>
      <w:r>
        <w:rPr>
          <w:rFonts w:hint="eastAsia" w:asciiTheme="minorEastAsia" w:hAnsiTheme="minorEastAsia" w:eastAsiaTheme="minorEastAsia" w:cstheme="minorEastAsia"/>
          <w:color w:val="auto"/>
          <w:sz w:val="24"/>
          <w:szCs w:val="24"/>
          <w:highlight w:val="none"/>
        </w:rPr>
        <w:t xml:space="preserve">明：</w:t>
      </w:r>
      <w:r/>
    </w:p>
    <w:p>
      <w:pPr>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1、投标单位必须说明其是否响应采购文件中提出的全部服务内容与要求，如果对其中某些条款不响应时，应在文件中逐条列出。</w:t>
      </w:r>
      <w:r/>
    </w:p>
    <w:p>
      <w:pPr>
        <w:keepLines w:val="0"/>
        <w:keepNext w:val="0"/>
        <w:pageBreakBefore w:val="0"/>
        <w:spacing w:after="0"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2、本项目中投标报价包括</w:t>
      </w:r>
      <w:r>
        <w:rPr>
          <w:rFonts w:hint="eastAsia" w:asciiTheme="minorEastAsia" w:hAnsiTheme="minorEastAsia" w:eastAsiaTheme="minorEastAsia" w:cstheme="minorEastAsia"/>
          <w:color w:val="auto"/>
          <w:sz w:val="24"/>
          <w:szCs w:val="24"/>
          <w:highlight w:val="none"/>
          <w:lang w:eastAsia="zh-CN"/>
        </w:rPr>
        <w:t xml:space="preserve">完成所有采购内容以及本项目所需的劳务支出、保险、配套费用及服务相关等所发生的全部费用以及乙方企业利润、税金和政策性文件规定及合同包含的所有风险、责任等各项应有费用</w:t>
      </w:r>
      <w:r>
        <w:rPr>
          <w:rFonts w:hint="eastAsia" w:asciiTheme="minorEastAsia" w:hAnsiTheme="minorEastAsia" w:eastAsiaTheme="minorEastAsia" w:cstheme="minorEastAsia"/>
          <w:color w:val="auto"/>
          <w:sz w:val="24"/>
          <w:szCs w:val="24"/>
          <w:highlight w:val="none"/>
        </w:rPr>
        <w:t xml:space="preserve">。遇到法律法规规定的最低工资调整，其中人工费用相应浮动，由</w:t>
      </w:r>
      <w:r>
        <w:rPr>
          <w:rFonts w:hint="eastAsia" w:asciiTheme="minorEastAsia" w:hAnsiTheme="minorEastAsia" w:eastAsiaTheme="minorEastAsia" w:cstheme="minorEastAsia"/>
          <w:color w:val="auto"/>
          <w:sz w:val="24"/>
          <w:szCs w:val="24"/>
          <w:highlight w:val="none"/>
          <w:lang w:val="en-US" w:eastAsia="zh-CN"/>
        </w:rPr>
        <w:t xml:space="preserve">中标单位</w:t>
      </w:r>
      <w:r>
        <w:rPr>
          <w:rFonts w:hint="eastAsia" w:asciiTheme="minorEastAsia" w:hAnsiTheme="minorEastAsia" w:eastAsiaTheme="minorEastAsia" w:cstheme="minorEastAsia"/>
          <w:color w:val="auto"/>
          <w:sz w:val="24"/>
          <w:szCs w:val="24"/>
          <w:highlight w:val="none"/>
        </w:rPr>
        <w:t xml:space="preserve">自行承担</w:t>
      </w:r>
      <w:r>
        <w:rPr>
          <w:rFonts w:hint="eastAsia" w:asciiTheme="minorEastAsia" w:hAnsiTheme="minorEastAsia" w:eastAsiaTheme="minorEastAsia" w:cstheme="minorEastAsia"/>
          <w:color w:val="auto"/>
          <w:sz w:val="24"/>
          <w:szCs w:val="24"/>
          <w:highlight w:val="none"/>
          <w:lang w:eastAsia="zh-CN"/>
        </w:rPr>
        <w:t xml:space="preserve">。</w:t>
      </w:r>
      <w:r/>
    </w:p>
    <w:p>
      <w:pPr>
        <w:ind w:firstLine="0"/>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投标人</w:t>
      </w:r>
      <w:r>
        <w:rPr>
          <w:rFonts w:hint="eastAsia" w:asciiTheme="minorEastAsia" w:hAnsiTheme="minorEastAsia" w:eastAsiaTheme="minorEastAsia" w:cstheme="minorEastAsia"/>
          <w:color w:val="auto"/>
          <w:sz w:val="24"/>
          <w:szCs w:val="24"/>
          <w:highlight w:val="none"/>
        </w:rPr>
        <w:t xml:space="preserve">需编制本项目的技术方案，包括但不限于：项目管理方案；项目进度控制方案；项目需求和重点难点分析；项目技术实施方案；项目质量保障、安全保障和突发事件应急处理措施；项目发掘设备配备方案</w:t>
      </w:r>
      <w:r>
        <w:rPr>
          <w:rFonts w:hint="eastAsia" w:asciiTheme="minorEastAsia" w:hAnsiTheme="minorEastAsia" w:eastAsiaTheme="minorEastAsia" w:cstheme="minorEastAsia"/>
          <w:color w:val="auto"/>
          <w:sz w:val="24"/>
          <w:szCs w:val="24"/>
          <w:highlight w:val="none"/>
          <w:lang w:val="en-US" w:eastAsia="zh-CN"/>
        </w:rPr>
        <w:t xml:space="preserve">等。</w:t>
      </w:r>
      <w:r/>
    </w:p>
    <w:p>
      <w:pPr>
        <w:pStyle w:val="1201"/>
        <w:ind w:firstLine="0"/>
        <w:keepLines w:val="0"/>
        <w:keepNext w:val="0"/>
        <w:pageBreakBefore w:val="0"/>
        <w:spacing w:after="0"/>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4</w:t>
      </w:r>
      <w:r>
        <w:rPr>
          <w:rFonts w:hint="eastAsia" w:asciiTheme="minorEastAsia" w:hAnsiTheme="minorEastAsia" w:eastAsiaTheme="minorEastAsia" w:cstheme="minorEastAsia"/>
          <w:color w:val="auto"/>
          <w:highlight w:val="none"/>
        </w:rPr>
        <w:t xml:space="preserve">、本次采购活动不接受联合报价及分包、转包。</w:t>
      </w:r>
      <w:r/>
    </w:p>
    <w:p>
      <w:pPr>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、服务期限：</w:t>
      </w:r>
      <w:r>
        <w:rPr>
          <w:rFonts w:hint="eastAsia" w:asciiTheme="minorEastAsia" w:hAnsiTheme="minorEastAsia" w:eastAsiaTheme="minorEastAsia" w:cstheme="minorEastAsia"/>
          <w:color w:val="auto"/>
          <w:sz w:val="24"/>
          <w:szCs w:val="24"/>
          <w:highlight w:val="none"/>
          <w:lang w:eastAsia="zh-CN"/>
        </w:rPr>
        <w:t xml:space="preserve">2027 年 6 月 15 日止（具体进场时间以采购人通知为准）。</w:t>
      </w:r>
      <w:r/>
    </w:p>
    <w:p>
      <w:pPr>
        <w:pStyle w:val="1186"/>
        <w:ind w:left="0" w:firstLine="0"/>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、服务地点：采购单位指定地点。</w:t>
      </w:r>
      <w:r/>
    </w:p>
    <w:p>
      <w:pPr>
        <w:keepLines w:val="0"/>
        <w:keepNext w:val="0"/>
        <w:pageBreakBefore w:val="0"/>
        <w:spacing w:after="0"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六、政府采购政策：</w:t>
      </w:r>
      <w:r/>
    </w:p>
    <w:p>
      <w:pPr>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1、小、微企业</w:t>
      </w:r>
      <w:r/>
    </w:p>
    <w:p>
      <w:pPr>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1.1根据《政府采购促进中小企业发展管理办法》（财库〔2020〕46号）、《关于做好政府采购支持企业发展有关事</w:t>
      </w:r>
      <w:r>
        <w:rPr>
          <w:rFonts w:hint="eastAsia" w:asciiTheme="minorEastAsia" w:hAnsiTheme="minorEastAsia" w:eastAsiaTheme="minorEastAsia" w:cstheme="minorEastAsia"/>
          <w:color w:val="auto"/>
          <w:sz w:val="24"/>
          <w:szCs w:val="24"/>
          <w:highlight w:val="none"/>
        </w:rPr>
        <w:t xml:space="preserve">项的通知》（苏财购〔2020〕52号）及《关于印发〈苏州市政府采购促进中小企业发展实施意见〉的通知》（苏财购〔2022〕16号）的相关规定，如供应商认定本企业提供的货物、工程或服务符合上述文件规定的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其中，供应商提供的货物既有中小企业制造货物，也有大型企业制造货物的，不享受中小企业扶持政策。</w:t>
      </w:r>
      <w:r/>
    </w:p>
    <w:p>
      <w:pPr>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1.3根据《政府采购促进中小企业发展管理办法》（财库〔2020〕46号）及《中小企业划型标准规定》（工信部联企业〔2011〕300号），</w:t>
      </w:r>
      <w:r>
        <w:rPr>
          <w:rFonts w:hint="eastAsia" w:asciiTheme="minorEastAsia" w:hAnsiTheme="minorEastAsia" w:eastAsiaTheme="minorEastAsia" w:cstheme="minorEastAsia"/>
          <w:b w:val="0"/>
          <w:bCs w:val="0"/>
          <w:color w:val="auto"/>
          <w:sz w:val="24"/>
          <w:szCs w:val="24"/>
          <w:highlight w:val="none"/>
        </w:rPr>
        <w:t xml:space="preserve">本项目属于专门面向中小企业</w:t>
      </w:r>
      <w:r>
        <w:rPr>
          <w:rFonts w:hint="eastAsia" w:asciiTheme="minorEastAsia" w:hAnsiTheme="minorEastAsia" w:eastAsiaTheme="minorEastAsia" w:cstheme="minorEastAsia"/>
          <w:color w:val="auto"/>
          <w:sz w:val="24"/>
          <w:szCs w:val="24"/>
          <w:highlight w:val="none"/>
        </w:rPr>
        <w:t xml:space="preserve">；对应的中小企业划分标准所属行业为：</w:t>
      </w:r>
      <w:r>
        <w:rPr>
          <w:rFonts w:hint="eastAsia" w:asciiTheme="minorEastAsia" w:hAnsiTheme="minorEastAsia" w:eastAsiaTheme="minorEastAsia" w:cstheme="minorEastAsia"/>
          <w:b/>
          <w:color w:val="auto"/>
          <w:sz w:val="24"/>
          <w:highlight w:val="none"/>
          <w:u w:val="single"/>
          <w:lang w:val="en-US" w:eastAsia="zh-CN"/>
        </w:rPr>
        <w:t xml:space="preserve">租赁和商务服务业</w:t>
      </w:r>
      <w:r>
        <w:rPr>
          <w:rFonts w:hint="eastAsia" w:asciiTheme="minorEastAsia" w:hAnsiTheme="minorEastAsia" w:eastAsiaTheme="minorEastAsia" w:cstheme="minorEastAsia"/>
          <w:color w:val="auto"/>
          <w:sz w:val="24"/>
          <w:szCs w:val="24"/>
          <w:highlight w:val="none"/>
        </w:rPr>
        <w:t xml:space="preserve">。</w:t>
      </w:r>
      <w:r/>
    </w:p>
    <w:p>
      <w:pPr>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残疾人福利性单位：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监狱企业：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4.绿色采购</w:t>
      </w:r>
      <w:r/>
    </w:p>
    <w:p>
      <w:pPr>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jc w:val="left"/>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jc w:val="left"/>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4.3为助力打好污染防治攻坚战，推广使用绿色包装，根据财政部办公厅、生态环境部办公厅、国家邮政局</w:t>
      </w:r>
      <w:r>
        <w:rPr>
          <w:rFonts w:hint="eastAsia" w:ascii="宋体" w:hAnsi="宋体" w:cs="宋体"/>
          <w:color w:val="auto"/>
          <w:sz w:val="24"/>
          <w:szCs w:val="24"/>
          <w:highlight w:val="none"/>
        </w:rPr>
        <w:t xml:space="preserve">办公室关于印发《商品包装政府采购需求标准（试行）》《快递包装政府采购需求标准（试行）》的通知（财办库〔2020〕123 号文）文件规定，供应商提供的产品及相关快递服务的包装应符合标准要求。</w:t>
      </w:r>
      <w:r/>
    </w:p>
    <w:p>
      <w:pPr>
        <w:jc w:val="left"/>
        <w:keepLines w:val="0"/>
        <w:keepNext w:val="0"/>
        <w:pageBreakBefore w:val="0"/>
        <w:spacing w:after="0" w:line="360" w:lineRule="auto"/>
        <w:widowControl w:val="off"/>
        <w:rPr>
          <w:rFonts w:hint="eastAsia" w:ascii="宋体" w:hAnsi="宋体" w:cs="宋体"/>
          <w:bCs/>
          <w:color w:val="auto"/>
          <w:sz w:val="24"/>
          <w:szCs w:val="24"/>
          <w:highlight w:val="none"/>
          <w:shd w:val="clear" w:color="auto" w:fill="ffffff"/>
        </w:rPr>
      </w:pPr>
      <w:r>
        <w:rPr>
          <w:rFonts w:hint="eastAsia" w:ascii="宋体" w:hAnsi="宋体" w:cs="宋体"/>
          <w:bCs/>
          <w:color w:val="auto"/>
          <w:sz w:val="24"/>
          <w:szCs w:val="24"/>
          <w:highlight w:val="none"/>
          <w:shd w:val="clear" w:color="auto" w:fill="ffffff"/>
        </w:rPr>
        <w:t xml:space="preserve">七、关于对参与供应商信用记录的政府采购要求</w:t>
      </w:r>
      <w:r/>
    </w:p>
    <w:p>
      <w:pPr>
        <w:jc w:val="left"/>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1、采购代理机构会在接收投标文件截止时间后，登录信用中国网站（www.creditchina.gov.cn/）和中国政府采购网（www.ccgp.gov.cn/）查询供应商的信用记录，并将查询结果递交评标委员会。</w:t>
      </w:r>
      <w:r/>
    </w:p>
    <w:p>
      <w:pPr>
        <w:jc w:val="left"/>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jc w:val="left"/>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jc w:val="left"/>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3、供应商若在经营活动中受到罚款的，请携带相关地方、部门对较大数额认定标准的证明材料，与投标文件一并提交。若无法提供，则可能承担投标无效等相应不利后果。</w:t>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4、对存在失信信息的供应商，由失信供应商进行确认。同时，采购代理机构工作人员应根据评标委员会确认的失信信息，登录相关来源网站页面进行复核并打印，作为证据留存。</w:t>
      </w:r>
      <w:r/>
    </w:p>
    <w:p>
      <w:pPr>
        <w:jc w:val="center"/>
        <w:spacing w:line="360" w:lineRule="auto"/>
        <w:rPr>
          <w:rFonts w:hint="eastAsia" w:ascii="宋体" w:hAnsi="宋体" w:cs="宋体"/>
          <w:bCs/>
          <w:color w:val="auto"/>
          <w:sz w:val="44"/>
          <w:szCs w:val="20"/>
          <w:highlight w:val="none"/>
        </w:rPr>
      </w:pPr>
      <w:r>
        <w:rPr>
          <w:rFonts w:hint="eastAsia" w:ascii="宋体" w:hAnsi="宋体" w:cs="宋体"/>
          <w:bCs/>
          <w:color w:val="auto"/>
          <w:sz w:val="44"/>
          <w:szCs w:val="20"/>
          <w:highlight w:val="none"/>
        </w:rPr>
        <w:br w:type="page" w:clear="all"/>
      </w:r>
      <w:r>
        <w:rPr>
          <w:rFonts w:hint="eastAsia" w:ascii="宋体" w:hAnsi="宋体" w:cs="宋体"/>
          <w:bCs/>
          <w:color w:val="auto"/>
          <w:sz w:val="44"/>
          <w:szCs w:val="20"/>
          <w:highlight w:val="none"/>
        </w:rPr>
        <w:t xml:space="preserve">第五章 合同主要条款</w:t>
      </w:r>
      <w:r/>
    </w:p>
    <w:p>
      <w:pPr>
        <w:ind w:firstLine="420"/>
        <w:keepLines w:val="0"/>
        <w:keepNext w:val="0"/>
        <w:pageBreakBefore w:val="0"/>
        <w:spacing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p>
    <w:p>
      <w:pPr>
        <w:keepLines w:val="0"/>
        <w:keepNext w:val="0"/>
        <w:pageBreakBefore w:val="0"/>
        <w:spacing w:after="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一、定义：以下术语有特定的含义</w:t>
      </w:r>
      <w:r/>
    </w:p>
    <w:p>
      <w:pPr>
        <w:keepLines w:val="0"/>
        <w:keepNext w:val="0"/>
        <w:pageBreakBefore w:val="0"/>
        <w:spacing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服务：指根据合同规定乙方应承担</w:t>
      </w:r>
      <w:r>
        <w:rPr>
          <w:rFonts w:hint="eastAsia" w:asciiTheme="minorEastAsia" w:hAnsiTheme="minorEastAsia" w:eastAsiaTheme="minorEastAsia" w:cstheme="minorEastAsia"/>
          <w:color w:val="auto"/>
          <w:sz w:val="24"/>
          <w:szCs w:val="24"/>
          <w:highlight w:val="none"/>
          <w:u w:val="single"/>
          <w:lang w:eastAsia="zh-CN"/>
        </w:rPr>
        <w:t xml:space="preserve">2026年第二批考古发掘保障服务项目</w:t>
      </w:r>
      <w:r>
        <w:rPr>
          <w:rFonts w:hint="eastAsia" w:asciiTheme="minorEastAsia" w:hAnsiTheme="minorEastAsia" w:eastAsiaTheme="minorEastAsia" w:cstheme="minorEastAsia"/>
          <w:color w:val="auto"/>
          <w:sz w:val="24"/>
          <w:szCs w:val="24"/>
          <w:highlight w:val="none"/>
        </w:rPr>
        <w:t xml:space="preserve">等工作和合同中规定乙方应承担的其它义务。</w:t>
      </w:r>
      <w:r/>
    </w:p>
    <w:p>
      <w:pPr>
        <w:keepLines w:val="0"/>
        <w:keepNext w:val="0"/>
        <w:pageBreakBefore w:val="0"/>
        <w:spacing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合同价款：</w:t>
      </w:r>
      <w:r>
        <w:rPr>
          <w:rFonts w:hint="eastAsia" w:asciiTheme="minorEastAsia" w:hAnsiTheme="minorEastAsia" w:eastAsiaTheme="minorEastAsia" w:cstheme="minorEastAsia"/>
          <w:color w:val="auto"/>
          <w:spacing w:val="1"/>
          <w:sz w:val="24"/>
          <w:szCs w:val="24"/>
          <w:highlight w:val="none"/>
        </w:rPr>
        <w:t xml:space="preserve">指根据乙方的投标文件和合同规定，乙方</w:t>
      </w:r>
      <w:r>
        <w:rPr>
          <w:rFonts w:hint="eastAsia" w:asciiTheme="minorEastAsia" w:hAnsiTheme="minorEastAsia" w:eastAsiaTheme="minorEastAsia" w:cstheme="minorEastAsia"/>
          <w:color w:val="auto"/>
          <w:sz w:val="24"/>
          <w:szCs w:val="24"/>
          <w:highlight w:val="none"/>
        </w:rPr>
        <w:t xml:space="preserve">在正确地履行合同义务后甲方应</w:t>
      </w:r>
      <w:r>
        <w:rPr>
          <w:rFonts w:hint="eastAsia" w:asciiTheme="minorEastAsia" w:hAnsiTheme="minorEastAsia" w:eastAsiaTheme="minorEastAsia" w:cstheme="minorEastAsia"/>
          <w:color w:val="auto"/>
          <w:spacing w:val="-2"/>
          <w:sz w:val="24"/>
          <w:szCs w:val="24"/>
          <w:highlight w:val="none"/>
        </w:rPr>
        <w:t xml:space="preserve">支付给乙方的价款</w:t>
      </w:r>
      <w:r>
        <w:rPr>
          <w:rFonts w:hint="eastAsia" w:asciiTheme="minorEastAsia" w:hAnsiTheme="minorEastAsia" w:eastAsiaTheme="minorEastAsia" w:cstheme="minorEastAsia"/>
          <w:color w:val="auto"/>
          <w:sz w:val="24"/>
          <w:szCs w:val="24"/>
          <w:highlight w:val="none"/>
        </w:rPr>
        <w:t xml:space="preserve">。</w:t>
      </w:r>
      <w:r/>
    </w:p>
    <w:p>
      <w:pPr>
        <w:keepLines w:val="0"/>
        <w:keepNext w:val="0"/>
        <w:pageBreakBefore w:val="0"/>
        <w:spacing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甲方：指合同中明确规定的实际购买和接受服务的单位。</w:t>
      </w:r>
      <w:r/>
    </w:p>
    <w:p>
      <w:pPr>
        <w:keepLines w:val="0"/>
        <w:keepNext w:val="0"/>
        <w:pageBreakBefore w:val="0"/>
        <w:spacing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乙方：指合同中规定的提供服务的单位。</w:t>
      </w:r>
      <w:r/>
    </w:p>
    <w:p>
      <w:pPr>
        <w:keepLines w:val="0"/>
        <w:keepNext w:val="0"/>
        <w:pageBreakBefore w:val="0"/>
        <w:spacing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损失：指合同一方因不履行合同义务而导致另一方及第三方的各种损失的费用，还包括守约方为减轻损失或维护权利而需支付的各种调查费用、</w:t>
      </w:r>
      <w:r>
        <w:rPr>
          <w:rFonts w:hint="eastAsia" w:asciiTheme="minorEastAsia" w:hAnsiTheme="minorEastAsia" w:eastAsiaTheme="minorEastAsia" w:cstheme="minorEastAsia"/>
          <w:color w:val="auto"/>
          <w:sz w:val="24"/>
          <w:szCs w:val="24"/>
          <w:highlight w:val="none"/>
          <w:lang w:eastAsia="zh-Hans"/>
        </w:rPr>
        <w:t xml:space="preserve">差</w:t>
      </w:r>
      <w:r>
        <w:rPr>
          <w:rFonts w:hint="eastAsia" w:asciiTheme="minorEastAsia" w:hAnsiTheme="minorEastAsia" w:eastAsiaTheme="minorEastAsia" w:cstheme="minorEastAsia"/>
          <w:color w:val="auto"/>
          <w:sz w:val="24"/>
          <w:szCs w:val="24"/>
          <w:highlight w:val="none"/>
        </w:rPr>
        <w:t xml:space="preserve">旅费用、律师费用等。</w:t>
      </w:r>
      <w:r/>
    </w:p>
    <w:p>
      <w:pPr>
        <w:keepLines w:val="0"/>
        <w:keepNext w:val="0"/>
        <w:pageBreakBefore w:val="0"/>
        <w:spacing w:after="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二、合同项目及期限</w:t>
      </w:r>
      <w:r/>
    </w:p>
    <w:p>
      <w:pPr>
        <w:keepLines w:val="0"/>
        <w:keepNext w:val="0"/>
        <w:pageBreakBefore w:val="0"/>
        <w:spacing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乙方负责</w:t>
      </w:r>
      <w:r>
        <w:rPr>
          <w:rFonts w:hint="eastAsia" w:asciiTheme="minorEastAsia" w:hAnsiTheme="minorEastAsia" w:eastAsiaTheme="minorEastAsia" w:cstheme="minorEastAsia"/>
          <w:color w:val="auto"/>
          <w:sz w:val="24"/>
          <w:szCs w:val="24"/>
          <w:highlight w:val="none"/>
          <w:u w:val="single"/>
          <w:lang w:eastAsia="zh-CN"/>
        </w:rPr>
        <w:t xml:space="preserve">2026年第二批考古发掘保障服务项目</w:t>
      </w:r>
      <w:r>
        <w:rPr>
          <w:rFonts w:hint="eastAsia" w:asciiTheme="minorEastAsia" w:hAnsiTheme="minorEastAsia" w:eastAsiaTheme="minorEastAsia" w:cstheme="minorEastAsia"/>
          <w:color w:val="auto"/>
          <w:sz w:val="24"/>
          <w:szCs w:val="24"/>
          <w:highlight w:val="none"/>
          <w:u w:val="single"/>
        </w:rPr>
        <w:t xml:space="preserve">招标文件规定</w:t>
      </w:r>
      <w:r>
        <w:rPr>
          <w:rFonts w:hint="eastAsia" w:asciiTheme="minorEastAsia" w:hAnsiTheme="minorEastAsia" w:eastAsiaTheme="minorEastAsia" w:cstheme="minorEastAsia"/>
          <w:color w:val="auto"/>
          <w:sz w:val="24"/>
          <w:szCs w:val="24"/>
          <w:highlight w:val="none"/>
        </w:rPr>
        <w:t xml:space="preserve">的服务工作。</w:t>
      </w:r>
      <w:r/>
    </w:p>
    <w:p>
      <w:pPr>
        <w:keepLines w:val="0"/>
        <w:keepNext w:val="0"/>
        <w:pageBreakBefore w:val="0"/>
        <w:spacing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服务期限：</w:t>
      </w:r>
      <w:r>
        <w:rPr>
          <w:rFonts w:hint="eastAsia" w:asciiTheme="minorEastAsia" w:hAnsiTheme="minorEastAsia" w:eastAsiaTheme="minorEastAsia" w:cstheme="minorEastAsia"/>
          <w:color w:val="auto"/>
          <w:sz w:val="24"/>
          <w:szCs w:val="24"/>
          <w:highlight w:val="none"/>
          <w:lang w:eastAsia="zh-CN"/>
        </w:rPr>
        <w:t xml:space="preserve">2027 年 6 月 15 日止（具体进场时间以</w:t>
      </w:r>
      <w:r>
        <w:rPr>
          <w:rFonts w:hint="eastAsia" w:asciiTheme="minorEastAsia" w:hAnsiTheme="minorEastAsia" w:eastAsiaTheme="minorEastAsia" w:cstheme="minorEastAsia"/>
          <w:color w:val="auto"/>
          <w:sz w:val="24"/>
          <w:szCs w:val="24"/>
          <w:highlight w:val="none"/>
          <w:lang w:val="en-US" w:eastAsia="zh-CN"/>
        </w:rPr>
        <w:t xml:space="preserve">甲方</w:t>
      </w:r>
      <w:r>
        <w:rPr>
          <w:rFonts w:hint="eastAsia" w:asciiTheme="minorEastAsia" w:hAnsiTheme="minorEastAsia" w:eastAsiaTheme="minorEastAsia" w:cstheme="minorEastAsia"/>
          <w:color w:val="auto"/>
          <w:sz w:val="24"/>
          <w:szCs w:val="24"/>
          <w:highlight w:val="none"/>
          <w:lang w:eastAsia="zh-CN"/>
        </w:rPr>
        <w:t xml:space="preserve">通知为准）。</w:t>
      </w:r>
      <w:r/>
    </w:p>
    <w:p>
      <w:pPr>
        <w:keepLines w:val="0"/>
        <w:keepNext w:val="0"/>
        <w:pageBreakBefore w:val="0"/>
        <w:spacing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服务地点：根据甲方指定地点。</w:t>
      </w:r>
      <w:r/>
    </w:p>
    <w:p>
      <w:pPr>
        <w:numPr>
          <w:ilvl w:val="0"/>
          <w:numId w:val="3"/>
        </w:numPr>
        <w:keepLines w:val="0"/>
        <w:keepNext w:val="0"/>
        <w:pageBreakBefore w:val="0"/>
        <w:spacing w:after="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合同价款及支付</w:t>
      </w:r>
      <w:r/>
    </w:p>
    <w:p>
      <w:pPr>
        <w:keepLines w:val="0"/>
        <w:keepNext w:val="0"/>
        <w:pageBreakBefore w:val="0"/>
        <w:spacing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eastAsia="zh-Hans"/>
        </w:rPr>
        <w:t xml:space="preserve">合同</w:t>
      </w:r>
      <w:r>
        <w:rPr>
          <w:rFonts w:hint="eastAsia" w:asciiTheme="minorEastAsia" w:hAnsiTheme="minorEastAsia" w:eastAsiaTheme="minorEastAsia" w:cstheme="minorEastAsia"/>
          <w:color w:val="auto"/>
          <w:sz w:val="24"/>
          <w:szCs w:val="24"/>
          <w:highlight w:val="none"/>
          <w:lang w:val="en-US" w:eastAsia="zh-CN"/>
        </w:rPr>
        <w:t xml:space="preserve">单</w:t>
      </w:r>
      <w:r>
        <w:rPr>
          <w:rFonts w:hint="eastAsia" w:asciiTheme="minorEastAsia" w:hAnsiTheme="minorEastAsia" w:eastAsiaTheme="minorEastAsia" w:cstheme="minorEastAsia"/>
          <w:color w:val="auto"/>
          <w:sz w:val="24"/>
          <w:szCs w:val="24"/>
          <w:highlight w:val="none"/>
          <w:lang w:eastAsia="zh-Hans"/>
        </w:rPr>
        <w:t xml:space="preserve">价（含税）为</w:t>
      </w:r>
      <w:r>
        <w:rPr>
          <w:rFonts w:hint="eastAsia" w:asciiTheme="minorEastAsia" w:hAnsiTheme="minorEastAsia" w:eastAsiaTheme="minorEastAsia" w:cstheme="minorEastAsia"/>
          <w:color w:val="auto"/>
          <w:sz w:val="24"/>
          <w:szCs w:val="24"/>
          <w:highlight w:val="none"/>
        </w:rPr>
        <w:t xml:space="preserve">大写人民币</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none"/>
          <w:lang w:eastAsia="zh-CN"/>
        </w:rPr>
        <w:t xml:space="preserve">（</w:t>
      </w:r>
      <w:r>
        <w:rPr>
          <w:rFonts w:hint="eastAsia" w:asciiTheme="minorEastAsia" w:hAnsiTheme="minorEastAsia" w:eastAsiaTheme="minorEastAsia" w:cstheme="minorEastAsia"/>
          <w:color w:val="auto"/>
          <w:sz w:val="24"/>
          <w:szCs w:val="24"/>
          <w:highlight w:val="none"/>
          <w:u w:val="none"/>
        </w:rPr>
        <w:t xml:space="preserve">元/平方米</w:t>
      </w:r>
      <w:r>
        <w:rPr>
          <w:rFonts w:hint="eastAsia" w:asciiTheme="minorEastAsia" w:hAnsiTheme="minorEastAsia" w:eastAsiaTheme="minorEastAsia" w:cstheme="minorEastAsia"/>
          <w:color w:val="auto"/>
          <w:sz w:val="24"/>
          <w:szCs w:val="24"/>
          <w:highlight w:val="none"/>
          <w:u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，小写￥</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none"/>
          <w:lang w:val="en-US" w:eastAsia="zh-CN"/>
        </w:rPr>
        <w:t xml:space="preserve">元/</w:t>
      </w:r>
      <w:r>
        <w:rPr>
          <w:rFonts w:hint="eastAsia" w:asciiTheme="minorEastAsia" w:hAnsiTheme="minorEastAsia" w:eastAsiaTheme="minorEastAsia" w:cstheme="minorEastAsia"/>
          <w:color w:val="auto"/>
          <w:sz w:val="24"/>
          <w:szCs w:val="24"/>
          <w:highlight w:val="none"/>
          <w:u w:val="none"/>
        </w:rPr>
        <w:t xml:space="preserve">/平方米 </w:t>
      </w:r>
      <w:r>
        <w:rPr>
          <w:rFonts w:hint="eastAsia" w:asciiTheme="minorEastAsia" w:hAnsiTheme="minorEastAsia" w:eastAsiaTheme="minorEastAsia" w:cstheme="minorEastAsia"/>
          <w:color w:val="auto"/>
          <w:sz w:val="24"/>
          <w:szCs w:val="24"/>
          <w:highlight w:val="none"/>
        </w:rPr>
        <w:t xml:space="preserve">。</w:t>
      </w:r>
      <w:r/>
    </w:p>
    <w:p>
      <w:pPr>
        <w:keepLines w:val="0"/>
        <w:keepNext w:val="0"/>
        <w:pageBreakBefore w:val="0"/>
        <w:spacing w:after="0"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合同总价款</w:t>
      </w:r>
      <w:r>
        <w:rPr>
          <w:rFonts w:hint="eastAsia" w:asciiTheme="minorEastAsia" w:hAnsiTheme="minorEastAsia" w:eastAsiaTheme="minorEastAsia" w:cstheme="minorEastAsia"/>
          <w:color w:val="auto"/>
          <w:sz w:val="24"/>
          <w:szCs w:val="24"/>
          <w:highlight w:val="none"/>
          <w:lang w:val="en-US" w:eastAsia="zh-CN"/>
        </w:rPr>
        <w:t xml:space="preserve">包含但不限于机械设备使用费、服务人员薪酬福利（严格遵照苏州市最低工资标准、月度最高工时等相关规定执行，含法定节假日加班薪资、特定岗位高温补贴等合规薪酬）、项目往返交通费用、安全帽、作业工具等器材设备及耗材购置使用费、工装、工号牌等配套物资费用、室外作业专项津补贴、从业人员体检费、岗位教育培训费、员工五险一金缴纳费用、企业日常行政办公经费、各类税费、企业合理利润及招标代理服务费，以及国家、行业政策性文件规定的所有必备费用，涵盖完成本招标文件约定全部服务内容所需的一切相关费用。</w:t>
      </w:r>
      <w:r/>
    </w:p>
    <w:p>
      <w:pPr>
        <w:keepLines w:val="0"/>
        <w:keepNext w:val="0"/>
        <w:pageBreakBefore w:val="0"/>
        <w:spacing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甲方除了支付本条款约定的费用外不再向乙方及其工作人员支付其他任何费用，同时，除本合同另有约定外，乙方所报价格在本合同实施期间不因市场变化因素而变动。</w:t>
      </w:r>
      <w:r/>
    </w:p>
    <w:p>
      <w:pPr>
        <w:keepLines w:val="0"/>
        <w:keepNext w:val="0"/>
        <w:pageBreakBefore w:val="0"/>
        <w:spacing w:after="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四、付款方式</w:t>
      </w:r>
      <w:r/>
    </w:p>
    <w:p>
      <w:pPr>
        <w:keepLines w:val="0"/>
        <w:keepNext w:val="0"/>
        <w:pageBreakBefore w:val="0"/>
        <w:spacing w:after="0"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1、付款步骤</w:t>
      </w:r>
      <w:r/>
    </w:p>
    <w:p>
      <w:pPr>
        <w:keepLines w:val="0"/>
        <w:keepNext w:val="0"/>
        <w:pageBreakBefore w:val="0"/>
        <w:spacing w:after="0"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1.1付款流程：合同生效后，甲方向乙方支付合同价款的30%作为项目预付款；野外作业全部实施完毕，完成现场发掘、探方回填，整体验收合格，且乙方按照清单要求将全套工作资料（包含出土标本、采样样品、项目数据、图文影像资料等）移交苏州市考古研究所，结合项目考核结果后，支付剩余 70% 合同价款。</w:t>
      </w:r>
      <w:r/>
    </w:p>
    <w:p>
      <w:pPr>
        <w:keepLines w:val="0"/>
        <w:keepNext w:val="0"/>
        <w:pageBreakBefore w:val="0"/>
        <w:spacing w:after="0"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1.2 结算方式：项目综合考核得分由《考古发掘项目月度考核表》得分（权重 60%）、《考古发掘项目预验收考核表》得分（权重 30%）、专家验收得分（权重 10%）加权汇总计算。综合考核得分 80 分（含）以上，按合同约定金额结算；综合考核得分不足 80 分的，依据实际考核得分按相应比例扣减服务结算价款。</w:t>
      </w:r>
      <w:r/>
    </w:p>
    <w:p>
      <w:pPr>
        <w:keepLines w:val="0"/>
        <w:keepNext w:val="0"/>
        <w:pageBreakBefore w:val="0"/>
        <w:spacing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1.3</w:t>
      </w:r>
      <w:r>
        <w:rPr>
          <w:rFonts w:hint="eastAsia" w:asciiTheme="minorEastAsia" w:hAnsiTheme="minorEastAsia" w:eastAsiaTheme="minorEastAsia" w:cstheme="minorEastAsia"/>
          <w:color w:val="auto"/>
          <w:sz w:val="24"/>
          <w:szCs w:val="24"/>
          <w:highlight w:val="none"/>
        </w:rPr>
        <w:t xml:space="preserve">乙方提请甲方款项结算前，需提供以下材料，因乙方未按约定提供以下材料的，甲方有权迟延付款，且不承担迟延付款责任：</w:t>
      </w:r>
      <w:r/>
    </w:p>
    <w:p>
      <w:pPr>
        <w:keepLines w:val="0"/>
        <w:keepNext w:val="0"/>
        <w:pageBreakBefore w:val="0"/>
        <w:spacing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1.3.1</w:t>
      </w:r>
      <w:r>
        <w:rPr>
          <w:rFonts w:hint="eastAsia" w:asciiTheme="minorEastAsia" w:hAnsiTheme="minorEastAsia" w:eastAsiaTheme="minorEastAsia" w:cstheme="minorEastAsia"/>
          <w:color w:val="auto"/>
          <w:sz w:val="24"/>
          <w:szCs w:val="24"/>
          <w:highlight w:val="none"/>
        </w:rPr>
        <w:t xml:space="preserve">合法有效且符合甲方要求的销售发票。</w:t>
      </w:r>
      <w:r/>
    </w:p>
    <w:p>
      <w:pPr>
        <w:keepLines w:val="0"/>
        <w:keepNext w:val="0"/>
        <w:pageBreakBefore w:val="0"/>
        <w:spacing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1.3.2</w:t>
      </w:r>
      <w:r>
        <w:rPr>
          <w:rFonts w:hint="eastAsia" w:asciiTheme="minorEastAsia" w:hAnsiTheme="minorEastAsia" w:eastAsiaTheme="minorEastAsia" w:cstheme="minorEastAsia"/>
          <w:color w:val="auto"/>
          <w:sz w:val="24"/>
          <w:szCs w:val="24"/>
          <w:highlight w:val="none"/>
        </w:rPr>
        <w:t xml:space="preserve">甲方对乙方提供的服务进行考核所形成的考核单证。</w:t>
      </w:r>
      <w:r/>
    </w:p>
    <w:p>
      <w:pPr>
        <w:keepLines w:val="0"/>
        <w:keepNext w:val="0"/>
        <w:pageBreakBefore w:val="0"/>
        <w:spacing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keepLines w:val="0"/>
        <w:keepNext w:val="0"/>
        <w:pageBreakBefore w:val="0"/>
        <w:spacing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账户信息</w:t>
      </w:r>
      <w:r/>
    </w:p>
    <w:p>
      <w:pPr>
        <w:keepLines w:val="0"/>
        <w:keepNext w:val="0"/>
        <w:pageBreakBefore w:val="0"/>
        <w:spacing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3.1 乙方数字人民币账户信息如下：</w:t>
      </w:r>
      <w:r/>
    </w:p>
    <w:p>
      <w:pPr>
        <w:ind w:firstLine="840"/>
        <w:keepLines w:val="0"/>
        <w:keepNext w:val="0"/>
        <w:pageBreakBefore w:val="0"/>
        <w:spacing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账户名：</w:t>
      </w:r>
      <w:r/>
    </w:p>
    <w:p>
      <w:pPr>
        <w:ind w:firstLine="840"/>
        <w:keepLines w:val="0"/>
        <w:keepNext w:val="0"/>
        <w:pageBreakBefore w:val="0"/>
        <w:spacing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开户行：</w:t>
      </w:r>
      <w:r/>
    </w:p>
    <w:p>
      <w:pPr>
        <w:ind w:firstLine="840"/>
        <w:keepLines w:val="0"/>
        <w:keepNext w:val="0"/>
        <w:pageBreakBefore w:val="0"/>
        <w:spacing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数字人民币账号（数币钱包ID）：</w:t>
      </w:r>
      <w:r/>
    </w:p>
    <w:p>
      <w:pPr>
        <w:keepLines w:val="0"/>
        <w:keepNext w:val="0"/>
        <w:pageBreakBefore w:val="0"/>
        <w:spacing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 乙方银行转账账户信息如下：</w:t>
      </w:r>
      <w:r/>
    </w:p>
    <w:p>
      <w:pPr>
        <w:ind w:firstLine="840"/>
        <w:keepLines w:val="0"/>
        <w:keepNext w:val="0"/>
        <w:pageBreakBefore w:val="0"/>
        <w:spacing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开户名称：</w:t>
      </w:r>
      <w:r/>
    </w:p>
    <w:p>
      <w:pPr>
        <w:ind w:firstLine="840"/>
        <w:keepLines w:val="0"/>
        <w:keepNext w:val="0"/>
        <w:pageBreakBefore w:val="0"/>
        <w:spacing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开户银行：</w:t>
      </w:r>
      <w:r/>
    </w:p>
    <w:p>
      <w:pPr>
        <w:ind w:firstLine="840"/>
        <w:keepLines w:val="0"/>
        <w:keepNext w:val="0"/>
        <w:pageBreakBefore w:val="0"/>
        <w:spacing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银行账号：</w:t>
      </w:r>
      <w:r/>
    </w:p>
    <w:p>
      <w:pPr>
        <w:keepLines w:val="0"/>
        <w:keepNext w:val="0"/>
        <w:pageBreakBefore w:val="0"/>
        <w:spacing w:after="0" w:line="360" w:lineRule="auto"/>
        <w:rPr>
          <w:rFonts w:hint="eastAsia" w:ascii="宋体" w:hAnsi="宋体" w:cs="宋体"/>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4.未经双方书面协商一致，乙方不得擅自变更收款账户信息，也不得转让债权；未经甲方书面同意的债权转让对甲方不发生法律效力，甲方仍有权按照合同约定账户支付费用。</w:t>
      </w:r>
      <w:r>
        <w:rPr>
          <w:rFonts w:hint="eastAsia" w:ascii="宋体" w:hAnsi="宋体" w:cs="宋体"/>
          <w:color w:val="auto"/>
          <w:sz w:val="24"/>
          <w:szCs w:val="24"/>
          <w:highlight w:val="none"/>
        </w:rPr>
        <w:t xml:space="preserve">若乙方将对甲方的债权擅自转让给第三人，则乙方同意向甲方承担转让的债权金额10%的违约金，同时甲方有权单方面解除本合同。第三人因债权转让起诉的，甲方因此次诉讼而产生的案件诉讼费、第三人主张的违约金、利息损失、律师费、保全费、保函费、鉴定费等均由乙方承担。</w:t>
      </w:r>
      <w:r/>
    </w:p>
    <w:p>
      <w:pPr>
        <w:keepLines w:val="0"/>
        <w:keepNext w:val="0"/>
        <w:pageBreakBefore w:val="0"/>
        <w:spacing w:after="0" w:line="360" w:lineRule="auto"/>
        <w:rPr>
          <w:rFonts w:hint="eastAsia" w:ascii="宋体" w:hAnsi="宋体" w:cs="宋体"/>
          <w:b w:val="0"/>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如本项目需要审计，乙方应当予以配合。审计过程中，乙方应按甲方要求提供相应材料，甲方认为乙方提交的材料缺失、不合理或有误的，乙方应限期补正，且乙方补正并符合甲方要求前，甲方有权迟延付款，并不承担逾期付款的违约责任。如双方对审计标准、程序有争议的，则优先适用甲方所在地的地方标准（包括甲方主管机关、财政部门、审计部门等通行的审计标准、程序），如无地方标准的，适用行业标准，没有行业标准的，按照通常标准或者符合合同目的的特定标准履行。</w:t>
      </w:r>
      <w:r/>
    </w:p>
    <w:p>
      <w:pPr>
        <w:keepLines w:val="0"/>
        <w:keepNext w:val="0"/>
        <w:pageBreakBefore w:val="0"/>
        <w:spacing w:after="0" w:line="360" w:lineRule="auto"/>
        <w:widowControl w:val="off"/>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五、服务质量</w:t>
      </w:r>
      <w:r/>
    </w:p>
    <w:p>
      <w:pPr>
        <w:keepLines w:val="0"/>
        <w:keepNext w:val="0"/>
        <w:pageBreakBefore w:val="0"/>
        <w:spacing w:after="0"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1.乙方应保证提供给甲方的服务完全符合本项目招标文件规定的服务标准。</w:t>
      </w:r>
      <w:r/>
    </w:p>
    <w:p>
      <w:pPr>
        <w:keepLines w:val="0"/>
        <w:keepNext w:val="0"/>
        <w:pageBreakBefore w:val="0"/>
        <w:spacing w:after="0"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2.乙方应保证提供的服务符合中华人民共和国相关标准及相应的技术规范、本次采购相关文件中的全部相关要求及相关标准及相应的技术规范中之较高者。</w:t>
      </w:r>
      <w:r/>
    </w:p>
    <w:p>
      <w:pPr>
        <w:keepLines w:val="0"/>
        <w:keepNext w:val="0"/>
        <w:pageBreakBefore w:val="0"/>
        <w:spacing w:after="0"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3.乙方保证提供的服务符合中华人民共和国国家及行业安全质量、环保标准中之较高者。</w:t>
      </w:r>
      <w:r/>
    </w:p>
    <w:p>
      <w:pPr>
        <w:keepLines w:val="0"/>
        <w:keepNext w:val="0"/>
        <w:pageBreakBefore w:val="0"/>
        <w:spacing w:after="0" w:line="360" w:lineRule="auto"/>
        <w:widowControl w:val="off"/>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lang w:val="en-US" w:eastAsia="zh-CN"/>
        </w:rPr>
        <w:t xml:space="preserve">六</w:t>
      </w:r>
      <w:r>
        <w:rPr>
          <w:rFonts w:hint="eastAsia" w:ascii="宋体" w:hAnsi="宋体" w:cs="宋体"/>
          <w:b/>
          <w:bCs w:val="0"/>
          <w:color w:val="auto"/>
          <w:sz w:val="24"/>
          <w:szCs w:val="24"/>
          <w:highlight w:val="none"/>
        </w:rPr>
        <w:t xml:space="preserve">、履约验收</w:t>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1.甲方</w:t>
      </w:r>
      <w:r>
        <w:rPr>
          <w:rFonts w:hint="eastAsia" w:ascii="宋体" w:hAnsi="宋体" w:cs="宋体"/>
          <w:color w:val="auto"/>
          <w:sz w:val="24"/>
          <w:szCs w:val="24"/>
          <w:highlight w:val="none"/>
        </w:rPr>
        <w:t xml:space="preserve">根据《江苏省财政厅关于印发&lt;江苏省政府采购履约验收管理办法</w:t>
      </w:r>
      <w:r>
        <w:rPr>
          <w:rFonts w:hint="eastAsia" w:ascii="宋体" w:hAnsi="宋体" w:cs="宋体"/>
          <w:color w:val="auto"/>
          <w:sz w:val="24"/>
          <w:szCs w:val="24"/>
          <w:highlight w:val="none"/>
          <w:lang w:eastAsia="zh-CN"/>
        </w:rPr>
        <w:t xml:space="preserve">〉的通知》</w:t>
      </w:r>
      <w:r>
        <w:rPr>
          <w:rFonts w:hint="eastAsia" w:ascii="宋体" w:hAnsi="宋体" w:cs="宋体"/>
          <w:color w:val="auto"/>
          <w:sz w:val="24"/>
          <w:szCs w:val="24"/>
          <w:highlight w:val="none"/>
        </w:rPr>
        <w:t xml:space="preserve">（苏财规〔2024〕7号）相关要求，组织项目履约验收基本工作。</w:t>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招标文件、投标文件、政府采购合同等是履约验收工作的重要依据。在政府采购合同约定的履行验收条件达到时，</w:t>
      </w: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可以主动联系</w:t>
      </w:r>
      <w:r>
        <w:rPr>
          <w:rFonts w:hint="eastAsia" w:ascii="宋体" w:hAnsi="宋体" w:cs="宋体"/>
          <w:color w:val="auto"/>
          <w:sz w:val="24"/>
          <w:szCs w:val="24"/>
          <w:highlight w:val="none"/>
          <w:lang w:val="en-US" w:eastAsia="zh-CN"/>
        </w:rPr>
        <w:t xml:space="preserve">甲方</w:t>
      </w:r>
      <w:r>
        <w:rPr>
          <w:rFonts w:hint="eastAsia" w:ascii="宋体" w:hAnsi="宋体" w:cs="宋体"/>
          <w:color w:val="auto"/>
          <w:sz w:val="24"/>
          <w:szCs w:val="24"/>
          <w:highlight w:val="none"/>
        </w:rPr>
        <w:t xml:space="preserve">启动履约验收工作。</w:t>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3.甲方</w:t>
      </w:r>
      <w:r>
        <w:rPr>
          <w:rFonts w:hint="eastAsia" w:ascii="宋体" w:hAnsi="宋体" w:cs="宋体"/>
          <w:color w:val="auto"/>
          <w:sz w:val="24"/>
          <w:szCs w:val="24"/>
          <w:highlight w:val="none"/>
        </w:rPr>
        <w:t xml:space="preserve">在组织履约验收前，将根据项目特点制定验收方案，明确履约验收的时间、方式、程序等内容。</w:t>
      </w: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应根据验收方案内容做好相应配合工作。</w:t>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4.甲方</w:t>
      </w:r>
      <w:r>
        <w:rPr>
          <w:rFonts w:hint="eastAsia" w:ascii="宋体" w:hAnsi="宋体" w:cs="宋体"/>
          <w:color w:val="auto"/>
          <w:sz w:val="24"/>
          <w:szCs w:val="24"/>
          <w:highlight w:val="none"/>
        </w:rPr>
        <w:t xml:space="preserve">将按照验收标准要求组织验收，验收内容和标准至少包括服务质量、服务过程文档资料等内容。</w:t>
      </w:r>
      <w:r/>
    </w:p>
    <w:p>
      <w:pPr>
        <w:keepLines w:val="0"/>
        <w:keepNext w:val="0"/>
        <w:pageBreakBefore w:val="0"/>
        <w:spacing w:after="0" w:line="360" w:lineRule="auto"/>
        <w:widowControl w:val="off"/>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lang w:val="en-US" w:eastAsia="zh-CN"/>
        </w:rPr>
        <w:t xml:space="preserve">七</w:t>
      </w:r>
      <w:r>
        <w:rPr>
          <w:rFonts w:hint="eastAsia" w:ascii="宋体" w:hAnsi="宋体" w:cs="宋体"/>
          <w:b/>
          <w:bCs w:val="0"/>
          <w:color w:val="auto"/>
          <w:sz w:val="24"/>
          <w:szCs w:val="24"/>
          <w:highlight w:val="none"/>
        </w:rPr>
        <w:t xml:space="preserve">、双方权利义务</w:t>
      </w:r>
      <w:r/>
    </w:p>
    <w:p>
      <w:pPr>
        <w:spacing w:after="0" w:line="360" w:lineRule="auto"/>
        <w:rPr>
          <w:rFonts w:hint="eastAsia" w:ascii="宋体" w:hAnsi="宋体"/>
          <w:color w:val="auto"/>
          <w:sz w:val="24"/>
          <w:highlight w:val="none"/>
        </w:rPr>
      </w:pPr>
      <w:r>
        <w:rPr>
          <w:rFonts w:hint="eastAsia" w:ascii="宋体" w:hAnsi="宋体"/>
          <w:color w:val="auto"/>
          <w:sz w:val="24"/>
          <w:highlight w:val="none"/>
          <w:lang w:val="zh-CN"/>
        </w:rPr>
        <w:t xml:space="preserve">1.根据采购要求及乙方投标文件中的承诺，对乙方提供的服务及履行本合同情况实行验收考核。</w:t>
      </w:r>
      <w:r/>
    </w:p>
    <w:p>
      <w:pPr>
        <w:spacing w:after="0" w:line="360" w:lineRule="auto"/>
        <w:rPr>
          <w:rFonts w:hint="eastAsia" w:ascii="宋体" w:hAnsi="宋体"/>
          <w:color w:val="auto"/>
          <w:sz w:val="24"/>
          <w:highlight w:val="none"/>
        </w:rPr>
      </w:pPr>
      <w:r>
        <w:rPr>
          <w:rFonts w:hint="eastAsia" w:ascii="宋体" w:hAnsi="宋体"/>
          <w:color w:val="auto"/>
          <w:sz w:val="24"/>
          <w:highlight w:val="none"/>
          <w:lang w:val="zh-CN"/>
        </w:rPr>
        <w:t xml:space="preserve">2.甲方必须满足本采购文件相关要求。</w:t>
      </w:r>
      <w:r/>
    </w:p>
    <w:p>
      <w:pPr>
        <w:spacing w:after="0"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lang w:val="zh-CN"/>
        </w:rPr>
        <w:t xml:space="preserve">.乙方根据甲方有关要求，积极主动保质保量地完成此项目。</w:t>
      </w:r>
      <w:r/>
    </w:p>
    <w:p>
      <w:pPr>
        <w:spacing w:after="0"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乙方必须满足本采购文件要求；</w:t>
      </w:r>
      <w:r>
        <w:rPr>
          <w:rFonts w:hint="eastAsia" w:ascii="宋体" w:hAnsi="宋体"/>
          <w:color w:val="auto"/>
          <w:sz w:val="24"/>
          <w:highlight w:val="none"/>
        </w:rPr>
        <w:t xml:space="preserve">一旦产生人身伤害或财产损失的，由乙方承担全部责任。</w:t>
      </w:r>
      <w:r/>
    </w:p>
    <w:p>
      <w:pPr>
        <w:keepLines w:val="0"/>
        <w:keepNext w:val="0"/>
        <w:pageBreakBefore w:val="0"/>
        <w:spacing w:after="0" w:line="360" w:lineRule="auto"/>
        <w:widowControl w:val="off"/>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lang w:val="en-US" w:eastAsia="zh-CN"/>
        </w:rPr>
        <w:t xml:space="preserve">八</w:t>
      </w:r>
      <w:r>
        <w:rPr>
          <w:rFonts w:hint="eastAsia" w:ascii="宋体" w:hAnsi="宋体" w:cs="宋体"/>
          <w:b/>
          <w:bCs w:val="0"/>
          <w:color w:val="auto"/>
          <w:sz w:val="24"/>
          <w:szCs w:val="24"/>
          <w:highlight w:val="none"/>
        </w:rPr>
        <w:t xml:space="preserve">、保密条款</w:t>
      </w:r>
      <w:r/>
    </w:p>
    <w:p>
      <w:pPr>
        <w:keepLines w:val="0"/>
        <w:keepNext w:val="0"/>
        <w:pageBreakBefore w:val="0"/>
        <w:spacing w:after="0"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1.乙方对在本合同签订、履行过程中知悉的甲方资料和信息（包括乙方掌握有相关保密信息的事实本身），除甲方明确书面豁免外，均为保密信息。</w:t>
      </w:r>
      <w:r/>
    </w:p>
    <w:p>
      <w:pPr>
        <w:keepLines w:val="0"/>
        <w:keepNext w:val="0"/>
        <w:pageBreakBefore w:val="0"/>
        <w:spacing w:after="0"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2.乙方承诺对保密信息之使用仅限于本合同签订与履行的，未经甲方明确书面同意，乙方不得将保密信息用于其它任何范围或场合，不得向任何第三方披露保密信息。</w:t>
      </w:r>
      <w:r/>
    </w:p>
    <w:p>
      <w:pPr>
        <w:keepLines w:val="0"/>
        <w:keepNext w:val="0"/>
        <w:pageBreakBefore w:val="0"/>
        <w:spacing w:after="0"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3.本合同履行终止后，乙方应当归还由甲方向其披露的一切保密信息的原始资料及其相关副本或复制品（包括书面的或电子的），乙方返还保密信息资料后，应继续承担并履行其在本合同项下的其他义务。</w:t>
      </w:r>
      <w:r/>
    </w:p>
    <w:p>
      <w:pPr>
        <w:keepLines w:val="0"/>
        <w:keepNext w:val="0"/>
        <w:pageBreakBefore w:val="0"/>
        <w:spacing w:after="0"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4.乙方员工、供应商、客户等凡是有机会接触到保密信息的主体，含自然人和法人，均负有前述保密义务，乙方应当采取充足措施保障前述主体履行保密义务，否则视为乙方违反保密义务。</w:t>
      </w:r>
      <w:r/>
    </w:p>
    <w:p>
      <w:pPr>
        <w:keepLines w:val="0"/>
        <w:keepNext w:val="0"/>
        <w:pageBreakBefore w:val="0"/>
        <w:spacing w:after="0"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5.乙方对保密信息未经甲方许可进行披露</w:t>
      </w:r>
      <w:r>
        <w:rPr>
          <w:rFonts w:hint="eastAsia" w:ascii="宋体" w:hAnsi="宋体" w:cs="宋体"/>
          <w:b w:val="0"/>
          <w:bCs/>
          <w:color w:val="auto"/>
          <w:sz w:val="24"/>
          <w:szCs w:val="24"/>
          <w:highlight w:val="none"/>
          <w:lang w:eastAsia="zh-CN"/>
        </w:rPr>
        <w:t xml:space="preserve">（包括但不</w:t>
      </w:r>
      <w:r>
        <w:rPr>
          <w:rFonts w:hint="eastAsia" w:ascii="宋体" w:hAnsi="宋体" w:cs="宋体"/>
          <w:b w:val="0"/>
          <w:bCs/>
          <w:color w:val="auto"/>
          <w:sz w:val="24"/>
          <w:szCs w:val="24"/>
          <w:highlight w:val="none"/>
        </w:rPr>
        <w:t xml:space="preserve">限于故意，过失或疏忽）或有其他违反保密义务的行为，甲方有权解除本合同，且乙方应向甲方支付本合同总金额30%的违约金，并向甲方及其关联主体赔偿因此受到的全部直接和间接损失。此外，甲方还有权寻求停止侵害的禁令或其他类似的法律救济。</w:t>
      </w:r>
      <w:r/>
    </w:p>
    <w:p>
      <w:pPr>
        <w:keepLines w:val="0"/>
        <w:keepNext w:val="0"/>
        <w:pageBreakBefore w:val="0"/>
        <w:spacing w:after="0"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6.无论合同是否成立、生效、变更、解除或终止，前述保密条款不受其限制而继续有效，乙方都应继续承担保密条款约定的保密义务及责任，保密期限为永久。</w:t>
      </w:r>
      <w:r/>
    </w:p>
    <w:p>
      <w:pPr>
        <w:keepLines w:val="0"/>
        <w:keepNext w:val="0"/>
        <w:pageBreakBefore w:val="0"/>
        <w:spacing w:after="0"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7.无论基于何种原因，在合同履行过程中或合同履行完成时，当甲方向乙方发出返还全部保密信息资料的媒体、扫描件、影印件、摘要的书面通知后，乙方应在书面通知送达后的5日内全部返还。本合同履行完成后，乙方及其所属员工也不得再为任何目的使用上述保密信息。</w:t>
      </w:r>
      <w:r/>
    </w:p>
    <w:p>
      <w:pPr>
        <w:keepLines w:val="0"/>
        <w:keepNext w:val="0"/>
        <w:pageBreakBefore w:val="0"/>
        <w:spacing w:after="0" w:line="360" w:lineRule="auto"/>
        <w:widowControl w:val="off"/>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lang w:val="en-US" w:eastAsia="zh-CN"/>
        </w:rPr>
        <w:t xml:space="preserve">九</w:t>
      </w:r>
      <w:r>
        <w:rPr>
          <w:rFonts w:hint="eastAsia" w:ascii="宋体" w:hAnsi="宋体" w:cs="宋体"/>
          <w:b/>
          <w:bCs w:val="0"/>
          <w:color w:val="auto"/>
          <w:sz w:val="24"/>
          <w:szCs w:val="24"/>
          <w:highlight w:val="none"/>
        </w:rPr>
        <w:t xml:space="preserve">、知识产权</w:t>
      </w:r>
      <w:r/>
    </w:p>
    <w:p>
      <w:pPr>
        <w:ind w:firstLine="0"/>
        <w:jc w:val="left"/>
        <w:keepLines w:val="0"/>
        <w:keepNext w:val="0"/>
        <w:pageBreakBefore w:val="0"/>
        <w:spacing w:after="0" w:line="360" w:lineRule="auto"/>
        <w:shd w:val="clear" w:color="auto" w:fill="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default" w:ascii="宋体" w:hAnsi="宋体" w:eastAsia="宋体" w:cs="宋体"/>
          <w:color w:val="auto"/>
          <w:sz w:val="24"/>
          <w:szCs w:val="24"/>
          <w:highlight w:val="none"/>
          <w:lang w:val="en-US" w:eastAsia="zh-CN"/>
        </w:rPr>
        <w:t xml:space="preserve">本项目实施过程中产生的全部成果、资料、报告等所有知识产权均归</w:t>
      </w:r>
      <w:r>
        <w:rPr>
          <w:rFonts w:hint="eastAsia" w:ascii="宋体" w:hAnsi="宋体" w:cs="宋体"/>
          <w:color w:val="auto"/>
          <w:sz w:val="24"/>
          <w:szCs w:val="24"/>
          <w:highlight w:val="none"/>
          <w:lang w:val="en-US" w:eastAsia="zh-CN"/>
        </w:rPr>
        <w:t xml:space="preserve">甲方</w:t>
      </w:r>
      <w:r>
        <w:rPr>
          <w:rFonts w:hint="default" w:ascii="宋体" w:hAnsi="宋体" w:eastAsia="宋体" w:cs="宋体"/>
          <w:color w:val="auto"/>
          <w:sz w:val="24"/>
          <w:szCs w:val="24"/>
          <w:highlight w:val="none"/>
          <w:lang w:val="en-US" w:eastAsia="zh-CN"/>
        </w:rPr>
        <w:t xml:space="preserve">独家所有。未经</w:t>
      </w:r>
      <w:r>
        <w:rPr>
          <w:rFonts w:hint="eastAsia" w:ascii="宋体" w:hAnsi="宋体" w:cs="宋体"/>
          <w:color w:val="auto"/>
          <w:sz w:val="24"/>
          <w:szCs w:val="24"/>
          <w:highlight w:val="none"/>
          <w:lang w:val="en-US" w:eastAsia="zh-CN"/>
        </w:rPr>
        <w:t xml:space="preserve">甲方</w:t>
      </w:r>
      <w:r>
        <w:rPr>
          <w:rFonts w:hint="default" w:ascii="宋体" w:hAnsi="宋体" w:eastAsia="宋体" w:cs="宋体"/>
          <w:color w:val="auto"/>
          <w:sz w:val="24"/>
          <w:szCs w:val="24"/>
          <w:highlight w:val="none"/>
          <w:lang w:val="en-US" w:eastAsia="zh-CN"/>
        </w:rPr>
        <w:t xml:space="preserve">书面许可，无论相关成果是否被</w:t>
      </w:r>
      <w:r>
        <w:rPr>
          <w:rFonts w:hint="eastAsia" w:ascii="宋体" w:hAnsi="宋体" w:cs="宋体"/>
          <w:color w:val="auto"/>
          <w:sz w:val="24"/>
          <w:szCs w:val="24"/>
          <w:highlight w:val="none"/>
          <w:lang w:val="en-US" w:eastAsia="zh-CN"/>
        </w:rPr>
        <w:t xml:space="preserve">甲方</w:t>
      </w:r>
      <w:r>
        <w:rPr>
          <w:rFonts w:hint="default" w:ascii="宋体" w:hAnsi="宋体" w:eastAsia="宋体" w:cs="宋体"/>
          <w:color w:val="auto"/>
          <w:sz w:val="24"/>
          <w:szCs w:val="24"/>
          <w:highlight w:val="none"/>
          <w:lang w:val="en-US" w:eastAsia="zh-CN"/>
        </w:rPr>
        <w:t xml:space="preserve">采用，</w:t>
      </w:r>
      <w:r>
        <w:rPr>
          <w:rFonts w:hint="eastAsia" w:ascii="宋体" w:hAnsi="宋体" w:cs="宋体"/>
          <w:color w:val="auto"/>
          <w:sz w:val="24"/>
          <w:szCs w:val="24"/>
          <w:highlight w:val="none"/>
          <w:lang w:val="en-US" w:eastAsia="zh-CN"/>
        </w:rPr>
        <w:t xml:space="preserve">乙方</w:t>
      </w:r>
      <w:r>
        <w:rPr>
          <w:rFonts w:hint="default" w:ascii="宋体" w:hAnsi="宋体" w:eastAsia="宋体" w:cs="宋体"/>
          <w:color w:val="auto"/>
          <w:sz w:val="24"/>
          <w:szCs w:val="24"/>
          <w:highlight w:val="none"/>
          <w:lang w:val="en-US" w:eastAsia="zh-CN"/>
        </w:rPr>
        <w:t xml:space="preserve">均不得擅自对外披露、发布、转载、授权第三方使用。</w:t>
      </w:r>
      <w:r/>
    </w:p>
    <w:p>
      <w:pPr>
        <w:ind w:firstLine="0"/>
        <w:jc w:val="left"/>
        <w:keepLines w:val="0"/>
        <w:keepNext w:val="0"/>
        <w:pageBreakBefore w:val="0"/>
        <w:spacing w:after="0" w:line="360" w:lineRule="auto"/>
        <w:shd w:val="clear" w:color="auto" w:fill="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default" w:ascii="宋体" w:hAnsi="宋体" w:eastAsia="宋体" w:cs="宋体"/>
          <w:color w:val="auto"/>
          <w:sz w:val="24"/>
          <w:szCs w:val="24"/>
          <w:highlight w:val="none"/>
          <w:lang w:val="en-US" w:eastAsia="zh-CN"/>
        </w:rPr>
        <w:t xml:space="preserve">对于</w:t>
      </w:r>
      <w:r>
        <w:rPr>
          <w:rFonts w:hint="eastAsia" w:ascii="宋体" w:hAnsi="宋体" w:cs="宋体"/>
          <w:color w:val="auto"/>
          <w:sz w:val="24"/>
          <w:szCs w:val="24"/>
          <w:highlight w:val="none"/>
          <w:lang w:val="en-US" w:eastAsia="zh-CN"/>
        </w:rPr>
        <w:t xml:space="preserve">甲方</w:t>
      </w:r>
      <w:r>
        <w:rPr>
          <w:rFonts w:hint="default" w:ascii="宋体" w:hAnsi="宋体" w:eastAsia="宋体" w:cs="宋体"/>
          <w:color w:val="auto"/>
          <w:sz w:val="24"/>
          <w:szCs w:val="24"/>
          <w:highlight w:val="none"/>
          <w:lang w:val="en-US" w:eastAsia="zh-CN"/>
        </w:rPr>
        <w:t xml:space="preserve">提供的各类项目资料、文件、数据，</w:t>
      </w:r>
      <w:r>
        <w:rPr>
          <w:rFonts w:hint="eastAsia" w:ascii="宋体" w:hAnsi="宋体" w:cs="宋体"/>
          <w:color w:val="auto"/>
          <w:sz w:val="24"/>
          <w:szCs w:val="24"/>
          <w:highlight w:val="none"/>
          <w:lang w:val="en-US" w:eastAsia="zh-CN"/>
        </w:rPr>
        <w:t xml:space="preserve">乙方</w:t>
      </w:r>
      <w:r>
        <w:rPr>
          <w:rFonts w:hint="default" w:ascii="宋体" w:hAnsi="宋体" w:eastAsia="宋体" w:cs="宋体"/>
          <w:color w:val="auto"/>
          <w:sz w:val="24"/>
          <w:szCs w:val="24"/>
          <w:highlight w:val="none"/>
          <w:lang w:val="en-US" w:eastAsia="zh-CN"/>
        </w:rPr>
        <w:t xml:space="preserve">负有永久保密义务，严禁擅自泄露、外传、挪作他用。</w:t>
      </w:r>
      <w:r/>
    </w:p>
    <w:p>
      <w:pPr>
        <w:ind w:firstLine="0"/>
        <w:jc w:val="left"/>
        <w:keepLines w:val="0"/>
        <w:keepNext w:val="0"/>
        <w:pageBreakBefore w:val="0"/>
        <w:spacing w:after="0" w:line="360" w:lineRule="auto"/>
        <w:shd w:val="clear" w:color="auto" w:fill="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3.乙方</w:t>
      </w:r>
      <w:r>
        <w:rPr>
          <w:rFonts w:hint="default" w:ascii="宋体" w:hAnsi="宋体" w:eastAsia="宋体" w:cs="宋体"/>
          <w:color w:val="auto"/>
          <w:sz w:val="24"/>
          <w:szCs w:val="24"/>
          <w:highlight w:val="none"/>
          <w:lang w:val="en-US" w:eastAsia="zh-CN"/>
        </w:rPr>
        <w:t xml:space="preserve">为实施本项目引用、收集的各类文件、资料，若引发版权、侵权等各类法律纠纷及产生相关费用、赔偿责任，全部由</w:t>
      </w:r>
      <w:r>
        <w:rPr>
          <w:rFonts w:hint="eastAsia" w:ascii="宋体" w:hAnsi="宋体" w:cs="宋体"/>
          <w:color w:val="auto"/>
          <w:sz w:val="24"/>
          <w:szCs w:val="24"/>
          <w:highlight w:val="none"/>
          <w:lang w:val="en-US" w:eastAsia="zh-CN"/>
        </w:rPr>
        <w:t xml:space="preserve">乙方</w:t>
      </w:r>
      <w:r>
        <w:rPr>
          <w:rFonts w:hint="default" w:ascii="宋体" w:hAnsi="宋体" w:eastAsia="宋体" w:cs="宋体"/>
          <w:color w:val="auto"/>
          <w:sz w:val="24"/>
          <w:szCs w:val="24"/>
          <w:highlight w:val="none"/>
          <w:lang w:val="en-US" w:eastAsia="zh-CN"/>
        </w:rPr>
        <w:t xml:space="preserve">独立承担，</w:t>
      </w:r>
      <w:r>
        <w:rPr>
          <w:rFonts w:hint="eastAsia" w:ascii="宋体" w:hAnsi="宋体" w:cs="宋体"/>
          <w:color w:val="auto"/>
          <w:sz w:val="24"/>
          <w:szCs w:val="24"/>
          <w:highlight w:val="none"/>
          <w:lang w:val="en-US" w:eastAsia="zh-CN"/>
        </w:rPr>
        <w:t xml:space="preserve">甲方</w:t>
      </w:r>
      <w:r>
        <w:rPr>
          <w:rFonts w:hint="default" w:ascii="宋体" w:hAnsi="宋体" w:eastAsia="宋体" w:cs="宋体"/>
          <w:color w:val="auto"/>
          <w:sz w:val="24"/>
          <w:szCs w:val="24"/>
          <w:highlight w:val="none"/>
          <w:lang w:val="en-US" w:eastAsia="zh-CN"/>
        </w:rPr>
        <w:t xml:space="preserve">不承担任何责任。</w:t>
      </w:r>
      <w:r/>
    </w:p>
    <w:p>
      <w:pPr>
        <w:keepLines w:val="0"/>
        <w:keepNext w:val="0"/>
        <w:pageBreakBefore w:val="0"/>
        <w:spacing w:after="0" w:line="360" w:lineRule="auto"/>
        <w:widowControl w:val="off"/>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lang w:val="en-US" w:eastAsia="zh-CN"/>
        </w:rPr>
        <w:t xml:space="preserve">十</w:t>
      </w:r>
      <w:r>
        <w:rPr>
          <w:rFonts w:hint="eastAsia" w:ascii="宋体" w:hAnsi="宋体" w:cs="宋体"/>
          <w:b/>
          <w:bCs w:val="0"/>
          <w:color w:val="auto"/>
          <w:sz w:val="24"/>
          <w:szCs w:val="24"/>
          <w:highlight w:val="none"/>
        </w:rPr>
        <w:t xml:space="preserve">、违约责任</w:t>
      </w:r>
      <w:r/>
    </w:p>
    <w:p>
      <w:pPr>
        <w:ind w:firstLine="480"/>
        <w:jc w:val="left"/>
        <w:keepLines w:val="0"/>
        <w:keepNext w:val="0"/>
        <w:pageBreakBefore w:val="0"/>
        <w:spacing w:after="0" w:line="360" w:lineRule="auto"/>
        <w:shd w:val="clear" w:color="auto" w:fill="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合同一方不履行合同义务或者履行合同义务不符合约定的，应当承担继续履行、采取补救措施或者赔偿损失等违约责任。</w:t>
      </w:r>
      <w:r/>
    </w:p>
    <w:p>
      <w:pPr>
        <w:ind w:firstLine="0"/>
        <w:jc w:val="left"/>
        <w:keepLines w:val="0"/>
        <w:keepNext w:val="0"/>
        <w:pageBreakBefore w:val="0"/>
        <w:spacing w:after="0" w:line="360" w:lineRule="auto"/>
        <w:shd w:val="clear" w:color="auto" w:fill="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1、甲方违约责任</w:t>
      </w:r>
      <w:r/>
    </w:p>
    <w:p>
      <w:pPr>
        <w:ind w:firstLine="0"/>
        <w:jc w:val="left"/>
        <w:keepLines w:val="0"/>
        <w:keepNext w:val="0"/>
        <w:pageBreakBefore w:val="0"/>
        <w:spacing w:after="0" w:line="360" w:lineRule="auto"/>
        <w:shd w:val="clear" w:color="auto" w:fill="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 在合同生效后，甲方无故要求终止服务的，应向乙方偿付合同总额的5％，作为违约金，违约金不足以补偿损失的，乙方有权要求甲方补足。</w:t>
      </w:r>
      <w:r/>
    </w:p>
    <w:p>
      <w:pPr>
        <w:ind w:firstLine="0"/>
        <w:jc w:val="left"/>
        <w:keepLines w:val="0"/>
        <w:keepNext w:val="0"/>
        <w:pageBreakBefore w:val="0"/>
        <w:spacing w:after="0" w:line="360" w:lineRule="auto"/>
        <w:shd w:val="clear" w:color="auto" w:fill="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 甲方逾期的应按照逾期付款金额的每天万分之四支付逾期付款违约金。</w:t>
      </w:r>
      <w:r/>
    </w:p>
    <w:p>
      <w:pPr>
        <w:ind w:firstLine="0"/>
        <w:jc w:val="left"/>
        <w:keepLines w:val="0"/>
        <w:keepNext w:val="0"/>
        <w:pageBreakBefore w:val="0"/>
        <w:spacing w:after="0" w:line="360" w:lineRule="auto"/>
        <w:shd w:val="clear" w:color="auto" w:fill="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 甲方违反合同约定，拒绝接受乙方交付的合格服务的，应当承担乙方由此造成的损失。</w:t>
      </w:r>
      <w:r/>
    </w:p>
    <w:p>
      <w:pPr>
        <w:ind w:firstLine="0"/>
        <w:jc w:val="left"/>
        <w:keepLines w:val="0"/>
        <w:keepNext w:val="0"/>
        <w:pageBreakBefore w:val="0"/>
        <w:spacing w:after="0" w:line="360" w:lineRule="auto"/>
        <w:shd w:val="clear" w:color="auto" w:fill="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2、乙方违约责任</w:t>
      </w:r>
      <w:r/>
    </w:p>
    <w:p>
      <w:pPr>
        <w:ind w:firstLine="0"/>
        <w:jc w:val="left"/>
        <w:keepLines w:val="0"/>
        <w:keepNext w:val="0"/>
        <w:pageBreakBefore w:val="0"/>
        <w:spacing w:after="0" w:line="360" w:lineRule="auto"/>
        <w:shd w:val="clear" w:color="auto" w:fill="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2.1 乙方不能服务（逾期超过24小时视为不能服务），或服务不合格从而影响甲方按期正常使用的，甲方有权解除合同，乙方向甲方赔偿合同总额5％的违约金，违约金不足以补偿损失的甲方有权要求乙方补足。</w:t>
      </w:r>
      <w:r/>
    </w:p>
    <w:p>
      <w:pPr>
        <w:ind w:firstLine="0"/>
        <w:jc w:val="left"/>
        <w:keepLines w:val="0"/>
        <w:keepNext w:val="0"/>
        <w:pageBreakBefore w:val="0"/>
        <w:spacing w:after="0" w:line="360" w:lineRule="auto"/>
        <w:shd w:val="clear" w:color="auto" w:fill="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2.2 乙方逾期提供服务的，应在服务前与甲方和招标代理协商，甲方仍需求的，乙方应立即提供服务并应按照逾期服务部分贷款的每天万分之四支付逾期服务违约金，同时承担甲方因此遭致的损失费用。</w:t>
      </w:r>
      <w:r/>
    </w:p>
    <w:p>
      <w:pPr>
        <w:ind w:firstLine="0"/>
        <w:jc w:val="left"/>
        <w:keepLines w:val="0"/>
        <w:keepNext w:val="0"/>
        <w:pageBreakBefore w:val="0"/>
        <w:spacing w:after="0" w:line="360" w:lineRule="auto"/>
        <w:shd w:val="clear" w:color="auto" w:fill="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2.3如甲方发现乙方将本项目进行分包或转包的，甲方对乙方进行约谈，乙方如未在规定时间内进行书面答复且实际未落实甲方约谈要求的，根据事项的严重性扣款3万～5万元，直至终止合同。</w:t>
      </w:r>
      <w:r/>
    </w:p>
    <w:p>
      <w:pPr>
        <w:ind w:firstLine="0"/>
        <w:jc w:val="left"/>
        <w:keepLines w:val="0"/>
        <w:keepNext w:val="0"/>
        <w:pageBreakBefore w:val="0"/>
        <w:spacing w:after="0" w:line="360" w:lineRule="auto"/>
        <w:shd w:val="clear" w:color="auto" w:fill="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2.4合同履行期限内，如出现重大综合管理缺陷，甲方有权扣留缺陷出现之日起的服务费用，直至缺陷更正，如乙方对综合管理缺陷15天内不予更正，甲方有权另请其他标段单位更正，所发生的费用在服务费用中扣除。若连续出现2次类似缺陷视为违约行为（上班人员、设备中任意一项连续一周未满足采购要求的可视为重大综合管理缺陷，经甲方同意除外），甲方有权直接解除合同。</w:t>
      </w:r>
      <w:r/>
    </w:p>
    <w:p>
      <w:pPr>
        <w:ind w:firstLine="0"/>
        <w:jc w:val="left"/>
        <w:keepLines w:val="0"/>
        <w:keepNext w:val="0"/>
        <w:pageBreakBefore w:val="0"/>
        <w:spacing w:after="0" w:line="360" w:lineRule="auto"/>
        <w:shd w:val="clear" w:color="auto" w:fill="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2.5合同履行期限内，如出现乙方响应不及时或影响工期的情况，甲方有权更换其他中标人参与其标段项目，所发生的费用在服务费用中扣除。</w:t>
      </w:r>
      <w:r/>
    </w:p>
    <w:p>
      <w:pPr>
        <w:ind w:firstLine="0"/>
        <w:jc w:val="left"/>
        <w:keepLines w:val="0"/>
        <w:keepNext w:val="0"/>
        <w:pageBreakBefore w:val="0"/>
        <w:spacing w:after="0" w:line="360" w:lineRule="auto"/>
        <w:shd w:val="clear" w:color="auto" w:fill="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2.6合同履行期限内，如出现乙方不按照采购文件的技术要求执行，造成一定影响的，甲方有权更换，所发生的费用在服务费用中扣除。</w:t>
      </w:r>
      <w:r/>
    </w:p>
    <w:p>
      <w:pPr>
        <w:ind w:firstLine="0"/>
        <w:jc w:val="left"/>
        <w:keepLines w:val="0"/>
        <w:keepNext w:val="0"/>
        <w:pageBreakBefore w:val="0"/>
        <w:spacing w:after="0" w:line="360" w:lineRule="auto"/>
        <w:shd w:val="clear" w:color="auto" w:fill="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2.7合同履行期限内，遇到重大或紧急项目，甲方有权调配乙方。</w:t>
      </w:r>
      <w:r/>
    </w:p>
    <w:p>
      <w:pPr>
        <w:ind w:firstLine="0"/>
        <w:jc w:val="left"/>
        <w:keepLines w:val="0"/>
        <w:keepNext w:val="0"/>
        <w:pageBreakBefore w:val="0"/>
        <w:spacing w:after="0" w:line="360" w:lineRule="auto"/>
        <w:shd w:val="clear" w:color="auto" w:fill="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3.如果出现政府采购监管部门在处理投诉事项期间，通知甲方暂停采购活动的情形，或者询问或质疑事项可能影响最终成交结果的，导致甲方终止履行合同的情形，均不视为甲方违约。</w:t>
      </w:r>
      <w:r/>
    </w:p>
    <w:p>
      <w:pPr>
        <w:ind w:firstLine="0"/>
        <w:jc w:val="left"/>
        <w:keepLines w:val="0"/>
        <w:keepNext w:val="0"/>
        <w:pageBreakBefore w:val="0"/>
        <w:spacing w:after="0" w:line="360" w:lineRule="auto"/>
        <w:shd w:val="clear" w:color="auto" w:fill="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4.乙方收到甲方项目款项后，须一周内给项目人员支付款项，不得出现拖欠情况发生，造成严重后果的，依法依规追究其责任。</w:t>
      </w:r>
      <w:r/>
    </w:p>
    <w:p>
      <w:pPr>
        <w:ind w:firstLine="0"/>
        <w:jc w:val="left"/>
        <w:keepLines w:val="0"/>
        <w:keepNext w:val="0"/>
        <w:pageBreakBefore w:val="0"/>
        <w:spacing w:after="0" w:line="360" w:lineRule="auto"/>
        <w:shd w:val="clear" w:color="auto" w:fill="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5、乙方实际签约合同金额达项目总金额60%、90%时，均须第一时间向甲方书面上报；未按规定及时上报的，相关责任由乙方自行承担。</w:t>
      </w:r>
      <w:r/>
    </w:p>
    <w:p>
      <w:pPr>
        <w:keepLines w:val="0"/>
        <w:keepNext w:val="0"/>
        <w:pageBreakBefore w:val="0"/>
        <w:spacing w:after="0" w:line="360" w:lineRule="auto"/>
        <w:widowControl w:val="off"/>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lang w:val="en-US" w:eastAsia="zh-CN"/>
        </w:rPr>
        <w:t xml:space="preserve">十一</w:t>
      </w:r>
      <w:r>
        <w:rPr>
          <w:rFonts w:hint="eastAsia" w:ascii="宋体" w:hAnsi="宋体" w:cs="宋体"/>
          <w:b/>
          <w:bCs w:val="0"/>
          <w:color w:val="auto"/>
          <w:sz w:val="24"/>
          <w:szCs w:val="24"/>
          <w:highlight w:val="none"/>
        </w:rPr>
        <w:t xml:space="preserve">、不可抗力</w:t>
      </w:r>
      <w:r/>
    </w:p>
    <w:p>
      <w:pPr>
        <w:keepLines w:val="0"/>
        <w:keepNext w:val="0"/>
        <w:pageBreakBefore w:val="0"/>
        <w:spacing w:after="0"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1.因不可抗力（或甲、乙双方不能控制的原因）不能履行合同的，根据不可抗力的影响，部分或者全部免除责任。但合同一方迟延履行后发生不可抗力的，不能免除责任。</w:t>
      </w:r>
      <w:r/>
    </w:p>
    <w:p>
      <w:pPr>
        <w:keepLines w:val="0"/>
        <w:keepNext w:val="0"/>
        <w:pageBreakBefore w:val="0"/>
        <w:spacing w:after="0"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2.合同一方因不可抗力不能履行合同的，应当在不可抗力发生后3日内通知对方，以减轻可能给对方造成的损失，并应当在</w:t>
      </w:r>
      <w:r>
        <w:rPr>
          <w:rFonts w:hint="eastAsia" w:ascii="宋体" w:hAnsi="宋体" w:cs="宋体"/>
          <w:b w:val="0"/>
          <w:bCs/>
          <w:color w:val="auto"/>
          <w:sz w:val="24"/>
          <w:szCs w:val="24"/>
          <w:highlight w:val="none"/>
          <w:lang w:eastAsia="zh-Hans"/>
        </w:rPr>
        <w:t xml:space="preserve">发出通知后</w:t>
      </w:r>
      <w:r>
        <w:rPr>
          <w:rFonts w:hint="eastAsia" w:ascii="宋体" w:hAnsi="宋体" w:cs="宋体"/>
          <w:b w:val="0"/>
          <w:bCs/>
          <w:color w:val="auto"/>
          <w:sz w:val="24"/>
          <w:szCs w:val="24"/>
          <w:highlight w:val="none"/>
        </w:rPr>
        <w:t xml:space="preserve">7</w:t>
      </w:r>
      <w:r>
        <w:rPr>
          <w:rFonts w:hint="eastAsia" w:ascii="宋体" w:hAnsi="宋体" w:cs="宋体"/>
          <w:b w:val="0"/>
          <w:bCs/>
          <w:color w:val="auto"/>
          <w:sz w:val="24"/>
          <w:szCs w:val="24"/>
          <w:highlight w:val="none"/>
          <w:lang w:eastAsia="zh-Hans"/>
        </w:rPr>
        <w:t xml:space="preserve">日</w:t>
      </w:r>
      <w:r>
        <w:rPr>
          <w:rFonts w:hint="eastAsia" w:ascii="宋体" w:hAnsi="宋体" w:cs="宋体"/>
          <w:b w:val="0"/>
          <w:bCs/>
          <w:color w:val="auto"/>
          <w:sz w:val="24"/>
          <w:szCs w:val="24"/>
          <w:highlight w:val="none"/>
        </w:rPr>
        <w:t xml:space="preserve">内提供书面证明。</w:t>
      </w:r>
      <w:r/>
    </w:p>
    <w:p>
      <w:pPr>
        <w:keepLines w:val="0"/>
        <w:keepNext w:val="0"/>
        <w:pageBreakBefore w:val="0"/>
        <w:spacing w:after="0"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3.不可抗力事由消除后，合同继续履行等事项，由双方协商确认。</w:t>
      </w:r>
      <w:r/>
    </w:p>
    <w:p>
      <w:pPr>
        <w:keepLines w:val="0"/>
        <w:keepNext w:val="0"/>
        <w:pageBreakBefore w:val="0"/>
        <w:spacing w:after="0" w:line="360" w:lineRule="auto"/>
        <w:widowControl w:val="off"/>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lang w:val="en-US" w:eastAsia="zh-CN"/>
        </w:rPr>
        <w:t xml:space="preserve">十二</w:t>
      </w:r>
      <w:r>
        <w:rPr>
          <w:rFonts w:hint="eastAsia" w:ascii="宋体" w:hAnsi="宋体" w:cs="宋体"/>
          <w:b/>
          <w:bCs w:val="0"/>
          <w:color w:val="auto"/>
          <w:sz w:val="24"/>
          <w:szCs w:val="24"/>
          <w:highlight w:val="none"/>
        </w:rPr>
        <w:t xml:space="preserve">、合同生效</w:t>
      </w:r>
      <w:r/>
    </w:p>
    <w:p>
      <w:pPr>
        <w:ind w:firstLine="480"/>
        <w:keepLines w:val="0"/>
        <w:keepNext w:val="0"/>
        <w:pageBreakBefore w:val="0"/>
        <w:spacing w:after="0"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合同经甲乙双方法定或授权代表签字并加盖公章后生效。合同须经政府采购监督管理部门审核备案。</w:t>
      </w:r>
      <w:r/>
    </w:p>
    <w:p>
      <w:pPr>
        <w:keepLines w:val="0"/>
        <w:keepNext w:val="0"/>
        <w:pageBreakBefore w:val="0"/>
        <w:spacing w:after="0" w:line="360" w:lineRule="auto"/>
        <w:widowControl w:val="off"/>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rPr>
        <w:t xml:space="preserve">十</w:t>
      </w:r>
      <w:r>
        <w:rPr>
          <w:rFonts w:hint="eastAsia" w:ascii="宋体" w:hAnsi="宋体" w:cs="宋体"/>
          <w:b/>
          <w:bCs w:val="0"/>
          <w:color w:val="auto"/>
          <w:sz w:val="24"/>
          <w:szCs w:val="24"/>
          <w:highlight w:val="none"/>
          <w:lang w:val="en-US" w:eastAsia="zh-CN"/>
        </w:rPr>
        <w:t xml:space="preserve">三</w:t>
      </w:r>
      <w:r>
        <w:rPr>
          <w:rFonts w:hint="eastAsia" w:ascii="宋体" w:hAnsi="宋体" w:cs="宋体"/>
          <w:b/>
          <w:bCs w:val="0"/>
          <w:color w:val="auto"/>
          <w:sz w:val="24"/>
          <w:szCs w:val="24"/>
          <w:highlight w:val="none"/>
        </w:rPr>
        <w:t xml:space="preserve">、合同的解除和转让</w:t>
      </w:r>
      <w:r/>
    </w:p>
    <w:p>
      <w:pPr>
        <w:keepLines w:val="0"/>
        <w:keepNext w:val="0"/>
        <w:pageBreakBefore w:val="0"/>
        <w:spacing w:after="0"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1.合同的解除</w:t>
      </w:r>
      <w:r/>
    </w:p>
    <w:p>
      <w:pPr>
        <w:keepLines w:val="0"/>
        <w:keepNext w:val="0"/>
        <w:pageBreakBefore w:val="0"/>
        <w:spacing w:after="0"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1.1</w:t>
      </w:r>
      <w:r>
        <w:rPr>
          <w:rFonts w:hint="eastAsia" w:ascii="宋体" w:hAnsi="宋体" w:cs="宋体"/>
          <w:b w:val="0"/>
          <w:bCs/>
          <w:color w:val="auto"/>
          <w:sz w:val="24"/>
          <w:szCs w:val="24"/>
          <w:highlight w:val="none"/>
        </w:rPr>
        <w:t xml:space="preserve">除《</w:t>
      </w:r>
      <w:r>
        <w:rPr>
          <w:rFonts w:hint="eastAsia" w:ascii="宋体" w:hAnsi="宋体" w:cs="宋体"/>
          <w:b w:val="0"/>
          <w:bCs/>
          <w:color w:val="auto"/>
          <w:sz w:val="24"/>
          <w:szCs w:val="24"/>
          <w:highlight w:val="none"/>
          <w:lang w:eastAsia="zh-CN"/>
        </w:rPr>
        <w:t xml:space="preserve">中华人民共和国政府采购法</w:t>
      </w:r>
      <w:r>
        <w:rPr>
          <w:rFonts w:hint="eastAsia" w:ascii="宋体" w:hAnsi="宋体" w:cs="宋体"/>
          <w:b w:val="0"/>
          <w:bCs/>
          <w:color w:val="auto"/>
          <w:sz w:val="24"/>
          <w:szCs w:val="24"/>
          <w:highlight w:val="none"/>
        </w:rPr>
        <w:t xml:space="preserve">》第49条、第50条第二款规定的情形及本合同约定的情形外，本合同签订后，甲乙双方不得擅自变更、解除或终止本合同。</w:t>
      </w:r>
      <w:r/>
    </w:p>
    <w:p>
      <w:pPr>
        <w:keepLines w:val="0"/>
        <w:keepNext w:val="0"/>
        <w:pageBreakBefore w:val="0"/>
        <w:spacing w:after="0"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1.2</w:t>
      </w:r>
      <w:r>
        <w:rPr>
          <w:rFonts w:hint="eastAsia" w:ascii="宋体" w:hAnsi="宋体" w:cs="宋体"/>
          <w:b w:val="0"/>
          <w:bCs/>
          <w:color w:val="auto"/>
          <w:sz w:val="24"/>
          <w:szCs w:val="24"/>
          <w:highlight w:val="none"/>
        </w:rPr>
        <w:t xml:space="preserve">有下列情形之一的，合同一方可以解除合同：</w:t>
      </w:r>
      <w:r/>
    </w:p>
    <w:p>
      <w:pPr>
        <w:keepLines w:val="0"/>
        <w:keepNext w:val="0"/>
        <w:pageBreakBefore w:val="0"/>
        <w:spacing w:after="0"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①因不可抗力致使不能实现合同目的的，未受不可抗力影响的一方有权解除合同；</w:t>
      </w:r>
      <w:r/>
    </w:p>
    <w:p>
      <w:pPr>
        <w:keepLines w:val="0"/>
        <w:keepNext w:val="0"/>
        <w:pageBreakBefore w:val="0"/>
        <w:spacing w:after="0"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②因合同一方违约导致合同不能履行的，另一方有权解除合同；</w:t>
      </w:r>
      <w:r/>
    </w:p>
    <w:p>
      <w:pPr>
        <w:keepLines w:val="0"/>
        <w:keepNext w:val="0"/>
        <w:pageBreakBefore w:val="0"/>
        <w:spacing w:after="0"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③存在本合同约定可以解除的情形。</w:t>
      </w:r>
      <w:r/>
    </w:p>
    <w:p>
      <w:pPr>
        <w:ind w:firstLine="480"/>
        <w:keepLines w:val="0"/>
        <w:keepNext w:val="0"/>
        <w:pageBreakBefore w:val="0"/>
        <w:spacing w:after="0"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有权解除合同的一方，应当在违约事实或不可抗力发生及时书面通知对方以主张解除本合同，本合同在书面通知到达对方时解除。</w:t>
      </w:r>
      <w:r/>
    </w:p>
    <w:p>
      <w:pPr>
        <w:keepLines w:val="0"/>
        <w:keepNext w:val="0"/>
        <w:pageBreakBefore w:val="0"/>
        <w:spacing w:after="0"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2.合同的转让</w:t>
      </w:r>
      <w:r/>
    </w:p>
    <w:p>
      <w:pPr>
        <w:keepLines w:val="0"/>
        <w:keepNext w:val="0"/>
        <w:pageBreakBefore w:val="0"/>
        <w:spacing w:after="0"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合同的部分或全部内容均不得转让。</w:t>
      </w:r>
      <w:r/>
    </w:p>
    <w:p>
      <w:pPr>
        <w:keepLines w:val="0"/>
        <w:keepNext w:val="0"/>
        <w:pageBreakBefore w:val="0"/>
        <w:spacing w:after="0" w:line="360" w:lineRule="auto"/>
        <w:widowControl w:val="off"/>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rPr>
        <w:t xml:space="preserve">十</w:t>
      </w:r>
      <w:r>
        <w:rPr>
          <w:rFonts w:hint="eastAsia" w:ascii="宋体" w:hAnsi="宋体" w:cs="宋体"/>
          <w:b/>
          <w:bCs w:val="0"/>
          <w:color w:val="auto"/>
          <w:sz w:val="24"/>
          <w:szCs w:val="24"/>
          <w:highlight w:val="none"/>
          <w:lang w:val="en-US" w:eastAsia="zh-CN"/>
        </w:rPr>
        <w:t xml:space="preserve">四</w:t>
      </w:r>
      <w:r>
        <w:rPr>
          <w:rFonts w:hint="eastAsia" w:ascii="宋体" w:hAnsi="宋体" w:cs="宋体"/>
          <w:b/>
          <w:bCs w:val="0"/>
          <w:color w:val="auto"/>
          <w:sz w:val="24"/>
          <w:szCs w:val="24"/>
          <w:highlight w:val="none"/>
        </w:rPr>
        <w:t xml:space="preserve">、争议解决</w:t>
      </w:r>
      <w:r/>
    </w:p>
    <w:p>
      <w:pPr>
        <w:keepLines w:val="0"/>
        <w:keepNext w:val="0"/>
        <w:pageBreakBefore w:val="0"/>
        <w:spacing w:after="0"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本合同未尽之处双方协商解决；如协商不成的，任何一方均有权向甲方所在地人民法院提起诉讼。</w:t>
      </w:r>
      <w:bookmarkStart w:id="16" w:name="OLE_LINK215"/>
      <w:r/>
      <w:bookmarkStart w:id="17" w:name="OLE_LINK216"/>
      <w:r>
        <w:rPr>
          <w:rFonts w:hint="eastAsia" w:ascii="宋体" w:hAnsi="宋体" w:cs="宋体"/>
          <w:b w:val="0"/>
          <w:bCs/>
          <w:color w:val="auto"/>
          <w:sz w:val="24"/>
          <w:szCs w:val="24"/>
          <w:highlight w:val="none"/>
        </w:rPr>
        <w:t xml:space="preserve">因乙方违约以及乙方追究甲方违约不成立而导致甲方支出的费用，均应当由乙方承担，该费用包括但不限于公证费、诉讼费、保全费、鉴定费、执行费、律师费、差旅费等。</w:t>
      </w:r>
      <w:bookmarkEnd w:id="16"/>
      <w:r/>
      <w:bookmarkEnd w:id="17"/>
      <w:r/>
      <w:r/>
    </w:p>
    <w:p>
      <w:pPr>
        <w:keepLines w:val="0"/>
        <w:keepNext w:val="0"/>
        <w:pageBreakBefore w:val="0"/>
        <w:spacing w:after="0" w:line="360" w:lineRule="auto"/>
        <w:widowControl w:val="off"/>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rPr>
        <w:t xml:space="preserve">十</w:t>
      </w:r>
      <w:r>
        <w:rPr>
          <w:rFonts w:hint="eastAsia" w:ascii="宋体" w:hAnsi="宋体" w:cs="宋体"/>
          <w:b/>
          <w:bCs w:val="0"/>
          <w:color w:val="auto"/>
          <w:sz w:val="24"/>
          <w:szCs w:val="24"/>
          <w:highlight w:val="none"/>
          <w:lang w:val="en-US" w:eastAsia="zh-CN"/>
        </w:rPr>
        <w:t xml:space="preserve">五</w:t>
      </w:r>
      <w:r>
        <w:rPr>
          <w:rFonts w:hint="eastAsia" w:ascii="宋体" w:hAnsi="宋体" w:cs="宋体"/>
          <w:b/>
          <w:bCs w:val="0"/>
          <w:color w:val="auto"/>
          <w:sz w:val="24"/>
          <w:szCs w:val="24"/>
          <w:highlight w:val="none"/>
        </w:rPr>
        <w:t xml:space="preserve">、合同生效</w:t>
      </w:r>
      <w:r>
        <w:rPr>
          <w:rFonts w:hint="eastAsia" w:ascii="宋体" w:hAnsi="宋体" w:cs="宋体"/>
          <w:b/>
          <w:bCs w:val="0"/>
          <w:color w:val="auto"/>
          <w:sz w:val="24"/>
          <w:szCs w:val="24"/>
          <w:highlight w:val="none"/>
          <w:lang w:eastAsia="zh-CN"/>
        </w:rPr>
        <w:t xml:space="preserve">及其他</w:t>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本合同自甲乙双方法定（授权）代表人签字并盖章后生效，生效合同须网上备案。</w:t>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本合同系指本文件及其附件中的所有部分，采购文件、</w:t>
      </w:r>
      <w:r>
        <w:rPr>
          <w:rFonts w:hint="eastAsia" w:ascii="宋体" w:hAnsi="宋体" w:cs="宋体"/>
          <w:color w:val="auto"/>
          <w:sz w:val="24"/>
          <w:szCs w:val="24"/>
          <w:highlight w:val="none"/>
          <w:lang w:eastAsia="zh-Hans"/>
        </w:rPr>
        <w:t xml:space="preserve">乙方</w:t>
      </w:r>
      <w:r>
        <w:rPr>
          <w:rFonts w:hint="eastAsia" w:ascii="宋体" w:hAnsi="宋体" w:cs="宋体"/>
          <w:color w:val="auto"/>
          <w:sz w:val="24"/>
          <w:szCs w:val="24"/>
          <w:highlight w:val="none"/>
        </w:rPr>
        <w:t xml:space="preserve">的投标文件、中标通知书、</w:t>
      </w:r>
      <w:r>
        <w:rPr>
          <w:rFonts w:hint="eastAsia" w:ascii="宋体" w:hAnsi="宋体" w:cs="宋体"/>
          <w:color w:val="auto"/>
          <w:sz w:val="24"/>
          <w:szCs w:val="24"/>
          <w:highlight w:val="none"/>
          <w:lang w:eastAsia="zh-Hans"/>
        </w:rPr>
        <w:t xml:space="preserve">乙方</w:t>
      </w:r>
      <w:r>
        <w:rPr>
          <w:rFonts w:hint="eastAsia" w:ascii="宋体" w:hAnsi="宋体" w:cs="宋体"/>
          <w:color w:val="auto"/>
          <w:sz w:val="24"/>
          <w:szCs w:val="24"/>
          <w:highlight w:val="none"/>
        </w:rPr>
        <w:t xml:space="preserve">在采购过程中的澄清和承诺等为本合同不可缺少的组成部分。</w:t>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本合同自甲乙双方签字盖章之日起生效。</w:t>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本合同壹式</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伍</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份，甲乙双方各执</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贰</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份，</w:t>
      </w:r>
      <w:r>
        <w:rPr>
          <w:rFonts w:hint="eastAsia" w:ascii="宋体" w:hAnsi="宋体" w:cs="宋体"/>
          <w:color w:val="auto"/>
          <w:sz w:val="24"/>
          <w:szCs w:val="24"/>
          <w:highlight w:val="none"/>
          <w:lang w:eastAsia="zh-CN"/>
        </w:rPr>
        <w:t xml:space="preserve">招标</w:t>
      </w:r>
      <w:r>
        <w:rPr>
          <w:rFonts w:hint="eastAsia" w:ascii="宋体" w:hAnsi="宋体" w:cs="宋体"/>
          <w:color w:val="auto"/>
          <w:sz w:val="24"/>
          <w:szCs w:val="24"/>
          <w:highlight w:val="none"/>
        </w:rPr>
        <w:t xml:space="preserve">代理机构执【壹】</w:t>
      </w:r>
      <w:r>
        <w:rPr>
          <w:rFonts w:hint="eastAsia" w:ascii="宋体" w:hAnsi="宋体" w:cs="宋体"/>
          <w:color w:val="auto"/>
          <w:sz w:val="24"/>
          <w:szCs w:val="24"/>
          <w:highlight w:val="none"/>
          <w:lang w:eastAsia="zh-CN"/>
        </w:rPr>
        <w:t xml:space="preserve">份，</w:t>
      </w:r>
      <w:r>
        <w:rPr>
          <w:rFonts w:hint="eastAsia" w:ascii="宋体" w:hAnsi="宋体" w:cs="宋体"/>
          <w:color w:val="auto"/>
          <w:sz w:val="24"/>
          <w:szCs w:val="24"/>
          <w:highlight w:val="none"/>
        </w:rPr>
        <w:t xml:space="preserve">各份具有同等法律效力。</w:t>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合同修改：除甲乙双方签署书面修改、补充协议，并成为本合同不可分割的一部分之外，本合同条件不得有任何变化或修改。 </w:t>
      </w:r>
      <w:r/>
    </w:p>
    <w:p>
      <w:pPr>
        <w:pStyle w:val="1027"/>
        <w:jc w:val="both"/>
        <w:keepLines w:val="0"/>
        <w:keepNext w:val="0"/>
        <w:pageBreakBefore w:val="0"/>
        <w:spacing w:after="0" w:line="360" w:lineRule="auto"/>
        <w:widowControl w:val="off"/>
        <w:rPr>
          <w:rFonts w:hint="eastAsia" w:ascii="宋体" w:hAnsi="宋体" w:eastAsia="宋体" w:cs="宋体"/>
          <w:color w:val="auto"/>
          <w:position w:val="0"/>
          <w:sz w:val="24"/>
          <w:szCs w:val="24"/>
          <w:highlight w:val="none"/>
        </w:rPr>
      </w:pPr>
      <w:r>
        <w:rPr>
          <w:rFonts w:hint="eastAsia" w:ascii="宋体" w:hAnsi="宋体" w:eastAsia="宋体" w:cs="宋体"/>
          <w:color w:val="auto"/>
          <w:position w:val="0"/>
          <w:sz w:val="24"/>
          <w:szCs w:val="24"/>
          <w:highlight w:val="none"/>
          <w:lang w:val="en-US" w:eastAsia="zh-CN"/>
        </w:rPr>
        <w:t xml:space="preserve">6.</w:t>
      </w:r>
      <w:r>
        <w:rPr>
          <w:rFonts w:hint="eastAsia" w:ascii="宋体" w:hAnsi="宋体" w:eastAsia="宋体" w:cs="宋体"/>
          <w:color w:val="auto"/>
          <w:position w:val="0"/>
          <w:sz w:val="24"/>
          <w:szCs w:val="24"/>
          <w:highlight w:val="none"/>
        </w:rPr>
        <w:t xml:space="preserve">本合同未尽事宜应按《中华人民共和国民法典》《中华人民共和国政府采购法》以及其它法律、法规之规定解释，在执行过程中甲乙双方应在不违背本合同和采购文件的原则下协商解决，协商结果以书面形式盖章记录，作为本合同的附件，与本合同具有同等效力。</w:t>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hint="eastAsia" w:ascii="宋体" w:hAnsi="宋体" w:eastAsia="宋体" w:cs="宋体"/>
          <w:color w:val="auto"/>
          <w:position w:val="0"/>
          <w:sz w:val="24"/>
          <w:szCs w:val="24"/>
          <w:highlight w:val="none"/>
          <w:lang w:val="en-US" w:eastAsia="zh-CN"/>
        </w:rPr>
        <w:t xml:space="preserve">.</w:t>
      </w:r>
      <w:r>
        <w:rPr>
          <w:rFonts w:hint="eastAsia" w:ascii="宋体" w:hAnsi="宋体" w:cs="宋体"/>
          <w:color w:val="auto"/>
          <w:sz w:val="24"/>
          <w:szCs w:val="24"/>
          <w:highlight w:val="none"/>
        </w:rPr>
        <w:t xml:space="preserve">本合同首部载明的地址为甲乙双方认可的相关文件、法律文书送达地址，任何一方如更换地址的，应于更换后3日内书面通知另一方，未通知的一方自行承担送达不能等不利后果。</w:t>
      </w:r>
      <w:r/>
    </w:p>
    <w:p>
      <w:pPr>
        <w:keepLines w:val="0"/>
        <w:keepNext w:val="0"/>
        <w:pageBreakBefore w:val="0"/>
        <w:spacing w:after="0" w:line="360" w:lineRule="auto"/>
        <w:widowControl w:val="off"/>
        <w:rPr>
          <w:rFonts w:hint="eastAsia" w:ascii="宋体" w:hAnsi="宋体" w:cs="宋体"/>
          <w:color w:val="auto"/>
          <w:sz w:val="24"/>
          <w:szCs w:val="24"/>
          <w:highlight w:val="none"/>
          <w:lang w:eastAsia="zh-Hans"/>
        </w:rPr>
      </w:pPr>
      <w:r>
        <w:rPr>
          <w:rFonts w:hint="eastAsia" w:ascii="宋体" w:hAnsi="宋体" w:cs="宋体"/>
          <w:color w:val="auto"/>
          <w:sz w:val="24"/>
          <w:szCs w:val="24"/>
          <w:highlight w:val="none"/>
          <w:lang w:eastAsia="zh-Hans"/>
        </w:rPr>
        <w:t xml:space="preserve">（以下无正文）</w:t>
      </w:r>
      <w:r/>
    </w:p>
    <w:p>
      <w:pPr>
        <w:keepLines w:val="0"/>
        <w:keepNext w:val="0"/>
        <w:pageBreakBefore w:val="0"/>
        <w:spacing w:after="0" w:line="360" w:lineRule="auto"/>
        <w:widowControl w:val="off"/>
        <w:rPr>
          <w:rFonts w:hint="eastAsia" w:ascii="宋体" w:hAnsi="宋体" w:cs="宋体"/>
          <w:color w:val="auto"/>
          <w:sz w:val="24"/>
          <w:szCs w:val="24"/>
          <w:highlight w:val="none"/>
          <w:lang w:eastAsia="zh-Hans"/>
        </w:rPr>
      </w:pPr>
      <w:r>
        <w:rPr>
          <w:rFonts w:hint="eastAsia" w:ascii="宋体" w:hAnsi="宋体" w:cs="宋体"/>
          <w:color w:val="auto"/>
          <w:sz w:val="24"/>
          <w:szCs w:val="24"/>
          <w:highlight w:val="none"/>
          <w:lang w:eastAsia="zh-Hans"/>
        </w:rPr>
      </w:r>
      <w:r/>
    </w:p>
    <w:p>
      <w:pPr>
        <w:keepLines w:val="0"/>
        <w:keepNext w:val="0"/>
        <w:pageBreakBefore w:val="0"/>
        <w:spacing w:after="0" w:line="360" w:lineRule="auto"/>
        <w:widowControl w:val="off"/>
        <w:rPr>
          <w:rFonts w:hint="eastAsia" w:ascii="宋体" w:hAnsi="宋体" w:cs="宋体"/>
          <w:color w:val="auto"/>
          <w:sz w:val="24"/>
          <w:szCs w:val="24"/>
          <w:highlight w:val="none"/>
          <w:lang w:eastAsia="zh-Hans"/>
        </w:rPr>
      </w:pPr>
      <w:r>
        <w:rPr>
          <w:rFonts w:hint="eastAsia" w:ascii="宋体" w:hAnsi="宋体" w:cs="宋体"/>
          <w:color w:val="auto"/>
          <w:sz w:val="24"/>
          <w:szCs w:val="24"/>
          <w:highlight w:val="none"/>
          <w:lang w:eastAsia="zh-Hans"/>
        </w:rPr>
      </w:r>
      <w:r/>
    </w:p>
    <w:p>
      <w:pPr>
        <w:ind w:left="0" w:firstLine="638"/>
        <w:jc w:val="left"/>
        <w:spacing w:line="360" w:lineRule="auto"/>
        <w:rPr>
          <w:rFonts w:hAnsi="Calibri"/>
          <w:color w:val="auto"/>
          <w:sz w:val="24"/>
          <w:szCs w:val="24"/>
          <w:highlight w:val="none"/>
          <w:u w:val="single"/>
        </w:rPr>
      </w:pPr>
      <w:r>
        <w:rPr>
          <w:rFonts w:hint="eastAsia" w:hAnsi="Calibri"/>
          <w:color w:val="auto"/>
          <w:sz w:val="24"/>
          <w:szCs w:val="24"/>
          <w:highlight w:val="none"/>
        </w:rPr>
        <w:t xml:space="preserve">甲方（盖章）：</w:t>
      </w:r>
      <w:r>
        <w:rPr>
          <w:rFonts w:hAnsi="Calibri"/>
          <w:color w:val="auto"/>
          <w:sz w:val="24"/>
          <w:szCs w:val="24"/>
          <w:highlight w:val="none"/>
          <w:u w:val="single"/>
        </w:rPr>
        <w:t xml:space="preserve">             </w:t>
      </w:r>
      <w:r>
        <w:rPr>
          <w:rFonts w:hint="eastAsia" w:hAnsi="Calibri"/>
          <w:color w:val="auto"/>
          <w:sz w:val="24"/>
          <w:szCs w:val="24"/>
          <w:highlight w:val="none"/>
          <w:u w:val="single"/>
        </w:rPr>
        <w:t xml:space="preserve"> </w:t>
      </w:r>
      <w:r>
        <w:rPr>
          <w:rFonts w:hAnsi="Calibri"/>
          <w:color w:val="auto"/>
          <w:sz w:val="24"/>
          <w:szCs w:val="24"/>
          <w:highlight w:val="none"/>
        </w:rPr>
        <w:t xml:space="preserve">  </w:t>
      </w:r>
      <w:r>
        <w:rPr>
          <w:rFonts w:hint="eastAsia" w:hAnsi="Calibri"/>
          <w:color w:val="auto"/>
          <w:sz w:val="24"/>
          <w:szCs w:val="24"/>
          <w:highlight w:val="none"/>
        </w:rPr>
        <w:t xml:space="preserve">     乙方（盖章）：</w:t>
      </w:r>
      <w:r>
        <w:rPr>
          <w:rFonts w:hAnsi="Calibri"/>
          <w:color w:val="auto"/>
          <w:sz w:val="24"/>
          <w:szCs w:val="24"/>
          <w:highlight w:val="none"/>
          <w:u w:val="single"/>
        </w:rPr>
        <w:t xml:space="preserve">          </w:t>
      </w:r>
      <w:r/>
    </w:p>
    <w:p>
      <w:pPr>
        <w:ind w:left="0" w:firstLine="638"/>
        <w:jc w:val="left"/>
        <w:spacing w:line="360" w:lineRule="auto"/>
        <w:rPr>
          <w:rFonts w:hAnsi="Calibri"/>
          <w:color w:val="auto"/>
          <w:sz w:val="24"/>
          <w:szCs w:val="24"/>
          <w:highlight w:val="none"/>
          <w:u w:val="single"/>
        </w:rPr>
      </w:pPr>
      <w:r>
        <w:rPr>
          <w:rFonts w:hint="eastAsia" w:hAnsi="Calibri"/>
          <w:color w:val="auto"/>
          <w:sz w:val="24"/>
          <w:szCs w:val="24"/>
          <w:highlight w:val="none"/>
        </w:rPr>
        <w:t xml:space="preserve">法人代表（</w:t>
      </w:r>
      <w:r>
        <w:rPr>
          <w:rFonts w:hint="eastAsia" w:hAnsi="Calibri"/>
          <w:color w:val="auto"/>
          <w:sz w:val="24"/>
          <w:szCs w:val="24"/>
          <w:highlight w:val="none"/>
          <w:lang w:eastAsia="zh-CN"/>
        </w:rPr>
        <w:t xml:space="preserve">授权代表</w:t>
      </w:r>
      <w:r>
        <w:rPr>
          <w:rFonts w:hint="eastAsia" w:hAnsi="Calibri"/>
          <w:color w:val="auto"/>
          <w:sz w:val="24"/>
          <w:szCs w:val="24"/>
          <w:highlight w:val="none"/>
        </w:rPr>
        <w:t xml:space="preserve">）：</w:t>
      </w:r>
      <w:r>
        <w:rPr>
          <w:rFonts w:hAnsi="Calibri"/>
          <w:color w:val="auto"/>
          <w:sz w:val="24"/>
          <w:szCs w:val="24"/>
          <w:highlight w:val="none"/>
          <w:u w:val="single"/>
        </w:rPr>
        <w:t xml:space="preserve">   </w:t>
      </w:r>
      <w:r>
        <w:rPr>
          <w:rFonts w:hint="eastAsia" w:hAnsi="Calibri"/>
          <w:color w:val="auto"/>
          <w:sz w:val="24"/>
          <w:szCs w:val="24"/>
          <w:highlight w:val="none"/>
          <w:u w:val="single"/>
          <w:lang w:val="en-US" w:eastAsia="zh-CN"/>
        </w:rPr>
        <w:t xml:space="preserve"> </w:t>
      </w:r>
      <w:r>
        <w:rPr>
          <w:rFonts w:hAnsi="Calibri"/>
          <w:color w:val="auto"/>
          <w:sz w:val="24"/>
          <w:szCs w:val="24"/>
          <w:highlight w:val="none"/>
          <w:u w:val="single"/>
        </w:rPr>
        <w:t xml:space="preserve"> </w:t>
      </w:r>
      <w:r>
        <w:rPr>
          <w:rFonts w:hint="eastAsia" w:hAnsi="Calibri"/>
          <w:color w:val="auto"/>
          <w:sz w:val="24"/>
          <w:szCs w:val="24"/>
          <w:highlight w:val="none"/>
          <w:u w:val="single"/>
          <w:lang w:val="en-US" w:eastAsia="zh-CN"/>
        </w:rPr>
        <w:t xml:space="preserve">  </w:t>
      </w:r>
      <w:r>
        <w:rPr>
          <w:rFonts w:hAnsi="Calibri"/>
          <w:color w:val="auto"/>
          <w:sz w:val="24"/>
          <w:szCs w:val="24"/>
          <w:highlight w:val="none"/>
          <w:u w:val="single"/>
        </w:rPr>
        <w:t xml:space="preserve"> </w:t>
      </w:r>
      <w:r>
        <w:rPr>
          <w:rFonts w:hint="eastAsia" w:hAnsi="Calibri"/>
          <w:color w:val="auto"/>
          <w:sz w:val="24"/>
          <w:szCs w:val="24"/>
          <w:highlight w:val="none"/>
          <w:u w:val="single"/>
        </w:rPr>
        <w:t xml:space="preserve">   </w:t>
      </w:r>
      <w:r>
        <w:rPr>
          <w:rFonts w:hint="eastAsia" w:hAnsi="Calibri"/>
          <w:color w:val="auto"/>
          <w:sz w:val="24"/>
          <w:szCs w:val="24"/>
          <w:highlight w:val="none"/>
        </w:rPr>
        <w:t xml:space="preserve"> </w:t>
      </w:r>
      <w:r>
        <w:rPr>
          <w:rFonts w:hAnsi="Calibri"/>
          <w:color w:val="auto"/>
          <w:sz w:val="24"/>
          <w:szCs w:val="24"/>
          <w:highlight w:val="none"/>
        </w:rPr>
        <w:t xml:space="preserve"> </w:t>
      </w:r>
      <w:r>
        <w:rPr>
          <w:rFonts w:hint="eastAsia" w:hAnsi="Calibri"/>
          <w:color w:val="auto"/>
          <w:sz w:val="24"/>
          <w:szCs w:val="24"/>
          <w:highlight w:val="none"/>
        </w:rPr>
        <w:t xml:space="preserve">法人代表（</w:t>
      </w:r>
      <w:r>
        <w:rPr>
          <w:rFonts w:hint="eastAsia" w:hAnsi="Calibri"/>
          <w:color w:val="auto"/>
          <w:sz w:val="24"/>
          <w:szCs w:val="24"/>
          <w:highlight w:val="none"/>
          <w:lang w:eastAsia="zh-CN"/>
        </w:rPr>
        <w:t xml:space="preserve">授权代表</w:t>
      </w:r>
      <w:r>
        <w:rPr>
          <w:rFonts w:hint="eastAsia" w:hAnsi="Calibri"/>
          <w:color w:val="auto"/>
          <w:sz w:val="24"/>
          <w:szCs w:val="24"/>
          <w:highlight w:val="none"/>
        </w:rPr>
        <w:t xml:space="preserve">）：</w:t>
      </w:r>
      <w:r>
        <w:rPr>
          <w:rFonts w:hint="eastAsia" w:hAnsi="Calibri"/>
          <w:color w:val="auto"/>
          <w:sz w:val="24"/>
          <w:szCs w:val="24"/>
          <w:highlight w:val="none"/>
          <w:u w:val="single"/>
        </w:rPr>
        <w:t xml:space="preserve"> </w:t>
      </w:r>
      <w:r>
        <w:rPr>
          <w:rFonts w:hAnsi="Calibri"/>
          <w:color w:val="auto"/>
          <w:sz w:val="24"/>
          <w:szCs w:val="24"/>
          <w:highlight w:val="none"/>
          <w:u w:val="single"/>
        </w:rPr>
        <w:t xml:space="preserve"> </w:t>
      </w:r>
      <w:r>
        <w:rPr>
          <w:rFonts w:hint="eastAsia" w:hAnsi="Calibri"/>
          <w:color w:val="auto"/>
          <w:sz w:val="24"/>
          <w:szCs w:val="24"/>
          <w:highlight w:val="none"/>
          <w:u w:val="single"/>
        </w:rPr>
        <w:t xml:space="preserve"> </w:t>
      </w:r>
      <w:r>
        <w:rPr>
          <w:rFonts w:hAnsi="Calibri"/>
          <w:color w:val="auto"/>
          <w:sz w:val="24"/>
          <w:szCs w:val="24"/>
          <w:highlight w:val="none"/>
          <w:u w:val="single"/>
        </w:rPr>
        <w:t xml:space="preserve">  </w:t>
      </w:r>
      <w:r>
        <w:rPr>
          <w:rFonts w:hint="eastAsia" w:hAnsi="Calibri"/>
          <w:color w:val="auto"/>
          <w:sz w:val="24"/>
          <w:szCs w:val="24"/>
          <w:highlight w:val="none"/>
          <w:u w:val="single"/>
        </w:rPr>
        <w:t xml:space="preserve">         </w:t>
      </w:r>
      <w:r/>
    </w:p>
    <w:p>
      <w:pPr>
        <w:ind w:left="0" w:firstLine="638"/>
        <w:jc w:val="left"/>
        <w:spacing w:line="360" w:lineRule="auto"/>
        <w:rPr>
          <w:rFonts w:hint="eastAsia" w:ascii="宋体" w:hAnsi="宋体" w:cs="宋体"/>
          <w:bCs/>
          <w:color w:val="auto"/>
          <w:sz w:val="44"/>
          <w:szCs w:val="32"/>
          <w:highlight w:val="none"/>
        </w:rPr>
      </w:pPr>
      <w:r>
        <w:rPr>
          <w:rFonts w:hint="eastAsia" w:hAnsi="Calibri"/>
          <w:color w:val="auto"/>
          <w:sz w:val="24"/>
          <w:szCs w:val="24"/>
          <w:highlight w:val="none"/>
        </w:rPr>
        <w:t xml:space="preserve">签订日期：</w:t>
      </w:r>
      <w:r>
        <w:rPr>
          <w:rFonts w:hAnsi="Calibri"/>
          <w:color w:val="auto"/>
          <w:sz w:val="24"/>
          <w:szCs w:val="24"/>
          <w:highlight w:val="none"/>
          <w:u w:val="single"/>
        </w:rPr>
        <w:t xml:space="preserve">           </w:t>
      </w:r>
      <w:r>
        <w:rPr>
          <w:rFonts w:hAnsi="Calibri"/>
          <w:color w:val="auto"/>
          <w:sz w:val="24"/>
          <w:szCs w:val="24"/>
          <w:highlight w:val="none"/>
        </w:rPr>
        <w:t xml:space="preserve">        </w:t>
      </w:r>
      <w:r>
        <w:rPr>
          <w:rFonts w:hint="eastAsia" w:hAnsi="Calibri"/>
          <w:color w:val="auto"/>
          <w:sz w:val="24"/>
          <w:szCs w:val="24"/>
          <w:highlight w:val="none"/>
        </w:rPr>
        <w:t xml:space="preserve">      </w:t>
      </w:r>
      <w:r>
        <w:rPr>
          <w:rFonts w:hAnsi="Calibri"/>
          <w:color w:val="auto"/>
          <w:sz w:val="24"/>
          <w:szCs w:val="24"/>
          <w:highlight w:val="none"/>
        </w:rPr>
        <w:t xml:space="preserve">签订日期：</w:t>
      </w:r>
      <w:r>
        <w:rPr>
          <w:rFonts w:hAnsi="Calibri"/>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275"/>
        <w:spacing w:before="174" w:line="195" w:lineRule="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r>
      <w:r/>
    </w:p>
    <w:p>
      <w:pPr>
        <w:ind w:left="275"/>
        <w:spacing w:before="174" w:line="195" w:lineRule="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r>
      <w:r/>
    </w:p>
    <w:p>
      <w:pPr>
        <w:ind w:left="275"/>
        <w:spacing w:before="174" w:line="195" w:lineRule="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r>
      <w:r/>
    </w:p>
    <w:p>
      <w:pPr>
        <w:ind w:left="275"/>
        <w:spacing w:before="174" w:line="195" w:lineRule="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r>
      <w:r/>
    </w:p>
    <w:p>
      <w:pPr>
        <w:ind w:left="275"/>
        <w:spacing w:before="174" w:line="195" w:lineRule="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r>
      <w:r/>
    </w:p>
    <w:p>
      <w:pPr>
        <w:ind w:left="275"/>
        <w:spacing w:before="174" w:line="195" w:lineRule="auto"/>
        <w:rPr>
          <w:rFonts w:hint="default" w:ascii="宋体" w:hAnsi="宋体" w:eastAsia="宋体" w:cs="宋体"/>
          <w:color w:val="auto"/>
          <w:spacing w:val="-2"/>
          <w:sz w:val="24"/>
          <w:szCs w:val="24"/>
          <w:highlight w:val="none"/>
          <w:lang w:val="en-US" w:eastAsia="zh-CN"/>
        </w:rPr>
      </w:pPr>
      <w:r>
        <w:rPr>
          <w:rFonts w:ascii="宋体" w:hAnsi="宋体" w:eastAsia="宋体" w:cs="宋体"/>
          <w:color w:val="auto"/>
          <w:spacing w:val="-2"/>
          <w:sz w:val="24"/>
          <w:szCs w:val="24"/>
          <w:highlight w:val="none"/>
        </w:rPr>
        <w:t xml:space="preserve">附件</w:t>
      </w:r>
      <w:r>
        <w:rPr>
          <w:rFonts w:hint="eastAsia" w:ascii="宋体" w:hAnsi="宋体" w:eastAsia="宋体" w:cs="宋体"/>
          <w:color w:val="auto"/>
          <w:spacing w:val="-2"/>
          <w:sz w:val="24"/>
          <w:szCs w:val="24"/>
          <w:highlight w:val="none"/>
          <w:lang w:val="en-US" w:eastAsia="zh-CN"/>
        </w:rPr>
        <w:t xml:space="preserve">一</w:t>
      </w:r>
      <w:r>
        <w:rPr>
          <w:rFonts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lang w:val="en-US" w:eastAsia="zh-CN"/>
        </w:rPr>
        <w:t xml:space="preserve">考核表</w:t>
      </w:r>
      <w:r/>
    </w:p>
    <w:p>
      <w:pPr>
        <w:ind w:left="275"/>
        <w:spacing w:before="174" w:line="195" w:lineRule="auto"/>
        <w:rPr>
          <w:rFonts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lang w:val="en-US" w:eastAsia="zh-CN"/>
        </w:rPr>
        <w:t xml:space="preserve">1、</w:t>
      </w:r>
      <w:r>
        <w:rPr>
          <w:rFonts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u w:val="single"/>
          <w:lang w:val="en-US" w:eastAsia="zh-CN"/>
        </w:rPr>
        <w:t xml:space="preserve">      </w:t>
      </w:r>
      <w:r>
        <w:rPr>
          <w:rFonts w:ascii="宋体" w:hAnsi="宋体" w:eastAsia="宋体" w:cs="宋体"/>
          <w:color w:val="auto"/>
          <w:spacing w:val="-2"/>
          <w:sz w:val="24"/>
          <w:szCs w:val="24"/>
          <w:highlight w:val="none"/>
        </w:rPr>
        <w:t xml:space="preserve">基建考古发掘项目服务月度考核表》</w:t>
      </w:r>
      <w:r/>
    </w:p>
    <w:tbl>
      <w:tblPr>
        <w:tblStyle w:val="1206"/>
        <w:tblW w:w="942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29"/>
        <w:gridCol w:w="450"/>
        <w:gridCol w:w="4900"/>
        <w:gridCol w:w="525"/>
        <w:gridCol w:w="525"/>
        <w:gridCol w:w="500"/>
        <w:gridCol w:w="555"/>
        <w:gridCol w:w="587"/>
        <w:gridCol w:w="750"/>
      </w:tblGrid>
      <w:tr>
        <w:trPr>
          <w:trHeight w:val="454"/>
        </w:trPr>
        <w:tc>
          <w:tcPr>
            <w:gridSpan w:val="9"/>
            <w:tcW w:w="9421" w:type="dxa"/>
            <w:vAlign w:val="top"/>
            <w:textDirection w:val="lrTb"/>
            <w:noWrap w:val="false"/>
          </w:tcPr>
          <w:p>
            <w:pPr>
              <w:pStyle w:val="1205"/>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被考核单位：</w:t>
            </w:r>
            <w:r/>
          </w:p>
        </w:tc>
      </w:tr>
      <w:tr>
        <w:trPr>
          <w:trHeight w:val="454"/>
        </w:trPr>
        <w:tc>
          <w:tcPr>
            <w:tcBorders>
              <w:bottom w:val="none" w:color="000000" w:sz="4" w:space="0"/>
            </w:tcBorders>
            <w:tcW w:w="629" w:type="dxa"/>
            <w:vAlign w:val="top"/>
            <w:vMerge w:val="restart"/>
            <w:textDirection w:val="lrTb"/>
            <w:noWrap w:val="false"/>
          </w:tcPr>
          <w:p>
            <w:pPr>
              <w:pStyle w:val="1205"/>
              <w:ind w:left="0" w:right="0" w:hanging="4"/>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考核</w:t>
            </w:r>
            <w:r>
              <w:rPr>
                <w:rFonts w:hint="eastAsia" w:ascii="宋体" w:hAnsi="宋体" w:eastAsia="宋体" w:cs="宋体"/>
                <w:color w:val="auto"/>
                <w:spacing w:val="-5"/>
                <w:sz w:val="24"/>
                <w:szCs w:val="24"/>
                <w:highlight w:val="none"/>
                <w:lang w:val="en-US" w:eastAsia="zh-CN"/>
              </w:rPr>
              <w:t xml:space="preserve"> </w:t>
            </w:r>
            <w:r>
              <w:rPr>
                <w:rFonts w:hint="eastAsia" w:ascii="宋体" w:hAnsi="宋体" w:eastAsia="宋体" w:cs="宋体"/>
                <w:color w:val="auto"/>
                <w:spacing w:val="-7"/>
                <w:sz w:val="24"/>
                <w:szCs w:val="24"/>
                <w:highlight w:val="none"/>
              </w:rPr>
              <w:t xml:space="preserve">项目</w:t>
            </w:r>
            <w:r/>
          </w:p>
        </w:tc>
        <w:tc>
          <w:tcPr>
            <w:tcBorders>
              <w:bottom w:val="none" w:color="000000" w:sz="4" w:space="0"/>
            </w:tcBorders>
            <w:tcW w:w="450" w:type="dxa"/>
            <w:vAlign w:val="top"/>
            <w:vMerge w:val="restart"/>
            <w:textDirection w:val="tbRlV"/>
            <w:noWrap w:val="false"/>
          </w:tcPr>
          <w:p>
            <w:pPr>
              <w:pStyle w:val="1205"/>
              <w:ind w:left="0" w:right="0" w:firstLine="0"/>
              <w:jc w:val="both"/>
              <w:keepLines w:val="0"/>
              <w:keepNext w:val="0"/>
              <w:pageBreakBefore w:val="0"/>
              <w:spacing w:after="0" w:line="240" w:lineRule="auto"/>
              <w:widowControl w:val="off"/>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 xml:space="preserve">分 值</w:t>
            </w:r>
            <w:r/>
          </w:p>
        </w:tc>
        <w:tc>
          <w:tcPr>
            <w:tcBorders>
              <w:bottom w:val="none" w:color="000000" w:sz="4" w:space="0"/>
            </w:tcBorders>
            <w:tcW w:w="4900" w:type="dxa"/>
            <w:vAlign w:val="top"/>
            <w:vMerge w:val="restart"/>
            <w:textDirection w:val="lrTb"/>
            <w:noWrap w:val="false"/>
          </w:tcPr>
          <w:p>
            <w:pPr>
              <w:pStyle w:val="1205"/>
              <w:ind w:left="0" w:right="0" w:hanging="4"/>
              <w:jc w:val="center"/>
              <w:keepLines w:val="0"/>
              <w:keepNext w:val="0"/>
              <w:pageBreakBefore w:val="0"/>
              <w:spacing w:after="0" w:line="240" w:lineRule="auto"/>
              <w:widowControl w:val="off"/>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 xml:space="preserve">考核内容</w:t>
            </w:r>
            <w:r/>
          </w:p>
        </w:tc>
        <w:tc>
          <w:tcPr>
            <w:gridSpan w:val="4"/>
            <w:tcW w:w="2105" w:type="dxa"/>
            <w:vAlign w:val="top"/>
            <w:textDirection w:val="lrTb"/>
            <w:noWrap w:val="false"/>
          </w:tcPr>
          <w:p>
            <w:pPr>
              <w:pStyle w:val="1205"/>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评价与分值</w:t>
            </w:r>
            <w:r/>
          </w:p>
        </w:tc>
        <w:tc>
          <w:tcPr>
            <w:gridSpan w:val="2"/>
            <w:tcBorders>
              <w:bottom w:val="none" w:color="000000" w:sz="4" w:space="0"/>
            </w:tcBorders>
            <w:tcW w:w="1337" w:type="dxa"/>
            <w:vAlign w:val="top"/>
            <w:vMerge w:val="restart"/>
            <w:textDirection w:val="lrTb"/>
            <w:noWrap w:val="false"/>
          </w:tcPr>
          <w:p>
            <w:pPr>
              <w:pStyle w:val="1205"/>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得分</w:t>
            </w:r>
            <w:r/>
          </w:p>
        </w:tc>
      </w:tr>
      <w:tr>
        <w:trPr>
          <w:trHeight w:val="454"/>
        </w:trPr>
        <w:tc>
          <w:tcPr>
            <w:tcBorders>
              <w:top w:val="none" w:color="000000" w:sz="4" w:space="0"/>
            </w:tcBorders>
            <w:tcW w:w="629" w:type="dxa"/>
            <w:vAlign w:val="top"/>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450" w:type="dxa"/>
            <w:vAlign w:val="top"/>
            <w:vMerge w:val="continue"/>
            <w:textDirection w:val="tbRlV"/>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4900" w:type="dxa"/>
            <w:vAlign w:val="top"/>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w:t>
            </w:r>
            <w:r/>
          </w:p>
        </w:tc>
        <w:tc>
          <w:tcPr>
            <w:tcW w:w="55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w:t>
            </w:r>
            <w:r/>
          </w:p>
        </w:tc>
        <w:tc>
          <w:tcPr>
            <w:gridSpan w:val="2"/>
            <w:tcBorders>
              <w:top w:val="none" w:color="000000" w:sz="4" w:space="0"/>
            </w:tcBorders>
            <w:tcW w:w="1337" w:type="dxa"/>
            <w:vAlign w:val="top"/>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54"/>
        </w:trPr>
        <w:tc>
          <w:tcPr>
            <w:tcBorders>
              <w:bottom w:val="none" w:color="000000" w:sz="4" w:space="0"/>
            </w:tcBorders>
            <w:tcW w:w="629" w:type="dxa"/>
            <w:vAlign w:val="center"/>
            <w:vMerge w:val="restart"/>
            <w:textDirection w:val="lrTb"/>
            <w:noWrap w:val="false"/>
          </w:tcPr>
          <w:p>
            <w:pPr>
              <w:pStyle w:val="1205"/>
              <w:ind w:left="0" w:right="0" w:hanging="3"/>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组织</w:t>
            </w:r>
            <w:r>
              <w:rPr>
                <w:rFonts w:hint="eastAsia" w:cs="宋体"/>
                <w:color w:val="auto"/>
                <w:spacing w:val="-7"/>
                <w:sz w:val="24"/>
                <w:szCs w:val="24"/>
                <w:highlight w:val="none"/>
                <w:lang w:val="en-US" w:eastAsia="zh-CN"/>
              </w:rPr>
              <w:t xml:space="preserve"> </w:t>
            </w:r>
            <w:r>
              <w:rPr>
                <w:rFonts w:hint="eastAsia" w:ascii="宋体" w:hAnsi="宋体" w:eastAsia="宋体" w:cs="宋体"/>
                <w:color w:val="auto"/>
                <w:spacing w:val="-8"/>
                <w:sz w:val="24"/>
                <w:szCs w:val="24"/>
                <w:highlight w:val="none"/>
              </w:rPr>
              <w:t xml:space="preserve">管理</w:t>
            </w:r>
            <w:r/>
          </w:p>
        </w:tc>
        <w:tc>
          <w:tcPr>
            <w:tcBorders>
              <w:bottom w:val="none" w:color="000000" w:sz="4" w:space="0"/>
            </w:tcBorders>
            <w:tcW w:w="450" w:type="dxa"/>
            <w:vAlign w:val="center"/>
            <w:vMerge w:val="restart"/>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10</w:t>
            </w:r>
            <w:r/>
          </w:p>
        </w:tc>
        <w:tc>
          <w:tcPr>
            <w:tcW w:w="4900" w:type="dxa"/>
            <w:vAlign w:val="top"/>
            <w:textDirection w:val="lrTb"/>
            <w:noWrap w:val="false"/>
          </w:tcPr>
          <w:p>
            <w:pPr>
              <w:pStyle w:val="1205"/>
              <w:ind w:left="0" w:right="0" w:firstLine="1"/>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现场负责人：服从甲方人员的工作安</w:t>
            </w:r>
            <w:r>
              <w:rPr>
                <w:rFonts w:hint="eastAsia" w:ascii="宋体" w:hAnsi="宋体" w:eastAsia="宋体" w:cs="宋体"/>
                <w:color w:val="auto"/>
                <w:spacing w:val="-1"/>
                <w:sz w:val="24"/>
                <w:szCs w:val="24"/>
                <w:highlight w:val="none"/>
              </w:rPr>
              <w:t xml:space="preserve">排，保证工作质量及进度</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5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0.5</w:t>
            </w:r>
            <w:r/>
          </w:p>
        </w:tc>
        <w:tc>
          <w:tcPr>
            <w:tcW w:w="587" w:type="dxa"/>
            <w:vAlign w:val="top"/>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750" w:type="dxa"/>
            <w:vAlign w:val="top"/>
            <w:vMerge w:val="restart"/>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54"/>
        </w:trPr>
        <w:tc>
          <w:tcPr>
            <w:tcBorders>
              <w:top w:val="none" w:color="000000" w:sz="4" w:space="0"/>
              <w:bottom w:val="none" w:color="000000" w:sz="4" w:space="0"/>
            </w:tcBorders>
            <w:tcW w:w="629"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450"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00" w:type="dxa"/>
            <w:vAlign w:val="top"/>
            <w:textDirection w:val="lrTb"/>
            <w:noWrap w:val="false"/>
          </w:tcPr>
          <w:p>
            <w:pPr>
              <w:pStyle w:val="1205"/>
              <w:ind w:left="0" w:right="0"/>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技工：数量合理（每</w:t>
            </w:r>
            <w:r>
              <w:rPr>
                <w:rFonts w:hint="eastAsia" w:ascii="宋体" w:hAnsi="宋体" w:eastAsia="宋体" w:cs="宋体"/>
                <w:color w:val="auto"/>
                <w:spacing w:val="-33"/>
                <w:sz w:val="24"/>
                <w:szCs w:val="24"/>
                <w:highlight w:val="none"/>
              </w:rPr>
              <w:t xml:space="preserve"> </w:t>
            </w:r>
            <w:r>
              <w:rPr>
                <w:rFonts w:hint="eastAsia" w:ascii="宋体" w:hAnsi="宋体" w:eastAsia="宋体" w:cs="宋体"/>
                <w:color w:val="auto"/>
                <w:sz w:val="24"/>
                <w:szCs w:val="24"/>
                <w:highlight w:val="none"/>
              </w:rPr>
              <w:t xml:space="preserve">200</w:t>
            </w:r>
            <w:r>
              <w:rPr>
                <w:rFonts w:hint="eastAsia" w:ascii="宋体" w:hAnsi="宋体" w:eastAsia="宋体" w:cs="宋体"/>
                <w:color w:val="auto"/>
                <w:spacing w:val="-47"/>
                <w:sz w:val="24"/>
                <w:szCs w:val="24"/>
                <w:highlight w:val="none"/>
              </w:rPr>
              <w:t xml:space="preserve"> </w:t>
            </w:r>
            <w:r>
              <w:rPr>
                <w:rFonts w:hint="eastAsia" w:ascii="宋体" w:hAnsi="宋体" w:eastAsia="宋体" w:cs="宋体"/>
                <w:color w:val="auto"/>
                <w:sz w:val="24"/>
                <w:szCs w:val="24"/>
                <w:highlight w:val="none"/>
              </w:rPr>
              <w:t xml:space="preserve">平不少于</w:t>
            </w:r>
            <w:r>
              <w:rPr>
                <w:rFonts w:hint="eastAsia" w:ascii="宋体" w:hAnsi="宋体" w:eastAsia="宋体" w:cs="宋体"/>
                <w:color w:val="auto"/>
                <w:spacing w:val="-25"/>
                <w:sz w:val="24"/>
                <w:szCs w:val="24"/>
                <w:highlight w:val="none"/>
              </w:rPr>
              <w:t xml:space="preserve"> </w:t>
            </w:r>
            <w:r>
              <w:rPr>
                <w:rFonts w:hint="eastAsia" w:ascii="宋体" w:hAnsi="宋体" w:eastAsia="宋体" w:cs="宋体"/>
                <w:color w:val="auto"/>
                <w:sz w:val="24"/>
                <w:szCs w:val="24"/>
                <w:highlight w:val="none"/>
              </w:rPr>
              <w:t xml:space="preserve">1</w:t>
            </w:r>
            <w:r>
              <w:rPr>
                <w:rFonts w:hint="eastAsia" w:ascii="宋体" w:hAnsi="宋体" w:eastAsia="宋体" w:cs="宋体"/>
                <w:color w:val="auto"/>
                <w:spacing w:val="-1"/>
                <w:sz w:val="24"/>
                <w:szCs w:val="24"/>
                <w:highlight w:val="none"/>
              </w:rPr>
              <w:t xml:space="preserve">人）、认真负责、工作水平高</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1.5</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5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0.5</w:t>
            </w:r>
            <w:r/>
          </w:p>
        </w:tc>
        <w:tc>
          <w:tcPr>
            <w:tcW w:w="587" w:type="dxa"/>
            <w:vAlign w:val="top"/>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750" w:type="dxa"/>
            <w:vAlign w:val="top"/>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84"/>
        </w:trPr>
        <w:tc>
          <w:tcPr>
            <w:tcBorders>
              <w:top w:val="none" w:color="000000" w:sz="4" w:space="0"/>
              <w:bottom w:val="none" w:color="000000" w:sz="4" w:space="0"/>
            </w:tcBorders>
            <w:tcW w:w="629"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450"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00" w:type="dxa"/>
            <w:vAlign w:val="top"/>
            <w:textDirection w:val="lrTb"/>
            <w:noWrap w:val="false"/>
          </w:tcPr>
          <w:p>
            <w:pPr>
              <w:pStyle w:val="1205"/>
              <w:ind w:left="0" w:right="0" w:firstLine="24"/>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民工：数量合理、认真负责、工作水</w:t>
            </w:r>
            <w:r>
              <w:rPr>
                <w:rFonts w:hint="eastAsia" w:ascii="宋体" w:hAnsi="宋体" w:eastAsia="宋体" w:cs="宋体"/>
                <w:color w:val="auto"/>
                <w:spacing w:val="-5"/>
                <w:sz w:val="24"/>
                <w:szCs w:val="24"/>
                <w:highlight w:val="none"/>
              </w:rPr>
              <w:t xml:space="preserve">平高</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5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0.5</w:t>
            </w:r>
            <w:r/>
          </w:p>
        </w:tc>
        <w:tc>
          <w:tcPr>
            <w:tcW w:w="587" w:type="dxa"/>
            <w:vAlign w:val="top"/>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750" w:type="dxa"/>
            <w:vAlign w:val="top"/>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79"/>
        </w:trPr>
        <w:tc>
          <w:tcPr>
            <w:tcBorders>
              <w:top w:val="none" w:color="000000" w:sz="4" w:space="0"/>
            </w:tcBorders>
            <w:tcW w:w="629"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450"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00" w:type="dxa"/>
            <w:vAlign w:val="top"/>
            <w:textDirection w:val="lrTb"/>
            <w:noWrap w:val="false"/>
          </w:tcPr>
          <w:p>
            <w:pPr>
              <w:pStyle w:val="1205"/>
              <w:ind w:left="0" w:right="0"/>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工具：数量、种类，齐全合理</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1.5</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5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0.5</w:t>
            </w:r>
            <w:r/>
          </w:p>
        </w:tc>
        <w:tc>
          <w:tcPr>
            <w:tcW w:w="587" w:type="dxa"/>
            <w:vAlign w:val="top"/>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750" w:type="dxa"/>
            <w:vAlign w:val="top"/>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54"/>
        </w:trPr>
        <w:tc>
          <w:tcPr>
            <w:tcBorders>
              <w:bottom w:val="none" w:color="000000" w:sz="4" w:space="0"/>
            </w:tcBorders>
            <w:tcW w:w="629" w:type="dxa"/>
            <w:vAlign w:val="center"/>
            <w:vMerge w:val="restart"/>
            <w:textDirection w:val="lrTb"/>
            <w:noWrap w:val="false"/>
          </w:tcPr>
          <w:p>
            <w:pPr>
              <w:pStyle w:val="1205"/>
              <w:ind w:left="0" w:right="0" w:firstLine="3"/>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发掘</w:t>
            </w:r>
            <w:r>
              <w:rPr>
                <w:rFonts w:hint="eastAsia" w:cs="宋体"/>
                <w:color w:val="auto"/>
                <w:spacing w:val="-7"/>
                <w:sz w:val="24"/>
                <w:szCs w:val="24"/>
                <w:highlight w:val="none"/>
                <w:lang w:val="en-US" w:eastAsia="zh-CN"/>
              </w:rPr>
              <w:t xml:space="preserve"> </w:t>
            </w:r>
            <w:r>
              <w:rPr>
                <w:rFonts w:hint="eastAsia" w:ascii="宋体" w:hAnsi="宋体" w:eastAsia="宋体" w:cs="宋体"/>
                <w:color w:val="auto"/>
                <w:spacing w:val="-6"/>
                <w:sz w:val="24"/>
                <w:szCs w:val="24"/>
                <w:highlight w:val="none"/>
              </w:rPr>
              <w:t xml:space="preserve">技术</w:t>
            </w:r>
            <w:r/>
          </w:p>
        </w:tc>
        <w:tc>
          <w:tcPr>
            <w:tcBorders>
              <w:bottom w:val="none" w:color="000000" w:sz="4" w:space="0"/>
            </w:tcBorders>
            <w:tcW w:w="450" w:type="dxa"/>
            <w:vAlign w:val="center"/>
            <w:vMerge w:val="restart"/>
            <w:textDirection w:val="lrTb"/>
            <w:noWrap w:val="false"/>
          </w:tcPr>
          <w:p>
            <w:pPr>
              <w:ind w:left="0" w:right="0"/>
              <w:jc w:val="center"/>
              <w:keepLines w:val="0"/>
              <w:keepNext w:val="0"/>
              <w:pageBreakBefore w:val="0"/>
              <w:spacing w:after="0"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w:t>
            </w:r>
            <w:r/>
          </w:p>
        </w:tc>
        <w:tc>
          <w:tcPr>
            <w:tcW w:w="4900" w:type="dxa"/>
            <w:vAlign w:val="top"/>
            <w:textDirection w:val="lrTb"/>
            <w:noWrap w:val="false"/>
          </w:tcPr>
          <w:p>
            <w:pPr>
              <w:pStyle w:val="1205"/>
              <w:ind w:left="0" w:right="0" w:hanging="1"/>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地层、遗迹等发掘单位划分：合理、</w:t>
            </w:r>
            <w:r>
              <w:rPr>
                <w:rFonts w:hint="eastAsia" w:ascii="宋体" w:hAnsi="宋体" w:eastAsia="宋体" w:cs="宋体"/>
                <w:color w:val="auto"/>
                <w:spacing w:val="-3"/>
                <w:sz w:val="24"/>
                <w:szCs w:val="24"/>
                <w:highlight w:val="none"/>
              </w:rPr>
              <w:t xml:space="preserve">准确、及时</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4.5</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55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1.5</w:t>
            </w:r>
            <w:r/>
          </w:p>
        </w:tc>
        <w:tc>
          <w:tcPr>
            <w:tcW w:w="587" w:type="dxa"/>
            <w:vAlign w:val="top"/>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750" w:type="dxa"/>
            <w:vAlign w:val="top"/>
            <w:vMerge w:val="restart"/>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59"/>
        </w:trPr>
        <w:tc>
          <w:tcPr>
            <w:tcBorders>
              <w:top w:val="none" w:color="000000" w:sz="4" w:space="0"/>
              <w:bottom w:val="none" w:color="000000" w:sz="4" w:space="0"/>
            </w:tcBorders>
            <w:tcW w:w="629"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450"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00" w:type="dxa"/>
            <w:vAlign w:val="top"/>
            <w:textDirection w:val="lrTb"/>
            <w:noWrap w:val="false"/>
          </w:tcPr>
          <w:p>
            <w:pPr>
              <w:pStyle w:val="1205"/>
              <w:ind w:left="0" w:right="0"/>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地层、遗迹等发掘单位清理：准确</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4.5</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55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1.5</w:t>
            </w:r>
            <w:r/>
          </w:p>
        </w:tc>
        <w:tc>
          <w:tcPr>
            <w:tcW w:w="587" w:type="dxa"/>
            <w:vAlign w:val="top"/>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750" w:type="dxa"/>
            <w:vAlign w:val="top"/>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22"/>
        </w:trPr>
        <w:tc>
          <w:tcPr>
            <w:tcBorders>
              <w:top w:val="none" w:color="000000" w:sz="4" w:space="0"/>
              <w:bottom w:val="none" w:color="000000" w:sz="4" w:space="0"/>
            </w:tcBorders>
            <w:tcW w:w="629"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450"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00" w:type="dxa"/>
            <w:vAlign w:val="top"/>
            <w:textDirection w:val="lrTb"/>
            <w:noWrap w:val="false"/>
          </w:tcPr>
          <w:p>
            <w:pPr>
              <w:pStyle w:val="1205"/>
              <w:ind w:left="0" w:right="0" w:hanging="2"/>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地层、遗迹等发掘单位发掘顺序：合</w:t>
            </w:r>
            <w:r>
              <w:rPr>
                <w:rFonts w:hint="eastAsia" w:ascii="宋体" w:hAnsi="宋体" w:eastAsia="宋体" w:cs="宋体"/>
                <w:color w:val="auto"/>
                <w:sz w:val="24"/>
                <w:szCs w:val="24"/>
                <w:highlight w:val="none"/>
              </w:rPr>
              <w:t xml:space="preserve">理</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4.5</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55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1.5</w:t>
            </w:r>
            <w:r/>
          </w:p>
        </w:tc>
        <w:tc>
          <w:tcPr>
            <w:tcW w:w="587" w:type="dxa"/>
            <w:vAlign w:val="top"/>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750" w:type="dxa"/>
            <w:vAlign w:val="top"/>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21"/>
        </w:trPr>
        <w:tc>
          <w:tcPr>
            <w:tcBorders>
              <w:top w:val="none" w:color="000000" w:sz="4" w:space="0"/>
              <w:bottom w:val="none" w:color="000000" w:sz="4" w:space="0"/>
            </w:tcBorders>
            <w:tcW w:w="629"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450"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00" w:type="dxa"/>
            <w:vAlign w:val="top"/>
            <w:textDirection w:val="lrTb"/>
            <w:noWrap w:val="false"/>
          </w:tcPr>
          <w:p>
            <w:pPr>
              <w:pStyle w:val="1205"/>
              <w:ind w:left="0" w:right="0"/>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出土文物提取：规范、全面</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4.5</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55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1.5</w:t>
            </w:r>
            <w:r/>
          </w:p>
        </w:tc>
        <w:tc>
          <w:tcPr>
            <w:tcW w:w="587" w:type="dxa"/>
            <w:vAlign w:val="top"/>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750" w:type="dxa"/>
            <w:vAlign w:val="top"/>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97"/>
        </w:trPr>
        <w:tc>
          <w:tcPr>
            <w:tcBorders>
              <w:top w:val="none" w:color="000000" w:sz="4" w:space="0"/>
              <w:bottom w:val="none" w:color="000000" w:sz="4" w:space="0"/>
            </w:tcBorders>
            <w:tcW w:w="629"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450"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00" w:type="dxa"/>
            <w:vAlign w:val="top"/>
            <w:textDirection w:val="lrTb"/>
            <w:noWrap w:val="false"/>
          </w:tcPr>
          <w:p>
            <w:pPr>
              <w:pStyle w:val="1205"/>
              <w:ind w:left="0" w:right="0"/>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科研标本的采集：规范</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4.5</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55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1.5</w:t>
            </w:r>
            <w:r/>
          </w:p>
        </w:tc>
        <w:tc>
          <w:tcPr>
            <w:tcW w:w="587" w:type="dxa"/>
            <w:vAlign w:val="top"/>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750" w:type="dxa"/>
            <w:vAlign w:val="top"/>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04"/>
        </w:trPr>
        <w:tc>
          <w:tcPr>
            <w:tcBorders>
              <w:top w:val="none" w:color="000000" w:sz="4" w:space="0"/>
            </w:tcBorders>
            <w:tcW w:w="629"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450"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00" w:type="dxa"/>
            <w:vAlign w:val="top"/>
            <w:textDirection w:val="lrTb"/>
            <w:noWrap w:val="false"/>
          </w:tcPr>
          <w:p>
            <w:pPr>
              <w:pStyle w:val="1205"/>
              <w:ind w:left="0" w:right="0"/>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安全工作：人员、文物</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3.5</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5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87" w:type="dxa"/>
            <w:vAlign w:val="top"/>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750" w:type="dxa"/>
            <w:vAlign w:val="top"/>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54"/>
        </w:trPr>
        <w:tc>
          <w:tcPr>
            <w:tcW w:w="629" w:type="dxa"/>
            <w:vAlign w:val="center"/>
            <w:vMerge w:val="restart"/>
            <w:textDirection w:val="lrTb"/>
            <w:noWrap w:val="false"/>
          </w:tcPr>
          <w:p>
            <w:pPr>
              <w:pStyle w:val="1205"/>
              <w:ind w:left="0" w:right="0" w:firstLine="13"/>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资料</w:t>
            </w:r>
            <w:r>
              <w:rPr>
                <w:rFonts w:hint="eastAsia" w:cs="宋体"/>
                <w:color w:val="auto"/>
                <w:spacing w:val="-11"/>
                <w:sz w:val="24"/>
                <w:szCs w:val="24"/>
                <w:highlight w:val="none"/>
                <w:lang w:val="en-US" w:eastAsia="zh-CN"/>
              </w:rPr>
              <w:t xml:space="preserve">  </w:t>
            </w:r>
            <w:r>
              <w:rPr>
                <w:rFonts w:hint="eastAsia" w:ascii="宋体" w:hAnsi="宋体" w:eastAsia="宋体" w:cs="宋体"/>
                <w:color w:val="auto"/>
                <w:spacing w:val="-5"/>
                <w:sz w:val="24"/>
                <w:szCs w:val="24"/>
                <w:highlight w:val="none"/>
              </w:rPr>
              <w:t xml:space="preserve">记录</w:t>
            </w:r>
            <w:r/>
          </w:p>
        </w:tc>
        <w:tc>
          <w:tcPr>
            <w:tcW w:w="450" w:type="dxa"/>
            <w:vAlign w:val="center"/>
            <w:vMerge w:val="restart"/>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35</w:t>
            </w:r>
            <w:r/>
          </w:p>
        </w:tc>
        <w:tc>
          <w:tcPr>
            <w:tcW w:w="4900" w:type="dxa"/>
            <w:vAlign w:val="top"/>
            <w:textDirection w:val="lrTb"/>
            <w:noWrap w:val="false"/>
          </w:tcPr>
          <w:p>
            <w:pPr>
              <w:pStyle w:val="1205"/>
              <w:ind w:left="0" w:right="0"/>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各探方发掘日志：当日完成、准确、</w:t>
            </w:r>
            <w:r>
              <w:rPr>
                <w:rFonts w:hint="eastAsia" w:ascii="宋体" w:hAnsi="宋体" w:eastAsia="宋体" w:cs="宋体"/>
                <w:color w:val="auto"/>
                <w:spacing w:val="-3"/>
                <w:sz w:val="24"/>
                <w:szCs w:val="24"/>
                <w:highlight w:val="none"/>
              </w:rPr>
              <w:t xml:space="preserve">详实、规范</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3.5</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5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87" w:type="dxa"/>
            <w:vAlign w:val="top"/>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750" w:type="dxa"/>
            <w:vAlign w:val="top"/>
            <w:vMerge w:val="restart"/>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54"/>
        </w:trPr>
        <w:tc>
          <w:tcPr>
            <w:tcW w:w="629" w:type="dxa"/>
            <w:vAlign w:val="top"/>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50" w:type="dxa"/>
            <w:vAlign w:val="top"/>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00" w:type="dxa"/>
            <w:vAlign w:val="top"/>
            <w:textDirection w:val="lrTb"/>
            <w:noWrap w:val="false"/>
          </w:tcPr>
          <w:p>
            <w:pPr>
              <w:pStyle w:val="1205"/>
              <w:ind w:left="0" w:right="0"/>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纸质及电子探方总平面图：发掘工作</w:t>
            </w:r>
            <w:r>
              <w:rPr>
                <w:rFonts w:hint="eastAsia" w:ascii="宋体" w:hAnsi="宋体" w:eastAsia="宋体" w:cs="宋体"/>
                <w:color w:val="auto"/>
                <w:spacing w:val="-7"/>
                <w:sz w:val="24"/>
                <w:szCs w:val="24"/>
                <w:highlight w:val="none"/>
              </w:rPr>
              <w:t xml:space="preserve">完成</w:t>
            </w:r>
            <w:r>
              <w:rPr>
                <w:rFonts w:hint="eastAsia" w:ascii="宋体" w:hAnsi="宋体" w:eastAsia="宋体" w:cs="宋体"/>
                <w:color w:val="auto"/>
                <w:spacing w:val="-35"/>
                <w:sz w:val="24"/>
                <w:szCs w:val="24"/>
                <w:highlight w:val="none"/>
              </w:rPr>
              <w:t xml:space="preserve"> </w:t>
            </w:r>
            <w:r>
              <w:rPr>
                <w:rFonts w:hint="eastAsia" w:ascii="宋体" w:hAnsi="宋体" w:eastAsia="宋体" w:cs="宋体"/>
                <w:color w:val="auto"/>
                <w:spacing w:val="-7"/>
                <w:sz w:val="24"/>
                <w:szCs w:val="24"/>
                <w:highlight w:val="none"/>
              </w:rPr>
              <w:t xml:space="preserve">3 日内完成、准确、详实</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3.5</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5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87" w:type="dxa"/>
            <w:vAlign w:val="top"/>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750" w:type="dxa"/>
            <w:vAlign w:val="top"/>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54"/>
        </w:trPr>
        <w:tc>
          <w:tcPr>
            <w:tcW w:w="629" w:type="dxa"/>
            <w:vAlign w:val="top"/>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50" w:type="dxa"/>
            <w:vAlign w:val="top"/>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00" w:type="dxa"/>
            <w:vAlign w:val="top"/>
            <w:textDirection w:val="lrTb"/>
            <w:noWrap w:val="false"/>
          </w:tcPr>
          <w:p>
            <w:pPr>
              <w:pStyle w:val="1205"/>
              <w:ind w:left="0" w:right="0"/>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纸质及电子四壁剖面图：探方发掘工</w:t>
            </w:r>
            <w:r>
              <w:rPr>
                <w:rFonts w:hint="eastAsia" w:ascii="宋体" w:hAnsi="宋体" w:eastAsia="宋体" w:cs="宋体"/>
                <w:color w:val="auto"/>
                <w:spacing w:val="-4"/>
                <w:sz w:val="24"/>
                <w:szCs w:val="24"/>
                <w:highlight w:val="none"/>
              </w:rPr>
              <w:t xml:space="preserve">作完成</w:t>
            </w:r>
            <w:r>
              <w:rPr>
                <w:rFonts w:hint="eastAsia" w:ascii="宋体" w:hAnsi="宋体" w:eastAsia="宋体" w:cs="宋体"/>
                <w:color w:val="auto"/>
                <w:spacing w:val="-40"/>
                <w:sz w:val="24"/>
                <w:szCs w:val="24"/>
                <w:highlight w:val="none"/>
              </w:rPr>
              <w:t xml:space="preserve"> </w:t>
            </w:r>
            <w:r>
              <w:rPr>
                <w:rFonts w:hint="eastAsia" w:ascii="宋体" w:hAnsi="宋体" w:eastAsia="宋体" w:cs="宋体"/>
                <w:color w:val="auto"/>
                <w:spacing w:val="-4"/>
                <w:sz w:val="24"/>
                <w:szCs w:val="24"/>
                <w:highlight w:val="none"/>
              </w:rPr>
              <w:t xml:space="preserve">3 日内完成、准确、详实、规</w:t>
            </w:r>
            <w:r>
              <w:rPr>
                <w:rFonts w:hint="eastAsia" w:ascii="宋体" w:hAnsi="宋体" w:eastAsia="宋体" w:cs="宋体"/>
                <w:color w:val="auto"/>
                <w:sz w:val="24"/>
                <w:szCs w:val="24"/>
                <w:highlight w:val="none"/>
              </w:rPr>
              <w:t xml:space="preserve">范</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3.5</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5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87" w:type="dxa"/>
            <w:vAlign w:val="top"/>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750" w:type="dxa"/>
            <w:vAlign w:val="top"/>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54"/>
        </w:trPr>
        <w:tc>
          <w:tcPr>
            <w:tcW w:w="629" w:type="dxa"/>
            <w:vAlign w:val="top"/>
            <w:vMerge w:val="continue"/>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50" w:type="dxa"/>
            <w:vAlign w:val="top"/>
            <w:vMerge w:val="continue"/>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00" w:type="dxa"/>
            <w:vAlign w:val="top"/>
            <w:textDirection w:val="lrTb"/>
            <w:noWrap w:val="false"/>
          </w:tcPr>
          <w:p>
            <w:pPr>
              <w:pStyle w:val="1205"/>
              <w:ind w:left="0" w:right="0"/>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纸质及电子分层平面图：发掘工作完</w:t>
            </w:r>
            <w:r>
              <w:rPr>
                <w:rFonts w:hint="eastAsia" w:ascii="宋体" w:hAnsi="宋体" w:eastAsia="宋体" w:cs="宋体"/>
                <w:color w:val="auto"/>
                <w:spacing w:val="-6"/>
                <w:sz w:val="24"/>
                <w:szCs w:val="24"/>
                <w:highlight w:val="none"/>
              </w:rPr>
              <w:t xml:space="preserve">成</w:t>
            </w:r>
            <w:r>
              <w:rPr>
                <w:rFonts w:hint="eastAsia" w:ascii="宋体" w:hAnsi="宋体" w:eastAsia="宋体" w:cs="宋体"/>
                <w:color w:val="auto"/>
                <w:spacing w:val="-37"/>
                <w:sz w:val="24"/>
                <w:szCs w:val="24"/>
                <w:highlight w:val="none"/>
              </w:rPr>
              <w:t xml:space="preserve"> </w:t>
            </w:r>
            <w:r>
              <w:rPr>
                <w:rFonts w:hint="eastAsia" w:ascii="宋体" w:hAnsi="宋体" w:eastAsia="宋体" w:cs="宋体"/>
                <w:color w:val="auto"/>
                <w:spacing w:val="-6"/>
                <w:sz w:val="24"/>
                <w:szCs w:val="24"/>
                <w:highlight w:val="none"/>
              </w:rPr>
              <w:t xml:space="preserve">3 日内完成、准确、详实、规范</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3.5</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5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87" w:type="dxa"/>
            <w:vAlign w:val="top"/>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750" w:type="dxa"/>
            <w:vAlign w:val="top"/>
            <w:vMerge w:val="restart"/>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54"/>
        </w:trPr>
        <w:tc>
          <w:tcPr>
            <w:tcW w:w="629" w:type="dxa"/>
            <w:vAlign w:val="top"/>
            <w:vMerge w:val="continue"/>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50" w:type="dxa"/>
            <w:vAlign w:val="top"/>
            <w:vMerge w:val="continue"/>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00" w:type="dxa"/>
            <w:vAlign w:val="top"/>
            <w:textDirection w:val="lrTb"/>
            <w:noWrap w:val="false"/>
          </w:tcPr>
          <w:p>
            <w:pPr>
              <w:pStyle w:val="1205"/>
              <w:ind w:left="0" w:right="0" w:hanging="23"/>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遗迹发掘及器物提取照片：发掘前、</w:t>
            </w:r>
            <w:r>
              <w:rPr>
                <w:rFonts w:hint="eastAsia" w:ascii="宋体" w:hAnsi="宋体" w:eastAsia="宋体" w:cs="宋体"/>
                <w:color w:val="auto"/>
                <w:spacing w:val="-4"/>
                <w:sz w:val="24"/>
                <w:szCs w:val="24"/>
                <w:highlight w:val="none"/>
              </w:rPr>
              <w:t xml:space="preserve">中、后期各至少一张</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5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0.5</w:t>
            </w:r>
            <w:r/>
          </w:p>
        </w:tc>
        <w:tc>
          <w:tcPr>
            <w:tcW w:w="587" w:type="dxa"/>
            <w:vAlign w:val="top"/>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750" w:type="dxa"/>
            <w:vAlign w:val="top"/>
            <w:vMerge w:val="continue"/>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54"/>
        </w:trPr>
        <w:tc>
          <w:tcPr>
            <w:tcW w:w="629" w:type="dxa"/>
            <w:vAlign w:val="top"/>
            <w:vMerge w:val="continue"/>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50" w:type="dxa"/>
            <w:vAlign w:val="top"/>
            <w:vMerge w:val="continue"/>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00" w:type="dxa"/>
            <w:vAlign w:val="top"/>
            <w:textDirection w:val="lrTb"/>
            <w:noWrap w:val="false"/>
          </w:tcPr>
          <w:p>
            <w:pPr>
              <w:pStyle w:val="1205"/>
              <w:ind w:left="0" w:right="0"/>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遗迹、地层内出土文物须做初步清理</w:t>
            </w:r>
            <w:r>
              <w:rPr>
                <w:rFonts w:hint="eastAsia" w:ascii="宋体" w:hAnsi="宋体" w:eastAsia="宋体" w:cs="宋体"/>
                <w:color w:val="auto"/>
                <w:spacing w:val="-2"/>
                <w:sz w:val="24"/>
                <w:szCs w:val="24"/>
                <w:highlight w:val="none"/>
              </w:rPr>
              <w:t xml:space="preserve">及基础修复</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1.5</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5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0.5</w:t>
            </w:r>
            <w:r/>
          </w:p>
        </w:tc>
        <w:tc>
          <w:tcPr>
            <w:tcW w:w="587" w:type="dxa"/>
            <w:vAlign w:val="top"/>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750" w:type="dxa"/>
            <w:vAlign w:val="top"/>
            <w:vMerge w:val="continue"/>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54"/>
        </w:trPr>
        <w:tc>
          <w:tcPr>
            <w:tcW w:w="629" w:type="dxa"/>
            <w:vAlign w:val="top"/>
            <w:vMerge w:val="continue"/>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50" w:type="dxa"/>
            <w:vAlign w:val="top"/>
            <w:vMerge w:val="continue"/>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00" w:type="dxa"/>
            <w:vAlign w:val="top"/>
            <w:textDirection w:val="lrTb"/>
            <w:noWrap w:val="false"/>
          </w:tcPr>
          <w:p>
            <w:pPr>
              <w:pStyle w:val="1205"/>
              <w:ind w:left="0" w:right="0"/>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纸质及电子遗迹平剖面图：发掘工作</w:t>
            </w:r>
            <w:r>
              <w:rPr>
                <w:rFonts w:hint="eastAsia" w:ascii="宋体" w:hAnsi="宋体" w:eastAsia="宋体" w:cs="宋体"/>
                <w:color w:val="auto"/>
                <w:spacing w:val="-6"/>
                <w:sz w:val="24"/>
                <w:szCs w:val="24"/>
                <w:highlight w:val="none"/>
              </w:rPr>
              <w:t xml:space="preserve">完成</w:t>
            </w:r>
            <w:r>
              <w:rPr>
                <w:rFonts w:hint="eastAsia" w:ascii="宋体" w:hAnsi="宋体" w:eastAsia="宋体" w:cs="宋体"/>
                <w:color w:val="auto"/>
                <w:spacing w:val="-31"/>
                <w:sz w:val="24"/>
                <w:szCs w:val="24"/>
                <w:highlight w:val="none"/>
              </w:rPr>
              <w:t xml:space="preserve"> </w:t>
            </w:r>
            <w:r>
              <w:rPr>
                <w:rFonts w:hint="eastAsia" w:ascii="宋体" w:hAnsi="宋体" w:eastAsia="宋体" w:cs="宋体"/>
                <w:color w:val="auto"/>
                <w:spacing w:val="-6"/>
                <w:sz w:val="24"/>
                <w:szCs w:val="24"/>
                <w:highlight w:val="none"/>
              </w:rPr>
              <w:t xml:space="preserve">3 日内完成、准确、详实、规范</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5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0.5</w:t>
            </w:r>
            <w:r/>
          </w:p>
        </w:tc>
        <w:tc>
          <w:tcPr>
            <w:tcW w:w="587" w:type="dxa"/>
            <w:vAlign w:val="top"/>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750" w:type="dxa"/>
            <w:vAlign w:val="top"/>
            <w:vMerge w:val="continue"/>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54"/>
        </w:trPr>
        <w:tc>
          <w:tcPr>
            <w:tcW w:w="629" w:type="dxa"/>
            <w:vAlign w:val="top"/>
            <w:vMerge w:val="continue"/>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50" w:type="dxa"/>
            <w:vAlign w:val="top"/>
            <w:vMerge w:val="continue"/>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00" w:type="dxa"/>
            <w:vAlign w:val="top"/>
            <w:textDirection w:val="lrTb"/>
            <w:noWrap w:val="false"/>
          </w:tcPr>
          <w:p>
            <w:pPr>
              <w:pStyle w:val="1205"/>
              <w:ind w:left="0" w:right="0"/>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纸质及电子发掘记录（表</w:t>
            </w:r>
            <w:r>
              <w:rPr>
                <w:rFonts w:hint="eastAsia" w:ascii="宋体" w:hAnsi="宋体" w:eastAsia="宋体" w:cs="宋体"/>
                <w:color w:val="auto"/>
                <w:spacing w:val="14"/>
                <w:sz w:val="24"/>
                <w:szCs w:val="24"/>
                <w:highlight w:val="none"/>
              </w:rPr>
              <w:t xml:space="preserve">）：</w:t>
            </w:r>
            <w:r>
              <w:rPr>
                <w:rFonts w:hint="eastAsia" w:ascii="宋体" w:hAnsi="宋体" w:eastAsia="宋体" w:cs="宋体"/>
                <w:color w:val="auto"/>
                <w:spacing w:val="-1"/>
                <w:sz w:val="24"/>
                <w:szCs w:val="24"/>
                <w:highlight w:val="none"/>
              </w:rPr>
              <w:t xml:space="preserve">发掘工作完成当日完成、准确、详实、规范</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5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0.5</w:t>
            </w:r>
            <w:r/>
          </w:p>
        </w:tc>
        <w:tc>
          <w:tcPr>
            <w:tcW w:w="587" w:type="dxa"/>
            <w:vAlign w:val="top"/>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750" w:type="dxa"/>
            <w:vAlign w:val="top"/>
            <w:vMerge w:val="continue"/>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54"/>
        </w:trPr>
        <w:tc>
          <w:tcPr>
            <w:tcW w:w="629" w:type="dxa"/>
            <w:vAlign w:val="top"/>
            <w:vMerge w:val="continue"/>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50" w:type="dxa"/>
            <w:vAlign w:val="top"/>
            <w:vMerge w:val="continue"/>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00" w:type="dxa"/>
            <w:vAlign w:val="top"/>
            <w:textDirection w:val="lrTb"/>
            <w:noWrap w:val="false"/>
          </w:tcPr>
          <w:p>
            <w:pPr>
              <w:pStyle w:val="1205"/>
              <w:ind w:left="0" w:right="0" w:hanging="3"/>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探方正投影照片：至少当日中午及下</w:t>
            </w:r>
            <w:r>
              <w:rPr>
                <w:rFonts w:hint="eastAsia" w:ascii="宋体" w:hAnsi="宋体" w:eastAsia="宋体" w:cs="宋体"/>
                <w:color w:val="auto"/>
                <w:spacing w:val="-5"/>
                <w:sz w:val="24"/>
                <w:szCs w:val="24"/>
                <w:highlight w:val="none"/>
              </w:rPr>
              <w:t xml:space="preserve">午完工后各拍摄</w:t>
            </w:r>
            <w:r>
              <w:rPr>
                <w:rFonts w:hint="eastAsia" w:ascii="宋体" w:hAnsi="宋体" w:eastAsia="宋体" w:cs="宋体"/>
                <w:color w:val="auto"/>
                <w:spacing w:val="-29"/>
                <w:sz w:val="24"/>
                <w:szCs w:val="24"/>
                <w:highlight w:val="none"/>
              </w:rPr>
              <w:t xml:space="preserve"> </w:t>
            </w:r>
            <w:r>
              <w:rPr>
                <w:rFonts w:hint="eastAsia" w:ascii="宋体" w:hAnsi="宋体" w:eastAsia="宋体" w:cs="宋体"/>
                <w:color w:val="auto"/>
                <w:spacing w:val="-5"/>
                <w:sz w:val="24"/>
                <w:szCs w:val="24"/>
                <w:highlight w:val="none"/>
              </w:rPr>
              <w:t xml:space="preserve">1</w:t>
            </w:r>
            <w:r>
              <w:rPr>
                <w:rFonts w:hint="eastAsia" w:ascii="宋体" w:hAnsi="宋体" w:eastAsia="宋体" w:cs="宋体"/>
                <w:color w:val="auto"/>
                <w:spacing w:val="-45"/>
                <w:sz w:val="24"/>
                <w:szCs w:val="24"/>
                <w:highlight w:val="none"/>
              </w:rPr>
              <w:t xml:space="preserve"> </w:t>
            </w:r>
            <w:r>
              <w:rPr>
                <w:rFonts w:hint="eastAsia" w:ascii="宋体" w:hAnsi="宋体" w:eastAsia="宋体" w:cs="宋体"/>
                <w:color w:val="auto"/>
                <w:spacing w:val="-5"/>
                <w:sz w:val="24"/>
                <w:szCs w:val="24"/>
                <w:highlight w:val="none"/>
              </w:rPr>
              <w:t xml:space="preserve">张</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1.5</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5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0.5</w:t>
            </w:r>
            <w:r/>
          </w:p>
        </w:tc>
        <w:tc>
          <w:tcPr>
            <w:tcW w:w="587" w:type="dxa"/>
            <w:vAlign w:val="top"/>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750" w:type="dxa"/>
            <w:vAlign w:val="top"/>
            <w:vMerge w:val="continue"/>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04"/>
        </w:trPr>
        <w:tc>
          <w:tcPr>
            <w:tcW w:w="629" w:type="dxa"/>
            <w:vAlign w:val="top"/>
            <w:vMerge w:val="continue"/>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50" w:type="dxa"/>
            <w:vAlign w:val="top"/>
            <w:vMerge w:val="continue"/>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00" w:type="dxa"/>
            <w:vAlign w:val="top"/>
            <w:textDirection w:val="lrTb"/>
            <w:noWrap w:val="false"/>
          </w:tcPr>
          <w:p>
            <w:pPr>
              <w:pStyle w:val="1205"/>
              <w:ind w:left="0" w:right="0"/>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遗迹登记表：发掘工作完成当日登记</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1.5</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5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0.5</w:t>
            </w:r>
            <w:r/>
          </w:p>
        </w:tc>
        <w:tc>
          <w:tcPr>
            <w:tcW w:w="587" w:type="dxa"/>
            <w:vAlign w:val="top"/>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750" w:type="dxa"/>
            <w:vAlign w:val="top"/>
            <w:vMerge w:val="continue"/>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6"/>
        </w:trPr>
        <w:tc>
          <w:tcPr>
            <w:tcBorders>
              <w:bottom w:val="none" w:color="000000" w:sz="4" w:space="0"/>
            </w:tcBorders>
            <w:tcW w:w="629" w:type="dxa"/>
            <w:vAlign w:val="top"/>
            <w:vMerge w:val="restart"/>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05"/>
              <w:ind w:left="0" w:right="0" w:firstLine="21"/>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7"/>
                <w:sz w:val="24"/>
                <w:szCs w:val="24"/>
                <w:highlight w:val="none"/>
              </w:rPr>
              <w:t xml:space="preserve">出土</w:t>
            </w:r>
            <w:r>
              <w:rPr>
                <w:rFonts w:hint="eastAsia" w:ascii="宋体" w:hAnsi="宋体" w:eastAsia="宋体" w:cs="宋体"/>
                <w:color w:val="auto"/>
                <w:spacing w:val="-6"/>
                <w:sz w:val="24"/>
                <w:szCs w:val="24"/>
                <w:highlight w:val="none"/>
              </w:rPr>
              <w:t xml:space="preserve">文物</w:t>
            </w:r>
            <w:r/>
          </w:p>
        </w:tc>
        <w:tc>
          <w:tcPr>
            <w:tcBorders>
              <w:bottom w:val="none" w:color="000000" w:sz="4" w:space="0"/>
            </w:tcBorders>
            <w:tcW w:w="450" w:type="dxa"/>
            <w:vAlign w:val="top"/>
            <w:vMerge w:val="restart"/>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10</w:t>
            </w:r>
            <w:r/>
          </w:p>
        </w:tc>
        <w:tc>
          <w:tcPr>
            <w:tcW w:w="4900" w:type="dxa"/>
            <w:vAlign w:val="top"/>
            <w:textDirection w:val="lrTb"/>
            <w:noWrap w:val="false"/>
          </w:tcPr>
          <w:p>
            <w:pPr>
              <w:pStyle w:val="1205"/>
              <w:ind w:left="0" w:right="0" w:firstLine="2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出土器物登记表：出土当日登记、器</w:t>
            </w:r>
            <w:r>
              <w:rPr>
                <w:rFonts w:hint="eastAsia" w:ascii="宋体" w:hAnsi="宋体" w:eastAsia="宋体" w:cs="宋体"/>
                <w:color w:val="auto"/>
                <w:spacing w:val="-4"/>
                <w:sz w:val="24"/>
                <w:szCs w:val="24"/>
                <w:highlight w:val="none"/>
              </w:rPr>
              <w:t xml:space="preserve">物入库</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5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0.5</w:t>
            </w:r>
            <w:r/>
          </w:p>
        </w:tc>
        <w:tc>
          <w:tcPr>
            <w:tcW w:w="587" w:type="dxa"/>
            <w:vAlign w:val="top"/>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750" w:type="dxa"/>
            <w:vAlign w:val="top"/>
            <w:vMerge w:val="restart"/>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71"/>
        </w:trPr>
        <w:tc>
          <w:tcPr>
            <w:tcBorders>
              <w:top w:val="none" w:color="000000" w:sz="4" w:space="0"/>
              <w:bottom w:val="none" w:color="000000" w:sz="4" w:space="0"/>
            </w:tcBorders>
            <w:tcW w:w="629" w:type="dxa"/>
            <w:vAlign w:val="top"/>
            <w:vMerge w:val="continue"/>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450" w:type="dxa"/>
            <w:vAlign w:val="top"/>
            <w:vMerge w:val="continue"/>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00" w:type="dxa"/>
            <w:vAlign w:val="top"/>
            <w:textDirection w:val="lrTb"/>
            <w:noWrap w:val="false"/>
          </w:tcPr>
          <w:p>
            <w:pPr>
              <w:pStyle w:val="1205"/>
              <w:ind w:left="0" w:right="0" w:firstLine="14"/>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出土文物正视照片：每件器物至少</w:t>
            </w:r>
            <w:r>
              <w:rPr>
                <w:rFonts w:hint="eastAsia" w:ascii="宋体" w:hAnsi="宋体" w:eastAsia="宋体" w:cs="宋体"/>
                <w:color w:val="auto"/>
                <w:spacing w:val="-21"/>
                <w:sz w:val="24"/>
                <w:szCs w:val="24"/>
                <w:highlight w:val="none"/>
              </w:rPr>
              <w:t xml:space="preserve"> </w:t>
            </w:r>
            <w:r>
              <w:rPr>
                <w:rFonts w:hint="eastAsia" w:ascii="宋体" w:hAnsi="宋体" w:eastAsia="宋体" w:cs="宋体"/>
                <w:color w:val="auto"/>
                <w:spacing w:val="1"/>
                <w:sz w:val="24"/>
                <w:szCs w:val="24"/>
                <w:highlight w:val="none"/>
              </w:rPr>
              <w:t xml:space="preserve">1</w:t>
            </w:r>
            <w:r>
              <w:rPr>
                <w:rFonts w:hint="eastAsia" w:ascii="宋体" w:hAnsi="宋体" w:eastAsia="宋体" w:cs="宋体"/>
                <w:color w:val="auto"/>
                <w:sz w:val="24"/>
                <w:szCs w:val="24"/>
                <w:highlight w:val="none"/>
              </w:rPr>
              <w:t xml:space="preserve">张</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5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0.5</w:t>
            </w:r>
            <w:r/>
          </w:p>
        </w:tc>
        <w:tc>
          <w:tcPr>
            <w:tcW w:w="587" w:type="dxa"/>
            <w:vAlign w:val="top"/>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750" w:type="dxa"/>
            <w:vAlign w:val="top"/>
            <w:vMerge w:val="continue"/>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54"/>
        </w:trPr>
        <w:tc>
          <w:tcPr>
            <w:tcBorders>
              <w:top w:val="none" w:color="000000" w:sz="4" w:space="0"/>
            </w:tcBorders>
            <w:tcW w:w="629" w:type="dxa"/>
            <w:vAlign w:val="top"/>
            <w:vMerge w:val="continue"/>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450" w:type="dxa"/>
            <w:vAlign w:val="top"/>
            <w:vMerge w:val="continue"/>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00" w:type="dxa"/>
            <w:vAlign w:val="top"/>
            <w:textDirection w:val="lrTb"/>
            <w:noWrap w:val="false"/>
          </w:tcPr>
          <w:p>
            <w:pPr>
              <w:pStyle w:val="1205"/>
              <w:ind w:left="0" w:right="0" w:firstLine="2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出土文物、标本：小件器身上须写器物编号、标签清晰准确</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5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87" w:type="dxa"/>
            <w:vAlign w:val="top"/>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750" w:type="dxa"/>
            <w:vAlign w:val="top"/>
            <w:vMerge w:val="continue"/>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54"/>
        </w:trPr>
        <w:tc>
          <w:tcPr>
            <w:tcW w:w="629" w:type="dxa"/>
            <w:vAlign w:val="top"/>
            <w:textDirection w:val="lrTb"/>
            <w:noWrap w:val="false"/>
          </w:tcPr>
          <w:p>
            <w:pPr>
              <w:pStyle w:val="1205"/>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月度</w:t>
            </w:r>
            <w:r/>
          </w:p>
          <w:p>
            <w:pPr>
              <w:pStyle w:val="1205"/>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汇总</w:t>
            </w:r>
            <w:r/>
          </w:p>
        </w:tc>
        <w:tc>
          <w:tcPr>
            <w:tcW w:w="450" w:type="dxa"/>
            <w:vAlign w:val="top"/>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10</w:t>
            </w:r>
            <w:r/>
          </w:p>
        </w:tc>
        <w:tc>
          <w:tcPr>
            <w:tcW w:w="4900" w:type="dxa"/>
            <w:vAlign w:val="top"/>
            <w:textDirection w:val="lrTb"/>
            <w:noWrap w:val="false"/>
          </w:tcPr>
          <w:p>
            <w:pPr>
              <w:pStyle w:val="1205"/>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月度材料及时汇总并移交</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10</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w:t>
            </w:r>
            <w:r/>
          </w:p>
        </w:tc>
        <w:tc>
          <w:tcPr>
            <w:tcW w:w="55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w:t>
            </w:r>
            <w:r/>
          </w:p>
        </w:tc>
        <w:tc>
          <w:tcPr>
            <w:tcW w:w="587" w:type="dxa"/>
            <w:vAlign w:val="top"/>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0" w:type="dxa"/>
            <w:vAlign w:val="top"/>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54"/>
        </w:trPr>
        <w:tc>
          <w:tcPr>
            <w:gridSpan w:val="2"/>
            <w:tcW w:w="1079" w:type="dxa"/>
            <w:vAlign w:val="top"/>
            <w:textDirection w:val="lrTb"/>
            <w:noWrap w:val="false"/>
          </w:tcPr>
          <w:p>
            <w:pPr>
              <w:pStyle w:val="1205"/>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总分</w:t>
            </w:r>
            <w:r/>
          </w:p>
        </w:tc>
        <w:tc>
          <w:tcPr>
            <w:gridSpan w:val="7"/>
            <w:tcW w:w="8342" w:type="dxa"/>
            <w:vAlign w:val="top"/>
            <w:textDirection w:val="lrTb"/>
            <w:noWrap w:val="false"/>
          </w:tcPr>
          <w:p>
            <w:pPr>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54"/>
        </w:trPr>
        <w:tc>
          <w:tcPr>
            <w:gridSpan w:val="9"/>
            <w:tcW w:w="9421" w:type="dxa"/>
            <w:vAlign w:val="top"/>
            <w:textDirection w:val="lrTb"/>
            <w:noWrap w:val="false"/>
          </w:tcPr>
          <w:p>
            <w:pPr>
              <w:pStyle w:val="1205"/>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甲方签字：                               </w:t>
            </w:r>
            <w:r>
              <w:rPr>
                <w:rFonts w:hint="eastAsia" w:ascii="宋体" w:hAnsi="宋体" w:eastAsia="宋体" w:cs="宋体"/>
                <w:color w:val="auto"/>
                <w:spacing w:val="-5"/>
                <w:sz w:val="24"/>
                <w:szCs w:val="24"/>
                <w:highlight w:val="none"/>
              </w:rPr>
              <w:t xml:space="preserve">    乙方签字：</w:t>
            </w:r>
            <w:r/>
          </w:p>
        </w:tc>
      </w:tr>
      <w:tr>
        <w:trPr>
          <w:trHeight w:val="454"/>
        </w:trPr>
        <w:tc>
          <w:tcPr>
            <w:gridSpan w:val="9"/>
            <w:tcW w:w="9421" w:type="dxa"/>
            <w:vAlign w:val="top"/>
            <w:textDirection w:val="lrTb"/>
            <w:noWrap w:val="false"/>
          </w:tcPr>
          <w:p>
            <w:pPr>
              <w:pStyle w:val="1205"/>
              <w:ind w:left="0" w:righ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考核日期：      年</w:t>
            </w:r>
            <w:r>
              <w:rPr>
                <w:rFonts w:hint="eastAsia" w:ascii="宋体" w:hAnsi="宋体" w:eastAsia="宋体" w:cs="宋体"/>
                <w:color w:val="auto"/>
                <w:spacing w:val="4"/>
                <w:sz w:val="24"/>
                <w:szCs w:val="24"/>
                <w:highlight w:val="none"/>
              </w:rPr>
              <w:t xml:space="preserve">    </w:t>
            </w:r>
            <w:r>
              <w:rPr>
                <w:rFonts w:hint="eastAsia" w:ascii="宋体" w:hAnsi="宋体" w:eastAsia="宋体" w:cs="宋体"/>
                <w:color w:val="auto"/>
                <w:spacing w:val="-2"/>
                <w:sz w:val="24"/>
                <w:szCs w:val="24"/>
                <w:highlight w:val="none"/>
              </w:rPr>
              <w:t xml:space="preserve">月</w:t>
            </w:r>
            <w:r>
              <w:rPr>
                <w:rFonts w:hint="eastAsia" w:ascii="宋体" w:hAnsi="宋体" w:eastAsia="宋体" w:cs="宋体"/>
                <w:color w:val="auto"/>
                <w:spacing w:val="14"/>
                <w:sz w:val="24"/>
                <w:szCs w:val="24"/>
                <w:highlight w:val="none"/>
              </w:rPr>
              <w:t xml:space="preserve">    </w:t>
            </w:r>
            <w:r>
              <w:rPr>
                <w:rFonts w:hint="eastAsia" w:ascii="宋体" w:hAnsi="宋体" w:eastAsia="宋体" w:cs="宋体"/>
                <w:color w:val="auto"/>
                <w:spacing w:val="-2"/>
                <w:sz w:val="24"/>
                <w:szCs w:val="24"/>
                <w:highlight w:val="none"/>
              </w:rPr>
              <w:t xml:space="preserve">日</w:t>
            </w:r>
            <w:r/>
          </w:p>
        </w:tc>
      </w:tr>
      <w:tr>
        <w:trPr>
          <w:trHeight w:val="454"/>
        </w:trPr>
        <w:tc>
          <w:tcPr>
            <w:gridSpan w:val="9"/>
            <w:tcW w:w="9421" w:type="dxa"/>
            <w:vAlign w:val="top"/>
            <w:textDirection w:val="lrTb"/>
            <w:noWrap w:val="false"/>
          </w:tcPr>
          <w:p>
            <w:pPr>
              <w:pStyle w:val="1205"/>
              <w:numPr>
                <w:ilvl w:val="0"/>
                <w:numId w:val="0"/>
              </w:numPr>
              <w:ind w:left="0" w:right="0" w:firstLine="19"/>
              <w:jc w:val="both"/>
              <w:keepLines w:val="0"/>
              <w:keepNext w:val="0"/>
              <w:pageBreakBefore w:val="0"/>
              <w:spacing w:after="0" w:line="240" w:lineRule="auto"/>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lang w:val="en-US" w:eastAsia="en-US" w:bidi="ar-SA"/>
              </w:rPr>
              <w:t xml:space="preserve">1、</w:t>
            </w:r>
            <w:r>
              <w:rPr>
                <w:rFonts w:hint="eastAsia" w:ascii="宋体" w:hAnsi="宋体" w:eastAsia="宋体" w:cs="宋体"/>
                <w:color w:val="auto"/>
                <w:spacing w:val="-2"/>
                <w:sz w:val="24"/>
                <w:szCs w:val="24"/>
                <w:highlight w:val="none"/>
              </w:rPr>
              <w:t xml:space="preserve">甲方对乙方提供的考古发掘项目服务保障，按项目每月考核</w:t>
            </w:r>
            <w:r>
              <w:rPr>
                <w:rFonts w:hint="eastAsia" w:ascii="宋体" w:hAnsi="宋体" w:eastAsia="宋体" w:cs="宋体"/>
                <w:color w:val="auto"/>
                <w:spacing w:val="-39"/>
                <w:sz w:val="24"/>
                <w:szCs w:val="24"/>
                <w:highlight w:val="none"/>
              </w:rPr>
              <w:t xml:space="preserve"> </w:t>
            </w:r>
            <w:r>
              <w:rPr>
                <w:rFonts w:hint="eastAsia" w:ascii="宋体" w:hAnsi="宋体" w:eastAsia="宋体" w:cs="宋体"/>
                <w:color w:val="auto"/>
                <w:spacing w:val="-2"/>
                <w:sz w:val="24"/>
                <w:szCs w:val="24"/>
                <w:highlight w:val="none"/>
              </w:rPr>
              <w:t xml:space="preserve">1</w:t>
            </w:r>
            <w:r>
              <w:rPr>
                <w:rFonts w:hint="eastAsia" w:ascii="宋体" w:hAnsi="宋体" w:eastAsia="宋体" w:cs="宋体"/>
                <w:color w:val="auto"/>
                <w:spacing w:val="-50"/>
                <w:sz w:val="24"/>
                <w:szCs w:val="24"/>
                <w:highlight w:val="none"/>
              </w:rPr>
              <w:t xml:space="preserve"> </w:t>
            </w:r>
            <w:r>
              <w:rPr>
                <w:rFonts w:hint="eastAsia" w:ascii="宋体" w:hAnsi="宋体" w:eastAsia="宋体" w:cs="宋体"/>
                <w:color w:val="auto"/>
                <w:spacing w:val="-2"/>
                <w:sz w:val="24"/>
                <w:szCs w:val="24"/>
                <w:highlight w:val="none"/>
              </w:rPr>
              <w:t xml:space="preserve">次（</w:t>
            </w:r>
            <w:r>
              <w:rPr>
                <w:rFonts w:hint="eastAsia" w:ascii="宋体" w:hAnsi="宋体" w:eastAsia="宋体" w:cs="宋体"/>
                <w:color w:val="auto"/>
                <w:spacing w:val="-3"/>
                <w:sz w:val="24"/>
                <w:szCs w:val="24"/>
                <w:highlight w:val="none"/>
              </w:rPr>
              <w:t xml:space="preserve">项目历时</w:t>
            </w:r>
            <w:r>
              <w:rPr>
                <w:rFonts w:hint="eastAsia" w:ascii="宋体" w:hAnsi="宋体" w:eastAsia="宋体" w:cs="宋体"/>
                <w:color w:val="auto"/>
                <w:spacing w:val="-2"/>
                <w:sz w:val="24"/>
                <w:szCs w:val="24"/>
                <w:highlight w:val="none"/>
              </w:rPr>
              <w:t xml:space="preserve">不足</w:t>
            </w:r>
            <w:r>
              <w:rPr>
                <w:rFonts w:hint="eastAsia" w:ascii="宋体" w:hAnsi="宋体" w:eastAsia="宋体" w:cs="宋体"/>
                <w:color w:val="auto"/>
                <w:spacing w:val="-58"/>
                <w:sz w:val="24"/>
                <w:szCs w:val="24"/>
                <w:highlight w:val="none"/>
              </w:rPr>
              <w:t xml:space="preserve"> </w:t>
            </w:r>
            <w:r>
              <w:rPr>
                <w:rFonts w:hint="eastAsia" w:ascii="宋体" w:hAnsi="宋体" w:eastAsia="宋体" w:cs="宋体"/>
                <w:color w:val="auto"/>
                <w:spacing w:val="-2"/>
                <w:sz w:val="24"/>
                <w:szCs w:val="24"/>
                <w:highlight w:val="none"/>
              </w:rPr>
              <w:t xml:space="preserve">1</w:t>
            </w:r>
            <w:r>
              <w:rPr>
                <w:rFonts w:hint="eastAsia" w:ascii="宋体" w:hAnsi="宋体" w:eastAsia="宋体" w:cs="宋体"/>
                <w:color w:val="auto"/>
                <w:spacing w:val="-80"/>
                <w:sz w:val="24"/>
                <w:szCs w:val="24"/>
                <w:highlight w:val="none"/>
              </w:rPr>
              <w:t xml:space="preserve"> </w:t>
            </w:r>
            <w:r>
              <w:rPr>
                <w:rFonts w:hint="eastAsia" w:ascii="宋体" w:hAnsi="宋体" w:eastAsia="宋体" w:cs="宋体"/>
                <w:color w:val="auto"/>
                <w:spacing w:val="-2"/>
                <w:sz w:val="24"/>
                <w:szCs w:val="24"/>
                <w:highlight w:val="none"/>
              </w:rPr>
              <w:t xml:space="preserve">个月的，结束时考核）。</w:t>
            </w:r>
            <w:r/>
          </w:p>
          <w:p>
            <w:pPr>
              <w:pStyle w:val="1205"/>
              <w:numPr>
                <w:ilvl w:val="0"/>
                <w:numId w:val="0"/>
              </w:numPr>
              <w:ind w:left="0" w:right="0" w:firstLine="19"/>
              <w:jc w:val="both"/>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2、</w:t>
            </w:r>
            <w:r>
              <w:rPr>
                <w:rFonts w:hint="eastAsia" w:ascii="宋体" w:hAnsi="宋体" w:eastAsia="宋体" w:cs="宋体"/>
                <w:color w:val="auto"/>
                <w:spacing w:val="-2"/>
                <w:sz w:val="24"/>
                <w:szCs w:val="24"/>
                <w:highlight w:val="none"/>
              </w:rPr>
              <w:t xml:space="preserve">得分＜60</w:t>
            </w:r>
            <w:r>
              <w:rPr>
                <w:rFonts w:hint="eastAsia" w:ascii="宋体" w:hAnsi="宋体" w:eastAsia="宋体" w:cs="宋体"/>
                <w:color w:val="auto"/>
                <w:spacing w:val="-76"/>
                <w:sz w:val="24"/>
                <w:szCs w:val="24"/>
                <w:highlight w:val="none"/>
              </w:rPr>
              <w:t xml:space="preserve"> </w:t>
            </w:r>
            <w:r>
              <w:rPr>
                <w:rFonts w:hint="eastAsia" w:ascii="宋体" w:hAnsi="宋体" w:eastAsia="宋体" w:cs="宋体"/>
                <w:color w:val="auto"/>
                <w:spacing w:val="-2"/>
                <w:sz w:val="24"/>
                <w:szCs w:val="24"/>
                <w:highlight w:val="none"/>
              </w:rPr>
              <w:t xml:space="preserve">分为不合格，立即停工整改。整改</w:t>
            </w:r>
            <w:r>
              <w:rPr>
                <w:rFonts w:hint="eastAsia" w:ascii="宋体" w:hAnsi="宋体" w:eastAsia="宋体" w:cs="宋体"/>
                <w:color w:val="auto"/>
                <w:spacing w:val="11"/>
                <w:sz w:val="24"/>
                <w:szCs w:val="24"/>
                <w:highlight w:val="none"/>
              </w:rPr>
              <w:t xml:space="preserve">到位后，经项目负责人确认，本月按</w:t>
            </w:r>
            <w:r>
              <w:rPr>
                <w:rFonts w:hint="eastAsia" w:ascii="宋体" w:hAnsi="宋体" w:eastAsia="宋体" w:cs="宋体"/>
                <w:color w:val="auto"/>
                <w:spacing w:val="-45"/>
                <w:sz w:val="24"/>
                <w:szCs w:val="24"/>
                <w:highlight w:val="none"/>
              </w:rPr>
              <w:t xml:space="preserve"> </w:t>
            </w:r>
            <w:r>
              <w:rPr>
                <w:rFonts w:hint="eastAsia" w:ascii="宋体" w:hAnsi="宋体" w:eastAsia="宋体" w:cs="宋体"/>
                <w:color w:val="auto"/>
                <w:spacing w:val="11"/>
                <w:sz w:val="24"/>
                <w:szCs w:val="24"/>
                <w:highlight w:val="none"/>
              </w:rPr>
              <w:t xml:space="preserve">60</w:t>
            </w:r>
            <w:r>
              <w:rPr>
                <w:rFonts w:hint="eastAsia" w:ascii="宋体" w:hAnsi="宋体" w:eastAsia="宋体" w:cs="宋体"/>
                <w:color w:val="auto"/>
                <w:spacing w:val="-46"/>
                <w:sz w:val="24"/>
                <w:szCs w:val="24"/>
                <w:highlight w:val="none"/>
              </w:rPr>
              <w:t xml:space="preserve"> </w:t>
            </w:r>
            <w:r>
              <w:rPr>
                <w:rFonts w:hint="eastAsia" w:ascii="宋体" w:hAnsi="宋体" w:eastAsia="宋体" w:cs="宋体"/>
                <w:color w:val="auto"/>
                <w:spacing w:val="11"/>
                <w:sz w:val="24"/>
                <w:szCs w:val="24"/>
                <w:highlight w:val="none"/>
              </w:rPr>
              <w:t xml:space="preserve">分计算。</w:t>
            </w:r>
            <w:r/>
          </w:p>
          <w:p>
            <w:pPr>
              <w:pStyle w:val="1205"/>
              <w:numPr>
                <w:ilvl w:val="0"/>
                <w:numId w:val="0"/>
              </w:numPr>
              <w:ind w:left="0" w:right="0" w:firstLine="19"/>
              <w:jc w:val="both"/>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3、</w:t>
            </w:r>
            <w:r>
              <w:rPr>
                <w:rFonts w:hint="eastAsia" w:ascii="宋体" w:hAnsi="宋体" w:eastAsia="宋体" w:cs="宋体"/>
                <w:color w:val="auto"/>
                <w:spacing w:val="11"/>
                <w:sz w:val="24"/>
                <w:szCs w:val="24"/>
                <w:highlight w:val="none"/>
              </w:rPr>
              <w:t xml:space="preserve">各次考</w:t>
            </w:r>
            <w:r>
              <w:rPr>
                <w:rFonts w:hint="eastAsia" w:ascii="宋体" w:hAnsi="宋体" w:eastAsia="宋体" w:cs="宋体"/>
                <w:color w:val="auto"/>
                <w:spacing w:val="10"/>
                <w:sz w:val="24"/>
                <w:szCs w:val="24"/>
                <w:highlight w:val="none"/>
              </w:rPr>
              <w:t xml:space="preserve">核得分经加权平</w:t>
            </w:r>
            <w:r>
              <w:rPr>
                <w:rFonts w:hint="eastAsia" w:ascii="宋体" w:hAnsi="宋体" w:eastAsia="宋体" w:cs="宋体"/>
                <w:color w:val="auto"/>
                <w:spacing w:val="-2"/>
                <w:sz w:val="24"/>
                <w:szCs w:val="24"/>
                <w:highlight w:val="none"/>
              </w:rPr>
              <w:t xml:space="preserve">均，乘以</w:t>
            </w:r>
            <w:r>
              <w:rPr>
                <w:rFonts w:hint="eastAsia" w:ascii="宋体" w:hAnsi="宋体" w:eastAsia="宋体" w:cs="宋体"/>
                <w:color w:val="auto"/>
                <w:spacing w:val="-55"/>
                <w:sz w:val="24"/>
                <w:szCs w:val="24"/>
                <w:highlight w:val="none"/>
              </w:rPr>
              <w:t xml:space="preserve"> </w:t>
            </w:r>
            <w:r>
              <w:rPr>
                <w:rFonts w:hint="eastAsia" w:ascii="宋体" w:hAnsi="宋体" w:eastAsia="宋体" w:cs="宋体"/>
                <w:color w:val="auto"/>
                <w:spacing w:val="-2"/>
                <w:sz w:val="24"/>
                <w:szCs w:val="24"/>
                <w:highlight w:val="none"/>
              </w:rPr>
              <w:t xml:space="preserve">60%计入总汇总表。</w:t>
            </w:r>
            <w:r/>
          </w:p>
        </w:tc>
      </w:tr>
    </w:tbl>
    <w:p>
      <w:pPr>
        <w:ind w:left="292"/>
        <w:spacing w:before="139" w:line="220" w:lineRule="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r>
      <w:r/>
    </w:p>
    <w:p>
      <w:pPr>
        <w:ind w:left="292"/>
        <w:spacing w:before="139" w:line="220" w:lineRule="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r>
      <w:r/>
    </w:p>
    <w:p>
      <w:pPr>
        <w:ind w:left="292"/>
        <w:spacing w:before="139" w:line="220" w:lineRule="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r>
      <w:r/>
    </w:p>
    <w:p>
      <w:pPr>
        <w:ind w:left="292"/>
        <w:spacing w:before="139" w:line="220" w:lineRule="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r>
      <w:r/>
    </w:p>
    <w:p>
      <w:pPr>
        <w:ind w:left="292"/>
        <w:spacing w:before="139" w:line="220" w:lineRule="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r>
      <w:r/>
    </w:p>
    <w:p>
      <w:pPr>
        <w:ind w:left="292"/>
        <w:spacing w:before="139" w:line="220" w:lineRule="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r>
      <w:r/>
    </w:p>
    <w:p>
      <w:pPr>
        <w:ind w:left="292"/>
        <w:spacing w:before="139" w:line="220" w:lineRule="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r>
      <w:r/>
    </w:p>
    <w:p>
      <w:pPr>
        <w:ind w:left="292"/>
        <w:spacing w:before="139" w:line="220" w:lineRule="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r>
      <w:r/>
    </w:p>
    <w:p>
      <w:pPr>
        <w:ind w:left="292"/>
        <w:spacing w:before="139" w:line="220" w:lineRule="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r>
      <w:r/>
    </w:p>
    <w:p>
      <w:pPr>
        <w:ind w:left="292"/>
        <w:spacing w:before="139" w:line="220" w:lineRule="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r>
      <w:r/>
    </w:p>
    <w:p>
      <w:pPr>
        <w:ind w:left="292"/>
        <w:spacing w:before="139" w:line="220" w:lineRule="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r>
      <w:r/>
    </w:p>
    <w:p>
      <w:pPr>
        <w:ind w:left="292"/>
        <w:spacing w:before="139" w:line="220" w:lineRule="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r>
      <w:r/>
    </w:p>
    <w:p>
      <w:pPr>
        <w:ind w:left="292"/>
        <w:spacing w:before="139" w:line="220" w:lineRule="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r>
      <w:r/>
    </w:p>
    <w:p>
      <w:pPr>
        <w:ind w:left="292"/>
        <w:spacing w:before="139" w:line="220" w:lineRule="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r>
      <w:r/>
    </w:p>
    <w:p>
      <w:pPr>
        <w:ind w:left="292"/>
        <w:spacing w:before="139" w:line="220" w:lineRule="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r>
      <w:r/>
    </w:p>
    <w:p>
      <w:pPr>
        <w:ind w:left="292"/>
        <w:spacing w:before="139" w:line="220" w:lineRule="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r>
      <w:r/>
    </w:p>
    <w:p>
      <w:pPr>
        <w:ind w:left="292"/>
        <w:spacing w:before="139" w:line="220" w:lineRule="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r>
      <w:r/>
    </w:p>
    <w:p>
      <w:pPr>
        <w:ind w:left="292"/>
        <w:spacing w:before="139" w:line="220" w:lineRule="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r>
      <w:r/>
    </w:p>
    <w:p>
      <w:pPr>
        <w:ind w:left="292"/>
        <w:spacing w:before="139" w:line="220" w:lineRule="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r>
      <w:r/>
    </w:p>
    <w:p>
      <w:pPr>
        <w:ind w:left="292"/>
        <w:spacing w:before="139" w:line="220" w:lineRule="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r>
      <w:r/>
    </w:p>
    <w:p>
      <w:pPr>
        <w:ind w:left="292"/>
        <w:spacing w:before="139" w:line="220" w:lineRule="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r>
      <w:r/>
    </w:p>
    <w:p>
      <w:pPr>
        <w:ind w:left="292"/>
        <w:spacing w:before="139" w:line="220" w:lineRule="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r>
      <w:r/>
    </w:p>
    <w:p>
      <w:pPr>
        <w:spacing w:before="139" w:line="220" w:lineRule="auto"/>
        <w:rPr>
          <w:rFonts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zh-CN"/>
        </w:rPr>
        <w:t xml:space="preserve">2、</w:t>
      </w:r>
      <w:r>
        <w:rPr>
          <w:rFonts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u w:val="single"/>
          <w:lang w:val="en-US" w:eastAsia="zh-CN"/>
        </w:rPr>
        <w:t xml:space="preserve">         </w:t>
      </w:r>
      <w:r>
        <w:rPr>
          <w:rFonts w:ascii="宋体" w:hAnsi="宋体" w:eastAsia="宋体" w:cs="宋体"/>
          <w:color w:val="auto"/>
          <w:spacing w:val="-2"/>
          <w:sz w:val="24"/>
          <w:szCs w:val="24"/>
          <w:highlight w:val="none"/>
        </w:rPr>
        <w:t xml:space="preserve">基建考古发掘项目服务预验收考核表》</w:t>
      </w:r>
      <w:r/>
    </w:p>
    <w:tbl>
      <w:tblPr>
        <w:tblStyle w:val="1206"/>
        <w:tblW w:w="971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70"/>
        <w:gridCol w:w="550"/>
        <w:gridCol w:w="5069"/>
        <w:gridCol w:w="550"/>
        <w:gridCol w:w="525"/>
        <w:gridCol w:w="500"/>
        <w:gridCol w:w="625"/>
        <w:gridCol w:w="574"/>
        <w:gridCol w:w="651"/>
      </w:tblGrid>
      <w:tr>
        <w:trPr>
          <w:trHeight w:val="420"/>
        </w:trPr>
        <w:tc>
          <w:tcPr>
            <w:gridSpan w:val="9"/>
            <w:tcW w:w="9714" w:type="dxa"/>
            <w:vAlign w:val="center"/>
            <w:textDirection w:val="lrTb"/>
            <w:noWrap w:val="false"/>
          </w:tcPr>
          <w:p>
            <w:pPr>
              <w:pStyle w:val="1205"/>
              <w:ind w:left="0" w:right="0"/>
              <w:jc w:val="both"/>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被考核单位：</w:t>
            </w:r>
            <w:r/>
          </w:p>
        </w:tc>
      </w:tr>
      <w:tr>
        <w:trPr>
          <w:trHeight w:val="420"/>
        </w:trPr>
        <w:tc>
          <w:tcPr>
            <w:tcBorders>
              <w:bottom w:val="none" w:color="000000" w:sz="4" w:space="0"/>
            </w:tcBorders>
            <w:tcW w:w="670" w:type="dxa"/>
            <w:vAlign w:val="center"/>
            <w:vMerge w:val="restart"/>
            <w:textDirection w:val="lrTb"/>
            <w:noWrap w:val="false"/>
          </w:tcPr>
          <w:p>
            <w:pPr>
              <w:pStyle w:val="1205"/>
              <w:ind w:left="0" w:right="0" w:hanging="4"/>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考核</w:t>
            </w:r>
            <w:r>
              <w:rPr>
                <w:rFonts w:hint="eastAsia" w:ascii="宋体" w:hAnsi="宋体" w:eastAsia="宋体" w:cs="宋体"/>
                <w:color w:val="auto"/>
                <w:spacing w:val="-7"/>
                <w:sz w:val="24"/>
                <w:szCs w:val="24"/>
                <w:highlight w:val="none"/>
              </w:rPr>
              <w:t xml:space="preserve">项目</w:t>
            </w:r>
            <w:r/>
          </w:p>
        </w:tc>
        <w:tc>
          <w:tcPr>
            <w:tcBorders>
              <w:bottom w:val="none" w:color="000000" w:sz="4" w:space="0"/>
            </w:tcBorders>
            <w:tcW w:w="550" w:type="dxa"/>
            <w:vAlign w:val="center"/>
            <w:vMerge w:val="restart"/>
            <w:textDirection w:val="tbRlV"/>
            <w:noWrap w:val="false"/>
          </w:tcPr>
          <w:p>
            <w:pPr>
              <w:pStyle w:val="1205"/>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 值</w:t>
            </w:r>
            <w:r/>
          </w:p>
        </w:tc>
        <w:tc>
          <w:tcPr>
            <w:tcBorders>
              <w:bottom w:val="none" w:color="000000" w:sz="4" w:space="0"/>
            </w:tcBorders>
            <w:tcW w:w="5069" w:type="dxa"/>
            <w:vAlign w:val="center"/>
            <w:vMerge w:val="restart"/>
            <w:textDirection w:val="lrTb"/>
            <w:noWrap w:val="false"/>
          </w:tcPr>
          <w:p>
            <w:pPr>
              <w:pStyle w:val="1205"/>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考核内容</w:t>
            </w:r>
            <w:r/>
          </w:p>
        </w:tc>
        <w:tc>
          <w:tcPr>
            <w:gridSpan w:val="4"/>
            <w:tcW w:w="2200" w:type="dxa"/>
            <w:vAlign w:val="center"/>
            <w:textDirection w:val="lrTb"/>
            <w:noWrap w:val="false"/>
          </w:tcPr>
          <w:p>
            <w:pPr>
              <w:pStyle w:val="1205"/>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评价与分值</w:t>
            </w:r>
            <w:r/>
          </w:p>
        </w:tc>
        <w:tc>
          <w:tcPr>
            <w:gridSpan w:val="2"/>
            <w:tcBorders>
              <w:bottom w:val="none" w:color="000000" w:sz="4" w:space="0"/>
            </w:tcBorders>
            <w:tcW w:w="1225" w:type="dxa"/>
            <w:vAlign w:val="center"/>
            <w:vMerge w:val="restart"/>
            <w:textDirection w:val="lrTb"/>
            <w:noWrap w:val="false"/>
          </w:tcPr>
          <w:p>
            <w:pPr>
              <w:pStyle w:val="1205"/>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得分</w:t>
            </w:r>
            <w:r/>
          </w:p>
        </w:tc>
      </w:tr>
      <w:tr>
        <w:trPr>
          <w:trHeight w:val="420"/>
        </w:trPr>
        <w:tc>
          <w:tcPr>
            <w:tcBorders>
              <w:top w:val="none" w:color="000000" w:sz="4" w:space="0"/>
            </w:tcBorders>
            <w:tcW w:w="670"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550" w:type="dxa"/>
            <w:vAlign w:val="center"/>
            <w:vMerge w:val="continue"/>
            <w:textDirection w:val="tbRlV"/>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5069"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w:t>
            </w:r>
            <w:r/>
          </w:p>
        </w:tc>
        <w:tc>
          <w:tcPr>
            <w:tcW w:w="6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w:t>
            </w:r>
            <w:r/>
          </w:p>
        </w:tc>
        <w:tc>
          <w:tcPr>
            <w:gridSpan w:val="2"/>
            <w:tcBorders>
              <w:top w:val="none" w:color="000000" w:sz="4" w:space="0"/>
            </w:tcBorders>
            <w:tcW w:w="1225"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0"/>
        </w:trPr>
        <w:tc>
          <w:tcPr>
            <w:tcBorders>
              <w:bottom w:val="none" w:color="000000" w:sz="4" w:space="0"/>
            </w:tcBorders>
            <w:tcW w:w="670" w:type="dxa"/>
            <w:vAlign w:val="center"/>
            <w:vMerge w:val="restart"/>
            <w:textDirection w:val="lrTb"/>
            <w:noWrap w:val="false"/>
          </w:tcPr>
          <w:p>
            <w:pPr>
              <w:pStyle w:val="1205"/>
              <w:ind w:left="0" w:right="0" w:hanging="3"/>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组织</w:t>
            </w:r>
            <w:r>
              <w:rPr>
                <w:rFonts w:hint="eastAsia" w:ascii="宋体" w:hAnsi="宋体" w:eastAsia="宋体" w:cs="宋体"/>
                <w:color w:val="auto"/>
                <w:spacing w:val="-8"/>
                <w:sz w:val="24"/>
                <w:szCs w:val="24"/>
                <w:highlight w:val="none"/>
              </w:rPr>
              <w:t xml:space="preserve">管理</w:t>
            </w:r>
            <w:r/>
          </w:p>
        </w:tc>
        <w:tc>
          <w:tcPr>
            <w:tcBorders>
              <w:bottom w:val="none" w:color="000000" w:sz="4" w:space="0"/>
            </w:tcBorders>
            <w:tcW w:w="550" w:type="dxa"/>
            <w:vAlign w:val="center"/>
            <w:vMerge w:val="restart"/>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10</w:t>
            </w:r>
            <w:r/>
          </w:p>
        </w:tc>
        <w:tc>
          <w:tcPr>
            <w:tcW w:w="5069" w:type="dxa"/>
            <w:vAlign w:val="center"/>
            <w:textDirection w:val="lrTb"/>
            <w:noWrap w:val="false"/>
          </w:tcPr>
          <w:p>
            <w:pPr>
              <w:pStyle w:val="1205"/>
              <w:ind w:left="0" w:right="0"/>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工作制度健全、执行到位</w:t>
            </w:r>
            <w:r/>
          </w:p>
        </w:tc>
        <w:tc>
          <w:tcPr>
            <w:tcW w:w="55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6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0.5</w:t>
            </w:r>
            <w:r/>
          </w:p>
        </w:tc>
        <w:tc>
          <w:tcPr>
            <w:tcW w:w="574"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651" w:type="dxa"/>
            <w:vAlign w:val="center"/>
            <w:vMerge w:val="restart"/>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0"/>
        </w:trPr>
        <w:tc>
          <w:tcPr>
            <w:tcBorders>
              <w:top w:val="none" w:color="000000" w:sz="4" w:space="0"/>
              <w:bottom w:val="none" w:color="000000" w:sz="4" w:space="0"/>
            </w:tcBorders>
            <w:tcW w:w="670"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550"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69" w:type="dxa"/>
            <w:vAlign w:val="center"/>
            <w:textDirection w:val="lrTb"/>
            <w:noWrap w:val="false"/>
          </w:tcPr>
          <w:p>
            <w:pPr>
              <w:pStyle w:val="1205"/>
              <w:ind w:left="0" w:right="0"/>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工作区域安全设施及人员到位</w:t>
            </w:r>
            <w:r/>
          </w:p>
        </w:tc>
        <w:tc>
          <w:tcPr>
            <w:tcW w:w="55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1.5</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6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0.5</w:t>
            </w:r>
            <w:r/>
          </w:p>
        </w:tc>
        <w:tc>
          <w:tcPr>
            <w:tcW w:w="574"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651"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0"/>
        </w:trPr>
        <w:tc>
          <w:tcPr>
            <w:tcBorders>
              <w:top w:val="none" w:color="000000" w:sz="4" w:space="0"/>
              <w:bottom w:val="none" w:color="000000" w:sz="4" w:space="0"/>
            </w:tcBorders>
            <w:tcW w:w="670"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550"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69" w:type="dxa"/>
            <w:vAlign w:val="center"/>
            <w:textDirection w:val="lrTb"/>
            <w:noWrap w:val="false"/>
          </w:tcPr>
          <w:p>
            <w:pPr>
              <w:pStyle w:val="1205"/>
              <w:ind w:left="0" w:right="0"/>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工作区域：环境整洁</w:t>
            </w:r>
            <w:r/>
          </w:p>
        </w:tc>
        <w:tc>
          <w:tcPr>
            <w:tcW w:w="55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6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0.5</w:t>
            </w:r>
            <w:r/>
          </w:p>
        </w:tc>
        <w:tc>
          <w:tcPr>
            <w:tcW w:w="574"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651"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0"/>
        </w:trPr>
        <w:tc>
          <w:tcPr>
            <w:tcBorders>
              <w:top w:val="none" w:color="000000" w:sz="4" w:space="0"/>
            </w:tcBorders>
            <w:tcW w:w="670"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550"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69" w:type="dxa"/>
            <w:vAlign w:val="center"/>
            <w:textDirection w:val="lrTb"/>
            <w:noWrap w:val="false"/>
          </w:tcPr>
          <w:p>
            <w:pPr>
              <w:pStyle w:val="1205"/>
              <w:ind w:left="0" w:right="0"/>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出土文物临时存放：规范有序</w:t>
            </w:r>
            <w:r/>
          </w:p>
        </w:tc>
        <w:tc>
          <w:tcPr>
            <w:tcW w:w="55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1.5</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6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0.5</w:t>
            </w:r>
            <w:r/>
          </w:p>
        </w:tc>
        <w:tc>
          <w:tcPr>
            <w:tcW w:w="574"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651"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0"/>
        </w:trPr>
        <w:tc>
          <w:tcPr>
            <w:tcBorders>
              <w:bottom w:val="none" w:color="000000" w:sz="4" w:space="0"/>
            </w:tcBorders>
            <w:tcW w:w="670" w:type="dxa"/>
            <w:vAlign w:val="center"/>
            <w:vMerge w:val="restart"/>
            <w:textDirection w:val="lrTb"/>
            <w:noWrap w:val="false"/>
          </w:tcPr>
          <w:p>
            <w:pPr>
              <w:pStyle w:val="1205"/>
              <w:ind w:left="0" w:right="0" w:firstLine="3"/>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发掘</w:t>
            </w:r>
            <w:r>
              <w:rPr>
                <w:rFonts w:hint="eastAsia" w:ascii="宋体" w:hAnsi="宋体" w:eastAsia="宋体" w:cs="宋体"/>
                <w:color w:val="auto"/>
                <w:spacing w:val="-6"/>
                <w:sz w:val="24"/>
                <w:szCs w:val="24"/>
                <w:highlight w:val="none"/>
              </w:rPr>
              <w:t xml:space="preserve">技术</w:t>
            </w:r>
            <w:r/>
          </w:p>
        </w:tc>
        <w:tc>
          <w:tcPr>
            <w:tcBorders>
              <w:bottom w:val="none" w:color="000000" w:sz="4" w:space="0"/>
            </w:tcBorders>
            <w:tcW w:w="550" w:type="dxa"/>
            <w:vAlign w:val="center"/>
            <w:vMerge w:val="restart"/>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35</w:t>
            </w:r>
            <w:r/>
          </w:p>
        </w:tc>
        <w:tc>
          <w:tcPr>
            <w:tcW w:w="5069" w:type="dxa"/>
            <w:vAlign w:val="center"/>
            <w:textDirection w:val="lrTb"/>
            <w:noWrap w:val="false"/>
          </w:tcPr>
          <w:p>
            <w:pPr>
              <w:pStyle w:val="1205"/>
              <w:ind w:left="0" w:right="0" w:hanging="1"/>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地层、遗迹等发掘单位划分：</w:t>
            </w:r>
            <w:r>
              <w:rPr>
                <w:rFonts w:hint="eastAsia" w:ascii="宋体" w:hAnsi="宋体" w:eastAsia="宋体" w:cs="宋体"/>
                <w:color w:val="auto"/>
                <w:spacing w:val="-2"/>
                <w:sz w:val="24"/>
                <w:szCs w:val="24"/>
                <w:highlight w:val="none"/>
              </w:rPr>
              <w:t xml:space="preserve">合理、准确、及时</w:t>
            </w:r>
            <w:r/>
          </w:p>
        </w:tc>
        <w:tc>
          <w:tcPr>
            <w:tcW w:w="55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12</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6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574"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651" w:type="dxa"/>
            <w:vAlign w:val="center"/>
            <w:vMerge w:val="restart"/>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0"/>
        </w:trPr>
        <w:tc>
          <w:tcPr>
            <w:tcBorders>
              <w:top w:val="none" w:color="000000" w:sz="4" w:space="0"/>
              <w:bottom w:val="none" w:color="000000" w:sz="4" w:space="0"/>
            </w:tcBorders>
            <w:tcW w:w="670"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550"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69" w:type="dxa"/>
            <w:vAlign w:val="center"/>
            <w:textDirection w:val="lrTb"/>
            <w:noWrap w:val="false"/>
          </w:tcPr>
          <w:p>
            <w:pPr>
              <w:pStyle w:val="1205"/>
              <w:ind w:left="0" w:right="0" w:hanging="2"/>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地层、遗迹等发掘单位清理：准确</w:t>
            </w:r>
            <w:r/>
          </w:p>
        </w:tc>
        <w:tc>
          <w:tcPr>
            <w:tcW w:w="55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11</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6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74"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651"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0"/>
        </w:trPr>
        <w:tc>
          <w:tcPr>
            <w:tcBorders>
              <w:top w:val="none" w:color="000000" w:sz="4" w:space="0"/>
            </w:tcBorders>
            <w:tcW w:w="670"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550"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69" w:type="dxa"/>
            <w:vAlign w:val="center"/>
            <w:textDirection w:val="lrTb"/>
            <w:noWrap w:val="false"/>
          </w:tcPr>
          <w:p>
            <w:pPr>
              <w:pStyle w:val="1205"/>
              <w:ind w:left="0" w:right="0"/>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文物保护提取：及时、到位</w:t>
            </w:r>
            <w:r/>
          </w:p>
        </w:tc>
        <w:tc>
          <w:tcPr>
            <w:tcW w:w="55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12</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6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574"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651"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0"/>
        </w:trPr>
        <w:tc>
          <w:tcPr>
            <w:tcW w:w="670" w:type="dxa"/>
            <w:vAlign w:val="center"/>
            <w:vMerge w:val="restart"/>
            <w:textDirection w:val="lrTb"/>
            <w:noWrap w:val="false"/>
          </w:tcPr>
          <w:p>
            <w:pPr>
              <w:pStyle w:val="1205"/>
              <w:ind w:left="0" w:right="0" w:firstLine="13"/>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资料</w:t>
            </w:r>
            <w:r>
              <w:rPr>
                <w:rFonts w:hint="eastAsia" w:ascii="宋体" w:hAnsi="宋体" w:eastAsia="宋体" w:cs="宋体"/>
                <w:color w:val="auto"/>
                <w:spacing w:val="-5"/>
                <w:sz w:val="24"/>
                <w:szCs w:val="24"/>
                <w:highlight w:val="none"/>
              </w:rPr>
              <w:t xml:space="preserve">记录</w:t>
            </w:r>
            <w:r/>
          </w:p>
        </w:tc>
        <w:tc>
          <w:tcPr>
            <w:tcW w:w="550" w:type="dxa"/>
            <w:vAlign w:val="center"/>
            <w:vMerge w:val="restart"/>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35</w:t>
            </w:r>
            <w:r/>
          </w:p>
        </w:tc>
        <w:tc>
          <w:tcPr>
            <w:tcW w:w="5069" w:type="dxa"/>
            <w:vAlign w:val="center"/>
            <w:textDirection w:val="lrTb"/>
            <w:noWrap w:val="false"/>
          </w:tcPr>
          <w:p>
            <w:pPr>
              <w:pStyle w:val="1205"/>
              <w:ind w:left="0" w:right="0" w:hanging="3"/>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各探方发掘日志：准确、详</w:t>
            </w:r>
            <w:r>
              <w:rPr>
                <w:rFonts w:hint="eastAsia" w:ascii="宋体" w:hAnsi="宋体" w:eastAsia="宋体" w:cs="宋体"/>
                <w:color w:val="auto"/>
                <w:spacing w:val="-5"/>
                <w:sz w:val="24"/>
                <w:szCs w:val="24"/>
                <w:highlight w:val="none"/>
              </w:rPr>
              <w:t xml:space="preserve">实、规范</w:t>
            </w:r>
            <w:r/>
          </w:p>
        </w:tc>
        <w:tc>
          <w:tcPr>
            <w:tcW w:w="55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3.5</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6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74"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651" w:type="dxa"/>
            <w:vAlign w:val="center"/>
            <w:vMerge w:val="restart"/>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0"/>
        </w:trPr>
        <w:tc>
          <w:tcPr>
            <w:tcW w:w="670"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0"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69" w:type="dxa"/>
            <w:vAlign w:val="center"/>
            <w:textDirection w:val="lrTb"/>
            <w:noWrap w:val="false"/>
          </w:tcPr>
          <w:p>
            <w:pPr>
              <w:pStyle w:val="1205"/>
              <w:ind w:left="0" w:right="0" w:hanging="10"/>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纸质及电子探方总平面图：及</w:t>
            </w:r>
            <w:r>
              <w:rPr>
                <w:rFonts w:hint="eastAsia" w:ascii="宋体" w:hAnsi="宋体" w:eastAsia="宋体" w:cs="宋体"/>
                <w:color w:val="auto"/>
                <w:spacing w:val="-4"/>
                <w:sz w:val="24"/>
                <w:szCs w:val="24"/>
                <w:highlight w:val="none"/>
              </w:rPr>
              <w:t xml:space="preserve">时、准确、详实</w:t>
            </w:r>
            <w:r/>
          </w:p>
        </w:tc>
        <w:tc>
          <w:tcPr>
            <w:tcW w:w="55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3.5</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6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74"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651"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0"/>
        </w:trPr>
        <w:tc>
          <w:tcPr>
            <w:tcW w:w="670"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0"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69" w:type="dxa"/>
            <w:vAlign w:val="center"/>
            <w:textDirection w:val="lrTb"/>
            <w:noWrap w:val="false"/>
          </w:tcPr>
          <w:p>
            <w:pPr>
              <w:pStyle w:val="1205"/>
              <w:ind w:left="0" w:right="0" w:firstLine="2"/>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纸质及电子四壁剖面图：准确、详实、规范</w:t>
            </w:r>
            <w:r/>
          </w:p>
        </w:tc>
        <w:tc>
          <w:tcPr>
            <w:tcW w:w="55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3.5</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6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74"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651"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0"/>
        </w:trPr>
        <w:tc>
          <w:tcPr>
            <w:tcW w:w="670"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0"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69" w:type="dxa"/>
            <w:vAlign w:val="center"/>
            <w:textDirection w:val="lrTb"/>
            <w:noWrap w:val="false"/>
          </w:tcPr>
          <w:p>
            <w:pPr>
              <w:pStyle w:val="1205"/>
              <w:ind w:left="0" w:right="0" w:hanging="10"/>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纸质及电子分层平面图：及</w:t>
            </w:r>
            <w:r>
              <w:rPr>
                <w:rFonts w:hint="eastAsia" w:ascii="宋体" w:hAnsi="宋体" w:eastAsia="宋体" w:cs="宋体"/>
                <w:color w:val="auto"/>
                <w:spacing w:val="-3"/>
                <w:sz w:val="24"/>
                <w:szCs w:val="24"/>
                <w:highlight w:val="none"/>
              </w:rPr>
              <w:t xml:space="preserve">时、准确、详实、规范</w:t>
            </w:r>
            <w:r/>
          </w:p>
        </w:tc>
        <w:tc>
          <w:tcPr>
            <w:tcW w:w="55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3.5</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6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74"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651"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0"/>
        </w:trPr>
        <w:tc>
          <w:tcPr>
            <w:tcW w:w="670"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0"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69" w:type="dxa"/>
            <w:vAlign w:val="center"/>
            <w:textDirection w:val="lrTb"/>
            <w:noWrap w:val="false"/>
          </w:tcPr>
          <w:p>
            <w:pPr>
              <w:pStyle w:val="1205"/>
              <w:ind w:left="0" w:right="0"/>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遗迹发掘及器物提取照片：发掘前、中、后期各至少一张</w:t>
            </w:r>
            <w:r/>
          </w:p>
        </w:tc>
        <w:tc>
          <w:tcPr>
            <w:tcW w:w="55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5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00"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625"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0.5</w:t>
            </w:r>
            <w:r/>
          </w:p>
        </w:tc>
        <w:tc>
          <w:tcPr>
            <w:tcW w:w="574" w:type="dxa"/>
            <w:vAlign w:val="center"/>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651" w:type="dxa"/>
            <w:vAlign w:val="center"/>
            <w:vMerge w:val="continue"/>
            <w:textDirection w:val="lrTb"/>
            <w:noWrap w:val="false"/>
          </w:tcPr>
          <w:p>
            <w:pPr>
              <w:ind w:left="0" w:righ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3"/>
        </w:trPr>
        <w:tc>
          <w:tcPr>
            <w:tcW w:w="670" w:type="dxa"/>
            <w:vAlign w:val="center"/>
            <w:vMerge w:val="continue"/>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0" w:type="dxa"/>
            <w:vAlign w:val="top"/>
            <w:vMerge w:val="continue"/>
            <w:textDirection w:val="lrTb"/>
            <w:noWrap w:val="false"/>
          </w:tcPr>
          <w:p>
            <w:pPr>
              <w:ind w:lef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69" w:type="dxa"/>
            <w:vAlign w:val="top"/>
            <w:textDirection w:val="lrTb"/>
            <w:noWrap w:val="false"/>
          </w:tcPr>
          <w:p>
            <w:pPr>
              <w:pStyle w:val="1205"/>
              <w:ind w:left="0" w:right="294" w:firstLine="2"/>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纸质及电子遗迹平剖面图：准</w:t>
            </w:r>
            <w:r>
              <w:rPr>
                <w:rFonts w:hint="eastAsia" w:ascii="宋体" w:hAnsi="宋体" w:eastAsia="宋体" w:cs="宋体"/>
                <w:color w:val="auto"/>
                <w:spacing w:val="-2"/>
                <w:sz w:val="24"/>
                <w:szCs w:val="24"/>
                <w:highlight w:val="none"/>
              </w:rPr>
              <w:t xml:space="preserve">确、详实、规范</w:t>
            </w:r>
            <w:r/>
          </w:p>
        </w:tc>
        <w:tc>
          <w:tcPr>
            <w:tcW w:w="550"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525"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00"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625"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0.5</w:t>
            </w:r>
            <w:r/>
          </w:p>
        </w:tc>
        <w:tc>
          <w:tcPr>
            <w:tcW w:w="574" w:type="dxa"/>
            <w:vAlign w:val="top"/>
            <w:textDirection w:val="lrTb"/>
            <w:noWrap w:val="false"/>
          </w:tcPr>
          <w:p>
            <w:pPr>
              <w:ind w:lef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651" w:type="dxa"/>
            <w:vAlign w:val="top"/>
            <w:vMerge w:val="restart"/>
            <w:textDirection w:val="lrTb"/>
            <w:noWrap w:val="false"/>
          </w:tcPr>
          <w:p>
            <w:pPr>
              <w:ind w:lef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3"/>
        </w:trPr>
        <w:tc>
          <w:tcPr>
            <w:tcW w:w="670" w:type="dxa"/>
            <w:vAlign w:val="center"/>
            <w:vMerge w:val="continue"/>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0" w:type="dxa"/>
            <w:vAlign w:val="top"/>
            <w:vMerge w:val="continue"/>
            <w:textDirection w:val="lrTb"/>
            <w:noWrap w:val="false"/>
          </w:tcPr>
          <w:p>
            <w:pPr>
              <w:ind w:lef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69" w:type="dxa"/>
            <w:vAlign w:val="top"/>
            <w:textDirection w:val="lrTb"/>
            <w:noWrap w:val="false"/>
          </w:tcPr>
          <w:p>
            <w:pPr>
              <w:pStyle w:val="1205"/>
              <w:ind w:left="0" w:right="359"/>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纸质及电子发掘记录（表</w:t>
            </w:r>
            <w:r>
              <w:rPr>
                <w:rFonts w:hint="eastAsia" w:ascii="宋体" w:hAnsi="宋体" w:eastAsia="宋体" w:cs="宋体"/>
                <w:color w:val="auto"/>
                <w:spacing w:val="-29"/>
                <w:sz w:val="24"/>
                <w:szCs w:val="24"/>
                <w:highlight w:val="none"/>
              </w:rPr>
              <w:t xml:space="preserve">）：</w:t>
            </w:r>
            <w:r>
              <w:rPr>
                <w:rFonts w:hint="eastAsia" w:ascii="宋体" w:hAnsi="宋体" w:eastAsia="宋体" w:cs="宋体"/>
                <w:color w:val="auto"/>
                <w:spacing w:val="-2"/>
                <w:sz w:val="24"/>
                <w:szCs w:val="24"/>
                <w:highlight w:val="none"/>
              </w:rPr>
              <w:t xml:space="preserve">准确、详实、规范</w:t>
            </w:r>
            <w:r/>
          </w:p>
        </w:tc>
        <w:tc>
          <w:tcPr>
            <w:tcW w:w="550"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525"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3.5</w:t>
            </w:r>
            <w:r/>
          </w:p>
        </w:tc>
        <w:tc>
          <w:tcPr>
            <w:tcW w:w="500"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625"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74" w:type="dxa"/>
            <w:vAlign w:val="top"/>
            <w:textDirection w:val="lrTb"/>
            <w:noWrap w:val="false"/>
          </w:tcPr>
          <w:p>
            <w:pPr>
              <w:ind w:lef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651" w:type="dxa"/>
            <w:vAlign w:val="top"/>
            <w:vMerge w:val="continue"/>
            <w:textDirection w:val="lrTb"/>
            <w:noWrap w:val="false"/>
          </w:tcPr>
          <w:p>
            <w:pPr>
              <w:ind w:lef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3"/>
        </w:trPr>
        <w:tc>
          <w:tcPr>
            <w:tcW w:w="670" w:type="dxa"/>
            <w:vAlign w:val="center"/>
            <w:vMerge w:val="continue"/>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0" w:type="dxa"/>
            <w:vAlign w:val="top"/>
            <w:vMerge w:val="continue"/>
            <w:textDirection w:val="lrTb"/>
            <w:noWrap w:val="false"/>
          </w:tcPr>
          <w:p>
            <w:pPr>
              <w:ind w:lef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69" w:type="dxa"/>
            <w:vAlign w:val="top"/>
            <w:textDirection w:val="lrTb"/>
            <w:noWrap w:val="false"/>
          </w:tcPr>
          <w:p>
            <w:pPr>
              <w:pStyle w:val="1205"/>
              <w:ind w:left="0" w:right="294" w:hanging="4"/>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探方正投影照片：至少当日中</w:t>
            </w:r>
            <w:r>
              <w:rPr>
                <w:rFonts w:hint="eastAsia" w:ascii="宋体" w:hAnsi="宋体" w:eastAsia="宋体" w:cs="宋体"/>
                <w:color w:val="auto"/>
                <w:spacing w:val="-4"/>
                <w:sz w:val="24"/>
                <w:szCs w:val="24"/>
                <w:highlight w:val="none"/>
              </w:rPr>
              <w:t xml:space="preserve">午及下午完工后各拍摄</w:t>
            </w:r>
            <w:r>
              <w:rPr>
                <w:rFonts w:hint="eastAsia" w:ascii="宋体" w:hAnsi="宋体" w:eastAsia="宋体" w:cs="宋体"/>
                <w:color w:val="auto"/>
                <w:spacing w:val="-37"/>
                <w:sz w:val="24"/>
                <w:szCs w:val="24"/>
                <w:highlight w:val="none"/>
              </w:rPr>
              <w:t xml:space="preserve"> </w:t>
            </w:r>
            <w:r>
              <w:rPr>
                <w:rFonts w:hint="eastAsia" w:ascii="宋体" w:hAnsi="宋体" w:eastAsia="宋体" w:cs="宋体"/>
                <w:color w:val="auto"/>
                <w:spacing w:val="-4"/>
                <w:sz w:val="24"/>
                <w:szCs w:val="24"/>
                <w:highlight w:val="none"/>
              </w:rPr>
              <w:t xml:space="preserve">1</w:t>
            </w:r>
            <w:r>
              <w:rPr>
                <w:rFonts w:hint="eastAsia" w:ascii="宋体" w:hAnsi="宋体" w:eastAsia="宋体" w:cs="宋体"/>
                <w:color w:val="auto"/>
                <w:spacing w:val="-54"/>
                <w:sz w:val="24"/>
                <w:szCs w:val="24"/>
                <w:highlight w:val="none"/>
              </w:rPr>
              <w:t xml:space="preserve"> </w:t>
            </w:r>
            <w:r>
              <w:rPr>
                <w:rFonts w:hint="eastAsia" w:ascii="宋体" w:hAnsi="宋体" w:eastAsia="宋体" w:cs="宋体"/>
                <w:color w:val="auto"/>
                <w:spacing w:val="-4"/>
                <w:sz w:val="24"/>
                <w:szCs w:val="24"/>
                <w:highlight w:val="none"/>
              </w:rPr>
              <w:t xml:space="preserve">张</w:t>
            </w:r>
            <w:r/>
          </w:p>
        </w:tc>
        <w:tc>
          <w:tcPr>
            <w:tcW w:w="550"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25"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1.5</w:t>
            </w:r>
            <w:r/>
          </w:p>
        </w:tc>
        <w:tc>
          <w:tcPr>
            <w:tcW w:w="500"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625"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0.5</w:t>
            </w:r>
            <w:r/>
          </w:p>
        </w:tc>
        <w:tc>
          <w:tcPr>
            <w:tcW w:w="574" w:type="dxa"/>
            <w:vAlign w:val="top"/>
            <w:textDirection w:val="lrTb"/>
            <w:noWrap w:val="false"/>
          </w:tcPr>
          <w:p>
            <w:pPr>
              <w:ind w:lef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651" w:type="dxa"/>
            <w:vAlign w:val="top"/>
            <w:vMerge w:val="continue"/>
            <w:textDirection w:val="lrTb"/>
            <w:noWrap w:val="false"/>
          </w:tcPr>
          <w:p>
            <w:pPr>
              <w:ind w:lef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3"/>
        </w:trPr>
        <w:tc>
          <w:tcPr>
            <w:tcW w:w="670" w:type="dxa"/>
            <w:vAlign w:val="center"/>
            <w:vMerge w:val="continue"/>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0" w:type="dxa"/>
            <w:vAlign w:val="top"/>
            <w:vMerge w:val="continue"/>
            <w:textDirection w:val="lrTb"/>
            <w:noWrap w:val="false"/>
          </w:tcPr>
          <w:p>
            <w:pPr>
              <w:ind w:lef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69" w:type="dxa"/>
            <w:vAlign w:val="top"/>
            <w:textDirection w:val="lrTb"/>
            <w:noWrap w:val="false"/>
          </w:tcPr>
          <w:p>
            <w:pPr>
              <w:pStyle w:val="1205"/>
              <w:ind w:left="0" w:right="294" w:hanging="7"/>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遗迹登记表：准确、详实、规</w:t>
            </w:r>
            <w:r>
              <w:rPr>
                <w:rFonts w:hint="eastAsia" w:ascii="宋体" w:hAnsi="宋体" w:eastAsia="宋体" w:cs="宋体"/>
                <w:color w:val="auto"/>
                <w:sz w:val="24"/>
                <w:szCs w:val="24"/>
                <w:highlight w:val="none"/>
              </w:rPr>
              <w:t xml:space="preserve">范</w:t>
            </w:r>
            <w:r/>
          </w:p>
        </w:tc>
        <w:tc>
          <w:tcPr>
            <w:tcW w:w="550"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25"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1.5</w:t>
            </w:r>
            <w:r/>
          </w:p>
        </w:tc>
        <w:tc>
          <w:tcPr>
            <w:tcW w:w="500"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625"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0.5</w:t>
            </w:r>
            <w:r/>
          </w:p>
        </w:tc>
        <w:tc>
          <w:tcPr>
            <w:tcW w:w="574" w:type="dxa"/>
            <w:vAlign w:val="top"/>
            <w:textDirection w:val="lrTb"/>
            <w:noWrap w:val="false"/>
          </w:tcPr>
          <w:p>
            <w:pPr>
              <w:ind w:lef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651" w:type="dxa"/>
            <w:vAlign w:val="top"/>
            <w:vMerge w:val="continue"/>
            <w:textDirection w:val="lrTb"/>
            <w:noWrap w:val="false"/>
          </w:tcPr>
          <w:p>
            <w:pPr>
              <w:ind w:lef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3"/>
        </w:trPr>
        <w:tc>
          <w:tcPr>
            <w:tcBorders>
              <w:bottom w:val="none" w:color="000000" w:sz="4" w:space="0"/>
            </w:tcBorders>
            <w:tcW w:w="670" w:type="dxa"/>
            <w:vAlign w:val="center"/>
            <w:vMerge w:val="restart"/>
            <w:textDirection w:val="lrTb"/>
            <w:noWrap w:val="false"/>
          </w:tcPr>
          <w:p>
            <w:pPr>
              <w:pStyle w:val="1205"/>
              <w:ind w:left="0" w:right="122" w:firstLine="21"/>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7"/>
                <w:sz w:val="24"/>
                <w:szCs w:val="24"/>
                <w:highlight w:val="none"/>
              </w:rPr>
              <w:t xml:space="preserve">出土</w:t>
            </w:r>
            <w:r>
              <w:rPr>
                <w:rFonts w:hint="eastAsia" w:ascii="宋体" w:hAnsi="宋体" w:eastAsia="宋体" w:cs="宋体"/>
                <w:color w:val="auto"/>
                <w:spacing w:val="-6"/>
                <w:sz w:val="24"/>
                <w:szCs w:val="24"/>
                <w:highlight w:val="none"/>
              </w:rPr>
              <w:t xml:space="preserve">文物</w:t>
            </w:r>
            <w:r/>
          </w:p>
        </w:tc>
        <w:tc>
          <w:tcPr>
            <w:tcBorders>
              <w:bottom w:val="none" w:color="000000" w:sz="4" w:space="0"/>
            </w:tcBorders>
            <w:tcW w:w="550" w:type="dxa"/>
            <w:vAlign w:val="center"/>
            <w:vMerge w:val="restart"/>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10</w:t>
            </w:r>
            <w:r/>
          </w:p>
        </w:tc>
        <w:tc>
          <w:tcPr>
            <w:tcW w:w="5069" w:type="dxa"/>
            <w:vAlign w:val="top"/>
            <w:textDirection w:val="lrTb"/>
            <w:noWrap w:val="false"/>
          </w:tcPr>
          <w:p>
            <w:pPr>
              <w:pStyle w:val="1205"/>
              <w:ind w:left="0" w:right="31" w:firstLine="24"/>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出土器物登记表：及时、准</w:t>
            </w:r>
            <w:r>
              <w:rPr>
                <w:rFonts w:hint="eastAsia" w:ascii="宋体" w:hAnsi="宋体" w:eastAsia="宋体" w:cs="宋体"/>
                <w:color w:val="auto"/>
                <w:spacing w:val="-2"/>
                <w:sz w:val="24"/>
                <w:szCs w:val="24"/>
                <w:highlight w:val="none"/>
              </w:rPr>
              <w:t xml:space="preserve">确、详实、规范</w:t>
            </w:r>
            <w:r/>
          </w:p>
        </w:tc>
        <w:tc>
          <w:tcPr>
            <w:tcW w:w="550"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525"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00"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625"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0.5</w:t>
            </w:r>
            <w:r/>
          </w:p>
        </w:tc>
        <w:tc>
          <w:tcPr>
            <w:tcW w:w="574" w:type="dxa"/>
            <w:vAlign w:val="top"/>
            <w:textDirection w:val="lrTb"/>
            <w:noWrap w:val="false"/>
          </w:tcPr>
          <w:p>
            <w:pPr>
              <w:ind w:lef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651" w:type="dxa"/>
            <w:vAlign w:val="top"/>
            <w:vMerge w:val="restart"/>
            <w:textDirection w:val="lrTb"/>
            <w:noWrap w:val="false"/>
          </w:tcPr>
          <w:p>
            <w:pPr>
              <w:ind w:lef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3"/>
        </w:trPr>
        <w:tc>
          <w:tcPr>
            <w:tcBorders>
              <w:top w:val="none" w:color="000000" w:sz="4" w:space="0"/>
              <w:bottom w:val="none" w:color="000000" w:sz="4" w:space="0"/>
            </w:tcBorders>
            <w:tcW w:w="670" w:type="dxa"/>
            <w:vAlign w:val="center"/>
            <w:vMerge w:val="continue"/>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550" w:type="dxa"/>
            <w:vAlign w:val="center"/>
            <w:vMerge w:val="continue"/>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69" w:type="dxa"/>
            <w:vAlign w:val="top"/>
            <w:textDirection w:val="lrTb"/>
            <w:noWrap w:val="false"/>
          </w:tcPr>
          <w:p>
            <w:pPr>
              <w:pStyle w:val="1205"/>
              <w:ind w:left="0" w:right="294" w:firstLine="21"/>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出土文物正视照片：每件器物</w:t>
            </w:r>
            <w:r>
              <w:rPr>
                <w:rFonts w:hint="eastAsia" w:ascii="宋体" w:hAnsi="宋体" w:eastAsia="宋体" w:cs="宋体"/>
                <w:color w:val="auto"/>
                <w:spacing w:val="-11"/>
                <w:sz w:val="24"/>
                <w:szCs w:val="24"/>
                <w:highlight w:val="none"/>
              </w:rPr>
              <w:t xml:space="preserve">至少</w:t>
            </w:r>
            <w:r>
              <w:rPr>
                <w:rFonts w:hint="eastAsia" w:ascii="宋体" w:hAnsi="宋体" w:eastAsia="宋体" w:cs="宋体"/>
                <w:color w:val="auto"/>
                <w:spacing w:val="-41"/>
                <w:sz w:val="24"/>
                <w:szCs w:val="24"/>
                <w:highlight w:val="none"/>
              </w:rPr>
              <w:t xml:space="preserve"> </w:t>
            </w:r>
            <w:r>
              <w:rPr>
                <w:rFonts w:hint="eastAsia" w:ascii="宋体" w:hAnsi="宋体" w:eastAsia="宋体" w:cs="宋体"/>
                <w:color w:val="auto"/>
                <w:spacing w:val="-11"/>
                <w:sz w:val="24"/>
                <w:szCs w:val="24"/>
                <w:highlight w:val="none"/>
              </w:rPr>
              <w:t xml:space="preserve">1</w:t>
            </w:r>
            <w:r>
              <w:rPr>
                <w:rFonts w:hint="eastAsia" w:ascii="宋体" w:hAnsi="宋体" w:eastAsia="宋体" w:cs="宋体"/>
                <w:color w:val="auto"/>
                <w:spacing w:val="-52"/>
                <w:sz w:val="24"/>
                <w:szCs w:val="24"/>
                <w:highlight w:val="none"/>
              </w:rPr>
              <w:t xml:space="preserve"> </w:t>
            </w:r>
            <w:r>
              <w:rPr>
                <w:rFonts w:hint="eastAsia" w:ascii="宋体" w:hAnsi="宋体" w:eastAsia="宋体" w:cs="宋体"/>
                <w:color w:val="auto"/>
                <w:spacing w:val="-11"/>
                <w:sz w:val="24"/>
                <w:szCs w:val="24"/>
                <w:highlight w:val="none"/>
              </w:rPr>
              <w:t xml:space="preserve">张</w:t>
            </w:r>
            <w:r/>
          </w:p>
        </w:tc>
        <w:tc>
          <w:tcPr>
            <w:tcW w:w="550"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525"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00"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625"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0.5</w:t>
            </w:r>
            <w:r/>
          </w:p>
        </w:tc>
        <w:tc>
          <w:tcPr>
            <w:tcW w:w="574" w:type="dxa"/>
            <w:vAlign w:val="top"/>
            <w:textDirection w:val="lrTb"/>
            <w:noWrap w:val="false"/>
          </w:tcPr>
          <w:p>
            <w:pPr>
              <w:ind w:lef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651" w:type="dxa"/>
            <w:vAlign w:val="top"/>
            <w:vMerge w:val="continue"/>
            <w:textDirection w:val="lrTb"/>
            <w:noWrap w:val="false"/>
          </w:tcPr>
          <w:p>
            <w:pPr>
              <w:ind w:lef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3"/>
        </w:trPr>
        <w:tc>
          <w:tcPr>
            <w:tcBorders>
              <w:top w:val="none" w:color="000000" w:sz="4" w:space="0"/>
            </w:tcBorders>
            <w:tcW w:w="670" w:type="dxa"/>
            <w:vAlign w:val="center"/>
            <w:vMerge w:val="continue"/>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550" w:type="dxa"/>
            <w:vAlign w:val="center"/>
            <w:vMerge w:val="continue"/>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69" w:type="dxa"/>
            <w:vAlign w:val="top"/>
            <w:textDirection w:val="lrTb"/>
            <w:noWrap w:val="false"/>
          </w:tcPr>
          <w:p>
            <w:pPr>
              <w:pStyle w:val="1205"/>
              <w:ind w:left="0" w:right="294" w:firstLine="19"/>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出土文物、标本：小件器身上</w:t>
            </w:r>
            <w:r>
              <w:rPr>
                <w:rFonts w:hint="eastAsia" w:ascii="宋体" w:hAnsi="宋体" w:eastAsia="宋体" w:cs="宋体"/>
                <w:color w:val="auto"/>
                <w:spacing w:val="-2"/>
                <w:sz w:val="24"/>
                <w:szCs w:val="24"/>
                <w:highlight w:val="none"/>
              </w:rPr>
              <w:t xml:space="preserve">须写器物编号、标签清晰准确</w:t>
            </w:r>
            <w:r/>
          </w:p>
        </w:tc>
        <w:tc>
          <w:tcPr>
            <w:tcW w:w="550"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525"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500"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625"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74" w:type="dxa"/>
            <w:vAlign w:val="top"/>
            <w:textDirection w:val="lrTb"/>
            <w:noWrap w:val="false"/>
          </w:tcPr>
          <w:p>
            <w:pPr>
              <w:ind w:lef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651" w:type="dxa"/>
            <w:vAlign w:val="top"/>
            <w:vMerge w:val="continue"/>
            <w:textDirection w:val="lrTb"/>
            <w:noWrap w:val="false"/>
          </w:tcPr>
          <w:p>
            <w:pPr>
              <w:ind w:lef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3"/>
        </w:trPr>
        <w:tc>
          <w:tcPr>
            <w:tcW w:w="670" w:type="dxa"/>
            <w:vAlign w:val="center"/>
            <w:textDirection w:val="lrTb"/>
            <w:noWrap w:val="false"/>
          </w:tcPr>
          <w:p>
            <w:pPr>
              <w:pStyle w:val="1205"/>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结项</w:t>
            </w:r>
            <w:r/>
          </w:p>
          <w:p>
            <w:pPr>
              <w:pStyle w:val="1205"/>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汇总</w:t>
            </w:r>
            <w:r/>
          </w:p>
        </w:tc>
        <w:tc>
          <w:tcPr>
            <w:tcW w:w="550"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10</w:t>
            </w:r>
            <w:r/>
          </w:p>
        </w:tc>
        <w:tc>
          <w:tcPr>
            <w:tcW w:w="5069" w:type="dxa"/>
            <w:vAlign w:val="top"/>
            <w:textDirection w:val="lrTb"/>
            <w:noWrap w:val="false"/>
          </w:tcPr>
          <w:p>
            <w:pPr>
              <w:pStyle w:val="1205"/>
              <w:ind w:lef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发掘区材料及时汇总并移交</w:t>
            </w:r>
            <w:r/>
          </w:p>
        </w:tc>
        <w:tc>
          <w:tcPr>
            <w:tcW w:w="550"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10</w:t>
            </w:r>
            <w:r/>
          </w:p>
        </w:tc>
        <w:tc>
          <w:tcPr>
            <w:tcW w:w="525"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w:t>
            </w:r>
            <w:r/>
          </w:p>
        </w:tc>
        <w:tc>
          <w:tcPr>
            <w:tcW w:w="500"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w:t>
            </w:r>
            <w:r/>
          </w:p>
        </w:tc>
        <w:tc>
          <w:tcPr>
            <w:tcW w:w="625"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w:t>
            </w:r>
            <w:r/>
          </w:p>
        </w:tc>
        <w:tc>
          <w:tcPr>
            <w:tcW w:w="574" w:type="dxa"/>
            <w:vAlign w:val="top"/>
            <w:textDirection w:val="lrTb"/>
            <w:noWrap w:val="false"/>
          </w:tcPr>
          <w:p>
            <w:pPr>
              <w:ind w:lef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51" w:type="dxa"/>
            <w:vAlign w:val="top"/>
            <w:textDirection w:val="lrTb"/>
            <w:noWrap w:val="false"/>
          </w:tcPr>
          <w:p>
            <w:pPr>
              <w:ind w:left="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97"/>
        </w:trPr>
        <w:tc>
          <w:tcPr>
            <w:gridSpan w:val="2"/>
            <w:tcW w:w="1220" w:type="dxa"/>
            <w:vAlign w:val="top"/>
            <w:textDirection w:val="lrTb"/>
            <w:noWrap w:val="false"/>
          </w:tcPr>
          <w:p>
            <w:pPr>
              <w:pStyle w:val="1205"/>
              <w:ind w:left="422"/>
              <w:keepLines w:val="0"/>
              <w:keepNext w:val="0"/>
              <w:pageBreakBefore w:val="0"/>
              <w:spacing w:before="44" w:after="0" w:line="221" w:lineRule="auto"/>
              <w:widowControl w:val="off"/>
              <w:rPr>
                <w:color w:val="auto"/>
                <w:sz w:val="24"/>
                <w:szCs w:val="24"/>
                <w:highlight w:val="none"/>
              </w:rPr>
            </w:pPr>
            <w:r>
              <w:rPr>
                <w:color w:val="auto"/>
                <w:spacing w:val="-9"/>
                <w:sz w:val="24"/>
                <w:szCs w:val="24"/>
                <w:highlight w:val="none"/>
              </w:rPr>
              <w:t xml:space="preserve">总分</w:t>
            </w:r>
            <w:r/>
          </w:p>
        </w:tc>
        <w:tc>
          <w:tcPr>
            <w:gridSpan w:val="7"/>
            <w:tcW w:w="8494" w:type="dxa"/>
            <w:vAlign w:val="top"/>
            <w:textDirection w:val="lrTb"/>
            <w:noWrap w:val="false"/>
          </w:tcPr>
          <w:p>
            <w:pPr>
              <w:keepLines w:val="0"/>
              <w:keepNext w:val="0"/>
              <w:pageBreakBefore w:val="0"/>
              <w:spacing w:after="0"/>
              <w:widowControl w:val="off"/>
              <w:rPr>
                <w:rFonts w:ascii="Arial"/>
                <w:color w:val="auto"/>
                <w:sz w:val="24"/>
                <w:szCs w:val="24"/>
                <w:highlight w:val="none"/>
              </w:rPr>
            </w:pPr>
            <w:r>
              <w:rPr>
                <w:rFonts w:ascii="Arial"/>
                <w:color w:val="auto"/>
                <w:sz w:val="24"/>
                <w:szCs w:val="24"/>
                <w:highlight w:val="none"/>
              </w:rPr>
            </w:r>
            <w:r/>
          </w:p>
        </w:tc>
      </w:tr>
      <w:tr>
        <w:trPr>
          <w:trHeight w:val="373"/>
        </w:trPr>
        <w:tc>
          <w:tcPr>
            <w:gridSpan w:val="9"/>
            <w:tcW w:w="9714" w:type="dxa"/>
            <w:vAlign w:val="top"/>
            <w:textDirection w:val="lrTb"/>
            <w:noWrap w:val="false"/>
          </w:tcPr>
          <w:p>
            <w:pPr>
              <w:pStyle w:val="1205"/>
              <w:ind w:left="155"/>
              <w:keepLines w:val="0"/>
              <w:keepNext w:val="0"/>
              <w:pageBreakBefore w:val="0"/>
              <w:spacing w:before="46" w:after="0" w:line="220" w:lineRule="auto"/>
              <w:widowControl w:val="off"/>
              <w:rPr>
                <w:color w:val="auto"/>
                <w:sz w:val="24"/>
                <w:szCs w:val="24"/>
                <w:highlight w:val="none"/>
              </w:rPr>
            </w:pPr>
            <w:r>
              <w:rPr>
                <w:color w:val="auto"/>
                <w:spacing w:val="-4"/>
                <w:sz w:val="24"/>
                <w:szCs w:val="24"/>
                <w:highlight w:val="none"/>
              </w:rPr>
              <w:t xml:space="preserve">甲方签字：                               </w:t>
            </w:r>
            <w:r>
              <w:rPr>
                <w:color w:val="auto"/>
                <w:spacing w:val="-5"/>
                <w:sz w:val="24"/>
                <w:szCs w:val="24"/>
                <w:highlight w:val="none"/>
              </w:rPr>
              <w:t xml:space="preserve">    乙方签字：</w:t>
            </w:r>
            <w:r/>
          </w:p>
        </w:tc>
      </w:tr>
      <w:tr>
        <w:trPr>
          <w:trHeight w:val="363"/>
        </w:trPr>
        <w:tc>
          <w:tcPr>
            <w:gridSpan w:val="9"/>
            <w:tcW w:w="9714" w:type="dxa"/>
            <w:vAlign w:val="top"/>
            <w:textDirection w:val="lrTb"/>
            <w:noWrap w:val="false"/>
          </w:tcPr>
          <w:p>
            <w:pPr>
              <w:pStyle w:val="1205"/>
              <w:ind w:right="47"/>
              <w:jc w:val="right"/>
              <w:keepLines w:val="0"/>
              <w:keepNext w:val="0"/>
              <w:pageBreakBefore w:val="0"/>
              <w:spacing w:before="46" w:after="0" w:line="220" w:lineRule="auto"/>
              <w:widowControl w:val="off"/>
              <w:rPr>
                <w:color w:val="auto"/>
                <w:sz w:val="24"/>
                <w:szCs w:val="24"/>
                <w:highlight w:val="none"/>
              </w:rPr>
            </w:pPr>
            <w:r>
              <w:rPr>
                <w:color w:val="auto"/>
                <w:spacing w:val="-2"/>
                <w:sz w:val="24"/>
                <w:szCs w:val="24"/>
                <w:highlight w:val="none"/>
              </w:rPr>
              <w:t xml:space="preserve">考核日期：      年</w:t>
            </w:r>
            <w:r>
              <w:rPr>
                <w:color w:val="auto"/>
                <w:spacing w:val="4"/>
                <w:sz w:val="24"/>
                <w:szCs w:val="24"/>
                <w:highlight w:val="none"/>
              </w:rPr>
              <w:t xml:space="preserve">    </w:t>
            </w:r>
            <w:r>
              <w:rPr>
                <w:color w:val="auto"/>
                <w:spacing w:val="-2"/>
                <w:sz w:val="24"/>
                <w:szCs w:val="24"/>
                <w:highlight w:val="none"/>
              </w:rPr>
              <w:t xml:space="preserve">月</w:t>
            </w:r>
            <w:r>
              <w:rPr>
                <w:color w:val="auto"/>
                <w:spacing w:val="15"/>
                <w:sz w:val="24"/>
                <w:szCs w:val="24"/>
                <w:highlight w:val="none"/>
              </w:rPr>
              <w:t xml:space="preserve">    </w:t>
            </w:r>
            <w:r>
              <w:rPr>
                <w:color w:val="auto"/>
                <w:spacing w:val="-2"/>
                <w:sz w:val="24"/>
                <w:szCs w:val="24"/>
                <w:highlight w:val="none"/>
              </w:rPr>
              <w:t xml:space="preserve">日</w:t>
            </w:r>
            <w:r/>
          </w:p>
        </w:tc>
      </w:tr>
      <w:tr>
        <w:trPr>
          <w:trHeight w:val="363"/>
        </w:trPr>
        <w:tc>
          <w:tcPr>
            <w:gridSpan w:val="9"/>
            <w:tcW w:w="9714" w:type="dxa"/>
            <w:vAlign w:val="top"/>
            <w:textDirection w:val="lrTb"/>
            <w:noWrap w:val="false"/>
          </w:tcPr>
          <w:p>
            <w:pPr>
              <w:pStyle w:val="1205"/>
              <w:numPr>
                <w:ilvl w:val="0"/>
                <w:numId w:val="4"/>
              </w:numPr>
              <w:ind w:left="120" w:right="245" w:firstLine="19"/>
              <w:jc w:val="both"/>
              <w:keepLines w:val="0"/>
              <w:keepNext w:val="0"/>
              <w:pageBreakBefore w:val="0"/>
              <w:spacing w:before="47" w:after="0" w:line="278" w:lineRule="auto"/>
              <w:widowControl w:val="off"/>
              <w:rPr>
                <w:color w:val="auto"/>
                <w:spacing w:val="-1"/>
                <w:sz w:val="24"/>
                <w:szCs w:val="24"/>
                <w:highlight w:val="none"/>
              </w:rPr>
            </w:pPr>
            <w:r>
              <w:rPr>
                <w:color w:val="auto"/>
                <w:spacing w:val="-1"/>
                <w:sz w:val="24"/>
                <w:szCs w:val="24"/>
                <w:highlight w:val="none"/>
              </w:rPr>
              <w:t xml:space="preserve">甲方对乙方提供的考古发掘项目服务保障，发掘结束时考核。</w:t>
            </w:r>
            <w:r/>
          </w:p>
          <w:p>
            <w:pPr>
              <w:pStyle w:val="1205"/>
              <w:numPr>
                <w:ilvl w:val="0"/>
                <w:numId w:val="4"/>
              </w:numPr>
              <w:ind w:left="120" w:right="245" w:firstLine="19"/>
              <w:jc w:val="both"/>
              <w:keepLines w:val="0"/>
              <w:keepNext w:val="0"/>
              <w:pageBreakBefore w:val="0"/>
              <w:spacing w:before="47" w:after="0" w:line="278" w:lineRule="auto"/>
              <w:widowControl w:val="off"/>
              <w:rPr>
                <w:color w:val="auto"/>
                <w:sz w:val="24"/>
                <w:szCs w:val="24"/>
                <w:highlight w:val="none"/>
              </w:rPr>
            </w:pPr>
            <w:r>
              <w:rPr>
                <w:color w:val="auto"/>
                <w:spacing w:val="-1"/>
                <w:sz w:val="24"/>
                <w:szCs w:val="24"/>
                <w:highlight w:val="none"/>
              </w:rPr>
              <w:t xml:space="preserve">本表考核</w:t>
            </w:r>
            <w:r>
              <w:rPr>
                <w:color w:val="auto"/>
                <w:sz w:val="24"/>
                <w:szCs w:val="24"/>
                <w:highlight w:val="none"/>
              </w:rPr>
              <w:t xml:space="preserve">得分，乘以30%计入总分。</w:t>
            </w:r>
            <w:r/>
          </w:p>
          <w:p>
            <w:pPr>
              <w:pStyle w:val="1205"/>
              <w:numPr>
                <w:ilvl w:val="0"/>
                <w:numId w:val="4"/>
              </w:numPr>
              <w:ind w:left="120" w:right="245" w:firstLine="19"/>
              <w:jc w:val="both"/>
              <w:keepLines w:val="0"/>
              <w:keepNext w:val="0"/>
              <w:pageBreakBefore w:val="0"/>
              <w:spacing w:before="47" w:after="0" w:line="278" w:lineRule="auto"/>
              <w:widowControl w:val="off"/>
              <w:rPr>
                <w:color w:val="auto"/>
                <w:sz w:val="24"/>
                <w:szCs w:val="24"/>
                <w:highlight w:val="none"/>
              </w:rPr>
            </w:pPr>
            <w:r>
              <w:rPr>
                <w:color w:val="auto"/>
                <w:sz w:val="24"/>
                <w:szCs w:val="24"/>
                <w:highlight w:val="none"/>
              </w:rPr>
              <w:t xml:space="preserve">考核小组由市文物局代表</w:t>
            </w:r>
            <w:r>
              <w:rPr>
                <w:color w:val="auto"/>
                <w:spacing w:val="-27"/>
                <w:sz w:val="24"/>
                <w:szCs w:val="24"/>
                <w:highlight w:val="none"/>
              </w:rPr>
              <w:t xml:space="preserve"> </w:t>
            </w:r>
            <w:r>
              <w:rPr>
                <w:color w:val="auto"/>
                <w:sz w:val="24"/>
                <w:szCs w:val="24"/>
                <w:highlight w:val="none"/>
              </w:rPr>
              <w:t xml:space="preserve">1</w:t>
            </w:r>
            <w:r>
              <w:rPr>
                <w:color w:val="auto"/>
                <w:spacing w:val="-56"/>
                <w:sz w:val="24"/>
                <w:szCs w:val="24"/>
                <w:highlight w:val="none"/>
              </w:rPr>
              <w:t xml:space="preserve"> </w:t>
            </w:r>
            <w:r>
              <w:rPr>
                <w:color w:val="auto"/>
                <w:sz w:val="24"/>
                <w:szCs w:val="24"/>
                <w:highlight w:val="none"/>
              </w:rPr>
              <w:t xml:space="preserve">人、所内省局专家库</w:t>
            </w:r>
            <w:r>
              <w:rPr>
                <w:color w:val="auto"/>
                <w:spacing w:val="2"/>
                <w:sz w:val="24"/>
                <w:szCs w:val="24"/>
                <w:highlight w:val="none"/>
              </w:rPr>
              <w:t xml:space="preserve">成员2</w:t>
            </w:r>
            <w:r>
              <w:rPr>
                <w:color w:val="auto"/>
                <w:spacing w:val="-47"/>
                <w:sz w:val="24"/>
                <w:szCs w:val="24"/>
                <w:highlight w:val="none"/>
              </w:rPr>
              <w:t xml:space="preserve"> </w:t>
            </w:r>
            <w:r>
              <w:rPr>
                <w:color w:val="auto"/>
                <w:spacing w:val="2"/>
                <w:sz w:val="24"/>
                <w:szCs w:val="24"/>
                <w:highlight w:val="none"/>
              </w:rPr>
              <w:t xml:space="preserve">人组成，分别打分，加权平均。</w:t>
            </w:r>
            <w:r/>
          </w:p>
        </w:tc>
      </w:tr>
    </w:tbl>
    <w:p>
      <w:pPr>
        <w:rPr>
          <w:color w:val="auto"/>
          <w:highlight w:val="none"/>
        </w:rPr>
        <w:sectPr>
          <w:headerReference w:type="default" r:id="rId10"/>
          <w:footerReference w:type="default" r:id="rId15"/>
          <w:footnotePr/>
          <w:endnotePr/>
          <w:type w:val="nextPage"/>
          <w:pgSz w:w="11906" w:h="16839" w:orient="portrait"/>
          <w:pgMar w:top="1134" w:right="1134" w:bottom="1134" w:left="1134" w:header="567" w:footer="1159" w:gutter="0"/>
          <w:cols w:num="1" w:sep="0" w:space="720" w:equalWidth="1"/>
          <w:docGrid w:linePitch="360"/>
        </w:sectPr>
      </w:pPr>
      <w:r>
        <w:rPr>
          <w:color w:val="auto"/>
          <w:highlight w:val="none"/>
        </w:rPr>
      </w:r>
      <w:r/>
    </w:p>
    <w:p>
      <w:pPr>
        <w:ind w:left="26"/>
        <w:spacing w:before="139" w:line="220" w:lineRule="auto"/>
        <w:rPr>
          <w:rFonts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zh-CN"/>
        </w:rPr>
        <w:t xml:space="preserve">3、</w:t>
      </w:r>
      <w:r>
        <w:rPr>
          <w:rFonts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u w:val="single"/>
          <w:lang w:val="en-US" w:eastAsia="zh-CN"/>
        </w:rPr>
        <w:t xml:space="preserve">      </w:t>
      </w:r>
      <w:r>
        <w:rPr>
          <w:rFonts w:ascii="宋体" w:hAnsi="宋体" w:eastAsia="宋体" w:cs="宋体"/>
          <w:color w:val="auto"/>
          <w:spacing w:val="-2"/>
          <w:sz w:val="24"/>
          <w:szCs w:val="24"/>
          <w:highlight w:val="none"/>
        </w:rPr>
        <w:t xml:space="preserve">基建考古发掘项目服务考核汇总表》</w:t>
      </w:r>
      <w:r/>
    </w:p>
    <w:tbl>
      <w:tblPr>
        <w:tblStyle w:val="1206"/>
        <w:tblW w:w="9204" w:type="dxa"/>
        <w:tblInd w:w="9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20"/>
        <w:gridCol w:w="3582"/>
        <w:gridCol w:w="2116"/>
        <w:gridCol w:w="2486"/>
      </w:tblGrid>
      <w:tr>
        <w:trPr>
          <w:trHeight w:val="420"/>
        </w:trPr>
        <w:tc>
          <w:tcPr>
            <w:tcW w:w="1020" w:type="dxa"/>
            <w:vAlign w:val="center"/>
            <w:textDirection w:val="lrTb"/>
            <w:noWrap w:val="false"/>
          </w:tcPr>
          <w:p>
            <w:pPr>
              <w:pStyle w:val="1205"/>
              <w:ind w:left="0" w:right="0"/>
              <w:jc w:val="center"/>
              <w:keepLines w:val="0"/>
              <w:keepNext w:val="0"/>
              <w:pageBreakBefore w:val="0"/>
              <w:spacing w:after="0" w:line="240" w:lineRule="auto"/>
              <w:widowControl w:val="off"/>
              <w:rPr>
                <w:color w:val="auto"/>
                <w:sz w:val="24"/>
                <w:szCs w:val="24"/>
                <w:highlight w:val="none"/>
              </w:rPr>
            </w:pPr>
            <w:r>
              <w:rPr>
                <w:color w:val="auto"/>
                <w:spacing w:val="-5"/>
                <w:sz w:val="24"/>
                <w:szCs w:val="24"/>
                <w:highlight w:val="none"/>
              </w:rPr>
              <w:t xml:space="preserve">类别</w:t>
            </w:r>
            <w:r/>
          </w:p>
        </w:tc>
        <w:tc>
          <w:tcPr>
            <w:tcW w:w="3582" w:type="dxa"/>
            <w:vAlign w:val="center"/>
            <w:textDirection w:val="lrTb"/>
            <w:noWrap w:val="false"/>
          </w:tcPr>
          <w:p>
            <w:pPr>
              <w:pStyle w:val="1205"/>
              <w:ind w:left="0" w:right="0"/>
              <w:jc w:val="center"/>
              <w:keepLines w:val="0"/>
              <w:keepNext w:val="0"/>
              <w:pageBreakBefore w:val="0"/>
              <w:spacing w:after="0" w:line="240" w:lineRule="auto"/>
              <w:widowControl w:val="off"/>
              <w:rPr>
                <w:color w:val="auto"/>
                <w:sz w:val="24"/>
                <w:szCs w:val="24"/>
                <w:highlight w:val="none"/>
              </w:rPr>
            </w:pPr>
            <w:r>
              <w:rPr>
                <w:color w:val="auto"/>
                <w:spacing w:val="-2"/>
                <w:sz w:val="24"/>
                <w:szCs w:val="24"/>
                <w:highlight w:val="none"/>
              </w:rPr>
              <w:t xml:space="preserve">各月度考核总平均分</w:t>
            </w:r>
            <w:r/>
          </w:p>
        </w:tc>
        <w:tc>
          <w:tcPr>
            <w:tcW w:w="2116" w:type="dxa"/>
            <w:vAlign w:val="center"/>
            <w:textDirection w:val="lrTb"/>
            <w:noWrap w:val="false"/>
          </w:tcPr>
          <w:p>
            <w:pPr>
              <w:pStyle w:val="1205"/>
              <w:ind w:left="0" w:right="0"/>
              <w:jc w:val="center"/>
              <w:keepLines w:val="0"/>
              <w:keepNext w:val="0"/>
              <w:pageBreakBefore w:val="0"/>
              <w:spacing w:after="0" w:line="240" w:lineRule="auto"/>
              <w:widowControl w:val="off"/>
              <w:rPr>
                <w:color w:val="auto"/>
                <w:sz w:val="24"/>
                <w:szCs w:val="24"/>
                <w:highlight w:val="none"/>
              </w:rPr>
            </w:pPr>
            <w:r>
              <w:rPr>
                <w:color w:val="auto"/>
                <w:spacing w:val="-3"/>
                <w:sz w:val="24"/>
                <w:szCs w:val="24"/>
                <w:highlight w:val="none"/>
              </w:rPr>
              <w:t xml:space="preserve">预验收得分</w:t>
            </w:r>
            <w:r/>
          </w:p>
        </w:tc>
        <w:tc>
          <w:tcPr>
            <w:tcW w:w="2486" w:type="dxa"/>
            <w:vAlign w:val="center"/>
            <w:textDirection w:val="lrTb"/>
            <w:noWrap w:val="false"/>
          </w:tcPr>
          <w:p>
            <w:pPr>
              <w:pStyle w:val="1205"/>
              <w:ind w:left="0" w:right="0"/>
              <w:jc w:val="center"/>
              <w:keepLines w:val="0"/>
              <w:keepNext w:val="0"/>
              <w:pageBreakBefore w:val="0"/>
              <w:spacing w:after="0" w:line="240" w:lineRule="auto"/>
              <w:widowControl w:val="off"/>
              <w:rPr>
                <w:color w:val="auto"/>
                <w:sz w:val="24"/>
                <w:szCs w:val="24"/>
                <w:highlight w:val="none"/>
              </w:rPr>
            </w:pPr>
            <w:r>
              <w:rPr>
                <w:color w:val="auto"/>
                <w:spacing w:val="-3"/>
                <w:sz w:val="24"/>
                <w:szCs w:val="24"/>
                <w:highlight w:val="none"/>
              </w:rPr>
              <w:t xml:space="preserve">省局验收得分</w:t>
            </w:r>
            <w:r/>
          </w:p>
        </w:tc>
      </w:tr>
      <w:tr>
        <w:trPr>
          <w:trHeight w:val="420"/>
        </w:trPr>
        <w:tc>
          <w:tcPr>
            <w:tcW w:w="1020" w:type="dxa"/>
            <w:vAlign w:val="center"/>
            <w:textDirection w:val="lrTb"/>
            <w:noWrap w:val="false"/>
          </w:tcPr>
          <w:p>
            <w:pPr>
              <w:pStyle w:val="1205"/>
              <w:ind w:left="0" w:right="0"/>
              <w:jc w:val="center"/>
              <w:keepLines w:val="0"/>
              <w:keepNext w:val="0"/>
              <w:pageBreakBefore w:val="0"/>
              <w:spacing w:after="0" w:line="240" w:lineRule="auto"/>
              <w:widowControl w:val="off"/>
              <w:rPr>
                <w:color w:val="auto"/>
                <w:sz w:val="24"/>
                <w:szCs w:val="24"/>
                <w:highlight w:val="none"/>
              </w:rPr>
            </w:pPr>
            <w:r>
              <w:rPr>
                <w:color w:val="auto"/>
                <w:spacing w:val="-7"/>
                <w:sz w:val="24"/>
                <w:szCs w:val="24"/>
                <w:highlight w:val="none"/>
              </w:rPr>
              <w:t xml:space="preserve">分数</w:t>
            </w:r>
            <w:r/>
          </w:p>
        </w:tc>
        <w:tc>
          <w:tcPr>
            <w:tcW w:w="3582" w:type="dxa"/>
            <w:vAlign w:val="center"/>
            <w:textDirection w:val="lrTb"/>
            <w:noWrap w:val="false"/>
          </w:tcPr>
          <w:p>
            <w:pPr>
              <w:ind w:left="0" w:right="0"/>
              <w:jc w:val="center"/>
              <w:keepLines w:val="0"/>
              <w:keepNext w:val="0"/>
              <w:pageBreakBefore w:val="0"/>
              <w:spacing w:after="0" w:line="240" w:lineRule="auto"/>
              <w:widowControl w:val="off"/>
              <w:rPr>
                <w:rFonts w:ascii="Arial"/>
                <w:color w:val="auto"/>
                <w:sz w:val="24"/>
                <w:szCs w:val="24"/>
                <w:highlight w:val="none"/>
              </w:rPr>
            </w:pPr>
            <w:r>
              <w:rPr>
                <w:rFonts w:ascii="Arial"/>
                <w:color w:val="auto"/>
                <w:sz w:val="24"/>
                <w:szCs w:val="24"/>
                <w:highlight w:val="none"/>
              </w:rPr>
            </w:r>
            <w:r/>
          </w:p>
        </w:tc>
        <w:tc>
          <w:tcPr>
            <w:tcW w:w="2116" w:type="dxa"/>
            <w:vAlign w:val="center"/>
            <w:textDirection w:val="lrTb"/>
            <w:noWrap w:val="false"/>
          </w:tcPr>
          <w:p>
            <w:pPr>
              <w:ind w:left="0" w:right="0"/>
              <w:jc w:val="center"/>
              <w:keepLines w:val="0"/>
              <w:keepNext w:val="0"/>
              <w:pageBreakBefore w:val="0"/>
              <w:spacing w:after="0" w:line="240" w:lineRule="auto"/>
              <w:widowControl w:val="off"/>
              <w:rPr>
                <w:rFonts w:ascii="Arial"/>
                <w:color w:val="auto"/>
                <w:sz w:val="24"/>
                <w:szCs w:val="24"/>
                <w:highlight w:val="none"/>
              </w:rPr>
            </w:pPr>
            <w:r>
              <w:rPr>
                <w:rFonts w:ascii="Arial"/>
                <w:color w:val="auto"/>
                <w:sz w:val="24"/>
                <w:szCs w:val="24"/>
                <w:highlight w:val="none"/>
              </w:rPr>
            </w:r>
            <w:r/>
          </w:p>
        </w:tc>
        <w:tc>
          <w:tcPr>
            <w:tcW w:w="2486" w:type="dxa"/>
            <w:vAlign w:val="center"/>
            <w:textDirection w:val="lrTb"/>
            <w:noWrap w:val="false"/>
          </w:tcPr>
          <w:p>
            <w:pPr>
              <w:ind w:left="0" w:right="0"/>
              <w:jc w:val="center"/>
              <w:keepLines w:val="0"/>
              <w:keepNext w:val="0"/>
              <w:pageBreakBefore w:val="0"/>
              <w:spacing w:after="0" w:line="240" w:lineRule="auto"/>
              <w:widowControl w:val="off"/>
              <w:rPr>
                <w:rFonts w:ascii="Arial"/>
                <w:color w:val="auto"/>
                <w:sz w:val="24"/>
                <w:szCs w:val="24"/>
                <w:highlight w:val="none"/>
              </w:rPr>
            </w:pPr>
            <w:r>
              <w:rPr>
                <w:rFonts w:ascii="Arial"/>
                <w:color w:val="auto"/>
                <w:sz w:val="24"/>
                <w:szCs w:val="24"/>
                <w:highlight w:val="none"/>
              </w:rPr>
            </w:r>
            <w:r/>
          </w:p>
        </w:tc>
      </w:tr>
      <w:tr>
        <w:trPr>
          <w:trHeight w:val="420"/>
        </w:trPr>
        <w:tc>
          <w:tcPr>
            <w:tcW w:w="1020" w:type="dxa"/>
            <w:vAlign w:val="center"/>
            <w:textDirection w:val="lrTb"/>
            <w:noWrap w:val="false"/>
          </w:tcPr>
          <w:p>
            <w:pPr>
              <w:pStyle w:val="1205"/>
              <w:ind w:left="0" w:right="0"/>
              <w:jc w:val="center"/>
              <w:keepLines w:val="0"/>
              <w:keepNext w:val="0"/>
              <w:pageBreakBefore w:val="0"/>
              <w:spacing w:after="0" w:line="240" w:lineRule="auto"/>
              <w:widowControl w:val="off"/>
              <w:rPr>
                <w:color w:val="auto"/>
                <w:sz w:val="24"/>
                <w:szCs w:val="24"/>
                <w:highlight w:val="none"/>
              </w:rPr>
            </w:pPr>
            <w:r>
              <w:rPr>
                <w:color w:val="auto"/>
                <w:spacing w:val="-20"/>
                <w:sz w:val="24"/>
                <w:szCs w:val="24"/>
                <w:highlight w:val="none"/>
              </w:rPr>
              <w:t xml:space="preserve">比值</w:t>
            </w:r>
            <w:r/>
          </w:p>
        </w:tc>
        <w:tc>
          <w:tcPr>
            <w:tcW w:w="3582" w:type="dxa"/>
            <w:vAlign w:val="center"/>
            <w:textDirection w:val="lrTb"/>
            <w:noWrap w:val="false"/>
          </w:tcPr>
          <w:p>
            <w:pPr>
              <w:pStyle w:val="1205"/>
              <w:ind w:left="0" w:right="0"/>
              <w:jc w:val="center"/>
              <w:keepLines w:val="0"/>
              <w:keepNext w:val="0"/>
              <w:pageBreakBefore w:val="0"/>
              <w:spacing w:after="0" w:line="240" w:lineRule="auto"/>
              <w:widowControl w:val="off"/>
              <w:rPr>
                <w:color w:val="auto"/>
                <w:sz w:val="24"/>
                <w:szCs w:val="24"/>
                <w:highlight w:val="none"/>
              </w:rPr>
            </w:pPr>
            <w:r>
              <w:rPr>
                <w:color w:val="auto"/>
                <w:spacing w:val="-4"/>
                <w:sz w:val="24"/>
                <w:szCs w:val="24"/>
                <w:highlight w:val="none"/>
              </w:rPr>
              <w:t xml:space="preserve">60%</w:t>
            </w:r>
            <w:r/>
          </w:p>
        </w:tc>
        <w:tc>
          <w:tcPr>
            <w:tcW w:w="2116" w:type="dxa"/>
            <w:vAlign w:val="center"/>
            <w:textDirection w:val="lrTb"/>
            <w:noWrap w:val="false"/>
          </w:tcPr>
          <w:p>
            <w:pPr>
              <w:pStyle w:val="1205"/>
              <w:ind w:left="0" w:right="0"/>
              <w:jc w:val="center"/>
              <w:keepLines w:val="0"/>
              <w:keepNext w:val="0"/>
              <w:pageBreakBefore w:val="0"/>
              <w:spacing w:after="0" w:line="240" w:lineRule="auto"/>
              <w:widowControl w:val="off"/>
              <w:rPr>
                <w:color w:val="auto"/>
                <w:sz w:val="24"/>
                <w:szCs w:val="24"/>
                <w:highlight w:val="none"/>
              </w:rPr>
            </w:pPr>
            <w:r>
              <w:rPr>
                <w:color w:val="auto"/>
                <w:spacing w:val="-5"/>
                <w:sz w:val="24"/>
                <w:szCs w:val="24"/>
                <w:highlight w:val="none"/>
              </w:rPr>
              <w:t xml:space="preserve">30%</w:t>
            </w:r>
            <w:r/>
          </w:p>
        </w:tc>
        <w:tc>
          <w:tcPr>
            <w:tcW w:w="2486" w:type="dxa"/>
            <w:vAlign w:val="center"/>
            <w:textDirection w:val="lrTb"/>
            <w:noWrap w:val="false"/>
          </w:tcPr>
          <w:p>
            <w:pPr>
              <w:pStyle w:val="1205"/>
              <w:ind w:left="0" w:right="0"/>
              <w:jc w:val="center"/>
              <w:keepLines w:val="0"/>
              <w:keepNext w:val="0"/>
              <w:pageBreakBefore w:val="0"/>
              <w:spacing w:after="0" w:line="240" w:lineRule="auto"/>
              <w:widowControl w:val="off"/>
              <w:rPr>
                <w:color w:val="auto"/>
                <w:sz w:val="24"/>
                <w:szCs w:val="24"/>
                <w:highlight w:val="none"/>
              </w:rPr>
            </w:pPr>
            <w:r>
              <w:rPr>
                <w:color w:val="auto"/>
                <w:spacing w:val="-11"/>
                <w:sz w:val="24"/>
                <w:szCs w:val="24"/>
                <w:highlight w:val="none"/>
              </w:rPr>
              <w:t xml:space="preserve">10%</w:t>
            </w:r>
            <w:r/>
          </w:p>
        </w:tc>
      </w:tr>
      <w:tr>
        <w:trPr>
          <w:trHeight w:val="420"/>
        </w:trPr>
        <w:tc>
          <w:tcPr>
            <w:tcW w:w="1020" w:type="dxa"/>
            <w:vAlign w:val="center"/>
            <w:textDirection w:val="lrTb"/>
            <w:noWrap w:val="false"/>
          </w:tcPr>
          <w:p>
            <w:pPr>
              <w:pStyle w:val="1205"/>
              <w:ind w:left="0" w:right="0"/>
              <w:jc w:val="center"/>
              <w:keepLines w:val="0"/>
              <w:keepNext w:val="0"/>
              <w:pageBreakBefore w:val="0"/>
              <w:spacing w:after="0" w:line="240" w:lineRule="auto"/>
              <w:widowControl w:val="off"/>
              <w:rPr>
                <w:color w:val="auto"/>
                <w:sz w:val="24"/>
                <w:szCs w:val="24"/>
                <w:highlight w:val="none"/>
              </w:rPr>
            </w:pPr>
            <w:r>
              <w:rPr>
                <w:color w:val="auto"/>
                <w:spacing w:val="-7"/>
                <w:sz w:val="24"/>
                <w:szCs w:val="24"/>
                <w:highlight w:val="none"/>
              </w:rPr>
              <w:t xml:space="preserve">分值</w:t>
            </w:r>
            <w:r/>
          </w:p>
        </w:tc>
        <w:tc>
          <w:tcPr>
            <w:tcW w:w="3582" w:type="dxa"/>
            <w:vAlign w:val="center"/>
            <w:textDirection w:val="lrTb"/>
            <w:noWrap w:val="false"/>
          </w:tcPr>
          <w:p>
            <w:pPr>
              <w:ind w:left="0" w:right="0"/>
              <w:jc w:val="center"/>
              <w:keepLines w:val="0"/>
              <w:keepNext w:val="0"/>
              <w:pageBreakBefore w:val="0"/>
              <w:spacing w:after="0" w:line="240" w:lineRule="auto"/>
              <w:widowControl w:val="off"/>
              <w:rPr>
                <w:rFonts w:ascii="Arial"/>
                <w:color w:val="auto"/>
                <w:sz w:val="24"/>
                <w:szCs w:val="24"/>
                <w:highlight w:val="none"/>
              </w:rPr>
            </w:pPr>
            <w:r>
              <w:rPr>
                <w:rFonts w:ascii="Arial"/>
                <w:color w:val="auto"/>
                <w:sz w:val="24"/>
                <w:szCs w:val="24"/>
                <w:highlight w:val="none"/>
              </w:rPr>
            </w:r>
            <w:r/>
          </w:p>
        </w:tc>
        <w:tc>
          <w:tcPr>
            <w:tcW w:w="2116" w:type="dxa"/>
            <w:vAlign w:val="center"/>
            <w:textDirection w:val="lrTb"/>
            <w:noWrap w:val="false"/>
          </w:tcPr>
          <w:p>
            <w:pPr>
              <w:ind w:left="0" w:right="0"/>
              <w:jc w:val="center"/>
              <w:keepLines w:val="0"/>
              <w:keepNext w:val="0"/>
              <w:pageBreakBefore w:val="0"/>
              <w:spacing w:after="0" w:line="240" w:lineRule="auto"/>
              <w:widowControl w:val="off"/>
              <w:rPr>
                <w:rFonts w:ascii="Arial"/>
                <w:color w:val="auto"/>
                <w:sz w:val="24"/>
                <w:szCs w:val="24"/>
                <w:highlight w:val="none"/>
              </w:rPr>
            </w:pPr>
            <w:r>
              <w:rPr>
                <w:rFonts w:ascii="Arial"/>
                <w:color w:val="auto"/>
                <w:sz w:val="24"/>
                <w:szCs w:val="24"/>
                <w:highlight w:val="none"/>
              </w:rPr>
            </w:r>
            <w:r/>
          </w:p>
        </w:tc>
        <w:tc>
          <w:tcPr>
            <w:tcW w:w="2486" w:type="dxa"/>
            <w:vAlign w:val="center"/>
            <w:textDirection w:val="lrTb"/>
            <w:noWrap w:val="false"/>
          </w:tcPr>
          <w:p>
            <w:pPr>
              <w:ind w:left="0" w:right="0"/>
              <w:jc w:val="center"/>
              <w:keepLines w:val="0"/>
              <w:keepNext w:val="0"/>
              <w:pageBreakBefore w:val="0"/>
              <w:spacing w:after="0" w:line="240" w:lineRule="auto"/>
              <w:widowControl w:val="off"/>
              <w:rPr>
                <w:rFonts w:ascii="Arial"/>
                <w:color w:val="auto"/>
                <w:sz w:val="24"/>
                <w:szCs w:val="24"/>
                <w:highlight w:val="none"/>
              </w:rPr>
            </w:pPr>
            <w:r>
              <w:rPr>
                <w:rFonts w:ascii="Arial"/>
                <w:color w:val="auto"/>
                <w:sz w:val="24"/>
                <w:szCs w:val="24"/>
                <w:highlight w:val="none"/>
              </w:rPr>
            </w:r>
            <w:r/>
          </w:p>
        </w:tc>
      </w:tr>
      <w:tr>
        <w:trPr>
          <w:trHeight w:val="420"/>
        </w:trPr>
        <w:tc>
          <w:tcPr>
            <w:tcW w:w="1020" w:type="dxa"/>
            <w:vAlign w:val="center"/>
            <w:textDirection w:val="lrTb"/>
            <w:noWrap w:val="false"/>
          </w:tcPr>
          <w:p>
            <w:pPr>
              <w:pStyle w:val="1205"/>
              <w:ind w:left="0" w:right="0"/>
              <w:jc w:val="center"/>
              <w:keepLines w:val="0"/>
              <w:keepNext w:val="0"/>
              <w:pageBreakBefore w:val="0"/>
              <w:spacing w:after="0" w:line="240" w:lineRule="auto"/>
              <w:widowControl w:val="off"/>
              <w:rPr>
                <w:color w:val="auto"/>
                <w:sz w:val="24"/>
                <w:szCs w:val="24"/>
                <w:highlight w:val="none"/>
              </w:rPr>
            </w:pPr>
            <w:r>
              <w:rPr>
                <w:color w:val="auto"/>
                <w:spacing w:val="-9"/>
                <w:sz w:val="24"/>
                <w:szCs w:val="24"/>
                <w:highlight w:val="none"/>
              </w:rPr>
              <w:t xml:space="preserve">总分</w:t>
            </w:r>
            <w:r/>
          </w:p>
        </w:tc>
        <w:tc>
          <w:tcPr>
            <w:gridSpan w:val="3"/>
            <w:tcW w:w="8184" w:type="dxa"/>
            <w:vAlign w:val="center"/>
            <w:textDirection w:val="lrTb"/>
            <w:noWrap w:val="false"/>
          </w:tcPr>
          <w:p>
            <w:pPr>
              <w:ind w:left="0" w:right="0"/>
              <w:jc w:val="center"/>
              <w:keepLines w:val="0"/>
              <w:keepNext w:val="0"/>
              <w:pageBreakBefore w:val="0"/>
              <w:spacing w:after="0" w:line="240" w:lineRule="auto"/>
              <w:widowControl w:val="off"/>
              <w:rPr>
                <w:rFonts w:ascii="Arial"/>
                <w:color w:val="auto"/>
                <w:sz w:val="24"/>
                <w:szCs w:val="24"/>
                <w:highlight w:val="none"/>
              </w:rPr>
            </w:pPr>
            <w:r>
              <w:rPr>
                <w:rFonts w:ascii="Arial"/>
                <w:color w:val="auto"/>
                <w:sz w:val="24"/>
                <w:szCs w:val="24"/>
                <w:highlight w:val="none"/>
              </w:rPr>
            </w:r>
            <w:r/>
          </w:p>
        </w:tc>
      </w:tr>
      <w:tr>
        <w:trPr>
          <w:trHeight w:val="420"/>
        </w:trPr>
        <w:tc>
          <w:tcPr>
            <w:gridSpan w:val="4"/>
            <w:tcW w:w="9204" w:type="dxa"/>
            <w:vAlign w:val="center"/>
            <w:textDirection w:val="lrTb"/>
            <w:noWrap w:val="false"/>
          </w:tcPr>
          <w:p>
            <w:pPr>
              <w:ind w:left="0" w:right="0"/>
              <w:jc w:val="center"/>
              <w:keepLines w:val="0"/>
              <w:keepNext w:val="0"/>
              <w:pageBreakBefore w:val="0"/>
              <w:spacing w:after="0" w:line="240" w:lineRule="auto"/>
              <w:widowControl w:val="off"/>
              <w:rPr>
                <w:rFonts w:ascii="Arial"/>
                <w:color w:val="auto"/>
                <w:sz w:val="24"/>
                <w:szCs w:val="24"/>
                <w:highlight w:val="none"/>
              </w:rPr>
            </w:pPr>
            <w:r>
              <w:rPr>
                <w:rFonts w:ascii="Arial"/>
                <w:color w:val="auto"/>
                <w:sz w:val="24"/>
                <w:szCs w:val="24"/>
                <w:highlight w:val="none"/>
              </w:rPr>
            </w:r>
            <w:r/>
          </w:p>
          <w:p>
            <w:pPr>
              <w:pStyle w:val="1205"/>
              <w:ind w:left="0" w:right="0"/>
              <w:jc w:val="left"/>
              <w:keepLines w:val="0"/>
              <w:keepNext w:val="0"/>
              <w:pageBreakBefore w:val="0"/>
              <w:spacing w:after="0" w:line="240" w:lineRule="auto"/>
              <w:widowControl w:val="off"/>
              <w:rPr>
                <w:color w:val="auto"/>
                <w:sz w:val="24"/>
                <w:szCs w:val="24"/>
                <w:highlight w:val="none"/>
              </w:rPr>
            </w:pPr>
            <w:r>
              <w:rPr>
                <w:color w:val="auto"/>
                <w:spacing w:val="-2"/>
                <w:sz w:val="24"/>
                <w:szCs w:val="24"/>
                <w:highlight w:val="none"/>
              </w:rPr>
              <w:t xml:space="preserve">注：考核结果及运用</w:t>
            </w:r>
            <w:r/>
          </w:p>
          <w:p>
            <w:pPr>
              <w:pStyle w:val="1205"/>
              <w:ind w:left="0" w:right="0"/>
              <w:jc w:val="left"/>
              <w:keepLines w:val="0"/>
              <w:keepNext w:val="0"/>
              <w:pageBreakBefore w:val="0"/>
              <w:spacing w:after="0" w:line="240" w:lineRule="auto"/>
              <w:widowControl w:val="off"/>
              <w:rPr>
                <w:color w:val="auto"/>
                <w:sz w:val="24"/>
                <w:szCs w:val="24"/>
                <w:highlight w:val="none"/>
              </w:rPr>
            </w:pPr>
            <w:r>
              <w:rPr>
                <w:color w:val="auto"/>
                <w:spacing w:val="-1"/>
                <w:sz w:val="24"/>
                <w:szCs w:val="24"/>
                <w:highlight w:val="none"/>
              </w:rPr>
              <w:t xml:space="preserve">①总分≥8</w:t>
            </w:r>
            <w:r>
              <w:rPr>
                <w:rFonts w:hint="eastAsia"/>
                <w:color w:val="auto"/>
                <w:spacing w:val="-1"/>
                <w:sz w:val="24"/>
                <w:szCs w:val="24"/>
                <w:highlight w:val="none"/>
                <w:lang w:val="en-US" w:eastAsia="zh-CN"/>
              </w:rPr>
              <w:t xml:space="preserve">0</w:t>
            </w:r>
            <w:r>
              <w:rPr>
                <w:color w:val="auto"/>
                <w:spacing w:val="-58"/>
                <w:sz w:val="24"/>
                <w:szCs w:val="24"/>
                <w:highlight w:val="none"/>
              </w:rPr>
              <w:t xml:space="preserve"> </w:t>
            </w:r>
            <w:r>
              <w:rPr>
                <w:color w:val="auto"/>
                <w:spacing w:val="-1"/>
                <w:sz w:val="24"/>
                <w:szCs w:val="24"/>
                <w:highlight w:val="none"/>
              </w:rPr>
              <w:t xml:space="preserve">分，全额结算该考核项目服务费用；</w:t>
            </w:r>
            <w:r/>
          </w:p>
          <w:p>
            <w:pPr>
              <w:pStyle w:val="1205"/>
              <w:ind w:left="0" w:right="0"/>
              <w:jc w:val="left"/>
              <w:keepLines w:val="0"/>
              <w:keepNext w:val="0"/>
              <w:pageBreakBefore w:val="0"/>
              <w:spacing w:after="0" w:line="240" w:lineRule="auto"/>
              <w:widowControl w:val="off"/>
              <w:rPr>
                <w:color w:val="auto"/>
                <w:sz w:val="24"/>
                <w:szCs w:val="24"/>
                <w:highlight w:val="none"/>
              </w:rPr>
            </w:pPr>
            <w:r>
              <w:rPr>
                <w:color w:val="auto"/>
                <w:spacing w:val="5"/>
                <w:sz w:val="24"/>
                <w:szCs w:val="24"/>
                <w:highlight w:val="none"/>
              </w:rPr>
              <w:t xml:space="preserve">②70</w:t>
            </w:r>
            <w:r>
              <w:rPr>
                <w:color w:val="auto"/>
                <w:spacing w:val="-53"/>
                <w:sz w:val="24"/>
                <w:szCs w:val="24"/>
                <w:highlight w:val="none"/>
              </w:rPr>
              <w:t xml:space="preserve"> </w:t>
            </w:r>
            <w:r>
              <w:rPr>
                <w:color w:val="auto"/>
                <w:spacing w:val="5"/>
                <w:sz w:val="24"/>
                <w:szCs w:val="24"/>
                <w:highlight w:val="none"/>
              </w:rPr>
              <w:t xml:space="preserve">分≤总分＜8</w:t>
            </w:r>
            <w:r>
              <w:rPr>
                <w:rFonts w:hint="eastAsia"/>
                <w:color w:val="auto"/>
                <w:spacing w:val="5"/>
                <w:sz w:val="24"/>
                <w:szCs w:val="24"/>
                <w:highlight w:val="none"/>
                <w:lang w:val="en-US" w:eastAsia="zh-CN"/>
              </w:rPr>
              <w:t xml:space="preserve">0</w:t>
            </w:r>
            <w:r>
              <w:rPr>
                <w:color w:val="auto"/>
                <w:spacing w:val="5"/>
                <w:sz w:val="24"/>
                <w:szCs w:val="24"/>
                <w:highlight w:val="none"/>
              </w:rPr>
              <w:t xml:space="preserve">分，扣除该考核项目服务费用的5%;</w:t>
            </w:r>
            <w:r/>
          </w:p>
          <w:p>
            <w:pPr>
              <w:pStyle w:val="1205"/>
              <w:ind w:left="0" w:right="0"/>
              <w:jc w:val="left"/>
              <w:keepLines w:val="0"/>
              <w:keepNext w:val="0"/>
              <w:pageBreakBefore w:val="0"/>
              <w:spacing w:after="0" w:line="240" w:lineRule="auto"/>
              <w:widowControl w:val="off"/>
              <w:rPr>
                <w:color w:val="auto"/>
                <w:sz w:val="24"/>
                <w:szCs w:val="24"/>
                <w:highlight w:val="none"/>
              </w:rPr>
            </w:pPr>
            <w:r>
              <w:rPr>
                <w:color w:val="auto"/>
                <w:spacing w:val="1"/>
                <w:sz w:val="24"/>
                <w:szCs w:val="24"/>
                <w:highlight w:val="none"/>
              </w:rPr>
              <w:t xml:space="preserve">③60</w:t>
            </w:r>
            <w:r>
              <w:rPr>
                <w:color w:val="auto"/>
                <w:spacing w:val="-46"/>
                <w:sz w:val="24"/>
                <w:szCs w:val="24"/>
                <w:highlight w:val="none"/>
              </w:rPr>
              <w:t xml:space="preserve"> </w:t>
            </w:r>
            <w:r>
              <w:rPr>
                <w:color w:val="auto"/>
                <w:spacing w:val="1"/>
                <w:sz w:val="24"/>
                <w:szCs w:val="24"/>
                <w:highlight w:val="none"/>
              </w:rPr>
              <w:t xml:space="preserve">分≤总分＜70</w:t>
            </w:r>
            <w:r>
              <w:rPr>
                <w:color w:val="auto"/>
                <w:spacing w:val="-57"/>
                <w:sz w:val="24"/>
                <w:szCs w:val="24"/>
                <w:highlight w:val="none"/>
              </w:rPr>
              <w:t xml:space="preserve"> </w:t>
            </w:r>
            <w:r>
              <w:rPr>
                <w:color w:val="auto"/>
                <w:spacing w:val="1"/>
                <w:sz w:val="24"/>
                <w:szCs w:val="24"/>
                <w:highlight w:val="none"/>
              </w:rPr>
              <w:t xml:space="preserve">分，扣除该考核项目服务费用的</w:t>
            </w:r>
            <w:r>
              <w:rPr>
                <w:color w:val="auto"/>
                <w:spacing w:val="-41"/>
                <w:sz w:val="24"/>
                <w:szCs w:val="24"/>
                <w:highlight w:val="none"/>
              </w:rPr>
              <w:t xml:space="preserve"> </w:t>
            </w:r>
            <w:r>
              <w:rPr>
                <w:color w:val="auto"/>
                <w:spacing w:val="1"/>
                <w:sz w:val="24"/>
                <w:szCs w:val="24"/>
                <w:highlight w:val="none"/>
              </w:rPr>
              <w:t xml:space="preserve">10%;</w:t>
            </w:r>
            <w:r/>
          </w:p>
          <w:p>
            <w:pPr>
              <w:pStyle w:val="1205"/>
              <w:ind w:left="0" w:right="0"/>
              <w:jc w:val="left"/>
              <w:keepLines w:val="0"/>
              <w:keepNext w:val="0"/>
              <w:pageBreakBefore w:val="0"/>
              <w:spacing w:after="0" w:line="240" w:lineRule="auto"/>
              <w:widowControl w:val="off"/>
              <w:rPr>
                <w:color w:val="auto"/>
                <w:sz w:val="24"/>
                <w:szCs w:val="24"/>
                <w:highlight w:val="none"/>
              </w:rPr>
            </w:pPr>
            <w:r>
              <w:rPr>
                <w:color w:val="auto"/>
                <w:spacing w:val="2"/>
                <w:sz w:val="24"/>
                <w:szCs w:val="24"/>
                <w:highlight w:val="none"/>
              </w:rPr>
              <w:t xml:space="preserve">④总分＜60</w:t>
            </w:r>
            <w:r>
              <w:rPr>
                <w:color w:val="auto"/>
                <w:spacing w:val="-47"/>
                <w:sz w:val="24"/>
                <w:szCs w:val="24"/>
                <w:highlight w:val="none"/>
              </w:rPr>
              <w:t xml:space="preserve"> </w:t>
            </w:r>
            <w:r>
              <w:rPr>
                <w:color w:val="auto"/>
                <w:spacing w:val="2"/>
                <w:sz w:val="24"/>
                <w:szCs w:val="24"/>
                <w:highlight w:val="none"/>
              </w:rPr>
              <w:t xml:space="preserve">分为不合格，扣除该考核项目服务费用的</w:t>
            </w:r>
            <w:r>
              <w:rPr>
                <w:color w:val="auto"/>
                <w:spacing w:val="-54"/>
                <w:sz w:val="24"/>
                <w:szCs w:val="24"/>
                <w:highlight w:val="none"/>
              </w:rPr>
              <w:t xml:space="preserve"> </w:t>
            </w:r>
            <w:r>
              <w:rPr>
                <w:color w:val="auto"/>
                <w:spacing w:val="2"/>
                <w:sz w:val="24"/>
                <w:szCs w:val="24"/>
                <w:highlight w:val="none"/>
              </w:rPr>
              <w:t xml:space="preserve">50%;</w:t>
            </w:r>
            <w:r/>
          </w:p>
          <w:p>
            <w:pPr>
              <w:pStyle w:val="1205"/>
              <w:ind w:left="0" w:right="0" w:hanging="3"/>
              <w:jc w:val="left"/>
              <w:keepLines w:val="0"/>
              <w:keepNext w:val="0"/>
              <w:pageBreakBefore w:val="0"/>
              <w:spacing w:after="0" w:line="240" w:lineRule="auto"/>
              <w:widowControl w:val="off"/>
              <w:rPr>
                <w:color w:val="auto"/>
                <w:sz w:val="24"/>
                <w:szCs w:val="24"/>
                <w:highlight w:val="none"/>
              </w:rPr>
            </w:pPr>
            <w:r>
              <w:rPr>
                <w:color w:val="auto"/>
                <w:sz w:val="24"/>
                <w:szCs w:val="24"/>
                <w:highlight w:val="none"/>
              </w:rPr>
              <w:t xml:space="preserve">⑤乙方在合同履行期限内，如果经甲方考核，合计两次</w:t>
            </w:r>
            <w:r>
              <w:rPr>
                <w:color w:val="auto"/>
                <w:spacing w:val="-1"/>
                <w:sz w:val="24"/>
                <w:szCs w:val="24"/>
                <w:highlight w:val="none"/>
              </w:rPr>
              <w:t xml:space="preserve">/项不合格的，甲方有权直接解除合同，取消其中标资格，重新组织招标活动。</w:t>
            </w:r>
            <w:r/>
          </w:p>
        </w:tc>
      </w:tr>
    </w:tbl>
    <w:p>
      <w:pPr>
        <w:pStyle w:val="962"/>
        <w:rPr>
          <w:color w:val="auto"/>
          <w:highlight w:val="none"/>
        </w:rPr>
      </w:pPr>
      <w:r>
        <w:rPr>
          <w:color w:val="auto"/>
          <w:highlight w:val="none"/>
        </w:rPr>
      </w:r>
      <w:r/>
    </w:p>
    <w:p>
      <w:pPr>
        <w:rPr>
          <w:color w:val="auto"/>
          <w:highlight w:val="none"/>
        </w:rPr>
        <w:sectPr>
          <w:footerReference w:type="default" r:id="rId16"/>
          <w:footnotePr/>
          <w:endnotePr/>
          <w:type w:val="nextPage"/>
          <w:pgSz w:w="11906" w:h="16839" w:orient="portrait"/>
          <w:pgMar w:top="1134" w:right="1134" w:bottom="1134" w:left="1134" w:header="822" w:footer="1159" w:gutter="0"/>
          <w:cols w:num="1" w:sep="0" w:space="720" w:equalWidth="1"/>
          <w:docGrid w:linePitch="360"/>
        </w:sectPr>
      </w:pPr>
      <w:r>
        <w:rPr>
          <w:color w:val="auto"/>
          <w:highlight w:val="none"/>
        </w:rPr>
      </w:r>
      <w:r/>
    </w:p>
    <w:p>
      <w:pPr>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附件</w:t>
      </w:r>
      <w:r>
        <w:rPr>
          <w:rFonts w:hint="eastAsia" w:ascii="宋体" w:hAnsi="宋体" w:eastAsia="宋体" w:cs="宋体"/>
          <w:bCs/>
          <w:color w:val="auto"/>
          <w:sz w:val="24"/>
          <w:szCs w:val="24"/>
          <w:highlight w:val="none"/>
          <w:lang w:val="en-US" w:eastAsia="zh-CN"/>
        </w:rPr>
        <w:t xml:space="preserve">二</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安全协议书</w:t>
      </w:r>
      <w:r/>
    </w:p>
    <w:p>
      <w:pPr>
        <w:contextualSpacing/>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安全协议书</w:t>
      </w:r>
      <w:r/>
    </w:p>
    <w:p>
      <w:pPr>
        <w:contextualSpacing/>
        <w:ind w:firstLine="480"/>
        <w:keepLines w:val="0"/>
        <w:keepNext w:val="0"/>
        <w:pageBreakBefore w:val="0"/>
        <w:spacing w:after="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古发掘工作安全协议书是为确保考古发掘工作遵循“安全第一、预防为主”的原则，规范考古发掘工地的安全管理制度，使考古发掘安全管理工作做到标准化与规范化，提高考古工地人员的安全意识，确保考古发掘工作的项目安全、人员安全、文物安全，防止和避免因工作失误和安全措施不到位诱发的责任事故。</w:t>
      </w:r>
      <w:r/>
    </w:p>
    <w:p>
      <w:pPr>
        <w:contextualSpacing/>
        <w:keepLines w:val="0"/>
        <w:keepNext w:val="0"/>
        <w:pageBreakBefore w:val="0"/>
        <w:spacing w:after="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经双方友好协商，</w:t>
      </w:r>
      <w:r>
        <w:rPr>
          <w:rFonts w:hint="eastAsia" w:ascii="宋体" w:hAnsi="宋体" w:eastAsia="宋体" w:cs="宋体"/>
          <w:color w:val="auto"/>
          <w:sz w:val="24"/>
          <w:szCs w:val="24"/>
          <w:highlight w:val="none"/>
          <w:lang w:eastAsia="zh-CN"/>
        </w:rPr>
        <w:t xml:space="preserve">签订</w:t>
      </w:r>
      <w:r>
        <w:rPr>
          <w:rFonts w:hint="eastAsia" w:ascii="宋体" w:hAnsi="宋体" w:eastAsia="宋体" w:cs="宋体"/>
          <w:color w:val="auto"/>
          <w:sz w:val="24"/>
          <w:szCs w:val="24"/>
          <w:highlight w:val="none"/>
        </w:rPr>
        <w:t xml:space="preserve">安全协议如下：</w:t>
      </w:r>
      <w:r/>
    </w:p>
    <w:p>
      <w:pPr>
        <w:contextualSpacing/>
        <w:ind w:firstLine="480"/>
        <w:keepLines w:val="0"/>
        <w:keepNext w:val="0"/>
        <w:pageBreakBefore w:val="0"/>
        <w:spacing w:after="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一、供应商必须依据国家有关</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建立健全考古项目的安全制度和操作规范、工作规范，负责对所属人员进行项目安全教育，使其了解文物保护法及相关操作规程、规范，并随时接受采购人和文物行政管理部门的安全监督、检查及抽查工作。</w:t>
      </w:r>
      <w:r/>
    </w:p>
    <w:p>
      <w:pPr>
        <w:contextualSpacing/>
        <w:ind w:firstLine="480"/>
        <w:keepLines w:val="0"/>
        <w:keepNext w:val="0"/>
        <w:pageBreakBefore w:val="0"/>
        <w:spacing w:after="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二、供应商在考古工作过程中，必须严格遵守土地建设方及采购人对考古现场的安全指挥。供应商对土地建设方及采购人提出的违反操作规程及安全的要求有权拒绝。</w:t>
      </w:r>
      <w:r/>
    </w:p>
    <w:p>
      <w:pPr>
        <w:contextualSpacing/>
        <w:ind w:firstLine="480"/>
        <w:keepLines w:val="0"/>
        <w:keepNext w:val="0"/>
        <w:pageBreakBefore w:val="0"/>
        <w:spacing w:after="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三、考古发掘工作完成后，供应商应及时将相关资料如数移交采购人保管，不得损坏或遗失。</w:t>
      </w:r>
      <w:r/>
    </w:p>
    <w:p>
      <w:pPr>
        <w:contextualSpacing/>
        <w:ind w:firstLine="480"/>
        <w:keepLines w:val="0"/>
        <w:keepNext w:val="0"/>
        <w:pageBreakBefore w:val="0"/>
        <w:spacing w:after="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供应商必须重视消防工作、建立严格的用火用电制度。室内不得使用明火，住人房间不得使用蜂窝煤炉取暖，电器要符合国家规定标准，不得使用危险电器及易燃易爆物品。由于供应商人员违规操作、违章用电、用煤及煤气而引起的一切事故由供应商负责。</w:t>
      </w:r>
      <w:r/>
    </w:p>
    <w:p>
      <w:pPr>
        <w:contextualSpacing/>
        <w:ind w:firstLine="480"/>
        <w:keepLines w:val="0"/>
        <w:keepNext w:val="0"/>
        <w:pageBreakBefore w:val="0"/>
        <w:spacing w:after="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考古发掘安全工作要做到全天候、全方位专人值守、巡逻，直至工作结束。严禁空岗、漏岗、酗酒滋事等现象的发生。供应商值班人员应具有认真负责的态度和处理偷盗、火灾及其他突发事件的能力。由于供应商值守、巡逻人员玩忽职守或不当行为所造成的一切后果由供应商负责承担。</w:t>
      </w:r>
      <w:r/>
    </w:p>
    <w:p>
      <w:pPr>
        <w:contextualSpacing/>
        <w:ind w:firstLine="480"/>
        <w:keepLines w:val="0"/>
        <w:keepNext w:val="0"/>
        <w:pageBreakBefore w:val="0"/>
        <w:spacing w:after="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六、供应商项目、生活范围内的人员和财产安全由供应商自行负责。</w:t>
      </w:r>
      <w:r/>
    </w:p>
    <w:p>
      <w:pPr>
        <w:contextualSpacing/>
        <w:ind w:firstLine="480"/>
        <w:keepLines w:val="0"/>
        <w:keepNext w:val="0"/>
        <w:pageBreakBefore w:val="0"/>
        <w:spacing w:after="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七、供应商应保障所属人员的劳动安全，自备必要的劳动防护用品，防止因自然、气候环境突变引起的各项事故。由供应商不具备劳动安全条件所引发的事故由供应商自行负责。</w:t>
      </w:r>
      <w:r/>
    </w:p>
    <w:p>
      <w:pPr>
        <w:contextualSpacing/>
        <w:ind w:firstLine="480"/>
        <w:keepLines w:val="0"/>
        <w:keepNext w:val="0"/>
        <w:pageBreakBefore w:val="0"/>
        <w:spacing w:after="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八、供应商人员出现生病、工伤、死亡等情况由供应商自行解决和负责。</w:t>
      </w:r>
      <w:r/>
    </w:p>
    <w:p>
      <w:pPr>
        <w:contextualSpacing/>
        <w:ind w:firstLine="480"/>
        <w:keepLines w:val="0"/>
        <w:keepNext w:val="0"/>
        <w:pageBreakBefore w:val="0"/>
        <w:spacing w:after="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九、本协议一式肆份，双方各执贰份。经双方代表签字盖章后生效，未尽事宜，双方再行具体协商解决。</w:t>
      </w:r>
      <w:r/>
    </w:p>
    <w:p>
      <w:pPr>
        <w:contextualSpacing/>
        <w:ind w:firstLine="480"/>
        <w:keepLines w:val="0"/>
        <w:keepNext w:val="0"/>
        <w:pageBreakBefore w:val="0"/>
        <w:spacing w:after="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甲方（采购人）：                           乙方（供应商）：</w:t>
      </w:r>
      <w:r/>
    </w:p>
    <w:p>
      <w:pPr>
        <w:contextualSpacing/>
        <w:ind w:firstLine="480"/>
        <w:keepLines w:val="0"/>
        <w:keepNext w:val="0"/>
        <w:pageBreakBefore w:val="0"/>
        <w:spacing w:after="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代表人：</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代表人：</w:t>
      </w:r>
      <w:r/>
    </w:p>
    <w:p>
      <w:pPr>
        <w:contextualSpacing/>
        <w:ind w:firstLine="480"/>
        <w:keepLines w:val="0"/>
        <w:keepNext w:val="0"/>
        <w:pageBreakBefore w:val="0"/>
        <w:spacing w:after="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日期：</w:t>
      </w:r>
      <w:r/>
    </w:p>
    <w:p>
      <w:pPr>
        <w:pStyle w:val="1193"/>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193"/>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193"/>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附件</w:t>
      </w:r>
      <w:r>
        <w:rPr>
          <w:rFonts w:hint="eastAsia" w:hAnsi="宋体" w:eastAsia="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rPr>
        <w:t xml:space="preserve">：</w:t>
      </w:r>
      <w:r/>
    </w:p>
    <w:p>
      <w:pPr>
        <w:pStyle w:val="1193"/>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廉政协议书</w:t>
      </w:r>
      <w:r/>
    </w:p>
    <w:p>
      <w:pPr>
        <w:contextualSpacing/>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为了贯彻落实党中央、国务院《关于实行党风廉政建设责任制的规定》和国家及苏州市有关廉政建设的法律法规，加强项目实施中的党风廉政建设，保持廉洁自律的工作作风，防止各种不正当行为的发生，保证项目实施优质高效、健康有序地进行，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（以下简称“采购人”）就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（以下简称“供应商”）订立如下协议：</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一、双方约定  </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1、双方应共同遵守国家和省、市以及行政主管部门关于党风廉政建设的各项规定。  </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2、双方应认真执行约定的合同文件，自觉按合同办事。  </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3、除非法律认定的商业秘密和合同文件另有规定之外，双方的业务活动应坚持公开、公正、透明的原则，严禁搞损害国家和集体利益、违反项目实施管理规章制度的不正当交易。  </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4、双方应加强对本方人员的廉政监督，建立和健全廉政制度，认真查处本方的违法违纪行为。</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5、双方有对本方人员开展廉政告知、廉政教育和职业道德教育的义务。  </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6、双方如发现对方在业务活动中有不廉洁行为，有及时提醒对方并督促其纠正的权利和义务。</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二、采购人在廉政建设方面的责任  </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1、采购人及其工作人员不得以任何形式向供应商索要和收受回扣。  </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2、采购人及其工作人员不得接受供应商的礼金、有价证券和贵重物品，不得在供应商处报销任何应由个人支付的费用。  </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3、采购人工作人员不得参加可能对公正执行公务有影响的宴请和娱乐、旅游活动。  </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4、采购人及其工作人员不得要求或者接受供应商为其住房装修、婚丧嫁娶、家属子女的工作安排以及出国等提供方便。  </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5、采购人工作人员不得在家里或宿舍接待供应商有关项目事项询访。  </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三、供应商在廉政建设方面的责任  </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1、供应商不得以任何理由向采购人工作人员行贿或馈赠礼品。  </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2、供应商不得以任何名义为采购人及其工作人员报支需由其个人支付的任何费用。  </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3、供应商不得以任何理由邀请采购人工作人员参加由公款支付的娱乐性活动。  </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4、供应商不得为采购人购置或提供通讯工具、交通工具、家电和高档办公用品。</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5、供应商人员不得到采购人工作人员家里或宿舍里询访有关项目实施事项。  </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四、违约责任  </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1、采购人有违反约定的，除按采购人单位的廉政建设规定和有关行业规定处罚外，另外需承担违约金1000元和5000元；给供应商单位造成损失的，应予以赔偿。</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2、供应商有违反约定的，除按供应商单位的廉政建设规定和有关行业规定处罚外，视情节轻重和造成损失大小分别给予合同价款1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至5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（最高不超过合同价款的5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）的违约金或采购人将报请行政主管部门给予供应商1-3年内不得进入政府采购活动的处罚。</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五、对监督的约定  </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双方约定：本协议由双方或双方上级单位的纪检监察机关负责监督执行，由采购人或上级单位的纪检监察机关，约请供应商或供应商上级单位的纪检监察机关对本协议执行情况的检查，提出在本协议规定范围内的裁定意见，执行协议第四条所规定的处罚。</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本协议作为项目合同的附件，与项目合同具有同等的法律效力，经协议双方签署后立即生效。</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甲方（采购人）：                           乙方（供应商）：</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代表人：</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代表人：</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w:t>
      </w:r>
      <w:r/>
    </w:p>
    <w:p>
      <w:pPr>
        <w:contextualSpacing/>
        <w:ind w:firstLine="480"/>
        <w:spacing w:line="360" w:lineRule="auto"/>
        <w:rPr>
          <w:rFonts w:hint="eastAsia" w:ascii="宋体" w:hAnsi="宋体" w:eastAsia="宋体" w:cs="宋体"/>
          <w:b/>
          <w:bCs w:val="0"/>
          <w:color w:val="auto"/>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日期：</w:t>
      </w:r>
      <w:r/>
    </w:p>
    <w:p>
      <w:pPr>
        <w:jc w:val="center"/>
        <w:spacing w:line="360" w:lineRule="auto"/>
        <w:rPr>
          <w:rFonts w:hint="eastAsia" w:ascii="宋体" w:hAnsi="宋体" w:cs="宋体"/>
          <w:bCs/>
          <w:color w:val="auto"/>
          <w:sz w:val="44"/>
          <w:szCs w:val="32"/>
          <w:highlight w:val="none"/>
        </w:rPr>
        <w:outlineLvl w:val="0"/>
      </w:pPr>
      <w:r>
        <w:rPr>
          <w:rFonts w:hint="eastAsia" w:ascii="宋体" w:hAnsi="宋体" w:cs="宋体"/>
          <w:bCs/>
          <w:color w:val="auto"/>
          <w:sz w:val="44"/>
          <w:szCs w:val="32"/>
          <w:highlight w:val="none"/>
        </w:rPr>
        <w:t xml:space="preserve">第六章 评标方法、评分标准</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一、评标方法：</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1、本次招标评标采用综合评分法，即指投标文件满足招标文件全部实质性要求，且按照评审因素的量化指标评审得分最高的投标单位为中标候选人的评标方法。</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2、评标委员会各成员审查每份投标文件是否实质响应了招标文件的要求，非实质性响应的投标文件将被拒绝，也不进行评审。</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3、评标委员会各成员独立对每个进入打分程序的有效投标单位的标书技术部分以打分的形式进行评审和评价。对评委的评分进行统计汇总时算术平均计算得分（计算结果均四舍五入保留两位小数）。</w:t>
      </w:r>
      <w:r/>
    </w:p>
    <w:p>
      <w:pPr>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4、如出现评标总得分最高的投标单位有两个或两个以上的，以投标报价较低者优先作为中标候选人或者中标人的评标方法；如果投标报价也相同的，则由评标委员会组织抽签确定中标候选人顺序。</w:t>
      </w:r>
      <w:r/>
    </w:p>
    <w:p>
      <w:pPr>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strike w:val="0"/>
          <w:color w:val="auto"/>
          <w:spacing w:val="-2"/>
          <w:sz w:val="24"/>
          <w:szCs w:val="24"/>
          <w:highlight w:val="none"/>
        </w:rPr>
        <w:t xml:space="preserve">5、所提供全部材料需真实有效，一经发现材料造假，立即终止其投标资格，如在中标后发现，立即终止其中标资格，并上报相关部门，其标段后续工作由其他标段中标单位承担。</w:t>
      </w:r>
      <w:r/>
    </w:p>
    <w:p>
      <w:pPr>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二、综合评分标准：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适用于采购包1、采购包2、采购包3、采购包4】</w:t>
      </w:r>
      <w:r/>
    </w:p>
    <w:p>
      <w:pPr>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（一）报价得分（</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0分）</w:t>
      </w:r>
      <w:r>
        <w:rPr>
          <w:rFonts w:hint="eastAsia" w:ascii="宋体" w:hAnsi="宋体" w:cs="宋体"/>
          <w:b/>
          <w:bCs/>
          <w:color w:val="auto"/>
          <w:sz w:val="24"/>
          <w:szCs w:val="24"/>
          <w:highlight w:val="none"/>
          <w:lang w:val="en-US" w:eastAsia="zh-CN"/>
        </w:rPr>
        <w:t xml:space="preserve">.</w:t>
      </w:r>
      <w:r/>
    </w:p>
    <w:p>
      <w:pPr>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第一步：投标报价低于或等于预算价格的，为有效投标报价。超预算的投标报价为无效投标报价。</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第二步：在所有有效投标报价中满足招标文件要求，且投标价格最低的投标报价为评标基准价，其他投标人的价格分按照下列公式计算（计算结果四舍五入保留两位小数）。</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0％×100</w:t>
      </w:r>
      <w:r/>
    </w:p>
    <w:p>
      <w:pPr>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（二）服务方案（</w:t>
      </w:r>
      <w:r>
        <w:rPr>
          <w:rFonts w:hint="eastAsia" w:ascii="宋体" w:hAnsi="宋体" w:cs="宋体"/>
          <w:b/>
          <w:bCs/>
          <w:color w:val="auto"/>
          <w:sz w:val="24"/>
          <w:szCs w:val="24"/>
          <w:highlight w:val="none"/>
          <w:lang w:val="en-US" w:eastAsia="zh-CN"/>
        </w:rPr>
        <w:t xml:space="preserve">40</w:t>
      </w:r>
      <w:r>
        <w:rPr>
          <w:rFonts w:hint="eastAsia" w:ascii="宋体" w:hAnsi="宋体" w:eastAsia="宋体" w:cs="宋体"/>
          <w:b/>
          <w:bCs/>
          <w:color w:val="auto"/>
          <w:sz w:val="24"/>
          <w:szCs w:val="24"/>
          <w:highlight w:val="none"/>
        </w:rPr>
        <w:t xml:space="preserve">分）</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1、针对本项目管理方案（</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组织机构设置全备、各项制度健全、责任分工明确、工作协调措施得当得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组织机构设置较全、各项制度较全、责任分工较明确、工作协调措施较得当得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组织机构设置不全、各项制度不足，责任分工不明、工作协调措施不当得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未提供方案的不得分。</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2、针对服务</w:t>
      </w:r>
      <w:r>
        <w:rPr>
          <w:rFonts w:hint="eastAsia" w:ascii="宋体" w:hAnsi="宋体" w:eastAsia="宋体" w:cs="宋体"/>
          <w:color w:val="auto"/>
          <w:sz w:val="24"/>
          <w:szCs w:val="24"/>
          <w:highlight w:val="none"/>
        </w:rPr>
        <w:t xml:space="preserve">区域</w:t>
      </w:r>
      <w:r>
        <w:rPr>
          <w:rFonts w:hint="eastAsia" w:ascii="宋体" w:hAnsi="宋体" w:eastAsia="宋体" w:cs="宋体"/>
          <w:color w:val="auto"/>
          <w:sz w:val="24"/>
          <w:szCs w:val="24"/>
          <w:highlight w:val="none"/>
          <w:lang w:val="en-US" w:eastAsia="zh-CN"/>
        </w:rPr>
        <w:t xml:space="preserve">发掘协作方案（</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方案分析全面，协作方法、保障措施科学合理，可行性强得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方案分析较完整，协作措施基本可行得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方案分析有欠缺，协作措施不完善、可行性一般得</w:t>
      </w:r>
      <w:r>
        <w:rPr>
          <w:rFonts w:hint="eastAsia" w:ascii="宋体" w:hAnsi="宋体" w:cs="宋体"/>
          <w:color w:val="auto"/>
          <w:sz w:val="24"/>
          <w:szCs w:val="24"/>
          <w:highlight w:val="none"/>
          <w:lang w:val="en-US" w:eastAsia="zh-CN"/>
        </w:rPr>
        <w:t xml:space="preserve">4分</w:t>
      </w:r>
      <w:r>
        <w:rPr>
          <w:rFonts w:hint="eastAsia" w:ascii="宋体" w:hAnsi="宋体" w:eastAsia="宋体" w:cs="宋体"/>
          <w:color w:val="auto"/>
          <w:sz w:val="24"/>
          <w:szCs w:val="24"/>
          <w:highlight w:val="none"/>
        </w:rPr>
        <w:t xml:space="preserve">；</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未提供相关方案或方案分析缺失或协作措施不合理、不可行不得分。</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出土文物现场保护方案、出土后文物安全保护及管理措施（</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方案内容完整、针对性强，保护及管理措施科学详实、贴合本项目发掘实际，可行性高得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方案内容较完整，保护及管理措施基本合理，满足项目基本需求得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方案内容有缺失，保护及管理措施简略、针对性不足，仅少量内容可参考得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未提供相关方案或措施不合理、不具备可实施性不得分。</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4、项目质量保障、安全保障和突发事件应急处理措施（</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方案详细完整、措施针对性可行性强、保障有力得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方案较为完整、措施针对性可行性一般、保障一般得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方案简单笼统、措施针对性可行性弱、保障不足得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未提供方案不得分。</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5、对项目相关资料整理及项目所在地电子资料信息化解决方案（</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分）</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方案体系完整、思路清晰，资料整理流程规范，信息化方案贴合项目实际，技术路径合理、操作性强，能够满足项目全周期资料归档、存储、查询、管理需求得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方案内容较完整，资料整理流程基本规范，信息化方案基本可行，可满足项目基础资料信息化管理需求得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方案内容存在缺项，资料整理或信息化方案较为简略，针对性不足，仅能覆盖部分基础得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未提供相关方案，或方案逻辑混乱、不具备实施条件不得分。</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6、针对本项目资料管理及安全保密措施（</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资料管理体系、归档流程、数据管控及安全保密措施完善，制度健全、流程规范，保密管控措施全面、针对性强，完全满足项目资料安全、保密、防泄露、可追溯管理要求，可行性高得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资料管理及保密措施内容较为完整，制度流程基本合理，能够满足项目常规资料管理及保密要求，无明显缺陷得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资料管理或安全保密措施内容简单、框架不完善、针对性较弱，仅覆盖基础管理内容，存在一定疏漏得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未提供相关方案，或措施缺失、逻辑混乱、无法保障资料安全保密不得分。</w:t>
      </w:r>
      <w:r/>
    </w:p>
    <w:p>
      <w:pPr>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（三）投标单位综合履约能力（</w:t>
      </w:r>
      <w:r>
        <w:rPr>
          <w:rFonts w:hint="eastAsia" w:ascii="宋体" w:hAnsi="宋体" w:cs="宋体"/>
          <w:b/>
          <w:bCs/>
          <w:color w:val="auto"/>
          <w:sz w:val="24"/>
          <w:szCs w:val="24"/>
          <w:highlight w:val="none"/>
          <w:lang w:val="en-US" w:eastAsia="zh-CN"/>
        </w:rPr>
        <w:t xml:space="preserve">50</w:t>
      </w:r>
      <w:r>
        <w:rPr>
          <w:rFonts w:hint="eastAsia" w:ascii="宋体" w:hAnsi="宋体" w:eastAsia="宋体" w:cs="宋体"/>
          <w:b/>
          <w:bCs/>
          <w:color w:val="auto"/>
          <w:sz w:val="24"/>
          <w:szCs w:val="24"/>
          <w:highlight w:val="none"/>
        </w:rPr>
        <w:t xml:space="preserve">分）</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针对本项目配备人员满足采购需求（不少于6名）基础上每增加1名得2分，最高得10分</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投标文件</w:t>
      </w:r>
      <w:r>
        <w:rPr>
          <w:rFonts w:hint="eastAsia" w:ascii="宋体" w:hAnsi="宋体" w:eastAsia="宋体" w:cs="宋体"/>
          <w:color w:val="auto"/>
          <w:sz w:val="24"/>
          <w:szCs w:val="24"/>
          <w:highlight w:val="none"/>
          <w:lang w:val="en-US" w:eastAsia="zh-CN"/>
        </w:rPr>
        <w:t xml:space="preserve">中需</w:t>
      </w:r>
      <w:r>
        <w:rPr>
          <w:rFonts w:ascii="宋体" w:hAnsi="宋体" w:eastAsia="宋体" w:cs="宋体"/>
          <w:color w:val="auto"/>
          <w:sz w:val="24"/>
          <w:szCs w:val="24"/>
          <w:highlight w:val="none"/>
        </w:rPr>
        <w:t xml:space="preserve">提供上述拟派人员的劳动合同及社保缴纳证明</w:t>
      </w:r>
      <w:r>
        <w:rPr>
          <w:rFonts w:hint="eastAsia" w:ascii="宋体" w:hAnsi="宋体" w:cs="宋体"/>
          <w:color w:val="auto"/>
          <w:sz w:val="24"/>
          <w:szCs w:val="24"/>
          <w:highlight w:val="none"/>
          <w:lang w:val="en-US" w:eastAsia="zh-CN"/>
        </w:rPr>
        <w:t xml:space="preserve">文件</w:t>
      </w:r>
      <w:r>
        <w:rPr>
          <w:rFonts w:ascii="宋体" w:hAnsi="宋体" w:eastAsia="宋体" w:cs="宋体"/>
          <w:color w:val="auto"/>
          <w:sz w:val="24"/>
          <w:szCs w:val="24"/>
          <w:highlight w:val="none"/>
        </w:rPr>
        <w:t xml:space="preserve">；未按要求提供或提交资料不全的，本项不得分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现场负责人</w:t>
      </w:r>
      <w:r>
        <w:rPr>
          <w:rFonts w:hint="eastAsia" w:ascii="宋体" w:hAnsi="宋体" w:cs="宋体"/>
          <w:color w:val="auto"/>
          <w:sz w:val="24"/>
          <w:szCs w:val="24"/>
          <w:highlight w:val="none"/>
          <w:lang w:eastAsia="zh-CN"/>
        </w:rPr>
        <w:t xml:space="preserve">：</w:t>
      </w:r>
      <w:r>
        <w:rPr>
          <w:rFonts w:ascii="宋体" w:hAnsi="宋体" w:eastAsia="宋体" w:cs="宋体"/>
          <w:color w:val="auto"/>
          <w:sz w:val="24"/>
          <w:szCs w:val="24"/>
          <w:highlight w:val="none"/>
        </w:rPr>
        <w:t xml:space="preserve">具备考古、文物、文博专业或文博类中级及以上职称（含同等级职业资格证书）</w:t>
      </w:r>
      <w:r>
        <w:rPr>
          <w:rFonts w:hint="eastAsia" w:ascii="宋体" w:hAnsi="宋体" w:eastAsia="宋体" w:cs="宋体"/>
          <w:color w:val="auto"/>
          <w:sz w:val="24"/>
          <w:szCs w:val="24"/>
          <w:highlight w:val="none"/>
        </w:rPr>
        <w:t xml:space="preserve">，且曾在同类项目中担任项目负责人得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投标文件</w:t>
      </w:r>
      <w:r>
        <w:rPr>
          <w:rFonts w:hint="eastAsia" w:ascii="宋体" w:hAnsi="宋体" w:eastAsia="宋体" w:cs="宋体"/>
          <w:color w:val="auto"/>
          <w:sz w:val="24"/>
          <w:szCs w:val="24"/>
          <w:highlight w:val="none"/>
          <w:lang w:val="en-US" w:eastAsia="zh-CN"/>
        </w:rPr>
        <w:t xml:space="preserve">需</w:t>
      </w:r>
      <w:r>
        <w:rPr>
          <w:rFonts w:ascii="宋体" w:hAnsi="宋体" w:eastAsia="宋体" w:cs="宋体"/>
          <w:color w:val="auto"/>
          <w:sz w:val="24"/>
          <w:szCs w:val="24"/>
          <w:highlight w:val="none"/>
        </w:rPr>
        <w:t xml:space="preserve">提供该人员职称（职业资格）证书、同类项目业绩证明材料；业绩材料应能体现该人员姓名，并同时提供该人员劳动合同、投标单位为其缴纳的社保证明</w:t>
      </w:r>
      <w:r>
        <w:rPr>
          <w:rFonts w:hint="eastAsia" w:ascii="宋体" w:hAnsi="宋体" w:cs="宋体"/>
          <w:color w:val="auto"/>
          <w:sz w:val="24"/>
          <w:szCs w:val="24"/>
          <w:highlight w:val="none"/>
          <w:lang w:val="en-US" w:eastAsia="zh-CN"/>
        </w:rPr>
        <w:t xml:space="preserve">文件</w:t>
      </w:r>
      <w:r>
        <w:rPr>
          <w:rFonts w:hint="eastAsia" w:ascii="宋体" w:hAnsi="宋体" w:eastAsia="宋体" w:cs="宋体"/>
          <w:color w:val="auto"/>
          <w:sz w:val="24"/>
          <w:szCs w:val="24"/>
          <w:highlight w:val="none"/>
          <w:lang w:val="en-US" w:eastAsia="zh-CN"/>
        </w:rPr>
        <w:t xml:space="preserve">；</w:t>
      </w:r>
      <w:r>
        <w:rPr>
          <w:rFonts w:ascii="宋体" w:hAnsi="宋体" w:eastAsia="宋体" w:cs="宋体"/>
          <w:color w:val="auto"/>
          <w:sz w:val="24"/>
          <w:szCs w:val="24"/>
          <w:highlight w:val="none"/>
        </w:rPr>
        <w:t xml:space="preserve">未按要求提供或提交资料不全的，本项不得分</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专业技术人</w:t>
      </w:r>
      <w:r>
        <w:rPr>
          <w:rFonts w:hint="eastAsia" w:ascii="宋体" w:hAnsi="宋体" w:eastAsia="宋体" w:cs="宋体"/>
          <w:color w:val="auto"/>
          <w:sz w:val="24"/>
          <w:szCs w:val="24"/>
          <w:highlight w:val="none"/>
        </w:rPr>
        <w:t xml:space="preserve">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现场负责人</w:t>
      </w:r>
      <w:r>
        <w:rPr>
          <w:rFonts w:hint="eastAsia" w:ascii="宋体" w:hAnsi="宋体" w:eastAsia="宋体" w:cs="宋体"/>
          <w:color w:val="auto"/>
          <w:sz w:val="24"/>
          <w:szCs w:val="24"/>
          <w:highlight w:val="none"/>
          <w:lang w:val="en-US" w:eastAsia="zh-CN"/>
        </w:rPr>
        <w:t xml:space="preserve">除</w:t>
      </w:r>
      <w:r>
        <w:rPr>
          <w:rFonts w:hint="eastAsia" w:ascii="宋体" w:hAnsi="宋体" w:eastAsia="宋体" w:cs="宋体"/>
          <w:color w:val="auto"/>
          <w:sz w:val="24"/>
          <w:szCs w:val="24"/>
          <w:highlight w:val="none"/>
        </w:rPr>
        <w:t xml:space="preserve">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具有考古、文物保护相关专业，每提供1人得 2 分</w:t>
      </w:r>
      <w:r>
        <w:rPr>
          <w:rFonts w:hint="eastAsia" w:ascii="宋体" w:hAnsi="宋体" w:eastAsia="宋体" w:cs="宋体"/>
          <w:color w:val="auto"/>
          <w:sz w:val="24"/>
          <w:szCs w:val="24"/>
          <w:highlight w:val="none"/>
          <w:lang w:val="en-US" w:eastAsia="zh-CN"/>
        </w:rPr>
        <w:t xml:space="preserve">；具有</w:t>
      </w:r>
      <w:r>
        <w:rPr>
          <w:rFonts w:hint="eastAsia" w:ascii="宋体" w:hAnsi="宋体" w:eastAsia="宋体" w:cs="宋体"/>
          <w:color w:val="auto"/>
          <w:sz w:val="24"/>
          <w:szCs w:val="24"/>
          <w:highlight w:val="none"/>
        </w:rPr>
        <w:t xml:space="preserve">文博中级及以上职称，每</w:t>
      </w:r>
      <w:r>
        <w:rPr>
          <w:rFonts w:hint="eastAsia" w:ascii="宋体" w:hAnsi="宋体" w:eastAsia="宋体" w:cs="宋体"/>
          <w:color w:val="auto"/>
          <w:sz w:val="24"/>
          <w:szCs w:val="24"/>
          <w:highlight w:val="none"/>
          <w:lang w:val="en-US" w:eastAsia="zh-CN"/>
        </w:rPr>
        <w:t xml:space="preserve">提供1</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val="en-US" w:eastAsia="zh-CN"/>
        </w:rPr>
        <w:t xml:space="preserve">得3分；本项</w:t>
      </w:r>
      <w:r>
        <w:rPr>
          <w:rFonts w:hint="eastAsia" w:ascii="宋体" w:hAnsi="宋体" w:eastAsia="宋体" w:cs="宋体"/>
          <w:color w:val="auto"/>
          <w:sz w:val="24"/>
          <w:szCs w:val="24"/>
          <w:highlight w:val="none"/>
        </w:rPr>
        <w:t xml:space="preserve">最高得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分【投标文件中</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提供对应人员专业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职称等</w:t>
      </w:r>
      <w:r>
        <w:rPr>
          <w:rFonts w:hint="eastAsia" w:ascii="宋体" w:hAnsi="宋体" w:eastAsia="宋体" w:cs="宋体"/>
          <w:color w:val="auto"/>
          <w:sz w:val="24"/>
          <w:szCs w:val="24"/>
          <w:highlight w:val="none"/>
        </w:rPr>
        <w:t xml:space="preserve">证明材料；同时提供相关人员劳动合同</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投标单位为其缴纳的社保证明</w:t>
      </w:r>
      <w:r>
        <w:rPr>
          <w:rFonts w:hint="eastAsia" w:ascii="宋体" w:hAnsi="宋体" w:eastAsia="宋体" w:cs="宋体"/>
          <w:color w:val="auto"/>
          <w:sz w:val="24"/>
          <w:szCs w:val="24"/>
          <w:highlight w:val="none"/>
          <w:lang w:val="en-US" w:eastAsia="zh-CN"/>
        </w:rPr>
        <w:t xml:space="preserve">文件；</w:t>
      </w:r>
      <w:r>
        <w:rPr>
          <w:rFonts w:hint="eastAsia" w:ascii="宋体" w:hAnsi="宋体" w:eastAsia="宋体" w:cs="宋体"/>
          <w:color w:val="auto"/>
          <w:sz w:val="24"/>
          <w:szCs w:val="24"/>
          <w:highlight w:val="none"/>
        </w:rPr>
        <w:t xml:space="preserve">未按要求提供或资料不全的，本项不得分】</w:t>
      </w:r>
      <w:r>
        <w:rPr>
          <w:rFonts w:hint="eastAsia" w:ascii="宋体" w:hAnsi="宋体" w:eastAsia="宋体" w:cs="宋体"/>
          <w:color w:val="auto"/>
          <w:sz w:val="24"/>
          <w:szCs w:val="24"/>
          <w:highlight w:val="none"/>
          <w:lang w:eastAsia="zh-CN"/>
        </w:rPr>
        <w:t xml:space="preserve">。</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其他</w:t>
      </w:r>
      <w:r>
        <w:rPr>
          <w:rFonts w:hint="eastAsia" w:ascii="宋体" w:hAnsi="宋体" w:cs="宋体"/>
          <w:color w:val="auto"/>
          <w:sz w:val="24"/>
          <w:szCs w:val="24"/>
          <w:highlight w:val="none"/>
          <w:lang w:val="en-US" w:eastAsia="zh-CN"/>
        </w:rPr>
        <w:t xml:space="preserve">配套服务人员：</w:t>
      </w:r>
      <w:r>
        <w:rPr>
          <w:rFonts w:hint="eastAsia" w:ascii="宋体" w:hAnsi="宋体" w:eastAsia="宋体" w:cs="宋体"/>
          <w:color w:val="auto"/>
          <w:sz w:val="24"/>
          <w:szCs w:val="24"/>
          <w:highlight w:val="none"/>
        </w:rPr>
        <w:t xml:space="preserve">具有文物修复、文博、测绘、计算机等相关专业，每提供 1人得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分【投标文件中</w:t>
      </w:r>
      <w:r>
        <w:rPr>
          <w:rFonts w:hint="eastAsia" w:ascii="宋体" w:hAnsi="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提供对应人员专业证明材料；同时提供相关人员劳动合同</w:t>
      </w:r>
      <w:r>
        <w:rPr>
          <w:rFonts w:hint="eastAsia" w:ascii="宋体" w:hAnsi="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投标单位为其缴纳的社保证明</w:t>
      </w:r>
      <w:r>
        <w:rPr>
          <w:rFonts w:hint="eastAsia" w:ascii="宋体" w:hAnsi="宋体" w:cs="宋体"/>
          <w:color w:val="auto"/>
          <w:sz w:val="24"/>
          <w:szCs w:val="24"/>
          <w:highlight w:val="none"/>
          <w:lang w:val="en-US" w:eastAsia="zh-CN"/>
        </w:rPr>
        <w:t xml:space="preserve">文件；</w:t>
      </w:r>
      <w:r>
        <w:rPr>
          <w:rFonts w:hint="eastAsia" w:ascii="宋体" w:hAnsi="宋体" w:eastAsia="宋体" w:cs="宋体"/>
          <w:color w:val="auto"/>
          <w:sz w:val="24"/>
          <w:szCs w:val="24"/>
          <w:highlight w:val="none"/>
        </w:rPr>
        <w:t xml:space="preserve">未按要求提供或资料不全的，本项不得分】</w:t>
      </w:r>
      <w:r>
        <w:rPr>
          <w:rFonts w:hint="eastAsia" w:ascii="宋体" w:hAnsi="宋体" w:cs="宋体"/>
          <w:color w:val="auto"/>
          <w:sz w:val="24"/>
          <w:szCs w:val="24"/>
          <w:highlight w:val="none"/>
          <w:lang w:eastAsia="zh-CN"/>
        </w:rPr>
        <w:t xml:space="preserve">。</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项目业绩</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自本项目采购公告发布之日起近三年内（以合同签订时间为准）独立承担并完成的类似项目业绩：每提供 1 份得 3 分，最高得 9 分【投标文件中需提供完整的合同和对应合同任意金额发票，提供不全或未提供不得分】</w:t>
      </w:r>
      <w:r>
        <w:rPr>
          <w:rFonts w:hint="eastAsia" w:ascii="宋体" w:hAnsi="宋体" w:cs="宋体"/>
          <w:color w:val="auto"/>
          <w:sz w:val="24"/>
          <w:szCs w:val="24"/>
          <w:highlight w:val="none"/>
          <w:lang w:eastAsia="zh-CN"/>
        </w:rPr>
        <w:t xml:space="preserve">。</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投标单位</w:t>
      </w:r>
      <w:r>
        <w:rPr>
          <w:rFonts w:hint="eastAsia" w:ascii="宋体" w:hAnsi="宋体" w:cs="宋体"/>
          <w:color w:val="auto"/>
          <w:sz w:val="24"/>
          <w:szCs w:val="24"/>
          <w:highlight w:val="none"/>
          <w:lang w:val="en-US" w:eastAsia="zh-CN"/>
        </w:rPr>
        <w:t xml:space="preserve">承接</w:t>
      </w:r>
      <w:r>
        <w:rPr>
          <w:rFonts w:hint="eastAsia" w:ascii="宋体" w:hAnsi="宋体" w:eastAsia="宋体" w:cs="宋体"/>
          <w:color w:val="auto"/>
          <w:sz w:val="24"/>
          <w:szCs w:val="24"/>
          <w:highlight w:val="none"/>
        </w:rPr>
        <w:t xml:space="preserve">的考古发掘服务项目获得省级及以上相关奖项的，每提供一份得 2 分，最高得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投标文件中需提供获奖证明文件原件扫描件加盖投标单位公章，若证明不能体现投标单位名称或服务内容的不得分、未提供证明文件不得分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针对本项目</w:t>
      </w:r>
      <w:r>
        <w:rPr>
          <w:rFonts w:hint="eastAsia" w:ascii="宋体" w:hAnsi="宋体" w:eastAsia="宋体" w:cs="宋体"/>
          <w:color w:val="auto"/>
          <w:sz w:val="24"/>
          <w:szCs w:val="24"/>
          <w:highlight w:val="none"/>
        </w:rPr>
        <w:t xml:space="preserve">发掘设备配备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除 RTK 设备外另外配备交通运输车辆、无人机、数码相机、电脑等设备的，每提供一类得2分，最高得10分【投标文件中需提供设备购置发票或租赁合同等证明文件且专用于本项目的书面承诺，</w:t>
      </w:r>
      <w:r>
        <w:rPr>
          <w:rFonts w:hint="default" w:ascii="宋体" w:hAnsi="宋体" w:eastAsia="宋体" w:cs="宋体"/>
          <w:color w:val="auto"/>
          <w:sz w:val="24"/>
          <w:szCs w:val="24"/>
          <w:highlight w:val="none"/>
          <w:lang w:val="en-US" w:eastAsia="zh-CN"/>
        </w:rPr>
        <w:t xml:space="preserve">未按要求提供材料或作出承诺的，按无效响应处理</w:t>
      </w:r>
      <w:r>
        <w:rPr>
          <w:rFonts w:hint="eastAsia" w:ascii="宋体" w:hAnsi="宋体" w:eastAsia="宋体" w:cs="宋体"/>
          <w:color w:val="auto"/>
          <w:sz w:val="24"/>
          <w:szCs w:val="24"/>
          <w:highlight w:val="none"/>
          <w:lang w:val="en-US" w:eastAsia="zh-CN"/>
        </w:rPr>
        <w:t xml:space="preserve">】。</w:t>
      </w:r>
      <w:r/>
    </w:p>
    <w:p>
      <w:pPr>
        <w:contextualSpacing/>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contextualSpacing/>
        <w:jc w:val="center"/>
        <w:spacing w:line="360" w:lineRule="auto"/>
        <w:rPr>
          <w:color w:val="auto"/>
          <w:highlight w:val="none"/>
        </w:rPr>
      </w:pPr>
      <w:r>
        <w:rPr>
          <w:rFonts w:hint="eastAsia" w:ascii="宋体" w:hAnsi="宋体" w:cs="宋体"/>
          <w:b/>
          <w:color w:val="auto"/>
          <w:sz w:val="24"/>
          <w:szCs w:val="24"/>
          <w:highlight w:val="none"/>
        </w:rPr>
        <w:t xml:space="preserve">（全文完）</w:t>
      </w:r>
      <w:r/>
    </w:p>
    <w:p>
      <w:pPr>
        <w:pStyle w:val="962"/>
        <w:rPr>
          <w:color w:val="auto"/>
          <w:highlight w:val="none"/>
        </w:rPr>
      </w:pPr>
      <w:r>
        <w:rPr>
          <w:color w:val="auto"/>
          <w:highlight w:val="none"/>
        </w:rPr>
      </w:r>
      <w:r/>
    </w:p>
    <w:sectPr>
      <w:footerReference w:type="default" r:id="rId17"/>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黑体">
    <w:panose1 w:val="02010609060101010101"/>
  </w:font>
  <w:font w:name="华文中宋">
    <w:panose1 w:val="02010600040101010101"/>
  </w:font>
  <w:font w:name="仿宋_GB2312">
    <w:panose1 w:val="02010609060101010101"/>
  </w:font>
  <w:font w:name="Calibri">
    <w:panose1 w:val="020F0502020204030204"/>
  </w:font>
  <w:font w:name="方正大黑简体">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tabs>
        <w:tab w:val="clear" w:pos="4153" w:leader="none"/>
        <w:tab w:val="left" w:pos="670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8"/>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96545" cy="14605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296267"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8"/>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23.3pt;height:11.5pt;mso-wrap-distance-left:9.0pt;mso-wrap-distance-top:0.0pt;mso-wrap-distance-right:9.0pt;mso-wrap-distance-bottom:0.0pt;v-text-anchor:top;visibility:visible;" filled="f" stroked="f" strokeweight="0.50pt">
              <v:textbox inset="0,0,0,0">
                <w:txbxContent>
                  <w:p>
                    <w:pPr>
                      <w:pStyle w:val="968"/>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43840" cy="14605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243562"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8"/>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9.2pt;height:11.5pt;mso-wrap-distance-left:9.0pt;mso-wrap-distance-top:0.0pt;mso-wrap-distance-right:9.0pt;mso-wrap-distance-bottom:0.0pt;v-text-anchor:top;visibility:visible;" filled="f" stroked="f" strokeweight="0.50pt">
              <v:textbox inset="0,0,0,0">
                <w:txbxContent>
                  <w:p>
                    <w:pPr>
                      <w:pStyle w:val="968"/>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906"/>
      <w:spacing w:line="184" w:lineRule="auto"/>
      <w:rPr>
        <w:rFonts w:ascii="Times New Roman" w:hAnsi="Times New Roman" w:eastAsia="Times New Roman" w:cs="Times New Roman"/>
        <w:sz w:val="19"/>
        <w:szCs w:val="19"/>
      </w:rPr>
    </w:pPr>
    <w:r>
      <w:rPr>
        <w:sz w:val="19"/>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8"/>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8"/>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40"/>
      <w:spacing w:line="184" w:lineRule="auto"/>
      <w:rPr>
        <w:rFonts w:ascii="Times New Roman" w:hAnsi="Times New Roman" w:eastAsia="Times New Roman" w:cs="Times New Roman"/>
        <w:sz w:val="19"/>
        <w:szCs w:val="19"/>
      </w:rPr>
    </w:pPr>
    <w:r>
      <w:rPr>
        <w:sz w:val="19"/>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8"/>
                          </w:pPr>
                          <w:r>
                            <w:fldChar w:fldCharType="begin"/>
                          </w:r>
                          <w:r>
                            <w:instrText xml:space="preserve"> PAGE  \* MERGEFORMAT </w:instrText>
                          </w:r>
                          <w:r>
                            <w:fldChar w:fldCharType="separate"/>
                          </w:r>
                          <w:r>
                            <w:t xml:space="preserve">56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8"/>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8"/>
                          </w:pPr>
                          <w:r>
                            <w:fldChar w:fldCharType="begin"/>
                          </w:r>
                          <w:r>
                            <w:instrText xml:space="preserve"> PAGE  \* MERGEFORMAT </w:instrText>
                          </w:r>
                          <w:r>
                            <w:fldChar w:fldCharType="separate"/>
                          </w:r>
                          <w:r>
                            <w:t xml:space="preserve">60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8"/>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jc w:val="both"/>
      <w:spacing w:after="0" w:line="240" w:lineRule="auto"/>
    </w:pPr>
    <w:r>
      <w:rPr>
        <w:rFonts w:hint="eastAsia" w:ascii="宋体" w:hAnsi="宋体" w:cs="宋体"/>
        <w:b/>
        <w:bCs/>
        <w:sz w:val="24"/>
        <w:szCs w:val="24"/>
      </w:rPr>
      <w:t xml:space="preserve">政府采购文件</w:t>
    </w:r>
    <w:r>
      <w:rPr>
        <w:rFonts w:hint="eastAsia" w:ascii="华文中宋" w:hAnsi="华文中宋" w:eastAsia="华文中宋"/>
        <w:b/>
        <w:bCs/>
        <w:sz w:val="24"/>
        <w:szCs w:val="24"/>
      </w:rPr>
      <w:t xml:space="preserve">  </w:t>
    </w:r>
    <w:r>
      <w:rPr>
        <w:rFonts w:hint="eastAsia" w:ascii="华文中宋" w:hAnsi="华文中宋" w:eastAsia="华文中宋"/>
        <w:b/>
        <w:bCs/>
        <w:sz w:val="24"/>
        <w:szCs w:val="24"/>
        <w:lang w:val="en-US" w:eastAsia="zh-CN"/>
      </w:rPr>
      <w:t xml:space="preserve">  </w:t>
    </w:r>
    <w:r>
      <w:rPr>
        <w:rFonts w:hint="eastAsia" w:ascii="华文中宋" w:hAnsi="华文中宋" w:eastAsia="华文中宋"/>
        <w:b/>
        <w:bCs/>
        <w:sz w:val="24"/>
        <w:szCs w:val="24"/>
      </w:rPr>
      <w:t xml:space="preserve">           </w:t>
    </w:r>
    <w:r>
      <w:rPr>
        <w:rFonts w:hint="eastAsia" w:ascii="华文中宋" w:hAnsi="华文中宋" w:eastAsia="华文中宋"/>
        <w:b/>
        <w:bCs/>
        <w:sz w:val="24"/>
        <w:szCs w:val="24"/>
        <w:lang w:val="en-US" w:eastAsia="zh-CN"/>
      </w:rPr>
      <w:t xml:space="preserve">  </w:t>
    </w:r>
    <w:r>
      <w:rPr>
        <w:rFonts w:hint="eastAsia" w:ascii="华文中宋" w:hAnsi="华文中宋" w:eastAsia="华文中宋"/>
        <w:b/>
        <w:bCs/>
        <w:sz w:val="24"/>
        <w:szCs w:val="24"/>
      </w:rPr>
      <w:t xml:space="preserve">    </w:t>
    </w:r>
    <w:r>
      <w:rPr>
        <w:rFonts w:hint="eastAsia" w:ascii="华文中宋" w:hAnsi="华文中宋" w:eastAsia="华文中宋"/>
        <w:b/>
        <w:bCs/>
        <w:sz w:val="24"/>
        <w:szCs w:val="24"/>
        <w:lang w:val="en-US" w:eastAsia="zh-CN"/>
      </w:rPr>
      <w:t xml:space="preserve">            </w:t>
    </w:r>
    <w:r>
      <w:rPr>
        <w:rFonts w:hint="eastAsia" w:ascii="华文中宋" w:hAnsi="华文中宋" w:eastAsia="华文中宋"/>
        <w:b/>
        <w:bCs/>
        <w:sz w:val="24"/>
        <w:szCs w:val="24"/>
      </w:rPr>
      <w:t xml:space="preserve">          </w:t>
    </w:r>
    <w:r>
      <w:rPr>
        <w:rFonts w:ascii="华文中宋" w:hAnsi="华文中宋" w:eastAsia="华文中宋"/>
        <w:b/>
        <w:sz w:val="24"/>
        <w:szCs w:val="24"/>
      </w:rPr>
      <mc:AlternateContent>
        <mc:Choice Requires="wpg">
          <w:drawing>
            <wp:inline xmlns:wp="http://schemas.openxmlformats.org/drawingml/2006/wordprocessingDrawing" distT="0" distB="0" distL="0" distR="0">
              <wp:extent cx="1513205" cy="28257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513281" cy="2826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9.1pt;height:22.2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jc w:val="both"/>
      <w:spacing w:after="0" w:line="240" w:lineRule="auto"/>
    </w:pPr>
    <w:r>
      <w:rPr>
        <w:rFonts w:hint="eastAsia" w:ascii="宋体" w:hAnsi="宋体" w:cs="宋体"/>
        <w:b/>
        <w:bCs/>
        <w:sz w:val="24"/>
        <w:szCs w:val="24"/>
      </w:rPr>
      <w:t xml:space="preserve">政府采购文件</w:t>
    </w:r>
    <w:r>
      <w:rPr>
        <w:rFonts w:hint="eastAsia" w:ascii="华文中宋" w:hAnsi="华文中宋" w:eastAsia="华文中宋"/>
        <w:b/>
        <w:bCs/>
        <w:sz w:val="24"/>
        <w:szCs w:val="24"/>
      </w:rPr>
      <w:t xml:space="preserve">  </w:t>
    </w:r>
    <w:r>
      <w:rPr>
        <w:rFonts w:hint="eastAsia" w:ascii="华文中宋" w:hAnsi="华文中宋" w:eastAsia="华文中宋"/>
        <w:b/>
        <w:bCs/>
        <w:sz w:val="24"/>
        <w:szCs w:val="24"/>
        <w:lang w:val="en-US" w:eastAsia="zh-CN"/>
      </w:rPr>
      <w:t xml:space="preserve">  </w:t>
    </w:r>
    <w:r>
      <w:rPr>
        <w:rFonts w:hint="eastAsia" w:ascii="华文中宋" w:hAnsi="华文中宋" w:eastAsia="华文中宋"/>
        <w:b/>
        <w:bCs/>
        <w:sz w:val="24"/>
        <w:szCs w:val="24"/>
      </w:rPr>
      <w:t xml:space="preserve">           </w:t>
    </w:r>
    <w:r>
      <w:rPr>
        <w:rFonts w:hint="eastAsia" w:ascii="华文中宋" w:hAnsi="华文中宋" w:eastAsia="华文中宋"/>
        <w:b/>
        <w:bCs/>
        <w:sz w:val="24"/>
        <w:szCs w:val="24"/>
        <w:lang w:val="en-US" w:eastAsia="zh-CN"/>
      </w:rPr>
      <w:t xml:space="preserve">  </w:t>
    </w:r>
    <w:r>
      <w:rPr>
        <w:rFonts w:hint="eastAsia" w:ascii="华文中宋" w:hAnsi="华文中宋" w:eastAsia="华文中宋"/>
        <w:b/>
        <w:bCs/>
        <w:sz w:val="24"/>
        <w:szCs w:val="24"/>
      </w:rPr>
      <w:t xml:space="preserve">    </w:t>
    </w:r>
    <w:r>
      <w:rPr>
        <w:rFonts w:hint="eastAsia" w:ascii="华文中宋" w:hAnsi="华文中宋" w:eastAsia="华文中宋"/>
        <w:b/>
        <w:bCs/>
        <w:sz w:val="24"/>
        <w:szCs w:val="24"/>
        <w:lang w:val="en-US" w:eastAsia="zh-CN"/>
      </w:rPr>
      <w:t xml:space="preserve">            </w:t>
    </w:r>
    <w:r>
      <w:rPr>
        <w:rFonts w:hint="eastAsia" w:ascii="华文中宋" w:hAnsi="华文中宋" w:eastAsia="华文中宋"/>
        <w:b/>
        <w:bCs/>
        <w:sz w:val="24"/>
        <w:szCs w:val="24"/>
      </w:rPr>
      <w:t xml:space="preserve">          </w:t>
    </w:r>
    <w:r>
      <w:rPr>
        <w:rFonts w:ascii="华文中宋" w:hAnsi="华文中宋" w:eastAsia="华文中宋"/>
        <w:b/>
        <w:sz w:val="24"/>
        <w:szCs w:val="24"/>
      </w:rPr>
      <mc:AlternateContent>
        <mc:Choice Requires="wpg">
          <w:drawing>
            <wp:inline xmlns:wp="http://schemas.openxmlformats.org/drawingml/2006/wordprocessingDrawing" distT="0" distB="0" distL="0" distR="0">
              <wp:extent cx="1513205" cy="282575"/>
              <wp:effectExtent l="0" t="0" r="10795" b="3175"/>
              <wp:docPr id="2"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
                      <a:stretch/>
                    </pic:blipFill>
                    <pic:spPr bwMode="auto">
                      <a:xfrm>
                        <a:off x="0" y="0"/>
                        <a:ext cx="1513281" cy="2826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19.1pt;height:22.2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60"/>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5" w:default="1">
    <w:name w:val="Normal"/>
    <w:uiPriority w:val="0"/>
    <w:qFormat/>
    <w:pPr>
      <w:jc w:val="both"/>
      <w:spacing w:after="160" w:line="278" w:lineRule="auto"/>
      <w:widowControl w:val="off"/>
    </w:pPr>
    <w:rPr>
      <w:rFonts w:hint="default" w:ascii="Times New Roman" w:hAnsi="Times New Roman" w:eastAsia="宋体" w:cs="Times New Roman"/>
      <w:sz w:val="21"/>
      <w:szCs w:val="22"/>
      <w:lang w:val="en-US" w:eastAsia="zh-CN" w:bidi="ar-SA"/>
    </w:rPr>
  </w:style>
  <w:style w:type="paragraph" w:styleId="946">
    <w:name w:val="Heading 1"/>
    <w:basedOn w:val="945"/>
    <w:next w:val="945"/>
    <w:link w:val="1036"/>
    <w:uiPriority w:val="9"/>
    <w:qFormat/>
    <w:pPr>
      <w:keepLines/>
      <w:keepNext/>
      <w:spacing w:before="480" w:after="200"/>
      <w:outlineLvl w:val="0"/>
    </w:pPr>
    <w:rPr>
      <w:rFonts w:ascii="Arial" w:hAnsi="Arial" w:eastAsia="Arial" w:cs="Arial"/>
      <w:sz w:val="40"/>
      <w:szCs w:val="40"/>
    </w:rPr>
  </w:style>
  <w:style w:type="paragraph" w:styleId="947">
    <w:name w:val="Heading 2"/>
    <w:basedOn w:val="945"/>
    <w:next w:val="945"/>
    <w:link w:val="1037"/>
    <w:uiPriority w:val="9"/>
    <w:unhideWhenUsed/>
    <w:qFormat/>
    <w:pPr>
      <w:keepLines/>
      <w:keepNext/>
      <w:spacing w:before="360" w:after="200"/>
      <w:outlineLvl w:val="1"/>
    </w:pPr>
    <w:rPr>
      <w:rFonts w:ascii="Arial" w:hAnsi="Arial" w:eastAsia="Arial" w:cs="Arial"/>
      <w:sz w:val="34"/>
    </w:rPr>
  </w:style>
  <w:style w:type="paragraph" w:styleId="948">
    <w:name w:val="Heading 3"/>
    <w:basedOn w:val="945"/>
    <w:next w:val="945"/>
    <w:link w:val="1038"/>
    <w:uiPriority w:val="9"/>
    <w:unhideWhenUsed/>
    <w:qFormat/>
    <w:pPr>
      <w:keepLines/>
      <w:keepNext/>
      <w:spacing w:before="320" w:after="200"/>
      <w:outlineLvl w:val="2"/>
    </w:pPr>
    <w:rPr>
      <w:rFonts w:ascii="Arial" w:hAnsi="Arial" w:eastAsia="Arial" w:cs="Arial"/>
      <w:sz w:val="30"/>
      <w:szCs w:val="30"/>
    </w:rPr>
  </w:style>
  <w:style w:type="paragraph" w:styleId="949">
    <w:name w:val="Heading 4"/>
    <w:basedOn w:val="945"/>
    <w:next w:val="945"/>
    <w:link w:val="1039"/>
    <w:uiPriority w:val="9"/>
    <w:unhideWhenUsed/>
    <w:qFormat/>
    <w:pPr>
      <w:keepLines/>
      <w:keepNext/>
      <w:spacing w:before="320" w:after="200"/>
      <w:outlineLvl w:val="3"/>
    </w:pPr>
    <w:rPr>
      <w:rFonts w:ascii="Arial" w:hAnsi="Arial" w:eastAsia="Arial" w:cs="Arial"/>
      <w:b/>
      <w:bCs/>
      <w:sz w:val="26"/>
      <w:szCs w:val="26"/>
    </w:rPr>
  </w:style>
  <w:style w:type="paragraph" w:styleId="950">
    <w:name w:val="Heading 5"/>
    <w:basedOn w:val="945"/>
    <w:next w:val="945"/>
    <w:link w:val="1040"/>
    <w:uiPriority w:val="9"/>
    <w:unhideWhenUsed/>
    <w:qFormat/>
    <w:pPr>
      <w:keepLines/>
      <w:keepNext/>
      <w:spacing w:before="320" w:after="200"/>
      <w:outlineLvl w:val="4"/>
    </w:pPr>
    <w:rPr>
      <w:rFonts w:ascii="Arial" w:hAnsi="Arial" w:eastAsia="Arial" w:cs="Arial"/>
      <w:b/>
      <w:bCs/>
      <w:sz w:val="24"/>
      <w:szCs w:val="24"/>
    </w:rPr>
  </w:style>
  <w:style w:type="paragraph" w:styleId="951">
    <w:name w:val="Heading 6"/>
    <w:basedOn w:val="945"/>
    <w:next w:val="945"/>
    <w:link w:val="1041"/>
    <w:uiPriority w:val="9"/>
    <w:unhideWhenUsed/>
    <w:qFormat/>
    <w:pPr>
      <w:keepLines/>
      <w:keepNext/>
      <w:spacing w:before="320" w:after="200"/>
      <w:outlineLvl w:val="5"/>
    </w:pPr>
    <w:rPr>
      <w:rFonts w:ascii="Arial" w:hAnsi="Arial" w:eastAsia="Arial" w:cs="Arial"/>
      <w:b/>
      <w:bCs/>
      <w:sz w:val="22"/>
    </w:rPr>
  </w:style>
  <w:style w:type="paragraph" w:styleId="952">
    <w:name w:val="Heading 7"/>
    <w:basedOn w:val="945"/>
    <w:next w:val="945"/>
    <w:link w:val="1042"/>
    <w:uiPriority w:val="9"/>
    <w:unhideWhenUsed/>
    <w:qFormat/>
    <w:pPr>
      <w:keepLines/>
      <w:keepNext/>
      <w:spacing w:before="320" w:after="200"/>
      <w:outlineLvl w:val="6"/>
    </w:pPr>
    <w:rPr>
      <w:rFonts w:ascii="Arial" w:hAnsi="Arial" w:eastAsia="Arial" w:cs="Arial"/>
      <w:b/>
      <w:bCs/>
      <w:i/>
      <w:iCs/>
      <w:sz w:val="22"/>
    </w:rPr>
  </w:style>
  <w:style w:type="paragraph" w:styleId="953">
    <w:name w:val="Heading 8"/>
    <w:basedOn w:val="945"/>
    <w:next w:val="945"/>
    <w:link w:val="1043"/>
    <w:uiPriority w:val="9"/>
    <w:unhideWhenUsed/>
    <w:qFormat/>
    <w:pPr>
      <w:keepLines/>
      <w:keepNext/>
      <w:spacing w:before="320" w:after="200"/>
      <w:outlineLvl w:val="7"/>
    </w:pPr>
    <w:rPr>
      <w:rFonts w:ascii="Arial" w:hAnsi="Arial" w:eastAsia="Arial" w:cs="Arial"/>
      <w:i/>
      <w:iCs/>
      <w:sz w:val="22"/>
    </w:rPr>
  </w:style>
  <w:style w:type="paragraph" w:styleId="954">
    <w:name w:val="Heading 9"/>
    <w:basedOn w:val="945"/>
    <w:next w:val="945"/>
    <w:link w:val="1044"/>
    <w:uiPriority w:val="9"/>
    <w:unhideWhenUsed/>
    <w:qFormat/>
    <w:pPr>
      <w:keepLines/>
      <w:keepNext/>
      <w:spacing w:before="320" w:after="200"/>
      <w:outlineLvl w:val="8"/>
    </w:pPr>
    <w:rPr>
      <w:rFonts w:ascii="Arial" w:hAnsi="Arial" w:eastAsia="Arial" w:cs="Arial"/>
      <w:i/>
      <w:iCs/>
      <w:szCs w:val="21"/>
    </w:rPr>
  </w:style>
  <w:style w:type="character" w:styleId="955" w:default="1">
    <w:name w:val="Default Paragraph Font"/>
    <w:uiPriority w:val="1"/>
    <w:unhideWhenUsed/>
    <w:qFormat/>
  </w:style>
  <w:style w:type="table" w:styleId="956" w:default="1">
    <w:name w:val="Normal Table"/>
    <w:uiPriority w:val="99"/>
    <w:unhideWhenUsed/>
    <w:qFormat/>
    <w:tblPr>
      <w:tblCellMar>
        <w:left w:w="108" w:type="dxa"/>
        <w:top w:w="0" w:type="dxa"/>
        <w:right w:w="108" w:type="dxa"/>
        <w:bottom w:w="0" w:type="dxa"/>
      </w:tblCellMar>
    </w:tblPr>
  </w:style>
  <w:style w:type="paragraph" w:styleId="957">
    <w:name w:val="toc 7"/>
    <w:basedOn w:val="945"/>
    <w:next w:val="945"/>
    <w:uiPriority w:val="39"/>
    <w:unhideWhenUsed/>
    <w:qFormat/>
    <w:pPr>
      <w:ind w:left="1701"/>
      <w:spacing w:after="57"/>
    </w:pPr>
  </w:style>
  <w:style w:type="paragraph" w:styleId="958">
    <w:name w:val="Normal Indent"/>
    <w:basedOn w:val="945"/>
    <w:next w:val="945"/>
    <w:uiPriority w:val="0"/>
    <w:qFormat/>
    <w:pPr>
      <w:ind w:firstLine="420"/>
      <w:jc w:val="left"/>
    </w:pPr>
    <w:rPr>
      <w:rFonts w:eastAsia="楷体_GB2312"/>
      <w:sz w:val="24"/>
    </w:rPr>
  </w:style>
  <w:style w:type="paragraph" w:styleId="959">
    <w:name w:val="Caption"/>
    <w:basedOn w:val="945"/>
    <w:next w:val="945"/>
    <w:uiPriority w:val="35"/>
    <w:unhideWhenUsed/>
    <w:qFormat/>
    <w:pPr>
      <w:spacing w:line="276" w:lineRule="auto"/>
    </w:pPr>
    <w:rPr>
      <w:b/>
      <w:bCs/>
      <w:color w:val="4874cb" w:themeColor="accent1"/>
      <w:sz w:val="18"/>
      <w:szCs w:val="18"/>
      <w14:textFill>
        <w14:solidFill>
          <w14:schemeClr w14:val="accent1"/>
        </w14:solidFill>
      </w14:textFill>
    </w:rPr>
  </w:style>
  <w:style w:type="paragraph" w:styleId="960">
    <w:name w:val="List Bullet"/>
    <w:basedOn w:val="946"/>
    <w:next w:val="945"/>
    <w:uiPriority w:val="99"/>
    <w:unhideWhenUsed/>
    <w:qFormat/>
    <w:pPr>
      <w:numPr>
        <w:ilvl w:val="0"/>
        <w:numId w:val="1"/>
      </w:numPr>
    </w:pPr>
  </w:style>
  <w:style w:type="paragraph" w:styleId="961">
    <w:name w:val="annotation text"/>
    <w:basedOn w:val="945"/>
    <w:uiPriority w:val="0"/>
    <w:qFormat/>
    <w:pPr>
      <w:jc w:val="left"/>
    </w:pPr>
  </w:style>
  <w:style w:type="paragraph" w:styleId="962">
    <w:name w:val="Body Text"/>
    <w:basedOn w:val="945"/>
    <w:uiPriority w:val="0"/>
    <w:qFormat/>
    <w:pPr>
      <w:spacing w:line="400" w:lineRule="exact"/>
    </w:pPr>
    <w:rPr>
      <w:rFonts w:ascii="楷体_GB2312" w:eastAsia="楷体_GB2312"/>
      <w:sz w:val="28"/>
    </w:rPr>
  </w:style>
  <w:style w:type="paragraph" w:styleId="963">
    <w:name w:val="Body Text Indent"/>
    <w:basedOn w:val="945"/>
    <w:next w:val="945"/>
    <w:uiPriority w:val="0"/>
    <w:qFormat/>
    <w:pPr>
      <w:ind w:firstLine="560"/>
      <w:spacing w:line="560" w:lineRule="exact"/>
    </w:pPr>
    <w:rPr>
      <w:rFonts w:ascii="宋体" w:hAnsi="宋体"/>
    </w:rPr>
  </w:style>
  <w:style w:type="paragraph" w:styleId="964">
    <w:name w:val="toc 5"/>
    <w:basedOn w:val="945"/>
    <w:next w:val="945"/>
    <w:uiPriority w:val="39"/>
    <w:unhideWhenUsed/>
    <w:qFormat/>
    <w:pPr>
      <w:ind w:left="1134"/>
      <w:spacing w:after="57"/>
    </w:pPr>
  </w:style>
  <w:style w:type="paragraph" w:styleId="965">
    <w:name w:val="toc 3"/>
    <w:basedOn w:val="945"/>
    <w:next w:val="945"/>
    <w:uiPriority w:val="39"/>
    <w:unhideWhenUsed/>
    <w:qFormat/>
    <w:pPr>
      <w:ind w:left="567"/>
      <w:spacing w:after="57"/>
    </w:pPr>
  </w:style>
  <w:style w:type="paragraph" w:styleId="966">
    <w:name w:val="toc 8"/>
    <w:basedOn w:val="945"/>
    <w:next w:val="945"/>
    <w:uiPriority w:val="39"/>
    <w:unhideWhenUsed/>
    <w:qFormat/>
    <w:pPr>
      <w:ind w:left="1984"/>
      <w:spacing w:after="57"/>
    </w:pPr>
  </w:style>
  <w:style w:type="paragraph" w:styleId="967">
    <w:name w:val="endnote text"/>
    <w:basedOn w:val="945"/>
    <w:link w:val="1181"/>
    <w:uiPriority w:val="99"/>
    <w:unhideWhenUsed/>
    <w:qFormat/>
    <w:pPr>
      <w:spacing w:after="0" w:line="240" w:lineRule="auto"/>
    </w:pPr>
    <w:rPr>
      <w:sz w:val="20"/>
    </w:rPr>
  </w:style>
  <w:style w:type="paragraph" w:styleId="968">
    <w:name w:val="Footer"/>
    <w:uiPriority w:val="99"/>
    <w:unhideWhenUsed/>
    <w:qFormat/>
    <w:pPr>
      <w:spacing w:after="160" w:line="278" w:lineRule="auto"/>
      <w:tabs>
        <w:tab w:val="center" w:pos="7143" w:leader="none"/>
        <w:tab w:val="right" w:pos="14287" w:leader="none"/>
      </w:tabs>
    </w:pPr>
    <w:rPr>
      <w:rFonts w:hint="default" w:ascii="Times New Roman" w:hAnsi="Times New Roman" w:eastAsia="宋体" w:cs="Times New Roman"/>
      <w:lang w:val="en-US" w:eastAsia="zh-CN" w:bidi="ar-SA"/>
    </w:rPr>
  </w:style>
  <w:style w:type="paragraph" w:styleId="969">
    <w:name w:val="Header"/>
    <w:basedOn w:val="945"/>
    <w:link w:val="1052"/>
    <w:uiPriority w:val="99"/>
    <w:unhideWhenUsed/>
    <w:qFormat/>
    <w:pPr>
      <w:spacing w:after="0" w:line="240" w:lineRule="auto"/>
      <w:tabs>
        <w:tab w:val="center" w:pos="7143" w:leader="none"/>
        <w:tab w:val="right" w:pos="14287" w:leader="none"/>
      </w:tabs>
    </w:pPr>
  </w:style>
  <w:style w:type="paragraph" w:styleId="970">
    <w:name w:val="toc 1"/>
    <w:basedOn w:val="945"/>
    <w:next w:val="945"/>
    <w:uiPriority w:val="39"/>
    <w:unhideWhenUsed/>
    <w:qFormat/>
    <w:pPr>
      <w:spacing w:after="57"/>
    </w:pPr>
  </w:style>
  <w:style w:type="paragraph" w:styleId="971">
    <w:name w:val="toc 4"/>
    <w:basedOn w:val="945"/>
    <w:next w:val="945"/>
    <w:uiPriority w:val="39"/>
    <w:unhideWhenUsed/>
    <w:qFormat/>
    <w:pPr>
      <w:ind w:left="850"/>
      <w:spacing w:after="57"/>
    </w:pPr>
  </w:style>
  <w:style w:type="paragraph" w:styleId="972">
    <w:name w:val="Subtitle"/>
    <w:basedOn w:val="945"/>
    <w:next w:val="945"/>
    <w:link w:val="1047"/>
    <w:uiPriority w:val="11"/>
    <w:qFormat/>
    <w:pPr>
      <w:spacing w:before="200" w:after="200"/>
    </w:pPr>
    <w:rPr>
      <w:sz w:val="24"/>
      <w:szCs w:val="24"/>
    </w:rPr>
  </w:style>
  <w:style w:type="paragraph" w:styleId="973">
    <w:name w:val="footnote text"/>
    <w:basedOn w:val="945"/>
    <w:link w:val="1180"/>
    <w:uiPriority w:val="99"/>
    <w:unhideWhenUsed/>
    <w:qFormat/>
    <w:pPr>
      <w:spacing w:after="40" w:line="240" w:lineRule="auto"/>
    </w:pPr>
    <w:rPr>
      <w:sz w:val="18"/>
    </w:rPr>
  </w:style>
  <w:style w:type="paragraph" w:styleId="974">
    <w:name w:val="toc 6"/>
    <w:basedOn w:val="945"/>
    <w:next w:val="945"/>
    <w:uiPriority w:val="39"/>
    <w:unhideWhenUsed/>
    <w:qFormat/>
    <w:pPr>
      <w:ind w:left="1417"/>
      <w:spacing w:after="57"/>
    </w:pPr>
  </w:style>
  <w:style w:type="paragraph" w:styleId="975">
    <w:name w:val="table of figures"/>
    <w:basedOn w:val="945"/>
    <w:next w:val="945"/>
    <w:uiPriority w:val="99"/>
    <w:unhideWhenUsed/>
    <w:qFormat/>
    <w:pPr>
      <w:spacing w:after="0"/>
    </w:pPr>
  </w:style>
  <w:style w:type="paragraph" w:styleId="976">
    <w:name w:val="toc 2"/>
    <w:basedOn w:val="945"/>
    <w:next w:val="945"/>
    <w:uiPriority w:val="39"/>
    <w:unhideWhenUsed/>
    <w:qFormat/>
    <w:pPr>
      <w:ind w:left="283"/>
      <w:spacing w:after="57"/>
    </w:pPr>
  </w:style>
  <w:style w:type="paragraph" w:styleId="977">
    <w:name w:val="toc 9"/>
    <w:basedOn w:val="945"/>
    <w:next w:val="945"/>
    <w:uiPriority w:val="39"/>
    <w:unhideWhenUsed/>
    <w:qFormat/>
    <w:pPr>
      <w:ind w:left="2268"/>
      <w:spacing w:after="57"/>
    </w:pPr>
  </w:style>
  <w:style w:type="paragraph" w:styleId="978">
    <w:name w:val="Body Text 2"/>
    <w:basedOn w:val="946"/>
    <w:next w:val="960"/>
    <w:uiPriority w:val="0"/>
    <w:qFormat/>
    <w:pPr>
      <w:ind w:left="720" w:hanging="720"/>
      <w:widowControl/>
    </w:pPr>
    <w:rPr>
      <w:sz w:val="24"/>
      <w:szCs w:val="20"/>
      <w:lang w:val="en-GB"/>
    </w:rPr>
  </w:style>
  <w:style w:type="paragraph" w:styleId="979">
    <w:name w:val="Normal (Web)"/>
    <w:basedOn w:val="945"/>
    <w:uiPriority w:val="99"/>
    <w:semiHidden/>
    <w:unhideWhenUsed/>
    <w:qFormat/>
    <w:pPr>
      <w:ind w:left="0" w:right="0"/>
      <w:jc w:val="left"/>
      <w:spacing w:before="0" w:beforeAutospacing="1" w:after="0" w:afterAutospacing="1"/>
    </w:pPr>
    <w:rPr>
      <w:sz w:val="24"/>
      <w:lang w:val="en-US" w:eastAsia="zh-CN" w:bidi="ar"/>
    </w:rPr>
  </w:style>
  <w:style w:type="paragraph" w:styleId="980">
    <w:name w:val="Title"/>
    <w:basedOn w:val="945"/>
    <w:next w:val="945"/>
    <w:link w:val="1046"/>
    <w:uiPriority w:val="10"/>
    <w:qFormat/>
    <w:pPr>
      <w:contextualSpacing/>
      <w:spacing w:before="300" w:after="200"/>
    </w:pPr>
    <w:rPr>
      <w:sz w:val="48"/>
      <w:szCs w:val="48"/>
    </w:rPr>
  </w:style>
  <w:style w:type="paragraph" w:styleId="981">
    <w:name w:val="Body Text First Indent 2"/>
    <w:basedOn w:val="963"/>
    <w:next w:val="945"/>
    <w:uiPriority w:val="99"/>
    <w:unhideWhenUsed/>
    <w:qFormat/>
    <w:pPr>
      <w:ind w:firstLine="420"/>
    </w:pPr>
  </w:style>
  <w:style w:type="table" w:styleId="982">
    <w:name w:val="Table Grid"/>
    <w:basedOn w:val="95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3">
    <w:name w:val="Strong"/>
    <w:basedOn w:val="955"/>
    <w:uiPriority w:val="0"/>
    <w:qFormat/>
    <w:rPr>
      <w:b/>
    </w:rPr>
  </w:style>
  <w:style w:type="character" w:styleId="984">
    <w:name w:val="endnote reference"/>
    <w:basedOn w:val="955"/>
    <w:uiPriority w:val="99"/>
    <w:unhideWhenUsed/>
    <w:qFormat/>
    <w:rPr>
      <w:vertAlign w:val="superscript"/>
    </w:rPr>
  </w:style>
  <w:style w:type="character" w:styleId="985">
    <w:name w:val="Hyperlink"/>
    <w:uiPriority w:val="99"/>
    <w:unhideWhenUsed/>
    <w:qFormat/>
    <w:rPr>
      <w:color w:val="0026e5" w:themeColor="hyperlink"/>
      <w:u w:val="single"/>
      <w14:textFill>
        <w14:solidFill>
          <w14:schemeClr w14:val="hlink"/>
        </w14:solidFill>
      </w14:textFill>
    </w:rPr>
  </w:style>
  <w:style w:type="character" w:styleId="986">
    <w:name w:val="annotation reference"/>
    <w:basedOn w:val="955"/>
    <w:uiPriority w:val="99"/>
    <w:unhideWhenUsed/>
    <w:qFormat/>
    <w:rPr>
      <w:sz w:val="21"/>
      <w:szCs w:val="21"/>
    </w:rPr>
  </w:style>
  <w:style w:type="character" w:styleId="987">
    <w:name w:val="footnote reference"/>
    <w:basedOn w:val="955"/>
    <w:uiPriority w:val="99"/>
    <w:unhideWhenUsed/>
    <w:qFormat/>
    <w:rPr>
      <w:vertAlign w:val="superscript"/>
    </w:rPr>
  </w:style>
  <w:style w:type="character" w:styleId="988" w:customStyle="1">
    <w:name w:val="Heading 1 Char"/>
    <w:basedOn w:val="955"/>
    <w:uiPriority w:val="9"/>
    <w:qFormat/>
    <w:rPr>
      <w:rFonts w:ascii="Arial" w:hAnsi="Arial" w:eastAsia="Arial" w:cs="Arial"/>
      <w:sz w:val="40"/>
      <w:szCs w:val="40"/>
    </w:rPr>
  </w:style>
  <w:style w:type="character" w:styleId="989" w:customStyle="1">
    <w:name w:val="Heading 2 Char"/>
    <w:basedOn w:val="955"/>
    <w:uiPriority w:val="9"/>
    <w:qFormat/>
    <w:rPr>
      <w:rFonts w:ascii="Arial" w:hAnsi="Arial" w:eastAsia="Arial" w:cs="Arial"/>
      <w:sz w:val="34"/>
    </w:rPr>
  </w:style>
  <w:style w:type="character" w:styleId="990" w:customStyle="1">
    <w:name w:val="Heading 3 Char"/>
    <w:basedOn w:val="955"/>
    <w:uiPriority w:val="9"/>
    <w:qFormat/>
    <w:rPr>
      <w:rFonts w:ascii="Arial" w:hAnsi="Arial" w:eastAsia="Arial" w:cs="Arial"/>
      <w:sz w:val="30"/>
      <w:szCs w:val="30"/>
    </w:rPr>
  </w:style>
  <w:style w:type="character" w:styleId="991" w:customStyle="1">
    <w:name w:val="Heading 4 Char"/>
    <w:basedOn w:val="955"/>
    <w:uiPriority w:val="9"/>
    <w:qFormat/>
    <w:rPr>
      <w:rFonts w:ascii="Arial" w:hAnsi="Arial" w:eastAsia="Arial" w:cs="Arial"/>
      <w:b/>
      <w:bCs/>
      <w:sz w:val="26"/>
      <w:szCs w:val="26"/>
    </w:rPr>
  </w:style>
  <w:style w:type="character" w:styleId="992" w:customStyle="1">
    <w:name w:val="Heading 5 Char"/>
    <w:basedOn w:val="955"/>
    <w:uiPriority w:val="9"/>
    <w:qFormat/>
    <w:rPr>
      <w:rFonts w:ascii="Arial" w:hAnsi="Arial" w:eastAsia="Arial" w:cs="Arial"/>
      <w:b/>
      <w:bCs/>
      <w:sz w:val="24"/>
      <w:szCs w:val="24"/>
    </w:rPr>
  </w:style>
  <w:style w:type="character" w:styleId="993" w:customStyle="1">
    <w:name w:val="Heading 6 Char"/>
    <w:basedOn w:val="955"/>
    <w:uiPriority w:val="9"/>
    <w:qFormat/>
    <w:rPr>
      <w:rFonts w:ascii="Arial" w:hAnsi="Arial" w:eastAsia="Arial" w:cs="Arial"/>
      <w:b/>
      <w:bCs/>
      <w:sz w:val="22"/>
      <w:szCs w:val="22"/>
    </w:rPr>
  </w:style>
  <w:style w:type="character" w:styleId="994" w:customStyle="1">
    <w:name w:val="Heading 7 Char"/>
    <w:basedOn w:val="955"/>
    <w:uiPriority w:val="9"/>
    <w:qFormat/>
    <w:rPr>
      <w:rFonts w:ascii="Arial" w:hAnsi="Arial" w:eastAsia="Arial" w:cs="Arial"/>
      <w:b/>
      <w:bCs/>
      <w:i/>
      <w:iCs/>
      <w:sz w:val="22"/>
      <w:szCs w:val="22"/>
    </w:rPr>
  </w:style>
  <w:style w:type="character" w:styleId="995" w:customStyle="1">
    <w:name w:val="Heading 8 Char"/>
    <w:basedOn w:val="955"/>
    <w:uiPriority w:val="9"/>
    <w:qFormat/>
    <w:rPr>
      <w:rFonts w:ascii="Arial" w:hAnsi="Arial" w:eastAsia="Arial" w:cs="Arial"/>
      <w:i/>
      <w:iCs/>
      <w:sz w:val="22"/>
      <w:szCs w:val="22"/>
    </w:rPr>
  </w:style>
  <w:style w:type="character" w:styleId="996" w:customStyle="1">
    <w:name w:val="Heading 9 Char"/>
    <w:basedOn w:val="955"/>
    <w:uiPriority w:val="9"/>
    <w:qFormat/>
    <w:rPr>
      <w:rFonts w:ascii="Arial" w:hAnsi="Arial" w:eastAsia="Arial" w:cs="Arial"/>
      <w:i/>
      <w:iCs/>
      <w:sz w:val="21"/>
      <w:szCs w:val="21"/>
    </w:rPr>
  </w:style>
  <w:style w:type="paragraph" w:styleId="997">
    <w:name w:val="List Paragraph"/>
    <w:basedOn w:val="945"/>
    <w:uiPriority w:val="34"/>
    <w:qFormat/>
    <w:pPr>
      <w:contextualSpacing/>
      <w:ind w:left="720"/>
    </w:pPr>
  </w:style>
  <w:style w:type="paragraph" w:styleId="998">
    <w:name w:val="No Spacing"/>
    <w:uiPriority w:val="1"/>
    <w:qFormat/>
    <w:pPr>
      <w:spacing w:before="0" w:after="0" w:line="240" w:lineRule="auto"/>
    </w:pPr>
    <w:rPr>
      <w:rFonts w:hint="default" w:ascii="Times New Roman" w:hAnsi="Times New Roman" w:eastAsia="宋体" w:cs="Times New Roman"/>
    </w:rPr>
  </w:style>
  <w:style w:type="character" w:styleId="999" w:customStyle="1">
    <w:name w:val="Title Char"/>
    <w:basedOn w:val="955"/>
    <w:uiPriority w:val="10"/>
    <w:qFormat/>
    <w:rPr>
      <w:sz w:val="48"/>
      <w:szCs w:val="48"/>
    </w:rPr>
  </w:style>
  <w:style w:type="character" w:styleId="1000" w:customStyle="1">
    <w:name w:val="Subtitle Char"/>
    <w:basedOn w:val="955"/>
    <w:uiPriority w:val="11"/>
    <w:qFormat/>
    <w:rPr>
      <w:sz w:val="24"/>
      <w:szCs w:val="24"/>
    </w:rPr>
  </w:style>
  <w:style w:type="paragraph" w:styleId="1001">
    <w:name w:val="Quote"/>
    <w:basedOn w:val="945"/>
    <w:next w:val="945"/>
    <w:uiPriority w:val="29"/>
    <w:qFormat/>
    <w:pPr>
      <w:ind w:left="720" w:right="720"/>
    </w:pPr>
    <w:rPr>
      <w:i/>
    </w:rPr>
  </w:style>
  <w:style w:type="paragraph" w:styleId="1002">
    <w:name w:val="Intense Quote"/>
    <w:basedOn w:val="945"/>
    <w:next w:val="9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3" w:customStyle="1">
    <w:name w:val="Header Char"/>
    <w:basedOn w:val="955"/>
    <w:uiPriority w:val="99"/>
    <w:qFormat/>
  </w:style>
  <w:style w:type="table" w:styleId="1004" w:customStyle="1">
    <w:name w:val="Plain Table 1"/>
    <w:basedOn w:val="95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5" w:customStyle="1">
    <w:name w:val="Plain Table 2"/>
    <w:basedOn w:val="95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6" w:customStyle="1">
    <w:name w:val="Plain Table 3"/>
    <w:basedOn w:val="9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7" w:customStyle="1">
    <w:name w:val="Plain Table 4"/>
    <w:basedOn w:val="9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8" w:customStyle="1">
    <w:name w:val="Plain Table 5"/>
    <w:basedOn w:val="9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09" w:customStyle="1">
    <w:name w:val="Grid Table 1 Light"/>
    <w:basedOn w:val="95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0" w:customStyle="1">
    <w:name w:val="Grid Table 2"/>
    <w:basedOn w:val="95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1" w:customStyle="1">
    <w:name w:val="Grid Table 3"/>
    <w:basedOn w:val="95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Grid Table 4"/>
    <w:basedOn w:val="95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3" w:customStyle="1">
    <w:name w:val="Grid Table 5 Dark"/>
    <w:basedOn w:val="9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4" w:customStyle="1">
    <w:name w:val="Grid Table 6 Colorful"/>
    <w:basedOn w:val="95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5" w:customStyle="1">
    <w:name w:val="Grid Table 7 Colorful"/>
    <w:basedOn w:val="95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6" w:customStyle="1">
    <w:name w:val="List Table 1 Light"/>
    <w:basedOn w:val="95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7" w:customStyle="1">
    <w:name w:val="List Table 2"/>
    <w:basedOn w:val="95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8" w:customStyle="1">
    <w:name w:val="List Table 3"/>
    <w:basedOn w:val="95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9" w:customStyle="1">
    <w:name w:val="List Table 4"/>
    <w:basedOn w:val="95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0" w:customStyle="1">
    <w:name w:val="List Table 5 Dark"/>
    <w:basedOn w:val="95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6 Colorful"/>
    <w:basedOn w:val="95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2" w:customStyle="1">
    <w:name w:val="List Table 7 Colorful"/>
    <w:basedOn w:val="95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23" w:customStyle="1">
    <w:name w:val="Footnote Text Char"/>
    <w:uiPriority w:val="99"/>
    <w:qFormat/>
    <w:rPr>
      <w:sz w:val="18"/>
    </w:rPr>
  </w:style>
  <w:style w:type="character" w:styleId="1024" w:customStyle="1">
    <w:name w:val="Endnote Text Char"/>
    <w:uiPriority w:val="99"/>
    <w:qFormat/>
    <w:rPr>
      <w:sz w:val="20"/>
    </w:rPr>
  </w:style>
  <w:style w:type="paragraph" w:styleId="1025" w:customStyle="1">
    <w:name w:val="TOC Heading"/>
    <w:uiPriority w:val="39"/>
    <w:unhideWhenUsed/>
    <w:qFormat/>
    <w:rPr>
      <w:rFonts w:hint="default" w:ascii="Times New Roman" w:hAnsi="Times New Roman" w:eastAsia="宋体" w:cs="Times New Roman"/>
    </w:rPr>
  </w:style>
  <w:style w:type="paragraph" w:styleId="1026" w:customStyle="1">
    <w:name w:val="正文文本缩进1"/>
    <w:basedOn w:val="945"/>
    <w:next w:val="945"/>
    <w:uiPriority w:val="0"/>
    <w:qFormat/>
    <w:pPr>
      <w:ind w:left="420"/>
      <w:spacing w:after="120"/>
    </w:pPr>
  </w:style>
  <w:style w:type="paragraph" w:styleId="1027" w:customStyle="1">
    <w:name w:val="正文文本1"/>
    <w:basedOn w:val="945"/>
    <w:next w:val="1028"/>
    <w:uiPriority w:val="0"/>
    <w:qFormat/>
    <w:pPr>
      <w:jc w:val="center"/>
    </w:pPr>
    <w:rPr>
      <w:rFonts w:ascii="方正大黑简体" w:eastAsia="方正大黑简体"/>
      <w:position w:val="6"/>
      <w:sz w:val="30"/>
    </w:rPr>
  </w:style>
  <w:style w:type="paragraph" w:styleId="1028" w:customStyle="1">
    <w:name w:val="正文缩进1"/>
    <w:basedOn w:val="945"/>
    <w:next w:val="945"/>
    <w:uiPriority w:val="0"/>
    <w:qFormat/>
    <w:pPr>
      <w:ind w:firstLine="420"/>
      <w:jc w:val="left"/>
    </w:pPr>
    <w:rPr>
      <w:rFonts w:eastAsia="楷体_GB2312"/>
      <w:sz w:val="24"/>
      <w:szCs w:val="20"/>
    </w:rPr>
  </w:style>
  <w:style w:type="paragraph" w:styleId="1029" w:customStyle="1">
    <w:name w:val="列表段落1"/>
    <w:basedOn w:val="945"/>
    <w:next w:val="1030"/>
    <w:uiPriority w:val="34"/>
    <w:qFormat/>
    <w:pPr>
      <w:contextualSpacing/>
      <w:ind w:left="720"/>
    </w:pPr>
  </w:style>
  <w:style w:type="paragraph" w:styleId="1030" w:customStyle="1">
    <w:name w:val="xl91"/>
    <w:basedOn w:val="946"/>
    <w:next w:val="1031"/>
    <w:uiPriority w:val="0"/>
    <w:qFormat/>
    <w:pPr>
      <w:ind w:firstLine="3584"/>
      <w:spacing w:before="280" w:after="280" w:line="240" w:lineRule="auto"/>
    </w:pPr>
  </w:style>
  <w:style w:type="paragraph" w:styleId="1031" w:customStyle="1">
    <w:name w:val="xl76"/>
    <w:basedOn w:val="946"/>
    <w:next w:val="978"/>
    <w:uiPriority w:val="0"/>
    <w:qFormat/>
    <w:pPr>
      <w:ind w:firstLine="3584"/>
      <w:jc w:val="center"/>
      <w:spacing w:before="280" w:after="280" w:line="240" w:lineRule="auto"/>
    </w:pPr>
  </w:style>
  <w:style w:type="paragraph" w:styleId="1032" w:customStyle="1">
    <w:name w:val="首行缩进"/>
    <w:basedOn w:val="945"/>
    <w:uiPriority w:val="0"/>
    <w:qFormat/>
    <w:pPr>
      <w:ind w:firstLine="480"/>
    </w:pPr>
    <w:rPr>
      <w:lang w:val="zh-CN"/>
    </w:rPr>
  </w:style>
  <w:style w:type="paragraph" w:styleId="1033" w:customStyle="1">
    <w:name w:val="正文文本11"/>
    <w:basedOn w:val="945"/>
    <w:uiPriority w:val="0"/>
    <w:unhideWhenUsed/>
    <w:qFormat/>
    <w:pPr>
      <w:spacing w:after="120"/>
    </w:pPr>
    <w:rPr>
      <w:sz w:val="20"/>
    </w:rPr>
  </w:style>
  <w:style w:type="paragraph" w:styleId="1034" w:customStyle="1">
    <w:name w:val="页脚1"/>
    <w:basedOn w:val="945"/>
    <w:next w:val="1035"/>
    <w:uiPriority w:val="99"/>
    <w:unhideWhenUsed/>
    <w:qFormat/>
    <w:pPr>
      <w:jc w:val="left"/>
      <w:tabs>
        <w:tab w:val="center" w:pos="4153" w:leader="none"/>
        <w:tab w:val="right" w:pos="8306" w:leader="none"/>
      </w:tabs>
    </w:pPr>
    <w:rPr>
      <w:sz w:val="18"/>
      <w:szCs w:val="18"/>
    </w:rPr>
  </w:style>
  <w:style w:type="paragraph" w:styleId="1035" w:customStyle="1">
    <w:name w:val="TOC Heading1"/>
    <w:next w:val="945"/>
    <w:uiPriority w:val="0"/>
    <w:qFormat/>
    <w:pPr>
      <w:spacing w:after="160" w:line="278" w:lineRule="auto"/>
    </w:pPr>
    <w:rPr>
      <w:rFonts w:hint="default" w:ascii="Times New Roman" w:hAnsi="Times New Roman" w:eastAsia="宋体" w:cs="Times New Roman"/>
      <w:sz w:val="32"/>
      <w:lang w:val="en-US" w:eastAsia="zh-CN" w:bidi="ar-SA"/>
    </w:rPr>
  </w:style>
  <w:style w:type="character" w:styleId="1036" w:customStyle="1">
    <w:name w:val="标题 1 字符"/>
    <w:basedOn w:val="955"/>
    <w:link w:val="946"/>
    <w:uiPriority w:val="9"/>
    <w:qFormat/>
    <w:rPr>
      <w:rFonts w:ascii="Arial" w:hAnsi="Arial" w:eastAsia="Arial" w:cs="Arial"/>
      <w:sz w:val="40"/>
      <w:szCs w:val="40"/>
    </w:rPr>
  </w:style>
  <w:style w:type="character" w:styleId="1037" w:customStyle="1">
    <w:name w:val="标题 2 字符"/>
    <w:basedOn w:val="955"/>
    <w:link w:val="947"/>
    <w:uiPriority w:val="9"/>
    <w:qFormat/>
    <w:rPr>
      <w:rFonts w:ascii="Arial" w:hAnsi="Arial" w:eastAsia="Arial" w:cs="Arial"/>
      <w:sz w:val="34"/>
    </w:rPr>
  </w:style>
  <w:style w:type="character" w:styleId="1038" w:customStyle="1">
    <w:name w:val="标题 3 字符"/>
    <w:basedOn w:val="955"/>
    <w:link w:val="948"/>
    <w:uiPriority w:val="9"/>
    <w:qFormat/>
    <w:rPr>
      <w:rFonts w:ascii="Arial" w:hAnsi="Arial" w:eastAsia="Arial" w:cs="Arial"/>
      <w:sz w:val="30"/>
      <w:szCs w:val="30"/>
    </w:rPr>
  </w:style>
  <w:style w:type="character" w:styleId="1039" w:customStyle="1">
    <w:name w:val="标题 4 字符"/>
    <w:basedOn w:val="955"/>
    <w:link w:val="949"/>
    <w:uiPriority w:val="9"/>
    <w:qFormat/>
    <w:rPr>
      <w:rFonts w:ascii="Arial" w:hAnsi="Arial" w:eastAsia="Arial" w:cs="Arial"/>
      <w:b/>
      <w:bCs/>
      <w:sz w:val="26"/>
      <w:szCs w:val="26"/>
    </w:rPr>
  </w:style>
  <w:style w:type="character" w:styleId="1040" w:customStyle="1">
    <w:name w:val="标题 5 字符"/>
    <w:basedOn w:val="955"/>
    <w:link w:val="950"/>
    <w:uiPriority w:val="9"/>
    <w:qFormat/>
    <w:rPr>
      <w:rFonts w:ascii="Arial" w:hAnsi="Arial" w:eastAsia="Arial" w:cs="Arial"/>
      <w:b/>
      <w:bCs/>
      <w:sz w:val="24"/>
      <w:szCs w:val="24"/>
    </w:rPr>
  </w:style>
  <w:style w:type="character" w:styleId="1041" w:customStyle="1">
    <w:name w:val="标题 6 字符"/>
    <w:basedOn w:val="955"/>
    <w:link w:val="951"/>
    <w:uiPriority w:val="9"/>
    <w:qFormat/>
    <w:rPr>
      <w:rFonts w:ascii="Arial" w:hAnsi="Arial" w:eastAsia="Arial" w:cs="Arial"/>
      <w:b/>
      <w:bCs/>
      <w:sz w:val="22"/>
      <w:szCs w:val="22"/>
    </w:rPr>
  </w:style>
  <w:style w:type="character" w:styleId="1042" w:customStyle="1">
    <w:name w:val="标题 7 字符"/>
    <w:basedOn w:val="955"/>
    <w:link w:val="952"/>
    <w:uiPriority w:val="9"/>
    <w:qFormat/>
    <w:rPr>
      <w:rFonts w:ascii="Arial" w:hAnsi="Arial" w:eastAsia="Arial" w:cs="Arial"/>
      <w:b/>
      <w:bCs/>
      <w:i/>
      <w:iCs/>
      <w:sz w:val="22"/>
      <w:szCs w:val="22"/>
    </w:rPr>
  </w:style>
  <w:style w:type="character" w:styleId="1043" w:customStyle="1">
    <w:name w:val="标题 8 字符"/>
    <w:basedOn w:val="955"/>
    <w:link w:val="953"/>
    <w:uiPriority w:val="9"/>
    <w:qFormat/>
    <w:rPr>
      <w:rFonts w:ascii="Arial" w:hAnsi="Arial" w:eastAsia="Arial" w:cs="Arial"/>
      <w:i/>
      <w:iCs/>
      <w:sz w:val="22"/>
      <w:szCs w:val="22"/>
    </w:rPr>
  </w:style>
  <w:style w:type="character" w:styleId="1044" w:customStyle="1">
    <w:name w:val="标题 9 字符"/>
    <w:basedOn w:val="955"/>
    <w:link w:val="954"/>
    <w:uiPriority w:val="9"/>
    <w:qFormat/>
    <w:rPr>
      <w:rFonts w:ascii="Arial" w:hAnsi="Arial" w:eastAsia="Arial" w:cs="Arial"/>
      <w:i/>
      <w:iCs/>
      <w:sz w:val="21"/>
      <w:szCs w:val="21"/>
    </w:rPr>
  </w:style>
  <w:style w:type="paragraph" w:styleId="1045" w:customStyle="1">
    <w:name w:val="无间隔1"/>
    <w:uiPriority w:val="1"/>
    <w:qFormat/>
    <w:pPr>
      <w:spacing w:after="0" w:line="240" w:lineRule="auto"/>
    </w:pPr>
    <w:rPr>
      <w:rFonts w:hint="default" w:asciiTheme="minorHAnsi" w:hAnsiTheme="minorHAnsi" w:eastAsiaTheme="minorEastAsia" w:cstheme="minorBidi"/>
      <w:lang w:val="en-US" w:eastAsia="zh-CN" w:bidi="ar-SA"/>
    </w:rPr>
  </w:style>
  <w:style w:type="character" w:styleId="1046" w:customStyle="1">
    <w:name w:val="标题 字符"/>
    <w:basedOn w:val="955"/>
    <w:link w:val="980"/>
    <w:uiPriority w:val="10"/>
    <w:qFormat/>
    <w:rPr>
      <w:sz w:val="48"/>
      <w:szCs w:val="48"/>
    </w:rPr>
  </w:style>
  <w:style w:type="character" w:styleId="1047" w:customStyle="1">
    <w:name w:val="副标题 字符"/>
    <w:basedOn w:val="955"/>
    <w:link w:val="972"/>
    <w:uiPriority w:val="11"/>
    <w:qFormat/>
    <w:rPr>
      <w:sz w:val="24"/>
      <w:szCs w:val="24"/>
    </w:rPr>
  </w:style>
  <w:style w:type="paragraph" w:styleId="1048" w:customStyle="1">
    <w:name w:val="引用1"/>
    <w:basedOn w:val="945"/>
    <w:next w:val="945"/>
    <w:link w:val="1049"/>
    <w:uiPriority w:val="29"/>
    <w:qFormat/>
    <w:pPr>
      <w:ind w:left="720" w:right="720"/>
    </w:pPr>
    <w:rPr>
      <w:i/>
    </w:rPr>
  </w:style>
  <w:style w:type="character" w:styleId="1049" w:customStyle="1">
    <w:name w:val="Quote Char"/>
    <w:link w:val="1048"/>
    <w:uiPriority w:val="29"/>
    <w:qFormat/>
    <w:rPr>
      <w:i/>
    </w:rPr>
  </w:style>
  <w:style w:type="paragraph" w:styleId="1050" w:customStyle="1">
    <w:name w:val="明显引用1"/>
    <w:basedOn w:val="945"/>
    <w:next w:val="945"/>
    <w:link w:val="10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1" w:customStyle="1">
    <w:name w:val="Intense Quote Char"/>
    <w:link w:val="1050"/>
    <w:uiPriority w:val="30"/>
    <w:qFormat/>
    <w:rPr>
      <w:i/>
    </w:rPr>
  </w:style>
  <w:style w:type="character" w:styleId="1052" w:customStyle="1">
    <w:name w:val="页眉 字符"/>
    <w:basedOn w:val="955"/>
    <w:link w:val="969"/>
    <w:uiPriority w:val="99"/>
    <w:qFormat/>
  </w:style>
  <w:style w:type="character" w:styleId="1053" w:customStyle="1">
    <w:name w:val="Footer Char"/>
    <w:basedOn w:val="955"/>
    <w:uiPriority w:val="99"/>
    <w:qFormat/>
  </w:style>
  <w:style w:type="character" w:styleId="1054" w:customStyle="1">
    <w:name w:val="Caption Char"/>
    <w:uiPriority w:val="99"/>
    <w:qFormat/>
  </w:style>
  <w:style w:type="table" w:styleId="1055" w:customStyle="1">
    <w:name w:val="Table Grid Light"/>
    <w:basedOn w:val="95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56" w:customStyle="1">
    <w:name w:val="无格式表格 11"/>
    <w:basedOn w:val="95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7" w:customStyle="1">
    <w:name w:val="无格式表格 21"/>
    <w:basedOn w:val="95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8" w:customStyle="1">
    <w:name w:val="无格式表格 31"/>
    <w:basedOn w:val="9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59" w:customStyle="1">
    <w:name w:val="无格式表格 41"/>
    <w:basedOn w:val="9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60" w:customStyle="1">
    <w:name w:val="无格式表格 51"/>
    <w:basedOn w:val="9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61" w:customStyle="1">
    <w:name w:val="网格表 1 浅色1"/>
    <w:basedOn w:val="95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62" w:customStyle="1">
    <w:name w:val="Grid Table 1 Light - Accent 1"/>
    <w:basedOn w:val="95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1063" w:customStyle="1">
    <w:name w:val="Grid Table 1 Light - Accent 2"/>
    <w:basedOn w:val="95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1064" w:customStyle="1">
    <w:name w:val="Grid Table 1 Light - Accent 3"/>
    <w:basedOn w:val="95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1065" w:customStyle="1">
    <w:name w:val="Grid Table 1 Light - Accent 4"/>
    <w:basedOn w:val="95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066" w:customStyle="1">
    <w:name w:val="Grid Table 1 Light - Accent 5"/>
    <w:basedOn w:val="95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067" w:customStyle="1">
    <w:name w:val="Grid Table 1 Light - Accent 6"/>
    <w:basedOn w:val="95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068" w:customStyle="1">
    <w:name w:val="网格表 21"/>
    <w:basedOn w:val="95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69" w:customStyle="1">
    <w:name w:val="Grid Table 2 - Accent 1"/>
    <w:basedOn w:val="95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070" w:customStyle="1">
    <w:name w:val="Grid Table 2 - Accent 2"/>
    <w:basedOn w:val="95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071" w:customStyle="1">
    <w:name w:val="Grid Table 2 - Accent 3"/>
    <w:basedOn w:val="95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072" w:customStyle="1">
    <w:name w:val="Grid Table 2 - Accent 4"/>
    <w:basedOn w:val="95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073" w:customStyle="1">
    <w:name w:val="Grid Table 2 - Accent 5"/>
    <w:basedOn w:val="95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074" w:customStyle="1">
    <w:name w:val="Grid Table 2 - Accent 6"/>
    <w:basedOn w:val="95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075" w:customStyle="1">
    <w:name w:val="网格表 31"/>
    <w:basedOn w:val="95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6" w:customStyle="1">
    <w:name w:val="Grid Table 3 - Accent 1"/>
    <w:basedOn w:val="95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7" w:customStyle="1">
    <w:name w:val="Grid Table 3 - Accent 2"/>
    <w:basedOn w:val="95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8" w:customStyle="1">
    <w:name w:val="Grid Table 3 - Accent 3"/>
    <w:basedOn w:val="95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9" w:customStyle="1">
    <w:name w:val="Grid Table 3 - Accent 4"/>
    <w:basedOn w:val="95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0" w:customStyle="1">
    <w:name w:val="Grid Table 3 - Accent 5"/>
    <w:basedOn w:val="95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1" w:customStyle="1">
    <w:name w:val="Grid Table 3 - Accent 6"/>
    <w:basedOn w:val="95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2" w:customStyle="1">
    <w:name w:val="网格表 41"/>
    <w:basedOn w:val="95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83" w:customStyle="1">
    <w:name w:val="Grid Table 4 - Accent 1"/>
    <w:basedOn w:val="956"/>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084" w:customStyle="1">
    <w:name w:val="Grid Table 4 - Accent 2"/>
    <w:basedOn w:val="956"/>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085" w:customStyle="1">
    <w:name w:val="Grid Table 4 - Accent 3"/>
    <w:basedOn w:val="956"/>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086" w:customStyle="1">
    <w:name w:val="Grid Table 4 - Accent 4"/>
    <w:basedOn w:val="956"/>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087" w:customStyle="1">
    <w:name w:val="Grid Table 4 - Accent 5"/>
    <w:basedOn w:val="956"/>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088" w:customStyle="1">
    <w:name w:val="Grid Table 4 - Accent 6"/>
    <w:basedOn w:val="956"/>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089" w:customStyle="1">
    <w:name w:val="网格表 5 深色1"/>
    <w:basedOn w:val="9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90" w:customStyle="1">
    <w:name w:val="Grid Table 5 Dark- Accent 1"/>
    <w:basedOn w:val="9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091" w:customStyle="1">
    <w:name w:val="Grid Table 5 Dark - Accent 2"/>
    <w:basedOn w:val="9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092" w:customStyle="1">
    <w:name w:val="Grid Table 5 Dark - Accent 3"/>
    <w:basedOn w:val="9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093" w:customStyle="1">
    <w:name w:val="Grid Table 5 Dark- Accent 4"/>
    <w:basedOn w:val="9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094" w:customStyle="1">
    <w:name w:val="Grid Table 5 Dark - Accent 5"/>
    <w:basedOn w:val="9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095" w:customStyle="1">
    <w:name w:val="Grid Table 5 Dark - Accent 6"/>
    <w:basedOn w:val="9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096" w:customStyle="1">
    <w:name w:val="网格表 6 彩色1"/>
    <w:basedOn w:val="95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97" w:customStyle="1">
    <w:name w:val="Grid Table 6 Colorful - Accent 1"/>
    <w:basedOn w:val="956"/>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098" w:customStyle="1">
    <w:name w:val="Grid Table 6 Colorful - Accent 2"/>
    <w:basedOn w:val="95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099" w:customStyle="1">
    <w:name w:val="Grid Table 6 Colorful - Accent 3"/>
    <w:basedOn w:val="956"/>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1100" w:customStyle="1">
    <w:name w:val="Grid Table 6 Colorful - Accent 4"/>
    <w:basedOn w:val="95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101" w:customStyle="1">
    <w:name w:val="Grid Table 6 Colorful - Accent 5"/>
    <w:basedOn w:val="956"/>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102" w:customStyle="1">
    <w:name w:val="Grid Table 6 Colorful - Accent 6"/>
    <w:basedOn w:val="956"/>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103" w:customStyle="1">
    <w:name w:val="网格表 7 彩色1"/>
    <w:basedOn w:val="95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4" w:customStyle="1">
    <w:name w:val="Grid Table 7 Colorful - Accent 1"/>
    <w:basedOn w:val="956"/>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105" w:customStyle="1">
    <w:name w:val="Grid Table 7 Colorful - Accent 2"/>
    <w:basedOn w:val="956"/>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106" w:customStyle="1">
    <w:name w:val="Grid Table 7 Colorful - Accent 3"/>
    <w:basedOn w:val="956"/>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107" w:customStyle="1">
    <w:name w:val="Grid Table 7 Colorful - Accent 4"/>
    <w:basedOn w:val="956"/>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108" w:customStyle="1">
    <w:name w:val="Grid Table 7 Colorful - Accent 5"/>
    <w:basedOn w:val="956"/>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109" w:customStyle="1">
    <w:name w:val="Grid Table 7 Colorful - Accent 6"/>
    <w:basedOn w:val="956"/>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110" w:customStyle="1">
    <w:name w:val="清单表 1 浅色1"/>
    <w:basedOn w:val="95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1" w:customStyle="1">
    <w:name w:val="List Table 1 Light - Accent 1"/>
    <w:basedOn w:val="956"/>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112" w:customStyle="1">
    <w:name w:val="List Table 1 Light - Accent 2"/>
    <w:basedOn w:val="956"/>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113" w:customStyle="1">
    <w:name w:val="List Table 1 Light - Accent 3"/>
    <w:basedOn w:val="956"/>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114" w:customStyle="1">
    <w:name w:val="List Table 1 Light - Accent 4"/>
    <w:basedOn w:val="956"/>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115" w:customStyle="1">
    <w:name w:val="List Table 1 Light - Accent 5"/>
    <w:basedOn w:val="956"/>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116" w:customStyle="1">
    <w:name w:val="List Table 1 Light - Accent 6"/>
    <w:basedOn w:val="956"/>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117" w:customStyle="1">
    <w:name w:val="清单表 21"/>
    <w:basedOn w:val="95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18" w:customStyle="1">
    <w:name w:val="List Table 2 - Accent 1"/>
    <w:basedOn w:val="956"/>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119" w:customStyle="1">
    <w:name w:val="List Table 2 - Accent 2"/>
    <w:basedOn w:val="956"/>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120" w:customStyle="1">
    <w:name w:val="List Table 2 - Accent 3"/>
    <w:basedOn w:val="956"/>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121" w:customStyle="1">
    <w:name w:val="List Table 2 - Accent 4"/>
    <w:basedOn w:val="956"/>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122" w:customStyle="1">
    <w:name w:val="List Table 2 - Accent 5"/>
    <w:basedOn w:val="956"/>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123" w:customStyle="1">
    <w:name w:val="List Table 2 - Accent 6"/>
    <w:basedOn w:val="956"/>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124" w:customStyle="1">
    <w:name w:val="清单表 31"/>
    <w:basedOn w:val="95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5" w:customStyle="1">
    <w:name w:val="List Table 3 - Accent 1"/>
    <w:basedOn w:val="956"/>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126" w:customStyle="1">
    <w:name w:val="List Table 3 - Accent 2"/>
    <w:basedOn w:val="95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127" w:customStyle="1">
    <w:name w:val="List Table 3 - Accent 3"/>
    <w:basedOn w:val="956"/>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128" w:customStyle="1">
    <w:name w:val="List Table 3 - Accent 4"/>
    <w:basedOn w:val="95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129" w:customStyle="1">
    <w:name w:val="List Table 3 - Accent 5"/>
    <w:basedOn w:val="956"/>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130" w:customStyle="1">
    <w:name w:val="List Table 3 - Accent 6"/>
    <w:basedOn w:val="956"/>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131" w:customStyle="1">
    <w:name w:val="清单表 41"/>
    <w:basedOn w:val="95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32" w:customStyle="1">
    <w:name w:val="List Table 4 - Accent 1"/>
    <w:basedOn w:val="956"/>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133" w:customStyle="1">
    <w:name w:val="List Table 4 - Accent 2"/>
    <w:basedOn w:val="956"/>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134" w:customStyle="1">
    <w:name w:val="List Table 4 - Accent 3"/>
    <w:basedOn w:val="956"/>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135" w:customStyle="1">
    <w:name w:val="List Table 4 - Accent 4"/>
    <w:basedOn w:val="956"/>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136" w:customStyle="1">
    <w:name w:val="List Table 4 - Accent 5"/>
    <w:basedOn w:val="956"/>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137" w:customStyle="1">
    <w:name w:val="List Table 4 - Accent 6"/>
    <w:basedOn w:val="956"/>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138" w:customStyle="1">
    <w:name w:val="清单表 5 深色1"/>
    <w:basedOn w:val="95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9" w:customStyle="1">
    <w:name w:val="List Table 5 Dark - Accent 1"/>
    <w:basedOn w:val="956"/>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0" w:customStyle="1">
    <w:name w:val="List Table 5 Dark - Accent 2"/>
    <w:basedOn w:val="956"/>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1" w:customStyle="1">
    <w:name w:val="List Table 5 Dark - Accent 3"/>
    <w:basedOn w:val="956"/>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2" w:customStyle="1">
    <w:name w:val="List Table 5 Dark - Accent 4"/>
    <w:basedOn w:val="956"/>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3" w:customStyle="1">
    <w:name w:val="List Table 5 Dark - Accent 5"/>
    <w:basedOn w:val="956"/>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4" w:customStyle="1">
    <w:name w:val="List Table 5 Dark - Accent 6"/>
    <w:basedOn w:val="956"/>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5" w:customStyle="1">
    <w:name w:val="清单表 6 彩色1"/>
    <w:basedOn w:val="95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46" w:customStyle="1">
    <w:name w:val="List Table 6 Colorful - Accent 1"/>
    <w:basedOn w:val="956"/>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147" w:customStyle="1">
    <w:name w:val="List Table 6 Colorful - Accent 2"/>
    <w:basedOn w:val="956"/>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148" w:customStyle="1">
    <w:name w:val="List Table 6 Colorful - Accent 3"/>
    <w:basedOn w:val="956"/>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149" w:customStyle="1">
    <w:name w:val="List Table 6 Colorful - Accent 4"/>
    <w:basedOn w:val="956"/>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150" w:customStyle="1">
    <w:name w:val="List Table 6 Colorful - Accent 5"/>
    <w:basedOn w:val="956"/>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151" w:customStyle="1">
    <w:name w:val="List Table 6 Colorful - Accent 6"/>
    <w:basedOn w:val="956"/>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152" w:customStyle="1">
    <w:name w:val="清单表 7 彩色1"/>
    <w:basedOn w:val="95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53" w:customStyle="1">
    <w:name w:val="List Table 7 Colorful - Accent 1"/>
    <w:basedOn w:val="956"/>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154" w:customStyle="1">
    <w:name w:val="List Table 7 Colorful - Accent 2"/>
    <w:basedOn w:val="956"/>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155" w:customStyle="1">
    <w:name w:val="List Table 7 Colorful - Accent 3"/>
    <w:basedOn w:val="956"/>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156" w:customStyle="1">
    <w:name w:val="List Table 7 Colorful - Accent 4"/>
    <w:basedOn w:val="956"/>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157" w:customStyle="1">
    <w:name w:val="List Table 7 Colorful - Accent 5"/>
    <w:basedOn w:val="956"/>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158" w:customStyle="1">
    <w:name w:val="List Table 7 Colorful - Accent 6"/>
    <w:basedOn w:val="956"/>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159" w:customStyle="1">
    <w:name w:val="Lined - Accent"/>
    <w:basedOn w:val="9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60" w:customStyle="1">
    <w:name w:val="Lined - Accent 1"/>
    <w:basedOn w:val="9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161" w:customStyle="1">
    <w:name w:val="Lined - Accent 2"/>
    <w:basedOn w:val="9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162" w:customStyle="1">
    <w:name w:val="Lined - Accent 3"/>
    <w:basedOn w:val="9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163" w:customStyle="1">
    <w:name w:val="Lined - Accent 4"/>
    <w:basedOn w:val="9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64" w:customStyle="1">
    <w:name w:val="Lined - Accent 5"/>
    <w:basedOn w:val="9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65" w:customStyle="1">
    <w:name w:val="Lined - Accent 6"/>
    <w:basedOn w:val="9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66" w:customStyle="1">
    <w:name w:val="Bordered &amp; Lined - Accent"/>
    <w:basedOn w:val="95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67" w:customStyle="1">
    <w:name w:val="Bordered &amp; Lined - Accent 1"/>
    <w:basedOn w:val="956"/>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168" w:customStyle="1">
    <w:name w:val="Bordered &amp; Lined - Accent 2"/>
    <w:basedOn w:val="956"/>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169" w:customStyle="1">
    <w:name w:val="Bordered &amp; Lined - Accent 3"/>
    <w:basedOn w:val="956"/>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170" w:customStyle="1">
    <w:name w:val="Bordered &amp; Lined - Accent 4"/>
    <w:basedOn w:val="956"/>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71" w:customStyle="1">
    <w:name w:val="Bordered &amp; Lined - Accent 5"/>
    <w:basedOn w:val="956"/>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72" w:customStyle="1">
    <w:name w:val="Bordered &amp; Lined - Accent 6"/>
    <w:basedOn w:val="956"/>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73" w:customStyle="1">
    <w:name w:val="Bordered"/>
    <w:basedOn w:val="95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74" w:customStyle="1">
    <w:name w:val="Bordered - Accent 1"/>
    <w:basedOn w:val="95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175" w:customStyle="1">
    <w:name w:val="Bordered - Accent 2"/>
    <w:basedOn w:val="95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176" w:customStyle="1">
    <w:name w:val="Bordered - Accent 3"/>
    <w:basedOn w:val="95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177" w:customStyle="1">
    <w:name w:val="Bordered - Accent 4"/>
    <w:basedOn w:val="95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178" w:customStyle="1">
    <w:name w:val="Bordered - Accent 5"/>
    <w:basedOn w:val="95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179" w:customStyle="1">
    <w:name w:val="Bordered - Accent 6"/>
    <w:basedOn w:val="95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180" w:customStyle="1">
    <w:name w:val="脚注文本 字符"/>
    <w:link w:val="973"/>
    <w:uiPriority w:val="99"/>
    <w:qFormat/>
    <w:rPr>
      <w:sz w:val="18"/>
    </w:rPr>
  </w:style>
  <w:style w:type="character" w:styleId="1181" w:customStyle="1">
    <w:name w:val="尾注文本 字符"/>
    <w:link w:val="967"/>
    <w:uiPriority w:val="99"/>
    <w:qFormat/>
    <w:rPr>
      <w:sz w:val="20"/>
    </w:rPr>
  </w:style>
  <w:style w:type="paragraph" w:styleId="1182" w:customStyle="1">
    <w:name w:val="TOC 标题1"/>
    <w:uiPriority w:val="39"/>
    <w:unhideWhenUsed/>
    <w:qFormat/>
    <w:pPr>
      <w:spacing w:after="160" w:line="278" w:lineRule="auto"/>
    </w:pPr>
    <w:rPr>
      <w:rFonts w:hint="default" w:asciiTheme="minorHAnsi" w:hAnsiTheme="minorHAnsi" w:eastAsiaTheme="minorEastAsia" w:cstheme="minorBidi"/>
      <w:lang w:val="en-US" w:eastAsia="zh-CN" w:bidi="ar-SA"/>
    </w:rPr>
  </w:style>
  <w:style w:type="paragraph" w:styleId="1183" w:customStyle="1">
    <w:name w:val="段"/>
    <w:next w:val="945"/>
    <w:uiPriority w:val="0"/>
    <w:qFormat/>
    <w:pPr>
      <w:ind w:firstLine="200"/>
      <w:jc w:val="both"/>
      <w:spacing w:after="160" w:line="278" w:lineRule="auto"/>
    </w:pPr>
    <w:rPr>
      <w:rFonts w:hint="default" w:ascii="宋体" w:hAnsi="Times New Roman" w:eastAsia="宋体" w:cs="Times New Roman"/>
      <w:sz w:val="21"/>
      <w:lang w:val="en-US" w:eastAsia="zh-CN" w:bidi="ar-SA"/>
    </w:rPr>
  </w:style>
  <w:style w:type="paragraph" w:styleId="1184" w:customStyle="1">
    <w:name w:val="正文文本缩进 31"/>
    <w:basedOn w:val="945"/>
    <w:uiPriority w:val="0"/>
    <w:qFormat/>
    <w:pPr>
      <w:ind w:left="420"/>
    </w:pPr>
    <w:rPr>
      <w:sz w:val="16"/>
      <w:szCs w:val="20"/>
    </w:rPr>
  </w:style>
  <w:style w:type="paragraph" w:styleId="1185" w:customStyle="1">
    <w:name w:val="批注文字1"/>
    <w:basedOn w:val="945"/>
    <w:uiPriority w:val="0"/>
    <w:qFormat/>
    <w:pPr>
      <w:jc w:val="left"/>
    </w:pPr>
  </w:style>
  <w:style w:type="paragraph" w:styleId="1186" w:customStyle="1">
    <w:name w:val="正文首行缩进 21"/>
    <w:basedOn w:val="1026"/>
    <w:uiPriority w:val="99"/>
    <w:unhideWhenUsed/>
    <w:qFormat/>
    <w:pPr>
      <w:ind w:firstLine="420"/>
    </w:pPr>
  </w:style>
  <w:style w:type="paragraph" w:styleId="1187" w:customStyle="1">
    <w:name w:val="_正文段落"/>
    <w:basedOn w:val="945"/>
    <w:uiPriority w:val="0"/>
    <w:qFormat/>
    <w:pPr>
      <w:ind w:firstLine="480"/>
      <w:spacing w:line="360" w:lineRule="auto"/>
    </w:pPr>
    <w:rPr>
      <w:rFonts w:ascii="宋体" w:hAnsi="宋体"/>
      <w:sz w:val="24"/>
      <w:szCs w:val="24"/>
    </w:rPr>
  </w:style>
  <w:style w:type="paragraph" w:styleId="1188" w:customStyle="1">
    <w:name w:val="无间隔11"/>
    <w:basedOn w:val="945"/>
    <w:uiPriority w:val="0"/>
    <w:qFormat/>
    <w:pPr>
      <w:spacing w:line="400" w:lineRule="exact"/>
    </w:pPr>
    <w:rPr>
      <w:sz w:val="24"/>
    </w:rPr>
  </w:style>
  <w:style w:type="paragraph" w:styleId="1189" w:customStyle="1">
    <w:name w:val="正文首行缩进1"/>
    <w:basedOn w:val="1033"/>
    <w:uiPriority w:val="0"/>
    <w:qFormat/>
    <w:pPr>
      <w:ind w:firstLine="420"/>
    </w:pPr>
  </w:style>
  <w:style w:type="paragraph" w:styleId="1190" w:customStyle="1">
    <w:name w:val="脚注文本1"/>
    <w:basedOn w:val="1191"/>
    <w:next w:val="1192"/>
    <w:uiPriority w:val="0"/>
    <w:qFormat/>
    <w:pPr>
      <w:jc w:val="left"/>
      <w:spacing w:line="312" w:lineRule="atLeast"/>
      <w:tabs>
        <w:tab w:val="left" w:pos="200" w:leader="none"/>
      </w:tabs>
    </w:pPr>
    <w:rPr>
      <w:rFonts w:ascii="Times New Roman" w:hAnsi="Times New Roman"/>
      <w:b w:val="0"/>
      <w:sz w:val="18"/>
    </w:rPr>
  </w:style>
  <w:style w:type="paragraph" w:styleId="1191" w:customStyle="1">
    <w:name w:val="标题 11"/>
    <w:basedOn w:val="945"/>
    <w:next w:val="945"/>
    <w:uiPriority w:val="0"/>
    <w:qFormat/>
    <w:pPr>
      <w:jc w:val="center"/>
      <w:keepNext/>
      <w:tabs>
        <w:tab w:val="left" w:pos="200" w:leader="none"/>
      </w:tabs>
      <w:outlineLvl w:val="0"/>
    </w:pPr>
    <w:rPr>
      <w:rFonts w:ascii="宋体" w:hAnsi="宋体"/>
      <w:b/>
      <w:sz w:val="36"/>
      <w:szCs w:val="20"/>
    </w:rPr>
  </w:style>
  <w:style w:type="paragraph" w:styleId="1192" w:customStyle="1">
    <w:name w:val="文本块1"/>
    <w:basedOn w:val="1191"/>
    <w:next w:val="945"/>
    <w:uiPriority w:val="0"/>
    <w:qFormat/>
    <w:pPr>
      <w:ind w:left="630" w:right="-609" w:firstLine="420"/>
      <w:spacing w:line="360" w:lineRule="auto"/>
    </w:pPr>
    <w:rPr>
      <w:rFonts w:hint="eastAsia" w:ascii="仿宋_GB2312" w:eastAsia="仿宋_GB2312"/>
    </w:rPr>
  </w:style>
  <w:style w:type="paragraph" w:styleId="1193" w:customStyle="1">
    <w:name w:val="纯文本1"/>
    <w:basedOn w:val="945"/>
    <w:uiPriority w:val="0"/>
    <w:qFormat/>
    <w:rPr>
      <w:rFonts w:ascii="宋体" w:hAnsi="Courier New" w:eastAsia="楷体_GB2312"/>
      <w:sz w:val="28"/>
      <w:szCs w:val="20"/>
    </w:rPr>
  </w:style>
  <w:style w:type="paragraph" w:styleId="1194" w:customStyle="1">
    <w:name w:val="页眉1"/>
    <w:basedOn w:val="945"/>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195" w:customStyle="1">
    <w:name w:val="普通(网站)1"/>
    <w:basedOn w:val="945"/>
    <w:uiPriority w:val="0"/>
    <w:unhideWhenUsed/>
    <w:qFormat/>
    <w:rPr>
      <w:sz w:val="24"/>
    </w:rPr>
  </w:style>
  <w:style w:type="paragraph" w:styleId="1196" w:customStyle="1">
    <w:name w:val="二级小标题"/>
    <w:basedOn w:val="945"/>
    <w:uiPriority w:val="0"/>
    <w:qFormat/>
    <w:rPr>
      <w:rFonts w:hint="eastAsia"/>
      <w:b/>
      <w:bCs/>
    </w:rPr>
  </w:style>
  <w:style w:type="paragraph" w:styleId="1197" w:customStyle="1">
    <w:name w:val="表格字体"/>
    <w:basedOn w:val="945"/>
    <w:uiPriority w:val="0"/>
    <w:qFormat/>
    <w:pPr>
      <w:spacing w:line="400" w:lineRule="exact"/>
      <w:widowControl/>
    </w:pPr>
    <w:rPr>
      <w:rFonts w:hint="eastAsia" w:cs="宋体"/>
      <w:bCs/>
      <w:color w:val="000000"/>
      <w:sz w:val="24"/>
      <w:szCs w:val="18"/>
    </w:rPr>
  </w:style>
  <w:style w:type="paragraph" w:styleId="1198" w:customStyle="1">
    <w:name w:val="纯文本6"/>
    <w:basedOn w:val="945"/>
    <w:uiPriority w:val="0"/>
    <w:qFormat/>
    <w:rPr>
      <w:rFonts w:ascii="宋体" w:hAnsi="Courier New" w:eastAsia="楷体_GB2312"/>
      <w:sz w:val="28"/>
    </w:rPr>
  </w:style>
  <w:style w:type="character" w:styleId="1199" w:customStyle="1">
    <w:name w:val="强调1"/>
    <w:basedOn w:val="1200"/>
    <w:uiPriority w:val="0"/>
    <w:qFormat/>
    <w:rPr>
      <w:i/>
    </w:rPr>
  </w:style>
  <w:style w:type="character" w:styleId="1200" w:customStyle="1">
    <w:name w:val="默认段落字体1"/>
    <w:uiPriority w:val="0"/>
    <w:semiHidden/>
    <w:qFormat/>
  </w:style>
  <w:style w:type="paragraph" w:styleId="1201" w:customStyle="1">
    <w:name w:val="正文1"/>
    <w:basedOn w:val="945"/>
    <w:next w:val="945"/>
    <w:uiPriority w:val="0"/>
    <w:qFormat/>
    <w:pPr>
      <w:ind w:firstLine="420"/>
      <w:spacing w:line="360" w:lineRule="auto"/>
    </w:pPr>
    <w:rPr>
      <w:sz w:val="24"/>
      <w:szCs w:val="24"/>
    </w:rPr>
  </w:style>
  <w:style w:type="paragraph" w:styleId="1202" w:customStyle="1">
    <w:name w:val="Plain Text1"/>
    <w:basedOn w:val="945"/>
    <w:uiPriority w:val="0"/>
    <w:qFormat/>
    <w:rPr>
      <w:rFonts w:hint="eastAsia" w:ascii="宋体" w:hAnsi="Courier New" w:eastAsia="楷体_GB2312"/>
      <w:sz w:val="28"/>
      <w:szCs w:val="20"/>
    </w:rPr>
  </w:style>
  <w:style w:type="paragraph" w:styleId="1203" w:customStyle="1">
    <w:name w:val="Normal_2_2"/>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204" w:customStyle="1">
    <w:name w:val="Revision"/>
    <w:hidden/>
    <w:uiPriority w:val="99"/>
    <w:unhideWhenUsed/>
    <w:qFormat/>
    <w:pPr>
      <w:spacing w:after="0" w:line="240" w:lineRule="auto"/>
    </w:pPr>
    <w:rPr>
      <w:rFonts w:hint="default" w:ascii="Times New Roman" w:hAnsi="Times New Roman" w:eastAsia="宋体" w:cs="Times New Roman"/>
      <w:sz w:val="21"/>
      <w:szCs w:val="22"/>
      <w:lang w:val="en-US" w:eastAsia="zh-CN" w:bidi="ar-SA"/>
    </w:rPr>
  </w:style>
  <w:style w:type="paragraph" w:styleId="1205" w:customStyle="1">
    <w:name w:val="Table Text"/>
    <w:basedOn w:val="945"/>
    <w:uiPriority w:val="0"/>
    <w:semiHidden/>
    <w:qFormat/>
    <w:rPr>
      <w:rFonts w:ascii="宋体" w:hAnsi="宋体" w:eastAsia="宋体" w:cs="宋体"/>
      <w:sz w:val="24"/>
      <w:szCs w:val="24"/>
      <w:lang w:val="en-US" w:eastAsia="en-US" w:bidi="ar-SA"/>
    </w:rPr>
  </w:style>
  <w:style w:type="table" w:styleId="1206" w:customStyle="1">
    <w:name w:val="Table Normal"/>
    <w:uiPriority w:val="0"/>
    <w:semiHidden/>
    <w:unhideWhenUsed/>
    <w:qFormat/>
    <w:tblPr>
      <w:tblCellMar>
        <w:left w:w="0" w:type="dxa"/>
        <w:top w:w="0" w:type="dxa"/>
        <w:right w:w="0" w:type="dxa"/>
        <w:bottom w:w="0" w:type="dxa"/>
      </w:tblCellMar>
    </w:tblPr>
  </w:style>
  <w:style w:type="numbering" w:styleId="12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bb404756-2862-4a21-a977-df4d30194aec</errorID>
      <errorWord>/）</errorWord>
      <group>L1_Punc</group>
      <groupName>标点问题</groupName>
      <ability>L2_Punc_CN</ability>
      <abilityName>标点符号检查</abilityName>
      <candidateList>
        <item>）</item>
      </candidateList>
      <explain/>
      <paraID>4ABCEECF</paraID>
      <start>33</start>
      <end>35</end>
      <status>unmodified</status>
      <modifiedWord/>
      <trackRevisions>false</trackRevisions>
    </reviewItem>
    <reviewItem>
      <errorID>5ff5e8d0-286e-43c0-af2c-ac085cfca941</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BE849CC</paraID>
      <start>55</start>
      <end>56</end>
      <status>unmodified</status>
      <modifiedWord/>
      <trackRevisions>false</trackRevisions>
    </reviewItem>
    <reviewItem>
      <errorID>63db0659-d3e5-4ab0-9d41-976041235d90</errorID>
      <errorWord>法律、法规</errorWord>
      <group>L1_Word</group>
      <groupName>字词问题</groupName>
      <ability>L2_Typo</ability>
      <abilityName>字词错误</abilityName>
      <candidateList>
        <item>法律法规</item>
      </candidateList>
      <explain/>
      <paraID>233D4117</paraID>
      <start>3</start>
      <end>8</end>
      <status>unmodified</status>
      <modifiedWord/>
      <trackRevisions>false</trackRevisions>
    </reviewItem>
    <reviewItem>
      <errorID>19d30d7c-4362-4025-b345-515233c25980</errorID>
      <errorWord>1、</errorWord>
      <group>L1_Format</group>
      <groupName>格式问题</groupName>
      <ability>L2_Ordinal</ability>
      <abilityName>序号格式</abilityName>
      <candidateList>
        <item>1.</item>
      </candidateList>
      <explain>当前序号格式不规范，建议修改为规范格式[1.]。</explain>
      <paraID>4D55B05A</paraID>
      <start>0</start>
      <end>2</end>
      <status>unmodified</status>
      <modifiedWord/>
      <trackRevisions>false</trackRevisions>
    </reviewItem>
    <reviewItem>
      <errorID>a636f5d1-dad7-49ef-b365-8ee7fbe89d6d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16275C8E</paraID>
      <start>0</start>
      <end>2</end>
      <status>unmodified</status>
      <modifiedWord/>
      <trackRevisions>false</trackRevisions>
    </reviewItem>
    <reviewItem>
      <errorID>3f4c80d1-550c-4c9d-9a10-372235dcbf7c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79922193</paraID>
      <start>0</start>
      <end>2</end>
      <status>unmodified</status>
      <modifiedWord/>
      <trackRevisions>false</trackRevisions>
    </reviewItem>
    <reviewItem>
      <errorID>d0a878fc-8634-41b7-8a9b-a48a4d64e56a</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79922193</paraID>
      <start>30</start>
      <end>31</end>
      <status>unmodified</status>
      <modifiedWord/>
      <trackRevisions>false</trackRevisions>
    </reviewItem>
    <reviewItem>
      <errorID>9600f9ff-ae67-442c-8d09-319ed4fd113d</errorID>
      <errorWord>(</errorWord>
      <group>L1_Format</group>
      <groupName>格式问题</groupName>
      <ability>L2_HalfPunc_CN</ability>
      <abilityName>全半角检查</abilityName>
      <candidateList>
        <item>（</item>
      </candidateList>
      <explain>文本全半角错误。</explain>
      <paraID>2450DF0E</paraID>
      <start>21</start>
      <end>22</end>
      <status>unmodified</status>
      <modifiedWord/>
      <trackRevisions>false</trackRevisions>
    </reviewItem>
    <reviewItem>
      <errorID>ee4c5f01-3fd1-41c4-b8e1-7f294cd51dc6</errorID>
      <errorWord>)</errorWord>
      <group>L1_Format</group>
      <groupName>格式问题</groupName>
      <ability>L2_HalfPunc_CN</ability>
      <abilityName>全半角检查</abilityName>
      <candidateList>
        <item>）</item>
      </candidateList>
      <explain>文本全半角错误。</explain>
      <paraID>2450DF0E</paraID>
      <start>26</start>
      <end>27</end>
      <status>unmodified</status>
      <modifiedWord/>
      <trackRevisions>false</trackRevisions>
    </reviewItem>
    <reviewItem>
      <errorID>bb36f7f5-8225-4346-823f-6af36e848907</errorID>
      <errorWord>(</errorWord>
      <group>L1_Format</group>
      <groupName>格式问题</groupName>
      <ability>L2_HalfPunc_CN</ability>
      <abilityName>全半角检查</abilityName>
      <candidateList>
        <item>（</item>
      </candidateList>
      <explain>文本全半角错误。</explain>
      <paraID> 4A53582</paraID>
      <start>21</start>
      <end>22</end>
      <status>unmodified</status>
      <modifiedWord/>
      <trackRevisions>false</trackRevisions>
    </reviewItem>
    <reviewItem>
      <errorID>199e878a-d949-463e-9b19-8fc336476069</errorID>
      <errorWord>)</errorWord>
      <group>L1_Format</group>
      <groupName>格式问题</groupName>
      <ability>L2_HalfPunc_CN</ability>
      <abilityName>全半角检查</abilityName>
      <candidateList>
        <item>）</item>
      </candidateList>
      <explain>文本全半角错误。</explain>
      <paraID> 4A53582</paraID>
      <start>29</start>
      <end>30</end>
      <status>unmodified</status>
      <modifiedWord/>
      <trackRevisions>false</trackRevisions>
    </reviewItem>
    <reviewItem>
      <errorID>282937bc-225d-41b4-9818-3b796248ff96</errorID>
      <errorWord>(</errorWord>
      <group>L1_Format</group>
      <groupName>格式问题</groupName>
      <ability>L2_HalfPunc_CN</ability>
      <abilityName>全半角检查</abilityName>
      <candidateList>
        <item>（</item>
      </candidateList>
      <explain>文本全半角错误。</explain>
      <paraID>22FD9264</paraID>
      <start>25</start>
      <end>26</end>
      <status>unmodified</status>
      <modifiedWord/>
      <trackRevisions>false</trackRevisions>
    </reviewItem>
    <reviewItem>
      <errorID>ffe097d8-de32-493f-90d1-3bfa30c0367d</errorID>
      <errorWord>)</errorWord>
      <group>L1_Format</group>
      <groupName>格式问题</groupName>
      <ability>L2_HalfPunc_CN</ability>
      <abilityName>全半角检查</abilityName>
      <candidateList>
        <item>）</item>
      </candidateList>
      <explain>文本全半角错误。</explain>
      <paraID>22FD9264</paraID>
      <start>37</start>
      <end>38</end>
      <status>unmodified</status>
      <modifiedWord/>
      <trackRevisions>false</trackRevisions>
    </reviewItem>
    <reviewItem>
      <errorID>2150e2c5-c86c-4cf6-b004-a7415bf6ba41</errorID>
      <errorWord>(</errorWord>
      <group>L1_Format</group>
      <groupName>格式问题</groupName>
      <ability>L2_HalfPunc_CN</ability>
      <abilityName>全半角检查</abilityName>
      <candidateList>
        <item>（</item>
      </candidateList>
      <explain>文本全半角错误。</explain>
      <paraID>5B76C0E4</paraID>
      <start>25</start>
      <end>26</end>
      <status>unmodified</status>
      <modifiedWord/>
      <trackRevisions>false</trackRevisions>
    </reviewItem>
    <reviewItem>
      <errorID>2e03c30e-e29d-4965-9cbb-25dd7e4790d7</errorID>
      <errorWord>)</errorWord>
      <group>L1_Format</group>
      <groupName>格式问题</groupName>
      <ability>L2_HalfPunc_CN</ability>
      <abilityName>全半角检查</abilityName>
      <candidateList>
        <item>）</item>
      </candidateList>
      <explain>文本全半角错误。</explain>
      <paraID>5B76C0E4</paraID>
      <start>31</start>
      <end>32</end>
      <status>unmodified</status>
      <modifiedWord/>
      <trackRevisions>false</trackRevisions>
    </reviewItem>
    <reviewItem>
      <errorID>427a027d-c3c5-4e06-9fd4-72edb2877ec3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70CE89C6</paraID>
      <start>0</start>
      <end>2</end>
      <status>unmodified</status>
      <modifiedWord/>
      <trackRevisions>false</trackRevisions>
    </reviewItem>
    <reviewItem>
      <errorID>7772a27f-a0b2-4fa6-a68d-50e260aa9b5a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12DDAB13</paraID>
      <start>0</start>
      <end>2</end>
      <status>unmodified</status>
      <modifiedWord/>
      <trackRevisions>false</trackRevisions>
    </reviewItem>
    <reviewItem>
      <errorID>e4ef9e6e-58ca-41ba-9ad1-eb10e90ef878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6D2119F0</paraID>
      <start>0</start>
      <end>2</end>
      <status>unmodified</status>
      <modifiedWord/>
      <trackRevisions>false</trackRevisions>
    </reviewItem>
    <reviewItem>
      <errorID>2fac7823-23fc-48cb-8b06-190e1c741f59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1F0B131C</paraID>
      <start>0</start>
      <end>2</end>
      <status>unmodified</status>
      <modifiedWord/>
      <trackRevisions>false</trackRevisions>
    </reviewItem>
    <reviewItem>
      <errorID>bd19ff87-3af2-407b-afcc-7ba1653b3a78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22228EF8</paraID>
      <start>0</start>
      <end>2</end>
      <status>unmodified</status>
      <modifiedWord/>
      <trackRevisions>false</trackRevisions>
    </reviewItem>
    <reviewItem>
      <errorID>28708652-6ad4-4542-a552-63d01d05ea68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77B09B6A</paraID>
      <start>0</start>
      <end>2</end>
      <status>unmodified</status>
      <modifiedWord/>
      <trackRevisions>false</trackRevisions>
    </reviewItem>
    <reviewItem>
      <errorID>3358ff80-245b-48eb-ab37-83ac3b322d2b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5AD67023</paraID>
      <start>0</start>
      <end>2</end>
      <status>unmodified</status>
      <modifiedWord/>
      <trackRevisions>false</trackRevisions>
    </reviewItem>
    <reviewItem>
      <errorID>43f426ff-4523-467b-8db9-02d7b47b9b5b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2460371D</paraID>
      <start>0</start>
      <end>2</end>
      <status>unmodified</status>
      <modifiedWord/>
      <trackRevisions>false</trackRevisions>
    </reviewItem>
    <reviewItem>
      <errorID>5d632220-3daf-43f5-8a65-090bf36f0029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7ABA1301</paraID>
      <start>0</start>
      <end>2</end>
      <status>unmodified</status>
      <modifiedWord/>
      <trackRevisions>false</trackRevisions>
    </reviewItem>
    <reviewItem>
      <errorID>7a242d74-fd0c-4f53-8f41-90ba098af160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382F2986</paraID>
      <start>0</start>
      <end>2</end>
      <status>unmodified</status>
      <modifiedWord/>
      <trackRevisions>false</trackRevisions>
    </reviewItem>
    <reviewItem>
      <errorID>035e7128-b9ff-4d6b-8f73-6a4b1d0802c5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4AC9F078</paraID>
      <start>0</start>
      <end>2</end>
      <status>unmodified</status>
      <modifiedWord/>
      <trackRevisions>false</trackRevisions>
    </reviewItem>
    <reviewItem>
      <errorID>4bd84684-cad0-4462-b3d0-7a53a8b971b7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2B3A41CA</paraID>
      <start>0</start>
      <end>2</end>
      <status>unmodified</status>
      <modifiedWord/>
      <trackRevisions>false</trackRevisions>
    </reviewItem>
    <reviewItem>
      <errorID>33f41b59-1d17-4302-a442-48dd73c05f08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232F8BBD</paraID>
      <start>0</start>
      <end>2</end>
      <status>unmodified</status>
      <modifiedWord/>
      <trackRevisions>false</trackRevisions>
    </reviewItem>
    <reviewItem>
      <errorID>35fe3cc7-cc37-45a5-a050-eeecd9203af4</errorID>
      <errorWord>/）</errorWord>
      <group>L1_Punc</group>
      <groupName>标点问题</groupName>
      <ability>L2_Punc_CN</ability>
      <abilityName>标点符号检查</abilityName>
      <candidateList>
        <item>）</item>
      </candidateList>
      <explain/>
      <paraID>232F8BBD</paraID>
      <start>40</start>
      <end>42</end>
      <status>unmodified</status>
      <modifiedWord/>
      <trackRevisions>false</trackRevisions>
    </reviewItem>
    <reviewItem>
      <errorID>6d5592b9-3ab4-4e07-bff4-e9537082dd08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9965CD6</paraID>
      <start>0</start>
      <end>2</end>
      <status>unmodified</status>
      <modifiedWord/>
      <trackRevisions>false</trackRevisions>
    </reviewItem>
    <reviewItem>
      <errorID>849f291c-cc08-4f68-b663-dae02e3cde36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3B4D029E</paraID>
      <start>0</start>
      <end>2</end>
      <status>unmodified</status>
      <modifiedWord/>
      <trackRevisions>false</trackRevisions>
    </reviewItem>
    <reviewItem>
      <errorID>cc4b7159-4cb7-4a07-9ddc-e88815534b93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7A043F4</paraID>
      <start>0</start>
      <end>2</end>
      <status>unmodified</status>
      <modifiedWord/>
      <trackRevisions>false</trackRevisions>
    </reviewItem>
    <reviewItem>
      <errorID>91350ab8-2f29-4327-bd32-6e518f376b8d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74149E</paraID>
      <start>0</start>
      <end>2</end>
      <status>unmodified</status>
      <modifiedWord/>
      <trackRevisions>false</trackRevisions>
    </reviewItem>
    <reviewItem>
      <errorID>13021f6e-bf86-4306-a99c-03e70fa0faf8</errorID>
      <errorWord>《转发省财政厅关于更换全省政府采购交易系统CA数字证书和电子签章的通知》</errorWord>
      <group>L1_Official</group>
      <groupName>公文格式问题</groupName>
      <ability>L2_Official</ability>
      <abilityName>公文要素检查</abilityName>
      <candidateList/>
      <explain>公文文件引用格式不规范</explain>
      <paraID> DA98E0C</paraID>
      <start>92</start>
      <end>128</end>
      <status>unmodified</status>
      <modifiedWord/>
      <trackRevisions>false</trackRevisions>
    </reviewItem>
    <reviewItem>
      <errorID>3e109f92-9d9e-43d8-8947-568c02f6eb72</errorID>
      <errorWord>《投标供应商确认函》</errorWord>
      <group>L1_Official</group>
      <groupName>公文格式问题</groupName>
      <ability>L2_Official</ability>
      <abilityName>公文要素检查</abilityName>
      <candidateList/>
      <explain>公文文件引用格式不规范</explain>
      <paraID> 54A4BF7</paraID>
      <start>47</start>
      <end>57</end>
      <status>unmodified</status>
      <modifiedWord/>
      <trackRevisions>false</trackRevisions>
    </reviewItem>
    <reviewItem>
      <errorID>1a1b2191-ab7e-4932-ba75-ebccd5118dbb</errorID>
      <errorWord>《投标供应商确认函》</errorWord>
      <group>L1_Official</group>
      <groupName>公文格式问题</groupName>
      <ability>L2_Official</ability>
      <abilityName>公文要素检查</abilityName>
      <candidateList/>
      <explain>公文文件引用格式不规范</explain>
      <paraID> 54A4BF7</paraID>
      <start>60</start>
      <end>70</end>
      <status>unmodified</status>
      <modifiedWord/>
      <trackRevisions>false</trackRevisions>
    </reviewItem>
    <reviewItem>
      <errorID>3b37871d-2ae7-416e-a544-045198b102b4</errorID>
      <errorWord>《投标供应商确认函》</errorWord>
      <group>L1_Official</group>
      <groupName>公文格式问题</groupName>
      <ability>L2_Official</ability>
      <abilityName>公文要素检查</abilityName>
      <candidateList/>
      <explain>公文文件引用格式不规范</explain>
      <paraID> 54A4BF7</paraID>
      <start>95</start>
      <end>105</end>
      <status>unmodified</status>
      <modifiedWord/>
      <trackRevisions>false</trackRevisions>
    </reviewItem>
    <reviewItem>
      <errorID>3110fa45-7bdc-4857-9e59-0c5e09bc2df8</errorID>
      <errorWord>《投标供应商确认函》</errorWord>
      <group>L1_Official</group>
      <groupName>公文格式问题</groupName>
      <ability>L2_Official</ability>
      <abilityName>公文要素检查</abilityName>
      <candidateList/>
      <explain>公文文件引用格式不规范</explain>
      <paraID> 54A4BF7</paraID>
      <start>109</start>
      <end>119</end>
      <status>unmodified</status>
      <modifiedWord/>
      <trackRevisions>false</trackRevisions>
    </reviewItem>
    <reviewItem>
      <errorID>5dc287a6-bdc1-4570-a123-e25d9bfcfacd</errorID>
      <errorWord>《投标供应商确认函》</errorWord>
      <group>L1_Official</group>
      <groupName>公文格式问题</groupName>
      <ability>L2_Official</ability>
      <abilityName>公文要素检查</abilityName>
      <candidateList/>
      <explain>公文文件引用格式不规范</explain>
      <paraID> 54A4BF7</paraID>
      <start>139</start>
      <end>149</end>
      <status>unmodified</status>
      <modifiedWord/>
      <trackRevisions>false</trackRevisions>
    </reviewItem>
    <reviewItem>
      <errorID>08063e0a-eec7-4038-b516-a2a90c22d1c6</errorID>
      <errorWord>“.</errorWord>
      <group>L1_Punc</group>
      <groupName>标点问题</groupName>
      <ability>L2_Punc_CN</ability>
      <abilityName>标点符号检查</abilityName>
      <candidateList>
        <item>“</item>
      </candidateList>
      <explain/>
      <paraID>6DA5BA9F</paraID>
      <start>64</start>
      <end>66</end>
      <status>unmodified</status>
      <modifiedWord/>
      <trackRevisions>false</trackRevisions>
    </reviewItem>
    <reviewItem>
      <errorID>0b8c4ac2-2162-4150-aaa2-18e380a7ccb0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493731D</paraID>
      <start>0</start>
      <end>2</end>
      <status>unmodified</status>
      <modifiedWord/>
      <trackRevisions>false</trackRevisions>
    </reviewItem>
    <reviewItem>
      <errorID>49573c30-31f6-4b47-aec9-cbdd390f87d2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2C475B48</paraID>
      <start>0</start>
      <end>2</end>
      <status>unmodified</status>
      <modifiedWord/>
      <trackRevisions>false</trackRevisions>
    </reviewItem>
    <reviewItem>
      <errorID>f8cf49b6-307a-4fbf-b026-e8e99112ced8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7B23B9B3</paraID>
      <start>0</start>
      <end>2</end>
      <status>unmodified</status>
      <modifiedWord/>
      <trackRevisions>false</trackRevisions>
    </reviewItem>
    <reviewItem>
      <errorID>09226a0b-d0f0-4f7a-80d5-ee147ad670a4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3B4966C6</paraID>
      <start>0</start>
      <end>2</end>
      <status>unmodified</status>
      <modifiedWord/>
      <trackRevisions>false</trackRevisions>
    </reviewItem>
    <reviewItem>
      <errorID>3d3bec2d-1a9e-4798-ac89-0d5ccf87720c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6191D59F</paraID>
      <start>0</start>
      <end>2</end>
      <status>unmodified</status>
      <modifiedWord/>
      <trackRevisions>false</trackRevisions>
    </reviewItem>
    <reviewItem>
      <errorID>0e8d25e1-6d66-483a-86da-eb4359d18116</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7E4DBD16</paraID>
      <start>2</start>
      <end>6</end>
      <status>unmodified</status>
      <modifiedWord/>
      <trackRevisions>false</trackRevisions>
    </reviewItem>
    <reviewItem>
      <errorID>f96ef075-a88b-4ea4-81be-e46050f332e2</errorID>
      <errorWord>《中小企业声明函》</errorWord>
      <group>L1_Official</group>
      <groupName>公文格式问题</groupName>
      <ability>L2_Official</ability>
      <abilityName>公文要素检查</abilityName>
      <candidateList/>
      <explain>公文文件引用格式不规范</explain>
      <paraID>4C0FC8A2</paraID>
      <start>8</start>
      <end>17</end>
      <status>unmodified</status>
      <modifiedWord/>
      <trackRevisions>false</trackRevisions>
    </reviewItem>
    <reviewItem>
      <errorID>e3357ed4-f9eb-4136-97b8-4ae5ea9256a5</errorID>
      <errorWord>《残疾人福利性单位声明函》</errorWord>
      <group>L1_Official</group>
      <groupName>公文格式问题</groupName>
      <ability>L2_Official</ability>
      <abilityName>公文要素检查</abilityName>
      <candidateList/>
      <explain>公文文件引用格式不规范</explain>
      <paraID>4C0FC8A2</paraID>
      <start>18</start>
      <end>31</end>
      <status>unmodified</status>
      <modifiedWord/>
      <trackRevisions>false</trackRevisions>
    </reviewItem>
    <reviewItem>
      <errorID>4790b267-6f3a-4e3d-b672-fe7d65137e8a</errorID>
      <errorWord>/）</errorWord>
      <group>L1_Punc</group>
      <groupName>标点问题</groupName>
      <ability>L2_Punc_CN</ability>
      <abilityName>标点符号检查</abilityName>
      <candidateList>
        <item>）</item>
      </candidateList>
      <explain/>
      <paraID>6C1516FE</paraID>
      <start>41</start>
      <end>43</end>
      <status>unmodified</status>
      <modifiedWord/>
      <trackRevisions>false</trackRevisions>
    </reviewItem>
    <reviewItem>
      <errorID>6bf78215-40f3-4093-a047-24a410c8bfd5</errorID>
      <errorWord>《投标供应商确认函》</errorWord>
      <group>L1_Official</group>
      <groupName>公文格式问题</groupName>
      <ability>L2_Official</ability>
      <abilityName>公文要素检查</abilityName>
      <candidateList/>
      <explain>公文文件引用格式不规范</explain>
      <paraID> 3677955</paraID>
      <start>29</start>
      <end>39</end>
      <status>unmodified</status>
      <modifiedWord/>
      <trackRevisions>false</trackRevisions>
    </reviewItem>
    <reviewItem>
      <errorID>b48a7a2f-395f-4e56-ad96-6ef91edf3439</errorID>
      <errorWord>/）</errorWord>
      <group>L1_Punc</group>
      <groupName>标点问题</groupName>
      <ability>L2_Punc_CN</ability>
      <abilityName>标点符号检查</abilityName>
      <candidateList>
        <item>）</item>
      </candidateList>
      <explain/>
      <paraID>42C75BD9</paraID>
      <start>87</start>
      <end>89</end>
      <status>unmodified</status>
      <modifiedWord/>
      <trackRevisions>false</trackRevisions>
    </reviewItem>
    <reviewItem>
      <errorID>e04a73bc-f7dd-4c3e-a39f-27ed8d4d7ebf</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662D1BA9</paraID>
      <start>38</start>
      <end>39</end>
      <status>unmodified</status>
      <modifiedWord/>
      <trackRevisions>false</trackRevisions>
    </reviewItem>
    <reviewItem>
      <errorID>428fb335-6bea-4a4c-bbff-d3a234d7cda5</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5F81748E</paraID>
      <start>38</start>
      <end>39</end>
      <status>unmodified</status>
      <modifiedWord/>
      <trackRevisions>false</trackRevisions>
    </reviewItem>
    <reviewItem>
      <errorID>31776330-4e00-40a2-975d-8df807c39d00</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3167519D</paraID>
      <start>27</start>
      <end>28</end>
      <status>unmodified</status>
      <modifiedWord/>
      <trackRevisions>false</trackRevisions>
    </reviewItem>
    <reviewItem>
      <errorID>c0b223be-f877-49fb-a523-59820d14c977</errorID>
      <errorWord>，</errorWord>
      <group>L1_Word</group>
      <groupName>字词问题</groupName>
      <ability>L2_Typo</ability>
      <abilityName>字词错误</abilityName>
      <candidateList>
        <item>，并</item>
      </candidateList>
      <explain/>
      <paraID>7FDD0D73</paraID>
      <start>75</start>
      <end>76</end>
      <status>unmodified</status>
      <modifiedWord/>
      <trackRevisions>false</trackRevisions>
    </reviewItem>
    <reviewItem>
      <errorID>3d2a9cc6-3ce6-4905-afff-f6a7284bf5d1</errorID>
      <errorWord>法律、法规</errorWord>
      <group>L1_Word</group>
      <groupName>字词问题</groupName>
      <ability>L2_Typo</ability>
      <abilityName>字词错误</abilityName>
      <candidateList>
        <item>法律法规</item>
      </candidateList>
      <explain/>
      <paraID>1BA1CA90</paraID>
      <start>6</start>
      <end>11</end>
      <status>unmodified</status>
      <modifiedWord/>
      <trackRevisions>false</trackRevisions>
    </reviewItem>
    <reviewItem>
      <errorID>6fdfd14f-ecf1-4ace-8ca1-87abfc022f4d</errorID>
      <errorWord>》</errorWord>
      <group>L1_Word</group>
      <groupName>字词问题</groupName>
      <ability>L2_Typo</ability>
      <abilityName>字词错误</abilityName>
      <candidateList>
        <item>》和</item>
      </candidateList>
      <explain/>
      <paraID>246636AD</paraID>
      <start>129</start>
      <end>130</end>
      <status>unmodified</status>
      <modifiedWord/>
      <trackRevisions>false</trackRevisions>
    </reviewItem>
    <reviewItem>
      <errorID>92d20eee-14ce-4e51-b57c-5c7cca30a47b</errorID>
      <errorWord>，</errorWord>
      <group>L1_Word</group>
      <groupName>字词问题</groupName>
      <ability>L2_Typo</ability>
      <abilityName>字词错误</abilityName>
      <candidateList>
        <item>，由</item>
      </candidateList>
      <explain/>
      <paraID>53D0BBF4</paraID>
      <start>26</start>
      <end>27</end>
      <status>unmodified</status>
      <modifiedWord/>
      <trackRevisions>false</trackRevisions>
    </reviewItem>
    <reviewItem>
      <errorID>dfbb4209-412d-4ef5-80fe-1671da1d26f1</errorID>
      <errorWord>。】</errorWord>
      <group>L1_Punc</group>
      <groupName>标点问题</groupName>
      <ability>L2_Punc_CN</ability>
      <abilityName>标点符号检查</abilityName>
      <candidateList>
        <item>】</item>
      </candidateList>
      <explain/>
      <paraID>1F0F6A91</paraID>
      <start>122</start>
      <end>124</end>
      <status>unmodified</status>
      <modifiedWord/>
      <trackRevisions>false</trackRevisions>
    </reviewItem>
    <reviewItem>
      <errorID>500183bd-6503-44dd-acd8-b7a09208c306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52C983CC</paraID>
      <start>0</start>
      <end>2</end>
      <status>unmodified</status>
      <modifiedWord/>
      <trackRevisions>false</trackRevisions>
    </reviewItem>
    <reviewItem>
      <errorID>7b107f5c-47fe-4a05-aaaa-738d55ed8059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6FDFC043</paraID>
      <start>1</start>
      <end>3</end>
      <status>unmodified</status>
      <modifiedWord/>
      <trackRevisions>false</trackRevisions>
    </reviewItem>
    <reviewItem>
      <errorID>75888706-4b0a-48f3-92a0-3a424524af20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26EB3629</paraID>
      <start>0</start>
      <end>2</end>
      <status>unmodified</status>
      <modifiedWord/>
      <trackRevisions>false</trackRevisions>
    </reviewItem>
    <reviewItem>
      <errorID>ff905528-4492-4d7f-8213-c7bba0c314f0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4ABE3BF4</paraID>
      <start>4</start>
      <end>6</end>
      <status>unmodified</status>
      <modifiedWord/>
      <trackRevisions>false</trackRevisions>
    </reviewItem>
    <reviewItem>
      <errorID>5469618d-ea63-4d6b-b655-b5a831b864f4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31523599</paraID>
      <start>0</start>
      <end>2</end>
      <status>unmodified</status>
      <modifiedWord/>
      <trackRevisions>false</trackRevisions>
    </reviewItem>
    <reviewItem>
      <errorID>543c513b-4bf9-42d9-b11a-f048964d10b1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44499665</paraID>
      <start>0</start>
      <end>2</end>
      <status>unmodified</status>
      <modifiedWord/>
      <trackRevisions>false</trackRevisions>
    </reviewItem>
    <reviewItem>
      <errorID>15809024-31b2-4619-9b95-c97e80bbdcb7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702A78C8</paraID>
      <start>0</start>
      <end>2</end>
      <status>unmodified</status>
      <modifiedWord/>
      <trackRevisions>false</trackRevisions>
    </reviewItem>
    <reviewItem>
      <errorID>5a86e7ee-fe96-4ad6-b305-22d8ac383027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32821963</paraID>
      <start>0</start>
      <end>2</end>
      <status>unmodified</status>
      <modifiedWord/>
      <trackRevisions>false</trackRevisions>
    </reviewItem>
    <reviewItem>
      <errorID>075fab6c-9cff-4f0c-abad-8792d9a82163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533C46AF</paraID>
      <start>0</start>
      <end>2</end>
      <status>unmodified</status>
      <modifiedWord/>
      <trackRevisions>false</trackRevisions>
    </reviewItem>
    <reviewItem>
      <errorID>a1f39301-b7eb-4228-b604-44a6d462ab68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30810EAD</paraID>
      <start>0</start>
      <end>2</end>
      <status>unmodified</status>
      <modifiedWord/>
      <trackRevisions>false</trackRevisions>
    </reviewItem>
    <reviewItem>
      <errorID>320261e6-40ca-4742-8a75-19c609469289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63E2925F</paraID>
      <start>0</start>
      <end>2</end>
      <status>unmodified</status>
      <modifiedWord/>
      <trackRevisions>false</trackRevisions>
    </reviewItem>
    <reviewItem>
      <errorID>340cecac-8607-4750-b20a-c82d2e04a184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5E013911</paraID>
      <start>0</start>
      <end>3</end>
      <status>unmodified</status>
      <modifiedWord/>
      <trackRevisions>false</trackRevisions>
    </reviewItem>
    <reviewItem>
      <errorID>79b18163-9c51-4577-8c10-be9b86e6e3fe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EE8680D</paraID>
      <start>0</start>
      <end>3</end>
      <status>unmodified</status>
      <modifiedWord/>
      <trackRevisions>false</trackRevisions>
    </reviewItem>
    <reviewItem>
      <errorID>725d0d58-69b4-4bbd-b729-8939e13ea437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52BFB010</paraID>
      <start>0</start>
      <end>3</end>
      <status>unmodified</status>
      <modifiedWord/>
      <trackRevisions>false</trackRevisions>
    </reviewItem>
    <reviewItem>
      <errorID>539aa09e-aba0-4799-94ec-1dc82d497e60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169A2CE8</paraID>
      <start>0</start>
      <end>2</end>
      <status>unmodified</status>
      <modifiedWord/>
      <trackRevisions>false</trackRevisions>
    </reviewItem>
    <reviewItem>
      <errorID>137b9c51-dc0f-403d-aedf-179c6f67e3f0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4967C7F8</paraID>
      <start>0</start>
      <end>2</end>
      <status>unmodified</status>
      <modifiedWord/>
      <trackRevisions>false</trackRevisions>
    </reviewItem>
    <reviewItem>
      <errorID>6552a44b-adb7-4348-a5b6-411b21a35980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459554F2</paraID>
      <start>0</start>
      <end>2</end>
      <status>unmodified</status>
      <modifiedWord/>
      <trackRevisions>false</trackRevisions>
    </reviewItem>
    <reviewItem>
      <errorID>87c41c55-4a6c-4523-938a-186f66bda801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69ACBE71</paraID>
      <start>0</start>
      <end>2</end>
      <status>unmodified</status>
      <modifiedWord/>
      <trackRevisions>false</trackRevisions>
    </reviewItem>
    <reviewItem>
      <errorID>8a92d350-fb76-4cc5-b5ca-7bffaa00921c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648F7C91</paraID>
      <start>0</start>
      <end>2</end>
      <status>unmodified</status>
      <modifiedWord/>
      <trackRevisions>false</trackRevisions>
    </reviewItem>
    <reviewItem>
      <errorID>749f4663-c939-45e3-b95a-eed105ac2326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67D94E05</paraID>
      <start>0</start>
      <end>2</end>
      <status>unmodified</status>
      <modifiedWord/>
      <trackRevisions>false</trackRevisions>
    </reviewItem>
    <reviewItem>
      <errorID>65505579-673c-4f25-8aab-f6ee5d50657b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570344C</paraID>
      <start>0</start>
      <end>2</end>
      <status>unmodified</status>
      <modifiedWord/>
      <trackRevisions>false</trackRevisions>
    </reviewItem>
    <reviewItem>
      <errorID>419d44d3-052d-4b50-aecd-07aff255a0fc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7BE90CC6</paraID>
      <start>1</start>
      <end>3</end>
      <status>unmodified</status>
      <modifiedWord/>
      <trackRevisions>false</trackRevisions>
    </reviewItem>
    <reviewItem>
      <errorID>0e7f95c6-427a-40e2-83de-6125b7ff21c6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ADBE343</paraID>
      <start>0</start>
      <end>2</end>
      <status>unmodified</status>
      <modifiedWord/>
      <trackRevisions>false</trackRevisions>
    </reviewItem>
    <reviewItem>
      <errorID>056b8e2e-02dc-417d-a99c-da9f608b1d6e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43E018A8</paraID>
      <start>1</start>
      <end>4</end>
      <status>unmodified</status>
      <modifiedWord/>
      <trackRevisions>false</trackRevisions>
    </reviewItem>
    <reviewItem>
      <errorID>4fa39c30-1ee0-4751-b32f-5b75e012b748</errorID>
      <errorWord>《中小企业声明函》</errorWord>
      <group>L1_Official</group>
      <groupName>公文格式问题</groupName>
      <ability>L2_Official</ability>
      <abilityName>公文要素检查</abilityName>
      <candidateList/>
      <explain>公文文件引用格式不规范</explain>
      <paraID>4C515ECB</paraID>
      <start>2</start>
      <end>11</end>
      <status>unmodified</status>
      <modifiedWord/>
      <trackRevisions>false</trackRevisions>
    </reviewItem>
    <reviewItem>
      <errorID>f28899dc-7d18-4193-9df1-f26e28aa9946</errorID>
      <errorWord>《中小企业声明函》</errorWord>
      <group>L1_Official</group>
      <groupName>公文格式问题</groupName>
      <ability>L2_Official</ability>
      <abilityName>公文要素检查</abilityName>
      <candidateList/>
      <explain>公文文件引用格式不规范</explain>
      <paraID>66C4E0F5</paraID>
      <start>13</start>
      <end>22</end>
      <status>unmodified</status>
      <modifiedWord/>
      <trackRevisions>false</trackRevisions>
    </reviewItem>
    <reviewItem>
      <errorID>a2d8a0d5-537f-4995-93c2-a68907689db2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2122AF68</paraID>
      <start>1</start>
      <end>4</end>
      <status>unmodified</status>
      <modifiedWord/>
      <trackRevisions>false</trackRevisions>
    </reviewItem>
    <reviewItem>
      <errorID>e65b1b18-fd0b-439c-b71c-c8b7ddb7af6c</errorID>
      <errorWord>《残疾人福利性单位声明函》</errorWord>
      <group>L1_Official</group>
      <groupName>公文格式问题</groupName>
      <ability>L2_Official</ability>
      <abilityName>公文要素检查</abilityName>
      <candidateList/>
      <explain>公文文件引用格式不规范</explain>
      <paraID>4E0B6805</paraID>
      <start>17</start>
      <end>30</end>
      <status>unmodified</status>
      <modifiedWord/>
      <trackRevisions>false</trackRevisions>
    </reviewItem>
    <reviewItem>
      <errorID>a8790d83-cbe4-47df-8cef-f1fb3d638f8a</errorID>
      <errorWord>《残疾人福利性单位声明函》</errorWord>
      <group>L1_Official</group>
      <groupName>公文格式问题</groupName>
      <ability>L2_Official</ability>
      <abilityName>公文要素检查</abilityName>
      <candidateList/>
      <explain>公文文件引用格式不规范</explain>
      <paraID>6FD77CB3</paraID>
      <start>8</start>
      <end>21</end>
      <status>unmodified</status>
      <modifiedWord/>
      <trackRevisions>false</trackRevisions>
    </reviewItem>
    <reviewItem>
      <errorID>318ab11b-7a6c-4dd4-97e5-3f22372e9895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617D2E9</paraID>
      <start>1</start>
      <end>4</end>
      <status>unmodified</status>
      <modifiedWord/>
      <trackRevisions>false</trackRevisions>
    </reviewItem>
    <reviewItem>
      <errorID>ad34808b-71e0-40cd-97fa-fc1e7b14c770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1A118AA</paraID>
      <start>0</start>
      <end>3</end>
      <status>unmodified</status>
      <modifiedWord/>
      <trackRevisions>false</trackRevisions>
    </reviewItem>
    <reviewItem>
      <errorID>129a4cbc-e87a-4fe4-a03f-8d775237499f</errorID>
      <errorWord>)</errorWord>
      <group>L1_Format</group>
      <groupName>格式问题</groupName>
      <ability>L2_HalfPunc_CN</ability>
      <abilityName>全半角检查</abilityName>
      <candidateList>
        <item>）</item>
      </candidateList>
      <explain>文本全半角错误。</explain>
      <paraID>653976E7</paraID>
      <start>3</start>
      <end>4</end>
      <status>unmodified</status>
      <modifiedWord/>
      <trackRevisions>false</trackRevisions>
    </reviewItem>
    <reviewItem>
      <errorID>3f261cda-1e2d-41d7-86e0-0a4efe565623</errorID>
      <errorWord>须</errorWord>
      <group>L1_Word</group>
      <groupName>字词问题</groupName>
      <ability>L2_Typo</ability>
      <abilityName>字词错误</abilityName>
      <candidateList>
        <item>需</item>
      </candidateList>
      <explain/>
      <paraID>653976E7</paraID>
      <start>7</start>
      <end>8</end>
      <status>unmodified</status>
      <modifiedWord/>
      <trackRevisions>false</trackRevisions>
    </reviewItem>
    <reviewItem>
      <errorID>653b3740-80f4-407b-95a0-cb1ff17bc749</errorID>
      <errorWord>(</errorWord>
      <group>L1_Format</group>
      <groupName>格式问题</groupName>
      <ability>L2_HalfPunc_CN</ability>
      <abilityName>全半角检查</abilityName>
      <candidateList>
        <item>（</item>
      </candidateList>
      <explain>文本全半角错误。</explain>
      <paraID>138703B6</paraID>
      <start>21</start>
      <end>22</end>
      <status>unmodified</status>
      <modifiedWord/>
      <trackRevisions>false</trackRevisions>
    </reviewItem>
    <reviewItem>
      <errorID>8a717c8f-663d-4910-8c54-b3871c10c550</errorID>
      <errorWord>)</errorWord>
      <group>L1_Format</group>
      <groupName>格式问题</groupName>
      <ability>L2_HalfPunc_CN</ability>
      <abilityName>全半角检查</abilityName>
      <candidateList>
        <item>）</item>
      </candidateList>
      <explain>文本全半角错误。</explain>
      <paraID>138703B6</paraID>
      <start>26</start>
      <end>27</end>
      <status>unmodified</status>
      <modifiedWord/>
      <trackRevisions>false</trackRevisions>
    </reviewItem>
    <reviewItem>
      <errorID>ebfa56e1-d6e8-465a-aef2-3f14fe1023ed</errorID>
      <errorWord>(</errorWord>
      <group>L1_Format</group>
      <groupName>格式问题</groupName>
      <ability>L2_HalfPunc_CN</ability>
      <abilityName>全半角检查</abilityName>
      <candidateList>
        <item>（</item>
      </candidateList>
      <explain>文本全半角错误。</explain>
      <paraID>68EA0D67</paraID>
      <start>21</start>
      <end>22</end>
      <status>unmodified</status>
      <modifiedWord/>
      <trackRevisions>false</trackRevisions>
    </reviewItem>
    <reviewItem>
      <errorID>1ebfa5bc-d113-46c0-8537-0aeab304d743</errorID>
      <errorWord>)</errorWord>
      <group>L1_Format</group>
      <groupName>格式问题</groupName>
      <ability>L2_HalfPunc_CN</ability>
      <abilityName>全半角检查</abilityName>
      <candidateList>
        <item>）</item>
      </candidateList>
      <explain>文本全半角错误。</explain>
      <paraID>68EA0D67</paraID>
      <start>29</start>
      <end>30</end>
      <status>unmodified</status>
      <modifiedWord/>
      <trackRevisions>false</trackRevisions>
    </reviewItem>
    <reviewItem>
      <errorID>d3daff51-dbe8-45fa-9043-9a9bd3992ff5</errorID>
      <errorWord>(</errorWord>
      <group>L1_Format</group>
      <groupName>格式问题</groupName>
      <ability>L2_HalfPunc_CN</ability>
      <abilityName>全半角检查</abilityName>
      <candidateList>
        <item>（</item>
      </candidateList>
      <explain>文本全半角错误。</explain>
      <paraID>67525616</paraID>
      <start>25</start>
      <end>26</end>
      <status>unmodified</status>
      <modifiedWord/>
      <trackRevisions>false</trackRevisions>
    </reviewItem>
    <reviewItem>
      <errorID>54b5a99a-97cf-4386-aa27-6e798329e3d0</errorID>
      <errorWord>)</errorWord>
      <group>L1_Format</group>
      <groupName>格式问题</groupName>
      <ability>L2_HalfPunc_CN</ability>
      <abilityName>全半角检查</abilityName>
      <candidateList>
        <item>）</item>
      </candidateList>
      <explain>文本全半角错误。</explain>
      <paraID>67525616</paraID>
      <start>37</start>
      <end>38</end>
      <status>unmodified</status>
      <modifiedWord/>
      <trackRevisions>false</trackRevisions>
    </reviewItem>
    <reviewItem>
      <errorID>8f25784e-6a48-4f18-aaef-7c2208d1c65d</errorID>
      <errorWord>(</errorWord>
      <group>L1_Format</group>
      <groupName>格式问题</groupName>
      <ability>L2_HalfPunc_CN</ability>
      <abilityName>全半角检查</abilityName>
      <candidateList>
        <item>（</item>
      </candidateList>
      <explain>文本全半角错误。</explain>
      <paraID>1DF52470</paraID>
      <start>25</start>
      <end>26</end>
      <status>unmodified</status>
      <modifiedWord/>
      <trackRevisions>false</trackRevisions>
    </reviewItem>
    <reviewItem>
      <errorID>6eba6ac6-1042-444f-b6b6-328c4b486d39</errorID>
      <errorWord>)</errorWord>
      <group>L1_Format</group>
      <groupName>格式问题</groupName>
      <ability>L2_HalfPunc_CN</ability>
      <abilityName>全半角检查</abilityName>
      <candidateList>
        <item>）</item>
      </candidateList>
      <explain>文本全半角错误。</explain>
      <paraID>1DF52470</paraID>
      <start>31</start>
      <end>32</end>
      <status>unmodified</status>
      <modifiedWord/>
      <trackRevisions>false</trackRevisions>
    </reviewItem>
    <reviewItem>
      <errorID>0633784d-15a4-4acf-820c-0c05f89188ad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7F77E79</paraID>
      <start>0</start>
      <end>2</end>
      <status>unmodified</status>
      <modifiedWord/>
      <trackRevisions>false</trackRevisions>
    </reviewItem>
    <reviewItem>
      <errorID>8b63cfaf-0150-4fc8-845b-f1d4fa7cd502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7B7FEAFE</paraID>
      <start>0</start>
      <end>2</end>
      <status>unmodified</status>
      <modifiedWord/>
      <trackRevisions>false</trackRevisions>
    </reviewItem>
    <reviewItem>
      <errorID>78c1edfb-7eec-41f0-8486-306c26ebb12f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5F83228</paraID>
      <start>0</start>
      <end>2</end>
      <status>unmodified</status>
      <modifiedWord/>
      <trackRevisions>false</trackRevisions>
    </reviewItem>
    <reviewItem>
      <errorID>b0c095a3-3fac-4223-902c-ec68116d13ae</errorID>
      <errorWord>本</errorWord>
      <group>L1_Word</group>
      <groupName>字词问题</groupName>
      <ability>L2_Typo</ability>
      <abilityName>字词错误</abilityName>
      <candidateList>
        <item>本次</item>
      </candidateList>
      <explain/>
      <paraID>739675EF</paraID>
      <start>5</start>
      <end>7</end>
      <status>modified</status>
      <modifiedWord>本次</modifiedWord>
      <trackRevisions>false</trackRevisions>
    </reviewItem>
    <reviewItem>
      <errorID>d561a258-3c8a-4617-8f9c-c0cf6172bb7e</errorID>
      <errorWord>，</errorWord>
      <group>L1_Word</group>
      <groupName>字词问题</groupName>
      <ability>L2_Typo</ability>
      <abilityName>字词错误</abilityName>
      <candidateList>
        <item>，并</item>
      </candidateList>
      <explain/>
      <paraID>24E242EB</paraID>
      <start>97</start>
      <end>98</end>
      <status>unmodified</status>
      <modifiedWord/>
      <trackRevisions>false</trackRevisions>
    </reviewItem>
    <reviewItem>
      <errorID>e884025e-705e-4f95-b82a-c10c506b679a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531D8309</paraID>
      <start>0</start>
      <end>2</end>
      <status>unmodified</status>
      <modifiedWord/>
      <trackRevisions>false</trackRevisions>
    </reviewItem>
    <reviewItem>
      <errorID>0eeed64c-b1d1-452f-949d-1d4f4b354d10</errorID>
      <errorWord>廉政自律</errorWord>
      <group>L1_Political</group>
      <groupName>政治性问题</groupName>
      <ability>L2_Unpolitical</ability>
      <abilityName>政治敏感错误</abilityName>
      <candidateList>
        <item>廉洁自律</item>
      </candidateList>
      <explain/>
      <paraID>3B6190EE</paraID>
      <start>29</start>
      <end>33</end>
      <status>unmodified</status>
      <modifiedWord/>
      <trackRevisions>false</trackRevisions>
    </reviewItem>
    <reviewItem>
      <errorID>5f22bccc-0a6d-4cbb-a0f4-00e742bf739a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2198124C</paraID>
      <start>0</start>
      <end>2</end>
      <status>unmodified</status>
      <modifiedWord/>
      <trackRevisions>false</trackRevisions>
    </reviewItem>
    <reviewItem>
      <errorID>3f71eb9f-bc47-4e2a-8052-597b9c8ba957</errorID>
      <errorWord>详实</errorWord>
      <group>L1_Word</group>
      <groupName>字词问题</groupName>
      <ability>L2_Typo</ability>
      <abilityName>字词错误</abilityName>
      <candidateList>
        <item>翔实</item>
      </candidateList>
      <explain>存在发音相同字词的误用。</explain>
      <paraID>4B8E08BD</paraID>
      <start>83</start>
      <end>85</end>
      <status>unmodified</status>
      <modifiedWord/>
      <trackRevisions>false</trackRevisions>
    </reviewItem>
    <reviewItem>
      <errorID>7892f996-2c94-4bb9-87e5-d09dc80a65e2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246D90E8</paraID>
      <start>0</start>
      <end>2</end>
      <status>unmodified</status>
      <modifiedWord/>
      <trackRevisions>false</trackRevisions>
    </reviewItem>
    <reviewItem>
      <errorID>1a33481f-8ac7-41a7-839f-057399270348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6E6AED93</paraID>
      <start>0</start>
      <end>2</end>
      <status>unmodified</status>
      <modifiedWord/>
      <trackRevisions>false</trackRevisions>
    </reviewItem>
    <reviewItem>
      <errorID>88bdc75b-36ed-41ae-9446-537a0cd11d16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73F9171</paraID>
      <start>0</start>
      <end>2</end>
      <status>unmodified</status>
      <modifiedWord/>
      <trackRevisions>false</trackRevisions>
    </reviewItem>
    <reviewItem>
      <errorID>5fc5e30b-4ad4-4afa-923b-65378b7dd5bf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353A45B</paraID>
      <start>0</start>
      <end>3</end>
      <status>unmodified</status>
      <modifiedWord/>
      <trackRevisions>false</trackRevisions>
    </reviewItem>
    <reviewItem>
      <errorID>8e8b481f-7fc4-42a0-93f1-c21c2a778d82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4054DC81</paraID>
      <start>0</start>
      <end>3</end>
      <status>unmodified</status>
      <modifiedWord/>
      <trackRevisions>false</trackRevisions>
    </reviewItem>
    <reviewItem>
      <errorID>a0ff3884-7fb9-471b-b5bc-8a509e003551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6393F25D</paraID>
      <start>0</start>
      <end>3</end>
      <status>unmodified</status>
      <modifiedWord/>
      <trackRevisions>false</trackRevisions>
    </reviewItem>
    <reviewItem>
      <errorID>36c8f4d3-1f53-40b8-9ea0-e72f85d21963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12253269</paraID>
      <start>0</start>
      <end>3</end>
      <status>unmodified</status>
      <modifiedWord/>
      <trackRevisions>false</trackRevisions>
    </reviewItem>
    <reviewItem>
      <errorID>962fbdb3-4bd6-480c-b43f-52cfd89b90d7</errorID>
      <errorWord>实施全过程中</errorWord>
      <group>L1_Word</group>
      <groupName>字词问题</groupName>
      <ability>L2_Typo</ability>
      <abilityName>字词错误</abilityName>
      <candidateList>
        <item>实施全过程</item>
      </candidateList>
      <explain/>
      <paraID>45F00566</paraID>
      <start>71</start>
      <end>77</end>
      <status>unmodified</status>
      <modifiedWord/>
      <trackRevisions>false</trackRevisions>
    </reviewItem>
    <reviewItem>
      <errorID>0b48011f-2faa-4357-b9fc-102094169cc0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F5E2345</paraID>
      <start>0</start>
      <end>2</end>
      <status>unmodified</status>
      <modifiedWord/>
      <trackRevisions>false</trackRevisions>
    </reviewItem>
    <reviewItem>
      <errorID>d5a62ddb-916f-469d-912f-69518ebe3681</errorID>
      <errorWord>&lt;</errorWord>
      <group>L1_Format</group>
      <groupName>格式问题</groupName>
      <ability>L2_HalfPunc_CN</ability>
      <abilityName>全半角检查</abilityName>
      <candidateList>
        <item>〈</item>
      </candidateList>
      <explain>文本全半角错误。</explain>
      <paraID> F5E2345</paraID>
      <start>19</start>
      <end>20</end>
      <status>unmodified</status>
      <modifiedWord/>
      <trackRevisions>false</trackRevisions>
    </reviewItem>
    <reviewItem>
      <errorID>1f11b9ce-c159-47f0-b80f-998225f6d37e</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F5E2345</paraID>
      <start>35</start>
      <end>36</end>
      <status>unmodified</status>
      <modifiedWord/>
      <trackRevisions>false</trackRevisions>
    </reviewItem>
    <reviewItem>
      <errorID>a4dcf805-5c12-41c9-b7d3-56198e7acc45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24A8DE82</paraID>
      <start>0</start>
      <end>2</end>
      <status>unmodified</status>
      <modifiedWord/>
      <trackRevisions>false</trackRevisions>
    </reviewItem>
    <reviewItem>
      <errorID>e56a33b8-682e-4515-b29b-a2c6d616c485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3FD8A47A</paraID>
      <start>0</start>
      <end>2</end>
      <status>unmodified</status>
      <modifiedWord/>
      <trackRevisions>false</trackRevisions>
    </reviewItem>
    <reviewItem>
      <errorID>748196a5-f2ff-4cb2-bd6a-b26907c42609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50C6DC73</paraID>
      <start>0</start>
      <end>2</end>
      <status>unmodified</status>
      <modifiedWord/>
      <trackRevisions>false</trackRevisions>
    </reviewItem>
    <reviewItem>
      <errorID>0228c40a-96bf-4497-b3aa-a6cb6b1bf692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69D43C92</paraID>
      <start>0</start>
      <end>2</end>
      <status>unmodified</status>
      <modifiedWord/>
      <trackRevisions>false</trackRevisions>
    </reviewItem>
    <reviewItem>
      <errorID>74f6f890-992c-4630-a451-1bcd58651c8e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5DA9E691</paraID>
      <start>0</start>
      <end>2</end>
      <status>unmodified</status>
      <modifiedWord/>
      <trackRevisions>false</trackRevisions>
    </reviewItem>
    <reviewItem>
      <errorID>197bffdf-ef4b-4f18-9bb7-7ca682512d9c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7BAFA6AE</paraID>
      <start>0</start>
      <end>2</end>
      <status>unmodified</status>
      <modifiedWord/>
      <trackRevisions>false</trackRevisions>
    </reviewItem>
    <reviewItem>
      <errorID>0fb1544b-53fa-4648-a900-c19033a46102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246A672A</paraID>
      <start>0</start>
      <end>2</end>
      <status>unmodified</status>
      <modifiedWord/>
      <trackRevisions>false</trackRevisions>
    </reviewItem>
    <reviewItem>
      <errorID>2a7a72eb-a38d-4e2d-9ecd-ec3b5ef336b8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1D0CD6</paraID>
      <start>0</start>
      <end>2</end>
      <status>unmodified</status>
      <modifiedWord/>
      <trackRevisions>false</trackRevisions>
    </reviewItem>
    <reviewItem>
      <errorID>ad5d3840-0eeb-4112-996c-83bdc2f11f24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30E77170</paraID>
      <start>0</start>
      <end>2</end>
      <status>unmodified</status>
      <modifiedWord/>
      <trackRevisions>false</trackRevisions>
    </reviewItem>
    <reviewItem>
      <errorID>af21b608-370f-4f5d-8c27-91d0c26c6a12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16C1103A</paraID>
      <start>0</start>
      <end>2</end>
      <status>unmodified</status>
      <modifiedWord/>
      <trackRevisions>false</trackRevisions>
    </reviewItem>
    <reviewItem>
      <errorID>8022a3fa-2eaa-4367-b626-f7907f9c3b2f</errorID>
      <errorWord>、</errorWord>
      <group>L1_Word</group>
      <groupName>字词问题</groupName>
      <ability>L2_Typo</ability>
      <abilityName>字词错误</abilityName>
      <candidateList>
        <item>、小</item>
      </candidateList>
      <explain/>
      <paraID>16C1103A</paraID>
      <start>3</start>
      <end>4</end>
      <status>unmodified</status>
      <modifiedWord/>
      <trackRevisions>false</trackRevisions>
    </reviewItem>
    <reviewItem>
      <errorID>f6e4ef44-7b04-418d-9d1c-09346809c946</errorID>
      <errorWord>《中小企业声明函》</errorWord>
      <group>L1_Official</group>
      <groupName>公文格式问题</groupName>
      <ability>L2_Official</ability>
      <abilityName>公文要素检查</abilityName>
      <candidateList/>
      <explain>公文文件引用格式不规范</explain>
      <paraID>2BFCA81C</paraID>
      <start>207</start>
      <end>216</end>
      <status>unmodified</status>
      <modifiedWord/>
      <trackRevisions>false</trackRevisions>
    </reviewItem>
    <reviewItem>
      <errorID>baa7826a-69b0-4ace-8e05-f4c006b17da7</errorID>
      <errorWord>《中小企业声明函》</errorWord>
      <group>L1_Official</group>
      <groupName>公文格式问题</groupName>
      <ability>L2_Official</ability>
      <abilityName>公文要素检查</abilityName>
      <candidateList/>
      <explain>公文文件引用格式不规范</explain>
      <paraID>2BFCA81C</paraID>
      <start>222</start>
      <end>231</end>
      <status>unmodified</status>
      <modifiedWord/>
      <trackRevisions>false</trackRevisions>
    </reviewItem>
    <reviewItem>
      <errorID>4d47b1b7-ae17-4ac6-8783-87973fa260ff</errorID>
      <errorWord>《残疾人福利性单位声明函》</errorWord>
      <group>L1_Official</group>
      <groupName>公文格式问题</groupName>
      <ability>L2_Official</ability>
      <abilityName>公文要素检查</abilityName>
      <candidateList/>
      <explain>公文文件引用格式不规范</explain>
      <paraID> 23BF383</paraID>
      <start>154</start>
      <end>167</end>
      <status>unmodified</status>
      <modifiedWord/>
      <trackRevisions>false</trackRevisions>
    </reviewItem>
    <reviewItem>
      <errorID>50eef40e-23b7-4081-815a-c619d584ae77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58D1F738</paraID>
      <start>0</start>
      <end>2</end>
      <status>unmodified</status>
      <modifiedWord/>
      <trackRevisions>false</trackRevisions>
    </reviewItem>
    <reviewItem>
      <errorID>d4a95460-c1aa-4818-8f84-887472b8e863</errorID>
      <errorWord>/）</errorWord>
      <group>L1_Punc</group>
      <groupName>标点问题</groupName>
      <ability>L2_Punc_CN</ability>
      <abilityName>标点符号检查</abilityName>
      <candidateList>
        <item>）</item>
      </candidateList>
      <explain/>
      <paraID>58D1F738</paraID>
      <start>53</start>
      <end>55</end>
      <status>unmodified</status>
      <modifiedWord/>
      <trackRevisions>false</trackRevisions>
    </reviewItem>
    <reviewItem>
      <errorID>8b9b9b18-86bc-44b1-ba6b-e418e12868a5</errorID>
      <errorWord>/）</errorWord>
      <group>L1_Punc</group>
      <groupName>标点问题</groupName>
      <ability>L2_Punc_CN</ability>
      <abilityName>标点符号检查</abilityName>
      <candidateList>
        <item>）</item>
      </candidateList>
      <explain/>
      <paraID>58D1F738</paraID>
      <start>79</start>
      <end>81</end>
      <status>unmodified</status>
      <modifiedWord/>
      <trackRevisions>false</trackRevisions>
    </reviewItem>
    <reviewItem>
      <errorID>e7412a69-3139-4163-90a2-1e004ceaafb9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26060C3B</paraID>
      <start>0</start>
      <end>2</end>
      <status>unmodified</status>
      <modifiedWord/>
      <trackRevisions>false</trackRevisions>
    </reviewItem>
    <reviewItem>
      <errorID>db751e38-c51d-4df3-920c-fa5ef3f893aa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341B149B</paraID>
      <start>0</start>
      <end>2</end>
      <status>unmodified</status>
      <modifiedWord/>
      <trackRevisions>false</trackRevisions>
    </reviewItem>
    <reviewItem>
      <errorID>7967def6-daed-47aa-a34e-045a8f1feb5f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DDCAC2E</paraID>
      <start>0</start>
      <end>2</end>
      <status>unmodified</status>
      <modifiedWord/>
      <trackRevisions>false</trackRevisions>
    </reviewItem>
    <reviewItem>
      <errorID>11e0571e-ef24-4fa1-961f-af4ad87bb193</errorID>
      <errorWord>）</errorWord>
      <group>L1_Word</group>
      <groupName>字词问题</groupName>
      <ability>L2_Typo</ability>
      <abilityName>字词错误</abilityName>
      <candidateList>
        <item>）在</item>
      </candidateList>
      <explain/>
      <paraID> 754ED65</paraID>
      <start>56</start>
      <end>57</end>
      <status>unmodified</status>
      <modifiedWord/>
      <trackRevisions>false</trackRevisions>
    </reviewItem>
    <reviewItem>
      <errorID>65c686ba-2b19-4141-909a-3860d1cda5b4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750A9A16</paraID>
      <start>0</start>
      <end>2</end>
      <status>unmodified</status>
      <modifiedWord/>
      <trackRevisions>false</trackRevisions>
    </reviewItem>
    <reviewItem>
      <errorID>52355040-e6c9-4389-a171-6dd6ce080d4d</errorID>
      <errorWord>&lt;</errorWord>
      <group>L1_Format</group>
      <groupName>格式问题</groupName>
      <ability>L2_HalfPunc_CN</ability>
      <abilityName>全半角检查</abilityName>
      <candidateList>
        <item>〈</item>
      </candidateList>
      <explain>文本全半角错误。</explain>
      <paraID> DB7F5B7</paraID>
      <start>17</start>
      <end>18</end>
      <status>unmodified</status>
      <modifiedWord/>
      <trackRevisions>false</trackRevisions>
    </reviewItem>
    <reviewItem>
      <errorID>c7ae7423-a86c-4a4a-b648-b6083f1e3cc3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DB7F5B7</paraID>
      <start>33</start>
      <end>34</end>
      <status>unmodified</status>
      <modifiedWord/>
      <trackRevisions>false</trackRevisions>
    </reviewItem>
    <reviewItem>
      <errorID>c61215f1-568a-4b43-8a23-9bc57578c945</errorID>
      <errorWord>其它</errorWord>
      <group>L1_Word</group>
      <groupName>字词问题</groupName>
      <ability>L2_Alias</ability>
      <abilityName>也作/曾用词</abilityName>
      <candidateList>
        <item>其他</item>
      </candidateList>
      <explain>词汇[其它]为不规范表述或旧称，其规范书面表述为[其他]。</explain>
      <paraID>320A928A</paraID>
      <start>49</start>
      <end>51</end>
      <status>unmodified</status>
      <modifiedWord/>
      <trackRevisions>false</trackRevisions>
    </reviewItem>
    <reviewItem>
      <errorID>20e8f10c-b15e-4da7-8249-4d7a10a69753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B56A971</paraID>
      <start>0</start>
      <end>2</end>
      <status>unmodified</status>
      <modifiedWord/>
      <trackRevisions>false</trackRevisions>
    </reviewItem>
    <reviewItem>
      <errorID>0a8a286c-ce0d-4351-88c9-503b76565ffa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3C45EAE</paraID>
      <start>0</start>
      <end>2</end>
      <status>unmodified</status>
      <modifiedWord/>
      <trackRevisions>false</trackRevisions>
    </reviewItem>
    <reviewItem>
      <errorID>59c12db2-d9be-4047-892e-9a50add3e1a0</errorID>
      <errorWord>仍</errorWord>
      <group>L1_Word</group>
      <groupName>字词问题</groupName>
      <ability>L2_Typo</ability>
      <abilityName>字词错误</abilityName>
      <candidateList>
        <item>仍有</item>
      </candidateList>
      <explain/>
      <paraID>5BB0AF6A</paraID>
      <start>32</start>
      <end>33</end>
      <status>unmodified</status>
      <modifiedWord/>
      <trackRevisions>false</trackRevisions>
    </reviewItem>
    <reviewItem>
      <errorID>e3a2b3f0-394d-405e-8142-7f524818c58d</errorID>
      <errorWord>万</errorWord>
      <group>L1_Word</group>
      <groupName>字词问题</groupName>
      <ability>L2_Typo</ability>
      <abilityName>字词错误</abilityName>
      <candidateList>
        <item>万元</item>
      </candidateList>
      <explain/>
      <paraID>2DE35B4E</paraID>
      <start>74</start>
      <end>75</end>
      <status>unmodified</status>
      <modifiedWord/>
      <trackRevisions>false</trackRevisions>
    </reviewItem>
    <reviewItem>
      <errorID>e9bc3b96-5c85-45f0-ace7-f4bca12988f5</errorID>
      <errorWord>须</errorWord>
      <group>L1_Word</group>
      <groupName>字词问题</groupName>
      <ability>L2_Typo</ability>
      <abilityName>字词错误</abilityName>
      <candidateList>
        <item>须在</item>
      </candidateList>
      <explain/>
      <paraID>52FF1E61</paraID>
      <start>14</start>
      <end>15</end>
      <status>unmodified</status>
      <modifiedWord/>
      <trackRevisions>false</trackRevisions>
    </reviewItem>
    <reviewItem>
      <errorID>14a4a838-0c9a-4451-94f8-80cf9b0a7815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3EDD354</paraID>
      <start>0</start>
      <end>2</end>
      <status>unmodified</status>
      <modifiedWord/>
      <trackRevisions>false</trackRevisions>
    </reviewItem>
    <reviewItem>
      <errorID>0f55f365-cdc9-4401-8091-6d037d393869</errorID>
      <errorWord>第49条</errorWord>
      <group>L1_Knowledge</group>
      <groupName>知识性问题</groupName>
      <ability>L2_Knowledge</ability>
      <abilityName>其他知识</abilityName>
      <candidateList>
        <item>第四十九条</item>
      </candidateList>
      <explain>法律条目书写应使用汉字数字，不使用阿拉伯数字。</explain>
      <paraID>76C7584C</paraID>
      <start>18</start>
      <end>22</end>
      <status>unmodified</status>
      <modifiedWord/>
      <trackRevisions>false</trackRevisions>
    </reviewItem>
    <reviewItem>
      <errorID>4ebde973-b4e4-4e6f-a91d-cf7cbd7e92b2</errorID>
      <errorWord>其它</errorWord>
      <group>L1_Word</group>
      <groupName>字词问题</groupName>
      <ability>L2_Alias</ability>
      <abilityName>也作/曾用词</abilityName>
      <candidateList>
        <item>其他</item>
      </candidateList>
      <explain>词汇[其它]为不规范表述或旧称，其规范书面表述为[其他]。</explain>
      <paraID>3D992380</paraID>
      <start>39</start>
      <end>41</end>
      <status>unmodified</status>
      <modifiedWord/>
      <trackRevisions>false</trackRevisions>
    </reviewItem>
    <reviewItem>
      <errorID>189842fc-82e5-4a79-a2f5-3bd25863d9f8</errorID>
      <errorWord>法律、法规</errorWord>
      <group>L1_Word</group>
      <groupName>字词问题</groupName>
      <ability>L2_Typo</ability>
      <abilityName>字词错误</abilityName>
      <candidateList>
        <item>法律法规</item>
      </candidateList>
      <explain/>
      <paraID>3D992380</paraID>
      <start>41</start>
      <end>46</end>
      <status>unmodified</status>
      <modifiedWord/>
      <trackRevisions>false</trackRevisions>
    </reviewItem>
    <reviewItem>
      <errorID>bef05046-e6e6-4e16-8a97-d6fc5d6f1e37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34F3E2DC</paraID>
      <start>0</start>
      <end>2</end>
      <status>unmodified</status>
      <modifiedWord/>
      <trackRevisions>false</trackRevisions>
    </reviewItem>
    <reviewItem>
      <errorID>c7c2c9a9-31f2-4dc3-9f93-7245057d27d7</errorID>
      <errorWord>详实</errorWord>
      <group>L1_Word</group>
      <groupName>字词问题</groupName>
      <ability>L2_Typo</ability>
      <abilityName>字词错误</abilityName>
      <candidateList>
        <item>翔实</item>
      </candidateList>
      <explain/>
      <paraID>7F8F2906</paraID>
      <start>16</start>
      <end>18</end>
      <status>unmodified</status>
      <modifiedWord/>
      <trackRevisions>false</trackRevisions>
    </reviewItem>
    <reviewItem>
      <errorID>b7cd874a-0a0e-4da0-824d-c807b8bbbab0</errorID>
      <errorWord>详实</errorWord>
      <group>L1_Word</group>
      <groupName>字词问题</groupName>
      <ability>L2_Typo</ability>
      <abilityName>字词错误</abilityName>
      <candidateList>
        <item>翔实</item>
      </candidateList>
      <explain/>
      <paraID>37C504B3</paraID>
      <start>29</start>
      <end>31</end>
      <status>unmodified</status>
      <modifiedWord/>
      <trackRevisions>false</trackRevisions>
    </reviewItem>
    <reviewItem>
      <errorID>f1acaad7-bacd-4eb6-ae28-742498881015</errorID>
      <errorWord>成</errorWord>
      <group>L1_Word</group>
      <groupName>字词问题</groupName>
      <ability>L2_Typo</ability>
      <abilityName>字词错误</abilityName>
      <candidateList>
        <item>成后</item>
      </candidateList>
      <explain/>
      <paraID>70D36F3F</paraID>
      <start>18</start>
      <end>19</end>
      <status>unmodified</status>
      <modifiedWord/>
      <trackRevisions>false</trackRevisions>
    </reviewItem>
    <reviewItem>
      <errorID>93070933-27d1-472e-b2e9-a05e28e1a5fd</errorID>
      <errorWord>详实</errorWord>
      <group>L1_Word</group>
      <groupName>字词问题</groupName>
      <ability>L2_Typo</ability>
      <abilityName>字词错误</abilityName>
      <candidateList>
        <item>翔实</item>
      </candidateList>
      <explain/>
      <paraID>70D36F3F</paraID>
      <start>30</start>
      <end>32</end>
      <status>unmodified</status>
      <modifiedWord/>
      <trackRevisions>false</trackRevisions>
    </reviewItem>
    <reviewItem>
      <errorID>9e6aca56-3d9a-4c71-b898-ade65d5e818c</errorID>
      <errorWord>成</errorWord>
      <group>L1_Word</group>
      <groupName>字词问题</groupName>
      <ability>L2_Typo</ability>
      <abilityName>字词错误</abilityName>
      <candidateList>
        <item>成后</item>
      </candidateList>
      <explain/>
      <paraID>5870398A</paraID>
      <start>16</start>
      <end>17</end>
      <status>unmodified</status>
      <modifiedWord/>
      <trackRevisions>false</trackRevisions>
    </reviewItem>
    <reviewItem>
      <errorID>aed3641c-7ca9-4db2-b305-544b8bdd6acb</errorID>
      <errorWord>详实</errorWord>
      <group>L1_Word</group>
      <groupName>字词问题</groupName>
      <ability>L2_Typo</ability>
      <abilityName>字词错误</abilityName>
      <candidateList>
        <item>翔实</item>
      </candidateList>
      <explain/>
      <paraID>5870398A</paraID>
      <start>28</start>
      <end>30</end>
      <status>unmodified</status>
      <modifiedWord/>
      <trackRevisions>false</trackRevisions>
    </reviewItem>
    <reviewItem>
      <errorID>6069598f-d832-441e-bc5b-ea14cc1ae73f</errorID>
      <errorWord>成</errorWord>
      <group>L1_Word</group>
      <groupName>字词问题</groupName>
      <ability>L2_Typo</ability>
      <abilityName>字词错误</abilityName>
      <candidateList>
        <item>成后</item>
      </candidateList>
      <explain/>
      <paraID>2E7CC740</paraID>
      <start>17</start>
      <end>18</end>
      <status>unmodified</status>
      <modifiedWord/>
      <trackRevisions>false</trackRevisions>
    </reviewItem>
    <reviewItem>
      <errorID>8ae3da0a-a2b7-4420-8826-f6e96cad7160</errorID>
      <errorWord>详实</errorWord>
      <group>L1_Word</group>
      <groupName>字词问题</groupName>
      <ability>L2_Typo</ability>
      <abilityName>字词错误</abilityName>
      <candidateList>
        <item>翔实</item>
      </candidateList>
      <explain/>
      <paraID>2E7CC740</paraID>
      <start>29</start>
      <end>31</end>
      <status>unmodified</status>
      <modifiedWord/>
      <trackRevisions>false</trackRevisions>
    </reviewItem>
    <reviewItem>
      <errorID>c7e73017-c183-4f16-9513-63b6ca840ab9</errorID>
      <errorWord>详实</errorWord>
      <group>L1_Word</group>
      <groupName>字词问题</groupName>
      <ability>L2_Typo</ability>
      <abilityName>字词错误</abilityName>
      <candidateList>
        <item>翔实</item>
      </candidateList>
      <explain>存在发音相同字词的误用。</explain>
      <paraID>3E0C5058</paraID>
      <start>27</start>
      <end>29</end>
      <status>unmodified</status>
      <modifiedWord/>
      <trackRevisions>false</trackRevisions>
    </reviewItem>
    <reviewItem>
      <errorID>8601a681-3045-4cb6-9a07-1cdc480f40ff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5C00FE4D</paraID>
      <start>0</start>
      <end>2</end>
      <status>unmodified</status>
      <modifiedWord/>
      <trackRevisions>false</trackRevisions>
    </reviewItem>
    <reviewItem>
      <errorID>a238b356-cf86-4e27-beb0-c06270441643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CCCF3D3</paraID>
      <start>0</start>
      <end>2</end>
      <status>unmodified</status>
      <modifiedWord/>
      <trackRevisions>false</trackRevisions>
    </reviewItem>
    <reviewItem>
      <errorID>d31e065c-8369-4e31-9f22-7fde73c1eac7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45678714</paraID>
      <start>0</start>
      <end>2</end>
      <status>unmodified</status>
      <modifiedWord/>
      <trackRevisions>false</trackRevisions>
    </reviewItem>
    <reviewItem>
      <errorID>0aaf8a63-3d11-4f11-a9c8-6fc3e7fabf5a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2964B964</paraID>
      <start>0</start>
      <end>2</end>
      <status>unmodified</status>
      <modifiedWord/>
      <trackRevisions>false</trackRevisions>
    </reviewItem>
    <reviewItem>
      <errorID>58589e5f-f4f9-40d1-b6bd-12cfe40e75b0</errorID>
      <errorWord>详实</errorWord>
      <group>L1_Word</group>
      <groupName>字词问题</groupName>
      <ability>L2_Typo</ability>
      <abilityName>字词错误</abilityName>
      <candidateList>
        <item>翔实</item>
      </candidateList>
      <explain>存在发音相同字词的误用。</explain>
      <paraID>4C15C458</paraID>
      <start>11</start>
      <end>13</end>
      <status>unmodified</status>
      <modifiedWord/>
      <trackRevisions>false</trackRevisions>
    </reviewItem>
    <reviewItem>
      <errorID>1eff3ff1-04a0-4724-a6e8-4d0da5e27311</errorID>
      <errorWord>详实</errorWord>
      <group>L1_Word</group>
      <groupName>字词问题</groupName>
      <ability>L2_Typo</ability>
      <abilityName>字词错误</abilityName>
      <candidateList>
        <item>翔实</item>
      </candidateList>
      <explain>存在发音相同字词的误用。</explain>
      <paraID> 82E0C8D</paraID>
      <start>18</start>
      <end>20</end>
      <status>unmodified</status>
      <modifiedWord/>
      <trackRevisions>false</trackRevisions>
    </reviewItem>
    <reviewItem>
      <errorID>263b58e5-3b20-4c98-8bb5-faf028074c57</errorID>
      <errorWord>详实</errorWord>
      <group>L1_Word</group>
      <groupName>字词问题</groupName>
      <ability>L2_Typo</ability>
      <abilityName>字词错误</abilityName>
      <candidateList>
        <item>翔实</item>
      </candidateList>
      <explain>存在发音相同字词的误用。</explain>
      <paraID> A33C034</paraID>
      <start>14</start>
      <end>16</end>
      <status>unmodified</status>
      <modifiedWord/>
      <trackRevisions>false</trackRevisions>
    </reviewItem>
    <reviewItem>
      <errorID>5a0740ee-1e6a-41c4-af45-f74ef7d513d5</errorID>
      <errorWord>详实</errorWord>
      <group>L1_Word</group>
      <groupName>字词问题</groupName>
      <ability>L2_Typo</ability>
      <abilityName>字词错误</abilityName>
      <candidateList>
        <item>翔实</item>
      </candidateList>
      <explain>存在发音相同字词的误用。</explain>
      <paraID>7565B15B</paraID>
      <start>17</start>
      <end>19</end>
      <status>unmodified</status>
      <modifiedWord/>
      <trackRevisions>false</trackRevisions>
    </reviewItem>
    <reviewItem>
      <errorID>4a75cab8-0774-4337-bf6a-8f63b5c33ac2</errorID>
      <errorWord>详实</errorWord>
      <group>L1_Word</group>
      <groupName>字词问题</groupName>
      <ability>L2_Typo</ability>
      <abilityName>字词错误</abilityName>
      <candidateList>
        <item>翔实</item>
      </candidateList>
      <explain>存在发音相同字词的误用。</explain>
      <paraID>10064C33</paraID>
      <start>15</start>
      <end>17</end>
      <status>unmodified</status>
      <modifiedWord/>
      <trackRevisions>false</trackRevisions>
    </reviewItem>
    <reviewItem>
      <errorID>e2f07621-e00c-4b37-b682-c8401b05e7b0</errorID>
      <errorWord>详实</errorWord>
      <group>L1_Word</group>
      <groupName>字词问题</groupName>
      <ability>L2_Typo</ability>
      <abilityName>字词错误</abilityName>
      <candidateList>
        <item>翔实</item>
      </candidateList>
      <explain>存在发音相同字词的误用。</explain>
      <paraID>17806955</paraID>
      <start>16</start>
      <end>18</end>
      <status>unmodified</status>
      <modifiedWord/>
      <trackRevisions>false</trackRevisions>
    </reviewItem>
    <reviewItem>
      <errorID>3fa8758d-b6ec-4fbf-b89a-4555da09ba90</errorID>
      <errorWord>详实</errorWord>
      <group>L1_Word</group>
      <groupName>字词问题</groupName>
      <ability>L2_Typo</ability>
      <abilityName>字词错误</abilityName>
      <candidateList>
        <item>翔实</item>
      </candidateList>
      <explain>存在发音相同字词的误用。</explain>
      <paraID>6149A3DE</paraID>
      <start>9</start>
      <end>11</end>
      <status>unmodified</status>
      <modifiedWord/>
      <trackRevisions>false</trackRevisions>
    </reviewItem>
    <reviewItem>
      <errorID>e594e1c4-ccc2-4f8d-a190-01a9995a9f9e</errorID>
      <errorWord>详实</errorWord>
      <group>L1_Word</group>
      <groupName>字词问题</groupName>
      <ability>L2_Typo</ability>
      <abilityName>字词错误</abilityName>
      <candidateList>
        <item>翔实</item>
      </candidateList>
      <explain>存在发音相同字词的误用。</explain>
      <paraID>28C00A2B</paraID>
      <start>14</start>
      <end>16</end>
      <status>unmodified</status>
      <modifiedWord/>
      <trackRevisions>false</trackRevisions>
    </reviewItem>
    <reviewItem>
      <errorID>f24581fa-70de-49e9-a497-b0ec0a8cd833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2C3030F</paraID>
      <start>0</start>
      <end>2</end>
      <status>unmodified</status>
      <modifiedWord/>
      <trackRevisions>false</trackRevisions>
    </reviewItem>
    <reviewItem>
      <errorID>c3d5bc48-3e05-4a15-8b46-710caeb39761</errorID>
      <errorWord>提高</errorWord>
      <group>L1_Grammar</group>
      <groupName>语法问题</groupName>
      <ability>L2_Grammar</ability>
      <abilityName>语法错误</abilityName>
      <candidateList>
        <item>增强</item>
      </candidateList>
      <explain>“提高～意识”搭配不当，建议修改为“增强～意识”。</explain>
      <paraID>46BDE45F</paraID>
      <start>75</start>
      <end>77</end>
      <status>unmodified</status>
      <modifiedWord/>
      <trackRevisions>false</trackRevisions>
    </reviewItem>
    <reviewItem>
      <errorID>7e08ff5d-3f30-4eb2-bed0-0f1d3e2339bf</errorID>
      <errorWord>防止和避免</errorWord>
      <group>L1_Grammar</group>
      <groupName>语法问题</groupName>
      <ability>L2_Grammar</ability>
      <abilityName>语法错误</abilityName>
      <candidateList>
        <item>防止和</item>
      </candidateList>
      <explain>该表达中的“防止和避免”存在语义重复。</explain>
      <paraID>46BDE45F</paraID>
      <start>113</start>
      <end>118</end>
      <status>unmodified</status>
      <modifiedWord/>
      <trackRevisions>false</trackRevisions>
    </reviewItem>
    <reviewItem>
      <errorID>30acfac3-1a88-41ff-9b08-9f5741963ae5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42A1E2CC</paraID>
      <start>0</start>
      <end>2</end>
      <status>unmodified</status>
      <modifiedWord/>
      <trackRevisions>false</trackRevisions>
    </reviewItem>
    <reviewItem>
      <errorID>8f03c5a4-4368-44b9-aeeb-e9f12cde9b7f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4FD4037F</paraID>
      <start>0</start>
      <end>2</end>
      <status>unmodified</status>
      <modifiedWord/>
      <trackRevisions>false</trackRevisions>
    </reviewItem>
    <reviewItem>
      <errorID>44cd96aa-b2d4-4a57-b0ff-2d1c9bbc5750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45DC1196</paraID>
      <start>0</start>
      <end>2</end>
      <status>unmodified</status>
      <modifiedWord/>
      <trackRevisions>false</trackRevisions>
    </reviewItem>
    <reviewItem>
      <errorID>01631c17-5382-49b4-8e3c-8d3432f155ba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3689C75F</paraID>
      <start>0</start>
      <end>2</end>
      <status>unmodified</status>
      <modifiedWord/>
      <trackRevisions>false</trackRevisions>
    </reviewItem>
    <reviewItem>
      <errorID>270d8aff-cc42-455f-8447-78a6eba36508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31BB91A0</paraID>
      <start>0</start>
      <end>2</end>
      <status>unmodified</status>
      <modifiedWord/>
      <trackRevisions>false</trackRevisions>
    </reviewItem>
    <reviewItem>
      <errorID>0caf601a-c2ff-44bc-b3f6-2b8a108a8c09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E26E60E</paraID>
      <start>0</start>
      <end>2</end>
      <status>unmodified</status>
      <modifiedWord/>
      <trackRevisions>false</trackRevisions>
    </reviewItem>
    <reviewItem>
      <errorID>4a8b3cf9-4693-4e36-8e65-7435a181454c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1A6C9942</paraID>
      <start>0</start>
      <end>2</end>
      <status>unmodified</status>
      <modifiedWord/>
      <trackRevisions>false</trackRevisions>
    </reviewItem>
    <reviewItem>
      <errorID>3c654344-c6c0-40ee-8abd-c521bca7b891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72B4E2DE</paraID>
      <start>0</start>
      <end>2</end>
      <status>unmodified</status>
      <modifiedWord/>
      <trackRevisions>false</trackRevisions>
    </reviewItem>
    <reviewItem>
      <errorID>260f0662-4cbc-40d6-b26b-add1c60ea865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78BF7F97</paraID>
      <start>0</start>
      <end>2</end>
      <status>unmodified</status>
      <modifiedWord/>
      <trackRevisions>false</trackRevisions>
    </reviewItem>
    <reviewItem>
      <errorID>0011e3fa-16e7-40fa-abf5-62d333efb071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3437C7A8</paraID>
      <start>0</start>
      <end>2</end>
      <status>unmodified</status>
      <modifiedWord/>
      <trackRevisions>false</trackRevisions>
    </reviewItem>
    <reviewItem>
      <errorID>ca65a922-0e8a-401f-9a4f-41419e001abe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D3F9736</paraID>
      <start>0</start>
      <end>2</end>
      <status>unmodified</status>
      <modifiedWord/>
      <trackRevisions>false</trackRevisions>
    </reviewItem>
    <reviewItem>
      <errorID>05bfbba4-d1ca-4dda-b905-e96ebfd419ee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3BDB83F9</paraID>
      <start>0</start>
      <end>2</end>
      <status>unmodified</status>
      <modifiedWord/>
      <trackRevisions>false</trackRevisions>
    </reviewItem>
    <reviewItem>
      <errorID>e8580f91-a6e7-4c5f-b306-53005b25d570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52A3B9BB</paraID>
      <start>0</start>
      <end>2</end>
      <status>unmodified</status>
      <modifiedWord/>
      <trackRevisions>false</trackRevisions>
    </reviewItem>
    <reviewItem>
      <errorID>f40fb432-6297-4774-ad84-19c88f5e2cb7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9CE8556</paraID>
      <start>0</start>
      <end>2</end>
      <status>unmodified</status>
      <modifiedWord/>
      <trackRevisions>false</trackRevisions>
    </reviewItem>
    <reviewItem>
      <errorID>04d4853f-076f-48ec-99ca-f0718d7da795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60F6CD6D</paraID>
      <start>0</start>
      <end>2</end>
      <status>unmodified</status>
      <modifiedWord/>
      <trackRevisions>false</trackRevisions>
    </reviewItem>
    <reviewItem>
      <errorID>f6f60bd6-1fb8-46f8-b281-48da9f3f9b52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71D142EC</paraID>
      <start>0</start>
      <end>2</end>
      <status>unmodified</status>
      <modifiedWord/>
      <trackRevisions>false</trackRevisions>
    </reviewItem>
    <reviewItem>
      <errorID>be52888e-37a8-418a-add6-223f112755cf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6D0B492A</paraID>
      <start>0</start>
      <end>2</end>
      <status>unmodified</status>
      <modifiedWord/>
      <trackRevisions>false</trackRevisions>
    </reviewItem>
    <reviewItem>
      <errorID>cb10751f-5040-4c80-a799-3937578283e9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71096BA9</paraID>
      <start>0</start>
      <end>2</end>
      <status>unmodified</status>
      <modifiedWord/>
      <trackRevisions>false</trackRevisions>
    </reviewItem>
    <reviewItem>
      <errorID>2df2299f-fb95-41cd-9df3-dc9663c1e649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1DFC2610</paraID>
      <start>0</start>
      <end>2</end>
      <status>unmodified</status>
      <modifiedWord/>
      <trackRevisions>false</trackRevisions>
    </reviewItem>
    <reviewItem>
      <errorID>18c38465-17d6-4159-964f-5f7816639c89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72D4D1D8</paraID>
      <start>0</start>
      <end>2</end>
      <status>unmodified</status>
      <modifiedWord/>
      <trackRevisions>false</trackRevisions>
    </reviewItem>
    <reviewItem>
      <errorID>f1a8d4bc-c78c-4ad8-b0ba-cac79b004e80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357FE4A4</paraID>
      <start>0</start>
      <end>2</end>
      <status>unmodified</status>
      <modifiedWord/>
      <trackRevisions>false</trackRevisions>
    </reviewItem>
    <reviewItem>
      <errorID>3cc7c0af-afaa-4550-85c9-7641a6c68566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712DB914</paraID>
      <start>0</start>
      <end>2</end>
      <status>unmodified</status>
      <modifiedWord/>
      <trackRevisions>false</trackRevisions>
    </reviewItem>
    <reviewItem>
      <errorID>bcc22ef3-0308-473a-bd2d-505bf147b93f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162A6A4B</paraID>
      <start>0</start>
      <end>2</end>
      <status>unmodified</status>
      <modifiedWord/>
      <trackRevisions>false</trackRevisions>
    </reviewItem>
    <reviewItem>
      <errorID>0c92d81b-cc44-4cfa-875d-c06c187b2892</errorID>
      <errorWord>需</errorWord>
      <group>L1_Word</group>
      <groupName>字词问题</groupName>
      <ability>L2_Typo</ability>
      <abilityName>字词错误</abilityName>
      <candidateList>
        <item>须</item>
      </candidateList>
      <explain>存在发音相同字词的误用。</explain>
      <paraID>162A6A4B</paraID>
      <start>9</start>
      <end>10</end>
      <status>unmodified</status>
      <modifiedWord/>
      <trackRevisions>false</trackRevisions>
    </reviewItem>
    <reviewItem>
      <errorID>561b0953-a5b7-4956-ae67-3da9bb3ef3e3</errorID>
      <errorWord>.</errorWord>
      <group>L1_Format</group>
      <groupName>格式问题</groupName>
      <ability>L2_HalfPunc_CN</ability>
      <abilityName>全半角检查</abilityName>
      <candidateList>
        <item>。</item>
      </candidateList>
      <explain>文本全半角错误。</explain>
      <paraID>7F9BA0F5</paraID>
      <start>12</start>
      <end>13</end>
      <status>unmodified</status>
      <modifiedWord/>
      <trackRevisions>false</trackRevisions>
    </reviewItem>
    <reviewItem>
      <errorID>dc512358-d304-4487-a162-36a3fed63317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3662FC31</paraID>
      <start>0</start>
      <end>2</end>
      <status>unmodified</status>
      <modifiedWord/>
      <trackRevisions>false</trackRevisions>
    </reviewItem>
    <reviewItem>
      <errorID>076f0c01-0811-4ac3-a8e7-2a8fde8539a1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57D87BE1</paraID>
      <start>0</start>
      <end>2</end>
      <status>unmodified</status>
      <modifiedWord/>
      <trackRevisions>false</trackRevisions>
    </reviewItem>
    <reviewItem>
      <errorID>78620ad7-9d27-42f6-826f-c1eafccd99c3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6F5F3EBC</paraID>
      <start>0</start>
      <end>2</end>
      <status>unmodified</status>
      <modifiedWord/>
      <trackRevisions>false</trackRevisions>
    </reviewItem>
    <reviewItem>
      <errorID>103b6162-082f-4510-94ad-6eeca8a55ebc</errorID>
      <errorWord>详实</errorWord>
      <group>L1_Word</group>
      <groupName>字词问题</groupName>
      <ability>L2_Typo</ability>
      <abilityName>字词错误</abilityName>
      <candidateList>
        <item>翔实</item>
      </candidateList>
      <explain/>
      <paraID>3F29F8A4</paraID>
      <start>21</start>
      <end>23</end>
      <status>unmodified</status>
      <modifiedWord/>
      <trackRevisions>false</trackRevisions>
    </reviewItem>
    <reviewItem>
      <errorID>0da6e404-9477-450f-8954-00800ec9025b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461A815E</paraID>
      <start>0</start>
      <end>2</end>
      <status>unmodified</status>
      <modifiedWord/>
      <trackRevisions>false</trackRevisions>
    </reviewItem>
    <reviewItem>
      <errorID>db57a06c-3bc6-4c9d-8007-e473edd1f91c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16175214</paraID>
      <start>0</start>
      <end>2</end>
      <status>unmodified</status>
      <modifiedWord/>
      <trackRevisions>false</trackRevisions>
    </reviewItem>
    <reviewItem>
      <errorID>6bf1e8e7-28e5-4950-b8f0-dbd61ed52971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2178840B</paraID>
      <start>0</start>
      <end>2</end>
      <status>unmodified</status>
      <modifiedWord/>
      <trackRevisions>false</trackRevisions>
    </reviewItem>
    <reviewItem>
      <errorID>83001bac-2f48-4c7b-87d5-9b36a6e73fb1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3C310514</paraID>
      <start>0</start>
      <end>2</end>
      <status>unmodified</status>
      <modifiedWord/>
      <trackRevisions>false</trackRevisions>
    </reviewItem>
    <reviewItem>
      <errorID>5b92f679-3dff-41c5-80cb-4244ecf08267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3C5D2EBE</paraID>
      <start>0</start>
      <end>2</end>
      <status>unmodified</status>
      <modifiedWord/>
      <trackRevisions>false</trackRevisions>
    </reviewItem>
    <reviewItem>
      <errorID>3c9c463f-c99f-4261-aa77-bf3293270afe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313513FA</paraID>
      <start>0</start>
      <end>2</end>
      <status>unmodified</status>
      <modifiedWord/>
      <trackRevisions>false</trackRevisions>
    </reviewItem>
    <reviewItem>
      <errorID>6cc88ef7-0610-4dd7-b0d7-6869c080be30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5596BCC9</paraID>
      <start>0</start>
      <end>2</end>
      <status>unmodified</status>
      <modifiedWord/>
      <trackRevisions>false</trackRevisions>
    </reviewItem>
    <reviewItem>
      <errorID>21e98f21-3298-44ab-881d-e2f7070ccf40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57BF4BCF</paraID>
      <start>0</start>
      <end>2</end>
      <status>unmodified</status>
      <modifiedWord/>
      <trackRevisions>false</trackRevisions>
    </reviewItem>
    <reviewItem>
      <errorID>11a22615-e724-4b42-aa0c-a07ff1162e38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62D0A275</paraID>
      <start>0</start>
      <end>2</end>
      <status>unmodified</status>
      <modifiedWord/>
      <trackRevisions>false</trackRevisions>
    </reviewItem>
    <reviewItem>
      <errorID>e0536054-fe06-4e7b-8a85-01b2286f18b4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2C7BD1F8</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234EDF9-8FEE-4AA7-B622-4051A81A6F3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叶素萍</dc:creator>
  <cp:lastModifiedBy>叶素萍</cp:lastModifiedBy>
  <cp:revision>11</cp:revision>
  <dcterms:created xsi:type="dcterms:W3CDTF">2026-07-08T06:19:00Z</dcterms:created>
  <dcterms:modified xsi:type="dcterms:W3CDTF">2026-10-16T08:49:57Z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263336FB789645F8AEAC30DF44713ED6_13</vt:lpwstr>
  </property>
  <property fmtid="{D5CDD505-2E9C-101B-9397-08002B2CF9AE}" pid="4" name="KSOTemplateDocerSaveRecord">
    <vt:lpwstr>eyJoZGlkIjoiZGVlMjQwNWI4OTIwZmYyNjg3NDRiYWJjMGQ4NTNhOGIiLCJ1c2VySWQiOiIxMjQ5MDI1MDgzIn0=</vt:lpwstr>
  </property>
</Properties>
</file>