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方正仿宋简体" w:hAnsi="方正仿宋简体" w:eastAsia="方正仿宋简体" w:cs="方正仿宋简体"/>
          <w:b/>
          <w:color w:val="000000" w:themeColor="text1"/>
          <w:sz w:val="44"/>
          <w:szCs w:val="44"/>
          <w:highlight w:val="none"/>
          <w14:textFill>
            <w14:solidFill>
              <w14:schemeClr w14:val="tx1"/>
            </w14:solidFill>
          </w14:textFill>
        </w:rPr>
      </w:pPr>
      <w:r>
        <w:rPr>
          <w:rFonts w:hint="eastAsia" w:ascii="方正仿宋简体" w:hAnsi="方正仿宋简体" w:eastAsia="方正仿宋简体" w:cs="方正仿宋简体"/>
          <w:b/>
          <w:color w:val="000000" w:themeColor="text1"/>
          <w:sz w:val="44"/>
          <w:szCs w:val="44"/>
          <w:highlight w:val="none"/>
          <w14:textFill>
            <w14:solidFill>
              <w14:schemeClr w14:val="tx1"/>
            </w14:solidFill>
          </w14:textFill>
        </w:rPr>
      </w:r>
      <w:r/>
    </w:p>
    <w:p>
      <w:pPr>
        <w:jc w:val="center"/>
        <w:spacing w:line="360" w:lineRule="auto"/>
        <w:rPr>
          <w:rFonts w:hint="eastAsia" w:eastAsia="宋体" w:cs="宋体"/>
          <w:b/>
          <w:color w:val="000000" w:themeColor="text1"/>
          <w:sz w:val="44"/>
          <w:szCs w:val="44"/>
          <w:highlight w:val="none"/>
          <w:lang w:eastAsia="zh-CN"/>
          <w14:textFill>
            <w14:solidFill>
              <w14:schemeClr w14:val="tx1"/>
            </w14:solidFill>
          </w14:textFill>
        </w:rPr>
      </w:pPr>
      <w:r>
        <w:rPr>
          <w:rFonts w:hint="eastAsia" w:cs="宋体"/>
          <w:b/>
          <w:color w:val="000000" w:themeColor="text1"/>
          <w:sz w:val="44"/>
          <w:szCs w:val="44"/>
          <w:highlight w:val="none"/>
          <w:lang w:eastAsia="zh-CN"/>
          <w14:textFill>
            <w14:solidFill>
              <w14:schemeClr w14:val="tx1"/>
            </w14:solidFill>
          </w14:textFill>
        </w:rPr>
        <w:t xml:space="preserve">南通大学附属医院生命体征采集仪政府采购项目</w:t>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72"/>
          <w:szCs w:val="72"/>
          <w:highlight w:val="none"/>
          <w14:textFill>
            <w14:solidFill>
              <w14:schemeClr w14:val="tx1"/>
            </w14:solidFill>
          </w14:textFill>
        </w:rPr>
      </w:pPr>
      <w:r>
        <w:rPr>
          <w:rFonts w:hint="eastAsia" w:cs="宋体"/>
          <w:b/>
          <w:color w:val="000000" w:themeColor="text1"/>
          <w:sz w:val="72"/>
          <w:szCs w:val="72"/>
          <w:highlight w:val="none"/>
          <w14:textFill>
            <w14:solidFill>
              <w14:schemeClr w14:val="tx1"/>
            </w14:solidFill>
          </w14:textFill>
        </w:rPr>
        <w:t xml:space="preserve">政府采购招标文件</w:t>
      </w:r>
      <w:r/>
    </w:p>
    <w:p>
      <w:pPr>
        <w:jc w:val="center"/>
        <w:keepNext/>
        <w:spacing w:line="500" w:lineRule="exact"/>
        <w:rPr>
          <w:rFonts w:hint="eastAsia" w:ascii="宋体" w:hAnsi="宋体"/>
          <w:bCs/>
          <w:color w:val="000000" w:themeColor="text1"/>
          <w:sz w:val="44"/>
          <w:szCs w:val="20"/>
          <w:highlight w:val="none"/>
          <w14:textFill>
            <w14:solidFill>
              <w14:schemeClr w14:val="tx1"/>
            </w14:solidFill>
          </w14:textFill>
        </w:rPr>
      </w:pPr>
      <w:r>
        <w:rPr>
          <w:rFonts w:hint="eastAsia" w:ascii="宋体" w:hAnsi="宋体"/>
          <w:bCs/>
          <w:color w:val="000000" w:themeColor="text1"/>
          <w:sz w:val="44"/>
          <w:szCs w:val="20"/>
          <w:highlight w:val="none"/>
          <w14:textFill>
            <w14:solidFill>
              <w14:schemeClr w14:val="tx1"/>
            </w14:solidFill>
          </w14:textFill>
        </w:rPr>
      </w:r>
      <w:r/>
    </w:p>
    <w:p>
      <w:pPr>
        <w:jc w:val="center"/>
        <w:keepNext/>
        <w:spacing w:line="500" w:lineRule="exact"/>
        <w:rPr>
          <w:rFonts w:hint="eastAsia" w:ascii="宋体" w:hAnsi="宋体" w:eastAsia="宋体"/>
          <w:bCs/>
          <w:color w:val="000000" w:themeColor="text1"/>
          <w:sz w:val="32"/>
          <w:szCs w:val="32"/>
          <w:highlight w:val="none"/>
          <w:lang w:eastAsia="zh-CN"/>
          <w14:textFill>
            <w14:solidFill>
              <w14:schemeClr w14:val="tx1"/>
            </w14:solidFill>
          </w14:textFill>
        </w:rPr>
      </w:pPr>
      <w:r/>
      <w:bookmarkStart w:id="0" w:name="_Hlk154567591"/>
      <w:r>
        <w:rPr>
          <w:rFonts w:hint="eastAsia" w:ascii="宋体" w:hAnsi="宋体"/>
          <w:bCs/>
          <w:color w:val="000000" w:themeColor="text1"/>
          <w:sz w:val="32"/>
          <w:szCs w:val="32"/>
          <w:highlight w:val="none"/>
          <w14:textFill>
            <w14:solidFill>
              <w14:schemeClr w14:val="tx1"/>
            </w14:solidFill>
          </w14:textFill>
        </w:rPr>
        <w:t xml:space="preserve">政府采购项目编号：JSZC-</w:t>
      </w:r>
      <w:r>
        <w:rPr>
          <w:rFonts w:hint="eastAsia" w:ascii="宋体" w:hAnsi="宋体"/>
          <w:bCs/>
          <w:color w:val="000000" w:themeColor="text1"/>
          <w:sz w:val="32"/>
          <w:szCs w:val="32"/>
          <w:highlight w:val="none"/>
          <w:lang w:eastAsia="zh-CN"/>
          <w14:textFill>
            <w14:solidFill>
              <w14:schemeClr w14:val="tx1"/>
            </w14:solidFill>
          </w14:textFill>
        </w:rPr>
        <w:t xml:space="preserve">320000</w:t>
      </w:r>
      <w:r>
        <w:rPr>
          <w:rFonts w:hint="eastAsia" w:ascii="宋体" w:hAnsi="宋体"/>
          <w:bCs/>
          <w:color w:val="000000" w:themeColor="text1"/>
          <w:sz w:val="32"/>
          <w:szCs w:val="32"/>
          <w:highlight w:val="none"/>
          <w14:textFill>
            <w14:solidFill>
              <w14:schemeClr w14:val="tx1"/>
            </w14:solidFill>
          </w14:textFill>
        </w:rPr>
        <w:t xml:space="preserve">-JSHY-</w:t>
      </w:r>
      <w:bookmarkEnd w:id="0"/>
      <w:r>
        <w:rPr>
          <w:rFonts w:hint="eastAsia" w:ascii="宋体" w:hAnsi="宋体"/>
          <w:bCs/>
          <w:color w:val="000000" w:themeColor="text1"/>
          <w:sz w:val="32"/>
          <w:szCs w:val="32"/>
          <w:highlight w:val="none"/>
          <w:lang w:eastAsia="zh-CN"/>
          <w14:textFill>
            <w14:solidFill>
              <w14:schemeClr w14:val="tx1"/>
            </w14:solidFill>
          </w14:textFill>
        </w:rPr>
        <w:t xml:space="preserve">G2026-0193</w:t>
      </w:r>
      <w:r/>
    </w:p>
    <w:p>
      <w:pPr>
        <w:jc w:val="center"/>
        <w:spacing w:line="500" w:lineRule="exact"/>
        <w:rPr>
          <w:rFonts w:hint="eastAsia" w:ascii="宋体" w:hAnsi="宋体" w:eastAsia="宋体"/>
          <w:bCs/>
          <w:color w:val="000000" w:themeColor="text1"/>
          <w:sz w:val="32"/>
          <w:szCs w:val="22"/>
          <w:highlight w:val="none"/>
          <w14:textFill>
            <w14:solidFill>
              <w14:schemeClr w14:val="tx1"/>
            </w14:solidFill>
          </w14:textFill>
        </w:rPr>
      </w:pPr>
      <w:r>
        <w:rPr>
          <w:rFonts w:hint="eastAsia" w:ascii="宋体" w:hAnsi="宋体"/>
          <w:bCs/>
          <w:color w:val="000000" w:themeColor="text1"/>
          <w:sz w:val="32"/>
          <w:szCs w:val="22"/>
          <w:highlight w:val="none"/>
          <w14:textFill>
            <w14:solidFill>
              <w14:schemeClr w14:val="tx1"/>
            </w14:solidFill>
          </w14:textFill>
        </w:rPr>
        <w:t xml:space="preserve">采购代理机构文件编号：1009-2641HOLLY9</w:t>
      </w:r>
      <w:r>
        <w:rPr>
          <w:rFonts w:hint="eastAsia" w:ascii="宋体" w:hAnsi="宋体"/>
          <w:bCs/>
          <w:color w:val="000000" w:themeColor="text1"/>
          <w:sz w:val="32"/>
          <w:szCs w:val="22"/>
          <w:highlight w:val="none"/>
          <w:lang w:val="en-US" w:eastAsia="zh-CN"/>
          <w14:textFill>
            <w14:solidFill>
              <w14:schemeClr w14:val="tx1"/>
            </w14:solidFill>
          </w14:textFill>
        </w:rPr>
        <w:t xml:space="preserve">5</w:t>
      </w:r>
      <w:r>
        <w:rPr>
          <w:rFonts w:hint="eastAsia" w:ascii="宋体" w:hAnsi="宋体"/>
          <w:bCs/>
          <w:color w:val="000000" w:themeColor="text1"/>
          <w:sz w:val="32"/>
          <w:szCs w:val="22"/>
          <w:highlight w:val="none"/>
          <w14:textFill>
            <w14:solidFill>
              <w14:schemeClr w14:val="tx1"/>
            </w14:solidFill>
          </w14:textFill>
        </w:rPr>
        <w:t xml:space="preserve">N</w:t>
      </w:r>
      <w:r/>
    </w:p>
    <w:p>
      <w:pPr>
        <w:spacing w:line="500" w:lineRule="exact"/>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ind w:left="-2" w:right="120"/>
        <w:jc w:val="center"/>
        <w:spacing w:before="120" w:after="120" w:line="500" w:lineRule="exact"/>
        <w:rPr>
          <w:rFonts w:hint="eastAsia" w:ascii="宋体" w:hAnsi="宋体"/>
          <w:b/>
          <w:color w:val="000000" w:themeColor="text1"/>
          <w:spacing w:val="-11"/>
          <w:sz w:val="44"/>
          <w:highlight w:val="none"/>
          <w14:textFill>
            <w14:solidFill>
              <w14:schemeClr w14:val="tx1"/>
            </w14:solidFill>
          </w14:textFill>
        </w:rPr>
      </w:pPr>
      <w:r/>
      <w:bookmarkStart w:id="1" w:name="EB467128df5f344d64af2c93ecdb42da19"/>
      <w:r/>
      <w:r/>
    </w:p>
    <w:p>
      <w:pPr>
        <w:ind w:left="-2" w:right="120"/>
        <w:jc w:val="center"/>
        <w:spacing w:before="120" w:after="120" w:line="500" w:lineRule="exact"/>
        <w:rPr>
          <w:rFonts w:hint="eastAsia" w:ascii="宋体" w:hAnsi="宋体"/>
          <w:b/>
          <w:color w:val="000000" w:themeColor="text1"/>
          <w:spacing w:val="-11"/>
          <w:sz w:val="36"/>
          <w:szCs w:val="36"/>
          <w:highlight w:val="none"/>
          <w14:textFill>
            <w14:solidFill>
              <w14:schemeClr w14:val="tx1"/>
            </w14:solidFill>
          </w14:textFill>
        </w:rPr>
      </w:pPr>
      <w:r>
        <w:rPr>
          <w:rFonts w:hint="eastAsia" w:ascii="宋体" w:hAnsi="宋体"/>
          <w:b/>
          <w:color w:val="000000" w:themeColor="text1"/>
          <w:spacing w:val="-11"/>
          <w:sz w:val="36"/>
          <w:szCs w:val="36"/>
          <w:highlight w:val="none"/>
          <w14:textFill>
            <w14:solidFill>
              <w14:schemeClr w14:val="tx1"/>
            </w14:solidFill>
          </w14:textFill>
        </w:rPr>
        <w:t xml:space="preserve">江苏弘业国际技术工程有限公司</w:t>
      </w:r>
      <w:bookmarkEnd w:id="1"/>
      <w:r/>
      <w:r/>
    </w:p>
    <w:p>
      <w:pPr>
        <w:ind w:left="-2" w:right="120"/>
        <w:jc w:val="center"/>
        <w:spacing w:before="120" w:after="120" w:line="500" w:lineRule="exact"/>
        <w:rPr>
          <w:rFonts w:hint="eastAsia" w:ascii="宋体" w:hAnsi="宋体"/>
          <w:b/>
          <w:bCs/>
          <w:color w:val="000000" w:themeColor="text1"/>
          <w:sz w:val="36"/>
          <w:szCs w:val="36"/>
          <w:highlight w:val="none"/>
          <w:u w:val="single"/>
          <w14:textFill>
            <w14:solidFill>
              <w14:schemeClr w14:val="tx1"/>
            </w14:solidFill>
          </w14:textFill>
        </w:rPr>
      </w:pPr>
      <w:r>
        <w:rPr>
          <w:rFonts w:hint="eastAsia" w:ascii="宋体" w:hAnsi="宋体"/>
          <w:b/>
          <w:bCs/>
          <w:color w:val="000000" w:themeColor="text1"/>
          <w:sz w:val="36"/>
          <w:szCs w:val="36"/>
          <w:highlight w:val="none"/>
          <w:u w:val="single"/>
          <w14:textFill>
            <w14:solidFill>
              <w14:schemeClr w14:val="tx1"/>
            </w14:solidFill>
          </w14:textFill>
        </w:rPr>
      </w:r>
      <w:r/>
    </w:p>
    <w:p>
      <w:pPr>
        <w:ind w:left="-2" w:right="120"/>
        <w:jc w:val="center"/>
        <w:spacing w:before="120" w:after="120" w:line="50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二〇二六年九月</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p>
    <w:p>
      <w:pPr>
        <w:pStyle w:val="146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 录</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640"/>
        <w:spacing w:line="360" w:lineRule="auto"/>
        <w:tabs>
          <w:tab w:val="left" w:pos="7740" w:leader="none"/>
        </w:tabs>
        <w:rPr>
          <w:rFonts w:hint="eastAsia" w:ascii="宋体" w:hAnsi="宋体" w:eastAsia="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第一部分  </w:t>
      </w:r>
      <w:r>
        <w:rPr>
          <w:rFonts w:hint="eastAsia" w:ascii="宋体" w:hAnsi="宋体"/>
          <w:bCs/>
          <w:color w:val="000000" w:themeColor="text1"/>
          <w:sz w:val="32"/>
          <w:szCs w:val="32"/>
          <w:highlight w:val="none"/>
          <w:lang w:eastAsia="zh-CN"/>
          <w14:textFill>
            <w14:solidFill>
              <w14:schemeClr w14:val="tx1"/>
            </w14:solidFill>
          </w14:textFill>
        </w:rPr>
        <w:t xml:space="preserve">招标公告</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第二部分  投标须知</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第三部分  项目需求</w:t>
      </w:r>
      <w:r/>
    </w:p>
    <w:p>
      <w:pPr>
        <w:ind w:firstLine="640"/>
        <w:spacing w:line="360" w:lineRule="auto"/>
        <w:tabs>
          <w:tab w:val="left" w:pos="774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第四部分  </w:t>
      </w:r>
      <w:r>
        <w:rPr>
          <w:rFonts w:hint="eastAsia" w:ascii="宋体" w:hAnsi="宋体"/>
          <w:bCs/>
          <w:color w:val="000000" w:themeColor="text1"/>
          <w:sz w:val="32"/>
          <w:szCs w:val="32"/>
          <w:highlight w:val="none"/>
          <w14:textFill>
            <w14:solidFill>
              <w14:schemeClr w14:val="tx1"/>
            </w14:solidFill>
          </w14:textFill>
        </w:rPr>
        <w:t xml:space="preserve">开标和评标</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第五部分 </w:t>
      </w:r>
      <w:r>
        <w:rPr>
          <w:rFonts w:ascii="宋体" w:hAnsi="宋体"/>
          <w:bCs/>
          <w:color w:val="000000" w:themeColor="text1"/>
          <w:sz w:val="32"/>
          <w:szCs w:val="32"/>
          <w:highlight w:val="none"/>
          <w14:textFill>
            <w14:solidFill>
              <w14:schemeClr w14:val="tx1"/>
            </w14:solidFill>
          </w14:textFill>
        </w:rPr>
        <w:t xml:space="preserve"> </w:t>
      </w:r>
      <w:r>
        <w:rPr>
          <w:rFonts w:hint="eastAsia" w:ascii="宋体" w:hAnsi="宋体"/>
          <w:bCs/>
          <w:color w:val="000000" w:themeColor="text1"/>
          <w:sz w:val="32"/>
          <w:szCs w:val="32"/>
          <w:highlight w:val="none"/>
          <w14:textFill>
            <w14:solidFill>
              <w14:schemeClr w14:val="tx1"/>
            </w14:solidFill>
          </w14:textFill>
        </w:rPr>
        <w:t xml:space="preserve">合同格式</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第六部分  投标文件组成</w:t>
      </w:r>
      <w:r/>
    </w:p>
    <w:p>
      <w:pPr>
        <w:pStyle w:val="1467"/>
        <w:tabs>
          <w:tab w:val="left" w:pos="0" w:leader="none"/>
        </w:tabs>
        <w:rPr>
          <w:color w:val="000000" w:themeColor="text1"/>
          <w:highlight w:val="none"/>
          <w14:textFill>
            <w14:solidFill>
              <w14:schemeClr w14:val="tx1"/>
            </w14:solidFill>
          </w14:textFill>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color w:val="000000" w:themeColor="text1"/>
          <w:highlight w:val="none"/>
          <w14:textFill>
            <w14:solidFill>
              <w14:schemeClr w14:val="tx1"/>
            </w14:solidFill>
          </w14:textFill>
        </w:rPr>
      </w:r>
      <w:r/>
    </w:p>
    <w:p>
      <w:pPr>
        <w:pStyle w:val="1467"/>
        <w:tabs>
          <w:tab w:val="left" w:pos="0" w:leader="none"/>
        </w:tabs>
        <w:rPr>
          <w:rFonts w:hint="eastAsia" w:eastAsia="黑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第一部分  </w:t>
      </w:r>
      <w:bookmarkStart w:id="2" w:name="OLE_LINK7"/>
      <w:r/>
      <w:bookmarkStart w:id="3" w:name="OLE_LINK5"/>
      <w:r>
        <w:rPr>
          <w:rFonts w:hint="eastAsia"/>
          <w:color w:val="000000" w:themeColor="text1"/>
          <w:highlight w:val="none"/>
          <w:lang w:eastAsia="zh-CN"/>
          <w14:textFill>
            <w14:solidFill>
              <w14:schemeClr w14:val="tx1"/>
            </w14:solidFill>
          </w14:textFill>
        </w:rPr>
        <w:t xml:space="preserve">招标公告</w:t>
      </w:r>
      <w:r/>
    </w:p>
    <w:p>
      <w:pPr>
        <w:pStyle w:val="766"/>
        <w:ind w:firstLine="480"/>
        <w:rPr>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4" w:name="OLE_LINK1"/>
      <w:r/>
      <w:bookmarkStart w:id="5" w:name="OLE_LINK6"/>
      <w:r>
        <w:rPr>
          <w:color w:val="000000" w:themeColor="text1"/>
          <w:highlight w:val="none"/>
          <w14:textFill>
            <w14:solidFill>
              <w14:schemeClr w14:val="tx1"/>
            </w14:solidFill>
          </w14:textFill>
        </w:rPr>
        <w:t xml:space="preserve">项目概况</w:t>
      </w:r>
      <w:r/>
    </w:p>
    <w:p>
      <w:pPr>
        <w:pStyle w:val="766"/>
        <w:ind w:firstLine="480"/>
        <w:rPr>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highlight w:val="none"/>
          <w:u w:val="single"/>
          <w:lang w:eastAsia="zh-CN"/>
          <w14:textFill>
            <w14:solidFill>
              <w14:schemeClr w14:val="tx1"/>
            </w14:solidFill>
          </w14:textFill>
        </w:rPr>
        <w:t xml:space="preserve">南通大学附属医院生命体征采集仪政府采购项目</w:t>
      </w:r>
      <w:r>
        <w:rPr>
          <w:rFonts w:hint="eastAsia"/>
          <w:color w:val="000000" w:themeColor="text1"/>
          <w:highlight w:val="none"/>
          <w:u w:val="single"/>
          <w14:textFill>
            <w14:solidFill>
              <w14:schemeClr w14:val="tx1"/>
            </w14:solidFill>
          </w14:textFill>
        </w:rPr>
        <w:t xml:space="preserve">的潜在投标人应在“苏采云”系统获取招标文件，并于2026年</w:t>
      </w:r>
      <w:r>
        <w:rPr>
          <w:rFonts w:hint="eastAsia"/>
          <w:color w:val="000000" w:themeColor="text1"/>
          <w:highlight w:val="none"/>
          <w:u w:val="single"/>
          <w:lang w:val="en-US" w:eastAsia="zh-CN"/>
          <w14:textFill>
            <w14:solidFill>
              <w14:schemeClr w14:val="tx1"/>
            </w14:solidFill>
          </w14:textFill>
        </w:rPr>
        <w:t xml:space="preserve">10</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14</w:t>
      </w:r>
      <w:r>
        <w:rPr>
          <w:rFonts w:hint="eastAsia"/>
          <w:color w:val="000000" w:themeColor="text1"/>
          <w:highlight w:val="none"/>
          <w:u w:val="single"/>
          <w14:textFill>
            <w14:solidFill>
              <w14:schemeClr w14:val="tx1"/>
            </w14:solidFill>
          </w14:textFill>
        </w:rPr>
        <w:t xml:space="preserve">点00分（北京时间）前递交投标文件。</w:t>
      </w:r>
      <w:r/>
    </w:p>
    <w:p>
      <w:pPr>
        <w:pStyle w:val="74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项目基本情况</w:t>
      </w:r>
      <w:r/>
    </w:p>
    <w:p>
      <w:pPr>
        <w:pStyle w:val="766"/>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项目编号：JSZC-</w:t>
      </w:r>
      <w:r>
        <w:rPr>
          <w:rFonts w:hint="eastAsia"/>
          <w:color w:val="000000" w:themeColor="text1"/>
          <w:highlight w:val="none"/>
          <w:lang w:eastAsia="zh-CN"/>
          <w14:textFill>
            <w14:solidFill>
              <w14:schemeClr w14:val="tx1"/>
            </w14:solidFill>
          </w14:textFill>
        </w:rPr>
        <w:t xml:space="preserve">320000</w:t>
      </w:r>
      <w:r>
        <w:rPr>
          <w:color w:val="000000" w:themeColor="text1"/>
          <w:highlight w:val="none"/>
          <w14:textFill>
            <w14:solidFill>
              <w14:schemeClr w14:val="tx1"/>
            </w14:solidFill>
          </w14:textFill>
        </w:rPr>
        <w:t xml:space="preserve">-JSHY-</w:t>
      </w:r>
      <w:r>
        <w:rPr>
          <w:rFonts w:hint="eastAsia"/>
          <w:color w:val="000000" w:themeColor="text1"/>
          <w:highlight w:val="none"/>
          <w:lang w:eastAsia="zh-CN"/>
          <w14:textFill>
            <w14:solidFill>
              <w14:schemeClr w14:val="tx1"/>
            </w14:solidFill>
          </w14:textFill>
        </w:rPr>
        <w:t xml:space="preserve">G2026-0193</w:t>
      </w:r>
      <w:r/>
    </w:p>
    <w:p>
      <w:pPr>
        <w:pStyle w:val="766"/>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南通大学附属医院生命体征采集仪政府采购项目</w:t>
      </w:r>
      <w:r/>
    </w:p>
    <w:p>
      <w:pPr>
        <w:pStyle w:val="766"/>
        <w:numPr>
          <w:ilvl w:val="0"/>
          <w:numId w:val="5"/>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预算金额：160万元</w:t>
      </w:r>
      <w:r/>
    </w:p>
    <w:p>
      <w:pPr>
        <w:pStyle w:val="766"/>
        <w:numPr>
          <w:ilvl w:val="0"/>
          <w:numId w:val="5"/>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最高限价（如有）：160万元（供应商投标报价不得超过上述限价金额，否则将作无效标处理）</w:t>
      </w:r>
      <w:r/>
    </w:p>
    <w:p>
      <w:pPr>
        <w:pStyle w:val="766"/>
        <w:numPr>
          <w:ilvl w:val="0"/>
          <w:numId w:val="5"/>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p>
    <w:tbl>
      <w:tblPr>
        <w:tblStyle w:val="754"/>
        <w:tblW w:w="8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2414"/>
        <w:gridCol w:w="2415"/>
      </w:tblGrid>
      <w:tr>
        <w:trPr>
          <w:jc w:val="center"/>
          <w:trHeight w:val="0"/>
          <w:tblHeader/>
        </w:trPr>
        <w:tc>
          <w:tcPr>
            <w:tcW w:w="798" w:type="dxa"/>
            <w:vAlign w:val="center"/>
            <w:textDirection w:val="lrTb"/>
            <w:noWrap w:val="false"/>
          </w:tcPr>
          <w:p>
            <w:pPr>
              <w:jc w:val="center"/>
              <w:spacing w:line="360" w:lineRule="auto"/>
              <w:rPr>
                <w:rFonts w:hint="eastAsia" w:hAnsi="宋体" w:eastAsia="宋体"/>
                <w:b/>
                <w:color w:val="000000" w:themeColor="text1"/>
                <w:position w:val="0"/>
                <w:szCs w:val="21"/>
                <w:highlight w:val="none"/>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 xml:space="preserve">包号</w:t>
            </w:r>
            <w:r/>
          </w:p>
        </w:tc>
        <w:tc>
          <w:tcPr>
            <w:tcW w:w="2280" w:type="dxa"/>
            <w:vAlign w:val="center"/>
            <w:textDirection w:val="lrTb"/>
            <w:noWrap w:val="false"/>
          </w:tcPr>
          <w:p>
            <w:pPr>
              <w:jc w:val="center"/>
              <w:spacing w:line="360" w:lineRule="auto"/>
              <w:rPr>
                <w:rFonts w:hint="eastAsia" w:hAnsi="宋体" w:eastAsia="宋体"/>
                <w:b/>
                <w:color w:val="000000" w:themeColor="text1"/>
                <w:position w:val="0"/>
                <w:szCs w:val="21"/>
                <w:highlight w:val="none"/>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 xml:space="preserve">项目名称</w:t>
            </w:r>
            <w:r/>
          </w:p>
        </w:tc>
        <w:tc>
          <w:tcPr>
            <w:tcW w:w="798" w:type="dxa"/>
            <w:vAlign w:val="center"/>
            <w:textDirection w:val="lrTb"/>
            <w:noWrap w:val="false"/>
          </w:tcPr>
          <w:p>
            <w:pPr>
              <w:jc w:val="center"/>
              <w:spacing w:line="360" w:lineRule="auto"/>
              <w:rPr>
                <w:rFonts w:hint="eastAsia" w:hAnsi="宋体" w:eastAsia="宋体"/>
                <w:b/>
                <w:color w:val="000000" w:themeColor="text1"/>
                <w:position w:val="0"/>
                <w:szCs w:val="21"/>
                <w:highlight w:val="none"/>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 xml:space="preserve">数量</w:t>
            </w:r>
            <w:r/>
          </w:p>
        </w:tc>
        <w:tc>
          <w:tcPr>
            <w:tcW w:w="2414" w:type="dxa"/>
            <w:vAlign w:val="center"/>
            <w:textDirection w:val="lrTb"/>
            <w:noWrap w:val="false"/>
          </w:tcPr>
          <w:p>
            <w:pPr>
              <w:jc w:val="center"/>
              <w:spacing w:line="360" w:lineRule="auto"/>
              <w:rPr>
                <w:rFonts w:hint="eastAsia" w:hAnsi="宋体" w:eastAsia="宋体"/>
                <w:b/>
                <w:color w:val="000000" w:themeColor="text1"/>
                <w:position w:val="0"/>
                <w:szCs w:val="21"/>
                <w:highlight w:val="none"/>
                <w14:textFill>
                  <w14:solidFill>
                    <w14:schemeClr w14:val="tx1"/>
                  </w14:solidFill>
                </w14:textFill>
              </w:rPr>
            </w:pPr>
            <w:r>
              <w:rPr>
                <w:rFonts w:hint="eastAsia" w:hAnsi="宋体"/>
                <w:b/>
                <w:color w:val="000000" w:themeColor="text1"/>
                <w:position w:val="0"/>
                <w:szCs w:val="21"/>
                <w:highlight w:val="none"/>
                <w:lang w:eastAsia="zh-CN"/>
                <w14:textFill>
                  <w14:solidFill>
                    <w14:schemeClr w14:val="tx1"/>
                  </w14:solidFill>
                </w14:textFill>
              </w:rPr>
              <w:t xml:space="preserve">预算金额（万元）</w:t>
            </w:r>
            <w:r/>
          </w:p>
        </w:tc>
        <w:tc>
          <w:tcPr>
            <w:tcW w:w="2415" w:type="dxa"/>
            <w:vAlign w:val="center"/>
            <w:textDirection w:val="lrTb"/>
            <w:noWrap w:val="false"/>
          </w:tcPr>
          <w:p>
            <w:pPr>
              <w:jc w:val="center"/>
              <w:spacing w:line="360" w:lineRule="auto"/>
              <w:rPr>
                <w:rFonts w:hint="eastAsia" w:hAnsi="宋体"/>
                <w:b/>
                <w:color w:val="000000" w:themeColor="text1"/>
                <w:position w:val="0"/>
                <w:szCs w:val="21"/>
                <w:highlight w:val="none"/>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最高限价（万元）</w:t>
            </w:r>
            <w:r/>
          </w:p>
        </w:tc>
      </w:tr>
      <w:tr>
        <w:trPr>
          <w:jc w:val="center"/>
          <w:trHeight w:val="0"/>
        </w:trPr>
        <w:tc>
          <w:tcPr>
            <w:tcW w:w="798" w:type="dxa"/>
            <w:vAlign w:val="center"/>
            <w:textDirection w:val="lrTb"/>
            <w:noWrap w:val="false"/>
          </w:tcPr>
          <w:p>
            <w:pPr>
              <w:jc w:val="center"/>
              <w:spacing w:line="360" w:lineRule="auto"/>
              <w:rPr>
                <w:rFonts w:hint="eastAsia" w:hAnsi="宋体"/>
                <w:b w:val="0"/>
                <w:color w:val="000000" w:themeColor="text1"/>
                <w:position w:val="0"/>
                <w:szCs w:val="21"/>
                <w:highlight w:val="none"/>
                <w14:textFill>
                  <w14:solidFill>
                    <w14:schemeClr w14:val="tx1"/>
                  </w14:solidFill>
                </w14:textFill>
              </w:rPr>
            </w:pPr>
            <w:r>
              <w:rPr>
                <w:rFonts w:hAnsi="宋体"/>
                <w:b w:val="0"/>
                <w:color w:val="000000" w:themeColor="text1"/>
                <w:position w:val="0"/>
                <w:szCs w:val="21"/>
                <w:highlight w:val="none"/>
                <w14:textFill>
                  <w14:solidFill>
                    <w14:schemeClr w14:val="tx1"/>
                  </w14:solidFill>
                </w14:textFill>
              </w:rPr>
              <w:t xml:space="preserve">1</w:t>
            </w:r>
            <w:r/>
          </w:p>
        </w:tc>
        <w:tc>
          <w:tcPr>
            <w:tcW w:w="2280" w:type="dxa"/>
            <w:vAlign w:val="center"/>
            <w:textDirection w:val="lrTb"/>
            <w:noWrap w:val="false"/>
          </w:tcPr>
          <w:p>
            <w:pPr>
              <w:jc w:val="center"/>
              <w:rPr>
                <w:rFonts w:hint="eastAsia" w:hAnsi="宋体"/>
                <w:b w:val="0"/>
                <w:color w:val="000000" w:themeColor="text1"/>
                <w:position w:val="0"/>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生命体征采集仪</w:t>
            </w:r>
            <w:r/>
          </w:p>
        </w:tc>
        <w:tc>
          <w:tcPr>
            <w:tcW w:w="798" w:type="dxa"/>
            <w:vAlign w:val="center"/>
            <w:textDirection w:val="lrTb"/>
            <w:noWrap w:val="false"/>
          </w:tcPr>
          <w:p>
            <w:pPr>
              <w:jc w:val="center"/>
              <w:rPr>
                <w:rFonts w:hint="default"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80台</w:t>
            </w:r>
            <w:r/>
          </w:p>
        </w:tc>
        <w:tc>
          <w:tcPr>
            <w:tcW w:w="2414" w:type="dxa"/>
            <w:vAlign w:val="center"/>
            <w:textDirection w:val="lrTb"/>
            <w:noWrap w:val="false"/>
          </w:tcPr>
          <w:p>
            <w:pPr>
              <w:jc w:val="center"/>
              <w:rPr>
                <w:rFonts w:hint="default"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160</w:t>
            </w:r>
            <w:r/>
          </w:p>
        </w:tc>
        <w:tc>
          <w:tcPr>
            <w:tcW w:w="2415" w:type="dxa"/>
            <w:vAlign w:val="center"/>
            <w:textDirection w:val="lrTb"/>
            <w:noWrap w:val="false"/>
          </w:tcPr>
          <w:p>
            <w:pPr>
              <w:jc w:val="center"/>
              <w:rPr>
                <w:rFonts w:hint="default"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160</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6"/>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合同履行期限：</w:t>
      </w:r>
      <w:r>
        <w:rPr>
          <w:rFonts w:hint="eastAsia"/>
          <w:color w:val="000000" w:themeColor="text1"/>
          <w:highlight w:val="none"/>
          <w:lang w:val="en-US" w:eastAsia="zh-CN"/>
          <w14:textFill>
            <w14:solidFill>
              <w14:schemeClr w14:val="tx1"/>
            </w14:solidFill>
          </w14:textFill>
        </w:rPr>
        <w:t xml:space="preserve">详见项目需求</w:t>
      </w:r>
      <w:r/>
    </w:p>
    <w:p>
      <w:pPr>
        <w:pStyle w:val="766"/>
        <w:numPr>
          <w:ilvl w:val="0"/>
          <w:numId w:val="5"/>
        </w:numPr>
        <w:tabs>
          <w:tab w:val="clear" w:pos="210" w:leader="none"/>
          <w:tab w:val="left" w:pos="7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本项目（是/否）接受联合体投标：否</w:t>
      </w:r>
      <w:r/>
    </w:p>
    <w:p>
      <w:pPr>
        <w:pStyle w:val="74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申请人的资格要求：</w:t>
      </w:r>
      <w:r/>
    </w:p>
    <w:p>
      <w:pPr>
        <w:pStyle w:val="745"/>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满足《中华人民共和国政府采购法》第二十二条规定</w:t>
      </w:r>
      <w:r>
        <w:rPr>
          <w:rFonts w:hint="eastAsia"/>
          <w:color w:val="000000" w:themeColor="text1"/>
          <w:highlight w:val="none"/>
          <w:lang w:eastAsia="zh-CN"/>
          <w14:textFill>
            <w14:solidFill>
              <w14:schemeClr w14:val="tx1"/>
            </w14:solidFill>
          </w14:textFill>
        </w:rPr>
        <w:t xml:space="preserve">：</w:t>
      </w:r>
      <w:r/>
    </w:p>
    <w:p>
      <w:pPr>
        <w:pStyle w:val="766"/>
        <w:numPr>
          <w:ilvl w:val="0"/>
          <w:numId w:val="7"/>
        </w:numPr>
        <w:tabs>
          <w:tab w:val="clear" w:pos="210" w:leader="none"/>
          <w:tab w:val="left" w:pos="780" w:leader="none"/>
        </w:tabs>
        <w:rPr>
          <w:color w:val="000000" w:themeColor="text1"/>
          <w:highlight w:val="none"/>
          <w14:textFill>
            <w14:solidFill>
              <w14:schemeClr w14:val="tx1"/>
            </w14:solidFill>
          </w14:textFill>
        </w:rPr>
      </w:pPr>
      <w:r/>
      <w:bookmarkStart w:id="6" w:name="OLE_LINK2"/>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bookmarkEnd w:id="6"/>
      <w:r/>
      <w:r/>
    </w:p>
    <w:p>
      <w:pPr>
        <w:pStyle w:val="766"/>
        <w:numPr>
          <w:ilvl w:val="0"/>
          <w:numId w:val="7"/>
        </w:numPr>
        <w:tabs>
          <w:tab w:val="clear" w:pos="210" w:leader="none"/>
          <w:tab w:val="left" w:pos="780" w:leader="none"/>
        </w:tabs>
        <w:rPr>
          <w:color w:val="000000" w:themeColor="text1"/>
          <w:highlight w:val="none"/>
          <w14:textFill>
            <w14:solidFill>
              <w14:schemeClr w14:val="tx1"/>
            </w14:solidFill>
          </w14:textFill>
        </w:rPr>
      </w:pPr>
      <w:r/>
      <w:bookmarkStart w:id="7" w:name="OLE_LINK3"/>
      <w:r>
        <w:rPr>
          <w:color w:val="000000" w:themeColor="text1"/>
          <w:highlight w:val="none"/>
          <w14:textFill>
            <w14:solidFill>
              <w14:schemeClr w14:val="tx1"/>
            </w14:solidFill>
          </w14:textFill>
        </w:rPr>
        <w:t xml:space="preserve">具有良好的商业信誉和健全的财务会计制度；（提供上一年度的财务状况报告，成立不满一年不需提供）</w:t>
      </w:r>
      <w:bookmarkEnd w:id="7"/>
      <w:r/>
      <w:r/>
    </w:p>
    <w:p>
      <w:pPr>
        <w:pStyle w:val="766"/>
        <w:numPr>
          <w:ilvl w:val="0"/>
          <w:numId w:val="7"/>
        </w:numPr>
        <w:tabs>
          <w:tab w:val="clear" w:pos="210" w:leader="none"/>
          <w:tab w:val="left" w:pos="780" w:leader="none"/>
        </w:tabs>
        <w:rPr>
          <w:color w:val="000000" w:themeColor="text1"/>
          <w:highlight w:val="none"/>
          <w14:textFill>
            <w14:solidFill>
              <w14:schemeClr w14:val="tx1"/>
            </w14:solidFill>
          </w14:textFill>
        </w:rPr>
      </w:pPr>
      <w:r/>
      <w:bookmarkStart w:id="8" w:name="OLE_LINK4"/>
      <w:r>
        <w:rPr>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依法纳税凭据：提供参加政府采购活动</w:t>
      </w:r>
      <w:r>
        <w:rPr>
          <w:rFonts w:hint="eastAsia"/>
          <w:color w:val="000000" w:themeColor="text1"/>
          <w:highlight w:val="none"/>
          <w:lang w:eastAsia="zh-CN"/>
          <w14:textFill>
            <w14:solidFill>
              <w14:schemeClr w14:val="tx1"/>
            </w14:solidFill>
          </w14:textFill>
        </w:rPr>
        <w:t xml:space="preserve">前6个月内任意一个月</w:t>
      </w:r>
      <w:r>
        <w:rPr>
          <w:rFonts w:hint="eastAsia"/>
          <w:color w:val="000000" w:themeColor="text1"/>
          <w:highlight w:val="none"/>
          <w14:textFill>
            <w14:solidFill>
              <w14:schemeClr w14:val="tx1"/>
            </w14:solidFill>
          </w14:textFill>
        </w:rPr>
        <w:t xml:space="preserve">依法纳税的凭据，如完税凭证或税务机关开具的完税证明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个人所得税除外）</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缴纳社会保险的凭据：提供参加政府采购活动</w:t>
      </w:r>
      <w:r>
        <w:rPr>
          <w:rFonts w:hint="eastAsia"/>
          <w:color w:val="000000" w:themeColor="text1"/>
          <w:highlight w:val="none"/>
          <w:lang w:eastAsia="zh-CN"/>
          <w14:textFill>
            <w14:solidFill>
              <w14:schemeClr w14:val="tx1"/>
            </w14:solidFill>
          </w14:textFill>
        </w:rPr>
        <w:t xml:space="preserve">前6个月内任意一个月</w:t>
      </w:r>
      <w:r>
        <w:rPr>
          <w:rFonts w:hint="eastAsia"/>
          <w:color w:val="000000" w:themeColor="text1"/>
          <w:highlight w:val="none"/>
          <w14:textFill>
            <w14:solidFill>
              <w14:schemeClr w14:val="tx1"/>
            </w14:solidFill>
          </w14:textFill>
        </w:rPr>
        <w:t xml:space="preserve">缴纳社会保险的凭据，如专用收据或社会保险缴纳清单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依法免税或不需要缴纳社会保障资金的证明文件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如果供应商依法免税或不需要缴纳社会保障资金，则须提供相应的证明文件，以说明其免税或无需缴纳的依据和情况</w:t>
      </w:r>
      <w:bookmarkEnd w:id="8"/>
      <w:r>
        <w:rPr>
          <w:rFonts w:hint="eastAsia"/>
          <w:color w:val="000000" w:themeColor="text1"/>
          <w:highlight w:val="none"/>
          <w:lang w:val="en-US" w:eastAsia="zh-CN"/>
          <w14:textFill>
            <w14:solidFill>
              <w14:schemeClr w14:val="tx1"/>
            </w14:solidFill>
          </w14:textFill>
        </w:rPr>
        <w:t xml:space="preserve">]</w:t>
      </w:r>
      <w:r/>
    </w:p>
    <w:p>
      <w:pPr>
        <w:pStyle w:val="766"/>
        <w:numPr>
          <w:ilvl w:val="0"/>
          <w:numId w:val="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766"/>
        <w:numPr>
          <w:ilvl w:val="0"/>
          <w:numId w:val="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（提供书面声明）</w:t>
      </w:r>
      <w:r/>
    </w:p>
    <w:p>
      <w:pPr>
        <w:pStyle w:val="766"/>
        <w:numPr>
          <w:ilvl w:val="0"/>
          <w:numId w:val="7"/>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具备法律、行政法规规定的其他条件的证明材料。</w:t>
      </w:r>
      <w:r/>
    </w:p>
    <w:p>
      <w:pPr>
        <w:pStyle w:val="745"/>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落实政府采购政策需满足的资格要求：</w:t>
      </w:r>
      <w:r/>
    </w:p>
    <w:p>
      <w:pPr>
        <w:pStyle w:val="766"/>
        <w:ind w:firstLine="48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本项目为非专门面</w:t>
      </w:r>
      <w:r>
        <w:rPr>
          <w:rFonts w:hint="eastAsia"/>
          <w:color w:val="000000" w:themeColor="text1"/>
          <w:highlight w:val="none"/>
          <w14:textFill>
            <w14:solidFill>
              <w14:schemeClr w14:val="tx1"/>
            </w14:solidFill>
          </w14:textFill>
        </w:rPr>
        <w:t xml:space="preserve">向中小微企业项目，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小型、微型企业制造货物的投标人须提供中小企业声明函方可享受扶持政策，格式见招标文件）</w:t>
      </w:r>
      <w:r>
        <w:rPr>
          <w:rFonts w:hint="eastAsia"/>
          <w:color w:val="000000" w:themeColor="text1"/>
          <w:highlight w:val="none"/>
          <w:lang w:eastAsia="zh-CN"/>
          <w14:textFill>
            <w14:solidFill>
              <w14:schemeClr w14:val="tx1"/>
            </w14:solidFill>
          </w14:textFill>
        </w:rPr>
        <w:t xml:space="preserve">。</w:t>
      </w:r>
      <w:r/>
    </w:p>
    <w:p>
      <w:pPr>
        <w:pStyle w:val="745"/>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本项目的特定资格要求：</w:t>
      </w:r>
      <w:r/>
    </w:p>
    <w:p>
      <w:pPr>
        <w:pStyle w:val="766"/>
        <w:numPr>
          <w:ilvl w:val="0"/>
          <w:numId w:val="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（投标文件中无需提供证明材料）</w:t>
      </w:r>
      <w:r/>
    </w:p>
    <w:p>
      <w:pPr>
        <w:pStyle w:val="766"/>
        <w:numPr>
          <w:ilvl w:val="0"/>
          <w:numId w:val="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投标人须根据投标产品的类别，提供有效的</w:t>
      </w:r>
      <w:r>
        <w:rPr>
          <w:rFonts w:hint="eastAsia"/>
          <w:color w:val="000000" w:themeColor="text1"/>
          <w:highlight w:val="none"/>
          <w:lang w:eastAsia="zh-CN"/>
          <w14:textFill>
            <w14:solidFill>
              <w14:schemeClr w14:val="tx1"/>
            </w14:solidFill>
          </w14:textFill>
        </w:rPr>
        <w:t xml:space="preserve">《第二类医疗器械经营备案》</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《医疗器械经营许可证》或者其他相关经营许可文件</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pStyle w:val="766"/>
        <w:numPr>
          <w:ilvl w:val="0"/>
          <w:numId w:val="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投标人须提供投标产品的有效期内的《医疗器械注册证》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pStyle w:val="766"/>
        <w:numPr>
          <w:ilvl w:val="0"/>
          <w:numId w:val="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本项目不接受进口产品参与投标。（所称进口产品是指通过中国海关报关验放进入中国境内且产自关境外的产品，投标文件中无需提供证明材料）</w:t>
      </w:r>
      <w:r/>
    </w:p>
    <w:p>
      <w:pPr>
        <w:pStyle w:val="74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获取招标文件</w:t>
      </w:r>
      <w:r/>
    </w:p>
    <w:p>
      <w:pPr>
        <w:pStyle w:val="76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时间：自招标文件公告发布之日起5个工作日</w:t>
      </w:r>
      <w:r/>
    </w:p>
    <w:p>
      <w:pPr>
        <w:pStyle w:val="76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w:t>
      </w:r>
      <w:r/>
    </w:p>
    <w:p>
      <w:pPr>
        <w:pStyle w:val="76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潜在供应商访问电子招标响应交易平台的网络地址和方法：</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6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潜在供应商访问“苏采云”系统的网络地址和方法：“苏采云”系统的网址：http://jszfcg.jsczt.cn/</w:t>
      </w:r>
      <w:r/>
    </w:p>
    <w:p>
      <w:pPr>
        <w:pStyle w:val="76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“CA数字证书”的获取</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供应商需办理“CA数字证书”，CA办理指南及“苏采云”操作手册可至江苏省政府采购网—办事指南－资料下载中心下载。</w:t>
      </w:r>
      <w:r/>
    </w:p>
    <w:p>
      <w:pPr>
        <w:pStyle w:val="76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pStyle w:val="76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采购人或采购代理机构将数据电文形式的采购文件加载至“苏采云”系统，供潜在供应商下载或者查阅。</w:t>
      </w:r>
      <w:r/>
    </w:p>
    <w:p>
      <w:pPr>
        <w:pStyle w:val="76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请潜在供应商提前安装相应的控件</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详见《江苏省政府采购管理交易系统（苏采云）供应商操作手册》</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并使用谷歌浏览器登录“苏采云”系统参与不见面开评标。</w:t>
      </w:r>
      <w:r/>
    </w:p>
    <w:p>
      <w:pPr>
        <w:pStyle w:val="76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注：如潜在供应商未按上述要求操作，将自行承担所产生的风险。</w:t>
      </w:r>
      <w:r/>
    </w:p>
    <w:p>
      <w:pPr>
        <w:pStyle w:val="74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提交投标文件截止时间、开标时间和地点</w:t>
      </w:r>
      <w:r/>
    </w:p>
    <w:p>
      <w:pPr>
        <w:pStyle w:val="766"/>
        <w:ind w:firstLine="480"/>
        <w:rPr>
          <w:i/>
          <w:color w:val="000000" w:themeColor="text1"/>
          <w:highlight w:val="none"/>
          <w:u w:val="single"/>
          <w14:textFill>
            <w14:solidFill>
              <w14:schemeClr w14:val="tx1"/>
            </w14:solidFill>
          </w14:textFill>
        </w:rPr>
      </w:pPr>
      <w:r/>
      <w:bookmarkStart w:id="9" w:name="_Hlk171331639"/>
      <w:r>
        <w:rPr>
          <w:color w:val="000000" w:themeColor="text1"/>
          <w:highlight w:val="none"/>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10</w:t>
      </w:r>
      <w:r>
        <w:rPr>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14</w:t>
      </w:r>
      <w:bookmarkStart w:id="120" w:name="_GoBack"/>
      <w:r/>
      <w:bookmarkEnd w:id="120"/>
      <w:r>
        <w:rPr>
          <w:color w:val="000000" w:themeColor="text1"/>
          <w:highlight w:val="none"/>
          <w14:textFill>
            <w14:solidFill>
              <w14:schemeClr w14:val="tx1"/>
            </w14:solidFill>
          </w14:textFill>
        </w:rPr>
        <w:t xml:space="preserve">点00分（北京时间）</w:t>
      </w:r>
      <w:bookmarkEnd w:id="9"/>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逾时，交易系统将拒绝接受上传投标文件电子文档。</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地点：“苏采云”系统（网址：http://jszfcg.jsczt.cn）“开标大厅”。</w:t>
      </w:r>
      <w:r/>
    </w:p>
    <w:p>
      <w:pPr>
        <w:pStyle w:val="766"/>
        <w:ind w:firstLine="480"/>
        <w:rPr>
          <w: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投标文件的解密：开标当天各供应商及时登录不见面开标大厅，投标文件递交截止时间后，采购人将在系统内公布投标</w:t>
      </w:r>
      <w:r>
        <w:rPr>
          <w:color w:val="000000" w:themeColor="text1"/>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4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公告期限</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自本公告发布之日起5个工作日。</w:t>
      </w:r>
      <w:r/>
    </w:p>
    <w:p>
      <w:pPr>
        <w:pStyle w:val="74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其他补充事宜</w:t>
      </w:r>
      <w:r/>
    </w:p>
    <w:p>
      <w:pPr>
        <w:pStyle w:val="766"/>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投标保证金：免收</w:t>
      </w:r>
      <w:r/>
    </w:p>
    <w:p>
      <w:pPr>
        <w:pStyle w:val="766"/>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项目开标活动模式：不见面远程开标模式，投标人在各自地点通过“苏采云”系统参加开标会。</w:t>
      </w:r>
      <w:r/>
    </w:p>
    <w:p>
      <w:pPr>
        <w:pStyle w:val="74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对本次招标提出询问，请按以下方式联系</w:t>
      </w:r>
      <w:r/>
    </w:p>
    <w:p>
      <w:pPr>
        <w:pStyle w:val="745"/>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采购人信息</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南通大学附属医院</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w:t>
      </w:r>
      <w:r>
        <w:rPr>
          <w:rFonts w:hint="eastAsia"/>
          <w:color w:val="000000" w:themeColor="text1"/>
          <w:highlight w:val="none"/>
          <w14:textFill>
            <w14:solidFill>
              <w14:schemeClr w14:val="tx1"/>
            </w14:solidFill>
          </w14:textFill>
        </w:rPr>
        <w:t xml:space="preserve">南通市西寺路20号</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施老师、张老师</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w:t>
      </w:r>
      <w:r>
        <w:rPr>
          <w:rFonts w:hint="eastAsia"/>
          <w:color w:val="000000" w:themeColor="text1"/>
          <w:highlight w:val="none"/>
          <w14:textFill>
            <w14:solidFill>
              <w14:schemeClr w14:val="tx1"/>
            </w14:solidFill>
          </w14:textFill>
        </w:rPr>
        <w:t xml:space="preserve">0513-85052089</w:t>
      </w:r>
      <w:r/>
    </w:p>
    <w:p>
      <w:pPr>
        <w:pStyle w:val="745"/>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采购代理机构信息</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名称：江苏弘业国际技术工程有限公司</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地址：南京市中华路50号弘业大厦10楼</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丁昕、茅燕凤</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联系方式：13515216336</w:t>
      </w:r>
      <w:r/>
    </w:p>
    <w:p>
      <w:pPr>
        <w:pStyle w:val="745"/>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软件技术支持：0519-86722801</w:t>
      </w:r>
      <w:r/>
    </w:p>
    <w:p>
      <w:pPr>
        <w:pStyle w:val="766"/>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附件：</w:t>
      </w:r>
      <w:r/>
    </w:p>
    <w:p>
      <w:pPr>
        <w:pStyle w:val="766"/>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1.招标文件</w:t>
      </w:r>
      <w:r/>
    </w:p>
    <w:p>
      <w:pPr>
        <w:pStyle w:val="766"/>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2.采购人信用承诺</w:t>
      </w:r>
      <w:bookmarkEnd w:id="4"/>
      <w:r/>
      <w:r/>
    </w:p>
    <w:p>
      <w:pPr>
        <w:pStyle w:val="766"/>
        <w:ind w:left="1625" w:hanging="1205"/>
        <w:tabs>
          <w:tab w:val="left" w:pos="420" w:leader="none"/>
        </w:tabs>
        <w:rPr>
          <w:b/>
          <w:color w:val="000000" w:themeColor="text1"/>
          <w:highlight w:val="none"/>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3</w:t>
      </w:r>
      <w:r>
        <w:rPr>
          <w:b/>
          <w:color w:val="000000" w:themeColor="text1"/>
          <w:highlight w:val="none"/>
          <w14:textFill>
            <w14:solidFill>
              <w14:schemeClr w14:val="tx1"/>
            </w14:solidFill>
          </w14:textFill>
        </w:rPr>
        <w:t xml:space="preserve">.办理政采贷和履约保函（保险）告知函</w:t>
      </w:r>
      <w:r/>
    </w:p>
    <w:p>
      <w:pPr>
        <w:jc w:val="left"/>
        <w:widowControl/>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pStyle w:val="1467"/>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第二部分  投标须知</w:t>
      </w:r>
      <w:r/>
    </w:p>
    <w:p>
      <w:pPr>
        <w:pStyle w:val="74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0" w:name="_Toc513029203"/>
      <w:r/>
      <w:bookmarkStart w:id="11" w:name="_Toc16938519"/>
      <w:r/>
      <w:bookmarkStart w:id="12" w:name="_Toc120614214"/>
      <w:r/>
      <w:bookmarkStart w:id="13" w:name="_Toc20823275"/>
      <w:r>
        <w:rPr>
          <w:color w:val="000000" w:themeColor="text1"/>
          <w:highlight w:val="none"/>
          <w14:textFill>
            <w14:solidFill>
              <w14:schemeClr w14:val="tx1"/>
            </w14:solidFill>
          </w14:textFill>
        </w:rPr>
        <w:t xml:space="preserve">总则</w:t>
      </w:r>
      <w:bookmarkEnd w:id="10"/>
      <w:r/>
      <w:bookmarkEnd w:id="11"/>
      <w:r/>
      <w:bookmarkEnd w:id="12"/>
      <w:r/>
      <w:bookmarkEnd w:id="13"/>
      <w:r/>
      <w:r/>
    </w:p>
    <w:p>
      <w:pPr>
        <w:pStyle w:val="74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14" w:name="_Hlt16619475"/>
      <w:r/>
      <w:bookmarkEnd w:id="14"/>
      <w:r/>
      <w:bookmarkStart w:id="15" w:name="_Toc20823276"/>
      <w:r/>
      <w:bookmarkStart w:id="16" w:name="_Toc513029204"/>
      <w:r/>
      <w:bookmarkStart w:id="17" w:name="_Toc16938520"/>
      <w:r>
        <w:rPr>
          <w:color w:val="000000" w:themeColor="text1"/>
          <w:highlight w:val="none"/>
          <w14:textFill>
            <w14:solidFill>
              <w14:schemeClr w14:val="tx1"/>
            </w14:solidFill>
          </w14:textFill>
        </w:rPr>
        <w:t xml:space="preserve">招标方式</w:t>
      </w:r>
      <w:bookmarkEnd w:id="15"/>
      <w:r/>
      <w:bookmarkEnd w:id="16"/>
      <w:r/>
      <w:bookmarkEnd w:id="17"/>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1.1本次招标采取公开招标方式，本招标文件仅适用于招标公告中所述项目。</w:t>
      </w:r>
      <w:r/>
    </w:p>
    <w:p>
      <w:pPr>
        <w:pStyle w:val="74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18" w:name="_Toc20823277"/>
      <w:r/>
      <w:bookmarkStart w:id="19" w:name="_Toc16938521"/>
      <w:r/>
      <w:bookmarkStart w:id="20" w:name="_Toc513029205"/>
      <w:r>
        <w:rPr>
          <w:color w:val="000000" w:themeColor="text1"/>
          <w:highlight w:val="none"/>
          <w14:textFill>
            <w14:solidFill>
              <w14:schemeClr w14:val="tx1"/>
            </w14:solidFill>
          </w14:textFill>
        </w:rPr>
        <w:t xml:space="preserve">合格的投标人</w:t>
      </w:r>
      <w:bookmarkEnd w:id="18"/>
      <w:r/>
      <w:bookmarkEnd w:id="19"/>
      <w:r/>
      <w:bookmarkEnd w:id="20"/>
      <w:r/>
      <w:r/>
    </w:p>
    <w:p>
      <w:pPr>
        <w:pStyle w:val="766"/>
        <w:numPr>
          <w:ilvl w:val="0"/>
          <w:numId w:val="14"/>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满足招标公告中供应商的资格要求的规定。</w:t>
      </w:r>
      <w:r/>
    </w:p>
    <w:p>
      <w:pPr>
        <w:pStyle w:val="766"/>
        <w:numPr>
          <w:ilvl w:val="0"/>
          <w:numId w:val="14"/>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满足本文件实质性条款的规定。</w:t>
      </w:r>
      <w:r>
        <w:rPr>
          <w:b/>
          <w:color w:val="000000" w:themeColor="text1"/>
          <w:highlight w:val="none"/>
          <w:u w:val="single"/>
          <w14:textFill>
            <w14:solidFill>
              <w14:schemeClr w14:val="tx1"/>
            </w14:solidFill>
          </w14:textFill>
        </w:rPr>
        <w:t xml:space="preserve">（本招标文件中实质性条款包括但不限于带有下划线、加注“*”、加注“★”号部分及其他可能对本项目产生实质性影响的条款）</w:t>
      </w:r>
      <w:r/>
    </w:p>
    <w:p>
      <w:pPr>
        <w:pStyle w:val="74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1" w:name="_Toc20823278"/>
      <w:r/>
      <w:bookmarkStart w:id="22" w:name="_Toc513029206"/>
      <w:r/>
      <w:bookmarkStart w:id="23" w:name="_Toc16938522"/>
      <w:r>
        <w:rPr>
          <w:color w:val="000000" w:themeColor="text1"/>
          <w:highlight w:val="none"/>
          <w14:textFill>
            <w14:solidFill>
              <w14:schemeClr w14:val="tx1"/>
            </w14:solidFill>
          </w14:textFill>
        </w:rPr>
        <w:t xml:space="preserve">适用法律</w:t>
      </w:r>
      <w:bookmarkEnd w:id="21"/>
      <w:r/>
      <w:bookmarkEnd w:id="22"/>
      <w:r/>
      <w:bookmarkEnd w:id="23"/>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3.1本次招标及由此产生的合同受中华人民共和国有关的法律法规制约和保护。</w:t>
      </w:r>
      <w:r/>
    </w:p>
    <w:p>
      <w:pPr>
        <w:pStyle w:val="74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4" w:name="_Toc20823279"/>
      <w:r/>
      <w:bookmarkStart w:id="25" w:name="_Toc513029207"/>
      <w:r/>
      <w:bookmarkStart w:id="26" w:name="_Toc16938523"/>
      <w:r/>
      <w:bookmarkStart w:id="27" w:name="_Toc462564067"/>
      <w:r>
        <w:rPr>
          <w:color w:val="000000" w:themeColor="text1"/>
          <w:highlight w:val="none"/>
          <w14:textFill>
            <w14:solidFill>
              <w14:schemeClr w14:val="tx1"/>
            </w14:solidFill>
          </w14:textFill>
        </w:rPr>
        <w:t xml:space="preserve">投标费用</w:t>
      </w:r>
      <w:bookmarkEnd w:id="24"/>
      <w:r/>
      <w:bookmarkEnd w:id="25"/>
      <w:r/>
      <w:bookmarkEnd w:id="26"/>
      <w:r/>
      <w:bookmarkEnd w:id="27"/>
      <w:r/>
      <w:r/>
    </w:p>
    <w:p>
      <w:pPr>
        <w:pStyle w:val="766"/>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供应商应自行承担所有与参加投标有关的费用，无论招标过程中的做法和结果如何，采购人在任何情况下均无义务和责任承担这些费用。</w:t>
      </w:r>
      <w:r/>
    </w:p>
    <w:p>
      <w:pPr>
        <w:pStyle w:val="766"/>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履约保证金</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详见招标文件第三部分</w:t>
      </w:r>
      <w:r>
        <w:rPr>
          <w:color w:val="000000" w:themeColor="text1"/>
          <w:highlight w:val="none"/>
          <w14:textFill>
            <w14:solidFill>
              <w14:schemeClr w14:val="tx1"/>
            </w14:solidFill>
          </w14:textFill>
        </w:rPr>
        <w:t xml:space="preserve">。</w:t>
      </w:r>
      <w:r/>
    </w:p>
    <w:p>
      <w:pPr>
        <w:pStyle w:val="766"/>
        <w:numPr>
          <w:ilvl w:val="0"/>
          <w:numId w:val="15"/>
        </w:numPr>
        <w:tabs>
          <w:tab w:val="clear" w:pos="210" w:leader="none"/>
          <w:tab w:val="left" w:pos="90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根据采购人与采购代理机构的委托协议约定，采购</w:t>
      </w:r>
      <w:r>
        <w:rPr>
          <w:rFonts w:hint="eastAsia"/>
          <w:color w:val="000000" w:themeColor="text1"/>
          <w:highlight w:val="none"/>
          <w14:textFill>
            <w14:solidFill>
              <w14:schemeClr w14:val="tx1"/>
            </w14:solidFill>
          </w14:textFill>
        </w:rPr>
        <w:t xml:space="preserve">代理服务费按照国家发展计划委员会文件计价格[2002]1980号《招标代理服务收费管理暂行办法》规定标准的52.67%执行，单个项目代理服务费不足1500元的按1500元收取</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由中标供应商支付</w:t>
      </w:r>
      <w:r>
        <w:rPr>
          <w:color w:val="000000" w:themeColor="text1"/>
          <w:highlight w:val="none"/>
          <w14:textFill>
            <w14:solidFill>
              <w14:schemeClr w14:val="tx1"/>
            </w14:solidFill>
          </w14:textFill>
        </w:rPr>
        <w:t xml:space="preserve">。</w:t>
      </w:r>
      <w:r/>
    </w:p>
    <w:p>
      <w:pPr>
        <w:pStyle w:val="74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招标文件的约束力</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5.1投标人一旦参加本项目采购活动，即被认为接受了本招标文件的规定和约束。</w:t>
      </w:r>
      <w:r/>
    </w:p>
    <w:p>
      <w:pPr>
        <w:pStyle w:val="74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招标文件的解释</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6.1招标文件需求部分（供应商资格要求、项目需求、商务技术评分标准）由采购人解释，其他部分由采购代理机构解释。</w:t>
      </w:r>
      <w:r/>
    </w:p>
    <w:p>
      <w:pPr>
        <w:pStyle w:val="74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28" w:name="_Toc20823281"/>
      <w:r/>
      <w:bookmarkStart w:id="29" w:name="_Toc120614215"/>
      <w:r/>
      <w:bookmarkStart w:id="30" w:name="_Toc513029209"/>
      <w:r/>
      <w:bookmarkStart w:id="31" w:name="_Toc16938525"/>
      <w:r>
        <w:rPr>
          <w:color w:val="000000" w:themeColor="text1"/>
          <w:highlight w:val="none"/>
          <w14:textFill>
            <w14:solidFill>
              <w14:schemeClr w14:val="tx1"/>
            </w14:solidFill>
          </w14:textFill>
        </w:rPr>
        <w:t xml:space="preserve">招标文件</w:t>
      </w:r>
      <w:bookmarkEnd w:id="28"/>
      <w:r/>
      <w:bookmarkEnd w:id="29"/>
      <w:r/>
      <w:bookmarkEnd w:id="30"/>
      <w:r/>
      <w:bookmarkEnd w:id="31"/>
      <w:r/>
      <w:r/>
    </w:p>
    <w:p>
      <w:pPr>
        <w:pStyle w:val="766"/>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2" w:name="_Toc20823282"/>
      <w:r/>
      <w:bookmarkStart w:id="33" w:name="_Toc513029210"/>
      <w:r/>
      <w:bookmarkStart w:id="34" w:name="_Toc16938526"/>
      <w:r>
        <w:rPr>
          <w:color w:val="000000" w:themeColor="text1"/>
          <w:highlight w:val="none"/>
          <w14:textFill>
            <w14:solidFill>
              <w14:schemeClr w14:val="tx1"/>
            </w14:solidFill>
          </w14:textFill>
        </w:rPr>
        <w:t xml:space="preserve">招标文件构成</w:t>
      </w:r>
      <w:bookmarkEnd w:id="32"/>
      <w:r/>
      <w:bookmarkEnd w:id="33"/>
      <w:r/>
      <w:bookmarkEnd w:id="34"/>
      <w:r/>
      <w:r/>
    </w:p>
    <w:p>
      <w:pPr>
        <w:pStyle w:val="766"/>
        <w:numPr>
          <w:ilvl w:val="0"/>
          <w:numId w:val="1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招标文件由以下部分组成：</w:t>
      </w:r>
      <w:r/>
    </w:p>
    <w:p>
      <w:pPr>
        <w:pStyle w:val="766"/>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招标公告</w:t>
      </w:r>
      <w:r/>
    </w:p>
    <w:p>
      <w:pPr>
        <w:pStyle w:val="76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投标须知</w:t>
      </w:r>
      <w:r/>
    </w:p>
    <w:p>
      <w:pPr>
        <w:pStyle w:val="76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项目需求</w:t>
      </w:r>
      <w:r/>
    </w:p>
    <w:p>
      <w:pPr>
        <w:pStyle w:val="76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开标和评标</w:t>
      </w:r>
      <w:r/>
    </w:p>
    <w:p>
      <w:pPr>
        <w:pStyle w:val="766"/>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合同格式</w:t>
      </w:r>
      <w:r/>
    </w:p>
    <w:p>
      <w:pPr>
        <w:pStyle w:val="76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投标文件组成</w:t>
      </w:r>
      <w:r/>
    </w:p>
    <w:p>
      <w:pPr>
        <w:pStyle w:val="766"/>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附件</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请仔细检查招标文件是否齐全，如有缺漏请立即与采购人或采购代理机构联系解决。</w:t>
      </w:r>
      <w:r/>
    </w:p>
    <w:p>
      <w:pPr>
        <w:pStyle w:val="766"/>
        <w:numPr>
          <w:ilvl w:val="0"/>
          <w:numId w:val="1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6"/>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5" w:name="_Toc462564070"/>
      <w:r/>
      <w:bookmarkStart w:id="36" w:name="_Toc513029211"/>
      <w:r/>
      <w:bookmarkStart w:id="37" w:name="_Toc16938527"/>
      <w:r/>
      <w:bookmarkStart w:id="38" w:name="_Toc20823283"/>
      <w:r>
        <w:rPr>
          <w:color w:val="000000" w:themeColor="text1"/>
          <w:highlight w:val="none"/>
          <w14:textFill>
            <w14:solidFill>
              <w14:schemeClr w14:val="tx1"/>
            </w14:solidFill>
          </w14:textFill>
        </w:rPr>
        <w:t xml:space="preserve">招标文件的澄清</w:t>
      </w:r>
      <w:bookmarkEnd w:id="35"/>
      <w:r/>
      <w:bookmarkEnd w:id="36"/>
      <w:r/>
      <w:bookmarkEnd w:id="37"/>
      <w:r/>
      <w:bookmarkEnd w:id="38"/>
      <w:r/>
      <w:r/>
    </w:p>
    <w:p>
      <w:pPr>
        <w:pStyle w:val="766"/>
        <w:numPr>
          <w:ilvl w:val="0"/>
          <w:numId w:val="19"/>
        </w:numPr>
        <w:tabs>
          <w:tab w:val="clear" w:pos="210" w:leader="none"/>
          <w:tab w:val="left" w:pos="90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pStyle w:val="766"/>
        <w:numPr>
          <w:ilvl w:val="0"/>
          <w:numId w:val="19"/>
        </w:numPr>
        <w:tabs>
          <w:tab w:val="clear" w:pos="210" w:leader="none"/>
          <w:tab w:val="left" w:pos="90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澄清答复内容为招标文件的组成部分，并对供应商具有约束力。澄清内容可能影响投标文件编制的，采购人或者采购代理机构将顺延递交投标文件的截止时间</w:t>
      </w:r>
      <w:r>
        <w:rPr>
          <w:rFonts w:hint="eastAsia"/>
          <w:color w:val="000000" w:themeColor="text1"/>
          <w:highlight w:val="none"/>
          <w:lang w:eastAsia="zh-CN"/>
          <w14:textFill>
            <w14:solidFill>
              <w14:schemeClr w14:val="tx1"/>
            </w14:solidFill>
          </w14:textFill>
        </w:rPr>
        <w:t xml:space="preserve">。</w:t>
      </w:r>
      <w:r/>
    </w:p>
    <w:p>
      <w:pPr>
        <w:pStyle w:val="766"/>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9" w:name="_Toc513029212"/>
      <w:r/>
      <w:bookmarkStart w:id="40" w:name="_Toc20823284"/>
      <w:r/>
      <w:bookmarkStart w:id="41" w:name="_Toc16938528"/>
      <w:r/>
      <w:bookmarkStart w:id="42" w:name="_Toc462564071"/>
      <w:r>
        <w:rPr>
          <w:color w:val="000000" w:themeColor="text1"/>
          <w:highlight w:val="none"/>
          <w14:textFill>
            <w14:solidFill>
              <w14:schemeClr w14:val="tx1"/>
            </w14:solidFill>
          </w14:textFill>
        </w:rPr>
        <w:t xml:space="preserve">招标文件的修改</w:t>
      </w:r>
      <w:bookmarkEnd w:id="39"/>
      <w:r/>
      <w:bookmarkEnd w:id="40"/>
      <w:r/>
      <w:bookmarkEnd w:id="41"/>
      <w:r/>
      <w:bookmarkEnd w:id="42"/>
      <w:r/>
      <w:r/>
    </w:p>
    <w:p>
      <w:pPr>
        <w:pStyle w:val="766"/>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在投标截止时间前，采购人或采购代理机构可以对招标文件进行修改。</w:t>
      </w:r>
      <w:r/>
    </w:p>
    <w:p>
      <w:pPr>
        <w:pStyle w:val="766"/>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采购人或采购代理机构有权按照法定的要求推迟投标截止日期和开标日期。</w:t>
      </w:r>
      <w:r/>
    </w:p>
    <w:p>
      <w:pPr>
        <w:pStyle w:val="766"/>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766"/>
        <w:numPr>
          <w:ilvl w:val="0"/>
          <w:numId w:val="1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w:t>
      </w:r>
      <w:r>
        <w:rPr>
          <w:rFonts w:hint="eastAsia"/>
          <w:color w:val="000000" w:themeColor="text1"/>
          <w:highlight w:val="none"/>
          <w:lang w:val="en-US" w:eastAsia="zh-CN"/>
          <w14:textFill>
            <w14:solidFill>
              <w14:schemeClr w14:val="tx1"/>
            </w14:solidFill>
          </w14:textFill>
        </w:rPr>
        <w:t xml:space="preserve">在</w:t>
      </w:r>
      <w:r>
        <w:rPr>
          <w:color w:val="000000" w:themeColor="text1"/>
          <w:highlight w:val="none"/>
          <w14:textFill>
            <w14:solidFill>
              <w14:schemeClr w14:val="tx1"/>
            </w14:solidFill>
          </w14:textFill>
        </w:rPr>
        <w:t xml:space="preserve">投标人关注本项目的“更正（澄清）公告”，并通过“苏采云”系统重新下载更正（澄清）后的采购文件（后缀名为“kedt”），离线编制响应文件，否则，将自行承担相应的风险。</w:t>
      </w:r>
      <w:r/>
    </w:p>
    <w:p>
      <w:pPr>
        <w:pStyle w:val="766"/>
        <w:numPr>
          <w:ilvl w:val="0"/>
          <w:numId w:val="1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74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43" w:name="_Toc120614216"/>
      <w:r/>
      <w:bookmarkStart w:id="44" w:name="_Toc513029213"/>
      <w:r/>
      <w:bookmarkStart w:id="45" w:name="_Toc16938529"/>
      <w:r/>
      <w:bookmarkStart w:id="46" w:name="_Toc20823285"/>
      <w:r/>
      <w:bookmarkStart w:id="47" w:name="_Toc462564072"/>
      <w:r>
        <w:rPr>
          <w:color w:val="000000" w:themeColor="text1"/>
          <w:highlight w:val="none"/>
          <w14:textFill>
            <w14:solidFill>
              <w14:schemeClr w14:val="tx1"/>
            </w14:solidFill>
          </w14:textFill>
        </w:rPr>
        <w:t xml:space="preserve">投标文件的编制</w:t>
      </w:r>
      <w:bookmarkEnd w:id="43"/>
      <w:r/>
      <w:bookmarkEnd w:id="44"/>
      <w:r/>
      <w:bookmarkEnd w:id="45"/>
      <w:r/>
      <w:bookmarkEnd w:id="46"/>
      <w:r/>
      <w:bookmarkEnd w:id="47"/>
      <w:r/>
      <w:r/>
    </w:p>
    <w:p>
      <w:pPr>
        <w:pStyle w:val="766"/>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48" w:name="_Toc20823286"/>
      <w:r/>
      <w:bookmarkStart w:id="49" w:name="_Toc16938530"/>
      <w:r/>
      <w:bookmarkStart w:id="50" w:name="_Toc462564073"/>
      <w:r/>
      <w:bookmarkStart w:id="51" w:name="_Toc513029214"/>
      <w:r>
        <w:rPr>
          <w:color w:val="000000" w:themeColor="text1"/>
          <w:highlight w:val="none"/>
          <w14:textFill>
            <w14:solidFill>
              <w14:schemeClr w14:val="tx1"/>
            </w14:solidFill>
          </w14:textFill>
        </w:rPr>
        <w:t xml:space="preserve">投标文件的语言及度量衡单位</w:t>
      </w:r>
      <w:bookmarkEnd w:id="48"/>
      <w:r/>
      <w:bookmarkEnd w:id="49"/>
      <w:r/>
      <w:bookmarkEnd w:id="50"/>
      <w:r/>
      <w:bookmarkEnd w:id="51"/>
      <w:r/>
      <w:r/>
    </w:p>
    <w:p>
      <w:pPr>
        <w:pStyle w:val="766"/>
        <w:numPr>
          <w:ilvl w:val="0"/>
          <w:numId w:val="2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投标人提交的投标文件以及投标人与采购人或采购代理机构就有关投标的所有来往通知、函件和文件均应使用简体中文。</w:t>
      </w:r>
      <w:r/>
    </w:p>
    <w:p>
      <w:pPr>
        <w:pStyle w:val="766"/>
        <w:numPr>
          <w:ilvl w:val="0"/>
          <w:numId w:val="2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除技术性能另有规定外，投标文件所使用的度量衡单位，均须采用国家法定计量单位。</w:t>
      </w:r>
      <w:r/>
    </w:p>
    <w:p>
      <w:pPr>
        <w:pStyle w:val="766"/>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2" w:name="_Toc462564074"/>
      <w:r/>
      <w:bookmarkStart w:id="53" w:name="_Toc20823287"/>
      <w:r/>
      <w:bookmarkStart w:id="54" w:name="_Toc513029215"/>
      <w:r/>
      <w:bookmarkStart w:id="55" w:name="_Toc16938531"/>
      <w:r>
        <w:rPr>
          <w:color w:val="000000" w:themeColor="text1"/>
          <w:highlight w:val="none"/>
          <w14:textFill>
            <w14:solidFill>
              <w14:schemeClr w14:val="tx1"/>
            </w14:solidFill>
          </w14:textFill>
        </w:rPr>
        <w:t xml:space="preserve">投标文件构成</w:t>
      </w:r>
      <w:bookmarkEnd w:id="52"/>
      <w:r/>
      <w:bookmarkEnd w:id="53"/>
      <w:r/>
      <w:bookmarkEnd w:id="54"/>
      <w:r/>
      <w:bookmarkEnd w:id="55"/>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2.1投标人编写的投标文件应包括资格审查证明材料文件，商务、技术标文件，价格标文件。供应商按“第六部分 投标文件组成”要求编写投标文件</w:t>
      </w:r>
      <w:r/>
    </w:p>
    <w:p>
      <w:pPr>
        <w:pStyle w:val="766"/>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6" w:name="_Hlt26954838"/>
      <w:r/>
      <w:bookmarkEnd w:id="56"/>
      <w:r/>
      <w:bookmarkStart w:id="57" w:name="_Hlt26668975"/>
      <w:r/>
      <w:bookmarkEnd w:id="57"/>
      <w:r/>
      <w:bookmarkStart w:id="58" w:name="_Hlt26670360"/>
      <w:r/>
      <w:bookmarkEnd w:id="58"/>
      <w:r/>
      <w:bookmarkStart w:id="59" w:name="_Toc49090511"/>
      <w:r/>
      <w:bookmarkStart w:id="60" w:name="_Toc14577360"/>
      <w:r>
        <w:rPr>
          <w:color w:val="000000" w:themeColor="text1"/>
          <w:highlight w:val="none"/>
          <w14:textFill>
            <w14:solidFill>
              <w14:schemeClr w14:val="tx1"/>
            </w14:solidFill>
          </w14:textFill>
        </w:rPr>
        <w:t xml:space="preserve">投标有效期</w:t>
      </w:r>
      <w:bookmarkEnd w:id="59"/>
      <w:r/>
      <w:bookmarkEnd w:id="60"/>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3.1投标有效期为招标文件规定的开标之日后</w:t>
      </w:r>
      <w:r>
        <w:rPr>
          <w:rFonts w:hint="eastAsia"/>
          <w:b/>
          <w:color w:val="000000" w:themeColor="text1"/>
          <w:highlight w:val="none"/>
          <w:u w:val="single"/>
          <w14:textFill>
            <w14:solidFill>
              <w14:schemeClr w14:val="tx1"/>
            </w14:solidFill>
          </w14:textFill>
        </w:rPr>
        <w:t xml:space="preserve">九</w:t>
      </w:r>
      <w:r>
        <w:rPr>
          <w:b/>
          <w:color w:val="000000" w:themeColor="text1"/>
          <w:highlight w:val="none"/>
          <w:u w:val="single"/>
          <w14:textFill>
            <w14:solidFill>
              <w14:schemeClr w14:val="tx1"/>
            </w14:solidFill>
          </w14:textFill>
        </w:rPr>
        <w:t xml:space="preserve">十（</w:t>
      </w:r>
      <w:r>
        <w:rPr>
          <w:rFonts w:hint="eastAsia"/>
          <w:b/>
          <w:color w:val="000000" w:themeColor="text1"/>
          <w:highlight w:val="none"/>
          <w:u w:val="single"/>
          <w14:textFill>
            <w14:solidFill>
              <w14:schemeClr w14:val="tx1"/>
            </w14:solidFill>
          </w14:textFill>
        </w:rPr>
        <w:t xml:space="preserve">9</w:t>
      </w:r>
      <w:r>
        <w:rPr>
          <w:b/>
          <w:color w:val="000000" w:themeColor="text1"/>
          <w:highlight w:val="none"/>
          <w:u w:val="single"/>
          <w14:textFill>
            <w14:solidFill>
              <w14:schemeClr w14:val="tx1"/>
            </w14:solidFill>
          </w14:textFill>
        </w:rPr>
        <w:t xml:space="preserve">0）天</w:t>
      </w:r>
      <w:r>
        <w:rPr>
          <w:color w:val="000000" w:themeColor="text1"/>
          <w:highlight w:val="none"/>
          <w14:textFill>
            <w14:solidFill>
              <w14:schemeClr w14:val="tx1"/>
            </w14:solidFill>
          </w14:textFill>
        </w:rPr>
        <w:t xml:space="preserve">。投标有效期比规定短的将被视为非响应性投标而予以拒绝。</w:t>
      </w:r>
      <w:r/>
    </w:p>
    <w:p>
      <w:pPr>
        <w:pStyle w:val="766"/>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投标有效期的延长</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66"/>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电子响应文件其他要求</w:t>
      </w:r>
      <w:r/>
    </w:p>
    <w:p>
      <w:pPr>
        <w:pStyle w:val="766"/>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电子招标投标交易平台（即“苏采云”系统）相关要求是本采购文件的组成部分。</w:t>
      </w:r>
      <w:r/>
    </w:p>
    <w:p>
      <w:pPr>
        <w:pStyle w:val="766"/>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投标人应对CA证书妥善保管，如被他人盗用投标，因此带来的结果均由供应商自行承担。</w:t>
      </w:r>
      <w:r/>
    </w:p>
    <w:p>
      <w:pPr>
        <w:pStyle w:val="766"/>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投标人应当对采购文件提出的实质性要求和条件作出实质性响应，并在电子投标系统逐条应答。</w:t>
      </w:r>
      <w:r/>
    </w:p>
    <w:p>
      <w:pPr>
        <w:pStyle w:val="766"/>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pStyle w:val="766"/>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投标人应当在采购文件要求提交投标文件的截止时间前，将投标文件提交至“苏采云”系统，逾期提交的投标文件，“苏采云”系统将自动拒收。各投标人应在规定时间内凭CA证书进行网上解密。</w:t>
      </w:r>
      <w:r/>
    </w:p>
    <w:p>
      <w:pPr>
        <w:pStyle w:val="74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61" w:name="_Hlt26954739"/>
      <w:r/>
      <w:bookmarkEnd w:id="61"/>
      <w:r/>
      <w:bookmarkStart w:id="62" w:name="_Hlt26954852"/>
      <w:r/>
      <w:bookmarkEnd w:id="62"/>
      <w:r/>
      <w:bookmarkStart w:id="63" w:name="_Toc16938540"/>
      <w:r/>
      <w:bookmarkStart w:id="64" w:name="_Toc513029224"/>
      <w:r/>
      <w:bookmarkStart w:id="65" w:name="_Toc120614217"/>
      <w:r/>
      <w:bookmarkStart w:id="66" w:name="_Toc20823296"/>
      <w:r>
        <w:rPr>
          <w:color w:val="000000" w:themeColor="text1"/>
          <w:highlight w:val="none"/>
          <w14:textFill>
            <w14:solidFill>
              <w14:schemeClr w14:val="tx1"/>
            </w14:solidFill>
          </w14:textFill>
        </w:rPr>
        <w:t xml:space="preserve">投标文件的递交</w:t>
      </w:r>
      <w:bookmarkEnd w:id="63"/>
      <w:r/>
      <w:bookmarkEnd w:id="64"/>
      <w:r/>
      <w:bookmarkEnd w:id="65"/>
      <w:r/>
      <w:bookmarkEnd w:id="66"/>
      <w:r/>
      <w:r/>
    </w:p>
    <w:p>
      <w:pPr>
        <w:pStyle w:val="74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67" w:name="_Toc462564084"/>
      <w:r/>
      <w:bookmarkStart w:id="68" w:name="_Toc20823297"/>
      <w:r/>
      <w:bookmarkStart w:id="69" w:name="_Toc513029225"/>
      <w:r/>
      <w:bookmarkStart w:id="70" w:name="_Toc16938541"/>
      <w:r>
        <w:rPr>
          <w:color w:val="000000" w:themeColor="text1"/>
          <w:highlight w:val="none"/>
          <w14:textFill>
            <w14:solidFill>
              <w14:schemeClr w14:val="tx1"/>
            </w14:solidFill>
          </w14:textFill>
        </w:rPr>
        <w:t xml:space="preserve">投标文件</w:t>
      </w:r>
      <w:bookmarkEnd w:id="67"/>
      <w:r/>
      <w:bookmarkEnd w:id="68"/>
      <w:r/>
      <w:bookmarkEnd w:id="69"/>
      <w:r/>
      <w:bookmarkEnd w:id="70"/>
      <w:r>
        <w:rPr>
          <w:color w:val="000000" w:themeColor="text1"/>
          <w:highlight w:val="none"/>
          <w14:textFill>
            <w14:solidFill>
              <w14:schemeClr w14:val="tx1"/>
            </w14:solidFill>
          </w14:textFill>
        </w:rPr>
        <w:t xml:space="preserve">的递交</w:t>
      </w:r>
      <w:r/>
    </w:p>
    <w:p>
      <w:pPr>
        <w:pStyle w:val="766"/>
        <w:ind w:firstLine="480"/>
        <w:rPr>
          <w:color w:val="000000" w:themeColor="text1"/>
          <w:highlight w:val="none"/>
          <w14:textFill>
            <w14:solidFill>
              <w14:schemeClr w14:val="tx1"/>
            </w14:solidFill>
          </w14:textFill>
        </w:rPr>
      </w:pPr>
      <w:r/>
      <w:bookmarkStart w:id="71" w:name="_Toc20823298"/>
      <w:r/>
      <w:bookmarkStart w:id="72" w:name="_Toc513029226"/>
      <w:r/>
      <w:bookmarkStart w:id="73" w:name="_Toc16938542"/>
      <w:r>
        <w:rPr>
          <w:color w:val="000000" w:themeColor="text1"/>
          <w:highlight w:val="none"/>
          <w14:textFill>
            <w14:solidFill>
              <w14:schemeClr w14:val="tx1"/>
            </w14:solidFill>
          </w14:textFill>
        </w:rPr>
        <w:t xml:space="preserve">1.1线上提交与接收地点：供应商应当通过“苏采云”系统提交数据电文形式的响应文件（即电子投标），“苏采云”系统自动接收。</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说明：电子投标文件应由其法定代表人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或组织负责人、自然人投标的为其本人，下同</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或法定代表人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主要负责人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授权代表在规定的网上投标时间内，凭CA证书登录“苏采云”系统在线编制投标文件（电子数据），并在投标截止时间之前上传投标文件。投标人应在达到开标时间后，使用CA数字证书解密各自投标文件。</w:t>
      </w:r>
      <w:r/>
    </w:p>
    <w:p>
      <w:pPr>
        <w:pStyle w:val="766"/>
        <w:ind w:firstLine="480"/>
        <w:rPr>
          <w:rFonts w:hint="eastAsia" w:eastAsia="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w:t>
      </w:r>
      <w:r>
        <w:rPr>
          <w:rFonts w:hint="eastAsia"/>
          <w:color w:val="000000" w:themeColor="text1"/>
          <w:highlight w:val="none"/>
          <w14:textFill>
            <w14:solidFill>
              <w14:schemeClr w14:val="tx1"/>
            </w14:solidFill>
          </w14:textFill>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000000" w:themeColor="text1"/>
          <w:highlight w:val="none"/>
          <w:lang w:eastAsia="zh-CN"/>
          <w14:textFill>
            <w14:solidFill>
              <w14:schemeClr w14:val="tx1"/>
            </w14:solidFill>
          </w14:textFill>
        </w:rPr>
        <w:t xml:space="preserve">。</w:t>
      </w:r>
      <w:r/>
    </w:p>
    <w:p>
      <w:pPr>
        <w:pStyle w:val="74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投标截止日期</w:t>
      </w:r>
      <w:bookmarkEnd w:id="71"/>
      <w:r/>
      <w:bookmarkEnd w:id="72"/>
      <w:r/>
      <w:bookmarkEnd w:id="73"/>
      <w:r/>
      <w:r/>
    </w:p>
    <w:p>
      <w:pPr>
        <w:pStyle w:val="766"/>
        <w:numPr>
          <w:ilvl w:val="0"/>
          <w:numId w:val="2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投标人上传电子投标文件的时间不得迟于招标公告中规定的投标截止时间。</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投标人应充分考虑网络环境、网络带宽等风险因素，如因投标人自身原因造成的电子投标文件上传不成功由投标人自行承担全部责任。</w:t>
      </w:r>
      <w:r/>
    </w:p>
    <w:p>
      <w:pPr>
        <w:pStyle w:val="766"/>
        <w:numPr>
          <w:ilvl w:val="0"/>
          <w:numId w:val="2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4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74" w:name="_Toc20823299"/>
      <w:r/>
      <w:bookmarkStart w:id="75" w:name="_Toc16938543"/>
      <w:r/>
      <w:bookmarkStart w:id="76" w:name="_Toc513029227"/>
      <w:r>
        <w:rPr>
          <w:color w:val="000000" w:themeColor="text1"/>
          <w:highlight w:val="none"/>
          <w14:textFill>
            <w14:solidFill>
              <w14:schemeClr w14:val="tx1"/>
            </w14:solidFill>
          </w14:textFill>
        </w:rPr>
        <w:t xml:space="preserve">投标文件的加密要求：</w:t>
      </w:r>
      <w:r/>
    </w:p>
    <w:p>
      <w:pPr>
        <w:pStyle w:val="766"/>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766"/>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投标人须通过“苏采云”系统提供的政府采购客户端工具（使用“CA数字证书”）加盖电子签章。</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说明：投标人应使用CA数字证书以及自备的能够登录“苏采云”系统的笔记本电脑，在达到开标时间后，使用CA数字证书解密各自投标文件。</w:t>
      </w:r>
      <w:r/>
    </w:p>
    <w:p>
      <w:pPr>
        <w:pStyle w:val="766"/>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投标人未按规定加密的投标文件，“苏采云”系统应当拒收并提示。</w:t>
      </w:r>
      <w:r/>
    </w:p>
    <w:p>
      <w:pPr>
        <w:pStyle w:val="74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w:t>
      </w:r>
      <w:bookmarkEnd w:id="74"/>
      <w:r/>
      <w:bookmarkEnd w:id="75"/>
      <w:r/>
      <w:bookmarkEnd w:id="76"/>
      <w:r>
        <w:rPr>
          <w:color w:val="000000" w:themeColor="text1"/>
          <w:highlight w:val="none"/>
          <w14:textFill>
            <w14:solidFill>
              <w14:schemeClr w14:val="tx1"/>
            </w14:solidFill>
          </w14:textFill>
        </w:rPr>
        <w:t xml:space="preserve">的拒收</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4.1采购人或采购代理机构拒绝接收在其规定的投标截止时间后上传的任何投标文件。</w:t>
      </w:r>
      <w:r/>
    </w:p>
    <w:p>
      <w:pPr>
        <w:pStyle w:val="74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77" w:name="_Toc513029228"/>
      <w:r/>
      <w:bookmarkStart w:id="78" w:name="_Toc20823300"/>
      <w:r/>
      <w:bookmarkStart w:id="79" w:name="_Toc16938544"/>
      <w:r>
        <w:rPr>
          <w:color w:val="000000" w:themeColor="text1"/>
          <w:highlight w:val="none"/>
          <w14:textFill>
            <w14:solidFill>
              <w14:schemeClr w14:val="tx1"/>
            </w14:solidFill>
          </w14:textFill>
        </w:rPr>
        <w:t xml:space="preserve">投标文件的撤回和修改</w:t>
      </w:r>
      <w:bookmarkEnd w:id="77"/>
      <w:r/>
      <w:bookmarkEnd w:id="78"/>
      <w:r/>
      <w:bookmarkEnd w:id="79"/>
      <w:r/>
      <w:r/>
    </w:p>
    <w:p>
      <w:pPr>
        <w:pStyle w:val="766"/>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投标文件的撤回</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5.1.1电子投标文件的撤回</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投标人可在投标截止时间前，撤回其电子投标文件，具体操作方法见CA办理指南及“苏采云”操作手册，可至江苏省政府采购网—办事指南－资料下载中心下载。</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5.1.2投标人撤回电子投标文件，则认为其不再参与本项目投标活动。</w:t>
      </w:r>
      <w:r/>
    </w:p>
    <w:p>
      <w:pPr>
        <w:pStyle w:val="766"/>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投标文件的修改</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投标人可在投标截止时间前，对其电子投标文件进行修改。</w:t>
      </w:r>
      <w:r/>
    </w:p>
    <w:p>
      <w:pPr>
        <w:pStyle w:val="766"/>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在投标截止时间之后，投标人不得对其电子投标文件作任何修改。</w:t>
      </w:r>
      <w:r/>
    </w:p>
    <w:p>
      <w:pPr>
        <w:pStyle w:val="766"/>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在投标截止时间至招标文件中规定的投标有效期满之间的这段时间内，投标人不得撤回其投标。</w:t>
      </w:r>
      <w:r/>
    </w:p>
    <w:p>
      <w:pPr>
        <w:pStyle w:val="74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80" w:name="_Toc513029229"/>
      <w:r/>
      <w:bookmarkStart w:id="81" w:name="_Toc120614218"/>
      <w:r/>
      <w:bookmarkStart w:id="82" w:name="_Toc16938545"/>
      <w:r/>
      <w:bookmarkStart w:id="83" w:name="_Toc20823301"/>
      <w:r>
        <w:rPr>
          <w:color w:val="000000" w:themeColor="text1"/>
          <w:highlight w:val="none"/>
          <w14:textFill>
            <w14:solidFill>
              <w14:schemeClr w14:val="tx1"/>
            </w14:solidFill>
          </w14:textFill>
        </w:rPr>
        <w:t xml:space="preserve">开标与评标</w:t>
      </w:r>
      <w:bookmarkEnd w:id="80"/>
      <w:r/>
      <w:bookmarkEnd w:id="81"/>
      <w:r/>
      <w:bookmarkEnd w:id="82"/>
      <w:r/>
      <w:bookmarkEnd w:id="83"/>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84" w:name="_Toc16938546"/>
      <w:r/>
      <w:bookmarkStart w:id="85" w:name="_Toc20823302"/>
      <w:r/>
      <w:bookmarkStart w:id="86" w:name="_Toc513029230"/>
      <w:r>
        <w:rPr>
          <w:color w:val="000000" w:themeColor="text1"/>
          <w:highlight w:val="none"/>
          <w14:textFill>
            <w14:solidFill>
              <w14:schemeClr w14:val="tx1"/>
            </w14:solidFill>
          </w14:textFill>
        </w:rPr>
        <w:t xml:space="preserve">开标</w:t>
      </w:r>
      <w:bookmarkEnd w:id="84"/>
      <w:r/>
      <w:bookmarkEnd w:id="85"/>
      <w:r/>
      <w:bookmarkEnd w:id="86"/>
      <w:r/>
      <w:r/>
    </w:p>
    <w:p>
      <w:pPr>
        <w:pStyle w:val="766"/>
        <w:numPr>
          <w:ilvl w:val="0"/>
          <w:numId w:val="2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采购人或采购代理机构将在招标公告中规定的时间和地点组织公开开标。</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开标当天投标人及时登录不见面开标大厅，投标文件递交截止时间后，采购</w:t>
      </w:r>
      <w:r>
        <w:rPr>
          <w:color w:val="000000" w:themeColor="text1"/>
          <w:highlight w:val="none"/>
          <w14:textFill>
            <w14:solidFill>
              <w14:schemeClr w14:val="tx1"/>
            </w14:solidFill>
          </w14:textFill>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66"/>
        <w:numPr>
          <w:ilvl w:val="0"/>
          <w:numId w:val="2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开标仪式由采购代理机构组织，在不见面交易系统中进行开标，并公布各投标人的《开标一览表》。</w:t>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87" w:name="_Toc513029231"/>
      <w:r/>
      <w:bookmarkStart w:id="88" w:name="_Toc16938547"/>
      <w:r/>
      <w:bookmarkStart w:id="89" w:name="_Toc20823303"/>
      <w:r>
        <w:rPr>
          <w:color w:val="000000" w:themeColor="text1"/>
          <w:highlight w:val="none"/>
          <w14:textFill>
            <w14:solidFill>
              <w14:schemeClr w14:val="tx1"/>
            </w14:solidFill>
          </w14:textFill>
        </w:rPr>
        <w:t xml:space="preserve">评标委员会</w:t>
      </w:r>
      <w:r/>
    </w:p>
    <w:p>
      <w:pPr>
        <w:pStyle w:val="766"/>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开标后，采购人或采购代理机构将立即组织评标委员会（以下简称评委会）进行评标。</w:t>
      </w:r>
      <w:r/>
    </w:p>
    <w:p>
      <w:pPr>
        <w:pStyle w:val="766"/>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评委会由采购人代表和有关技术、经济等方面的专家组成，且人员构成符合政府采购有关规定。</w:t>
      </w:r>
      <w:r/>
    </w:p>
    <w:p>
      <w:pPr>
        <w:pStyle w:val="766"/>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评委会独立工作，负责评审所有投标文件并确定中标候选人。</w:t>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评标过程的保密与公正</w:t>
      </w:r>
      <w:bookmarkEnd w:id="87"/>
      <w:r/>
      <w:bookmarkEnd w:id="88"/>
      <w:r/>
      <w:bookmarkEnd w:id="89"/>
      <w:r/>
      <w:r/>
    </w:p>
    <w:p>
      <w:pPr>
        <w:pStyle w:val="76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76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在评标过程中，投标人不得以任何行为影响评标过程，否则其投标文件将被作为无效投标文件。</w:t>
      </w:r>
      <w:r/>
    </w:p>
    <w:p>
      <w:pPr>
        <w:pStyle w:val="76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在评标期间，采购代理机构将设专门人员与投标人联系。</w:t>
      </w:r>
      <w:r/>
    </w:p>
    <w:p>
      <w:pPr>
        <w:pStyle w:val="76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采购人或采购代理机构和评标委员会不向未中标的投标人解释未中标原因，也不公布评标过程中的相关细节。</w:t>
      </w:r>
      <w:r/>
    </w:p>
    <w:p>
      <w:pPr>
        <w:pStyle w:val="76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采用综合评分法的项目，公布评标结果时一并公布所有投标人的评审得分及排序情况。</w:t>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0" w:name="_Toc20823304"/>
      <w:r/>
      <w:bookmarkStart w:id="91" w:name="_Toc513029232"/>
      <w:r/>
      <w:bookmarkStart w:id="92" w:name="_Toc16938548"/>
      <w:r>
        <w:rPr>
          <w:color w:val="000000" w:themeColor="text1"/>
          <w:highlight w:val="none"/>
          <w14:textFill>
            <w14:solidFill>
              <w14:schemeClr w14:val="tx1"/>
            </w14:solidFill>
          </w14:textFill>
        </w:rPr>
        <w:t xml:space="preserve">投标的澄清</w:t>
      </w:r>
      <w:bookmarkEnd w:id="90"/>
      <w:r/>
      <w:bookmarkEnd w:id="91"/>
      <w:r/>
      <w:bookmarkEnd w:id="92"/>
      <w:r/>
      <w:r/>
    </w:p>
    <w:p>
      <w:pPr>
        <w:pStyle w:val="766"/>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评标期间，为有助于对投标文件的审查、评价和比较，评委会有权以电子函件形式要求投标人对其投标文件进行澄清，但并非对每个投标人都作澄清要求。</w:t>
      </w:r>
      <w:r/>
    </w:p>
    <w:p>
      <w:pPr>
        <w:pStyle w:val="766"/>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接到评委会澄清要求的投标人应派人按评委会规定的时间和格式在“苏采云系统”中做出澄清，澄清的内容作为投标文件的补充部分，但投标的价格和实质性的内容不得做任何更改。</w:t>
      </w:r>
      <w:r/>
    </w:p>
    <w:p>
      <w:pPr>
        <w:pStyle w:val="766"/>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接到评委会澄清要求的投标人如未按规定作出澄清，其风险由投标人自行承担。</w:t>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3" w:name="_Toc20823305"/>
      <w:r/>
      <w:bookmarkStart w:id="94" w:name="_Toc513029233"/>
      <w:r/>
      <w:bookmarkStart w:id="95" w:name="_Toc16938549"/>
      <w:r>
        <w:rPr>
          <w:color w:val="000000" w:themeColor="text1"/>
          <w:highlight w:val="none"/>
          <w14:textFill>
            <w14:solidFill>
              <w14:schemeClr w14:val="tx1"/>
            </w14:solidFill>
          </w14:textFill>
        </w:rPr>
        <w:t xml:space="preserve">对投标文件的初审</w:t>
      </w:r>
      <w:bookmarkEnd w:id="93"/>
      <w:r/>
      <w:bookmarkEnd w:id="94"/>
      <w:r/>
      <w:bookmarkEnd w:id="95"/>
      <w:r/>
      <w:r/>
    </w:p>
    <w:p>
      <w:pPr>
        <w:pStyle w:val="76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投标文件初审分为资格审查和符合性审查。</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5.1.1资格审查：依据法律法规和招标文件的规定</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详见招标文件第一、第六部分要求</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，由采购人对投标文件中的资格证明文件进行审查。资格审查的结论，采购人以书面形式向评委会进行反馈。</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采购人在进行资格审查的同时，评标委员会从“信用中国”网站查询供应商的信用记录，以确定供应商是否具备参加</w:t>
      </w:r>
      <w:r>
        <w:rPr>
          <w:rFonts w:hint="eastAsia"/>
          <w:color w:val="000000" w:themeColor="text1"/>
          <w:highlight w:val="none"/>
          <w14:textFill>
            <w14:solidFill>
              <w14:schemeClr w14:val="tx1"/>
            </w14:solidFill>
          </w14:textFill>
        </w:rPr>
        <w:t xml:space="preserve">本项目投标</w:t>
      </w:r>
      <w:r>
        <w:rPr>
          <w:color w:val="000000" w:themeColor="text1"/>
          <w:highlight w:val="none"/>
          <w14:textFill>
            <w14:solidFill>
              <w14:schemeClr w14:val="tx1"/>
            </w14:solidFill>
          </w14:textFill>
        </w:rPr>
        <w:t xml:space="preserve">的资格。</w:t>
      </w:r>
      <w:r>
        <w:rPr>
          <w:rFonts w:hint="eastAsia"/>
          <w:color w:val="000000" w:themeColor="text1"/>
          <w:highlight w:val="none"/>
          <w14:textFill>
            <w14:solidFill>
              <w14:schemeClr w14:val="tx1"/>
            </w14:solidFill>
          </w14:textFill>
        </w:rPr>
        <w:t xml:space="preserve">查询结果将在“苏采云”系统中上传并归档。</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color w:val="000000" w:themeColor="text1"/>
          <w:highlight w:val="none"/>
          <w:lang w:val="en-US" w:eastAsia="zh-CN"/>
          <w14:textFill>
            <w14:solidFill>
              <w14:schemeClr w14:val="tx1"/>
            </w14:solidFill>
          </w14:textFill>
        </w:rPr>
        <w:t xml:space="preserve">信</w:t>
      </w:r>
      <w:r>
        <w:rPr>
          <w:color w:val="000000" w:themeColor="text1"/>
          <w:highlight w:val="none"/>
          <w14:textFill>
            <w14:solidFill>
              <w14:schemeClr w14:val="tx1"/>
            </w14:solidFill>
          </w14:textFill>
        </w:rPr>
        <w:t xml:space="preserve">用记录。</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5.1.2符合性审查：依据招标文件的规定，由评委会从投标文件的有效性、完整性和对招标文件的响应程度进行审查，以确定是否对招标文件的实质性要求作出响应。</w:t>
      </w:r>
      <w:r/>
    </w:p>
    <w:tbl>
      <w:tblPr>
        <w:tblStyle w:val="754"/>
        <w:tblW w:w="504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275"/>
        <w:gridCol w:w="427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color w:val="000000" w:themeColor="text1"/>
                <w:sz w:val="24"/>
                <w:szCs w:val="32"/>
                <w:highlight w:val="none"/>
                <w14:textFill>
                  <w14:solidFill>
                    <w14:schemeClr w14:val="tx1"/>
                  </w14:solidFill>
                </w14:textFill>
              </w:rPr>
            </w:pPr>
            <w:r/>
            <w:bookmarkStart w:id="96" w:name="_Hlk196921993"/>
            <w:r>
              <w:rPr>
                <w:rFonts w:hint="eastAsia"/>
                <w:color w:val="000000" w:themeColor="text1"/>
                <w:sz w:val="24"/>
                <w:szCs w:val="32"/>
                <w:highlight w:val="none"/>
                <w14:textFill>
                  <w14:solidFill>
                    <w14:schemeClr w14:val="tx1"/>
                  </w14:solidFill>
                </w14:textFill>
              </w:rPr>
              <w:t xml:space="preserve">投标函</w:t>
            </w:r>
            <w:r>
              <w:rPr>
                <w:rFonts w:hint="eastAsia"/>
                <w:color w:val="000000" w:themeColor="text1"/>
                <w:sz w:val="24"/>
                <w:szCs w:val="32"/>
                <w:highlight w:val="none"/>
                <w:lang w:val="en-US" w:eastAsia="zh-CN"/>
                <w14:textFill>
                  <w14:solidFill>
                    <w14:schemeClr w14:val="tx1"/>
                  </w14:solidFill>
                </w14:textFill>
              </w:rPr>
              <w:t xml:space="preserve">及其他招标文件第六部分要求提供的格式文件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97" w:name="_Hlk196922000"/>
            <w:r>
              <w:rPr>
                <w:rFonts w:hint="eastAsia"/>
                <w:color w:val="000000" w:themeColor="text1"/>
                <w:sz w:val="24"/>
                <w:szCs w:val="32"/>
                <w:highlight w:val="none"/>
                <w14:textFill>
                  <w14:solidFill>
                    <w14:schemeClr w14:val="tx1"/>
                  </w14:solidFill>
                </w14:textFill>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000000" w:themeColor="text1"/>
                <w:sz w:val="24"/>
                <w:szCs w:val="32"/>
                <w:highlight w:val="none"/>
                <w14:textFill>
                  <w14:solidFill>
                    <w14:schemeClr w14:val="tx1"/>
                  </w14:solidFill>
                </w14:textFill>
              </w:rPr>
            </w:pPr>
            <w:r/>
            <w:bookmarkStart w:id="98" w:name="_Hlk198712051"/>
            <w:r>
              <w:rPr>
                <w:rFonts w:hint="eastAsia"/>
                <w:color w:val="000000" w:themeColor="text1"/>
                <w:sz w:val="24"/>
                <w:szCs w:val="32"/>
                <w:highlight w:val="none"/>
                <w14:textFill>
                  <w14:solidFill>
                    <w14:schemeClr w14:val="tx1"/>
                  </w14:solidFill>
                </w14:textFill>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99" w:name="_Hlk196922013"/>
            <w:r>
              <w:rPr>
                <w:rFonts w:hint="eastAsia"/>
                <w:color w:val="000000" w:themeColor="text1"/>
                <w:sz w:val="24"/>
                <w:szCs w:val="32"/>
                <w:highlight w:val="none"/>
                <w14:textFill>
                  <w14:solidFill>
                    <w14:schemeClr w14:val="tx1"/>
                  </w14:solidFill>
                </w14:textFill>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9"/>
            <w:r/>
            <w:r/>
          </w:p>
        </w:tc>
      </w:tr>
    </w:tbl>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76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pStyle w:val="76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pStyle w:val="766"/>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投标文件中开标一览表内容与投标文件中相应内容不一致的，以开标一览表为准。</w:t>
      </w:r>
      <w:r/>
    </w:p>
    <w:p>
      <w:pPr>
        <w:pStyle w:val="766"/>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大写金额和小写金额不一致的，以大写金额为准。</w:t>
      </w:r>
      <w:r/>
    </w:p>
    <w:p>
      <w:pPr>
        <w:pStyle w:val="766"/>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单价金额小数点或者百分比有明显错位的，以开标一览表的总价为准，并修改单价。</w:t>
      </w:r>
      <w:r/>
    </w:p>
    <w:p>
      <w:pPr>
        <w:pStyle w:val="766"/>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总价金额与按单价汇总金额不一致的，以单价金额计算结果为准。</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同时出现两种以上错误的，按照前款规定的顺序修正。</w:t>
      </w:r>
      <w:r/>
    </w:p>
    <w:p>
      <w:pPr>
        <w:pStyle w:val="76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w:t>
      </w:r>
      <w:r/>
    </w:p>
    <w:p>
      <w:pPr>
        <w:pStyle w:val="76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766"/>
        <w:numPr>
          <w:ilvl w:val="0"/>
          <w:numId w:val="33"/>
        </w:numPr>
        <w:tabs>
          <w:tab w:val="clear" w:pos="210" w:leader="none"/>
          <w:tab w:val="left" w:pos="900" w:leader="none"/>
        </w:tabs>
        <w:rPr>
          <w:color w:val="000000" w:themeColor="text1"/>
          <w:highlight w:val="none"/>
          <w14:textFill>
            <w14:solidFill>
              <w14:schemeClr w14:val="tx1"/>
            </w14:solidFill>
          </w14:textFill>
        </w:rPr>
      </w:pPr>
      <w:r/>
      <w:bookmarkStart w:id="100" w:name="_Toc513029234"/>
      <w:r/>
      <w:bookmarkStart w:id="101" w:name="_Toc16938550"/>
      <w:r/>
      <w:bookmarkStart w:id="102" w:name="_Toc20823306"/>
      <w:r>
        <w:rPr>
          <w:color w:val="000000" w:themeColor="text1"/>
          <w:highlight w:val="none"/>
          <w14:textFill>
            <w14:solidFill>
              <w14:schemeClr w14:val="tx1"/>
            </w14:solidFill>
          </w14:textFill>
        </w:rPr>
        <w:t xml:space="preserve">投标人在开、评标全过程中应</w:t>
      </w:r>
      <w:r>
        <w:rPr>
          <w:rFonts w:hint="eastAsia"/>
          <w:color w:val="000000" w:themeColor="text1"/>
          <w:highlight w:val="none"/>
          <w14:textFill>
            <w14:solidFill>
              <w14:schemeClr w14:val="tx1"/>
            </w14:solidFill>
          </w14:textFill>
        </w:rPr>
        <w:t xml:space="preserve">保持通信畅通</w:t>
      </w:r>
      <w:r>
        <w:rPr>
          <w:color w:val="000000" w:themeColor="text1"/>
          <w:highlight w:val="none"/>
          <w14:textFill>
            <w14:solidFill>
              <w14:schemeClr w14:val="tx1"/>
            </w14:solidFill>
          </w14:textFill>
        </w:rPr>
        <w:t xml:space="preserve">，并安排专人与采购人或采购代理机构及评标委员会联系。</w:t>
      </w:r>
      <w:bookmarkEnd w:id="100"/>
      <w:r/>
      <w:bookmarkEnd w:id="101"/>
      <w:r/>
      <w:bookmarkEnd w:id="102"/>
      <w:r/>
      <w:r/>
    </w:p>
    <w:p>
      <w:pPr>
        <w:pStyle w:val="745"/>
        <w:numPr>
          <w:ilvl w:val="0"/>
          <w:numId w:val="28"/>
        </w:numPr>
        <w:ind w:firstLine="482"/>
        <w:tabs>
          <w:tab w:val="clear" w:pos="210" w:leader="none"/>
          <w:tab w:val="left" w:pos="781" w:leader="none"/>
        </w:tabs>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无效投标条款和废标条款</w:t>
      </w:r>
      <w:r/>
    </w:p>
    <w:p>
      <w:pPr>
        <w:pStyle w:val="766"/>
        <w:numPr>
          <w:ilvl w:val="0"/>
          <w:numId w:val="35"/>
        </w:numPr>
        <w:tabs>
          <w:tab w:val="clear" w:pos="210" w:leader="none"/>
          <w:tab w:val="left" w:pos="900" w:leader="none"/>
        </w:tabs>
        <w:rPr>
          <w:color w:val="000000" w:themeColor="text1"/>
          <w:highlight w:val="none"/>
          <w14:textFill>
            <w14:solidFill>
              <w14:schemeClr w14:val="tx1"/>
            </w14:solidFill>
          </w14:textFill>
        </w:rPr>
      </w:pPr>
      <w:r/>
      <w:bookmarkStart w:id="103" w:name="_Toc20823307"/>
      <w:r/>
      <w:bookmarkStart w:id="104" w:name="_Toc513029235"/>
      <w:r/>
      <w:bookmarkStart w:id="105" w:name="_Toc16938551"/>
      <w:r>
        <w:rPr>
          <w:color w:val="000000" w:themeColor="text1"/>
          <w:highlight w:val="none"/>
          <w14:textFill>
            <w14:solidFill>
              <w14:schemeClr w14:val="tx1"/>
            </w14:solidFill>
          </w14:textFill>
        </w:rPr>
        <w:t xml:space="preserve">无效投标条款</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6.1.1投标人在规定的时间内未成功解密电子投标文件的。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6.1.2投标人未按照招标文件要求上传电子投标文件的。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6.1.3同一投标人提交两个（含两个）以上不同的投标报价的。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6.1.4投标人不具备招标文件中规定的资格要求</w:t>
      </w:r>
      <w:r>
        <w:rPr>
          <w:rFonts w:hint="eastAsia"/>
          <w:color w:val="000000" w:themeColor="text1"/>
          <w:highlight w:val="none"/>
          <w14:textFill>
            <w14:solidFill>
              <w14:schemeClr w14:val="tx1"/>
            </w14:solidFill>
          </w14:textFill>
        </w:rPr>
        <w:t xml:space="preserve">或投标文件未按招标文件规定提供资格证明文件</w:t>
      </w:r>
      <w:r>
        <w:rPr>
          <w:color w:val="000000" w:themeColor="text1"/>
          <w:highlight w:val="none"/>
          <w14:textFill>
            <w14:solidFill>
              <w14:schemeClr w14:val="tx1"/>
            </w14:solidFill>
          </w14:textFill>
        </w:rPr>
        <w:t xml:space="preserve">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6.1.5投标人的报价超过了采购预算或最高限价的。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6.1.6未通过符合性检查的。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6.1.7不符合招标文件中规定的其他实质性要求和条件的。</w:t>
      </w:r>
      <w:r>
        <w:rPr>
          <w:rFonts w:hint="eastAsia"/>
          <w:color w:val="000000" w:themeColor="text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实质性要求和条件包括但不限于加注“</w:t>
      </w:r>
      <w:r>
        <w:rPr>
          <w:rFonts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”“★”号、带有</w:t>
      </w:r>
      <w:r>
        <w:rPr>
          <w:rFonts w:hint="eastAsia" w:hAnsi="宋体" w:cs="宋体"/>
          <w:color w:val="000000" w:themeColor="text1"/>
          <w:highlight w:val="none"/>
          <w:u w:val="single"/>
          <w14:textFill>
            <w14:solidFill>
              <w14:schemeClr w14:val="tx1"/>
            </w14:solidFill>
          </w14:textFill>
        </w:rPr>
        <w:t xml:space="preserve">下划线</w:t>
      </w:r>
      <w:r>
        <w:rPr>
          <w:rFonts w:hint="eastAsia" w:hAnsi="宋体" w:cs="宋体"/>
          <w:color w:val="000000" w:themeColor="text1"/>
          <w:highlight w:val="none"/>
          <w14:textFill>
            <w14:solidFill>
              <w14:schemeClr w14:val="tx1"/>
            </w14:solidFill>
          </w14:textFill>
        </w:rPr>
        <w:t xml:space="preserve">的条款或其他可能对本项目产生实质性影响的条款</w:t>
      </w:r>
      <w:r>
        <w:rPr>
          <w:rFonts w:hint="eastAsia"/>
          <w:color w:val="000000" w:themeColor="text1"/>
          <w:highlight w:val="none"/>
          <w14:textFill>
            <w14:solidFill>
              <w14:schemeClr w14:val="tx1"/>
            </w14:solidFill>
          </w14:textFill>
        </w:rPr>
        <w:t xml:space="preserve">）</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6.1.9投标文件含有采购人不能接受的附加条件的。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6.1.10评标委员会认为投标人的报价明显低于其他通过符合性审查的投标人的报价，有可能影响产品质量或者不能诚信履约的，通过苏采云系统要求其在合理的时间内提供说明</w:t>
      </w:r>
      <w:r>
        <w:rPr>
          <w:rFonts w:hint="eastAsia"/>
          <w:color w:val="000000" w:themeColor="text1"/>
          <w:highlight w:val="none"/>
          <w14:textFill>
            <w14:solidFill>
              <w14:schemeClr w14:val="tx1"/>
            </w14:solidFill>
          </w14:textFill>
        </w:rPr>
        <w:t xml:space="preserve">并</w:t>
      </w:r>
      <w:r>
        <w:rPr>
          <w:color w:val="000000" w:themeColor="text1"/>
          <w:highlight w:val="none"/>
          <w14:textFill>
            <w14:solidFill>
              <w14:schemeClr w14:val="tx1"/>
            </w14:solidFill>
          </w14:textFill>
        </w:rPr>
        <w:t xml:space="preserve">提交相关证明材料；投标人</w:t>
      </w:r>
      <w:r>
        <w:rPr>
          <w:rFonts w:hint="eastAsia"/>
          <w:color w:val="000000" w:themeColor="text1"/>
          <w:highlight w:val="none"/>
          <w14:textFill>
            <w14:solidFill>
              <w14:schemeClr w14:val="tx1"/>
            </w14:solidFill>
          </w14:textFill>
        </w:rPr>
        <w:t xml:space="preserve">未响应或</w:t>
      </w:r>
      <w:r>
        <w:rPr>
          <w:color w:val="000000" w:themeColor="text1"/>
          <w:highlight w:val="none"/>
          <w14:textFill>
            <w14:solidFill>
              <w14:schemeClr w14:val="tx1"/>
            </w14:solidFill>
          </w14:textFill>
        </w:rPr>
        <w:t xml:space="preserve">不能证明其报价合理性的，评标委员会应当将其作为无效投标处理。</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投标文件未按照招标文件要求加盖电子签章</w:t>
      </w:r>
      <w:r>
        <w:rPr>
          <w:rFonts w:hint="eastAsia"/>
          <w:color w:val="000000" w:themeColor="text1"/>
          <w:highlight w:val="none"/>
          <w14:textFill>
            <w14:solidFill>
              <w14:schemeClr w14:val="tx1"/>
            </w14:solidFill>
          </w14:textFill>
        </w:rPr>
        <w:t xml:space="preserve">、签字的</w:t>
      </w:r>
      <w:r>
        <w:rPr>
          <w:color w:val="000000" w:themeColor="text1"/>
          <w:highlight w:val="none"/>
          <w14:textFill>
            <w14:solidFill>
              <w14:schemeClr w14:val="tx1"/>
            </w14:solidFill>
          </w14:textFill>
        </w:rPr>
        <w:t xml:space="preserve">。</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不同的投标人投标文件制作机器码、文件创建标识码一致的。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w:t>
      </w: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投标人的商务、技术部分得分相差异常悬殊，评标委员会一致认为得分畸低者有可能影响产品质量或者不能诚信履约的。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w:t>
      </w:r>
      <w:r>
        <w:rPr>
          <w:rFonts w:hint="eastAsia"/>
          <w:color w:val="000000" w:themeColor="text1"/>
          <w:highlight w:val="none"/>
          <w:lang w:val="en-US" w:eastAsia="zh-CN"/>
          <w14:textFill>
            <w14:solidFill>
              <w14:schemeClr w14:val="tx1"/>
            </w14:solidFill>
          </w14:textFill>
        </w:rPr>
        <w:t xml:space="preserve">4</w:t>
      </w:r>
      <w:r>
        <w:rPr>
          <w:color w:val="000000" w:themeColor="text1"/>
          <w:highlight w:val="none"/>
          <w14:textFill>
            <w14:solidFill>
              <w14:schemeClr w14:val="tx1"/>
            </w14:solidFill>
          </w14:textFill>
        </w:rPr>
        <w:t xml:space="preserve">其他法律法规及本招标文件规定的无效投标的情形。</w:t>
      </w:r>
      <w:r/>
    </w:p>
    <w:p>
      <w:pPr>
        <w:pStyle w:val="766"/>
        <w:numPr>
          <w:ilvl w:val="0"/>
          <w:numId w:val="3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废标条款：</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6.2.1符合专业条件的供应商或者对招标文件作出实质响应的供应商不足三家的。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6.2.2出现影响采购公正的违法、违规行为的。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6.2.3因重大变故，采购任务取消的。</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6.2.4评标委员会认定招标文件存在歧义、重大缺陷导致评审工作无法进行。</w:t>
      </w:r>
      <w:r/>
    </w:p>
    <w:p>
      <w:pPr>
        <w:pStyle w:val="76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6.2.5因系统故障原因造成开标不成功的。</w:t>
      </w:r>
      <w:r/>
    </w:p>
    <w:p>
      <w:pPr>
        <w:pStyle w:val="766"/>
        <w:numPr>
          <w:ilvl w:val="0"/>
          <w:numId w:val="3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投标文件线上格式要求</w:t>
      </w:r>
      <w:r/>
    </w:p>
    <w:p>
      <w:pPr>
        <w:pStyle w:val="766"/>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投标人应当通过“苏采云”系统提交数据电文形式的投标文件（即电子投标）。</w:t>
      </w:r>
      <w:r/>
    </w:p>
    <w:p>
      <w:pPr>
        <w:pStyle w:val="766"/>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通过“苏采云”系统提交政府采购客户端工具导出加密的投标文件。</w:t>
      </w:r>
      <w:r/>
    </w:p>
    <w:p>
      <w:pPr>
        <w:pStyle w:val="766"/>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本项目采用线上投标，即投标人的投标文件从政府采购客户端工具制作通过“苏采云”系统提交，未提供线上投标文件的，投标无效。</w:t>
      </w:r>
      <w:bookmarkEnd w:id="103"/>
      <w:r/>
      <w:bookmarkEnd w:id="104"/>
      <w:r/>
      <w:bookmarkEnd w:id="105"/>
      <w:r/>
      <w:r/>
    </w:p>
    <w:p>
      <w:pPr>
        <w:pStyle w:val="74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06" w:name="_Toc120614219"/>
      <w:r>
        <w:rPr>
          <w:color w:val="000000" w:themeColor="text1"/>
          <w:highlight w:val="none"/>
          <w14:textFill>
            <w14:solidFill>
              <w14:schemeClr w14:val="tx1"/>
            </w14:solidFill>
          </w14:textFill>
        </w:rPr>
        <w:t xml:space="preserve">定标</w:t>
      </w:r>
      <w:bookmarkEnd w:id="106"/>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107" w:name="_Toc16938554"/>
      <w:r/>
      <w:bookmarkStart w:id="108" w:name="_Toc20823310"/>
      <w:r>
        <w:rPr>
          <w:color w:val="000000" w:themeColor="text1"/>
          <w:highlight w:val="none"/>
          <w14:textFill>
            <w14:solidFill>
              <w14:schemeClr w14:val="tx1"/>
            </w14:solidFill>
          </w14:textFill>
        </w:rPr>
        <w:t xml:space="preserve">确定</w:t>
      </w:r>
      <w:bookmarkEnd w:id="107"/>
      <w:r/>
      <w:bookmarkEnd w:id="108"/>
      <w:r>
        <w:rPr>
          <w:color w:val="000000" w:themeColor="text1"/>
          <w:highlight w:val="none"/>
          <w14:textFill>
            <w14:solidFill>
              <w14:schemeClr w14:val="tx1"/>
            </w14:solidFill>
          </w14:textFill>
        </w:rPr>
        <w:t xml:space="preserve">中标单位</w:t>
      </w:r>
      <w:r/>
    </w:p>
    <w:p>
      <w:pPr>
        <w:pStyle w:val="766"/>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中标候选人的选取原则和数量见招标文件第四部分规定。</w:t>
      </w:r>
      <w:r/>
    </w:p>
    <w:p>
      <w:pPr>
        <w:pStyle w:val="766"/>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采购人应根据评标委员会推荐的中标候选人确定中标供应商。</w:t>
      </w:r>
      <w:r/>
    </w:p>
    <w:p>
      <w:pPr>
        <w:pStyle w:val="766"/>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采购人或采购代理机构将在“江苏政府采购网”发布中标公告，公告期限为1个工作日。</w:t>
      </w:r>
      <w:r/>
    </w:p>
    <w:p>
      <w:pPr>
        <w:pStyle w:val="766"/>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若有充分证据证明，中标人出现下列情况之一的，一经查实，将被取消中标资格：</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.4.1提供虚假材料谋取中标的。</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.4.2向采购人或采购代理机构行贿或者评审专家提供其他不正当利益的。</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.4.3恶意竞争，投标总报价明显低于其自身合理成本且又无法提供证明的。</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.4.4属于本文件规定的无效条件，但在评标过程中又未被评委会发现的。</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.4.5与采购人或者其他供应商恶意串通的。</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.4.6采取不正当手段诋毁、排挤其他供应商的。</w:t>
      </w:r>
      <w:r/>
    </w:p>
    <w:p>
      <w:pPr>
        <w:pStyle w:val="766"/>
        <w:numPr>
          <w:ilvl w:val="0"/>
          <w:numId w:val="37"/>
        </w:numPr>
        <w:ind w:left="0" w:firstLine="480"/>
        <w:tabs>
          <w:tab w:val="left" w:pos="900" w:leader="none"/>
        </w:tabs>
        <w:rPr>
          <w:color w:val="000000" w:themeColor="text1"/>
          <w:highlight w:val="none"/>
          <w14:textFill>
            <w14:solidFill>
              <w14:schemeClr w14:val="tx1"/>
            </w14:solidFill>
          </w14:textFill>
        </w:rPr>
      </w:pPr>
      <w:r/>
      <w:bookmarkStart w:id="109" w:name="_Toc200451960"/>
      <w:r>
        <w:rPr>
          <w:color w:val="000000" w:themeColor="text1"/>
          <w:highlight w:val="none"/>
          <w14:textFill>
            <w14:solidFill>
              <w14:schemeClr w14:val="tx1"/>
            </w14:solidFill>
          </w14:textFill>
        </w:rPr>
        <w:t xml:space="preserve">有下列情形之一的，视为投标人串通投标，投标无效：</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.5.1不同投标人的投标文件由同一单位或者个人编制；</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.5.2不同投标人委托同一单位或者个人办理投标事宜；</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.5.3不同投标人的投标文件载明的项目管理成员或者联系人员为同一人；</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.5.4不同投标人的投标文件异常一致或者投标报价呈规律性差异；</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.5.5不同投标人的投标文件相互混装；</w:t>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w:t>
      </w:r>
      <w:bookmarkEnd w:id="109"/>
      <w:r>
        <w:rPr>
          <w:color w:val="000000" w:themeColor="text1"/>
          <w:highlight w:val="none"/>
          <w14:textFill>
            <w14:solidFill>
              <w14:schemeClr w14:val="tx1"/>
            </w14:solidFill>
          </w14:textFill>
        </w:rPr>
        <w:t xml:space="preserve">与投诉</w:t>
      </w:r>
      <w:r/>
    </w:p>
    <w:p>
      <w:pPr>
        <w:pStyle w:val="766"/>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pStyle w:val="766"/>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.2.1对可以质疑的采购文件提出质疑的，为收到采购文件之日或者采购文件公告期限届满之日；</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.2.2对采购过程提出质疑的，为各采购程序环节结束之日；</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.2.3对中标或者成交结果提出质疑的，为中标或者成交结果公告期限届满之日。</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供应商应当在法定质疑期内一次性提出针对同一采购程序环节的质疑。</w:t>
      </w:r>
      <w:r/>
    </w:p>
    <w:p>
      <w:pPr>
        <w:pStyle w:val="766"/>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766"/>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质疑答复依据《政府采购质疑和投诉办法》（财政部令第94号）。</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采购人质疑接收人及联系方式，见招标文件第一部分。</w:t>
      </w:r>
      <w:r/>
    </w:p>
    <w:p>
      <w:pPr>
        <w:pStyle w:val="766"/>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以下情形的质疑不予受理</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.5.1内容不符合《政府采购质疑和投诉办法》第十二条规定的质疑。</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.5.2超出政府采购法定期限的质疑。</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.5.3未参加投标活动的供应商或在投标活动中自身权益未受到损害的供应商所提出的质疑。</w:t>
      </w:r>
      <w:r/>
    </w:p>
    <w:p>
      <w:pPr>
        <w:pStyle w:val="766"/>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.5.4供应商组成联合体参加投标，联合体中任何一方或多方未按要求签字、盖章、加盖公章的质疑。</w:t>
      </w:r>
      <w:r/>
    </w:p>
    <w:p>
      <w:pPr>
        <w:pStyle w:val="766"/>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66"/>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w:t>
      </w:r>
      <w:r/>
    </w:p>
    <w:p>
      <w:pPr>
        <w:pStyle w:val="766"/>
        <w:numPr>
          <w:ilvl w:val="0"/>
          <w:numId w:val="3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中标结果确定后，采购人或采购代理机构将向中标供应商发出中标通知书。</w:t>
      </w:r>
      <w:r/>
    </w:p>
    <w:p>
      <w:pPr>
        <w:pStyle w:val="766"/>
        <w:numPr>
          <w:ilvl w:val="0"/>
          <w:numId w:val="3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10" w:name="_Toc513029236"/>
      <w:r/>
      <w:bookmarkStart w:id="111" w:name="_Toc120614220"/>
      <w:r/>
      <w:bookmarkStart w:id="112" w:name="_Toc20823308"/>
      <w:r/>
      <w:bookmarkStart w:id="113" w:name="_Toc16938552"/>
      <w:r>
        <w:rPr>
          <w:color w:val="000000" w:themeColor="text1"/>
          <w:highlight w:val="none"/>
          <w14:textFill>
            <w14:solidFill>
              <w14:schemeClr w14:val="tx1"/>
            </w14:solidFill>
          </w14:textFill>
        </w:rPr>
        <w:t xml:space="preserve">授予合同</w:t>
      </w:r>
      <w:bookmarkEnd w:id="110"/>
      <w:r/>
      <w:bookmarkEnd w:id="111"/>
      <w:r/>
      <w:bookmarkEnd w:id="112"/>
      <w:r/>
      <w:bookmarkEnd w:id="113"/>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114" w:name="_Toc20823309"/>
      <w:r/>
      <w:bookmarkStart w:id="115" w:name="_Toc16938553"/>
      <w:r/>
      <w:bookmarkStart w:id="116" w:name="_Toc513029237"/>
      <w:r>
        <w:rPr>
          <w:color w:val="000000" w:themeColor="text1"/>
          <w:highlight w:val="none"/>
          <w14:textFill>
            <w14:solidFill>
              <w14:schemeClr w14:val="tx1"/>
            </w14:solidFill>
          </w14:textFill>
        </w:rPr>
        <w:t xml:space="preserve">签订合同</w:t>
      </w:r>
      <w:r/>
    </w:p>
    <w:p>
      <w:pPr>
        <w:pStyle w:val="766"/>
        <w:numPr>
          <w:ilvl w:val="0"/>
          <w:numId w:val="4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中标人应当在中标通知书发出之日起三十日内，按照招标文件确定的事项与采购人签订政府采购合同。</w:t>
      </w:r>
      <w:r/>
    </w:p>
    <w:p>
      <w:pPr>
        <w:pStyle w:val="766"/>
        <w:numPr>
          <w:ilvl w:val="0"/>
          <w:numId w:val="4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招标文件、中标人的投标文件及招标过程中有关澄清、承诺文件均应作为合同附件。</w:t>
      </w:r>
      <w:r/>
    </w:p>
    <w:p>
      <w:pPr>
        <w:pStyle w:val="766"/>
        <w:numPr>
          <w:ilvl w:val="0"/>
          <w:numId w:val="4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货物和服务的追加、减少和添购</w:t>
      </w:r>
      <w:r/>
    </w:p>
    <w:p>
      <w:pPr>
        <w:pStyle w:val="766"/>
        <w:numPr>
          <w:ilvl w:val="0"/>
          <w:numId w:val="41"/>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766"/>
        <w:numPr>
          <w:ilvl w:val="0"/>
          <w:numId w:val="41"/>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4"/>
      <w:r/>
      <w:bookmarkEnd w:id="115"/>
      <w:r/>
      <w:bookmarkEnd w:id="116"/>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政府采购履约保证资金</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4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政府采购履约资金扶持政策</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1467"/>
        <w:ind w:firstLine="640"/>
        <w:tabs>
          <w:tab w:val="left" w:pos="64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第三部分  项目需求</w:t>
      </w:r>
      <w:r/>
    </w:p>
    <w:p>
      <w:pPr>
        <w:pStyle w:val="76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766"/>
        <w:ind w:firstLine="482"/>
        <w:rPr>
          <w:rFonts w:hint="eastAsia" w:hAnsi="宋体"/>
          <w:color w:val="000000" w:themeColor="text1"/>
          <w:sz w:val="24"/>
          <w:szCs w:val="24"/>
          <w:highlight w:val="none"/>
          <w14:textFill>
            <w14:solidFill>
              <w14:schemeClr w14:val="tx1"/>
            </w14:solidFill>
          </w14:textFill>
        </w:rPr>
      </w:pPr>
      <w:r>
        <w:rPr>
          <w:b/>
          <w:color w:val="000000" w:themeColor="text1"/>
          <w:highlight w:val="none"/>
          <w14:textFill>
            <w14:solidFill>
              <w14:schemeClr w14:val="tx1"/>
            </w14:solidFill>
          </w14:textFill>
        </w:rPr>
        <w:t xml:space="preserve">投标人不能简单照搬照抄招标文件项目需求说明中的技术、商务要求，</w:t>
      </w:r>
      <w:r>
        <w:rPr>
          <w:rFonts w:hint="eastAsia"/>
          <w:b/>
          <w:color w:val="000000" w:themeColor="text1"/>
          <w:highlight w:val="none"/>
          <w14:textFill>
            <w14:solidFill>
              <w14:schemeClr w14:val="tx1"/>
            </w14:solidFill>
          </w14:textFill>
        </w:rPr>
        <w:t xml:space="preserve">必须</w:t>
      </w:r>
      <w:r>
        <w:rPr>
          <w:b/>
          <w:color w:val="000000" w:themeColor="text1"/>
          <w:highlight w:val="none"/>
          <w14:textFill>
            <w14:solidFill>
              <w14:schemeClr w14:val="tx1"/>
            </w14:solidFill>
          </w14:textFill>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000000" w:themeColor="text1"/>
          <w:highlight w:val="non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本章节带有下划线</w:t>
      </w:r>
      <w:r>
        <w:rPr>
          <w:rFonts w:hint="eastAsia"/>
          <w:b/>
          <w:color w:val="000000" w:themeColor="text1"/>
          <w:highlight w:val="none"/>
          <w:u w:val="single"/>
          <w14:textFill>
            <w14:solidFill>
              <w14:schemeClr w14:val="tx1"/>
            </w14:solidFill>
          </w14:textFill>
        </w:rPr>
        <w:t xml:space="preserve">及加“</w:t>
      </w:r>
      <w:r>
        <w:rPr>
          <w:color w:val="000000" w:themeColor="text1"/>
          <w:highlight w:val="none"/>
          <w:u w:val="single"/>
          <w14:textFill>
            <w14:solidFill>
              <w14:schemeClr w14:val="tx1"/>
            </w14:solidFill>
          </w14:textFill>
        </w:rPr>
        <w:t xml:space="preserve">★</w:t>
      </w:r>
      <w:r>
        <w:rPr>
          <w:rFonts w:hint="eastAsia"/>
          <w:b/>
          <w:color w:val="000000" w:themeColor="text1"/>
          <w:highlight w:val="none"/>
          <w:u w:val="singl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的内容为实质性要求，有任意一条负偏离的均按无效投标处理</w:t>
      </w:r>
      <w:r>
        <w:rPr>
          <w:b/>
          <w:color w:val="000000" w:themeColor="text1"/>
          <w:highlight w:val="none"/>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 xml:space="preserve">采购</w:t>
      </w:r>
      <w:r>
        <w:rPr>
          <w:rFonts w:hint="eastAsia" w:asciiTheme="minorEastAsia" w:hAnsiTheme="minorEastAsia" w:eastAsiaTheme="minorEastAsia" w:cstheme="minorEastAsia"/>
          <w:b/>
          <w:color w:val="000000" w:themeColor="text1"/>
          <w:sz w:val="28"/>
          <w:szCs w:val="28"/>
          <w:highlight w:val="none"/>
          <w:lang w:val="en-US" w:eastAsia="zh-CN"/>
          <w14:textFill>
            <w14:solidFill>
              <w14:schemeClr w14:val="tx1"/>
            </w14:solidFill>
          </w14:textFill>
        </w:rPr>
        <w:t xml:space="preserve">需求一览表</w:t>
      </w:r>
      <w:r/>
    </w:p>
    <w:tbl>
      <w:tblPr>
        <w:tblStyle w:val="754"/>
        <w:tblW w:w="88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2" w:type="dxa"/>
          <w:top w:w="80" w:type="dxa"/>
          <w:right w:w="102" w:type="dxa"/>
          <w:bottom w:w="80" w:type="dxa"/>
        </w:tblCellMar>
        <w:tblLook w:val="04A0" w:firstRow="1" w:lastRow="0" w:firstColumn="1" w:lastColumn="0" w:noHBand="0" w:noVBand="1"/>
      </w:tblPr>
      <w:tblGrid>
        <w:gridCol w:w="1286"/>
        <w:gridCol w:w="804"/>
        <w:gridCol w:w="1499"/>
        <w:gridCol w:w="1770"/>
        <w:gridCol w:w="1287"/>
        <w:gridCol w:w="1287"/>
        <w:gridCol w:w="879"/>
      </w:tblGrid>
      <w:tr>
        <w:trPr>
          <w:trHeight w:val="0"/>
          <w:tblHeader/>
        </w:trPr>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交货期</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交货地点</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项目预算</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最高限价</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免费保修期</w:t>
            </w:r>
            <w:r/>
          </w:p>
        </w:tc>
      </w:tr>
      <w:tr>
        <w:trPr>
          <w:trHeight w:val="1739"/>
        </w:trPr>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生命体征采集仪</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80台</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合同签订之日起30日内交货</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800"/>
              <w:jc w:val="center"/>
              <w:spacing w:before="0" w:beforeAutospacing="0" w:after="0" w:afterAutospacing="0" w:line="312" w:lineRule="auto"/>
              <w:widowControl w:val="off"/>
              <w:tabs>
                <w:tab w:val="left" w:pos="1135" w:leader="none"/>
              </w:tabs>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highlight w:val="none"/>
                <w:lang w:val="en-US" w:eastAsia="zh-CN" w:bidi="ar"/>
                <w14:textFill>
                  <w14:solidFill>
                    <w14:schemeClr w14:val="tx1"/>
                  </w14:solidFill>
                </w14:textFill>
              </w:rPr>
              <w:t xml:space="preserve">南通大学附属医院</w:t>
            </w:r>
            <w:r>
              <w:rPr>
                <w:rFonts w:hint="eastAsia" w:asciiTheme="minorEastAsia" w:hAnsiTheme="minorEastAsia" w:eastAsiaTheme="minorEastAsia" w:cstheme="minorEastAsia"/>
                <w:b w:val="0"/>
                <w:bCs w:val="0"/>
                <w:color w:val="000000" w:themeColor="text1"/>
                <w:highlight w:val="none"/>
                <w:lang w:bidi="ar"/>
                <w14:textFill>
                  <w14:solidFill>
                    <w14:schemeClr w14:val="tx1"/>
                  </w14:solidFill>
                </w14:textFill>
              </w:rPr>
              <w:t xml:space="preserve">指定地点</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right"/>
              <w:keepLines w:val="0"/>
              <w:keepNext w:val="0"/>
              <w:spacing w:before="0" w:beforeAutospacing="0" w:after="0" w:afterAutospacing="0"/>
              <w:widowControl/>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160万元</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right"/>
              <w:keepLines w:val="0"/>
              <w:keepNext w:val="0"/>
              <w:spacing w:before="0" w:beforeAutospacing="0" w:after="0" w:afterAutospacing="0"/>
              <w:widowControl/>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160万元</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b w:val="0"/>
                <w:bCs w:val="0"/>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val="0"/>
                <w:bCs w:val="0"/>
                <w:color w:val="000000" w:themeColor="text1"/>
                <w:sz w:val="24"/>
                <w:szCs w:val="24"/>
                <w:highlight w:val="none"/>
                <w:lang w:val="en-US" w:eastAsia="zh-CN" w:bidi="ar"/>
                <w14:textFill>
                  <w14:solidFill>
                    <w14:schemeClr w14:val="tx1"/>
                  </w14:solidFill>
                </w14:textFill>
              </w:rPr>
              <w:t xml:space="preserve">5年</w:t>
            </w:r>
            <w:r/>
          </w:p>
        </w:tc>
      </w:tr>
    </w:tbl>
    <w:p>
      <w:pPr>
        <w:jc w:val="left"/>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jc w:val="left"/>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二、项目需求</w:t>
      </w:r>
      <w:r/>
    </w:p>
    <w:p>
      <w:pPr>
        <w:pStyle w:val="766"/>
        <w:ind w:firstLine="0"/>
        <w:spacing w:line="240" w:lineRule="auto"/>
        <w:rPr>
          <w:rFonts w:hint="default" w:eastAsia="宋体"/>
          <w:color w:val="000000"/>
          <w:highlight w:val="none"/>
          <w:u w:val="single"/>
        </w:rPr>
      </w:pPr>
      <w:r>
        <w:rPr>
          <w:rFonts w:hint="eastAsia"/>
          <w:color w:val="000000"/>
          <w:highlight w:val="none"/>
          <w:u w:val="single"/>
        </w:rPr>
        <w:t xml:space="preserve">（一）</w:t>
      </w:r>
      <w:r>
        <w:rPr>
          <w:rFonts w:hint="eastAsia"/>
          <w:color w:val="000000"/>
          <w:highlight w:val="none"/>
          <w:u w:val="single"/>
          <w:lang w:val="en-US" w:eastAsia="zh-CN"/>
        </w:rPr>
        <w:t xml:space="preserve">基本要求</w:t>
      </w:r>
      <w:r/>
    </w:p>
    <w:p>
      <w:pPr>
        <w:contextualSpacing/>
        <w:ind w:firstLine="480"/>
        <w:jc w:val="left"/>
        <w:spacing w:after="240"/>
        <w:widowControl/>
        <w:tabs>
          <w:tab w:val="left" w:pos="-420" w:leader="none"/>
        </w:tabs>
        <w:rPr>
          <w:rFonts w:hint="eastAsia" w:ascii="宋体" w:hAnsi="宋体"/>
          <w:color w:val="000000"/>
          <w:sz w:val="24"/>
          <w:highlight w:val="none"/>
          <w:u w:val="single"/>
        </w:rPr>
      </w:pPr>
      <w:r>
        <w:rPr>
          <w:rFonts w:hint="eastAsia" w:ascii="宋体" w:hAnsi="宋体"/>
          <w:color w:val="000000"/>
          <w:sz w:val="24"/>
          <w:highlight w:val="none"/>
          <w:u w:val="single"/>
          <w:lang w:eastAsia="zh-CN" w:bidi="en-US"/>
        </w:rPr>
        <w:t xml:space="preserve">实现功能/目标：快速精准检测。同步采集体温、血压、心率、血氧等基础体征，数据准确、出值迅速</w:t>
      </w:r>
      <w:r>
        <w:rPr>
          <w:rFonts w:hint="eastAsia" w:ascii="宋体" w:hAnsi="宋体"/>
          <w:color w:val="000000"/>
          <w:sz w:val="24"/>
          <w:highlight w:val="none"/>
          <w:u w:val="single"/>
          <w:lang w:bidi="en-US"/>
        </w:rPr>
        <w:t xml:space="preserve">。</w:t>
      </w:r>
      <w:r/>
    </w:p>
    <w:p>
      <w:pPr>
        <w:pStyle w:val="766"/>
        <w:ind w:left="0" w:firstLine="0"/>
        <w:rPr>
          <w:rFonts w:hint="eastAsia" w:ascii="宋体" w:hAnsi="宋体" w:eastAsia="宋体" w:cs="Times New Roman"/>
          <w:color w:val="000000"/>
          <w:highlight w:val="none"/>
          <w:u w:val="single"/>
        </w:rPr>
      </w:pPr>
      <w:r>
        <w:rPr>
          <w:rFonts w:hint="eastAsia" w:ascii="宋体" w:hAnsi="宋体" w:eastAsia="宋体" w:cs="Times New Roman"/>
          <w:color w:val="000000"/>
          <w:highlight w:val="none"/>
          <w:u w:val="single"/>
          <w:lang w:val="en-US" w:eastAsia="zh-CN" w:bidi="en-US"/>
        </w:rPr>
        <w:t xml:space="preserve">（二）采购标的需执行的国家相关标准、行业标准、地方标准或者其他标准、规范</w:t>
      </w:r>
      <w:r/>
    </w:p>
    <w:p>
      <w:pPr>
        <w:pStyle w:val="766"/>
        <w:ind w:firstLine="480"/>
        <w:spacing w:line="240" w:lineRule="auto"/>
        <w:rPr>
          <w:rFonts w:hint="default" w:ascii="宋体" w:hAnsi="宋体" w:eastAsia="宋体" w:cs="Times New Roman"/>
          <w:color w:val="000000"/>
          <w:highlight w:val="none"/>
          <w:u w:val="single"/>
        </w:rPr>
      </w:pPr>
      <w:r>
        <w:rPr>
          <w:rFonts w:hint="eastAsia" w:ascii="宋体" w:hAnsi="宋体" w:eastAsia="宋体" w:cs="Times New Roman"/>
          <w:color w:val="000000"/>
          <w:highlight w:val="none"/>
          <w:u w:val="single"/>
          <w:lang w:val="en-US" w:eastAsia="zh-CN" w:bidi="en-US"/>
        </w:rPr>
        <w:t xml:space="preserve">GB/T 42753-2023、医疗器械监督管理条例</w:t>
      </w:r>
      <w:r>
        <w:rPr>
          <w:rFonts w:hint="eastAsia" w:ascii="宋体" w:hAnsi="宋体" w:cs="Times New Roman"/>
          <w:color w:val="000000"/>
          <w:highlight w:val="none"/>
          <w:u w:val="single"/>
          <w:lang w:val="en-US" w:eastAsia="zh-CN" w:bidi="en-US"/>
        </w:rPr>
        <w:t xml:space="preserve">。</w:t>
      </w:r>
      <w:r/>
    </w:p>
    <w:p>
      <w:pPr>
        <w:pStyle w:val="766"/>
        <w:ind w:firstLine="0"/>
        <w:spacing w:line="240" w:lineRule="auto"/>
        <w:rPr>
          <w:color w:val="000000"/>
          <w:highlight w:val="none"/>
        </w:rPr>
      </w:pPr>
      <w:r>
        <w:rPr>
          <w:rFonts w:hint="eastAsia"/>
          <w:color w:val="000000"/>
          <w:highlight w:val="none"/>
        </w:rPr>
        <w:t xml:space="preserve">（</w:t>
      </w:r>
      <w:r>
        <w:rPr>
          <w:rFonts w:hint="eastAsia"/>
          <w:color w:val="000000"/>
          <w:highlight w:val="none"/>
          <w:lang w:val="en-US" w:eastAsia="zh-CN"/>
        </w:rPr>
        <w:t xml:space="preserve">三</w:t>
      </w:r>
      <w:r>
        <w:rPr>
          <w:rFonts w:hint="eastAsia"/>
          <w:color w:val="000000"/>
          <w:highlight w:val="none"/>
        </w:rPr>
        <w:t xml:space="preserve">）技术参数要求</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1.生命体征监测仪适合成人、小儿、新生儿全年龄段患者生命体征监测，支持点测或连续监测模式。</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2.仪器显示屏幕为不小于</w:t>
      </w:r>
      <w:r>
        <w:rPr>
          <w:rFonts w:hint="eastAsia" w:ascii="宋体" w:hAnsi="宋体"/>
          <w:color w:val="000000"/>
          <w:highlight w:val="none"/>
          <w:lang w:val="en-US" w:eastAsia="zh-CN" w:bidi="en-US"/>
        </w:rPr>
        <w:t xml:space="preserve">8</w:t>
      </w:r>
      <w:r>
        <w:rPr>
          <w:rFonts w:hint="eastAsia" w:ascii="宋体" w:hAnsi="宋体" w:eastAsia="宋体"/>
          <w:color w:val="000000"/>
          <w:highlight w:val="none"/>
          <w:lang w:val="en-US" w:eastAsia="zh-CN" w:bidi="en-US"/>
        </w:rPr>
        <w:t xml:space="preserve">英寸彩色触控显示屏。</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▲3.支持监测无创血压、血氧、脉搏、体温，可升级监测呼气末二氧化碳等参数，支持血糖、尿量等不小于30个可定制的手动输入参数。</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▲4.无创血压支持充气测量，测量出值时间不多于15秒，支持血压平均值测量与直立性血压测量。</w:t>
      </w:r>
      <w:r/>
    </w:p>
    <w:p>
      <w:pPr>
        <w:pStyle w:val="766"/>
        <w:ind w:left="0" w:firstLine="0"/>
        <w:rPr>
          <w:rFonts w:hint="eastAsia" w:ascii="宋体" w:hAnsi="宋体" w:eastAsia="宋体"/>
          <w:color w:val="000000"/>
          <w:highlight w:val="none"/>
        </w:rPr>
      </w:pPr>
      <w:r>
        <w:rPr>
          <w:rFonts w:hint="eastAsia" w:ascii="宋体" w:hAnsi="宋体"/>
          <w:color w:val="000000"/>
          <w:highlight w:val="none"/>
          <w:lang w:val="en-US" w:eastAsia="zh-CN" w:bidi="en-US"/>
        </w:rPr>
        <w:t xml:space="preserve">5</w:t>
      </w:r>
      <w:r>
        <w:rPr>
          <w:rFonts w:hint="eastAsia" w:ascii="宋体" w:hAnsi="宋体" w:eastAsia="宋体"/>
          <w:color w:val="000000"/>
          <w:highlight w:val="none"/>
          <w:lang w:val="en-US" w:eastAsia="zh-CN" w:bidi="en-US"/>
        </w:rPr>
        <w:t xml:space="preserve">.血氧测量支持显示PI血流灌注指数。</w:t>
      </w:r>
      <w:r/>
    </w:p>
    <w:p>
      <w:pPr>
        <w:pStyle w:val="766"/>
        <w:ind w:left="0" w:firstLine="0"/>
        <w:rPr>
          <w:rFonts w:hint="eastAsia" w:ascii="宋体" w:hAnsi="宋体" w:eastAsia="宋体"/>
          <w:color w:val="000000"/>
          <w:highlight w:val="none"/>
        </w:rPr>
      </w:pPr>
      <w:r>
        <w:rPr>
          <w:rFonts w:hint="eastAsia" w:ascii="宋体" w:hAnsi="宋体"/>
          <w:color w:val="000000"/>
          <w:highlight w:val="none"/>
          <w:lang w:val="en-US" w:eastAsia="zh-CN" w:bidi="en-US"/>
        </w:rPr>
        <w:t xml:space="preserve">6</w:t>
      </w:r>
      <w:r>
        <w:rPr>
          <w:rFonts w:hint="eastAsia" w:ascii="宋体" w:hAnsi="宋体" w:eastAsia="宋体"/>
          <w:color w:val="000000"/>
          <w:highlight w:val="none"/>
          <w:lang w:val="en-US" w:eastAsia="zh-CN" w:bidi="en-US"/>
        </w:rPr>
        <w:t xml:space="preserve">.支持自定义工作模式，灵活调整应用科室、界面布局与参数设置，减少操作时间。</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w:t>
      </w:r>
      <w:r>
        <w:rPr>
          <w:rFonts w:hint="eastAsia" w:ascii="宋体" w:hAnsi="宋体"/>
          <w:color w:val="000000"/>
          <w:highlight w:val="none"/>
          <w:lang w:val="en-US" w:eastAsia="zh-CN" w:bidi="en-US"/>
        </w:rPr>
        <w:t xml:space="preserve">7</w:t>
      </w:r>
      <w:r>
        <w:rPr>
          <w:rFonts w:hint="eastAsia" w:ascii="宋体" w:hAnsi="宋体" w:eastAsia="宋体"/>
          <w:color w:val="000000"/>
          <w:highlight w:val="none"/>
          <w:lang w:val="en-US" w:eastAsia="zh-CN" w:bidi="en-US"/>
        </w:rPr>
        <w:t xml:space="preserve">.内置可充电锂电池，可支持不少于8小时供电。</w:t>
      </w:r>
      <w:r/>
    </w:p>
    <w:p>
      <w:pPr>
        <w:pStyle w:val="766"/>
        <w:ind w:left="0" w:firstLine="0"/>
        <w:rPr>
          <w:rFonts w:hint="eastAsia" w:ascii="宋体" w:hAnsi="宋体" w:eastAsia="宋体"/>
          <w:color w:val="000000"/>
          <w:highlight w:val="none"/>
        </w:rPr>
      </w:pPr>
      <w:r>
        <w:rPr>
          <w:rFonts w:hint="eastAsia" w:ascii="宋体" w:hAnsi="宋体"/>
          <w:color w:val="000000"/>
          <w:highlight w:val="none"/>
          <w:lang w:val="en-US" w:eastAsia="zh-CN" w:bidi="en-US"/>
        </w:rPr>
        <w:t xml:space="preserve">8</w:t>
      </w:r>
      <w:r>
        <w:rPr>
          <w:rFonts w:hint="eastAsia" w:ascii="宋体" w:hAnsi="宋体" w:eastAsia="宋体"/>
          <w:color w:val="000000"/>
          <w:highlight w:val="none"/>
          <w:lang w:val="en-US" w:eastAsia="zh-CN" w:bidi="en-US"/>
        </w:rPr>
        <w:t xml:space="preserve">.可选内置热敏双通道记录仪，支持多种记录类型。</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w:t>
      </w:r>
      <w:r>
        <w:rPr>
          <w:rFonts w:hint="eastAsia" w:ascii="宋体" w:hAnsi="宋体"/>
          <w:color w:val="000000"/>
          <w:highlight w:val="none"/>
          <w:lang w:val="en-US" w:eastAsia="zh-CN" w:bidi="en-US"/>
        </w:rPr>
        <w:t xml:space="preserve">9</w:t>
      </w:r>
      <w:r>
        <w:rPr>
          <w:rFonts w:hint="eastAsia" w:ascii="宋体" w:hAnsi="宋体" w:eastAsia="宋体"/>
          <w:color w:val="000000"/>
          <w:highlight w:val="none"/>
          <w:lang w:val="en-US" w:eastAsia="zh-CN" w:bidi="en-US"/>
        </w:rPr>
        <w:t xml:space="preserve">.具有EWS早期预警评分与图形化疼痛评分模板，同时支持自定义评分方法。</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★1</w:t>
      </w:r>
      <w:r>
        <w:rPr>
          <w:rFonts w:hint="eastAsia" w:ascii="宋体" w:hAnsi="宋体"/>
          <w:color w:val="000000"/>
          <w:highlight w:val="none"/>
          <w:lang w:val="en-US" w:eastAsia="zh-CN" w:bidi="en-US"/>
        </w:rPr>
        <w:t xml:space="preserve">0</w:t>
      </w:r>
      <w:r>
        <w:rPr>
          <w:rFonts w:hint="eastAsia" w:ascii="宋体" w:hAnsi="宋体" w:eastAsia="宋体"/>
          <w:color w:val="000000"/>
          <w:highlight w:val="none"/>
          <w:lang w:val="en-US" w:eastAsia="zh-CN" w:bidi="en-US"/>
        </w:rPr>
        <w:t xml:space="preserve">.通过无线WIFI或5G通信技术，将测量数据同步上传至院内现有护理</w:t>
      </w:r>
      <w:r>
        <w:rPr>
          <w:rFonts w:hint="eastAsia" w:ascii="宋体" w:hAnsi="宋体"/>
          <w:color w:val="000000"/>
          <w:highlight w:val="none"/>
          <w:lang w:val="en-US" w:eastAsia="zh-CN" w:bidi="en-US"/>
        </w:rPr>
        <w:t xml:space="preserve">及</w:t>
      </w:r>
      <w:r>
        <w:rPr>
          <w:rFonts w:hint="eastAsia" w:ascii="宋体" w:hAnsi="宋体" w:eastAsia="宋体"/>
          <w:color w:val="000000"/>
          <w:highlight w:val="none"/>
          <w:lang w:val="en-US" w:eastAsia="zh-CN" w:bidi="en-US"/>
        </w:rPr>
        <w:t xml:space="preserve">电子病历</w:t>
      </w:r>
      <w:r>
        <w:rPr>
          <w:rFonts w:hint="eastAsia" w:ascii="宋体" w:hAnsi="宋体"/>
          <w:color w:val="000000"/>
          <w:highlight w:val="none"/>
          <w:lang w:val="en-US" w:eastAsia="zh-CN" w:bidi="en-US"/>
        </w:rPr>
        <w:t xml:space="preserve">等系统</w:t>
      </w:r>
      <w:r>
        <w:rPr>
          <w:rFonts w:hint="eastAsia" w:ascii="宋体" w:hAnsi="宋体" w:eastAsia="宋体"/>
          <w:color w:val="000000"/>
          <w:highlight w:val="none"/>
          <w:lang w:val="en-US" w:eastAsia="zh-CN" w:bidi="en-US"/>
        </w:rPr>
        <w:t xml:space="preserve">，上传并生成电子病历记录时间≤5秒</w:t>
      </w:r>
      <w:r>
        <w:rPr>
          <w:rFonts w:hint="eastAsia" w:ascii="宋体" w:hAnsi="宋体"/>
          <w:color w:val="000000"/>
          <w:highlight w:val="none"/>
          <w:lang w:val="en-US" w:eastAsia="zh-CN" w:bidi="en-US"/>
        </w:rPr>
        <w:t xml:space="preserve">。</w:t>
      </w:r>
      <w:r>
        <w:rPr>
          <w:rFonts w:hint="eastAsia" w:ascii="宋体" w:hAnsi="宋体" w:eastAsia="宋体"/>
          <w:color w:val="000000"/>
          <w:highlight w:val="none"/>
          <w:lang w:val="en-US" w:eastAsia="zh-CN" w:bidi="en-US"/>
        </w:rPr>
        <w:t xml:space="preserve">数据传输若涉及第三方接口费用，由供应商自行承担。</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▲1</w:t>
      </w:r>
      <w:r>
        <w:rPr>
          <w:rFonts w:hint="eastAsia" w:ascii="宋体" w:hAnsi="宋体"/>
          <w:color w:val="000000"/>
          <w:highlight w:val="none"/>
          <w:lang w:val="en-US" w:eastAsia="zh-CN" w:bidi="en-US"/>
        </w:rPr>
        <w:t xml:space="preserve">1</w:t>
      </w:r>
      <w:r>
        <w:rPr>
          <w:rFonts w:hint="eastAsia" w:ascii="宋体" w:hAnsi="宋体" w:eastAsia="宋体"/>
          <w:color w:val="000000"/>
          <w:highlight w:val="none"/>
          <w:lang w:val="en-US" w:eastAsia="zh-CN" w:bidi="en-US"/>
        </w:rPr>
        <w:t xml:space="preserve">.可选配CCHD筛查工具，作为新生儿严重型先心病的有效筛查手段。</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1</w:t>
      </w:r>
      <w:r>
        <w:rPr>
          <w:rFonts w:hint="eastAsia" w:ascii="宋体" w:hAnsi="宋体"/>
          <w:color w:val="000000"/>
          <w:highlight w:val="none"/>
          <w:lang w:val="en-US" w:eastAsia="zh-CN" w:bidi="en-US"/>
        </w:rPr>
        <w:t xml:space="preserve">2</w:t>
      </w:r>
      <w:r>
        <w:rPr>
          <w:rFonts w:hint="eastAsia" w:ascii="宋体" w:hAnsi="宋体" w:eastAsia="宋体"/>
          <w:color w:val="000000"/>
          <w:highlight w:val="none"/>
          <w:lang w:val="en-US" w:eastAsia="zh-CN" w:bidi="en-US"/>
        </w:rPr>
        <w:t xml:space="preserve">.支持不小于200个事件回顾，点测模式支持不小于5000组数据回顾，连续监测模式不小于240小时数据回顾。</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1</w:t>
      </w:r>
      <w:r>
        <w:rPr>
          <w:rFonts w:hint="eastAsia" w:ascii="宋体" w:hAnsi="宋体"/>
          <w:color w:val="000000"/>
          <w:highlight w:val="none"/>
          <w:lang w:val="en-US" w:eastAsia="zh-CN" w:bidi="en-US"/>
        </w:rPr>
        <w:t xml:space="preserve">3</w:t>
      </w:r>
      <w:r>
        <w:rPr>
          <w:rFonts w:hint="eastAsia" w:ascii="宋体" w:hAnsi="宋体" w:eastAsia="宋体"/>
          <w:color w:val="000000"/>
          <w:highlight w:val="none"/>
          <w:lang w:val="en-US" w:eastAsia="zh-CN" w:bidi="en-US"/>
        </w:rPr>
        <w:t xml:space="preserve">.能够与中央监护站集成，同时查看连续监测与点测数据。</w:t>
      </w:r>
      <w:r/>
    </w:p>
    <w:p>
      <w:pPr>
        <w:pStyle w:val="766"/>
        <w:ind w:left="0" w:firstLine="0"/>
        <w:rPr>
          <w:rFonts w:hint="eastAsia" w:ascii="宋体" w:hAnsi="宋体" w:eastAsia="宋体"/>
          <w:color w:val="000000"/>
          <w:highlight w:val="none"/>
        </w:rPr>
      </w:pPr>
      <w:r>
        <w:rPr>
          <w:rFonts w:hint="eastAsia" w:ascii="宋体" w:hAnsi="宋体" w:eastAsia="宋体"/>
          <w:color w:val="000000"/>
          <w:highlight w:val="none"/>
          <w:lang w:val="en-US" w:eastAsia="zh-CN" w:bidi="en-US"/>
        </w:rPr>
        <w:t xml:space="preserve">▲1</w:t>
      </w:r>
      <w:r>
        <w:rPr>
          <w:rFonts w:hint="eastAsia" w:ascii="宋体" w:hAnsi="宋体"/>
          <w:color w:val="000000"/>
          <w:highlight w:val="none"/>
          <w:lang w:val="en-US" w:eastAsia="zh-CN" w:bidi="en-US"/>
        </w:rPr>
        <w:t xml:space="preserve">4</w:t>
      </w:r>
      <w:r>
        <w:rPr>
          <w:rFonts w:hint="eastAsia" w:ascii="宋体" w:hAnsi="宋体" w:eastAsia="宋体"/>
          <w:color w:val="000000"/>
          <w:highlight w:val="none"/>
          <w:lang w:val="en-US" w:eastAsia="zh-CN" w:bidi="en-US"/>
        </w:rPr>
        <w:t xml:space="preserve">.主机外壳</w:t>
      </w:r>
      <w:r>
        <w:rPr>
          <w:rFonts w:hint="eastAsia" w:ascii="宋体" w:hAnsi="宋体"/>
          <w:color w:val="000000"/>
          <w:highlight w:val="none"/>
          <w:lang w:val="en-US" w:eastAsia="zh-CN" w:bidi="en-US"/>
        </w:rPr>
        <w:t xml:space="preserve">不低于</w:t>
      </w:r>
      <w:r>
        <w:rPr>
          <w:rFonts w:hint="eastAsia" w:ascii="宋体" w:hAnsi="宋体" w:eastAsia="宋体"/>
          <w:color w:val="000000"/>
          <w:highlight w:val="none"/>
          <w:lang w:val="en-US" w:eastAsia="zh-CN" w:bidi="en-US"/>
        </w:rPr>
        <w:t xml:space="preserve">IPX2级防水。</w:t>
      </w:r>
      <w:r/>
    </w:p>
    <w:p>
      <w:pPr>
        <w:pStyle w:val="766"/>
        <w:ind w:left="0" w:firstLine="0"/>
        <w:rPr>
          <w:rFonts w:hint="default" w:ascii="宋体" w:hAnsi="宋体" w:eastAsia="宋体"/>
          <w:color w:val="000000"/>
          <w:highlight w:val="none"/>
        </w:rPr>
      </w:pPr>
      <w:r>
        <w:rPr>
          <w:rFonts w:hint="eastAsia" w:ascii="宋体" w:hAnsi="宋体" w:eastAsia="宋体"/>
          <w:color w:val="000000"/>
          <w:highlight w:val="none"/>
          <w:lang w:val="en-US" w:eastAsia="zh-CN" w:bidi="en-US"/>
        </w:rPr>
        <w:t xml:space="preserve">★</w:t>
      </w:r>
      <w:r>
        <w:rPr>
          <w:rFonts w:hint="eastAsia" w:ascii="宋体" w:hAnsi="宋体"/>
          <w:color w:val="000000"/>
          <w:highlight w:val="none"/>
          <w:lang w:val="en-US" w:eastAsia="zh-CN" w:bidi="en-US"/>
        </w:rPr>
        <w:t xml:space="preserve">15.每台配备扫码枪、耳温枪各1把。</w:t>
      </w:r>
      <w:r/>
    </w:p>
    <w:p>
      <w:pPr>
        <w:jc w:val="left"/>
        <w:spacing w:after="240" w:line="440" w:lineRule="exact"/>
        <w:rPr>
          <w:rFonts w:hint="eastAsia" w:ascii="宋体" w:hAnsi="宋体" w:cs="宋体"/>
          <w:b/>
          <w:bCs/>
          <w:color w:val="000000"/>
          <w:sz w:val="32"/>
          <w:szCs w:val="32"/>
          <w:highlight w:val="none"/>
          <w:u w:val="single"/>
        </w:rPr>
      </w:pPr>
      <w:r>
        <w:rPr>
          <w:rFonts w:hint="eastAsia" w:ascii="宋体" w:hAnsi="宋体" w:cs="宋体"/>
          <w:b/>
          <w:bCs/>
          <w:color w:val="000000"/>
          <w:sz w:val="32"/>
          <w:szCs w:val="32"/>
          <w:highlight w:val="none"/>
          <w:u w:val="single"/>
        </w:rPr>
        <w:t xml:space="preserve">★三、商务条款</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设备生产日期：不早于设备到货日期前6个月。</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交货期：合同签订之日起</w:t>
      </w:r>
      <w:r>
        <w:rPr>
          <w:rFonts w:hint="eastAsia"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0日内。</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交货地点：</w:t>
      </w:r>
      <w:r>
        <w:rPr>
          <w:rFonts w:hint="eastAsia" w:ascii="Times New Roman" w:hAnsi="Times New Roman" w:eastAsia="宋体" w:cs="Times New Roman"/>
          <w:color w:val="000000"/>
          <w:sz w:val="24"/>
          <w:szCs w:val="24"/>
          <w:highlight w:val="none"/>
        </w:rPr>
        <w:t xml:space="preserve">南通大学附属医院</w:t>
      </w:r>
      <w:r>
        <w:rPr>
          <w:rFonts w:hint="default" w:ascii="Times New Roman" w:hAnsi="Times New Roman" w:eastAsia="宋体" w:cs="Times New Roman"/>
          <w:color w:val="000000"/>
          <w:sz w:val="24"/>
          <w:szCs w:val="24"/>
          <w:highlight w:val="none"/>
        </w:rPr>
        <w:t xml:space="preserve">指定地点。</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质量保证及售后服务要求：</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4.1免费质保期：自设备验收之日起，</w:t>
      </w:r>
      <w:r>
        <w:rPr>
          <w:rFonts w:hint="eastAsia" w:cs="Times New Roman"/>
          <w:color w:val="000000"/>
          <w:sz w:val="24"/>
          <w:szCs w:val="24"/>
          <w:highlight w:val="none"/>
          <w:lang w:val="en-US" w:eastAsia="zh-CN"/>
        </w:rPr>
        <w:t xml:space="preserve">主机</w:t>
      </w:r>
      <w:r>
        <w:rPr>
          <w:rFonts w:hint="eastAsia" w:ascii="Times New Roman" w:hAnsi="Times New Roman" w:eastAsia="宋体" w:cs="Times New Roman"/>
          <w:color w:val="000000"/>
          <w:sz w:val="24"/>
          <w:szCs w:val="24"/>
          <w:highlight w:val="none"/>
        </w:rPr>
        <w:t xml:space="preserve">质保5</w:t>
      </w:r>
      <w:r>
        <w:rPr>
          <w:rFonts w:hint="eastAsia" w:cs="Times New Roman"/>
          <w:color w:val="000000"/>
          <w:sz w:val="24"/>
          <w:szCs w:val="24"/>
          <w:highlight w:val="none"/>
          <w:lang w:val="en-US" w:eastAsia="zh-CN"/>
        </w:rPr>
        <w:t xml:space="preserve">年，耳温枪3年，电池等其他附件1年</w:t>
      </w:r>
      <w:r>
        <w:rPr>
          <w:rFonts w:hint="eastAsia" w:ascii="Times New Roman" w:hAnsi="Times New Roman" w:eastAsia="宋体" w:cs="Times New Roman"/>
          <w:color w:val="000000"/>
          <w:sz w:val="24"/>
          <w:szCs w:val="24"/>
          <w:highlight w:val="none"/>
        </w:rPr>
        <w:t xml:space="preserve">。</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4.2保修期内投标人保证货物完好率不低于95%，如因货物质量问题导致货物部分或全部功能停用率超过5%（一年按365天计算，每年18天），则每超过一天，质保期延长两周。</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4.3质保范围：合同项目下所有货物，包括配套附件、软件等所出现的任何故障及性能偏差。</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4.4质保期外如需更换配件</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投标人保证先维修后收费，所更换的配件保修不少于一年。</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投标人保证有充足的备件确保故障设备在接到采购人报修电话48小时内现场修复。需返厂维修的设备，投标人承担拆卸、包装、运输及再安装等费用。</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投标人保证</w:t>
      </w:r>
      <w:r>
        <w:rPr>
          <w:rFonts w:hint="eastAsia" w:cs="Times New Roman"/>
          <w:color w:val="000000"/>
          <w:sz w:val="24"/>
          <w:szCs w:val="24"/>
          <w:highlight w:val="none"/>
          <w:lang w:val="en-US" w:eastAsia="zh-CN"/>
        </w:rPr>
        <w:t xml:space="preserve">提供每年不少于2次的维护保养及性能检测。</w:t>
      </w:r>
      <w:r>
        <w:rPr>
          <w:rFonts w:hint="eastAsia" w:ascii="Times New Roman" w:hAnsi="Times New Roman" w:eastAsia="宋体" w:cs="Times New Roman"/>
          <w:color w:val="000000"/>
          <w:sz w:val="24"/>
          <w:szCs w:val="24"/>
          <w:highlight w:val="none"/>
        </w:rPr>
        <w:t xml:space="preserve">所有的保养维护工作填写相关技术档案并由双方签字确认。</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投标人应在交货时免费提供维修手册、专业工具等设备运行、维护、维修等必需的资料、材料。</w:t>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rPr>
          <w:rFonts w:hint="eastAsia"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en-US" w:eastAsia="zh-CN"/>
        </w:rPr>
        <w:t xml:space="preserve">配套软件免费升级</w:t>
      </w:r>
      <w:r>
        <w:rPr>
          <w:rFonts w:hint="eastAsia" w:cs="Times New Roman"/>
          <w:color w:val="000000"/>
          <w:sz w:val="24"/>
          <w:szCs w:val="24"/>
          <w:highlight w:val="none"/>
          <w:lang w:val="en-US" w:eastAsia="zh-CN"/>
        </w:rPr>
        <w:t xml:space="preserve">。</w:t>
      </w:r>
      <w:r/>
    </w:p>
    <w:p>
      <w:pPr>
        <w:ind w:left="0" w:firstLine="0"/>
        <w:jc w:val="both"/>
        <w:spacing w:after="120" w:line="360" w:lineRule="auto"/>
        <w:widowControl w:val="off"/>
        <w:tabs>
          <w:tab w:val="left" w:pos="900" w:leader="none"/>
        </w:tabs>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4.9质保期内每年提供官方认可的质控报告。</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培训：</w:t>
      </w:r>
      <w:r>
        <w:rPr>
          <w:rFonts w:hint="eastAsia" w:ascii="Times New Roman" w:hAnsi="Times New Roman" w:eastAsia="宋体" w:cs="Times New Roman"/>
          <w:color w:val="000000"/>
          <w:sz w:val="24"/>
          <w:szCs w:val="24"/>
          <w:highlight w:val="none"/>
        </w:rPr>
        <w:t xml:space="preserve">卖方负责对买方的操作、维修人员在项目所在地进行业务培训。培训应达到能熟练操作，并能排除常见故障的标准</w:t>
      </w:r>
      <w:r>
        <w:rPr>
          <w:rFonts w:hint="default" w:ascii="Times New Roman" w:hAnsi="Times New Roman" w:eastAsia="宋体" w:cs="Times New Roman"/>
          <w:color w:val="000000"/>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设备验收方式及标准</w:t>
      </w:r>
      <w:r/>
    </w:p>
    <w:p>
      <w:pPr>
        <w:ind w:left="0" w:firstLine="0"/>
        <w:jc w:val="both"/>
        <w:spacing w:after="120" w:line="360" w:lineRule="auto"/>
        <w:widowControl w:val="off"/>
        <w:tabs>
          <w:tab w:val="left" w:pos="78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6.1验收方式</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投标人负责货物的安装、调试、试用过程中的现场安全管理，若安装、调试及试用过程中发生安全事故，投标人应承担全部责任。</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货物试用结束后双方应</w:t>
      </w:r>
      <w:r>
        <w:rPr>
          <w:rFonts w:hint="eastAsia" w:cs="Times New Roman"/>
          <w:color w:val="000000"/>
          <w:sz w:val="24"/>
          <w:szCs w:val="24"/>
          <w:highlight w:val="none"/>
          <w:lang w:val="en-US" w:eastAsia="zh-CN"/>
        </w:rPr>
        <w:t xml:space="preserve">在30日内</w:t>
      </w:r>
      <w:r>
        <w:rPr>
          <w:rFonts w:hint="eastAsia" w:ascii="Times New Roman" w:hAnsi="Times New Roman" w:eastAsia="宋体" w:cs="Times New Roman"/>
          <w:color w:val="000000"/>
          <w:sz w:val="24"/>
          <w:szCs w:val="24"/>
          <w:highlight w:val="none"/>
        </w:rPr>
        <w:t xml:space="preserve">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numPr>
          <w:ilvl w:val="0"/>
          <w:numId w:val="4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如果投标人提供的产品未能达到采购人的参数要求、合同约定的要求或者质量标准及因设备本身原因出现故障两次及以上，投标人则必须无条件换货或退货，由此引起的一切损失由投标人承担。</w:t>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6.2 验收标准</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招标文件</w:t>
      </w:r>
      <w:r>
        <w:rPr>
          <w:rFonts w:hint="eastAsia" w:ascii="Times New Roman" w:hAnsi="Times New Roman" w:eastAsia="宋体" w:cs="Times New Roman"/>
          <w:color w:val="000000"/>
          <w:sz w:val="24"/>
          <w:szCs w:val="24"/>
          <w:highlight w:val="none"/>
        </w:rPr>
        <w:t xml:space="preserve">、中标人投标文件、采购合同、产品说明书及</w:t>
      </w:r>
      <w:r>
        <w:rPr>
          <w:rFonts w:hint="default" w:ascii="Times New Roman" w:hAnsi="Times New Roman" w:eastAsia="宋体" w:cs="Times New Roman"/>
          <w:color w:val="000000"/>
          <w:sz w:val="24"/>
          <w:szCs w:val="24"/>
          <w:highlight w:val="none"/>
        </w:rPr>
        <w:t xml:space="preserve">技术规格书中明确的标准和技术要求；</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与合同货物有关的最新版本的中华人民共和国国家/国际标准和部颁标准；</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卖方随投标文件提供货物制造国的制造及验收的官方标准或货物验收大纲，经买方确认后，将作为对货物的验收依据之一。</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卖方在澄清投标文件时作出的承诺，经买方确认后，将作为对货物的验收依据之一。</w:t>
      </w:r>
      <w:r/>
    </w:p>
    <w:p>
      <w:pPr>
        <w:numPr>
          <w:ilvl w:val="0"/>
          <w:numId w:val="4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双方签订的合同条款规定的其他产品配置与技术指标</w:t>
      </w:r>
      <w:r>
        <w:rPr>
          <w:rFonts w:hint="default" w:ascii="Times New Roman" w:hAnsi="Times New Roman" w:eastAsia="宋体" w:cs="Times New Roman"/>
          <w:color w:val="000000"/>
          <w:sz w:val="24"/>
          <w:szCs w:val="24"/>
          <w:highlight w:val="none"/>
        </w:rPr>
        <w:t xml:space="preserve">。</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安装与调试：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numPr>
          <w:ilvl w:val="0"/>
          <w:numId w:val="42"/>
        </w:numPr>
        <w:ind w:left="0" w:firstLine="0"/>
        <w:jc w:val="both"/>
        <w:spacing w:after="120" w:line="360" w:lineRule="auto"/>
        <w:widowControl w:val="off"/>
        <w:tabs>
          <w:tab w:val="clear" w:pos="210" w:leader="none"/>
        </w:tabs>
        <w:rPr>
          <w:rFonts w:hint="eastAsia"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付款方式：</w:t>
      </w:r>
      <w:r>
        <w:rPr>
          <w:rFonts w:hint="eastAsia" w:cs="Times New Roman"/>
          <w:color w:val="000000"/>
          <w:sz w:val="24"/>
          <w:szCs w:val="24"/>
          <w:highlight w:val="none"/>
          <w:lang w:eastAsia="zh-CN"/>
        </w:rPr>
        <w:t xml:space="preserve">乙方收到中标通知书后7个工作日内，乙方向甲方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r>
        <w:rPr>
          <w:rFonts w:hint="eastAsia"/>
          <w:highlight w:val="none"/>
        </w:rPr>
        <w:t xml:space="preserve">。</w:t>
      </w:r>
      <w:r/>
    </w:p>
    <w:p>
      <w:pPr>
        <w:numPr>
          <w:ilvl w:val="0"/>
          <w:numId w:val="42"/>
        </w:numPr>
        <w:ind w:left="0" w:firstLine="0"/>
        <w:jc w:val="both"/>
        <w:spacing w:after="120" w:line="360" w:lineRule="auto"/>
        <w:widowControl w:val="off"/>
        <w:tabs>
          <w:tab w:val="clear" w:pos="210" w:leader="none"/>
        </w:tabs>
        <w:rPr>
          <w:rFonts w:hint="eastAsia"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设备如需使用专用耗材、试剂或在维修保养中需要专用工具、易损件、维修配件，则应在合同签订时提供耗材配件供货清单及报价表</w:t>
      </w:r>
      <w:r>
        <w:rPr>
          <w:rFonts w:hint="eastAsia" w:cs="Times New Roman"/>
          <w:color w:val="000000"/>
          <w:sz w:val="24"/>
          <w:szCs w:val="24"/>
          <w:highlight w:val="none"/>
          <w:lang w:eastAsia="zh-CN"/>
        </w:rPr>
        <w:t xml:space="preserve">。</w:t>
      </w:r>
      <w:r/>
    </w:p>
    <w:p>
      <w:pPr>
        <w:numPr>
          <w:ilvl w:val="0"/>
          <w:numId w:val="42"/>
        </w:numPr>
        <w:ind w:left="0" w:firstLine="0"/>
        <w:jc w:val="both"/>
        <w:spacing w:after="120" w:line="360" w:lineRule="auto"/>
        <w:widowControl w:val="off"/>
        <w:tabs>
          <w:tab w:val="clear" w:pos="21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履约保证金</w:t>
      </w:r>
      <w:r/>
    </w:p>
    <w:p>
      <w:pPr>
        <w:pStyle w:val="766"/>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lang w:eastAsia="zh-CN"/>
        </w:rPr>
        <w:t xml:space="preserve">）</w:t>
      </w:r>
      <w:r>
        <w:rPr>
          <w:rFonts w:hint="eastAsia"/>
          <w:highlight w:val="none"/>
        </w:rPr>
        <w:t xml:space="preserve">本项目收取合同金额的10%作为履约保证金，由乙方收到中标通知书后7个工作日内以转账方式转入甲方指定账户</w:t>
      </w:r>
      <w:r>
        <w:rPr>
          <w:rFonts w:hint="eastAsia"/>
          <w:highlight w:val="none"/>
          <w:lang w:eastAsia="zh-CN"/>
        </w:rPr>
        <w:t xml:space="preserve">，</w:t>
      </w:r>
      <w:r>
        <w:rPr>
          <w:rFonts w:hint="eastAsia"/>
          <w:highlight w:val="none"/>
        </w:rPr>
        <w:t xml:space="preserve">或者以金融机构、担保机构出具的保函等非现金形式提交。超期或未有协商，则视为自动放弃中标资格。</w:t>
      </w:r>
      <w:r/>
    </w:p>
    <w:p>
      <w:pPr>
        <w:pStyle w:val="766"/>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乙方全面履行合同义务，经甲方验收合格无质量、进度</w:t>
      </w:r>
      <w:r>
        <w:rPr>
          <w:rFonts w:hint="eastAsia"/>
          <w:highlight w:val="none"/>
          <w:lang w:eastAsia="zh-CN"/>
        </w:rPr>
        <w:t xml:space="preserve">、</w:t>
      </w:r>
      <w:r>
        <w:rPr>
          <w:rFonts w:hint="eastAsia"/>
          <w:highlight w:val="none"/>
          <w:lang w:val="en-US" w:eastAsia="zh-CN"/>
        </w:rPr>
        <w:t xml:space="preserve">服务</w:t>
      </w:r>
      <w:r>
        <w:rPr>
          <w:rFonts w:hint="eastAsia"/>
          <w:highlight w:val="none"/>
        </w:rPr>
        <w:t xml:space="preserve">等问题的，甲方应及时退还履约保证金。</w:t>
      </w:r>
      <w:r/>
    </w:p>
    <w:p>
      <w:pPr>
        <w:pStyle w:val="766"/>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w:t>
      </w:r>
      <w:r>
        <w:rPr>
          <w:rFonts w:hint="eastAsia"/>
          <w:highlight w:val="none"/>
        </w:rPr>
        <w:t xml:space="preserve">履约保证金退还方式：以转账方式提交履约保证金的，甲方以转账方式原路退还履约保证金；以履约保函方式提交的，甲方向乙方提供验收合格证明</w:t>
      </w:r>
      <w:r>
        <w:rPr>
          <w:rFonts w:hint="eastAsia"/>
          <w:highlight w:val="none"/>
          <w:lang w:eastAsia="zh-CN"/>
        </w:rPr>
        <w:t xml:space="preserve">、</w:t>
      </w:r>
      <w:r>
        <w:rPr>
          <w:rFonts w:hint="eastAsia"/>
          <w:highlight w:val="none"/>
          <w:lang w:val="en-US" w:eastAsia="zh-CN"/>
        </w:rPr>
        <w:t xml:space="preserve">合同履行完成证明</w:t>
      </w:r>
      <w:r>
        <w:rPr>
          <w:rFonts w:hint="eastAsia"/>
          <w:highlight w:val="none"/>
        </w:rPr>
        <w:t xml:space="preserve">等解除担保所需的证明材料。</w:t>
      </w:r>
      <w:r/>
    </w:p>
    <w:p>
      <w:pPr>
        <w:pStyle w:val="766"/>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w:t>
      </w:r>
      <w:r>
        <w:rPr>
          <w:rFonts w:hint="eastAsia"/>
          <w:highlight w:val="none"/>
        </w:rPr>
        <w:t xml:space="preserve">履约保证金退还时间：见</w:t>
      </w:r>
      <w:r>
        <w:rPr>
          <w:rFonts w:hint="eastAsia"/>
          <w:highlight w:val="none"/>
          <w:lang w:val="en-US" w:eastAsia="zh-CN"/>
        </w:rPr>
        <w:t xml:space="preserve">本章节</w:t>
      </w:r>
      <w:r>
        <w:rPr>
          <w:rFonts w:hint="eastAsia"/>
          <w:highlight w:val="none"/>
        </w:rPr>
        <w:t xml:space="preserve">付款方式部分。</w:t>
      </w:r>
      <w:r/>
    </w:p>
    <w:p>
      <w:pPr>
        <w:pStyle w:val="766"/>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5</w:t>
      </w:r>
      <w:r>
        <w:rPr>
          <w:rFonts w:hint="eastAsia"/>
          <w:highlight w:val="none"/>
          <w:lang w:eastAsia="zh-CN"/>
        </w:rPr>
        <w:t xml:space="preserve">）</w:t>
      </w:r>
      <w:r>
        <w:rPr>
          <w:rFonts w:hint="eastAsia"/>
          <w:highlight w:val="none"/>
        </w:rPr>
        <w:t xml:space="preserve">履约保证金退还条件：</w:t>
      </w:r>
      <w:r>
        <w:rPr>
          <w:rFonts w:hint="eastAsia"/>
          <w:highlight w:val="none"/>
          <w:lang w:val="en-US" w:eastAsia="zh-CN"/>
        </w:rPr>
        <w:t xml:space="preserve">验收合格满一年，且合同履行期间</w:t>
      </w:r>
      <w:r>
        <w:rPr>
          <w:rFonts w:hint="eastAsia"/>
          <w:highlight w:val="none"/>
        </w:rPr>
        <w:t xml:space="preserve">中标人无违反合同约定的情形</w:t>
      </w:r>
      <w:r>
        <w:rPr>
          <w:rFonts w:hint="eastAsia"/>
          <w:highlight w:val="none"/>
          <w:lang w:eastAsia="zh-CN"/>
        </w:rPr>
        <w:t xml:space="preserve">的，</w:t>
      </w:r>
      <w:r>
        <w:rPr>
          <w:rFonts w:hint="eastAsia"/>
          <w:highlight w:val="none"/>
          <w:lang w:val="en-US" w:eastAsia="zh-CN"/>
        </w:rPr>
        <w:t xml:space="preserve">甲方全额退还履约保证金</w:t>
      </w:r>
      <w:r>
        <w:rPr>
          <w:rFonts w:hint="eastAsia"/>
          <w:highlight w:val="none"/>
        </w:rPr>
        <w:t xml:space="preserve">。</w:t>
      </w:r>
      <w:r/>
    </w:p>
    <w:p>
      <w:pPr>
        <w:pStyle w:val="766"/>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6</w:t>
      </w:r>
      <w:r>
        <w:rPr>
          <w:rFonts w:hint="eastAsia"/>
          <w:highlight w:val="none"/>
          <w:lang w:eastAsia="zh-CN"/>
        </w:rPr>
        <w:t xml:space="preserve">）</w:t>
      </w:r>
      <w:r>
        <w:rPr>
          <w:rFonts w:hint="eastAsia"/>
          <w:highlight w:val="none"/>
        </w:rPr>
        <w:t xml:space="preserve">履约保证金不予退还的情形：</w:t>
      </w:r>
      <w:r/>
    </w:p>
    <w:p>
      <w:pPr>
        <w:pStyle w:val="766"/>
        <w:numPr>
          <w:ilvl w:val="0"/>
          <w:numId w:val="0"/>
        </w:numPr>
        <w:ind w:firstLine="480"/>
        <w:tabs>
          <w:tab w:val="left" w:pos="780" w:leader="none"/>
        </w:tabs>
        <w:rPr>
          <w:rFonts w:hint="eastAsia"/>
          <w:highlight w:val="none"/>
        </w:rPr>
      </w:pPr>
      <w:r>
        <w:rPr>
          <w:rFonts w:hint="eastAsia"/>
          <w:highlight w:val="none"/>
        </w:rPr>
        <w:t xml:space="preserve">出现以下情形时，甲方有权全额扣除履约保证金，全额不予退还</w:t>
      </w:r>
      <w:r>
        <w:rPr>
          <w:rFonts w:hint="eastAsia"/>
          <w:highlight w:val="none"/>
          <w:lang w:eastAsia="zh-CN"/>
        </w:rPr>
        <w:t xml:space="preserve">。</w:t>
      </w:r>
      <w:r>
        <w:rPr>
          <w:rFonts w:hint="eastAsia"/>
          <w:highlight w:val="none"/>
          <w:lang w:val="en-US" w:eastAsia="zh-CN"/>
        </w:rPr>
        <w:t xml:space="preserve">甲方</w:t>
      </w:r>
      <w:r>
        <w:rPr>
          <w:rFonts w:hint="eastAsia"/>
          <w:highlight w:val="none"/>
        </w:rPr>
        <w:t xml:space="preserve">有权终止合同，乙方还须承担相应的法律赔偿责任。</w:t>
      </w:r>
      <w:r/>
    </w:p>
    <w:p>
      <w:pPr>
        <w:pStyle w:val="766"/>
        <w:numPr>
          <w:ilvl w:val="0"/>
          <w:numId w:val="0"/>
        </w:numPr>
        <w:ind w:firstLine="480"/>
        <w:tabs>
          <w:tab w:val="left" w:pos="780" w:leader="none"/>
        </w:tabs>
        <w:rPr>
          <w:rFonts w:hint="eastAsia"/>
          <w:highlight w:val="none"/>
        </w:rPr>
      </w:pPr>
      <w:r>
        <w:rPr>
          <w:rFonts w:hint="eastAsia"/>
          <w:highlight w:val="none"/>
          <w:lang w:val="en-US" w:eastAsia="zh-CN"/>
        </w:rPr>
        <w:t xml:space="preserve">A.</w:t>
      </w:r>
      <w:r>
        <w:rPr>
          <w:rFonts w:hint="eastAsia"/>
          <w:highlight w:val="none"/>
        </w:rPr>
        <w:t xml:space="preserve">签订合同后，乙方不履行合同义务的；</w:t>
      </w:r>
      <w:r/>
    </w:p>
    <w:p>
      <w:pPr>
        <w:pStyle w:val="766"/>
        <w:numPr>
          <w:ilvl w:val="0"/>
          <w:numId w:val="0"/>
        </w:numPr>
        <w:ind w:firstLine="480"/>
        <w:tabs>
          <w:tab w:val="left" w:pos="780" w:leader="none"/>
        </w:tabs>
        <w:rPr>
          <w:rFonts w:hint="eastAsia"/>
          <w:highlight w:val="none"/>
        </w:rPr>
      </w:pPr>
      <w:r>
        <w:rPr>
          <w:rFonts w:hint="eastAsia"/>
          <w:highlight w:val="none"/>
          <w:lang w:val="en-US" w:eastAsia="zh-CN"/>
        </w:rPr>
        <w:t xml:space="preserve">B.</w:t>
      </w:r>
      <w:r>
        <w:rPr>
          <w:rFonts w:hint="eastAsia"/>
          <w:highlight w:val="none"/>
        </w:rPr>
        <w:t xml:space="preserve">乙方将合同标的货物及其他相关服务进行转包，或未经甲方同意采用分包的形式履行合同的。</w:t>
      </w:r>
      <w:r/>
    </w:p>
    <w:p>
      <w:pPr>
        <w:pStyle w:val="766"/>
        <w:numPr>
          <w:ilvl w:val="0"/>
          <w:numId w:val="0"/>
        </w:numPr>
        <w:ind w:firstLine="480"/>
        <w:tabs>
          <w:tab w:val="left" w:pos="780" w:leader="none"/>
        </w:tabs>
        <w:rPr>
          <w:rFonts w:hint="eastAsia" w:eastAsia="宋体"/>
          <w:highlight w:val="none"/>
          <w:lang w:val="en-US" w:eastAsia="zh-CN"/>
        </w:rPr>
      </w:pPr>
      <w:r>
        <w:rPr>
          <w:rFonts w:hint="eastAsia"/>
          <w:highlight w:val="none"/>
        </w:rPr>
        <w:t xml:space="preserve">C.因乙方自身原因，无法退还履约保证金的其他情形</w:t>
      </w:r>
      <w:r>
        <w:rPr>
          <w:rFonts w:hint="eastAsia"/>
          <w:highlight w:val="none"/>
          <w:lang w:eastAsia="zh-CN"/>
        </w:rPr>
        <w:t xml:space="preserve">。</w:t>
      </w:r>
      <w:r/>
    </w:p>
    <w:p>
      <w:pPr>
        <w:pStyle w:val="766"/>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7</w:t>
      </w:r>
      <w:r>
        <w:rPr>
          <w:rFonts w:hint="eastAsia"/>
          <w:highlight w:val="none"/>
          <w:lang w:eastAsia="zh-CN"/>
        </w:rPr>
        <w:t xml:space="preserve">）</w:t>
      </w:r>
      <w:r>
        <w:rPr>
          <w:rFonts w:hint="eastAsia"/>
          <w:highlight w:val="none"/>
        </w:rPr>
        <w:t xml:space="preserve">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r/>
    </w:p>
    <w:p>
      <w:pPr>
        <w:pStyle w:val="766"/>
        <w:numPr>
          <w:ilvl w:val="0"/>
          <w:numId w:val="0"/>
        </w:numPr>
        <w:ind w:firstLine="480"/>
        <w:tabs>
          <w:tab w:val="left" w:pos="780" w:leader="none"/>
        </w:tabs>
        <w:rPr>
          <w:rFonts w:hint="default"/>
          <w:highlight w:val="none"/>
        </w:rPr>
      </w:pPr>
      <w:r>
        <w:rPr>
          <w:rFonts w:hint="eastAsia"/>
          <w:highlight w:val="none"/>
          <w:lang w:eastAsia="zh-CN"/>
        </w:rPr>
        <w:t xml:space="preserve">（</w:t>
      </w:r>
      <w:r>
        <w:rPr>
          <w:rFonts w:hint="eastAsia"/>
          <w:highlight w:val="none"/>
          <w:lang w:val="en-US" w:eastAsia="zh-CN"/>
        </w:rPr>
        <w:t xml:space="preserve">8</w:t>
      </w:r>
      <w:r>
        <w:rPr>
          <w:rFonts w:hint="eastAsia"/>
          <w:highlight w:val="none"/>
          <w:lang w:eastAsia="zh-CN"/>
        </w:rPr>
        <w:t xml:space="preserve">）</w:t>
      </w:r>
      <w:r>
        <w:rPr>
          <w:rFonts w:hint="eastAsia"/>
          <w:highlight w:val="none"/>
        </w:rPr>
        <w:t xml:space="preserve">逾期退还履约保证金的违约责任：采购人若逾期退还履约保证金的，按照逾期部分的每日0.05%支付违约金。</w:t>
      </w:r>
      <w:r/>
    </w:p>
    <w:p>
      <w:pPr>
        <w:numPr>
          <w:ilvl w:val="0"/>
          <w:numId w:val="42"/>
        </w:numPr>
        <w:ind w:left="0" w:firstLine="0"/>
        <w:jc w:val="both"/>
        <w:spacing w:after="120" w:line="360" w:lineRule="auto"/>
        <w:widowControl w:val="off"/>
        <w:tabs>
          <w:tab w:val="clear" w:pos="210" w:leader="none"/>
        </w:tabs>
        <w:rPr>
          <w:rFonts w:hint="eastAsia" w:cs="Times New Roman"/>
          <w:color w:val="000000"/>
          <w:sz w:val="24"/>
          <w:szCs w:val="24"/>
          <w:highlight w:val="none"/>
        </w:rPr>
      </w:pPr>
      <w:r>
        <w:rPr>
          <w:rFonts w:hint="eastAsia" w:cs="Times New Roman"/>
          <w:color w:val="000000"/>
          <w:sz w:val="24"/>
          <w:szCs w:val="24"/>
          <w:highlight w:val="none"/>
          <w:lang w:eastAsia="zh-CN"/>
        </w:rPr>
        <w:t xml:space="preserve">商品包装环保要求：应当按《关于印发〈商品包装政府采购需求标准（试行）〉、〈快递包装政府采购需求标准（试</w:t>
      </w:r>
      <w:r>
        <w:rPr>
          <w:rFonts w:hint="eastAsia" w:cs="Times New Roman"/>
          <w:color w:val="000000"/>
          <w:sz w:val="24"/>
          <w:szCs w:val="24"/>
          <w:highlight w:val="none"/>
          <w:lang w:eastAsia="zh-CN"/>
        </w:rPr>
        <w:t xml:space="preserve">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r/>
    </w:p>
    <w:p>
      <w:pPr>
        <w:numPr>
          <w:ilvl w:val="0"/>
          <w:numId w:val="42"/>
        </w:numPr>
        <w:ind w:left="0" w:firstLine="0"/>
        <w:jc w:val="both"/>
        <w:spacing w:after="120" w:line="360" w:lineRule="auto"/>
        <w:widowControl w:val="off"/>
        <w:tabs>
          <w:tab w:val="clear" w:pos="210" w:leader="none"/>
        </w:tabs>
        <w:rPr>
          <w:rFonts w:hint="eastAsia" w:cs="Times New Roman"/>
          <w:color w:val="000000"/>
          <w:sz w:val="24"/>
          <w:szCs w:val="24"/>
          <w:highlight w:val="none"/>
        </w:rPr>
      </w:pPr>
      <w:r>
        <w:rPr>
          <w:rFonts w:hint="eastAsia" w:cs="Times New Roman"/>
          <w:color w:val="000000"/>
          <w:sz w:val="24"/>
          <w:szCs w:val="24"/>
          <w:highlight w:val="none"/>
          <w:lang w:eastAsia="zh-CN"/>
        </w:rPr>
        <w:t xml:space="preserve">快递包装环保要求：（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w:t>
      </w:r>
      <w:r>
        <w:rPr>
          <w:rFonts w:hint="eastAsia" w:cs="Times New Roman"/>
          <w:color w:val="000000"/>
          <w:sz w:val="24"/>
          <w:szCs w:val="24"/>
          <w:highlight w:val="none"/>
          <w:lang w:eastAsia="zh-CN"/>
        </w:rPr>
        <w:t xml:space="preserve">使用邻苯二甲酸二异壬酯、邻苯二甲酸二正辛酯、邻苯二甲酸二(2－乙基)己酯、邻苯二甲酸二异癸酯、邻苯二甲酸丁基苄基酯、邻苯二甲酸二丁酯等作为增塑剂；（5）快递中使用的塑料包装袋不得使用聚氯乙烯作为原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w:t>
      </w:r>
      <w:r>
        <w:rPr>
          <w:rFonts w:hint="eastAsia" w:cs="Times New Roman"/>
          <w:color w:val="000000"/>
          <w:sz w:val="24"/>
          <w:szCs w:val="24"/>
          <w:highlight w:val="none"/>
          <w:lang w:val="en-US" w:eastAsia="zh-CN"/>
        </w:rPr>
        <w:t xml:space="preserve">0</w:t>
      </w:r>
      <w:r>
        <w:rPr>
          <w:rFonts w:hint="eastAsia" w:cs="Times New Roman"/>
          <w:color w:val="000000"/>
          <w:sz w:val="24"/>
          <w:szCs w:val="24"/>
          <w:highlight w:val="none"/>
          <w:lang w:eastAsia="zh-CN"/>
        </w:rPr>
        <w:t xml:space="preserve">）快递应使用电子面单；（1</w:t>
      </w:r>
      <w:r>
        <w:rPr>
          <w:rFonts w:hint="eastAsia" w:cs="Times New Roman"/>
          <w:color w:val="000000"/>
          <w:sz w:val="24"/>
          <w:szCs w:val="24"/>
          <w:highlight w:val="none"/>
          <w:lang w:val="en-US" w:eastAsia="zh-CN"/>
        </w:rPr>
        <w:t xml:space="preserve">1</w:t>
      </w:r>
      <w:r>
        <w:rPr>
          <w:rFonts w:hint="eastAsia" w:cs="Times New Roman"/>
          <w:color w:val="000000"/>
          <w:sz w:val="24"/>
          <w:szCs w:val="24"/>
          <w:highlight w:val="none"/>
          <w:lang w:eastAsia="zh-CN"/>
        </w:rPr>
        <w:t xml:space="preserve">）直接使用商品包装作为快递包装的商品，其商品包装满足《商品包装政府采购需求标准（试行）》即可；（1</w:t>
      </w:r>
      <w:r>
        <w:rPr>
          <w:rFonts w:hint="eastAsia" w:cs="Times New Roman"/>
          <w:color w:val="000000"/>
          <w:sz w:val="24"/>
          <w:szCs w:val="24"/>
          <w:highlight w:val="none"/>
          <w:lang w:val="en-US" w:eastAsia="zh-CN"/>
        </w:rPr>
        <w:t xml:space="preserve">2</w:t>
      </w:r>
      <w:r>
        <w:rPr>
          <w:rFonts w:hint="eastAsia" w:cs="Times New Roman"/>
          <w:color w:val="000000"/>
          <w:sz w:val="24"/>
          <w:szCs w:val="24"/>
          <w:highlight w:val="none"/>
          <w:lang w:eastAsia="zh-CN"/>
        </w:rPr>
        <w:t xml:space="preserve">）快递包装产品质量和封装方式应符合相关国家或行业标准技术指标要求。</w:t>
      </w:r>
      <w:r/>
    </w:p>
    <w:p>
      <w:pPr>
        <w:numPr>
          <w:ilvl w:val="0"/>
          <w:numId w:val="42"/>
        </w:numPr>
        <w:ind w:left="0" w:firstLine="0"/>
        <w:jc w:val="both"/>
        <w:spacing w:after="120" w:line="360" w:lineRule="auto"/>
        <w:widowControl w:val="off"/>
        <w:tabs>
          <w:tab w:val="clear" w:pos="210" w:leader="none"/>
        </w:tabs>
        <w:rPr>
          <w:rFonts w:hint="eastAsia" w:cs="Times New Roman"/>
          <w:color w:val="000000"/>
          <w:sz w:val="24"/>
          <w:szCs w:val="24"/>
          <w:highlight w:val="none"/>
        </w:rPr>
      </w:pPr>
      <w:r>
        <w:rPr>
          <w:rFonts w:hint="eastAsia" w:cs="Times New Roman"/>
          <w:color w:val="000000"/>
          <w:sz w:val="24"/>
          <w:szCs w:val="24"/>
          <w:highlight w:val="none"/>
          <w:lang w:eastAsia="zh-CN"/>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numPr>
          <w:ilvl w:val="0"/>
          <w:numId w:val="4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eastAsia="zh-CN"/>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467"/>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第四部分  开标和评标</w:t>
      </w:r>
      <w:r/>
    </w:p>
    <w:p>
      <w:pPr>
        <w:pStyle w:val="744"/>
        <w:numPr>
          <w:ilvl w:val="0"/>
          <w:numId w:val="4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不见面远程开标模式：投标人在各自地点通过苏采云系统参加开标会。</w:t>
      </w:r>
      <w:r/>
    </w:p>
    <w:p>
      <w:pPr>
        <w:pStyle w:val="744"/>
        <w:numPr>
          <w:ilvl w:val="0"/>
          <w:numId w:val="4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评标流程和评标标准</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采用综合评分法。分资格审查，商务、技术标，价格标三部分评审，总分值为100分，加分和减分因素除外。</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应按照评标委员会推荐的</w:t>
      </w:r>
      <w:r>
        <w:rPr>
          <w:color w:val="000000" w:themeColor="text1"/>
          <w:highlight w:val="none"/>
          <w14:textFill>
            <w14:solidFill>
              <w14:schemeClr w14:val="tx1"/>
            </w14:solidFill>
          </w14:textFill>
        </w:rPr>
        <w:t xml:space="preserve">中标候选人</w:t>
      </w:r>
      <w:r>
        <w:rPr>
          <w:rFonts w:hint="eastAsia"/>
          <w:color w:val="000000" w:themeColor="text1"/>
          <w:highlight w:val="none"/>
          <w14:textFill>
            <w14:solidFill>
              <w14:schemeClr w14:val="tx1"/>
            </w14:solidFill>
          </w14:textFill>
        </w:rPr>
        <w:t xml:space="preserve">顺序确定</w:t>
      </w:r>
      <w:r>
        <w:rPr>
          <w:color w:val="000000" w:themeColor="text1"/>
          <w:highlight w:val="none"/>
          <w14:textFill>
            <w14:solidFill>
              <w14:schemeClr w14:val="tx1"/>
            </w14:solidFill>
          </w14:textFill>
        </w:rPr>
        <w:t xml:space="preserve">中标人。</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评委在认真审阅投标文件的基础上，根据各投标文件的响应程度独立评判，不得统一打分。</w:t>
      </w:r>
      <w:r/>
    </w:p>
    <w:p>
      <w:pPr>
        <w:pStyle w:val="766"/>
        <w:numPr>
          <w:ilvl w:val="0"/>
          <w:numId w:val="46"/>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采购人（代表）对投标人资格进行审查。</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投标人资格不合格的，其投标文件判定为无效投标文件。</w:t>
      </w:r>
      <w:r/>
    </w:p>
    <w:p>
      <w:pPr>
        <w:pStyle w:val="766"/>
        <w:numPr>
          <w:ilvl w:val="0"/>
          <w:numId w:val="46"/>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评标委员会对符合资格投标人的投标文件进行符合性审查。</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未通过符合性审查的投标文件，将被判定为不满足招标文件实质性要求。</w:t>
      </w:r>
      <w:r/>
    </w:p>
    <w:p>
      <w:pPr>
        <w:pStyle w:val="766"/>
        <w:numPr>
          <w:ilvl w:val="0"/>
          <w:numId w:val="46"/>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商务技术分：</w:t>
      </w:r>
      <w:r>
        <w:rPr>
          <w:rFonts w:hint="eastAsia"/>
          <w:b/>
          <w:color w:val="000000" w:themeColor="text1"/>
          <w:highlight w:val="none"/>
          <w:lang w:val="en-US" w:eastAsia="zh-CN"/>
          <w14:textFill>
            <w14:solidFill>
              <w14:schemeClr w14:val="tx1"/>
            </w14:solidFill>
          </w14:textFill>
        </w:rPr>
        <w:t xml:space="preserve">7</w:t>
      </w:r>
      <w:r>
        <w:rPr>
          <w:b/>
          <w:color w:val="000000" w:themeColor="text1"/>
          <w:highlight w:val="none"/>
          <w14:textFill>
            <w14:solidFill>
              <w14:schemeClr w14:val="tx1"/>
            </w14:solidFill>
          </w14:textFill>
        </w:rPr>
        <w:t xml:space="preserve">0分</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各投标人商务技术分得分为评委会成员评分的算术平均分，分值保留小数点后两位。</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评分标准</w:t>
      </w:r>
      <w:r/>
    </w:p>
    <w:tbl>
      <w:tblPr>
        <w:tblStyle w:val="754"/>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94"/>
        </w:trPr>
        <w:tc>
          <w:tcPr>
            <w:tcW w:w="1396" w:type="dxa"/>
            <w:vAlign w:val="center"/>
            <w:textDirection w:val="lrTb"/>
            <w:noWrap w:val="false"/>
          </w:tcPr>
          <w:p>
            <w:pPr>
              <w:jc w:val="center"/>
              <w:rPr>
                <w:color w:val="000000"/>
                <w:highlight w:val="none"/>
              </w:rPr>
            </w:pPr>
            <w:r>
              <w:rPr>
                <w:rFonts w:hint="eastAsia"/>
                <w:color w:val="000000"/>
                <w:highlight w:val="none"/>
              </w:rPr>
              <w:t xml:space="preserve">评审因素</w:t>
            </w:r>
            <w:r/>
          </w:p>
        </w:tc>
        <w:tc>
          <w:tcPr>
            <w:tcW w:w="7799" w:type="dxa"/>
            <w:vAlign w:val="center"/>
            <w:textDirection w:val="lrTb"/>
            <w:noWrap w:val="false"/>
          </w:tcPr>
          <w:p>
            <w:pPr>
              <w:jc w:val="center"/>
              <w:rPr>
                <w:color w:val="000000"/>
                <w:highlight w:val="none"/>
              </w:rPr>
            </w:pPr>
            <w:r>
              <w:rPr>
                <w:rFonts w:hint="eastAsia"/>
                <w:color w:val="000000"/>
                <w:highlight w:val="none"/>
              </w:rPr>
              <w:t xml:space="preserve">评审标准</w:t>
            </w:r>
            <w:r/>
          </w:p>
        </w:tc>
      </w:tr>
      <w:tr>
        <w:trPr>
          <w:jc w:val="center"/>
          <w:trHeight w:val="766"/>
        </w:trPr>
        <w:tc>
          <w:tcPr>
            <w:tcW w:w="1396" w:type="dxa"/>
            <w:vAlign w:val="center"/>
            <w:textDirection w:val="lrTb"/>
            <w:noWrap w:val="false"/>
          </w:tcPr>
          <w:p>
            <w:pPr>
              <w:jc w:val="center"/>
              <w:spacing w:line="360" w:lineRule="auto"/>
              <w:rPr>
                <w:rFonts w:hint="eastAsia" w:hAnsi="宋体" w:cs="宋体"/>
                <w:b/>
                <w:color w:val="000000"/>
                <w:highlight w:val="none"/>
              </w:rPr>
            </w:pPr>
            <w:r>
              <w:rPr>
                <w:rFonts w:hint="eastAsia" w:hAnsi="宋体" w:cs="宋体"/>
                <w:color w:val="000000"/>
                <w:highlight w:val="none"/>
              </w:rPr>
              <w:t xml:space="preserve">技术响应
（44分）</w:t>
            </w:r>
            <w:r/>
          </w:p>
        </w:tc>
        <w:tc>
          <w:tcPr>
            <w:tcW w:w="7799" w:type="dxa"/>
            <w:vAlign w:val="center"/>
            <w:textDirection w:val="lrTb"/>
            <w:noWrap w:val="false"/>
          </w:tcPr>
          <w:p>
            <w:pPr>
              <w:jc w:val="left"/>
              <w:spacing w:line="360" w:lineRule="auto"/>
              <w:rPr>
                <w:rFonts w:hint="eastAsia" w:hAnsi="宋体" w:cs="宋体"/>
                <w:color w:val="000000"/>
                <w:highlight w:val="none"/>
              </w:rPr>
            </w:pPr>
            <w:r>
              <w:rPr>
                <w:rFonts w:hint="eastAsia" w:hAnsi="宋体" w:cs="宋体"/>
                <w:color w:val="000000"/>
                <w:highlight w:val="none"/>
              </w:rPr>
              <w:t xml:space="preserve">评委根据投标人提供的《技术部分正负偏离表》对招标文件第三部分项目需求中技术参数部分的响应情况进行打分，最低得0分，最多得44分。</w:t>
            </w:r>
            <w:r/>
          </w:p>
          <w:p>
            <w:pPr>
              <w:jc w:val="left"/>
              <w:spacing w:line="360" w:lineRule="auto"/>
              <w:rPr>
                <w:rFonts w:hint="eastAsia" w:hAnsi="宋体" w:cs="宋体"/>
                <w:color w:val="000000"/>
                <w:highlight w:val="none"/>
              </w:rPr>
            </w:pPr>
            <w:r>
              <w:rPr>
                <w:rFonts w:hint="eastAsia" w:hAnsi="宋体" w:cs="宋体"/>
                <w:color w:val="000000"/>
                <w:highlight w:val="none"/>
              </w:rPr>
              <w:t xml:space="preserve">招标文件第三部分二、项目需求（三）技术参数要求中：</w:t>
            </w:r>
            <w:r/>
          </w:p>
          <w:p>
            <w:pPr>
              <w:jc w:val="left"/>
              <w:spacing w:line="360" w:lineRule="auto"/>
              <w:rPr>
                <w:rFonts w:hint="eastAsia" w:hAnsi="宋体" w:cs="宋体"/>
                <w:color w:val="000000"/>
                <w:highlight w:val="none"/>
              </w:rPr>
            </w:pPr>
            <w:r>
              <w:rPr>
                <w:rFonts w:hint="eastAsia" w:hAnsi="宋体" w:cs="宋体"/>
                <w:color w:val="000000"/>
                <w:highlight w:val="none"/>
              </w:rPr>
              <w:t xml:space="preserve">“★”参数共</w:t>
            </w:r>
            <w:r>
              <w:rPr>
                <w:rFonts w:hint="eastAsia" w:hAnsi="宋体" w:cs="宋体"/>
                <w:color w:val="000000"/>
                <w:highlight w:val="none"/>
                <w:lang w:val="en-US" w:eastAsia="zh-CN"/>
              </w:rPr>
              <w:t xml:space="preserve">2</w:t>
            </w:r>
            <w:r>
              <w:rPr>
                <w:rFonts w:hint="eastAsia" w:hAnsi="宋体" w:cs="宋体"/>
                <w:color w:val="000000"/>
                <w:highlight w:val="none"/>
              </w:rPr>
              <w:t xml:space="preserve">项，不得负偏离，否则为无效响应。</w:t>
            </w:r>
            <w:r/>
          </w:p>
          <w:p>
            <w:pPr>
              <w:jc w:val="left"/>
              <w:spacing w:line="360" w:lineRule="auto"/>
              <w:rPr>
                <w:rFonts w:hint="eastAsia" w:hAnsi="宋体" w:cs="宋体"/>
                <w:color w:val="000000"/>
                <w:highlight w:val="none"/>
              </w:rPr>
            </w:pPr>
            <w:r>
              <w:rPr>
                <w:rFonts w:hint="eastAsia" w:hAnsi="宋体" w:cs="宋体"/>
                <w:color w:val="000000"/>
                <w:highlight w:val="none"/>
              </w:rPr>
              <w:t xml:space="preserve">“▲”参数共</w:t>
            </w:r>
            <w:r>
              <w:rPr>
                <w:rFonts w:hint="eastAsia" w:hAnsi="宋体" w:cs="宋体"/>
                <w:color w:val="000000"/>
                <w:highlight w:val="none"/>
                <w:lang w:val="en-US" w:eastAsia="zh-CN"/>
              </w:rPr>
              <w:t xml:space="preserve">6</w:t>
            </w:r>
            <w:r>
              <w:rPr>
                <w:rFonts w:hint="eastAsia" w:hAnsi="宋体" w:cs="宋体"/>
                <w:color w:val="000000"/>
                <w:highlight w:val="none"/>
              </w:rPr>
              <w:t xml:space="preserve">项，每满足1项加</w:t>
            </w:r>
            <w:r>
              <w:rPr>
                <w:rFonts w:hint="eastAsia" w:hAnsi="宋体" w:cs="宋体"/>
                <w:color w:val="000000"/>
                <w:highlight w:val="none"/>
                <w:lang w:val="en-US" w:eastAsia="zh-CN"/>
              </w:rPr>
              <w:t xml:space="preserve">5</w:t>
            </w:r>
            <w:r>
              <w:rPr>
                <w:rFonts w:hint="eastAsia" w:hAnsi="宋体" w:cs="宋体"/>
                <w:color w:val="000000"/>
                <w:highlight w:val="none"/>
              </w:rPr>
              <w:t xml:space="preserve">分，本</w:t>
            </w:r>
            <w:r>
              <w:rPr>
                <w:rFonts w:hint="eastAsia" w:hAnsi="宋体" w:cs="宋体"/>
                <w:color w:val="000000"/>
                <w:highlight w:val="none"/>
                <w:lang w:val="en-US" w:eastAsia="zh-CN"/>
              </w:rPr>
              <w:t xml:space="preserve">条</w:t>
            </w:r>
            <w:r>
              <w:rPr>
                <w:rFonts w:hint="eastAsia" w:hAnsi="宋体" w:cs="宋体"/>
                <w:color w:val="000000"/>
                <w:highlight w:val="none"/>
              </w:rPr>
              <w:t xml:space="preserve">最多得</w:t>
            </w:r>
            <w:r>
              <w:rPr>
                <w:rFonts w:hint="eastAsia" w:hAnsi="宋体" w:cs="宋体"/>
                <w:color w:val="000000"/>
                <w:highlight w:val="none"/>
                <w:lang w:val="en-US" w:eastAsia="zh-CN"/>
              </w:rPr>
              <w:t xml:space="preserve">30</w:t>
            </w:r>
            <w:r>
              <w:rPr>
                <w:rFonts w:hint="eastAsia" w:hAnsi="宋体" w:cs="宋体"/>
                <w:color w:val="000000"/>
                <w:highlight w:val="none"/>
              </w:rPr>
              <w:t xml:space="preserve">分。</w:t>
            </w:r>
            <w:r/>
          </w:p>
          <w:p>
            <w:pPr>
              <w:jc w:val="left"/>
              <w:spacing w:line="360" w:lineRule="auto"/>
              <w:rPr>
                <w:rFonts w:hint="eastAsia" w:hAnsi="宋体" w:cs="宋体"/>
                <w:color w:val="000000"/>
                <w:highlight w:val="none"/>
              </w:rPr>
            </w:pPr>
            <w:r>
              <w:rPr>
                <w:rFonts w:hint="eastAsia" w:hAnsi="宋体" w:cs="宋体"/>
                <w:color w:val="000000"/>
                <w:highlight w:val="none"/>
              </w:rPr>
              <w:t xml:space="preserve">非“▲”参数共</w:t>
            </w:r>
            <w:r>
              <w:rPr>
                <w:rFonts w:hint="eastAsia" w:hAnsi="宋体" w:cs="宋体"/>
                <w:color w:val="000000"/>
                <w:highlight w:val="none"/>
                <w:lang w:val="en-US" w:eastAsia="zh-CN"/>
              </w:rPr>
              <w:t xml:space="preserve">7</w:t>
            </w:r>
            <w:r>
              <w:rPr>
                <w:rFonts w:hint="eastAsia" w:hAnsi="宋体" w:cs="宋体"/>
                <w:color w:val="000000"/>
                <w:highlight w:val="none"/>
              </w:rPr>
              <w:t xml:space="preserve">项，每满足一项加2分，本条最多得</w:t>
            </w:r>
            <w:r>
              <w:rPr>
                <w:rFonts w:hint="eastAsia" w:hAnsi="宋体" w:cs="宋体"/>
                <w:color w:val="000000"/>
                <w:highlight w:val="none"/>
                <w:lang w:val="en-US" w:eastAsia="zh-CN"/>
              </w:rPr>
              <w:t xml:space="preserve">14</w:t>
            </w:r>
            <w:r>
              <w:rPr>
                <w:rFonts w:hint="eastAsia" w:hAnsi="宋体" w:cs="宋体"/>
                <w:color w:val="000000"/>
                <w:highlight w:val="none"/>
              </w:rPr>
              <w:t xml:space="preserve">分。</w:t>
            </w:r>
            <w:r/>
          </w:p>
          <w:p>
            <w:pPr>
              <w:jc w:val="left"/>
              <w:spacing w:line="360" w:lineRule="auto"/>
              <w:rPr>
                <w:rFonts w:hint="eastAsia" w:hAnsi="宋体" w:cs="宋体"/>
                <w:color w:val="000000"/>
                <w:highlight w:val="none"/>
              </w:rPr>
            </w:pPr>
            <w:r>
              <w:rPr>
                <w:rFonts w:hint="eastAsia" w:hAnsi="宋体" w:cs="宋体"/>
                <w:color w:val="000000"/>
                <w:highlight w:val="none"/>
              </w:rPr>
              <w:t xml:space="preserve">注：</w:t>
            </w:r>
            <w:r/>
          </w:p>
          <w:p>
            <w:pPr>
              <w:jc w:val="left"/>
              <w:spacing w:line="360" w:lineRule="auto"/>
              <w:rPr>
                <w:rFonts w:hint="eastAsia" w:hAnsi="宋体" w:cs="宋体"/>
                <w:color w:val="000000"/>
                <w:highlight w:val="none"/>
              </w:rPr>
            </w:pPr>
            <w:r>
              <w:rPr>
                <w:rFonts w:hint="eastAsia" w:hAnsi="宋体" w:cs="宋体"/>
                <w:color w:val="000000"/>
                <w:highlight w:val="none"/>
              </w:rPr>
              <w:t xml:space="preserve">1.“★”参数须提供证明材料，且不得负偏离，否则为无效响应。</w:t>
            </w:r>
            <w:r/>
          </w:p>
          <w:p>
            <w:pPr>
              <w:jc w:val="left"/>
              <w:spacing w:line="360" w:lineRule="auto"/>
              <w:rPr>
                <w:rFonts w:hint="eastAsia" w:hAnsi="宋体" w:cs="宋体"/>
                <w:color w:val="000000"/>
                <w:highlight w:val="none"/>
              </w:rPr>
            </w:pPr>
            <w:r>
              <w:rPr>
                <w:rFonts w:hint="eastAsia" w:hAnsi="宋体" w:cs="宋体"/>
                <w:color w:val="000000"/>
                <w:highlight w:val="none"/>
              </w:rPr>
              <w:t xml:space="preserve">2.“▲”参数的响应需按要求提供证明材料。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p>
          <w:p>
            <w:pPr>
              <w:jc w:val="left"/>
              <w:spacing w:line="360" w:lineRule="auto"/>
              <w:rPr>
                <w:rFonts w:hint="eastAsia" w:hAnsi="宋体" w:cs="宋体"/>
                <w:color w:val="000000"/>
                <w:highlight w:val="none"/>
              </w:rPr>
            </w:pPr>
            <w:r>
              <w:rPr>
                <w:rFonts w:hint="eastAsia" w:hAnsi="宋体" w:cs="宋体"/>
                <w:color w:val="000000"/>
                <w:highlight w:val="none"/>
              </w:rPr>
              <w:t xml:space="preserve">3.所有参数均须逐条响应。</w:t>
            </w:r>
            <w:r/>
          </w:p>
        </w:tc>
      </w:tr>
      <w:tr>
        <w:trPr>
          <w:jc w:val="center"/>
          <w:trHeight w:val="1207"/>
        </w:trPr>
        <w:tc>
          <w:tcPr>
            <w:tcW w:w="1396" w:type="dxa"/>
            <w:vAlign w:val="center"/>
            <w:textDirection w:val="lrTb"/>
            <w:noWrap w:val="false"/>
          </w:tcPr>
          <w:p>
            <w:pPr>
              <w:jc w:val="center"/>
              <w:spacing w:line="360" w:lineRule="auto"/>
              <w:rPr>
                <w:rFonts w:hint="eastAsia" w:hAnsi="宋体" w:cs="宋体"/>
                <w:b/>
                <w:bCs/>
                <w:color w:val="000000"/>
                <w:highlight w:val="none"/>
              </w:rPr>
            </w:pPr>
            <w:r>
              <w:rPr>
                <w:rFonts w:hint="eastAsia" w:hAnsi="宋体" w:cs="宋体"/>
                <w:bCs/>
                <w:color w:val="000000"/>
                <w:highlight w:val="none"/>
              </w:rPr>
              <w:t xml:space="preserve">服务方案
（16分）</w:t>
            </w:r>
            <w:r/>
          </w:p>
        </w:tc>
        <w:tc>
          <w:tcPr>
            <w:tcW w:w="7799" w:type="dxa"/>
            <w:vAlign w:val="center"/>
            <w:textDirection w:val="lrTb"/>
            <w:noWrap w:val="false"/>
          </w:tcPr>
          <w:p>
            <w:pPr>
              <w:jc w:val="left"/>
              <w:spacing w:line="360" w:lineRule="auto"/>
              <w:rPr>
                <w:rFonts w:hint="eastAsia"/>
                <w:highlight w:val="none"/>
              </w:rPr>
            </w:pPr>
            <w:r>
              <w:rPr>
                <w:rFonts w:hint="eastAsia"/>
                <w:highlight w:val="none"/>
              </w:rPr>
              <w:t xml:space="preserve">1.设备到货、安装、调试方案：6分</w:t>
            </w:r>
            <w:r/>
          </w:p>
          <w:p>
            <w:pPr>
              <w:jc w:val="left"/>
              <w:spacing w:line="360" w:lineRule="auto"/>
              <w:rPr>
                <w:rFonts w:hint="eastAsia"/>
                <w:highlight w:val="none"/>
              </w:rPr>
            </w:pPr>
            <w:r>
              <w:rPr>
                <w:rFonts w:hint="eastAsia"/>
                <w:highlight w:val="none"/>
              </w:rPr>
              <w:t xml:space="preserve">根据投标人提供的符合项目实际的设备到货、安装、调试方案（包括①设备出厂检验、包装，出厂质量控制；②运输、保险、货期保障、卸货；③安装调试流程、注意要点、人员配备、与采购人沟通配合）进行综合评审。</w:t>
            </w:r>
            <w:r/>
          </w:p>
          <w:p>
            <w:pPr>
              <w:jc w:val="left"/>
              <w:spacing w:line="360" w:lineRule="auto"/>
              <w:rPr>
                <w:rFonts w:hint="eastAsia"/>
                <w:highlight w:val="none"/>
              </w:rPr>
            </w:pPr>
            <w:r>
              <w:rPr>
                <w:rFonts w:hint="eastAsia"/>
                <w:highlight w:val="none"/>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ighlight w:val="none"/>
              </w:rPr>
            </w:pPr>
            <w:r>
              <w:rPr>
                <w:rFonts w:hint="eastAsia"/>
                <w:highlight w:val="none"/>
              </w:rPr>
              <w:t xml:space="preserve">2.培训方案：4分</w:t>
            </w:r>
            <w:r/>
          </w:p>
          <w:p>
            <w:pPr>
              <w:jc w:val="left"/>
              <w:spacing w:line="360" w:lineRule="auto"/>
              <w:rPr>
                <w:rFonts w:hint="eastAsia"/>
                <w:highlight w:val="none"/>
              </w:rPr>
            </w:pPr>
            <w:r>
              <w:rPr>
                <w:rFonts w:hint="eastAsia"/>
                <w:highlight w:val="none"/>
              </w:rPr>
              <w:t xml:space="preserve">根据投标人提供的符合项目实际的培训方案（包括①人员操作培训；②维修保养培训；③进阶培训；④学习方案）进行综合评审。</w:t>
            </w:r>
            <w:r/>
          </w:p>
          <w:p>
            <w:pPr>
              <w:jc w:val="left"/>
              <w:spacing w:line="360" w:lineRule="auto"/>
              <w:rPr>
                <w:rFonts w:hint="eastAsia"/>
                <w:highlight w:val="none"/>
              </w:rPr>
            </w:pPr>
            <w:r>
              <w:rPr>
                <w:rFonts w:hint="eastAsia"/>
                <w:highlight w:val="none"/>
              </w:rPr>
              <w:t xml:space="preserve">上述4项内容中，每一项分值为1分，完全响应且符合采购人实际需求的方案得4分，每有一项内容缺失的扣1分，每有一处内容存在缺陷或不满足要求的扣0.5分，每一项分值扣完为止。</w:t>
            </w:r>
            <w:r/>
          </w:p>
          <w:p>
            <w:pPr>
              <w:jc w:val="left"/>
              <w:spacing w:line="360" w:lineRule="auto"/>
              <w:rPr>
                <w:rFonts w:hint="eastAsia"/>
                <w:highlight w:val="none"/>
              </w:rPr>
            </w:pPr>
            <w:r>
              <w:rPr>
                <w:rFonts w:hint="eastAsia"/>
                <w:highlight w:val="none"/>
              </w:rPr>
              <w:t xml:space="preserve">3.售后服务实施方案：6分</w:t>
            </w:r>
            <w:r/>
          </w:p>
          <w:p>
            <w:pPr>
              <w:jc w:val="left"/>
              <w:spacing w:line="360" w:lineRule="auto"/>
              <w:rPr>
                <w:rFonts w:hint="eastAsia"/>
                <w:highlight w:val="none"/>
              </w:rPr>
            </w:pPr>
            <w:r>
              <w:rPr>
                <w:rFonts w:hint="eastAsia"/>
                <w:highlight w:val="none"/>
              </w:rPr>
              <w:t xml:space="preserve">根据投标人提供的针对本项目提供的售后服务方案（包括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进行综合评审。</w:t>
            </w:r>
            <w:r/>
          </w:p>
          <w:p>
            <w:pPr>
              <w:jc w:val="left"/>
              <w:spacing w:line="360" w:lineRule="auto"/>
              <w:rPr>
                <w:rFonts w:hint="eastAsia"/>
                <w:highlight w:val="none"/>
              </w:rPr>
            </w:pPr>
            <w:r>
              <w:rPr>
                <w:rFonts w:hint="eastAsia"/>
                <w:highlight w:val="none"/>
              </w:rPr>
              <w:t xml:space="preserve">上述3项内容中，每一项分值为2分，完全响应且符合采购人实际需求的方案得6分，每有一项内容缺失的扣2分，每有一处内容存在缺陷或不满足要求的扣1分，每一项分值扣完为止。</w:t>
            </w:r>
            <w:r/>
          </w:p>
        </w:tc>
      </w:tr>
      <w:tr>
        <w:trPr>
          <w:jc w:val="center"/>
          <w:trHeight w:val="423"/>
        </w:trPr>
        <w:tc>
          <w:tcPr>
            <w:tcW w:w="1396" w:type="dxa"/>
            <w:vAlign w:val="center"/>
            <w:textDirection w:val="lrTb"/>
            <w:noWrap w:val="false"/>
          </w:tcPr>
          <w:p>
            <w:pPr>
              <w:jc w:val="center"/>
              <w:spacing w:line="360" w:lineRule="auto"/>
              <w:rPr>
                <w:rFonts w:hint="eastAsia" w:hAnsi="宋体" w:cs="宋体"/>
                <w:bCs/>
                <w:color w:val="000000"/>
                <w:highlight w:val="none"/>
              </w:rPr>
            </w:pPr>
            <w:r>
              <w:rPr>
                <w:rFonts w:hint="eastAsia" w:hAnsi="宋体" w:cs="宋体"/>
                <w:bCs/>
                <w:color w:val="000000"/>
                <w:highlight w:val="none"/>
              </w:rPr>
              <w:t xml:space="preserve">所投产品的业绩
（10分）</w:t>
            </w:r>
            <w:r/>
          </w:p>
        </w:tc>
        <w:tc>
          <w:tcPr>
            <w:tcW w:w="7799" w:type="dxa"/>
            <w:vAlign w:val="center"/>
            <w:textDirection w:val="lrTb"/>
            <w:noWrap w:val="false"/>
          </w:tcPr>
          <w:p>
            <w:pPr>
              <w:jc w:val="left"/>
              <w:spacing w:line="360" w:lineRule="auto"/>
              <w:rPr>
                <w:rFonts w:hint="eastAsia" w:hAnsi="宋体" w:cs="宋体"/>
                <w:color w:val="000000"/>
                <w:highlight w:val="none"/>
              </w:rPr>
            </w:pPr>
            <w:r>
              <w:rPr>
                <w:rFonts w:hint="eastAsia" w:hAnsi="宋体" w:cs="宋体"/>
                <w:color w:val="000000"/>
                <w:highlight w:val="none"/>
              </w:rPr>
              <w:t xml:space="preserve">提供自2023年1月1日至今与本次所投产品同品牌同型号的设备案例，每提供一份得2分，本项最高得10分。</w:t>
            </w:r>
            <w:r/>
          </w:p>
          <w:p>
            <w:pPr>
              <w:jc w:val="left"/>
              <w:spacing w:line="360" w:lineRule="auto"/>
              <w:rPr>
                <w:rFonts w:hint="eastAsia" w:hAnsi="宋体" w:cs="宋体"/>
                <w:color w:val="000000"/>
                <w:highlight w:val="none"/>
              </w:rPr>
            </w:pPr>
            <w:r>
              <w:rPr>
                <w:rFonts w:hint="eastAsia" w:hAnsi="宋体" w:cs="宋体"/>
                <w:color w:val="000000"/>
                <w:highlight w:val="none"/>
              </w:rPr>
              <w:t xml:space="preserve">注：</w:t>
            </w:r>
            <w:r/>
          </w:p>
          <w:p>
            <w:pPr>
              <w:jc w:val="left"/>
              <w:spacing w:line="360" w:lineRule="auto"/>
              <w:rPr>
                <w:rFonts w:hint="eastAsia" w:hAnsi="宋体" w:cs="宋体"/>
                <w:color w:val="000000"/>
                <w:highlight w:val="none"/>
              </w:rPr>
            </w:pPr>
            <w:r>
              <w:rPr>
                <w:rFonts w:hint="eastAsia" w:hAnsi="宋体" w:cs="宋体"/>
                <w:color w:val="000000"/>
                <w:highlight w:val="none"/>
              </w:rPr>
              <w:t xml:space="preserve">1.须同时提供合同扫描件及发票，时间以合同签订时间为准，合同关键信息（合同标的设备品牌型号、合同签订主体、合同双方签字及盖章、合同签订时间）须清晰可辨认。</w:t>
            </w:r>
            <w:r/>
          </w:p>
          <w:p>
            <w:pPr>
              <w:jc w:val="left"/>
              <w:spacing w:line="360" w:lineRule="auto"/>
              <w:rPr>
                <w:rFonts w:hint="eastAsia" w:hAnsi="宋体" w:cs="宋体"/>
                <w:color w:val="000000"/>
                <w:highlight w:val="none"/>
              </w:rPr>
            </w:pPr>
            <w:r>
              <w:rPr>
                <w:rFonts w:hint="eastAsia" w:hAnsi="宋体" w:cs="宋体"/>
                <w:color w:val="000000"/>
                <w:highlight w:val="none"/>
              </w:rPr>
              <w:t xml:space="preserve">2.未提供合同扫描件及发票或提供的合同及发票关键信息不全，或所提供业绩产品品牌型号与本次采购标的不符的不得分。</w:t>
            </w:r>
            <w:r/>
          </w:p>
          <w:p>
            <w:pPr>
              <w:jc w:val="left"/>
              <w:spacing w:line="360" w:lineRule="auto"/>
              <w:rPr>
                <w:rFonts w:hint="eastAsia" w:hAnsi="宋体" w:cs="宋体"/>
                <w:color w:val="000000"/>
                <w:highlight w:val="none"/>
              </w:rPr>
            </w:pPr>
            <w:r>
              <w:rPr>
                <w:rFonts w:hint="eastAsia" w:hAnsi="宋体" w:cs="宋体"/>
                <w:color w:val="000000"/>
                <w:highlight w:val="none"/>
              </w:rPr>
              <w:t xml:space="preserve">3.投标人须确保所提供的发票真实有效，二维码及发票内容清晰可辨，所有发票须可通过国家税务总局全国增值税发票查验平台（网址：https://inv-veri.chinatax.gov.cn/）查验。</w:t>
            </w:r>
            <w:r/>
          </w:p>
        </w:tc>
      </w:tr>
    </w:tbl>
    <w:p>
      <w:pPr>
        <w:pStyle w:val="766"/>
        <w:numPr>
          <w:ilvl w:val="0"/>
          <w:numId w:val="0"/>
        </w:numPr>
        <w:ind w:firstLine="482"/>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766"/>
        <w:numPr>
          <w:ilvl w:val="0"/>
          <w:numId w:val="46"/>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价格分：</w:t>
      </w:r>
      <w:r>
        <w:rPr>
          <w:rFonts w:hint="eastAsia"/>
          <w:b/>
          <w:color w:val="000000" w:themeColor="text1"/>
          <w:highlight w:val="none"/>
          <w:lang w:val="en-US" w:eastAsia="zh-CN"/>
          <w14:textFill>
            <w14:solidFill>
              <w14:schemeClr w14:val="tx1"/>
            </w14:solidFill>
          </w14:textFill>
        </w:rPr>
        <w:t xml:space="preserve">3</w:t>
      </w:r>
      <w:r>
        <w:rPr>
          <w:b/>
          <w:color w:val="000000" w:themeColor="text1"/>
          <w:highlight w:val="none"/>
          <w14:textFill>
            <w14:solidFill>
              <w14:schemeClr w14:val="tx1"/>
            </w14:solidFill>
          </w14:textFill>
        </w:rPr>
        <w:t xml:space="preserve">0分</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4.1价格分统一采用低价优先法计算，即满足招标文件要求且投标价格最低的投标报价为评标基准价，其价格分为满分。其他投标人的价格分统一按照下列公式计算：</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投标报价得分=（评标基准价/投标报价）×</w:t>
      </w:r>
      <w:r>
        <w:rPr>
          <w:rFonts w:hint="eastAsia"/>
          <w:color w:val="000000" w:themeColor="text1"/>
          <w:highlight w:val="none"/>
          <w:lang w:val="en-US" w:eastAsia="zh-CN"/>
          <w14:textFill>
            <w14:solidFill>
              <w14:schemeClr w14:val="tx1"/>
            </w14:solidFill>
          </w14:textFill>
        </w:rPr>
        <w:t xml:space="preserve">30</w:t>
      </w:r>
      <w:r>
        <w:rPr>
          <w:rFonts w:hint="eastAsia"/>
          <w:color w:val="000000" w:themeColor="text1"/>
          <w:highlight w:val="none"/>
          <w14:textFill>
            <w14:solidFill>
              <w14:schemeClr w14:val="tx1"/>
            </w14:solidFill>
          </w14:textFill>
        </w:rPr>
        <w:t xml:space="preserve">×100</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注：参照财库〔2026〕2号文件，评审委员会启动异常低价投标审查的情形和具体要求，包括：</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1.投标报价低于全部通过符合性审查供应商投标报价平均值50%的，即投标报价&lt;全部通过符合性审查供应商投标报价平均值×50%；</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2.投标报价低于通过符合性审查的次低报价供应商投标报价50%的，即投标报价&lt;通过符合性审查的次低报价供应商投标报价×50%；</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3.投标报价低于采购项目最高限价45%的，即投标报价&lt;采购项目最高限价×45%；</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委员会启动异常低价投标审查后，属于前述第1项至第4项情形的，相关供应商应在规定时间内现场书面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p>
    <w:p>
      <w:pPr>
        <w:pStyle w:val="766"/>
        <w:numPr>
          <w:ilvl w:val="0"/>
          <w:numId w:val="46"/>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政府采购政策功能落实</w:t>
      </w:r>
      <w:r/>
    </w:p>
    <w:p>
      <w:pPr>
        <w:pStyle w:val="766"/>
        <w:numPr>
          <w:ilvl w:val="0"/>
          <w:numId w:val="0"/>
        </w:numPr>
        <w:ind w:left="482"/>
        <w:tabs>
          <w:tab w:val="left" w:pos="1204" w:leader="none"/>
        </w:tabs>
        <w:rPr>
          <w:b/>
          <w:color w:val="000000"/>
          <w:highlight w:val="none"/>
        </w:rPr>
      </w:pPr>
      <w:r>
        <w:rPr>
          <w:rFonts w:hint="eastAsia" w:hAnsi="宋体" w:cs="宋体"/>
          <w:b w:val="0"/>
          <w:bCs/>
          <w:highlight w:val="none"/>
        </w:rPr>
        <w:t xml:space="preserve">1、促进中小企业发展政策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本项目为非专门面向中小微企业的项目，对小型和微型企业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在政府采购活动中，投标人提供的货物、工程或者服务符合下列情形的，享受价格扣除：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在货物采购项目中，货物由小微企业制造，即货物由小微企业生产且使用该小微企业商号或者注册商标；</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在货物采购项目中，投标人提供的货物既有中小企业制造货物，也有大型企业制造货物的，不享受本办法规定的中小企业</w:t>
      </w:r>
      <w:r>
        <w:rPr>
          <w:rFonts w:hint="eastAsia" w:ascii="宋体" w:hAnsi="宋体" w:cs="宋体"/>
          <w:bCs/>
          <w:sz w:val="24"/>
          <w:highlight w:val="none"/>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残疾人福利单位、监狱企业属于小型、微型企业的，不重复享受政策。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2、采购本国产品的支持政策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ighlight w:val="none"/>
        </w:rPr>
      </w:pPr>
      <w:r>
        <w:rPr>
          <w:rFonts w:hint="eastAsia" w:ascii="宋体" w:hAnsi="宋体" w:cs="宋体"/>
          <w:bCs/>
          <w:sz w:val="24"/>
          <w:highlight w:val="none"/>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766"/>
        <w:numPr>
          <w:ilvl w:val="0"/>
          <w:numId w:val="46"/>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中标人的确定</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评委会汇总各评委评分后，按照得分从高到低的顺序推荐</w:t>
      </w:r>
      <w:r>
        <w:rPr>
          <w:rFonts w:hint="eastAsia"/>
          <w:color w:val="000000" w:themeColor="text1"/>
          <w:highlight w:val="none"/>
          <w:lang w:val="en-US" w:eastAsia="zh-CN"/>
          <w14:textFill>
            <w14:solidFill>
              <w14:schemeClr w14:val="tx1"/>
            </w14:solidFill>
          </w14:textFill>
        </w:rPr>
        <w:t xml:space="preserve">一</w:t>
      </w:r>
      <w:r>
        <w:rPr>
          <w:color w:val="000000" w:themeColor="text1"/>
          <w:highlight w:val="none"/>
          <w14:textFill>
            <w14:solidFill>
              <w14:schemeClr w14:val="tx1"/>
            </w14:solidFill>
          </w14:textFill>
        </w:rPr>
        <w:t xml:space="preserve">名中标候选人，并编写评标报告。</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采购人应根据评标委员会推荐的中标候选人确定中标人。</w:t>
      </w:r>
      <w:r/>
    </w:p>
    <w:p>
      <w:pPr>
        <w:pStyle w:val="766"/>
        <w:numPr>
          <w:ilvl w:val="0"/>
          <w:numId w:val="46"/>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采购人代表宣布评标结果</w:t>
      </w:r>
      <w:r/>
    </w:p>
    <w:p>
      <w:pPr>
        <w:pStyle w:val="766"/>
        <w:numPr>
          <w:ilvl w:val="0"/>
          <w:numId w:val="46"/>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公告中标结果</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自确定中标人之日起2个工作日内，在江苏政府采购网公告中标结果，公告期限为1个工作日。</w:t>
      </w:r>
      <w:r/>
    </w:p>
    <w:p>
      <w:pPr>
        <w:pStyle w:val="766"/>
        <w:numPr>
          <w:ilvl w:val="0"/>
          <w:numId w:val="46"/>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发放中标通知书</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公告中标结果的同时，采购代理机构向中标供应商发放中标通知书。中标通知书发出后，采购人不得违法改变中标结果，中标人无正当理由不得放弃中标。</w:t>
      </w:r>
      <w:r/>
    </w:p>
    <w:p>
      <w:pPr>
        <w:rPr>
          <w:color w:val="000000" w:themeColor="text1"/>
          <w:sz w:val="24"/>
          <w:szCs w:val="32"/>
          <w:highlight w:val="none"/>
          <w14:textFill>
            <w14:solidFill>
              <w14:schemeClr w14:val="tx1"/>
            </w14:solidFill>
          </w14:textFill>
        </w:rPr>
      </w:pPr>
      <w:r>
        <w:rPr>
          <w:b/>
          <w:color w:val="000000" w:themeColor="text1"/>
          <w:sz w:val="24"/>
          <w:szCs w:val="32"/>
          <w:highlight w:val="none"/>
          <w14:textFill>
            <w14:solidFill>
              <w14:schemeClr w14:val="tx1"/>
            </w14:solidFill>
          </w14:textFill>
        </w:rPr>
        <w:t xml:space="preserve">中标人须在领取中标通知书前提供叁份纸质版投标文件正本至采购代理机构。</w:t>
      </w:r>
      <w:r>
        <w:rPr>
          <w:color w:val="000000" w:themeColor="text1"/>
          <w:sz w:val="24"/>
          <w:szCs w:val="32"/>
          <w:highlight w:val="none"/>
          <w14:textFill>
            <w14:solidFill>
              <w14:schemeClr w14:val="tx1"/>
            </w14:solidFill>
          </w14:textFill>
        </w:rPr>
        <w:br w:type="page" w:clear="all"/>
      </w:r>
      <w:r/>
    </w:p>
    <w:p>
      <w:pPr>
        <w:pStyle w:val="766"/>
        <w:ind w:left="0" w:firstLine="0"/>
        <w:jc w:val="center"/>
        <w:rPr>
          <w:color w:val="000000" w:themeColor="text1"/>
          <w:highlight w:val="none"/>
          <w14:textFill>
            <w14:solidFill>
              <w14:schemeClr w14:val="tx1"/>
            </w14:solidFill>
          </w14:textFill>
        </w:rPr>
      </w:pPr>
      <w:r>
        <w:rPr>
          <w:rFonts w:hint="default" w:ascii="Times New Roman" w:hAnsi="Times New Roman" w:eastAsia="黑体" w:cs="Times New Roman"/>
          <w:color w:val="000000" w:themeColor="text1"/>
          <w:sz w:val="32"/>
          <w:szCs w:val="36"/>
          <w:highlight w:val="none"/>
          <w14:textFill>
            <w14:solidFill>
              <w14:schemeClr w14:val="tx1"/>
            </w14:solidFill>
          </w14:textFill>
        </w:rPr>
        <w:t xml:space="preserve">第五部分  合同格式</w:t>
      </w:r>
      <w:r/>
    </w:p>
    <w:p>
      <w:pPr>
        <w:pStyle w:val="766"/>
        <w:ind w:firstLine="480"/>
        <w:rPr>
          <w:color w:val="000000" w:themeColor="text1"/>
          <w:highlight w:val="none"/>
          <w14:textFill>
            <w14:solidFill>
              <w14:schemeClr w14:val="tx1"/>
            </w14:solidFill>
          </w14:textFill>
        </w:rPr>
      </w:pPr>
      <w:r/>
      <w:bookmarkStart w:id="117" w:name="_Toc513029243"/>
      <w:r/>
      <w:bookmarkStart w:id="118" w:name="_Toc20823315"/>
      <w:r/>
      <w:bookmarkStart w:id="119" w:name="_Toc16938559"/>
      <w:r>
        <w:rPr>
          <w:color w:val="000000" w:themeColor="text1"/>
          <w:highlight w:val="none"/>
          <w14:textFill>
            <w14:solidFill>
              <w14:schemeClr w14:val="tx1"/>
            </w14:solidFill>
          </w14:textFill>
        </w:rPr>
        <w:t xml:space="preserve">以下</w:t>
      </w:r>
      <w:r>
        <w:rPr>
          <w:rFonts w:hint="eastAsia"/>
          <w:color w:val="000000" w:themeColor="text1"/>
          <w:highlight w:val="none"/>
          <w14:textFill>
            <w14:solidFill>
              <w14:schemeClr w14:val="tx1"/>
            </w14:solidFill>
          </w14:textFill>
        </w:rPr>
        <w:t xml:space="preserve">合同模板为采购人采购合同模板，</w:t>
      </w:r>
      <w:r>
        <w:rPr>
          <w:color w:val="000000" w:themeColor="text1"/>
          <w:highlight w:val="none"/>
          <w14:textFill>
            <w14:solidFill>
              <w14:schemeClr w14:val="tx1"/>
            </w14:solidFill>
          </w14:textFill>
        </w:rPr>
        <w:t xml:space="preserve">为</w:t>
      </w:r>
      <w:r>
        <w:rPr>
          <w:rFonts w:hint="eastAsia"/>
          <w:color w:val="000000" w:themeColor="text1"/>
          <w:highlight w:val="none"/>
          <w14:textFill>
            <w14:solidFill>
              <w14:schemeClr w14:val="tx1"/>
            </w14:solidFill>
          </w14:textFill>
        </w:rPr>
        <w:t xml:space="preserve">中标</w:t>
      </w:r>
      <w:r>
        <w:rPr>
          <w:color w:val="000000" w:themeColor="text1"/>
          <w:highlight w:val="none"/>
          <w14:textFill>
            <w14:solidFill>
              <w14:schemeClr w14:val="tx1"/>
            </w14:solidFill>
          </w14:textFill>
        </w:rPr>
        <w:t xml:space="preserve">后签订本项目合同的</w:t>
      </w:r>
      <w:r>
        <w:rPr>
          <w:rFonts w:hint="eastAsia"/>
          <w:color w:val="000000" w:themeColor="text1"/>
          <w:highlight w:val="none"/>
          <w14:textFill>
            <w14:solidFill>
              <w14:schemeClr w14:val="tx1"/>
            </w14:solidFill>
          </w14:textFill>
        </w:rPr>
        <w:t xml:space="preserve">基本</w:t>
      </w:r>
      <w:r>
        <w:rPr>
          <w:color w:val="000000" w:themeColor="text1"/>
          <w:highlight w:val="none"/>
          <w14:textFill>
            <w14:solidFill>
              <w14:schemeClr w14:val="tx1"/>
            </w14:solidFill>
          </w14:textFill>
        </w:rPr>
        <w:t xml:space="preserve">条款，</w:t>
      </w:r>
      <w:r>
        <w:rPr>
          <w:rFonts w:hint="eastAsia"/>
          <w:color w:val="000000" w:themeColor="text1"/>
          <w:highlight w:val="none"/>
          <w14:textFill>
            <w14:solidFill>
              <w14:schemeClr w14:val="tx1"/>
            </w14:solidFill>
          </w14:textFill>
        </w:rPr>
        <w:t xml:space="preserve">中标人</w:t>
      </w:r>
      <w:r>
        <w:rPr>
          <w:color w:val="000000" w:themeColor="text1"/>
          <w:highlight w:val="none"/>
          <w14:textFill>
            <w14:solidFill>
              <w14:schemeClr w14:val="tx1"/>
            </w14:solidFill>
          </w14:textFill>
        </w:rPr>
        <w:t xml:space="preserve">不得提出实质性的修改，专用条款将</w:t>
      </w:r>
      <w:r>
        <w:rPr>
          <w:rFonts w:hint="eastAsia"/>
          <w:color w:val="000000" w:themeColor="text1"/>
          <w:highlight w:val="none"/>
          <w14:textFill>
            <w14:solidFill>
              <w14:schemeClr w14:val="tx1"/>
            </w14:solidFill>
          </w14:textFill>
        </w:rPr>
        <w:t xml:space="preserve">根据</w:t>
      </w:r>
      <w:r>
        <w:rPr>
          <w:color w:val="000000" w:themeColor="text1"/>
          <w:highlight w:val="none"/>
          <w14:textFill>
            <w14:solidFill>
              <w14:schemeClr w14:val="tx1"/>
            </w14:solidFill>
          </w14:textFill>
        </w:rPr>
        <w:t xml:space="preserve">本项目</w:t>
      </w:r>
      <w:r>
        <w:rPr>
          <w:rFonts w:hint="eastAsia"/>
          <w:color w:val="000000" w:themeColor="text1"/>
          <w:highlight w:val="none"/>
          <w14:textFill>
            <w14:solidFill>
              <w14:schemeClr w14:val="tx1"/>
            </w14:solidFill>
          </w14:textFill>
        </w:rPr>
        <w:t xml:space="preserve">中标结果</w:t>
      </w:r>
      <w:r>
        <w:rPr>
          <w:color w:val="000000" w:themeColor="text1"/>
          <w:highlight w:val="none"/>
          <w14:textFill>
            <w14:solidFill>
              <w14:schemeClr w14:val="tx1"/>
            </w14:solidFill>
          </w14:textFill>
        </w:rPr>
        <w:t xml:space="preserve">具体情况协商后签订。</w:t>
      </w:r>
      <w:bookmarkEnd w:id="117"/>
      <w:r/>
      <w:bookmarkEnd w:id="118"/>
      <w:r/>
      <w:bookmarkEnd w:id="119"/>
      <w:r/>
      <w:r/>
    </w:p>
    <w:p>
      <w:pPr>
        <w:jc w:val="center"/>
        <w:spacing w:line="360" w:lineRule="auto"/>
        <w:rPr>
          <w:rFonts w:hint="eastAsia" w:hAnsi="宋体"/>
          <w:bCs/>
          <w:sz w:val="30"/>
          <w:highlight w:val="none"/>
        </w:rPr>
        <w:outlineLvl w:val="0"/>
      </w:pPr>
      <w:r>
        <w:rPr>
          <w:rFonts w:hint="eastAsia" w:hAnsi="宋体"/>
          <w:bCs/>
          <w:sz w:val="30"/>
          <w:szCs w:val="21"/>
          <w:highlight w:val="none"/>
        </w:rPr>
        <w:t xml:space="preserve">南通大学附属医院政府采购合同</w:t>
      </w:r>
      <w:r>
        <w:rPr>
          <w:rFonts w:hint="eastAsia" w:hAnsi="宋体"/>
          <w:sz w:val="30"/>
          <w:szCs w:val="21"/>
          <w:highlight w:val="none"/>
        </w:rPr>
        <w:t xml:space="preserve">（合同编号）</w:t>
      </w:r>
      <w:r/>
    </w:p>
    <w:p>
      <w:pPr>
        <w:spacing w:line="360" w:lineRule="auto"/>
        <w:rPr>
          <w:rFonts w:hint="eastAsia" w:hAnsi="宋体" w:cs="Courier New"/>
          <w:bCs/>
          <w:highlight w:val="none"/>
        </w:rPr>
      </w:pPr>
      <w:r>
        <w:rPr>
          <w:rFonts w:hAnsi="宋体" w:cs="Courier New"/>
          <w:bCs/>
          <w:highlight w:val="none"/>
        </w:rPr>
        <w:t xml:space="preserve">项目名称：                                       项目编号：</w:t>
      </w:r>
      <w:r/>
    </w:p>
    <w:p>
      <w:pPr>
        <w:spacing w:line="360" w:lineRule="auto"/>
        <w:rPr>
          <w:rFonts w:hint="eastAsia" w:hAnsi="宋体" w:cs="Courier New"/>
          <w:bCs/>
          <w:highlight w:val="none"/>
        </w:rPr>
      </w:pPr>
      <w:r>
        <w:rPr>
          <w:rFonts w:hAnsi="宋体" w:cs="Courier New"/>
          <w:bCs/>
          <w:highlight w:val="none"/>
        </w:rPr>
        <w:t xml:space="preserve">甲方：（买方）_________</w:t>
      </w:r>
      <w:r/>
    </w:p>
    <w:p>
      <w:pPr>
        <w:spacing w:line="360" w:lineRule="auto"/>
        <w:rPr>
          <w:rFonts w:hint="eastAsia" w:hAnsi="宋体" w:cs="Courier New"/>
          <w:bCs/>
          <w:highlight w:val="none"/>
        </w:rPr>
      </w:pPr>
      <w:r>
        <w:rPr>
          <w:rFonts w:hAnsi="宋体" w:cs="Courier New"/>
          <w:bCs/>
          <w:highlight w:val="none"/>
        </w:rPr>
        <w:t xml:space="preserve">乙方：（卖方）_________</w:t>
      </w:r>
      <w:r/>
    </w:p>
    <w:p>
      <w:pPr>
        <w:spacing w:line="360" w:lineRule="auto"/>
        <w:rPr>
          <w:rFonts w:hint="eastAsia" w:hAnsi="宋体" w:cs="Courier New"/>
          <w:bCs/>
          <w:highlight w:val="none"/>
        </w:rPr>
      </w:pPr>
      <w:r>
        <w:rPr>
          <w:rFonts w:hAnsi="宋体" w:cs="Courier New"/>
          <w:bCs/>
          <w:highlight w:val="none"/>
        </w:rPr>
        <w:t xml:space="preserve">   甲、乙双方根据</w:t>
      </w:r>
      <w:r>
        <w:rPr>
          <w:rFonts w:hint="eastAsia" w:hAnsi="宋体" w:cs="Courier New"/>
          <w:bCs/>
          <w:highlight w:val="none"/>
          <w:u w:val="single"/>
        </w:rPr>
        <w:t xml:space="preserve">         </w:t>
      </w:r>
      <w:r>
        <w:rPr>
          <w:rFonts w:hAnsi="宋体" w:cs="Courier New"/>
          <w:bCs/>
          <w:highlight w:val="none"/>
        </w:rPr>
        <w:t xml:space="preserve">项目公开招标的结果，签署本合同。</w:t>
      </w:r>
      <w:r/>
    </w:p>
    <w:p>
      <w:pPr>
        <w:spacing w:line="360" w:lineRule="auto"/>
        <w:rPr>
          <w:rFonts w:hint="eastAsia" w:hAnsi="宋体" w:cs="Courier New"/>
          <w:bCs/>
          <w:highlight w:val="none"/>
        </w:rPr>
      </w:pPr>
      <w:r>
        <w:rPr>
          <w:rFonts w:hAnsi="宋体" w:cs="Courier New"/>
          <w:bCs/>
          <w:highlight w:val="none"/>
        </w:rPr>
        <w:t xml:space="preserve">一、</w:t>
      </w:r>
      <w:r>
        <w:rPr>
          <w:rFonts w:hint="eastAsia" w:hAnsi="宋体" w:cs="Courier New"/>
          <w:bCs/>
          <w:highlight w:val="none"/>
        </w:rPr>
        <w:t xml:space="preserve">合同</w:t>
      </w:r>
      <w:r>
        <w:rPr>
          <w:rFonts w:hAnsi="宋体" w:cs="Courier New"/>
          <w:bCs/>
          <w:highlight w:val="none"/>
        </w:rPr>
        <w:t xml:space="preserve">内容</w:t>
      </w:r>
      <w:r/>
    </w:p>
    <w:p>
      <w:pPr>
        <w:spacing w:line="360" w:lineRule="auto"/>
        <w:rPr>
          <w:rFonts w:hint="eastAsia" w:hAnsi="宋体" w:cs="Courier New"/>
          <w:bCs/>
          <w:highlight w:val="none"/>
        </w:rPr>
      </w:pPr>
      <w:r>
        <w:rPr>
          <w:rFonts w:hAnsi="宋体" w:cs="Courier New"/>
          <w:bCs/>
          <w:highlight w:val="none"/>
        </w:rPr>
        <w:t xml:space="preserve">1.1 </w:t>
      </w:r>
      <w:r>
        <w:rPr>
          <w:rFonts w:hint="eastAsia" w:hAnsi="宋体" w:cs="Courier New"/>
          <w:bCs/>
          <w:highlight w:val="none"/>
        </w:rPr>
        <w:t xml:space="preserve">标的</w:t>
      </w:r>
      <w:r>
        <w:rPr>
          <w:rFonts w:hAnsi="宋体" w:cs="Courier New"/>
          <w:bCs/>
          <w:highlight w:val="none"/>
        </w:rPr>
        <w:t xml:space="preserve">名称：</w:t>
      </w:r>
      <w:r>
        <w:rPr>
          <w:rFonts w:hint="eastAsia" w:hAnsi="宋体" w:cs="Courier New"/>
          <w:bCs/>
          <w:highlight w:val="none"/>
        </w:rPr>
        <w:t xml:space="preserve"> </w:t>
      </w:r>
      <w:r/>
    </w:p>
    <w:p>
      <w:pPr>
        <w:ind w:left="372" w:hanging="372"/>
        <w:spacing w:line="360" w:lineRule="auto"/>
        <w:rPr>
          <w:rFonts w:hint="eastAsia" w:hAnsi="宋体" w:cs="Courier New"/>
          <w:bCs/>
          <w:highlight w:val="none"/>
        </w:rPr>
      </w:pPr>
      <w:r>
        <w:rPr>
          <w:rFonts w:hAnsi="宋体" w:cs="Courier New"/>
          <w:bCs/>
          <w:highlight w:val="none"/>
        </w:rPr>
        <w:t xml:space="preserve">1.2</w:t>
      </w:r>
      <w:r>
        <w:rPr>
          <w:rFonts w:hint="eastAsia" w:hAnsi="宋体" w:cs="Courier New"/>
          <w:bCs/>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r/>
    </w:p>
    <w:p>
      <w:pPr>
        <w:spacing w:line="360" w:lineRule="auto"/>
        <w:rPr>
          <w:rFonts w:hint="eastAsia" w:hAnsi="宋体" w:cs="Courier New"/>
          <w:bCs/>
          <w:highlight w:val="none"/>
        </w:rPr>
      </w:pPr>
      <w:r>
        <w:rPr>
          <w:rFonts w:hint="eastAsia" w:hAnsi="宋体" w:cs="Courier New"/>
          <w:bCs/>
          <w:highlight w:val="none"/>
        </w:rPr>
        <w:t xml:space="preserve">1.3 标的数量（规模）：</w:t>
      </w:r>
      <w:r/>
    </w:p>
    <w:p>
      <w:pPr>
        <w:spacing w:line="360" w:lineRule="auto"/>
        <w:rPr>
          <w:rFonts w:hint="eastAsia" w:hAnsi="宋体" w:cs="Courier New"/>
          <w:bCs/>
          <w:highlight w:val="none"/>
        </w:rPr>
      </w:pPr>
      <w:r>
        <w:rPr>
          <w:rFonts w:hint="eastAsia" w:hAnsi="宋体" w:cs="Courier New"/>
          <w:bCs/>
          <w:highlight w:val="none"/>
        </w:rPr>
        <w:t xml:space="preserve">1.4 履行时间（期限）：</w:t>
      </w:r>
      <w:r/>
    </w:p>
    <w:p>
      <w:pPr>
        <w:spacing w:line="360" w:lineRule="auto"/>
        <w:rPr>
          <w:rFonts w:hint="eastAsia" w:hAnsi="宋体" w:cs="Courier New"/>
          <w:bCs/>
          <w:highlight w:val="none"/>
        </w:rPr>
      </w:pPr>
      <w:r>
        <w:rPr>
          <w:rFonts w:hint="eastAsia" w:hAnsi="宋体" w:cs="Courier New"/>
          <w:bCs/>
          <w:highlight w:val="none"/>
        </w:rPr>
        <w:t xml:space="preserve">1.5 履行地点：</w:t>
      </w:r>
      <w:r/>
    </w:p>
    <w:p>
      <w:pPr>
        <w:spacing w:line="360" w:lineRule="auto"/>
        <w:rPr>
          <w:rFonts w:hint="eastAsia" w:hAnsi="宋体" w:cs="Courier New"/>
          <w:bCs/>
          <w:highlight w:val="none"/>
        </w:rPr>
      </w:pPr>
      <w:r>
        <w:rPr>
          <w:rFonts w:hAnsi="宋体" w:cs="Courier New"/>
          <w:bCs/>
          <w:highlight w:val="none"/>
        </w:rPr>
        <w:t xml:space="preserve">1.</w:t>
      </w:r>
      <w:r>
        <w:rPr>
          <w:rFonts w:hint="eastAsia" w:hAnsi="宋体" w:cs="Courier New"/>
          <w:bCs/>
          <w:highlight w:val="none"/>
        </w:rPr>
        <w:t xml:space="preserve">6 履行方式：</w:t>
      </w:r>
      <w:r/>
    </w:p>
    <w:p>
      <w:pPr>
        <w:spacing w:line="360" w:lineRule="auto"/>
        <w:rPr>
          <w:rFonts w:hint="eastAsia" w:hAnsi="宋体" w:cs="Courier New"/>
          <w:bCs/>
          <w:highlight w:val="none"/>
        </w:rPr>
      </w:pPr>
      <w:r>
        <w:rPr>
          <w:rFonts w:hint="eastAsia" w:hAnsi="宋体" w:cs="Courier New"/>
          <w:bCs/>
          <w:highlight w:val="none"/>
        </w:rPr>
        <w:t xml:space="preserve">1.7 包装方式：参考《商品包装政府采购需求标准（试行）》《快递包装政府采购需求标准（试行）》产品及相关快递服务的具体包装要求</w:t>
      </w:r>
      <w:r/>
    </w:p>
    <w:p>
      <w:pPr>
        <w:spacing w:line="360" w:lineRule="auto"/>
        <w:rPr>
          <w:rFonts w:hint="eastAsia" w:hAnsi="宋体" w:cs="Courier New"/>
          <w:bCs/>
          <w:highlight w:val="none"/>
        </w:rPr>
      </w:pPr>
      <w:r>
        <w:rPr>
          <w:rFonts w:hAnsi="宋体" w:cs="Courier New"/>
          <w:bCs/>
          <w:highlight w:val="none"/>
        </w:rPr>
        <w:t xml:space="preserve">二、合同金额</w:t>
      </w:r>
      <w:r/>
    </w:p>
    <w:p>
      <w:pPr>
        <w:ind w:left="359" w:hanging="359"/>
        <w:spacing w:line="360" w:lineRule="auto"/>
        <w:rPr>
          <w:rFonts w:hint="eastAsia" w:hAnsi="宋体" w:cs="Courier New"/>
          <w:bCs/>
          <w:highlight w:val="none"/>
        </w:rPr>
      </w:pPr>
      <w:r>
        <w:rPr>
          <w:rFonts w:hAnsi="宋体" w:cs="Courier New"/>
          <w:bCs/>
          <w:highlight w:val="none"/>
        </w:rPr>
        <w:t xml:space="preserve">2.1 本合同金额为（大写）：_______</w:t>
      </w:r>
      <w:r>
        <w:rPr>
          <w:rFonts w:hint="eastAsia" w:hAnsi="宋体" w:cs="Courier New"/>
          <w:bCs/>
          <w:highlight w:val="none"/>
        </w:rPr>
        <w:t xml:space="preserve">圆</w:t>
      </w:r>
      <w:r>
        <w:rPr>
          <w:rFonts w:hAnsi="宋体" w:cs="Courier New"/>
          <w:bCs/>
          <w:highlight w:val="none"/>
        </w:rPr>
        <w:t xml:space="preserve">（___元）人民币</w:t>
      </w:r>
      <w:r>
        <w:rPr>
          <w:rFonts w:hint="eastAsia" w:hAnsi="宋体" w:cs="Courier New"/>
          <w:bCs/>
          <w:highlight w:val="none"/>
        </w:rPr>
        <w:t xml:space="preserve">或其他币种</w:t>
      </w:r>
      <w:r>
        <w:rPr>
          <w:rFonts w:hAnsi="宋体" w:cs="Courier New"/>
          <w:bCs/>
          <w:highlight w:val="none"/>
        </w:rPr>
        <w:t xml:space="preserve">。</w:t>
      </w:r>
      <w:r/>
    </w:p>
    <w:p>
      <w:pPr>
        <w:spacing w:line="360" w:lineRule="auto"/>
        <w:rPr>
          <w:rFonts w:hint="eastAsia" w:hAnsi="宋体" w:cs="Courier New"/>
          <w:bCs/>
          <w:highlight w:val="none"/>
        </w:rPr>
      </w:pPr>
      <w:r>
        <w:rPr>
          <w:rFonts w:hAnsi="宋体" w:cs="Courier New"/>
          <w:bCs/>
          <w:highlight w:val="none"/>
        </w:rPr>
        <w:t xml:space="preserve">三、技术资料</w:t>
      </w:r>
      <w:r/>
    </w:p>
    <w:p>
      <w:pPr>
        <w:ind w:left="359" w:hanging="359"/>
        <w:spacing w:line="360" w:lineRule="auto"/>
        <w:rPr>
          <w:rFonts w:hint="eastAsia" w:hAnsi="宋体" w:cs="Courier New"/>
          <w:bCs/>
          <w:highlight w:val="none"/>
        </w:rPr>
      </w:pPr>
      <w:r>
        <w:rPr>
          <w:rFonts w:hAnsi="宋体" w:cs="Courier New"/>
          <w:bCs/>
          <w:highlight w:val="none"/>
        </w:rPr>
        <w:t xml:space="preserve">3.1乙方应按招标文件规定的时间向甲方提供使用货物</w:t>
      </w:r>
      <w:r>
        <w:rPr>
          <w:rFonts w:hint="eastAsia" w:hAnsi="宋体" w:cs="Courier New"/>
          <w:bCs/>
          <w:highlight w:val="none"/>
        </w:rPr>
        <w:t xml:space="preserve">(包含与货物相关的服务)</w:t>
      </w:r>
      <w:r>
        <w:rPr>
          <w:rFonts w:hAnsi="宋体" w:cs="Courier New"/>
          <w:bCs/>
          <w:highlight w:val="none"/>
        </w:rPr>
        <w:t xml:space="preserve">的有关技术资料。</w:t>
      </w:r>
      <w:r/>
    </w:p>
    <w:p>
      <w:pPr>
        <w:ind w:left="359" w:hanging="359"/>
        <w:spacing w:line="360" w:lineRule="auto"/>
        <w:rPr>
          <w:rFonts w:hint="eastAsia" w:hAnsi="宋体" w:cs="Courier New"/>
          <w:bCs/>
          <w:highlight w:val="none"/>
        </w:rPr>
      </w:pPr>
      <w:r>
        <w:rPr>
          <w:rFonts w:hAnsi="宋体" w:cs="Courier New"/>
          <w:bCs/>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59" w:hanging="359"/>
        <w:spacing w:line="360" w:lineRule="auto"/>
        <w:rPr>
          <w:rFonts w:hint="eastAsia" w:hAnsi="宋体" w:cs="Courier New"/>
          <w:bCs/>
          <w:highlight w:val="none"/>
        </w:rPr>
      </w:pPr>
      <w:r>
        <w:rPr>
          <w:rFonts w:hAnsi="宋体" w:cs="Courier New"/>
          <w:bCs/>
          <w:highlight w:val="none"/>
        </w:rPr>
        <w:t xml:space="preserve">四、知识产权</w:t>
      </w:r>
      <w:r/>
    </w:p>
    <w:p>
      <w:pPr>
        <w:spacing w:line="360" w:lineRule="auto"/>
        <w:rPr>
          <w:rFonts w:hint="eastAsia" w:hAnsi="宋体"/>
          <w:bCs/>
          <w:szCs w:val="21"/>
          <w:highlight w:val="none"/>
        </w:rPr>
      </w:pPr>
      <w:r>
        <w:rPr>
          <w:rFonts w:hAnsi="宋体"/>
          <w:bCs/>
          <w:highlight w:val="none"/>
        </w:rPr>
        <w:t xml:space="preserve">4.1乙</w:t>
      </w:r>
      <w:r>
        <w:rPr>
          <w:rFonts w:hint="eastAsia" w:hAnsi="宋体"/>
          <w:bCs/>
          <w:szCs w:val="21"/>
          <w:highlight w:val="none"/>
        </w:rPr>
        <w:t xml:space="preserve">方应保证甲方在使用、接受本合同货物</w:t>
      </w:r>
      <w:r>
        <w:rPr>
          <w:rFonts w:hint="eastAsia" w:hAnsi="宋体"/>
          <w:bCs/>
          <w:highlight w:val="none"/>
        </w:rPr>
        <w:t xml:space="preserve">（包含与货物相关的服务）</w:t>
      </w:r>
      <w:r>
        <w:rPr>
          <w:rFonts w:hint="eastAsia" w:hAnsi="宋体"/>
          <w:bCs/>
          <w:szCs w:val="21"/>
          <w:highlight w:val="none"/>
        </w:rPr>
        <w:t xml:space="preserve">或其任何一部分时不受第三方提出侵犯其专利权、版权、商标权和工业设计权等知识产权的起诉。一旦出现侵权，由乙方负全部责任。</w:t>
      </w:r>
      <w:r/>
    </w:p>
    <w:p>
      <w:pPr>
        <w:spacing w:line="360" w:lineRule="auto"/>
        <w:rPr>
          <w:rFonts w:hint="eastAsia" w:hAnsi="宋体" w:cs="Courier New"/>
          <w:bCs/>
          <w:highlight w:val="none"/>
          <w:u w:val="single"/>
        </w:rPr>
      </w:pPr>
      <w:r>
        <w:rPr>
          <w:rFonts w:hAnsi="宋体" w:cs="Courier New"/>
          <w:bCs/>
          <w:highlight w:val="none"/>
        </w:rPr>
        <w:t xml:space="preserve">五、产权担保</w:t>
      </w:r>
      <w:r/>
    </w:p>
    <w:p>
      <w:pPr>
        <w:ind w:left="357" w:hanging="357"/>
        <w:spacing w:line="360" w:lineRule="auto"/>
        <w:rPr>
          <w:rFonts w:hint="eastAsia" w:hAnsi="宋体" w:cs="Courier New"/>
          <w:bCs/>
          <w:highlight w:val="none"/>
          <w:u w:val="single"/>
        </w:rPr>
      </w:pPr>
      <w:r>
        <w:rPr>
          <w:rFonts w:hAnsi="宋体" w:cs="Courier New"/>
          <w:bCs/>
          <w:highlight w:val="none"/>
        </w:rPr>
        <w:t xml:space="preserve">5.1 乙方保证所交付的货物</w:t>
      </w:r>
      <w:r>
        <w:rPr>
          <w:rFonts w:hint="eastAsia" w:hAnsi="宋体" w:cs="Courier New"/>
          <w:bCs/>
          <w:highlight w:val="none"/>
        </w:rPr>
        <w:t xml:space="preserve">（包含与货物相关的服务）</w:t>
      </w:r>
      <w:r>
        <w:rPr>
          <w:rFonts w:hAnsi="宋体" w:cs="Courier New"/>
          <w:bCs/>
          <w:highlight w:val="none"/>
        </w:rPr>
        <w:t xml:space="preserve">的所有权完全属于乙方且无任何抵押、查封等产权瑕疵。</w:t>
      </w:r>
      <w:r/>
    </w:p>
    <w:p>
      <w:pPr>
        <w:ind w:left="357" w:hanging="357"/>
        <w:spacing w:line="360" w:lineRule="auto"/>
        <w:rPr>
          <w:rFonts w:hint="eastAsia" w:hAnsi="宋体" w:cs="Courier New"/>
          <w:bCs/>
          <w:highlight w:val="none"/>
        </w:rPr>
      </w:pPr>
      <w:r>
        <w:rPr>
          <w:rFonts w:hAnsi="宋体" w:cs="Courier New"/>
          <w:bCs/>
          <w:highlight w:val="none"/>
        </w:rPr>
        <w:t xml:space="preserve">六、履约保证金</w:t>
      </w:r>
      <w:r/>
    </w:p>
    <w:p>
      <w:pPr>
        <w:ind w:left="357" w:hanging="357"/>
        <w:spacing w:line="360" w:lineRule="auto"/>
        <w:rPr>
          <w:rFonts w:hint="eastAsia" w:hAnsi="宋体" w:cs="Courier New"/>
          <w:bCs/>
          <w:highlight w:val="none"/>
        </w:rPr>
      </w:pPr>
      <w:r>
        <w:rPr>
          <w:rFonts w:hAnsi="宋体" w:cs="Courier New"/>
          <w:bCs/>
          <w:highlight w:val="none"/>
        </w:rPr>
        <w:t xml:space="preserve">6.1 乙方交纳人民币_________元作为本合同的履约保证金。</w:t>
      </w:r>
      <w:r>
        <w:rPr>
          <w:rFonts w:hint="eastAsia" w:hAnsi="宋体" w:cs="Courier New"/>
          <w:bCs/>
          <w:highlight w:val="none"/>
        </w:rPr>
        <w:t xml:space="preserve">（不得超过合同金额的10%）</w:t>
      </w:r>
      <w:r/>
    </w:p>
    <w:p>
      <w:pPr>
        <w:ind w:left="357" w:hanging="357"/>
        <w:spacing w:line="360" w:lineRule="auto"/>
        <w:rPr>
          <w:rFonts w:hint="eastAsia" w:hAnsi="宋体" w:cs="Courier New"/>
          <w:bCs/>
          <w:highlight w:val="none"/>
        </w:rPr>
      </w:pPr>
      <w:r>
        <w:rPr>
          <w:rFonts w:hint="eastAsia" w:hAnsi="宋体" w:cs="Courier New"/>
          <w:bCs/>
          <w:highlight w:val="none"/>
        </w:rPr>
        <w:t xml:space="preserve">6.2合同履行结束后，甲方应及时退还交纳的履约保证金。</w:t>
      </w:r>
      <w:r/>
    </w:p>
    <w:p>
      <w:pPr>
        <w:ind w:left="357" w:hanging="357"/>
        <w:spacing w:line="360" w:lineRule="auto"/>
        <w:rPr>
          <w:rFonts w:hint="eastAsia" w:hAnsi="宋体" w:cs="Courier New"/>
          <w:bCs/>
          <w:highlight w:val="none"/>
        </w:rPr>
      </w:pPr>
      <w:r>
        <w:rPr>
          <w:rFonts w:hint="eastAsia" w:hAnsi="宋体" w:cs="Courier New"/>
          <w:bCs/>
          <w:highlight w:val="none"/>
        </w:rPr>
        <w:t xml:space="preserve">6.2.1履约保证金退还方式：</w:t>
      </w:r>
      <w:r/>
    </w:p>
    <w:p>
      <w:pPr>
        <w:ind w:left="357" w:hanging="357"/>
        <w:spacing w:line="360" w:lineRule="auto"/>
        <w:rPr>
          <w:rFonts w:hint="eastAsia" w:hAnsi="宋体" w:cs="Courier New"/>
          <w:bCs/>
          <w:highlight w:val="none"/>
        </w:rPr>
      </w:pPr>
      <w:r>
        <w:rPr>
          <w:rFonts w:hint="eastAsia" w:hAnsi="宋体" w:cs="Courier New"/>
          <w:bCs/>
          <w:highlight w:val="none"/>
        </w:rPr>
        <w:t xml:space="preserve">6.2.2履约保证金退还时间：</w:t>
      </w:r>
      <w:r/>
    </w:p>
    <w:p>
      <w:pPr>
        <w:ind w:left="357" w:hanging="357"/>
        <w:spacing w:line="360" w:lineRule="auto"/>
        <w:rPr>
          <w:rFonts w:hint="eastAsia" w:hAnsi="宋体" w:cs="Courier New"/>
          <w:bCs/>
          <w:highlight w:val="none"/>
        </w:rPr>
      </w:pPr>
      <w:r>
        <w:rPr>
          <w:rFonts w:hint="eastAsia" w:hAnsi="宋体" w:cs="Courier New"/>
          <w:bCs/>
          <w:highlight w:val="none"/>
        </w:rPr>
        <w:t xml:space="preserve">6.2.3履约保证金退还条件：</w:t>
      </w:r>
      <w:r/>
    </w:p>
    <w:p>
      <w:pPr>
        <w:ind w:left="357" w:hanging="357"/>
        <w:spacing w:line="360" w:lineRule="auto"/>
        <w:rPr>
          <w:rFonts w:hint="eastAsia" w:hAnsi="宋体" w:cs="Courier New"/>
          <w:bCs/>
          <w:highlight w:val="none"/>
        </w:rPr>
      </w:pPr>
      <w:r>
        <w:rPr>
          <w:rFonts w:hint="eastAsia" w:hAnsi="宋体" w:cs="Courier New"/>
          <w:bCs/>
          <w:highlight w:val="none"/>
        </w:rPr>
        <w:t xml:space="preserve">6.2.4履约保证金不予退还的情形：</w:t>
      </w:r>
      <w:r/>
    </w:p>
    <w:p>
      <w:pPr>
        <w:spacing w:line="360" w:lineRule="auto"/>
        <w:rPr>
          <w:rFonts w:hint="eastAsia" w:hAnsi="宋体" w:eastAsia="仿宋_GB2312"/>
          <w:bCs/>
          <w:highlight w:val="none"/>
        </w:rPr>
      </w:pPr>
      <w:r>
        <w:rPr>
          <w:rFonts w:hint="eastAsia" w:hAnsi="宋体"/>
          <w:bCs/>
          <w:highlight w:val="none"/>
        </w:rPr>
        <w:t xml:space="preserve">七、合同转包或分包</w:t>
      </w:r>
      <w:r/>
    </w:p>
    <w:p>
      <w:pPr>
        <w:spacing w:line="360" w:lineRule="auto"/>
        <w:rPr>
          <w:rFonts w:hint="eastAsia" w:hAnsi="宋体"/>
          <w:bCs/>
          <w:highlight w:val="none"/>
        </w:rPr>
      </w:pPr>
      <w:r>
        <w:rPr>
          <w:rFonts w:hint="eastAsia" w:hAnsi="宋体"/>
          <w:bCs/>
          <w:highlight w:val="none"/>
        </w:rPr>
        <w:t xml:space="preserve">7.1乙方不得将合同标的转包给他人履行。</w:t>
      </w:r>
      <w:r/>
    </w:p>
    <w:p>
      <w:pPr>
        <w:spacing w:line="360" w:lineRule="auto"/>
        <w:rPr>
          <w:rFonts w:hint="eastAsia" w:hAnsi="宋体"/>
          <w:bCs/>
          <w:highlight w:val="none"/>
        </w:rPr>
      </w:pPr>
      <w:r>
        <w:rPr>
          <w:rFonts w:hint="eastAsia" w:hAnsi="宋体"/>
          <w:bCs/>
          <w:highlight w:val="none"/>
        </w:rPr>
        <w:t xml:space="preserve">7.2乙方不得将合同标的分包给他人履行。</w:t>
      </w:r>
      <w:r/>
    </w:p>
    <w:p>
      <w:pPr>
        <w:spacing w:line="360" w:lineRule="auto"/>
        <w:rPr>
          <w:rFonts w:hint="eastAsia" w:hAnsi="宋体" w:eastAsia="仿宋_GB2312"/>
          <w:bCs/>
          <w:highlight w:val="none"/>
        </w:rPr>
      </w:pPr>
      <w:r>
        <w:rPr>
          <w:rFonts w:hAnsi="宋体"/>
          <w:bCs/>
          <w:highlight w:val="none"/>
        </w:rPr>
        <w:t xml:space="preserve">7.3</w:t>
      </w:r>
      <w:r>
        <w:rPr>
          <w:rFonts w:hint="eastAsia" w:hAnsi="宋体"/>
          <w:bCs/>
          <w:highlight w:val="none"/>
        </w:rPr>
        <w:t xml:space="preserve">乙方如有转包或未经甲方同意的分包行为，甲方有权给予终止合同。</w:t>
      </w:r>
      <w:r/>
    </w:p>
    <w:p>
      <w:pPr>
        <w:spacing w:line="360" w:lineRule="auto"/>
        <w:rPr>
          <w:rFonts w:hint="eastAsia" w:hAnsi="宋体" w:cs="Courier New"/>
          <w:bCs/>
          <w:highlight w:val="none"/>
        </w:rPr>
      </w:pPr>
      <w:r>
        <w:rPr>
          <w:rFonts w:hint="eastAsia" w:hAnsi="宋体" w:cs="Courier New"/>
          <w:bCs/>
          <w:highlight w:val="none"/>
        </w:rPr>
        <w:t xml:space="preserve">八</w:t>
      </w:r>
      <w:r>
        <w:rPr>
          <w:rFonts w:hAnsi="宋体" w:cs="Courier New"/>
          <w:bCs/>
          <w:highlight w:val="none"/>
        </w:rPr>
        <w:t xml:space="preserve">、</w:t>
      </w:r>
      <w:r>
        <w:rPr>
          <w:rFonts w:hint="eastAsia" w:hAnsi="宋体" w:cs="Courier New"/>
          <w:bCs/>
          <w:highlight w:val="none"/>
        </w:rPr>
        <w:t xml:space="preserve">合同款项</w:t>
      </w:r>
      <w:r>
        <w:rPr>
          <w:rFonts w:hAnsi="宋体" w:cs="Courier New"/>
          <w:bCs/>
          <w:highlight w:val="none"/>
        </w:rPr>
        <w:t xml:space="preserve">支付</w:t>
      </w:r>
      <w:r/>
    </w:p>
    <w:p>
      <w:pPr>
        <w:spacing w:line="360" w:lineRule="auto"/>
        <w:rPr>
          <w:rFonts w:hint="eastAsia" w:hAnsi="宋体" w:cs="Courier New"/>
          <w:bCs/>
          <w:highlight w:val="none"/>
        </w:rPr>
      </w:pPr>
      <w:r>
        <w:rPr>
          <w:rFonts w:hint="eastAsia" w:hAnsi="宋体" w:cs="Courier New"/>
          <w:bCs/>
          <w:highlight w:val="none"/>
        </w:rPr>
        <w:t xml:space="preserve">8</w:t>
      </w:r>
      <w:r>
        <w:rPr>
          <w:rFonts w:hAnsi="宋体" w:cs="Courier New"/>
          <w:bCs/>
          <w:highlight w:val="none"/>
        </w:rPr>
        <w:t xml:space="preserve">.1</w:t>
      </w:r>
      <w:r>
        <w:rPr>
          <w:rFonts w:hint="eastAsia" w:hAnsi="宋体" w:cs="Courier New"/>
          <w:bCs/>
          <w:highlight w:val="none"/>
        </w:rPr>
        <w:t xml:space="preserve">合同款项的支付方式及进度安排</w:t>
      </w:r>
      <w:r/>
    </w:p>
    <w:p>
      <w:pPr>
        <w:spacing w:line="360" w:lineRule="auto"/>
        <w:rPr>
          <w:rFonts w:hint="eastAsia" w:hAnsi="宋体" w:cs="Courier New"/>
          <w:bCs/>
          <w:highlight w:val="none"/>
        </w:rPr>
      </w:pPr>
      <w:r>
        <w:rPr>
          <w:rFonts w:hint="eastAsia" w:hAnsi="宋体" w:cs="Courier New"/>
          <w:bCs/>
          <w:highlight w:val="none"/>
        </w:rPr>
        <w:t xml:space="preserve">8．1.1 预付款支付时间：</w:t>
      </w:r>
      <w:r>
        <w:rPr>
          <w:rFonts w:hint="eastAsia" w:hAnsi="宋体" w:cs="Courier New"/>
          <w:bCs/>
          <w:highlight w:val="none"/>
          <w:u w:val="single"/>
        </w:rPr>
        <w:t xml:space="preserve">               </w:t>
      </w:r>
      <w:r>
        <w:rPr>
          <w:rFonts w:hint="eastAsia" w:hAnsi="宋体" w:cs="Courier New"/>
          <w:bCs/>
          <w:highlight w:val="none"/>
        </w:rPr>
        <w:t xml:space="preserve">，预付款支付比例：</w:t>
      </w:r>
      <w:r>
        <w:rPr>
          <w:rFonts w:hint="eastAsia" w:hAnsi="宋体" w:cs="Courier New"/>
          <w:bCs/>
          <w:highlight w:val="none"/>
          <w:u w:val="single"/>
        </w:rPr>
        <w:t xml:space="preserve">合同金额的**%</w:t>
      </w:r>
      <w:r>
        <w:rPr>
          <w:rFonts w:hint="eastAsia" w:hAnsi="宋体" w:cs="Courier New"/>
          <w:bCs/>
          <w:highlight w:val="none"/>
        </w:rPr>
        <w:t xml:space="preserve">。</w:t>
      </w:r>
      <w:r/>
    </w:p>
    <w:p>
      <w:pPr>
        <w:spacing w:line="360" w:lineRule="auto"/>
        <w:rPr>
          <w:rFonts w:hint="eastAsia" w:hAnsi="宋体" w:cs="Courier New"/>
          <w:bCs/>
          <w:highlight w:val="none"/>
          <w:u w:val="single"/>
        </w:rPr>
      </w:pPr>
      <w:r>
        <w:rPr>
          <w:rFonts w:hint="eastAsia" w:hAnsi="宋体" w:cs="Courier New"/>
          <w:bCs/>
          <w:highlight w:val="none"/>
        </w:rPr>
        <w:t xml:space="preserve">8.1.2 尾款支付时间：</w:t>
      </w:r>
      <w:r>
        <w:rPr>
          <w:rFonts w:hint="eastAsia" w:hAnsi="宋体" w:cs="Courier New"/>
          <w:bCs/>
          <w:highlight w:val="none"/>
          <w:u w:val="single"/>
        </w:rPr>
        <w:t xml:space="preserve">              </w:t>
      </w:r>
      <w:r>
        <w:rPr>
          <w:rFonts w:hint="eastAsia" w:hAnsi="宋体" w:cs="Courier New"/>
          <w:bCs/>
          <w:highlight w:val="none"/>
        </w:rPr>
        <w:t xml:space="preserve">。</w:t>
      </w:r>
      <w:r/>
    </w:p>
    <w:p>
      <w:pPr>
        <w:ind w:left="420" w:hanging="420"/>
        <w:spacing w:line="360" w:lineRule="auto"/>
        <w:rPr>
          <w:rFonts w:hint="eastAsia" w:hAnsi="宋体" w:cs="Courier New"/>
          <w:bCs/>
          <w:highlight w:val="none"/>
        </w:rPr>
      </w:pPr>
      <w:r>
        <w:rPr>
          <w:rFonts w:hint="eastAsia" w:hAnsi="宋体" w:cs="Courier New"/>
          <w:bCs/>
          <w:highlight w:val="none"/>
        </w:rPr>
        <w:t xml:space="preserve">8</w:t>
      </w:r>
      <w:r>
        <w:rPr>
          <w:rFonts w:hAnsi="宋体" w:cs="Courier New"/>
          <w:bCs/>
          <w:highlight w:val="none"/>
        </w:rPr>
        <w:t xml:space="preserve">.2当采购数量与实际使用数量不一致时，</w:t>
      </w:r>
      <w:r>
        <w:rPr>
          <w:rFonts w:hint="eastAsia" w:hAnsi="宋体" w:cs="Courier New"/>
          <w:bCs/>
          <w:highlight w:val="none"/>
        </w:rPr>
        <w:t xml:space="preserve">乙方</w:t>
      </w:r>
      <w:r>
        <w:rPr>
          <w:rFonts w:hAnsi="宋体" w:cs="Courier New"/>
          <w:bCs/>
          <w:highlight w:val="none"/>
        </w:rPr>
        <w:t xml:space="preserve">应根据实际使用量供货，合同的最终结算金额按实际使用量乘以成交单价进行计算。</w:t>
      </w:r>
      <w:r/>
    </w:p>
    <w:p>
      <w:pPr>
        <w:spacing w:line="360" w:lineRule="auto"/>
        <w:rPr>
          <w:rFonts w:hint="eastAsia" w:hAnsi="宋体" w:eastAsia="仿宋_GB2312"/>
          <w:bCs/>
          <w:highlight w:val="none"/>
        </w:rPr>
      </w:pPr>
      <w:r>
        <w:rPr>
          <w:rFonts w:hint="eastAsia" w:hAnsi="宋体"/>
          <w:bCs/>
          <w:highlight w:val="none"/>
        </w:rPr>
        <w:t xml:space="preserve">九、税费</w:t>
      </w:r>
      <w:r/>
    </w:p>
    <w:p>
      <w:pPr>
        <w:spacing w:line="360" w:lineRule="auto"/>
        <w:rPr>
          <w:rFonts w:hint="eastAsia" w:hAnsi="宋体" w:eastAsia="仿宋_GB2312"/>
          <w:bCs/>
          <w:highlight w:val="none"/>
        </w:rPr>
      </w:pPr>
      <w:r>
        <w:rPr>
          <w:rFonts w:hint="eastAsia" w:hAnsi="宋体"/>
          <w:bCs/>
          <w:highlight w:val="none"/>
        </w:rPr>
        <w:t xml:space="preserve">9</w:t>
      </w:r>
      <w:r>
        <w:rPr>
          <w:rFonts w:hAnsi="宋体"/>
          <w:bCs/>
          <w:highlight w:val="none"/>
        </w:rPr>
        <w:t xml:space="preserve">.1</w:t>
      </w:r>
      <w:r>
        <w:rPr>
          <w:rFonts w:hint="eastAsia" w:hAnsi="宋体"/>
          <w:bCs/>
          <w:highlight w:val="none"/>
        </w:rPr>
        <w:t xml:space="preserve">本合同执行中相关的一切税费均由乙方负担。</w:t>
      </w:r>
      <w:r/>
    </w:p>
    <w:p>
      <w:pPr>
        <w:ind w:left="359" w:hanging="359"/>
        <w:spacing w:line="360" w:lineRule="auto"/>
        <w:rPr>
          <w:rFonts w:hint="eastAsia" w:hAnsi="宋体" w:cs="Courier New"/>
          <w:bCs/>
          <w:highlight w:val="none"/>
        </w:rPr>
      </w:pPr>
      <w:r>
        <w:rPr>
          <w:rFonts w:hAnsi="宋体" w:cs="Courier New"/>
          <w:bCs/>
          <w:highlight w:val="none"/>
        </w:rPr>
        <w:t xml:space="preserve">十、质量</w:t>
      </w:r>
      <w:r>
        <w:rPr>
          <w:rFonts w:hint="eastAsia" w:hAnsi="宋体" w:cs="Courier New"/>
          <w:bCs/>
          <w:highlight w:val="none"/>
        </w:rPr>
        <w:t xml:space="preserve">保修范围和保修期</w:t>
      </w:r>
      <w:r>
        <w:rPr>
          <w:rFonts w:hAnsi="宋体" w:cs="Courier New"/>
          <w:bCs/>
          <w:highlight w:val="none"/>
        </w:rPr>
        <w:t xml:space="preserve">及售后服务</w:t>
      </w:r>
      <w:r/>
    </w:p>
    <w:p>
      <w:pPr>
        <w:ind w:left="359" w:hanging="359"/>
        <w:spacing w:line="360" w:lineRule="auto"/>
        <w:rPr>
          <w:rFonts w:hint="eastAsia" w:hAnsi="宋体" w:cs="Courier New"/>
          <w:bCs/>
          <w:highlight w:val="none"/>
        </w:rPr>
      </w:pPr>
      <w:r>
        <w:rPr>
          <w:rFonts w:hAnsi="宋体" w:cs="Courier New"/>
          <w:bCs/>
          <w:highlight w:val="none"/>
        </w:rPr>
        <w:t xml:space="preserve">1</w:t>
      </w:r>
      <w:r>
        <w:rPr>
          <w:rFonts w:hint="eastAsia" w:hAnsi="宋体" w:cs="Courier New"/>
          <w:bCs/>
          <w:highlight w:val="none"/>
        </w:rPr>
        <w:t xml:space="preserve">0</w:t>
      </w:r>
      <w:r>
        <w:rPr>
          <w:rFonts w:hAnsi="宋体" w:cs="Courier New"/>
          <w:bCs/>
          <w:highlight w:val="none"/>
        </w:rPr>
        <w:t xml:space="preserve">.1 乙方应按招标文件规定的货物性能、技术要求、质量标准向甲方提供未经使用的全新产品。</w:t>
      </w:r>
      <w:r/>
    </w:p>
    <w:p>
      <w:pPr>
        <w:ind w:left="420" w:hanging="420"/>
        <w:spacing w:line="360" w:lineRule="auto"/>
        <w:rPr>
          <w:rFonts w:hint="eastAsia" w:hAnsi="宋体" w:cs="Courier New"/>
          <w:bCs/>
          <w:highlight w:val="none"/>
        </w:rPr>
      </w:pPr>
      <w:r>
        <w:rPr>
          <w:rFonts w:hAnsi="宋体" w:cs="Courier New"/>
          <w:bCs/>
          <w:highlight w:val="none"/>
        </w:rPr>
        <w:t xml:space="preserve">1</w:t>
      </w:r>
      <w:r>
        <w:rPr>
          <w:rFonts w:hint="eastAsia" w:hAnsi="宋体" w:cs="Courier New"/>
          <w:bCs/>
          <w:highlight w:val="none"/>
        </w:rPr>
        <w:t xml:space="preserve">0</w:t>
      </w:r>
      <w:r>
        <w:rPr>
          <w:rFonts w:hAnsi="宋体" w:cs="Courier New"/>
          <w:bCs/>
          <w:highlight w:val="none"/>
        </w:rPr>
        <w:t xml:space="preserve">.2 乙方提供的货物在质量期内因货物本身的质量问题发生故障，乙方应负责免费更换。对达不到技术要求者，根据实际情况，经双方协商，可按以下办法处理：</w:t>
      </w:r>
      <w:r/>
    </w:p>
    <w:p>
      <w:pPr>
        <w:ind w:firstLine="420"/>
        <w:spacing w:line="360" w:lineRule="auto"/>
        <w:rPr>
          <w:rFonts w:hint="eastAsia" w:hAnsi="宋体" w:cs="Courier New"/>
          <w:bCs/>
          <w:highlight w:val="none"/>
        </w:rPr>
      </w:pPr>
      <w:r>
        <w:rPr>
          <w:rFonts w:hAnsi="宋体" w:cs="Courier New"/>
          <w:bCs/>
          <w:highlight w:val="none"/>
        </w:rPr>
        <w:t xml:space="preserve">⑴更换：由乙方承担所发生的全部费用。</w:t>
      </w:r>
      <w:r/>
    </w:p>
    <w:p>
      <w:pPr>
        <w:ind w:firstLine="420"/>
        <w:spacing w:line="360" w:lineRule="auto"/>
        <w:rPr>
          <w:rFonts w:hint="eastAsia" w:hAnsi="宋体" w:cs="Courier New"/>
          <w:bCs/>
          <w:highlight w:val="none"/>
        </w:rPr>
      </w:pPr>
      <w:r>
        <w:rPr>
          <w:rFonts w:hAnsi="宋体" w:cs="Courier New"/>
          <w:bCs/>
          <w:highlight w:val="none"/>
        </w:rPr>
        <w:t xml:space="preserve">⑵贬值处理：由甲乙双方合议定价。</w:t>
      </w:r>
      <w:r/>
    </w:p>
    <w:p>
      <w:pPr>
        <w:ind w:left="420"/>
        <w:spacing w:line="360" w:lineRule="auto"/>
        <w:rPr>
          <w:rFonts w:hint="eastAsia" w:hAnsi="宋体" w:cs="Courier New"/>
          <w:bCs/>
          <w:highlight w:val="none"/>
        </w:rPr>
      </w:pPr>
      <w:r>
        <w:rPr>
          <w:rFonts w:hAnsi="宋体" w:cs="Courier New"/>
          <w:bCs/>
          <w:highlight w:val="none"/>
        </w:rPr>
        <w:t xml:space="preserve">⑶退货处理：乙方应退还甲方支付的合同款，同时应承担该货物的直接费用（运输、保险、检验、货款利息及银行手续费等）。</w:t>
      </w:r>
      <w:r/>
    </w:p>
    <w:p>
      <w:pPr>
        <w:spacing w:line="360" w:lineRule="auto"/>
        <w:rPr>
          <w:rFonts w:hint="eastAsia" w:hAnsi="宋体" w:cs="Courier New"/>
          <w:bCs/>
          <w:highlight w:val="none"/>
        </w:rPr>
      </w:pPr>
      <w:r>
        <w:rPr>
          <w:rFonts w:hAnsi="宋体" w:cs="Courier New"/>
          <w:bCs/>
          <w:highlight w:val="none"/>
        </w:rPr>
        <w:t xml:space="preserve">1</w:t>
      </w:r>
      <w:r>
        <w:rPr>
          <w:rFonts w:hint="eastAsia" w:hAnsi="宋体" w:cs="Courier New"/>
          <w:bCs/>
          <w:highlight w:val="none"/>
        </w:rPr>
        <w:t xml:space="preserve">0</w:t>
      </w:r>
      <w:r>
        <w:rPr>
          <w:rFonts w:hAnsi="宋体" w:cs="Courier New"/>
          <w:bCs/>
          <w:highlight w:val="none"/>
        </w:rPr>
        <w:t xml:space="preserve">.3 如在使用过程中发生质量问题，乙方在接到甲方通知后在_________小时内到达甲方现场。</w:t>
      </w:r>
      <w:r/>
    </w:p>
    <w:p>
      <w:pPr>
        <w:spacing w:line="360" w:lineRule="auto"/>
        <w:rPr>
          <w:rFonts w:hint="eastAsia" w:hAnsi="宋体" w:cs="Courier New"/>
          <w:bCs/>
          <w:highlight w:val="none"/>
        </w:rPr>
      </w:pPr>
      <w:r>
        <w:rPr>
          <w:rFonts w:hAnsi="宋体" w:cs="Courier New"/>
          <w:bCs/>
          <w:highlight w:val="none"/>
        </w:rPr>
        <w:t xml:space="preserve">1</w:t>
      </w:r>
      <w:r>
        <w:rPr>
          <w:rFonts w:hint="eastAsia" w:hAnsi="宋体" w:cs="Courier New"/>
          <w:bCs/>
          <w:highlight w:val="none"/>
        </w:rPr>
        <w:t xml:space="preserve">0</w:t>
      </w:r>
      <w:r>
        <w:rPr>
          <w:rFonts w:hAnsi="宋体" w:cs="Courier New"/>
          <w:bCs/>
          <w:highlight w:val="none"/>
        </w:rPr>
        <w:t xml:space="preserve">.4 在质保期内，乙方应对货物出现的质量及安全问题负责处理解决并承担一切费用。</w:t>
      </w:r>
      <w:r/>
    </w:p>
    <w:p>
      <w:pPr>
        <w:ind w:left="420" w:hanging="420"/>
        <w:spacing w:line="360" w:lineRule="auto"/>
        <w:rPr>
          <w:rFonts w:hint="eastAsia" w:hAnsi="宋体" w:cs="Courier New"/>
          <w:highlight w:val="none"/>
        </w:rPr>
      </w:pPr>
      <w:r>
        <w:rPr>
          <w:rFonts w:hAnsi="宋体" w:cs="Courier New"/>
          <w:bCs/>
          <w:highlight w:val="none"/>
        </w:rPr>
        <w:t xml:space="preserve">1</w:t>
      </w:r>
      <w:r>
        <w:rPr>
          <w:rFonts w:hint="eastAsia" w:hAnsi="宋体" w:cs="Courier New"/>
          <w:bCs/>
          <w:highlight w:val="none"/>
        </w:rPr>
        <w:t xml:space="preserve">0</w:t>
      </w:r>
      <w:r>
        <w:rPr>
          <w:rFonts w:hAnsi="宋体" w:cs="Courier New"/>
          <w:bCs/>
          <w:highlight w:val="none"/>
        </w:rPr>
        <w:t xml:space="preserve">.5上述的货物免费保修期为</w:t>
      </w:r>
      <w:r>
        <w:rPr>
          <w:rFonts w:hAnsi="宋体" w:cs="Courier New"/>
          <w:bCs/>
          <w:highlight w:val="none"/>
          <w:u w:val="single"/>
        </w:rPr>
        <w:t xml:space="preserve">     </w:t>
      </w:r>
      <w:r>
        <w:rPr>
          <w:rFonts w:hAnsi="宋体" w:cs="Courier New"/>
          <w:bCs/>
          <w:highlight w:val="none"/>
        </w:rPr>
        <w:t xml:space="preserve">年（自交货验收合格之日起计）</w:t>
      </w:r>
      <w:r/>
    </w:p>
    <w:p>
      <w:pPr>
        <w:jc w:val="both"/>
        <w:spacing w:line="500" w:lineRule="exact"/>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br w:type="page" w:clear="all"/>
      </w:r>
      <w:r/>
    </w:p>
    <w:p>
      <w:pPr>
        <w:pStyle w:val="1467"/>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第六部分  投标文件组成</w:t>
      </w:r>
      <w:r/>
    </w:p>
    <w:p>
      <w:pPr>
        <w:pStyle w:val="76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投标文件由资格审查证明材料，商务、技术标，价格标三部分组成。请投标人根据本招标文件的要求在以上三部分中分别上传的投标材料。</w:t>
      </w:r>
      <w:r/>
    </w:p>
    <w:p>
      <w:pPr>
        <w:pStyle w:val="744"/>
        <w:numPr>
          <w:ilvl w:val="0"/>
          <w:numId w:val="47"/>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资格审查证明材料</w:t>
      </w:r>
      <w:r/>
    </w:p>
    <w:p>
      <w:pPr>
        <w:pStyle w:val="766"/>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r/>
    </w:p>
    <w:p>
      <w:pPr>
        <w:pStyle w:val="766"/>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具有良好的商业信誉和健全的财务会计制度；（提供上一年度的财务状况报告，成立不满一年不需提供）</w:t>
      </w:r>
      <w:r/>
    </w:p>
    <w:p>
      <w:pPr>
        <w:pStyle w:val="766"/>
        <w:numPr>
          <w:ilvl w:val="0"/>
          <w:numId w:val="7"/>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依法纳税凭据：提供参加政府采购活动</w:t>
      </w:r>
      <w:r>
        <w:rPr>
          <w:rFonts w:hint="eastAsia"/>
          <w:color w:val="000000" w:themeColor="text1"/>
          <w:highlight w:val="none"/>
          <w:lang w:eastAsia="zh-CN"/>
          <w14:textFill>
            <w14:solidFill>
              <w14:schemeClr w14:val="tx1"/>
            </w14:solidFill>
          </w14:textFill>
        </w:rPr>
        <w:t xml:space="preserve">前6个月内任意一个月</w:t>
      </w:r>
      <w:r>
        <w:rPr>
          <w:rFonts w:hint="eastAsia"/>
          <w:color w:val="000000" w:themeColor="text1"/>
          <w:highlight w:val="none"/>
          <w14:textFill>
            <w14:solidFill>
              <w14:schemeClr w14:val="tx1"/>
            </w14:solidFill>
          </w14:textFill>
        </w:rPr>
        <w:t xml:space="preserve">依法纳税的凭据，如完税凭证或税务机关开具的完税证明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个人所得税除外）</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缴纳社会保险的凭据：提供参加政府采购活动</w:t>
      </w:r>
      <w:r>
        <w:rPr>
          <w:rFonts w:hint="eastAsia"/>
          <w:color w:val="000000" w:themeColor="text1"/>
          <w:highlight w:val="none"/>
          <w:lang w:eastAsia="zh-CN"/>
          <w14:textFill>
            <w14:solidFill>
              <w14:schemeClr w14:val="tx1"/>
            </w14:solidFill>
          </w14:textFill>
        </w:rPr>
        <w:t xml:space="preserve">前6个月内任意一个月</w:t>
      </w:r>
      <w:r>
        <w:rPr>
          <w:rFonts w:hint="eastAsia"/>
          <w:color w:val="000000" w:themeColor="text1"/>
          <w:highlight w:val="none"/>
          <w14:textFill>
            <w14:solidFill>
              <w14:schemeClr w14:val="tx1"/>
            </w14:solidFill>
          </w14:textFill>
        </w:rPr>
        <w:t xml:space="preserve">缴纳社会保险的凭据，如专用收据或社会保险缴纳清单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依法免税或不需要缴纳社会保障资金的证明文件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如果供应商依法免税或不需要缴纳社会保障资金，则须提供相应的证明文件，以说明其免税或无需缴纳的依据和情况</w:t>
      </w:r>
      <w:r>
        <w:rPr>
          <w:rFonts w:hint="eastAsia"/>
          <w:color w:val="000000" w:themeColor="text1"/>
          <w:highlight w:val="none"/>
          <w:lang w:val="en-US" w:eastAsia="zh-CN"/>
          <w14:textFill>
            <w14:solidFill>
              <w14:schemeClr w14:val="tx1"/>
            </w14:solidFill>
          </w14:textFill>
        </w:rPr>
        <w:t xml:space="preserve">]</w:t>
      </w:r>
      <w:r/>
    </w:p>
    <w:p>
      <w:pPr>
        <w:pStyle w:val="766"/>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具有履行合同所必需的设备和专业技术能力；（提供书面声明）</w:t>
      </w:r>
      <w:r/>
    </w:p>
    <w:p>
      <w:pPr>
        <w:pStyle w:val="766"/>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参加政府采购活动前3年内在经营活动中没有重大违法记录。（提供书面声明）</w:t>
      </w:r>
      <w:r/>
    </w:p>
    <w:p>
      <w:pPr>
        <w:pStyle w:val="766"/>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具备法律、行政法规规定的其他条件的证明材料；（提供书面声明）</w:t>
      </w:r>
      <w:r/>
    </w:p>
    <w:p>
      <w:pPr>
        <w:pStyle w:val="766"/>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投标人须根据投标产品的类别，提供有效的</w:t>
      </w:r>
      <w:r>
        <w:rPr>
          <w:rFonts w:hint="eastAsia"/>
          <w:color w:val="000000" w:themeColor="text1"/>
          <w:highlight w:val="none"/>
          <w:lang w:eastAsia="zh-CN"/>
          <w14:textFill>
            <w14:solidFill>
              <w14:schemeClr w14:val="tx1"/>
            </w14:solidFill>
          </w14:textFill>
        </w:rPr>
        <w:t xml:space="preserve">《第二类医疗器械经营备案》</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《医疗器械经营许可证》或者其他相关经营许可文件</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pStyle w:val="766"/>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投标人须提供投标产品的有效期内的《医疗器械注册证》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pStyle w:val="766"/>
        <w:numPr>
          <w:ilvl w:val="0"/>
          <w:numId w:val="48"/>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其他需要提交的资格审查证明材料。</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资格审查证明材料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44"/>
        <w:numPr>
          <w:ilvl w:val="0"/>
          <w:numId w:val="47"/>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商务、技术标</w:t>
      </w:r>
      <w:r/>
    </w:p>
    <w:p>
      <w:pPr>
        <w:pStyle w:val="766"/>
        <w:numPr>
          <w:ilvl w:val="0"/>
          <w:numId w:val="49"/>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000000" w:themeColor="text1"/>
          <w:highlight w:val="none"/>
          <w:lang w:eastAsia="zh-CN"/>
          <w14:textFill>
            <w14:solidFill>
              <w14:schemeClr w14:val="tx1"/>
            </w14:solidFill>
          </w14:textFill>
        </w:rPr>
        <w:t xml:space="preserve">；</w:t>
      </w:r>
      <w:r/>
    </w:p>
    <w:p>
      <w:pPr>
        <w:pStyle w:val="766"/>
        <w:numPr>
          <w:ilvl w:val="0"/>
          <w:numId w:val="49"/>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投标函；</w:t>
      </w:r>
      <w:r>
        <w:rPr>
          <w:color w:val="000000" w:themeColor="text1"/>
          <w:highlight w:val="none"/>
          <w14:textFill>
            <w14:solidFill>
              <w14:schemeClr w14:val="tx1"/>
            </w14:solidFill>
          </w14:textFill>
        </w:rPr>
        <w:t xml:space="preserve">（格式见附件）</w:t>
      </w:r>
      <w:r/>
    </w:p>
    <w:p>
      <w:pPr>
        <w:pStyle w:val="766"/>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投标人情况一览表；（格式见附件）</w:t>
      </w:r>
      <w:r/>
    </w:p>
    <w:p>
      <w:pPr>
        <w:pStyle w:val="766"/>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商务部分正负偏离表；（格式见附件）</w:t>
      </w:r>
      <w:r/>
    </w:p>
    <w:p>
      <w:pPr>
        <w:pStyle w:val="766"/>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技术部分正负偏离表；（格式见附件）</w:t>
      </w:r>
      <w:r/>
    </w:p>
    <w:p>
      <w:pPr>
        <w:pStyle w:val="766"/>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商务、技术评分标准中须提供的相关得分佐证材料；（</w:t>
      </w:r>
      <w:r>
        <w:rPr>
          <w:rFonts w:hint="eastAsia"/>
          <w:color w:val="000000" w:themeColor="text1"/>
          <w:highlight w:val="none"/>
          <w14:textFill>
            <w14:solidFill>
              <w14:schemeClr w14:val="tx1"/>
            </w14:solidFill>
          </w14:textFill>
        </w:rPr>
        <w:t xml:space="preserve">评分方法中技术响应部分要求提供的佐证材料</w:t>
      </w:r>
      <w:r>
        <w:rPr>
          <w:color w:val="000000" w:themeColor="text1"/>
          <w:highlight w:val="none"/>
          <w14:textFill>
            <w14:solidFill>
              <w14:schemeClr w14:val="tx1"/>
            </w14:solidFill>
          </w14:textFill>
        </w:rPr>
        <w:t xml:space="preserve">、业绩证明等）</w:t>
      </w:r>
      <w:r/>
    </w:p>
    <w:p>
      <w:pPr>
        <w:pStyle w:val="766"/>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商务、技术评分标准中须提供其他材料</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方案等</w:t>
      </w:r>
      <w:r>
        <w:rPr>
          <w:color w:val="000000" w:themeColor="text1"/>
          <w:highlight w:val="none"/>
          <w14:textFill>
            <w14:solidFill>
              <w14:schemeClr w14:val="tx1"/>
            </w14:solidFill>
          </w14:textFill>
        </w:rPr>
        <w:t xml:space="preserve">）</w:t>
      </w:r>
      <w:r/>
    </w:p>
    <w:p>
      <w:pPr>
        <w:pStyle w:val="766"/>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投标人认为需要提交的其他商务、技术材料</w:t>
      </w:r>
      <w:r>
        <w:rPr>
          <w:rFonts w:hint="eastAsia"/>
          <w:color w:val="000000" w:themeColor="text1"/>
          <w:highlight w:val="none"/>
          <w:lang w:eastAsia="zh-CN"/>
          <w14:textFill>
            <w14:solidFill>
              <w14:schemeClr w14:val="tx1"/>
            </w14:solidFill>
          </w14:textFill>
        </w:rPr>
        <w:t xml:space="preserve">。</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商务、技术标材料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44"/>
        <w:numPr>
          <w:ilvl w:val="0"/>
          <w:numId w:val="47"/>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价格标</w:t>
      </w:r>
      <w:r/>
    </w:p>
    <w:p>
      <w:pPr>
        <w:pStyle w:val="766"/>
        <w:numPr>
          <w:ilvl w:val="0"/>
          <w:numId w:val="5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开标一览表（格式见附件）</w:t>
      </w:r>
      <w:r/>
    </w:p>
    <w:p>
      <w:pPr>
        <w:pStyle w:val="766"/>
        <w:numPr>
          <w:ilvl w:val="0"/>
          <w:numId w:val="5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分项报价明细表（格式见附件）</w:t>
      </w:r>
      <w:r/>
    </w:p>
    <w:p>
      <w:pPr>
        <w:pStyle w:val="766"/>
        <w:ind w:firstLine="48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（如招标文件要求提供的价格标资料中没有对应的接口上传的资料可以在本部分的其他材料的接口中上传）</w:t>
      </w: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附件1</w:t>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 3 年内在经营活动中没有重大违法记录的书面声明</w:t>
      </w:r>
      <w:r/>
    </w:p>
    <w:p>
      <w:pPr>
        <w:ind w:firstLine="881"/>
        <w:jc w:val="cente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3255"/>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投标人名称（公章）：</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授权代表签字：</w:t>
      </w:r>
      <w:r>
        <w:rPr>
          <w:rFonts w:hint="eastAsia"/>
          <w:bCs/>
          <w:color w:val="000000" w:themeColor="text1"/>
          <w:sz w:val="24"/>
          <w:szCs w:val="21"/>
          <w:highlight w:val="none"/>
          <w:u w:val="single"/>
          <w14:textFill>
            <w14:solidFill>
              <w14:schemeClr w14:val="tx1"/>
            </w14:solidFill>
          </w14:textFill>
        </w:rPr>
        <w:t xml:space="preserve">_______________________</w:t>
      </w:r>
      <w:r/>
    </w:p>
    <w:p>
      <w:pPr>
        <w:jc w:val="right"/>
        <w:spacing w:after="120" w:line="360" w:lineRule="auto"/>
        <w:rPr>
          <w:color w:val="000000" w:themeColor="text1"/>
          <w:sz w:val="24"/>
          <w:szCs w:val="28"/>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日期：</w:t>
      </w:r>
      <w:r>
        <w:rPr>
          <w:rFonts w:hint="eastAsia"/>
          <w:color w:val="000000" w:themeColor="text1"/>
          <w:sz w:val="24"/>
          <w:szCs w:val="28"/>
          <w:highlight w:val="none"/>
          <w14:textFill>
            <w14:solidFill>
              <w14:schemeClr w14:val="tx1"/>
            </w14:solidFill>
          </w14:textFill>
        </w:rPr>
        <w:t xml:space="preserve">XXXX年XX月XX日</w:t>
      </w:r>
      <w:r/>
    </w:p>
    <w:p>
      <w:pPr>
        <w:spacing w:after="120" w:line="360" w:lineRule="auto"/>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cente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pStyle w:val="14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附件2</w:t>
      </w:r>
      <w:r/>
    </w:p>
    <w:p>
      <w:pPr>
        <w:pStyle w:val="1471"/>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具备履行合同所必需的设备和专业技术能力的</w:t>
      </w:r>
      <w:r>
        <w:rPr>
          <w:rFonts w:hint="eastAsia"/>
          <w:color w:val="000000" w:themeColor="text1"/>
          <w:highlight w:val="none"/>
          <w:lang w:val="en-US" w:eastAsia="zh-CN"/>
          <w14:textFill>
            <w14:solidFill>
              <w14:schemeClr w14:val="tx1"/>
            </w14:solidFill>
          </w14:textFill>
        </w:rPr>
        <w:t xml:space="preserve">声明函</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lang w:val="zh-CN"/>
          <w14:textFill>
            <w14:solidFill>
              <w14:schemeClr w14:val="tx1"/>
            </w14:solidFill>
          </w14:textFill>
        </w:rPr>
        <w:t xml:space="preserve">                   ：</w:t>
      </w:r>
      <w:r/>
    </w:p>
    <w:p>
      <w:pPr>
        <w:pStyle w:val="766"/>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我方参加你方的（项目名称）的投标，现我方向你方慎重承诺：</w:t>
      </w:r>
      <w:r/>
    </w:p>
    <w:p>
      <w:pPr>
        <w:pStyle w:val="766"/>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本单位（具备/不具备）履行合同所必需的设备和专业技术能力。</w:t>
      </w:r>
      <w:r/>
    </w:p>
    <w:p>
      <w:pPr>
        <w:ind w:right="-512" w:firstLine="384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投标人（盖章）：</w:t>
      </w:r>
      <w:r/>
    </w:p>
    <w:p>
      <w:pPr>
        <w:ind w:right="-512" w:firstLine="3120"/>
        <w:spacing w:after="120" w:line="360" w:lineRule="auto"/>
        <w:tabs>
          <w:tab w:val="left" w:pos="43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法定代表人或其授权</w:t>
      </w:r>
      <w:r>
        <w:rPr>
          <w:rFonts w:hint="eastAsia"/>
          <w:color w:val="000000" w:themeColor="text1"/>
          <w:sz w:val="24"/>
          <w:highlight w:val="none"/>
          <w14:textFill>
            <w14:solidFill>
              <w14:schemeClr w14:val="tx1"/>
            </w14:solidFill>
          </w14:textFill>
        </w:rPr>
        <w:t xml:space="preserve">委托</w:t>
      </w:r>
      <w:r>
        <w:rPr>
          <w:color w:val="000000" w:themeColor="text1"/>
          <w:sz w:val="24"/>
          <w:highlight w:val="none"/>
          <w14:textFill>
            <w14:solidFill>
              <w14:schemeClr w14:val="tx1"/>
            </w14:solidFill>
          </w14:textFill>
        </w:rPr>
        <w:t xml:space="preserve">人</w:t>
      </w:r>
      <w:r>
        <w:rPr>
          <w:rFonts w:hint="eastAsia"/>
          <w:color w:val="000000" w:themeColor="text1"/>
          <w:sz w:val="24"/>
          <w:highlight w:val="none"/>
          <w14:textFill>
            <w14:solidFill>
              <w14:schemeClr w14:val="tx1"/>
            </w14:solidFill>
          </w14:textFill>
        </w:rPr>
        <w:t xml:space="preserve">（签字或盖章）：</w:t>
      </w:r>
      <w:r/>
    </w:p>
    <w:p>
      <w:pPr>
        <w:jc w:val="right"/>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XXXX年XX月XX日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br w:type="page" w:clear="all"/>
      </w:r>
      <w:r/>
    </w:p>
    <w:p>
      <w:pPr>
        <w:pStyle w:val="14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附件3</w:t>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身份证明</w:t>
      </w:r>
      <w:r/>
    </w:p>
    <w:p>
      <w:pPr>
        <w:pStyle w:val="766"/>
        <w:ind w:firstLine="480"/>
        <w:rPr>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先生/女士： 现任我单位</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职务，为</w:t>
      </w:r>
      <w:r>
        <w:rPr>
          <w:color w:val="000000" w:themeColor="text1"/>
          <w:highlight w:val="none"/>
          <w:u w:val="single"/>
          <w14:textFill>
            <w14:solidFill>
              <w14:schemeClr w14:val="tx1"/>
            </w14:solidFill>
          </w14:textFill>
        </w:rPr>
        <w:t xml:space="preserve">法定代表人</w:t>
      </w:r>
      <w:r>
        <w:rPr>
          <w:rFonts w:hint="eastAsia"/>
          <w:color w:val="000000" w:themeColor="text1"/>
          <w:highlight w:val="none"/>
          <w:u w:val="single"/>
          <w:lang w:val="en-US" w:eastAsia="zh-CN"/>
          <w14:textFill>
            <w14:solidFill>
              <w14:schemeClr w14:val="tx1"/>
            </w14:solidFill>
          </w14:textFill>
        </w:rPr>
        <w:t xml:space="preserve">/组织负责人（请根据投标人组织性质自行填写）</w:t>
      </w:r>
      <w:r>
        <w:rPr>
          <w:color w:val="000000" w:themeColor="text1"/>
          <w:highlight w:val="none"/>
          <w14:textFill>
            <w14:solidFill>
              <w14:schemeClr w14:val="tx1"/>
            </w14:solidFill>
          </w14:textFill>
        </w:rPr>
        <w:t xml:space="preserve">，特此证明。</w:t>
      </w:r>
      <w:r/>
    </w:p>
    <w:p>
      <w:pPr>
        <w:pStyle w:val="766"/>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身份证号码：</w:t>
      </w:r>
      <w:r>
        <w:rPr>
          <w:color w:val="000000" w:themeColor="text1"/>
          <w:highlight w:val="none"/>
          <w:u w:val="single"/>
          <w14:textFill>
            <w14:solidFill>
              <w14:schemeClr w14:val="tx1"/>
            </w14:solidFill>
          </w14:textFill>
        </w:rPr>
        <w:t xml:space="preserve">                                               </w:t>
      </w:r>
      <w:r/>
    </w:p>
    <w:p>
      <w:pPr>
        <w:pStyle w:val="76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注：提供法定代表人的身份证复印件盖公章</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jc w:val="right"/>
        <w:spacing w:after="120" w:line="360" w:lineRule="auto"/>
        <w:rPr>
          <w:color w:val="000000" w:themeColor="text1"/>
          <w:sz w:val="24"/>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单位名称（盖章）   </w:t>
      </w:r>
      <w:r>
        <w:rPr>
          <w:rFonts w:hint="eastAsia"/>
          <w:color w:val="000000" w:themeColor="text1"/>
          <w:sz w:val="24"/>
          <w:highlight w:val="none"/>
          <w14:textFill>
            <w14:solidFill>
              <w14:schemeClr w14:val="tx1"/>
            </w14:solidFill>
          </w14:textFill>
        </w:rPr>
        <w:t xml:space="preserve">          </w:t>
      </w:r>
      <w:r/>
    </w:p>
    <w:p>
      <w:pPr>
        <w:jc w:val="right"/>
        <w:spacing w:after="120" w:line="360" w:lineRule="auto"/>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XXXX年XX月XX日</w:t>
      </w:r>
      <w:r/>
    </w:p>
    <w:p>
      <w:pPr>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br w:type="page" w:clear="all"/>
      </w:r>
      <w:r/>
    </w:p>
    <w:p>
      <w:pPr>
        <w:jc w:val="right"/>
        <w:spacing w:after="120" w:line="360" w:lineRule="auto"/>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r>
      <w:r/>
    </w:p>
    <w:p>
      <w:pPr>
        <w:pStyle w:val="1465"/>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4</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276" w:lineRule="auto"/>
        <w:rPr>
          <w:rFonts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声明</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南通大学附属医院</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我公司郑重声明：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我公司具有</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（项目名称）</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bCs/>
          <w:color w:val="000000" w:themeColor="text1"/>
          <w:sz w:val="24"/>
          <w:szCs w:val="24"/>
          <w:highlight w:val="none"/>
          <w14:textFill>
            <w14:solidFill>
              <w14:schemeClr w14:val="tx1"/>
            </w14:solidFill>
          </w14:textFill>
        </w:rPr>
        <w:t xml:space="preserve">编号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法律、行政法规规定的其他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资格</w:t>
      </w:r>
      <w:r>
        <w:rPr>
          <w:rFonts w:hint="eastAsia" w:ascii="宋体" w:hAnsi="宋体" w:cs="宋体"/>
          <w:bCs/>
          <w:color w:val="000000" w:themeColor="text1"/>
          <w:sz w:val="24"/>
          <w:szCs w:val="24"/>
          <w:highlight w:val="none"/>
          <w14:textFill>
            <w14:solidFill>
              <w14:schemeClr w14:val="tx1"/>
            </w14:solidFill>
          </w14:textFill>
        </w:rPr>
        <w:t xml:space="preserve">条件。</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特此声明！</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法定代表人（或授权代表）签字：</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XXXX</w:t>
      </w:r>
      <w:r>
        <w:rPr>
          <w:rFonts w:hint="eastAsia" w:ascii="宋体" w:hAnsi="宋体" w:cs="宋体"/>
          <w:bCs/>
          <w:color w:val="000000" w:themeColor="text1"/>
          <w:sz w:val="24"/>
          <w:szCs w:val="24"/>
          <w:highlight w:val="none"/>
          <w14:textFill>
            <w14:solidFill>
              <w14:schemeClr w14:val="tx1"/>
            </w14:solidFill>
          </w14:textFill>
        </w:rPr>
        <w:t xml:space="preserve">年XX月XX日</w:t>
      </w:r>
      <w:r/>
    </w:p>
    <w:p>
      <w:pPr>
        <w:contextualSpacing/>
        <w:ind w:firstLine="46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65"/>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5</w:t>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授权委托书</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（姓名）系</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授权单位名称）的</w:t>
      </w:r>
      <w:r>
        <w:rPr>
          <w:color w:val="000000" w:themeColor="text1"/>
          <w:highlight w:val="none"/>
          <w:u w:val="single"/>
          <w14:textFill>
            <w14:solidFill>
              <w14:schemeClr w14:val="tx1"/>
            </w14:solidFill>
          </w14:textFill>
        </w:rPr>
        <w:t xml:space="preserve">法定代表人</w:t>
      </w:r>
      <w:r>
        <w:rPr>
          <w:rFonts w:hint="eastAsia"/>
          <w:color w:val="000000" w:themeColor="text1"/>
          <w:highlight w:val="none"/>
          <w:u w:val="single"/>
          <w:lang w:val="en-US" w:eastAsia="zh-CN"/>
          <w14:textFill>
            <w14:solidFill>
              <w14:schemeClr w14:val="tx1"/>
            </w14:solidFill>
          </w14:textFill>
        </w:rPr>
        <w:t xml:space="preserve">/组织负责人（请根据投标人组织性质自行填写）</w:t>
      </w:r>
      <w:r>
        <w:rPr>
          <w:color w:val="000000" w:themeColor="text1"/>
          <w:highlight w:val="none"/>
          <w14:textFill>
            <w14:solidFill>
              <w14:schemeClr w14:val="tx1"/>
            </w14:solidFill>
          </w14:textFill>
        </w:rPr>
        <w:t xml:space="preserve">，现委托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（姓名）（身份证号</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）为我方代理人，以我方名义全权处理与本次采购项目（编号</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）有关的一切事务，其法律后果由我方承担。</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本授权书于</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日起生效。代理人无转委托权。</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代理人(被授权人):</w:t>
      </w:r>
      <w:r>
        <w:rPr>
          <w:rFonts w:hint="eastAsia"/>
          <w:color w:val="000000" w:themeColor="text1"/>
          <w:highlight w:val="none"/>
          <w:u w:val="single"/>
          <w:lang w:val="en-US" w:eastAsia="zh-CN"/>
          <w14:textFill>
            <w14:solidFill>
              <w14:schemeClr w14:val="tx1"/>
            </w14:solidFill>
          </w14:textFill>
        </w:rPr>
        <w:t xml:space="preserve">       </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授权单位名称（盖章）：</w:t>
      </w:r>
      <w:r>
        <w:rPr>
          <w:rFonts w:hint="eastAsia"/>
          <w:color w:val="000000" w:themeColor="text1"/>
          <w:highlight w:val="none"/>
          <w:u w:val="single"/>
          <w:lang w:val="en-US" w:eastAsia="zh-CN"/>
          <w14:textFill>
            <w14:solidFill>
              <w14:schemeClr w14:val="tx1"/>
            </w14:solidFill>
          </w14:textFill>
        </w:rPr>
        <w:t xml:space="preserve">      </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授权单位法定代表人（签字或盖章）：</w:t>
      </w:r>
      <w:r>
        <w:rPr>
          <w:rFonts w:hint="eastAsia"/>
          <w:color w:val="000000" w:themeColor="text1"/>
          <w:highlight w:val="none"/>
          <w:u w:val="single"/>
          <w:lang w:val="en-US" w:eastAsia="zh-CN"/>
          <w14:textFill>
            <w14:solidFill>
              <w14:schemeClr w14:val="tx1"/>
            </w14:solidFill>
          </w14:textFill>
        </w:rPr>
        <w:t xml:space="preserve">      </w:t>
      </w:r>
      <w:r/>
    </w:p>
    <w:p>
      <w:pPr>
        <w:jc w:val="right"/>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XXXX年XX月XX日</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76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注：提供投标代表本人身份证复印件盖公章</w:t>
      </w:r>
      <w:r/>
    </w:p>
    <w:p>
      <w:pPr>
        <w:jc w:val="left"/>
        <w:widowControl/>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br w:type="page" w:clear="all"/>
      </w:r>
      <w:r/>
    </w:p>
    <w:p>
      <w:pPr>
        <w:pStyle w:val="1465"/>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6</w:t>
      </w:r>
      <w:r/>
    </w:p>
    <w:p>
      <w:pPr>
        <w:pStyle w:val="14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致：江苏弘业国际技术工程有限公司</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r/>
    </w:p>
    <w:p>
      <w:pPr>
        <w:ind w:firstLine="560"/>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根据贵方</w:t>
      </w:r>
      <w:r>
        <w:rPr>
          <w:rFonts w:hint="eastAsia"/>
          <w:i/>
          <w:color w:val="000000" w:themeColor="text1"/>
          <w:sz w:val="24"/>
          <w:szCs w:val="32"/>
          <w:highlight w:val="none"/>
          <w:u w:val="single"/>
          <w14:textFill>
            <w14:solidFill>
              <w14:schemeClr w14:val="tx1"/>
            </w14:solidFill>
          </w14:textFill>
        </w:rPr>
        <w:t xml:space="preserve">（项目编号：）（项目名称）</w:t>
      </w:r>
      <w:r>
        <w:rPr>
          <w:rFonts w:hint="eastAsia"/>
          <w:color w:val="000000" w:themeColor="text1"/>
          <w:sz w:val="24"/>
          <w:szCs w:val="32"/>
          <w:highlight w:val="none"/>
          <w14:textFill>
            <w14:solidFill>
              <w14:schemeClr w14:val="tx1"/>
            </w14:solidFill>
          </w14:textFill>
        </w:rPr>
        <w:t xml:space="preserve">项目招标采购货物及服务的</w:t>
      </w:r>
      <w:r>
        <w:rPr>
          <w:rFonts w:hint="eastAsia"/>
          <w:color w:val="000000" w:themeColor="text1"/>
          <w:sz w:val="24"/>
          <w:szCs w:val="32"/>
          <w:highlight w:val="none"/>
          <w:lang w:eastAsia="zh-CN"/>
          <w14:textFill>
            <w14:solidFill>
              <w14:schemeClr w14:val="tx1"/>
            </w14:solidFill>
          </w14:textFill>
        </w:rPr>
        <w:t xml:space="preserve">招标公告</w:t>
      </w:r>
      <w:r>
        <w:rPr>
          <w:rFonts w:hint="eastAsia"/>
          <w:color w:val="000000" w:themeColor="text1"/>
          <w:sz w:val="24"/>
          <w:szCs w:val="32"/>
          <w:highlight w:val="none"/>
          <w14:textFill>
            <w14:solidFill>
              <w14:schemeClr w14:val="tx1"/>
            </w14:solidFill>
          </w14:textFill>
        </w:rPr>
        <w:t xml:space="preserve">，投标人代表</w:t>
      </w:r>
      <w:r>
        <w:rPr>
          <w:rFonts w:hint="eastAsia"/>
          <w:i/>
          <w:color w:val="000000" w:themeColor="text1"/>
          <w:sz w:val="24"/>
          <w:szCs w:val="32"/>
          <w:highlight w:val="none"/>
          <w:u w:val="single"/>
          <w14:textFill>
            <w14:solidFill>
              <w14:schemeClr w14:val="tx1"/>
            </w14:solidFill>
          </w14:textFill>
        </w:rPr>
        <w:t xml:space="preserve">（姓名、职务）</w:t>
      </w:r>
      <w:r>
        <w:rPr>
          <w:rFonts w:hint="eastAsia"/>
          <w:color w:val="000000" w:themeColor="text1"/>
          <w:sz w:val="24"/>
          <w:szCs w:val="32"/>
          <w:highlight w:val="none"/>
          <w14:textFill>
            <w14:solidFill>
              <w14:schemeClr w14:val="tx1"/>
            </w14:solidFill>
          </w14:textFill>
        </w:rPr>
        <w:t xml:space="preserve">经正式授权并代表投标人</w:t>
      </w:r>
      <w:r>
        <w:rPr>
          <w:rFonts w:hint="eastAsia"/>
          <w:i/>
          <w:color w:val="000000" w:themeColor="text1"/>
          <w:sz w:val="24"/>
          <w:szCs w:val="32"/>
          <w:highlight w:val="none"/>
          <w:u w:val="single"/>
          <w14:textFill>
            <w14:solidFill>
              <w14:schemeClr w14:val="tx1"/>
            </w14:solidFill>
          </w14:textFill>
        </w:rPr>
        <w:t xml:space="preserve">（投标人名称、地址）</w:t>
      </w:r>
      <w:r>
        <w:rPr>
          <w:rFonts w:hint="eastAsia"/>
          <w:color w:val="000000" w:themeColor="text1"/>
          <w:sz w:val="24"/>
          <w:szCs w:val="32"/>
          <w:highlight w:val="none"/>
          <w14:textFill>
            <w14:solidFill>
              <w14:schemeClr w14:val="tx1"/>
            </w14:solidFill>
          </w14:textFill>
        </w:rPr>
        <w:t xml:space="preserve">提交投标文件。</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r/>
    </w:p>
    <w:p>
      <w:pPr>
        <w:ind w:firstLine="560"/>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据此函，签字代表宣布同意如下：</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1、所附投标价格表中规定的应提交和交付的货物及服务的投标总价见开标一览表。</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2、投标人将按招标文件的规定履行合同责任和义务。</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3、投标人已详细审查全部招标文件，包括有关澄清和修改说明（如果有的话）。我们完全理解并同意放弃对这方面有不明及误解的</w:t>
      </w:r>
      <w:r>
        <w:rPr>
          <w:rFonts w:hint="eastAsia"/>
          <w:color w:val="000000" w:themeColor="text1"/>
          <w:sz w:val="24"/>
          <w:szCs w:val="32"/>
          <w:highlight w:val="none"/>
          <w:lang w:eastAsia="zh-CN"/>
          <w14:textFill>
            <w14:solidFill>
              <w14:schemeClr w14:val="tx1"/>
            </w14:solidFill>
          </w14:textFill>
        </w:rPr>
        <w:t xml:space="preserve">权利</w:t>
      </w:r>
      <w:r>
        <w:rPr>
          <w:rFonts w:hint="eastAsia"/>
          <w:color w:val="000000" w:themeColor="text1"/>
          <w:sz w:val="24"/>
          <w:szCs w:val="32"/>
          <w:highlight w:val="none"/>
          <w14:textFill>
            <w14:solidFill>
              <w14:schemeClr w14:val="tx1"/>
            </w14:solidFill>
          </w14:textFill>
        </w:rPr>
        <w:t xml:space="preserve">。</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4、本投标有效期为自开标日起</w:t>
      </w:r>
      <w:r>
        <w:rPr>
          <w:rFonts w:hint="eastAsia"/>
          <w:color w:val="000000" w:themeColor="text1"/>
          <w:sz w:val="24"/>
          <w:szCs w:val="32"/>
          <w:highlight w:val="none"/>
          <w:u w:val="single"/>
          <w14:textFill>
            <w14:solidFill>
              <w14:schemeClr w14:val="tx1"/>
            </w14:solidFill>
          </w14:textFill>
        </w:rPr>
        <w:t xml:space="preserve"> 90 </w:t>
      </w:r>
      <w:r>
        <w:rPr>
          <w:rFonts w:hint="eastAsia"/>
          <w:color w:val="000000" w:themeColor="text1"/>
          <w:sz w:val="24"/>
          <w:szCs w:val="32"/>
          <w:highlight w:val="none"/>
          <w14:textFill>
            <w14:solidFill>
              <w14:schemeClr w14:val="tx1"/>
            </w14:solidFill>
          </w14:textFill>
        </w:rPr>
        <w:t xml:space="preserve">日历日。在这期间，本投标文件将始终对我方具有约束力。如果中标，本次招标文件和本投标文件（含承诺书）将作为买卖</w:t>
      </w:r>
      <w:r>
        <w:rPr>
          <w:rFonts w:hint="eastAsia"/>
          <w:color w:val="000000" w:themeColor="text1"/>
          <w:sz w:val="24"/>
          <w:szCs w:val="32"/>
          <w:highlight w:val="none"/>
          <w:lang w:val="en-US" w:eastAsia="zh-CN"/>
          <w14:textFill>
            <w14:solidFill>
              <w14:schemeClr w14:val="tx1"/>
            </w14:solidFill>
          </w14:textFill>
        </w:rPr>
        <w:t xml:space="preserve">合同</w:t>
      </w:r>
      <w:r>
        <w:rPr>
          <w:rFonts w:hint="eastAsia"/>
          <w:color w:val="000000" w:themeColor="text1"/>
          <w:sz w:val="24"/>
          <w:szCs w:val="32"/>
          <w:highlight w:val="none"/>
          <w14:textFill>
            <w14:solidFill>
              <w14:schemeClr w14:val="tx1"/>
            </w14:solidFill>
          </w14:textFill>
        </w:rPr>
        <w:t xml:space="preserve">的附件。</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5、我方愿意向采购人提供任何与本次招标有关的其他资料。</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6、我方愿意履行自己在投标文件中的全部承诺和责任。</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7、我方愿意遵守招标文件中对投标者的所有规定。</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8、我方承诺不以任何形式向评标委员会成员和参与评标的有关工作人员探听对投标文件的评审和比较、中标候选人的推荐情况以及与评标有关的其他情况。</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9、我方完全理解采购代理机构和采购人有保留在授标之前任何时候接受或拒绝任何投标，以及宣布招标程序无效或拒绝所有投标的</w:t>
      </w:r>
      <w:r>
        <w:rPr>
          <w:rFonts w:hint="eastAsia"/>
          <w:color w:val="000000" w:themeColor="text1"/>
          <w:sz w:val="24"/>
          <w:szCs w:val="32"/>
          <w:highlight w:val="none"/>
          <w:lang w:eastAsia="zh-CN"/>
          <w14:textFill>
            <w14:solidFill>
              <w14:schemeClr w14:val="tx1"/>
            </w14:solidFill>
          </w14:textFill>
        </w:rPr>
        <w:t xml:space="preserve">权利</w:t>
      </w:r>
      <w:r>
        <w:rPr>
          <w:rFonts w:hint="eastAsia"/>
          <w:color w:val="000000" w:themeColor="text1"/>
          <w:sz w:val="24"/>
          <w:szCs w:val="32"/>
          <w:highlight w:val="none"/>
          <w14:textFill>
            <w14:solidFill>
              <w14:schemeClr w14:val="tx1"/>
            </w14:solidFill>
          </w14:textFill>
        </w:rPr>
        <w:t xml:space="preserve">。我方完全理解采购代理机构和采购人无向未中标人解释未中标理由的义务。</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10、我方在投标有效期内</w:t>
      </w:r>
      <w:r>
        <w:rPr>
          <w:rFonts w:hint="eastAsia"/>
          <w:color w:val="000000" w:themeColor="text1"/>
          <w:sz w:val="24"/>
          <w:szCs w:val="32"/>
          <w:highlight w:val="none"/>
          <w:lang w:val="en-US" w:eastAsia="zh-CN"/>
          <w14:textFill>
            <w14:solidFill>
              <w14:schemeClr w14:val="tx1"/>
            </w14:solidFill>
          </w14:textFill>
        </w:rPr>
        <w:t xml:space="preserve">不</w:t>
      </w:r>
      <w:r>
        <w:rPr>
          <w:rFonts w:hint="eastAsia"/>
          <w:color w:val="000000" w:themeColor="text1"/>
          <w:sz w:val="24"/>
          <w:szCs w:val="32"/>
          <w:highlight w:val="none"/>
          <w14:textFill>
            <w14:solidFill>
              <w14:schemeClr w14:val="tx1"/>
            </w14:solidFill>
          </w14:textFill>
        </w:rPr>
        <w:t xml:space="preserve">撤回投标，</w:t>
      </w:r>
      <w:r>
        <w:rPr>
          <w:rFonts w:hint="eastAsia"/>
          <w:color w:val="000000" w:themeColor="text1"/>
          <w:sz w:val="24"/>
          <w:szCs w:val="32"/>
          <w:highlight w:val="none"/>
          <w:lang w:val="en-US" w:eastAsia="zh-CN"/>
          <w14:textFill>
            <w14:solidFill>
              <w14:schemeClr w14:val="tx1"/>
            </w14:solidFill>
          </w14:textFill>
        </w:rPr>
        <w:t xml:space="preserve">如有违反，我方承担相应的法律责任</w:t>
      </w:r>
      <w:r>
        <w:rPr>
          <w:rFonts w:hint="eastAsia"/>
          <w:color w:val="000000" w:themeColor="text1"/>
          <w:sz w:val="24"/>
          <w:szCs w:val="32"/>
          <w:highlight w:val="none"/>
          <w14:textFill>
            <w14:solidFill>
              <w14:schemeClr w14:val="tx1"/>
            </w14:solidFill>
          </w14:textFill>
        </w:rPr>
        <w:t xml:space="preserve">。</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11、我方承诺，与采购人聘请的为此项目提供咨询服务的公司及任何附属机构均无关联，我方不是采购人的附属机构。</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12、投标人同意提供按照贵方可能要求的与其投标有关的一切数据或资料，完全理解贵方不一定接受最低价的投标或收到的任何投标。</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13、其他说明：</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14、与本投标有关的一切正式往来信函请寄：</w:t>
      </w:r>
      <w:r/>
    </w:p>
    <w:p>
      <w:pPr>
        <w:ind w:firstLine="566"/>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地址：</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电话：</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电子邮件：</w:t>
      </w:r>
      <w:r/>
    </w:p>
    <w:p>
      <w:pPr>
        <w:spacing w:line="276" w:lineRule="auto"/>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投标人代表（签字）：</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投标人名称（盖章）：</w:t>
      </w:r>
      <w:r/>
    </w:p>
    <w:p>
      <w:pPr>
        <w:spacing w:line="276"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日期：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65"/>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7</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w:t>
      </w:r>
      <w:r/>
    </w:p>
    <w:tbl>
      <w:tblPr>
        <w:tblStyle w:val="7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394"/>
        <w:gridCol w:w="788"/>
        <w:gridCol w:w="340"/>
        <w:gridCol w:w="973"/>
        <w:gridCol w:w="525"/>
        <w:gridCol w:w="876"/>
        <w:gridCol w:w="1169"/>
        <w:gridCol w:w="141"/>
        <w:gridCol w:w="1038"/>
        <w:gridCol w:w="58"/>
        <w:gridCol w:w="1434"/>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45"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实现利润</w:t>
            </w:r>
            <w:r/>
          </w:p>
        </w:tc>
        <w:tc>
          <w:tcPr>
            <w:tcW w:w="84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restart"/>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固定资产</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原值：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M</w:t>
            </w:r>
            <w:r>
              <w:rPr>
                <w:rFonts w:hint="eastAsia" w:ascii="宋体" w:hAnsi="宋体"/>
                <w:color w:val="000000" w:themeColor="text1"/>
                <w:sz w:val="24"/>
                <w:highlight w:val="none"/>
                <w:vertAlign w:val="superscript"/>
                <w14:textFill>
                  <w14:solidFill>
                    <w14:schemeClr w14:val="tx1"/>
                  </w14:solidFill>
                </w14:textFill>
              </w:rPr>
              <w:t xml:space="preserve">2</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本次投标</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上年</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产品技术</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曾获何级</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主要用户</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6"/>
            <w:tcW w:w="22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jc w:val="left"/>
        <w:widowControl/>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br w:type="page" w:clear="all"/>
      </w:r>
      <w:r/>
    </w:p>
    <w:p>
      <w:pPr>
        <w:pStyle w:val="1465"/>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8</w:t>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w:t>
      </w:r>
      <w:r/>
    </w:p>
    <w:p>
      <w:pPr>
        <w:pStyle w:val="7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5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6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1.投标人提交的投标文件中与招标文件第三部分“项目需求”中的商务部分的要求，应逐条填列在偏离表中。</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3.投标人如果虚假响应，将被暂停参加采购人组织政府采购活动。</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65"/>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9</w:t>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w:t>
      </w:r>
      <w:r/>
    </w:p>
    <w:p>
      <w:pPr>
        <w:pStyle w:val="7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5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6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1.投标人提交的投标文件中与招标文件第三部分“项目需求”中的技术部分的要求，应逐条填列在偏离表中。</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3.投标人如果虚假响应，将被暂停参加采购人组织政府采购活动。</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p>
    <w:p>
      <w:pPr>
        <w:pStyle w:val="1465"/>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10</w:t>
      </w:r>
      <w:r/>
    </w:p>
    <w:p>
      <w:pPr>
        <w:pStyle w:val="1471"/>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w:t>
      </w:r>
      <w:r/>
    </w:p>
    <w:p>
      <w:pPr>
        <w:pStyle w:val="766"/>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投标人全称（加盖公章）：</w:t>
      </w:r>
      <w:r/>
    </w:p>
    <w:p>
      <w:pPr>
        <w:pStyle w:val="766"/>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分包号：</w:t>
      </w:r>
      <w:r/>
    </w:p>
    <w:tbl>
      <w:tblPr>
        <w:tblStyle w:val="7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22"/>
        <w:gridCol w:w="4469"/>
      </w:tblGrid>
      <w:tr>
        <w:trPr/>
        <w:tc>
          <w:tcPr>
            <w:tcW w:w="2368" w:type="pct"/>
            <w:textDirection w:val="lrTb"/>
            <w:noWrap w:val="false"/>
          </w:tcPr>
          <w:p>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投标货物、服务名称</w:t>
            </w:r>
            <w:r/>
          </w:p>
        </w:tc>
        <w:tc>
          <w:tcPr>
            <w:tcW w:w="2631" w:type="pct"/>
            <w:textDirection w:val="lrTb"/>
            <w:noWrap w:val="false"/>
          </w:tcPr>
          <w:p>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投标总报价</w:t>
            </w:r>
            <w:r/>
          </w:p>
        </w:tc>
      </w:tr>
      <w:tr>
        <w:trPr>
          <w:trHeight w:val="1091"/>
        </w:trPr>
        <w:tc>
          <w:tcPr>
            <w:tcW w:w="2368" w:type="pct"/>
            <w:textDirection w:val="lrTb"/>
            <w:noWrap w:val="false"/>
          </w:tcPr>
          <w:p>
            <w:pPr>
              <w:rPr>
                <w:rFonts w:hint="eastAsia"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r>
            <w:r/>
          </w:p>
        </w:tc>
        <w:tc>
          <w:tcPr>
            <w:tcW w:w="2631" w:type="pct"/>
            <w:textDirection w:val="lrTb"/>
            <w:noWrap w:val="false"/>
          </w:tcPr>
          <w:p>
            <w:pPr>
              <w:rPr>
                <w:rFonts w:hint="eastAsia"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大写：</w:t>
            </w:r>
            <w:r/>
          </w:p>
          <w:p>
            <w:pPr>
              <w:rPr>
                <w:rFonts w:hint="eastAsia" w:ascii="宋体" w:hAnsi="宋体"/>
                <w:color w:val="000000" w:themeColor="text1"/>
                <w:szCs w:val="22"/>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小写：元（人民币）</w:t>
            </w:r>
            <w:r/>
          </w:p>
        </w:tc>
      </w:tr>
    </w:tbl>
    <w:p>
      <w:pPr>
        <w:ind w:left="480"/>
        <w:spacing w:after="120"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t xml:space="preserve">日期：</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填写说明：</w:t>
      </w:r>
      <w:r/>
    </w:p>
    <w:p>
      <w:pPr>
        <w:pStyle w:val="766"/>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1.开标一览表必须加盖投标单位公章（复印件无效）。</w:t>
      </w:r>
      <w:r/>
    </w:p>
    <w:p>
      <w:pPr>
        <w:pStyle w:val="766"/>
        <w:ind w:firstLine="480"/>
        <w:rPr>
          <w:color w:val="000000" w:themeColor="text1"/>
          <w:highlight w:val="none"/>
          <w:u w:val="single"/>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2.</w:t>
      </w:r>
      <w:r>
        <w:rPr>
          <w:color w:val="000000" w:themeColor="text1"/>
          <w:highlight w:val="none"/>
          <w:u w:val="single"/>
          <w14:textFill>
            <w14:solidFill>
              <w14:schemeClr w14:val="tx1"/>
            </w14:solidFill>
          </w14:textFill>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65"/>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11</w:t>
      </w:r>
      <w:r/>
    </w:p>
    <w:p>
      <w:pPr>
        <w:pStyle w:val="766"/>
        <w:ind w:firstLine="48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分项报价明细表</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6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ind w:left="480"/>
        <w:spacing w:after="120"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采购代理编号：</w:t>
      </w:r>
      <w:r>
        <w:rPr>
          <w:color w:val="000000" w:themeColor="text1"/>
          <w:sz w:val="24"/>
          <w:highlight w:val="none"/>
          <w14:textFill>
            <w14:solidFill>
              <w14:schemeClr w14:val="tx1"/>
            </w14:solidFill>
          </w14:textFill>
        </w:rPr>
        <w:t xml:space="preserve">                包号：          </w:t>
      </w:r>
      <w:r>
        <w:rPr>
          <w:rFonts w:hint="eastAsia"/>
          <w:bCs/>
          <w:color w:val="000000" w:themeColor="text1"/>
          <w:sz w:val="24"/>
          <w:highlight w:val="none"/>
          <w14:textFill>
            <w14:solidFill>
              <w14:schemeClr w14:val="tx1"/>
            </w14:solidFill>
          </w14:textFill>
        </w:rPr>
        <w:t xml:space="preserve">金额单位：人民币万元</w:t>
      </w:r>
      <w:r/>
    </w:p>
    <w:tbl>
      <w:tblPr>
        <w:tblStyle w:val="754"/>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highlight w:val="none"/>
              </w:rPr>
            </w:pPr>
            <w:r>
              <w:rPr>
                <w:rFonts w:hint="eastAsia" w:ascii="Times New Roman"/>
                <w:b w:val="0"/>
                <w:position w:val="0"/>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highlight w:val="none"/>
              </w:rPr>
            </w:pPr>
            <w:r>
              <w:rPr>
                <w:rFonts w:hint="eastAsia" w:ascii="Times New Roman"/>
                <w:b w:val="0"/>
                <w:position w:val="0"/>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highlight w:val="none"/>
              </w:rPr>
            </w:pPr>
            <w:r>
              <w:rPr>
                <w:rFonts w:hint="eastAsia" w:hAnsi="宋体"/>
                <w:b w:val="0"/>
                <w:position w:val="0"/>
                <w:sz w:val="21"/>
                <w:szCs w:val="21"/>
                <w:highlight w:val="none"/>
              </w:rPr>
              <w:t xml:space="preserve">本采购包中提供的符合本国产品标准的产品成本之和占该采购包提供的全部产品成本之和的比例为</w:t>
            </w:r>
            <w:r>
              <w:rPr>
                <w:rFonts w:hint="eastAsia" w:hAnsi="宋体"/>
                <w:b w:val="0"/>
                <w:position w:val="0"/>
                <w:sz w:val="21"/>
                <w:szCs w:val="21"/>
                <w:highlight w:val="none"/>
                <w:u w:val="single"/>
              </w:rPr>
              <w:t xml:space="preserve">      </w:t>
            </w:r>
            <w:r>
              <w:rPr>
                <w:rFonts w:hint="eastAsia" w:hAnsi="宋体"/>
                <w:b w:val="0"/>
                <w:position w:val="0"/>
                <w:sz w:val="21"/>
                <w:szCs w:val="21"/>
                <w:highlight w:val="none"/>
              </w:rPr>
              <w:t xml:space="preserve">%。</w:t>
            </w:r>
            <w:r/>
          </w:p>
        </w:tc>
      </w:tr>
    </w:tbl>
    <w:p>
      <w:pPr>
        <w:ind w:firstLine="480"/>
        <w:spacing w:after="120"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投标人（盖章）：</w:t>
      </w:r>
      <w:r/>
    </w:p>
    <w:p>
      <w:pPr>
        <w:ind w:firstLine="48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投标人授权代表（签字）：</w:t>
      </w:r>
      <w:r/>
    </w:p>
    <w:p>
      <w:pPr>
        <w:ind w:firstLine="480"/>
        <w:spacing w:after="120"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w:t>
      </w:r>
      <w:r/>
    </w:p>
    <w:p>
      <w:pPr>
        <w:pStyle w:val="766"/>
        <w:ind w:firstLine="0"/>
        <w:rPr>
          <w:sz w:val="24"/>
          <w:szCs w:val="24"/>
          <w:highlight w:val="none"/>
        </w:rPr>
      </w:pPr>
      <w:r>
        <w:rPr>
          <w:sz w:val="24"/>
          <w:szCs w:val="24"/>
          <w:highlight w:val="none"/>
        </w:rPr>
        <w:t xml:space="preserve">注：</w:t>
      </w:r>
      <w:r/>
    </w:p>
    <w:p>
      <w:pPr>
        <w:pStyle w:val="766"/>
        <w:ind w:firstLine="0"/>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1</w:t>
      </w:r>
      <w:r>
        <w:rPr>
          <w:rFonts w:hint="eastAsia"/>
          <w:sz w:val="24"/>
          <w:szCs w:val="24"/>
          <w:highlight w:val="none"/>
          <w:lang w:eastAsia="zh-CN"/>
        </w:rPr>
        <w:t xml:space="preserve">）</w:t>
      </w:r>
      <w:r>
        <w:rPr>
          <w:sz w:val="24"/>
          <w:szCs w:val="24"/>
          <w:highlight w:val="none"/>
        </w:rPr>
        <w:t xml:space="preserve">“分项报价表”中“合计”金额应当与“开标一览表”中“投标总价”金额一致。</w:t>
      </w:r>
      <w:r/>
    </w:p>
    <w:p>
      <w:pPr>
        <w:pStyle w:val="766"/>
        <w:ind w:firstLine="480"/>
        <w:rPr>
          <w:rFonts w:hint="eastAsia" w:eastAsia="宋体"/>
          <w:b/>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sz w:val="24"/>
          <w:szCs w:val="24"/>
          <w:highlight w:val="none"/>
          <w:lang w:val="en-US" w:eastAsia="zh-CN"/>
        </w:rPr>
        <w:t xml:space="preserve">一个</w:t>
      </w:r>
      <w:r>
        <w:rPr>
          <w:rFonts w:hint="eastAsia"/>
          <w:sz w:val="24"/>
          <w:szCs w:val="24"/>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sz w:val="24"/>
          <w:szCs w:val="24"/>
          <w:highlight w:val="none"/>
          <w:lang w:eastAsia="zh-CN"/>
        </w:rPr>
        <w:t xml:space="preserve">。</w:t>
      </w:r>
      <w:r/>
    </w:p>
    <w:p>
      <w:pPr>
        <w:spacing w:line="500" w:lineRule="exact"/>
        <w:rPr>
          <w:b/>
          <w:bCs/>
          <w:sz w:val="24"/>
          <w:szCs w:val="32"/>
          <w:highlight w:val="none"/>
        </w:rPr>
      </w:pPr>
      <w:r>
        <w:rPr>
          <w:color w:val="000000" w:themeColor="text1"/>
          <w:highlight w:val="none"/>
          <w14:textFill>
            <w14:solidFill>
              <w14:schemeClr w14:val="tx1"/>
            </w14:solidFill>
          </w14:textFill>
        </w:rPr>
        <w:br w:type="page" w:clear="all"/>
      </w:r>
      <w:r>
        <w:rPr>
          <w:rFonts w:hint="eastAsia"/>
          <w:b/>
          <w:bCs/>
          <w:sz w:val="24"/>
          <w:szCs w:val="32"/>
          <w:highlight w:val="none"/>
        </w:rPr>
        <w:t xml:space="preserve">附件1</w:t>
      </w:r>
      <w:r>
        <w:rPr>
          <w:rFonts w:hint="eastAsia"/>
          <w:b/>
          <w:bCs/>
          <w:sz w:val="24"/>
          <w:szCs w:val="32"/>
          <w:highlight w:val="none"/>
          <w:lang w:val="en-US" w:eastAsia="zh-CN"/>
        </w:rPr>
        <w:t xml:space="preserve">2</w:t>
      </w:r>
      <w:r>
        <w:rPr>
          <w:rFonts w:hint="eastAsia"/>
          <w:b/>
          <w:bCs/>
          <w:sz w:val="24"/>
          <w:szCs w:val="32"/>
          <w:highlight w:val="none"/>
        </w:rPr>
        <w:t xml:space="preserve">：</w:t>
      </w:r>
      <w:r/>
    </w:p>
    <w:p>
      <w:pPr>
        <w:jc w:val="center"/>
        <w:spacing w:line="500" w:lineRule="exact"/>
        <w:rPr>
          <w:b/>
          <w:bCs/>
          <w:sz w:val="24"/>
          <w:szCs w:val="32"/>
          <w:highlight w:val="none"/>
        </w:rPr>
      </w:pPr>
      <w:r>
        <w:rPr>
          <w:rFonts w:hint="eastAsia"/>
          <w:b/>
          <w:bCs/>
          <w:sz w:val="24"/>
          <w:szCs w:val="32"/>
          <w:highlight w:val="none"/>
        </w:rPr>
        <w:t xml:space="preserve">质保期满后的备品备件明细表</w:t>
      </w:r>
      <w:r/>
    </w:p>
    <w:p>
      <w:pPr>
        <w:pStyle w:val="766"/>
        <w:ind w:firstLine="480"/>
        <w:rPr>
          <w:highlight w:val="none"/>
        </w:rPr>
      </w:pPr>
      <w:r>
        <w:rPr>
          <w:highlight w:val="none"/>
        </w:rPr>
        <w:t xml:space="preserve">项目名称：</w:t>
      </w:r>
      <w:r/>
    </w:p>
    <w:p>
      <w:pPr>
        <w:pStyle w:val="766"/>
        <w:ind w:firstLine="480"/>
        <w:rPr>
          <w:b/>
          <w:highlight w:val="none"/>
        </w:rPr>
      </w:pPr>
      <w:r>
        <w:rPr>
          <w:highlight w:val="none"/>
        </w:rPr>
        <w:t xml:space="preserve">项目编号：</w:t>
      </w:r>
      <w:r/>
    </w:p>
    <w:p>
      <w:pPr>
        <w:ind w:left="480"/>
        <w:spacing w:after="120" w:line="360" w:lineRule="auto"/>
        <w:rPr>
          <w:highlight w:val="none"/>
        </w:rPr>
      </w:pPr>
      <w:r>
        <w:rPr>
          <w:rFonts w:hint="eastAsia"/>
          <w:sz w:val="24"/>
          <w:highlight w:val="none"/>
        </w:rPr>
        <w:t xml:space="preserve">采购代理编号：</w:t>
      </w:r>
      <w:r>
        <w:rPr>
          <w:sz w:val="24"/>
          <w:highlight w:val="none"/>
        </w:rPr>
        <w:t xml:space="preserve">                  包号：        </w:t>
      </w:r>
      <w:r>
        <w:rPr>
          <w:rFonts w:hint="eastAsia"/>
          <w:bCs/>
          <w:sz w:val="24"/>
          <w:highlight w:val="none"/>
        </w:rPr>
        <w:t xml:space="preserve">金额单位：人民币元</w:t>
      </w:r>
      <w:r/>
    </w:p>
    <w:tbl>
      <w:tblPr>
        <w:tblStyle w:val="754"/>
        <w:tblW w:w="9092" w:type="dxa"/>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319"/>
        <w:gridCol w:w="1155"/>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highlight w:val="none"/>
              </w:rPr>
            </w:pPr>
            <w:r>
              <w:rPr>
                <w:rFonts w:hint="eastAsia"/>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highlight w:val="none"/>
              </w:rPr>
            </w:pPr>
            <w:r>
              <w:rPr>
                <w:rFonts w:hint="eastAsia"/>
                <w:highlight w:val="none"/>
              </w:rPr>
              <w:t xml:space="preserve">备品备件</w:t>
            </w:r>
            <w:r/>
          </w:p>
          <w:p>
            <w:pPr>
              <w:ind w:right="-5"/>
              <w:jc w:val="center"/>
              <w:spacing w:line="500" w:lineRule="exact"/>
              <w:tabs>
                <w:tab w:val="left" w:pos="972" w:leader="none"/>
              </w:tabs>
              <w:rPr>
                <w:highlight w:val="none"/>
              </w:rPr>
            </w:pPr>
            <w:r>
              <w:rPr>
                <w:rFonts w:hint="eastAsia"/>
                <w:highlight w:val="none"/>
              </w:rPr>
              <w:t xml:space="preserve">名称</w:t>
            </w:r>
            <w:r/>
          </w:p>
        </w:tc>
        <w:tc>
          <w:tcPr>
            <w:tcBorders>
              <w:top w:val="single" w:color="auto" w:sz="4" w:space="0"/>
              <w:left w:val="single" w:color="auto" w:sz="6" w:space="0"/>
              <w:bottom w:val="single" w:color="auto" w:sz="4" w:space="0"/>
              <w:right w:val="single" w:color="auto" w:sz="6" w:space="0"/>
            </w:tcBorders>
            <w:tcW w:w="1319" w:type="dxa"/>
            <w:vAlign w:val="center"/>
            <w:textDirection w:val="lrTb"/>
            <w:noWrap w:val="false"/>
          </w:tcPr>
          <w:p>
            <w:pPr>
              <w:ind w:right="-5"/>
              <w:jc w:val="center"/>
              <w:spacing w:line="500" w:lineRule="exact"/>
              <w:rPr>
                <w:highlight w:val="none"/>
              </w:rPr>
            </w:pPr>
            <w:r>
              <w:rPr>
                <w:rFonts w:hint="eastAsia"/>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highlight w:val="none"/>
              </w:rPr>
            </w:pPr>
            <w:r>
              <w:rPr>
                <w:rFonts w:hint="eastAsia"/>
                <w:highlight w:val="none"/>
              </w:rPr>
              <w:t xml:space="preserve">数量</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highlight w:val="none"/>
              </w:rPr>
            </w:pPr>
            <w:r>
              <w:rPr>
                <w:rFonts w:hint="eastAsia"/>
                <w:highlight w:val="none"/>
              </w:rPr>
              <w:t xml:space="preserve">单位</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highlight w:val="none"/>
              </w:rPr>
            </w:pPr>
            <w:r>
              <w:rPr>
                <w:rFonts w:hint="eastAsia"/>
                <w:highlight w:val="none"/>
              </w:rPr>
              <w:t xml:space="preserve">单价</w:t>
            </w:r>
            <w:r/>
          </w:p>
          <w:p>
            <w:pPr>
              <w:ind w:right="-5"/>
              <w:jc w:val="center"/>
              <w:spacing w:line="500" w:lineRule="exact"/>
              <w:rPr>
                <w:highlight w:val="none"/>
              </w:rPr>
            </w:pPr>
            <w:r>
              <w:rPr>
                <w:highlight w:val="none"/>
              </w:rPr>
              <w:t xml:space="preserve">(</w:t>
            </w:r>
            <w:r>
              <w:rPr>
                <w:rFonts w:hint="eastAsia"/>
                <w:highlight w:val="none"/>
              </w:rPr>
              <w:t xml:space="preserve">元</w:t>
            </w:r>
            <w:r>
              <w:rPr>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highlight w:val="none"/>
              </w:rPr>
            </w:pPr>
            <w:r>
              <w:rPr>
                <w:rFonts w:hint="eastAsia"/>
                <w:highlight w:val="none"/>
              </w:rPr>
              <w:t xml:space="preserve">备注</w:t>
            </w:r>
            <w:r/>
          </w:p>
          <w:p>
            <w:pPr>
              <w:ind w:right="-5"/>
              <w:jc w:val="center"/>
              <w:spacing w:line="500" w:lineRule="exact"/>
              <w:rPr>
                <w:highlight w:val="none"/>
              </w:rPr>
            </w:pPr>
            <w:r>
              <w:rPr>
                <w:rFonts w:hint="eastAsia"/>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highlight w:val="none"/>
              </w:rPr>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highlight w:val="none"/>
              </w:rPr>
            </w:pPr>
            <w:r>
              <w:rPr>
                <w:rFonts w:ascii="仿宋_GB2312" w:eastAsia="仿宋_GB2312"/>
                <w:highlight w:val="none"/>
              </w:rPr>
            </w:r>
            <w:r/>
          </w:p>
        </w:tc>
      </w:tr>
    </w:tbl>
    <w:p>
      <w:pPr>
        <w:ind w:firstLine="480"/>
        <w:spacing w:after="120" w:line="360" w:lineRule="auto"/>
        <w:rPr>
          <w:sz w:val="24"/>
          <w:highlight w:val="none"/>
        </w:rPr>
      </w:pPr>
      <w:r>
        <w:rPr>
          <w:rFonts w:hint="eastAsia"/>
          <w:sz w:val="24"/>
          <w:highlight w:val="none"/>
        </w:rPr>
        <w:t xml:space="preserve">投标人（盖章）：</w:t>
      </w:r>
      <w:r/>
    </w:p>
    <w:p>
      <w:pPr>
        <w:ind w:firstLine="480"/>
        <w:spacing w:after="120" w:line="360" w:lineRule="auto"/>
        <w:rPr>
          <w:sz w:val="24"/>
          <w:highlight w:val="none"/>
        </w:rPr>
      </w:pPr>
      <w:r>
        <w:rPr>
          <w:rFonts w:hint="eastAsia"/>
          <w:sz w:val="24"/>
          <w:highlight w:val="none"/>
        </w:rPr>
        <w:t xml:space="preserve">投标人授权代表（签字）：</w:t>
      </w:r>
      <w:r/>
    </w:p>
    <w:p>
      <w:pPr>
        <w:ind w:firstLine="480"/>
        <w:spacing w:after="120" w:line="360" w:lineRule="auto"/>
        <w:rPr>
          <w:b/>
          <w:sz w:val="24"/>
          <w:highlight w:val="none"/>
        </w:rPr>
      </w:pPr>
      <w:r>
        <w:rPr>
          <w:rFonts w:hint="eastAsia"/>
          <w:sz w:val="24"/>
          <w:highlight w:val="none"/>
        </w:rPr>
        <w:t xml:space="preserve">日期：     </w:t>
      </w:r>
      <w:r/>
    </w:p>
    <w:p>
      <w:pPr>
        <w:pStyle w:val="766"/>
        <w:ind w:firstLine="0"/>
        <w:rPr>
          <w:b/>
          <w:sz w:val="22"/>
          <w:szCs w:val="22"/>
          <w:highlight w:val="none"/>
        </w:rPr>
      </w:pPr>
      <w:r>
        <w:rPr>
          <w:sz w:val="22"/>
          <w:szCs w:val="22"/>
          <w:highlight w:val="none"/>
        </w:rPr>
        <w:t xml:space="preserve">注：</w:t>
      </w:r>
      <w:r/>
    </w:p>
    <w:p>
      <w:pPr>
        <w:pStyle w:val="766"/>
        <w:ind w:firstLine="0"/>
        <w:rPr>
          <w:b/>
          <w:sz w:val="22"/>
          <w:szCs w:val="22"/>
          <w:highlight w:val="none"/>
        </w:rPr>
      </w:pPr>
      <w:r>
        <w:rPr>
          <w:rFonts w:hint="eastAsia"/>
          <w:sz w:val="22"/>
          <w:szCs w:val="22"/>
          <w:highlight w:val="none"/>
        </w:rPr>
        <w:t xml:space="preserve">1、投标人承诺的质保期内的所有备品备件均应包含在投标报价内，无论是否在分项报价明细表中单列，采购人均不额外付费</w:t>
      </w:r>
      <w:r>
        <w:rPr>
          <w:sz w:val="22"/>
          <w:szCs w:val="22"/>
          <w:highlight w:val="none"/>
        </w:rPr>
        <w:t xml:space="preserve">。</w:t>
      </w:r>
      <w:r/>
    </w:p>
    <w:p>
      <w:pPr>
        <w:pStyle w:val="766"/>
        <w:ind w:firstLine="0"/>
        <w:rPr>
          <w:sz w:val="22"/>
          <w:szCs w:val="22"/>
          <w:highlight w:val="none"/>
        </w:rPr>
      </w:pPr>
      <w:r>
        <w:rPr>
          <w:sz w:val="22"/>
          <w:szCs w:val="22"/>
          <w:highlight w:val="none"/>
        </w:rPr>
        <w:t xml:space="preserve">2、</w:t>
      </w:r>
      <w:r>
        <w:rPr>
          <w:rFonts w:hint="eastAsia"/>
          <w:sz w:val="22"/>
          <w:szCs w:val="22"/>
          <w:highlight w:val="none"/>
        </w:rPr>
        <w:t xml:space="preserve">如所投产品不涉及备品备件，可在投标文件中将本表空置</w:t>
      </w:r>
      <w:r>
        <w:rPr>
          <w:sz w:val="22"/>
          <w:szCs w:val="22"/>
          <w:highlight w:val="none"/>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65"/>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3</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hAnsi="宋体" w:cs="宋体"/>
          <w:b w:val="0"/>
          <w:color w:val="000000" w:themeColor="text1"/>
          <w:sz w:val="28"/>
          <w:szCs w:val="36"/>
          <w:highlight w:val="none"/>
          <w14:textFill>
            <w14:solidFill>
              <w14:schemeClr w14:val="tx1"/>
            </w14:solidFill>
          </w14:textFill>
        </w:rPr>
      </w:pPr>
      <w:r>
        <w:rPr>
          <w:rFonts w:hint="eastAsia" w:hAnsi="宋体" w:cs="宋体"/>
          <w:b w:val="0"/>
          <w:color w:val="000000" w:themeColor="text1"/>
          <w:sz w:val="28"/>
          <w:szCs w:val="36"/>
          <w:highlight w:val="none"/>
          <w14:textFill>
            <w14:solidFill>
              <w14:schemeClr w14:val="tx1"/>
            </w14:solidFill>
          </w14:textFill>
        </w:rPr>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中小企业声明函（货物）</w:t>
      </w:r>
      <w:r/>
    </w:p>
    <w:p>
      <w:pPr>
        <w:pStyle w:val="76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本公司（联合体）郑重声明，根据《政府采购促进中小企业发展管理办法》（财库﹝2020﹞46号）的规定，本公司（联合体）参加</w:t>
      </w:r>
      <w:r>
        <w:rPr>
          <w:color w:val="000000" w:themeColor="text1"/>
          <w:highlight w:val="none"/>
          <w:u w:val="single"/>
          <w14:textFill>
            <w14:solidFill>
              <w14:schemeClr w14:val="tx1"/>
            </w14:solidFill>
          </w14:textFill>
        </w:rPr>
        <w:t xml:space="preserve">（单位名称）</w:t>
      </w:r>
      <w:r>
        <w:rPr>
          <w:color w:val="000000" w:themeColor="text1"/>
          <w:highlight w:val="none"/>
          <w14:textFill>
            <w14:solidFill>
              <w14:schemeClr w14:val="tx1"/>
            </w14:solidFill>
          </w14:textFill>
        </w:rPr>
        <w:t xml:space="preserve">的</w:t>
      </w:r>
      <w:r>
        <w:rPr>
          <w:color w:val="000000" w:themeColor="text1"/>
          <w:highlight w:val="none"/>
          <w:u w:val="single"/>
          <w14:textFill>
            <w14:solidFill>
              <w14:schemeClr w14:val="tx1"/>
            </w14:solidFill>
          </w14:textFill>
        </w:rPr>
        <w:t xml:space="preserve">（项目名称）</w:t>
      </w:r>
      <w:r>
        <w:rPr>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pStyle w:val="76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（招标文件中明确的所属行业）</w:t>
      </w:r>
      <w:r>
        <w:rPr>
          <w:color w:val="000000" w:themeColor="text1"/>
          <w:highlight w:val="none"/>
          <w14:textFill>
            <w14:solidFill>
              <w14:schemeClr w14:val="tx1"/>
            </w14:solidFill>
          </w14:textFill>
        </w:rPr>
        <w:t xml:space="preserve">行业；制造商为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76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（招标文件中明确的所属行业）</w:t>
      </w:r>
      <w:r>
        <w:rPr>
          <w:color w:val="000000" w:themeColor="text1"/>
          <w:highlight w:val="none"/>
          <w14:textFill>
            <w14:solidFill>
              <w14:schemeClr w14:val="tx1"/>
            </w14:solidFill>
          </w14:textFill>
        </w:rPr>
        <w:t xml:space="preserve">行业；制造商为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，从业人员人，营业收入为万元，资产总额为万元，属于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76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pStyle w:val="76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6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本企业对上述声明内容的真实性负责。如有虚假，将依法承担相应责任。</w:t>
      </w:r>
      <w:r/>
    </w:p>
    <w:p>
      <w:pPr>
        <w:pStyle w:val="766"/>
        <w:ind w:firstLine="480"/>
        <w:jc w:val="right"/>
        <w:tabs>
          <w:tab w:val="left" w:pos="7098" w:leader="none"/>
        </w:tabs>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投标人或制造商名称（盖章）：</w:t>
      </w:r>
      <w:r/>
    </w:p>
    <w:p>
      <w:pPr>
        <w:pStyle w:val="766"/>
        <w:ind w:firstLine="6000"/>
        <w:tabs>
          <w:tab w:val="left" w:pos="7098" w:leader="none"/>
        </w:tabs>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p>
    <w:p>
      <w:pPr>
        <w:contextualSpacing/>
        <w:jc w:val="left"/>
        <w:spacing w:line="360" w:lineRule="auto"/>
        <w:rPr>
          <w:rFonts w:hint="eastAsia" w:hAnsi="宋体" w:cs="宋体"/>
          <w:b w:val="0"/>
          <w:color w:val="000000" w:themeColor="text1"/>
          <w:highlight w:val="none"/>
          <w14:textFill>
            <w14:solidFill>
              <w14:schemeClr w14:val="tx1"/>
            </w14:solidFill>
          </w14:textFill>
        </w:rPr>
      </w:pPr>
      <w:r>
        <w:rPr>
          <w:rFonts w:hint="eastAsia" w:hAnsi="宋体" w:cs="宋体"/>
          <w:b w:val="0"/>
          <w:color w:val="000000" w:themeColor="text1"/>
          <w:highlight w:val="none"/>
          <w14:textFill>
            <w14:solidFill>
              <w14:schemeClr w14:val="tx1"/>
            </w14:solidFill>
          </w14:textFill>
        </w:rPr>
      </w:r>
      <w:r/>
    </w:p>
    <w:p>
      <w:pPr>
        <w:contextualSpacing/>
        <w:ind w:firstLine="480"/>
        <w:jc w:val="left"/>
        <w:spacing w:line="360" w:lineRule="auto"/>
        <w:rPr>
          <w:rFonts w:hint="eastAsia" w:hAnsi="宋体" w:cs="宋体"/>
          <w:b w:val="0"/>
          <w:color w:val="000000" w:themeColor="text1"/>
          <w:highlight w:val="none"/>
          <w14:textFill>
            <w14:solidFill>
              <w14:schemeClr w14:val="tx1"/>
            </w14:solidFill>
          </w14:textFill>
        </w:rPr>
      </w:pPr>
      <w:r>
        <w:rPr>
          <w:rFonts w:hint="eastAsia" w:hAnsi="宋体" w:cs="宋体"/>
          <w:b w:val="0"/>
          <w:color w:val="000000" w:themeColor="text1"/>
          <w:highlight w:val="none"/>
          <w14:textFill>
            <w14:solidFill>
              <w14:schemeClr w14:val="tx1"/>
            </w14:solidFill>
          </w14:textFill>
        </w:rPr>
      </w:r>
      <w:r/>
    </w:p>
    <w:p>
      <w:pPr>
        <w:contextualSpacing/>
        <w:ind w:firstLine="480"/>
        <w:jc w:val="left"/>
        <w:spacing w:line="360" w:lineRule="auto"/>
        <w:rPr>
          <w:rFonts w:hint="eastAsia" w:hAnsi="宋体" w:cs="宋体"/>
          <w:b w:val="0"/>
          <w:color w:val="000000" w:themeColor="text1"/>
          <w:highlight w:val="none"/>
          <w14:textFill>
            <w14:solidFill>
              <w14:schemeClr w14:val="tx1"/>
            </w14:solidFill>
          </w14:textFill>
        </w:rPr>
      </w:pPr>
      <w:r>
        <w:rPr>
          <w:rFonts w:hint="eastAsia" w:hAnsi="宋体" w:cs="宋体"/>
          <w:b w:val="0"/>
          <w:color w:val="000000" w:themeColor="text1"/>
          <w:highlight w:val="none"/>
          <w14:textFill>
            <w14:solidFill>
              <w14:schemeClr w14:val="tx1"/>
            </w14:solidFill>
          </w14:textFill>
        </w:rPr>
      </w:r>
      <w:r/>
    </w:p>
    <w:p>
      <w:pPr>
        <w:contextualSpacing/>
        <w:ind w:firstLine="480"/>
        <w:jc w:val="left"/>
        <w:spacing w:line="360" w:lineRule="auto"/>
        <w:rPr>
          <w:rFonts w:hint="eastAsia" w:hAnsi="宋体" w:cs="宋体"/>
          <w:b w:val="0"/>
          <w:color w:val="000000" w:themeColor="text1"/>
          <w:highlight w:val="none"/>
          <w14:textFill>
            <w14:solidFill>
              <w14:schemeClr w14:val="tx1"/>
            </w14:solidFill>
          </w14:textFill>
        </w:rPr>
      </w:pPr>
      <w:r>
        <w:rPr>
          <w:rFonts w:hint="eastAsia" w:hAnsi="宋体" w:cs="宋体"/>
          <w:b w:val="0"/>
          <w:color w:val="000000" w:themeColor="text1"/>
          <w:highlight w:val="none"/>
          <w14:textFill>
            <w14:solidFill>
              <w14:schemeClr w14:val="tx1"/>
            </w14:solidFill>
          </w14:textFill>
        </w:rPr>
        <w:t xml:space="preserve">注：从业人员、营业收入、资产总额填报上一年度数据，无上一年度数据的新成立企业可不填报。</w:t>
      </w:r>
      <w:r/>
    </w:p>
    <w:p>
      <w:pPr>
        <w:ind w:firstLine="4962"/>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465"/>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4</w:t>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本单位对上述声明的真实性负责。如有虚假，将依法承担相应责任。</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right="1560" w:firstLine="584"/>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pacing w:val="6"/>
          <w:sz w:val="24"/>
          <w:szCs w:val="28"/>
          <w:highlight w:val="none"/>
          <w14:textFill>
            <w14:solidFill>
              <w14:schemeClr w14:val="tx1"/>
            </w14:solidFill>
          </w14:textFill>
        </w:rPr>
        <w:t xml:space="preserve">             </w:t>
      </w:r>
      <w:r>
        <w:rPr>
          <w:rFonts w:hint="eastAsia"/>
          <w:color w:val="000000" w:themeColor="text1"/>
          <w:sz w:val="24"/>
          <w:szCs w:val="28"/>
          <w:highlight w:val="none"/>
          <w14:textFill>
            <w14:solidFill>
              <w14:schemeClr w14:val="tx1"/>
            </w14:solidFill>
          </w14:textFill>
        </w:rPr>
        <w:t xml:space="preserve">           供应商全称（盖章）：</w:t>
      </w:r>
      <w:r/>
    </w:p>
    <w:p>
      <w:pPr>
        <w:ind w:right="1560" w:firstLine="560"/>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              日  期：</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65"/>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15</w:t>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监狱和戒毒企业证明材料</w:t>
      </w:r>
      <w:r/>
    </w:p>
    <w:p>
      <w:pPr>
        <w:pStyle w:val="7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（格式自拟）</w:t>
      </w:r>
      <w:r/>
    </w:p>
    <w:p>
      <w:pPr>
        <w:pStyle w:val="76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46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16</w:t>
      </w:r>
      <w:r/>
    </w:p>
    <w:p>
      <w:pPr>
        <w:pStyle w:val="1471"/>
        <w:shd w:val="clear" w:color="auto" w:fill="ffff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关于符合本国产品标准的声明函</w:t>
      </w:r>
      <w:r/>
    </w:p>
    <w:p>
      <w:pPr>
        <w:ind w:firstLine="420"/>
        <w:spacing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rPr>
      </w:r>
      <w:r/>
    </w:p>
    <w:p>
      <w:pPr>
        <w:ind w:firstLine="420"/>
        <w:spacing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1.</w:t>
      </w:r>
      <w:r>
        <w:rPr>
          <w:rFonts w:hint="eastAsia" w:hAnsi="宋体" w:cs="方正魏碑_GBK"/>
          <w:b w:val="0"/>
          <w:position w:val="0"/>
          <w:sz w:val="21"/>
          <w:szCs w:val="21"/>
          <w:highlight w:val="none"/>
          <w:u w:val="single"/>
          <w:shd w:val="clear" w:color="auto" w:fill="ffffff"/>
        </w:rPr>
        <w:t xml:space="preserve">（产品名称1）</w:t>
      </w:r>
      <w:r>
        <w:rPr>
          <w:rFonts w:hint="eastAsia" w:hAnsi="宋体" w:cs="方正魏碑_GBK"/>
          <w:b w:val="0"/>
          <w:position w:val="0"/>
          <w:sz w:val="21"/>
          <w:szCs w:val="21"/>
          <w:highlight w:val="none"/>
          <w:shd w:val="clear" w:color="auto" w:fill="ffffff"/>
          <w:vertAlign w:val="superscript"/>
        </w:rPr>
        <w:t xml:space="preserve">1</w:t>
      </w:r>
      <w:r>
        <w:rPr>
          <w:rFonts w:hint="eastAsia" w:hAnsi="宋体" w:cs="方正魏碑_GBK"/>
          <w:b w:val="0"/>
          <w:position w:val="0"/>
          <w:sz w:val="21"/>
          <w:szCs w:val="21"/>
          <w:highlight w:val="none"/>
          <w:shd w:val="clear" w:color="auto" w:fill="ffffff"/>
        </w:rPr>
        <w:t xml:space="preserve">，生产厂为</w:t>
      </w:r>
      <w:r>
        <w:rPr>
          <w:rFonts w:hint="eastAsia" w:hAnsi="宋体" w:cs="方正魏碑_GBK"/>
          <w:b w:val="0"/>
          <w:position w:val="0"/>
          <w:sz w:val="21"/>
          <w:szCs w:val="21"/>
          <w:highlight w:val="none"/>
          <w:u w:val="single"/>
          <w:shd w:val="clear" w:color="auto" w:fill="ffffff"/>
        </w:rPr>
        <w:t xml:space="preserve">（厂名）</w:t>
      </w:r>
      <w:r>
        <w:rPr>
          <w:rFonts w:hint="eastAsia" w:hAnsi="宋体" w:cs="方正魏碑_GBK"/>
          <w:b w:val="0"/>
          <w:position w:val="0"/>
          <w:sz w:val="21"/>
          <w:szCs w:val="21"/>
          <w:highlight w:val="none"/>
          <w:shd w:val="clear" w:color="auto" w:fill="ffffff"/>
          <w:vertAlign w:val="superscript"/>
        </w:rPr>
        <w:t xml:space="preserve">2</w:t>
      </w:r>
      <w:r>
        <w:rPr>
          <w:rFonts w:hint="eastAsia" w:hAnsi="宋体" w:cs="方正魏碑_GBK"/>
          <w:b w:val="0"/>
          <w:position w:val="0"/>
          <w:sz w:val="21"/>
          <w:szCs w:val="21"/>
          <w:highlight w:val="none"/>
          <w:shd w:val="clear" w:color="auto" w:fill="ffffff"/>
        </w:rPr>
        <w:t xml:space="preserve">，厂址为</w:t>
      </w:r>
      <w:r>
        <w:rPr>
          <w:rFonts w:hint="eastAsia" w:hAnsi="宋体" w:cs="方正魏碑_GBK"/>
          <w:b w:val="0"/>
          <w:position w:val="0"/>
          <w:sz w:val="21"/>
          <w:szCs w:val="21"/>
          <w:highlight w:val="none"/>
          <w:u w:val="single"/>
          <w:shd w:val="clear" w:color="auto" w:fill="ffffff"/>
        </w:rPr>
        <w:t xml:space="preserve">（生产厂址）</w:t>
      </w:r>
      <w:r>
        <w:rPr>
          <w:rFonts w:hint="eastAsia" w:hAnsi="宋体" w:cs="方正魏碑_GBK"/>
          <w:b w:val="0"/>
          <w:position w:val="0"/>
          <w:sz w:val="21"/>
          <w:szCs w:val="21"/>
          <w:highlight w:val="none"/>
          <w:shd w:val="clear" w:color="auto" w:fill="ffffff"/>
        </w:rPr>
        <w:t xml:space="preserve">。</w:t>
      </w:r>
      <w:r>
        <w:rPr>
          <w:rFonts w:hint="eastAsia" w:hAnsi="宋体" w:cs="方正魏碑_GBK"/>
          <w:b w:val="0"/>
          <w:strike/>
          <w:position w:val="0"/>
          <w:sz w:val="21"/>
          <w:szCs w:val="21"/>
          <w:highlight w:val="none"/>
          <w:u w:val="single"/>
          <w:shd w:val="clear" w:color="auto" w:fill="ffffff"/>
        </w:rPr>
        <w:t xml:space="preserve"> （产品名称1） </w:t>
      </w:r>
      <w:r>
        <w:rPr>
          <w:rFonts w:hint="eastAsia" w:hAnsi="宋体" w:cs="方正魏碑_GBK"/>
          <w:b w:val="0"/>
          <w:position w:val="0"/>
          <w:sz w:val="21"/>
          <w:szCs w:val="21"/>
          <w:highlight w:val="none"/>
          <w:shd w:val="clear" w:color="auto" w:fill="ffffff"/>
        </w:rPr>
        <w:t xml:space="preserve">的中国境内生产的组件成本占比≥</w:t>
      </w:r>
      <w:r>
        <w:rPr>
          <w:rFonts w:hint="eastAsia" w:hAnsi="宋体" w:cs="方正魏碑_GBK"/>
          <w:b w:val="0"/>
          <w:strike/>
          <w:position w:val="0"/>
          <w:sz w:val="21"/>
          <w:szCs w:val="21"/>
          <w:highlight w:val="none"/>
          <w:u w:val="single"/>
          <w:shd w:val="clear" w:color="auto" w:fill="ffffff"/>
        </w:rPr>
        <w:t xml:space="preserve">（规定</w:t>
      </w:r>
      <w:r>
        <w:rPr>
          <w:rFonts w:hAnsi="宋体" w:cs="方正魏碑_GBK"/>
          <w:b w:val="0"/>
          <w:strike/>
          <w:position w:val="0"/>
          <w:sz w:val="21"/>
          <w:szCs w:val="21"/>
          <w:highlight w:val="none"/>
          <w:u w:val="single"/>
          <w:shd w:val="clear" w:color="auto" w:fill="ffffff"/>
        </w:rPr>
        <w:t xml:space="preserve">比例</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vertAlign w:val="superscript"/>
        </w:rPr>
        <w:t xml:space="preserve">3</w:t>
      </w:r>
      <w:r>
        <w:rPr>
          <w:rFonts w:hint="eastAsia" w:hAnsi="宋体" w:cs="方正魏碑_GBK"/>
          <w:b w:val="0"/>
          <w:position w:val="0"/>
          <w:sz w:val="21"/>
          <w:szCs w:val="21"/>
          <w:highlight w:val="none"/>
          <w:shd w:val="clear" w:color="auto" w:fill="ffffff"/>
        </w:rPr>
        <w:t xml:space="preserve">。</w:t>
      </w:r>
      <w:r>
        <w:rPr>
          <w:rFonts w:hint="eastAsia" w:hAnsi="宋体" w:cs="方正魏碑_GBK"/>
          <w:b w:val="0"/>
          <w:strike/>
          <w:position w:val="0"/>
          <w:sz w:val="21"/>
          <w:szCs w:val="21"/>
          <w:highlight w:val="none"/>
          <w:u w:val="single"/>
          <w:shd w:val="clear" w:color="auto" w:fill="ffffff"/>
        </w:rPr>
        <w:t xml:space="preserve">（产品名称1）</w:t>
      </w:r>
      <w:r>
        <w:rPr>
          <w:rFonts w:hint="eastAsia" w:hAnsi="宋体" w:cs="方正魏碑_GBK"/>
          <w:b w:val="0"/>
          <w:position w:val="0"/>
          <w:sz w:val="21"/>
          <w:szCs w:val="21"/>
          <w:highlight w:val="none"/>
          <w:shd w:val="clear" w:color="auto" w:fill="ffffff"/>
        </w:rPr>
        <w:t xml:space="preserve">的</w:t>
      </w:r>
      <w:r>
        <w:rPr>
          <w:rFonts w:hint="eastAsia" w:hAnsi="宋体" w:cs="方正魏碑_GBK"/>
          <w:b w:val="0"/>
          <w:strike/>
          <w:position w:val="0"/>
          <w:sz w:val="21"/>
          <w:szCs w:val="21"/>
          <w:highlight w:val="none"/>
          <w:u w:val="single"/>
          <w:shd w:val="clear" w:color="auto" w:fill="ffffff"/>
        </w:rPr>
        <w:t xml:space="preserve">（关键</w:t>
      </w:r>
      <w:r>
        <w:rPr>
          <w:rFonts w:hAnsi="宋体" w:cs="方正魏碑_GBK"/>
          <w:b w:val="0"/>
          <w:strike/>
          <w:position w:val="0"/>
          <w:sz w:val="21"/>
          <w:szCs w:val="21"/>
          <w:highlight w:val="none"/>
          <w:u w:val="single"/>
          <w:shd w:val="clear" w:color="auto" w:fill="ffffff"/>
        </w:rPr>
        <w:t xml:space="preserve">组件</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vertAlign w:val="superscript"/>
        </w:rPr>
        <w:t xml:space="preserve">4</w:t>
      </w:r>
      <w:r>
        <w:rPr>
          <w:rFonts w:hint="eastAsia" w:hAnsi="宋体" w:cs="方正魏碑_GBK"/>
          <w:b w:val="0"/>
          <w:position w:val="0"/>
          <w:sz w:val="21"/>
          <w:szCs w:val="21"/>
          <w:highlight w:val="none"/>
          <w:shd w:val="clear" w:color="auto" w:fill="ffffff"/>
        </w:rPr>
        <w:t xml:space="preserve">在中国境内生产。</w:t>
      </w:r>
      <w:r>
        <w:rPr>
          <w:rFonts w:hint="eastAsia" w:hAnsi="宋体" w:cs="方正魏碑_GBK"/>
          <w:b w:val="0"/>
          <w:strike/>
          <w:position w:val="0"/>
          <w:sz w:val="21"/>
          <w:szCs w:val="21"/>
          <w:highlight w:val="none"/>
          <w:u w:val="single"/>
          <w:shd w:val="clear" w:color="auto" w:fill="ffffff"/>
        </w:rPr>
        <w:t xml:space="preserve">（产品名称1）</w:t>
      </w:r>
      <w:r>
        <w:rPr>
          <w:rFonts w:hint="eastAsia" w:hAnsi="宋体" w:cs="方正魏碑_GBK"/>
          <w:b w:val="0"/>
          <w:position w:val="0"/>
          <w:sz w:val="21"/>
          <w:szCs w:val="21"/>
          <w:highlight w:val="none"/>
          <w:shd w:val="clear" w:color="auto" w:fill="ffffff"/>
        </w:rPr>
        <w:t xml:space="preserve">的</w:t>
      </w:r>
      <w:r>
        <w:rPr>
          <w:rFonts w:hint="eastAsia" w:hAnsi="宋体" w:cs="方正魏碑_GBK"/>
          <w:b w:val="0"/>
          <w:strike/>
          <w:position w:val="0"/>
          <w:sz w:val="21"/>
          <w:szCs w:val="21"/>
          <w:highlight w:val="none"/>
          <w:u w:val="single"/>
          <w:shd w:val="clear" w:color="auto" w:fill="ffffff"/>
        </w:rPr>
        <w:t xml:space="preserve">（关键工序）</w:t>
      </w:r>
      <w:r>
        <w:rPr>
          <w:rFonts w:hint="eastAsia" w:hAnsi="宋体" w:cs="方正魏碑_GBK"/>
          <w:b w:val="0"/>
          <w:position w:val="0"/>
          <w:sz w:val="21"/>
          <w:szCs w:val="21"/>
          <w:highlight w:val="none"/>
          <w:shd w:val="clear" w:color="auto" w:fill="ffffff"/>
          <w:vertAlign w:val="superscript"/>
        </w:rPr>
        <w:t xml:space="preserve">5</w:t>
      </w:r>
      <w:r>
        <w:rPr>
          <w:rFonts w:hint="eastAsia" w:hAnsi="宋体" w:cs="方正魏碑_GBK"/>
          <w:b w:val="0"/>
          <w:position w:val="0"/>
          <w:sz w:val="21"/>
          <w:szCs w:val="21"/>
          <w:highlight w:val="none"/>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2.</w:t>
      </w:r>
      <w:r>
        <w:rPr>
          <w:rFonts w:hint="eastAsia" w:hAnsi="宋体" w:cs="方正魏碑_GBK"/>
          <w:b w:val="0"/>
          <w:position w:val="0"/>
          <w:sz w:val="21"/>
          <w:szCs w:val="21"/>
          <w:highlight w:val="none"/>
          <w:u w:val="single"/>
          <w:shd w:val="clear" w:color="auto" w:fill="ffffff"/>
        </w:rPr>
        <w:t xml:space="preserve">（产品名称2）</w:t>
      </w:r>
      <w:r>
        <w:rPr>
          <w:rFonts w:hint="eastAsia" w:hAnsi="宋体" w:cs="方正魏碑_GBK"/>
          <w:b w:val="0"/>
          <w:position w:val="0"/>
          <w:sz w:val="21"/>
          <w:szCs w:val="21"/>
          <w:highlight w:val="none"/>
          <w:shd w:val="clear" w:color="auto" w:fill="ffffff"/>
        </w:rPr>
        <w:t xml:space="preserve">，生产厂为</w:t>
      </w:r>
      <w:r>
        <w:rPr>
          <w:rFonts w:hint="eastAsia" w:hAnsi="宋体" w:cs="方正魏碑_GBK"/>
          <w:b w:val="0"/>
          <w:position w:val="0"/>
          <w:sz w:val="21"/>
          <w:szCs w:val="21"/>
          <w:highlight w:val="none"/>
          <w:u w:val="single"/>
          <w:shd w:val="clear" w:color="auto" w:fill="ffffff"/>
        </w:rPr>
        <w:t xml:space="preserve">（厂名）</w:t>
      </w:r>
      <w:r>
        <w:rPr>
          <w:rFonts w:hint="eastAsia" w:hAnsi="宋体" w:cs="方正魏碑_GBK"/>
          <w:b w:val="0"/>
          <w:position w:val="0"/>
          <w:sz w:val="21"/>
          <w:szCs w:val="21"/>
          <w:highlight w:val="none"/>
          <w:shd w:val="clear" w:color="auto" w:fill="ffffff"/>
        </w:rPr>
        <w:t xml:space="preserve">，厂址为</w:t>
      </w:r>
      <w:r>
        <w:rPr>
          <w:rFonts w:hint="eastAsia" w:hAnsi="宋体" w:cs="方正魏碑_GBK"/>
          <w:b w:val="0"/>
          <w:position w:val="0"/>
          <w:sz w:val="21"/>
          <w:szCs w:val="21"/>
          <w:highlight w:val="none"/>
          <w:u w:val="single"/>
          <w:shd w:val="clear" w:color="auto" w:fill="ffffff"/>
        </w:rPr>
        <w:t xml:space="preserve">（生产厂址）</w:t>
      </w:r>
      <w:r>
        <w:rPr>
          <w:rFonts w:hint="eastAsia" w:hAnsi="宋体" w:cs="方正魏碑_GBK"/>
          <w:b w:val="0"/>
          <w:position w:val="0"/>
          <w:sz w:val="21"/>
          <w:szCs w:val="21"/>
          <w:highlight w:val="none"/>
          <w:shd w:val="clear" w:color="auto" w:fill="ffffff"/>
        </w:rPr>
        <w:t xml:space="preserve">。</w:t>
      </w:r>
      <w:r>
        <w:rPr>
          <w:rFonts w:hint="eastAsia" w:hAnsi="宋体" w:cs="方正魏碑_GBK"/>
          <w:b w:val="0"/>
          <w:strike/>
          <w:position w:val="0"/>
          <w:sz w:val="21"/>
          <w:szCs w:val="21"/>
          <w:highlight w:val="none"/>
          <w:u w:val="single"/>
          <w:shd w:val="clear" w:color="auto" w:fill="ffffff"/>
        </w:rPr>
        <w:t xml:space="preserve">（产品名称2）</w:t>
      </w:r>
      <w:r>
        <w:rPr>
          <w:rFonts w:hint="eastAsia" w:hAnsi="宋体" w:cs="方正魏碑_GBK"/>
          <w:b w:val="0"/>
          <w:position w:val="0"/>
          <w:sz w:val="21"/>
          <w:szCs w:val="21"/>
          <w:highlight w:val="none"/>
          <w:shd w:val="clear" w:color="auto" w:fill="ffffff"/>
        </w:rPr>
        <w:t xml:space="preserve">的中国境内生产的组件成本占比≥</w:t>
      </w:r>
      <w:r>
        <w:rPr>
          <w:rFonts w:hint="eastAsia" w:hAnsi="宋体" w:cs="方正魏碑_GBK"/>
          <w:b w:val="0"/>
          <w:strike/>
          <w:position w:val="0"/>
          <w:sz w:val="21"/>
          <w:szCs w:val="21"/>
          <w:highlight w:val="none"/>
          <w:u w:val="single"/>
          <w:shd w:val="clear" w:color="auto" w:fill="ffffff"/>
        </w:rPr>
        <w:t xml:space="preserve">（规定</w:t>
      </w:r>
      <w:r>
        <w:rPr>
          <w:rFonts w:hAnsi="宋体" w:cs="方正魏碑_GBK"/>
          <w:b w:val="0"/>
          <w:strike/>
          <w:position w:val="0"/>
          <w:sz w:val="21"/>
          <w:szCs w:val="21"/>
          <w:highlight w:val="none"/>
          <w:u w:val="single"/>
          <w:shd w:val="clear" w:color="auto" w:fill="ffffff"/>
        </w:rPr>
        <w:t xml:space="preserve">比例</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rPr>
        <w:t xml:space="preserve">。</w:t>
      </w:r>
      <w:r>
        <w:rPr>
          <w:rFonts w:hint="eastAsia" w:hAnsi="宋体" w:cs="方正魏碑_GBK"/>
          <w:b w:val="0"/>
          <w:strike/>
          <w:position w:val="0"/>
          <w:sz w:val="21"/>
          <w:szCs w:val="21"/>
          <w:highlight w:val="none"/>
          <w:u w:val="single"/>
          <w:shd w:val="clear" w:color="auto" w:fill="ffffff"/>
        </w:rPr>
        <w:t xml:space="preserve">（产品名称2）</w:t>
      </w:r>
      <w:r>
        <w:rPr>
          <w:rFonts w:hint="eastAsia" w:hAnsi="宋体" w:cs="方正魏碑_GBK"/>
          <w:b w:val="0"/>
          <w:position w:val="0"/>
          <w:sz w:val="21"/>
          <w:szCs w:val="21"/>
          <w:highlight w:val="none"/>
          <w:shd w:val="clear" w:color="auto" w:fill="ffffff"/>
        </w:rPr>
        <w:t xml:space="preserve">的</w:t>
      </w:r>
      <w:r>
        <w:rPr>
          <w:rFonts w:hint="eastAsia" w:hAnsi="宋体" w:cs="方正魏碑_GBK"/>
          <w:b w:val="0"/>
          <w:strike/>
          <w:position w:val="0"/>
          <w:sz w:val="21"/>
          <w:szCs w:val="21"/>
          <w:highlight w:val="none"/>
          <w:u w:val="single"/>
          <w:shd w:val="clear" w:color="auto" w:fill="ffffff"/>
        </w:rPr>
        <w:t xml:space="preserve">（关键</w:t>
      </w:r>
      <w:r>
        <w:rPr>
          <w:rFonts w:hAnsi="宋体" w:cs="方正魏碑_GBK"/>
          <w:b w:val="0"/>
          <w:strike/>
          <w:position w:val="0"/>
          <w:sz w:val="21"/>
          <w:szCs w:val="21"/>
          <w:highlight w:val="none"/>
          <w:u w:val="single"/>
          <w:shd w:val="clear" w:color="auto" w:fill="ffffff"/>
        </w:rPr>
        <w:t xml:space="preserve">组件</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rPr>
        <w:t xml:space="preserve">在中国境内生产。</w:t>
      </w:r>
      <w:r>
        <w:rPr>
          <w:rFonts w:hint="eastAsia" w:hAnsi="宋体" w:cs="方正魏碑_GBK"/>
          <w:b w:val="0"/>
          <w:strike/>
          <w:position w:val="0"/>
          <w:sz w:val="21"/>
          <w:szCs w:val="21"/>
          <w:highlight w:val="none"/>
          <w:u w:val="single"/>
          <w:shd w:val="clear" w:color="auto" w:fill="ffffff"/>
        </w:rPr>
        <w:t xml:space="preserve">（产品名称</w:t>
      </w:r>
      <w:r>
        <w:rPr>
          <w:rFonts w:hint="eastAsia" w:hAnsi="宋体" w:cs="方正魏碑_GBK"/>
          <w:b w:val="0"/>
          <w:strike/>
          <w:position w:val="0"/>
          <w:sz w:val="21"/>
          <w:szCs w:val="21"/>
          <w:highlight w:val="none"/>
          <w:u w:val="single"/>
          <w:shd w:val="clear" w:color="auto" w:fill="ffffff"/>
          <w:lang w:val="en-US" w:eastAsia="zh-CN"/>
        </w:rPr>
        <w:t xml:space="preserve">2</w:t>
      </w:r>
      <w:r>
        <w:rPr>
          <w:rFonts w:hint="eastAsia" w:hAnsi="宋体" w:cs="方正魏碑_GBK"/>
          <w:b w:val="0"/>
          <w:strike/>
          <w:position w:val="0"/>
          <w:sz w:val="21"/>
          <w:szCs w:val="21"/>
          <w:highlight w:val="none"/>
          <w:u w:val="single"/>
          <w:shd w:val="clear" w:color="auto" w:fill="ffffff"/>
        </w:rPr>
        <w:t xml:space="preserve">）</w:t>
      </w:r>
      <w:r>
        <w:rPr>
          <w:rFonts w:hint="eastAsia" w:hAnsi="宋体" w:cs="方正魏碑_GBK"/>
          <w:b w:val="0"/>
          <w:position w:val="0"/>
          <w:sz w:val="21"/>
          <w:szCs w:val="21"/>
          <w:highlight w:val="none"/>
          <w:shd w:val="clear" w:color="auto" w:fill="ffffff"/>
        </w:rPr>
        <w:t xml:space="preserve">的</w:t>
      </w:r>
      <w:r>
        <w:rPr>
          <w:rFonts w:hint="eastAsia" w:hAnsi="宋体" w:cs="方正魏碑_GBK"/>
          <w:b w:val="0"/>
          <w:strike/>
          <w:position w:val="0"/>
          <w:sz w:val="21"/>
          <w:szCs w:val="21"/>
          <w:highlight w:val="none"/>
          <w:u w:val="single"/>
          <w:shd w:val="clear" w:color="auto" w:fill="ffffff"/>
        </w:rPr>
        <w:t xml:space="preserve">（关键工序）</w:t>
      </w:r>
      <w:r>
        <w:rPr>
          <w:rFonts w:hint="eastAsia" w:hAnsi="宋体" w:cs="方正魏碑_GBK"/>
          <w:b w:val="0"/>
          <w:position w:val="0"/>
          <w:sz w:val="21"/>
          <w:szCs w:val="21"/>
          <w:highlight w:val="none"/>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w:t>
      </w:r>
      <w:r/>
    </w:p>
    <w:p>
      <w:pPr>
        <w:ind w:firstLine="420"/>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rPr>
      </w:r>
      <w:r/>
    </w:p>
    <w:p>
      <w:pPr>
        <w:ind w:right="1560" w:firstLine="444"/>
        <w:jc w:val="center"/>
        <w:spacing w:line="360" w:lineRule="auto"/>
        <w:tabs>
          <w:tab w:val="left" w:pos="4860" w:leader="none"/>
        </w:tabs>
        <w:rPr>
          <w:rFonts w:hint="eastAsia" w:hAnsi="宋体"/>
          <w:b w:val="0"/>
          <w:position w:val="0"/>
          <w:sz w:val="21"/>
          <w:szCs w:val="21"/>
          <w:highlight w:val="none"/>
        </w:rPr>
      </w:pPr>
      <w:r>
        <w:rPr>
          <w:rFonts w:hint="eastAsia" w:hAnsi="宋体"/>
          <w:b w:val="0"/>
          <w:spacing w:val="6"/>
          <w:position w:val="0"/>
          <w:sz w:val="21"/>
          <w:szCs w:val="21"/>
          <w:highlight w:val="none"/>
        </w:rPr>
        <w:t xml:space="preserve">           </w:t>
      </w:r>
      <w:r>
        <w:rPr>
          <w:rFonts w:hint="eastAsia" w:hAnsi="宋体"/>
          <w:b w:val="0"/>
          <w:position w:val="0"/>
          <w:sz w:val="21"/>
          <w:szCs w:val="21"/>
          <w:highlight w:val="none"/>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highlight w:val="none"/>
        </w:rPr>
      </w:pPr>
      <w:r>
        <w:rPr>
          <w:rFonts w:hint="eastAsia" w:hAnsi="宋体"/>
          <w:b w:val="0"/>
          <w:position w:val="0"/>
          <w:sz w:val="21"/>
          <w:szCs w:val="21"/>
          <w:highlight w:val="none"/>
        </w:rPr>
        <w:t xml:space="preserve">                              日  期：</w:t>
      </w:r>
      <w:r/>
    </w:p>
    <w:p>
      <w:pPr>
        <w:jc w:val="cente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   </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__________________</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highlight w:val="none"/>
        </w:rPr>
      </w:pPr>
      <w:r>
        <w:rPr>
          <w:rFonts w:hint="eastAsia" w:hAnsi="宋体" w:cs="方正魏碑_GBK"/>
          <w:b w:val="0"/>
          <w:position w:val="0"/>
          <w:sz w:val="21"/>
          <w:szCs w:val="21"/>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highlight w:val="none"/>
          <w:shd w:val="clear" w:color="auto" w:fill="ffffff"/>
        </w:rPr>
      </w:pPr>
      <w:r>
        <w:rPr>
          <w:rFonts w:hint="eastAsia" w:hAnsi="宋体" w:cs="方正魏碑_GBK"/>
          <w:b w:val="0"/>
          <w:position w:val="0"/>
          <w:sz w:val="21"/>
          <w:szCs w:val="21"/>
          <w:highlight w:val="none"/>
          <w:shd w:val="clear" w:color="auto" w:fill="ffffff"/>
        </w:rPr>
        <w:t xml:space="preserve">5.该产品的关键工序要求实施前，“关键工序”栏可不填，下同。</w:t>
      </w:r>
      <w:r/>
    </w:p>
    <w:p>
      <w:pPr>
        <w:spacing w:before="30" w:after="30" w:line="360" w:lineRule="auto"/>
        <w:rPr>
          <w:rFonts w:hint="eastAsia" w:hAnsi="宋体" w:eastAsia="宋体" w:cs="方正魏碑_GBK"/>
          <w:b w:val="0"/>
          <w:position w:val="0"/>
          <w:sz w:val="21"/>
          <w:szCs w:val="21"/>
          <w:highlight w:val="none"/>
          <w:shd w:val="clear" w:color="auto" w:fill="ffffff"/>
        </w:rPr>
      </w:pPr>
      <w:r>
        <w:rPr>
          <w:rFonts w:hint="eastAsia" w:hAnsi="宋体" w:cs="方正魏碑_GBK"/>
          <w:b w:val="0"/>
          <w:position w:val="0"/>
          <w:sz w:val="21"/>
          <w:szCs w:val="21"/>
          <w:highlight w:val="none"/>
          <w:shd w:val="clear" w:color="auto" w:fill="ffffff"/>
        </w:rPr>
        <w:t xml:space="preserve">6.用斜线</w:t>
      </w:r>
      <w:r>
        <w:rPr>
          <w:rFonts w:hint="eastAsia" w:hAnsi="宋体" w:cs="方正魏碑_GBK"/>
          <w:b w:val="0"/>
          <w:position w:val="0"/>
          <w:sz w:val="21"/>
          <w:szCs w:val="21"/>
          <w:highlight w:val="none"/>
          <w:shd w:val="clear" w:color="auto" w:fill="ffffff"/>
          <w:lang w:eastAsia="zh-CN"/>
        </w:rPr>
        <w:t xml:space="preserve">（</w:t>
      </w:r>
      <w:r>
        <w:rPr>
          <w:rFonts w:hint="eastAsia" w:hAnsi="宋体" w:cs="方正魏碑_GBK"/>
          <w:b w:val="0"/>
          <w:position w:val="0"/>
          <w:sz w:val="21"/>
          <w:szCs w:val="21"/>
          <w:highlight w:val="none"/>
          <w:shd w:val="clear" w:color="auto" w:fill="ffffff"/>
          <w:lang w:val="en-US" w:eastAsia="zh-CN"/>
        </w:rPr>
        <w:t xml:space="preserve">因系统文件格式原因，本格式模板中为“删除线”</w:t>
      </w:r>
      <w:r>
        <w:rPr>
          <w:rFonts w:hint="eastAsia" w:hAnsi="宋体" w:cs="方正魏碑_GBK"/>
          <w:b w:val="0"/>
          <w:position w:val="0"/>
          <w:sz w:val="21"/>
          <w:szCs w:val="21"/>
          <w:highlight w:val="none"/>
          <w:shd w:val="clear" w:color="auto" w:fill="ffffff"/>
          <w:lang w:eastAsia="zh-CN"/>
        </w:rPr>
        <w:t xml:space="preserve">）</w:t>
      </w:r>
      <w:r>
        <w:rPr>
          <w:rFonts w:hint="eastAsia" w:hAnsi="宋体" w:cs="方正魏碑_GBK"/>
          <w:b w:val="0"/>
          <w:position w:val="0"/>
          <w:sz w:val="21"/>
          <w:szCs w:val="21"/>
          <w:highlight w:val="none"/>
          <w:shd w:val="clear" w:color="auto" w:fill="ffffff"/>
        </w:rPr>
        <w:t xml:space="preserve">划除的地方无需填写。</w:t>
      </w:r>
      <w:r/>
    </w:p>
    <w:p>
      <w:pPr>
        <w:rPr>
          <w:highlight w:val="none"/>
        </w:rPr>
      </w:pPr>
      <w:r>
        <w:rPr>
          <w:highlight w:val="none"/>
        </w:rPr>
        <w:br w:type="page" w:clear="all"/>
      </w:r>
      <w:r/>
    </w:p>
    <w:p>
      <w:pPr>
        <w:pStyle w:val="1465"/>
        <w:rPr>
          <w:rFonts w:hint="eastAsia"/>
          <w:highlight w:val="none"/>
        </w:rPr>
      </w:pPr>
      <w:r>
        <w:rPr>
          <w:highlight w:val="none"/>
        </w:rPr>
        <w:t xml:space="preserve">附件1</w:t>
      </w:r>
      <w:r>
        <w:rPr>
          <w:rFonts w:hint="eastAsia"/>
          <w:highlight w:val="none"/>
          <w:lang w:val="en-US" w:eastAsia="zh-CN"/>
        </w:rPr>
        <w:t xml:space="preserve">7</w:t>
      </w:r>
      <w:r/>
    </w:p>
    <w:p>
      <w:pPr>
        <w:rPr>
          <w:rFonts w:hint="default"/>
          <w:highlight w:val="none"/>
        </w:rPr>
      </w:pPr>
      <w:r>
        <w:rPr>
          <w:rFonts w:hint="default"/>
          <w:highlight w:val="none"/>
        </w:rPr>
      </w:r>
      <w:r/>
    </w:p>
    <w:p>
      <w:pPr>
        <w:pStyle w:val="147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办理政采贷和履约保函(保险)告知函</w:t>
      </w:r>
      <w:r/>
    </w:p>
    <w:p>
      <w:pPr>
        <w:pStyle w:val="766"/>
        <w:ind w:firstLine="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766"/>
        <w:ind w:firstLine="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各政府采购供应商:</w:t>
      </w:r>
      <w:r/>
    </w:p>
    <w:p>
      <w:pPr>
        <w:pStyle w:val="766"/>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欢迎贵公司参与南通市政府采购活动!</w:t>
      </w:r>
      <w:r/>
    </w:p>
    <w:p>
      <w:pPr>
        <w:pStyle w:val="766"/>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政府采购线上合同信用融资和履约保函(保险)是支持企业发展，针对参与政府采购活动的企业融资难、现金流不足等问题推出的一项服务举措。</w:t>
      </w:r>
      <w:r/>
    </w:p>
    <w:p>
      <w:pPr>
        <w:pStyle w:val="766"/>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t xml:space="preserve"> </w:t>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雅酷黑简">
    <w:panose1 w:val="020B0503020202020204"/>
  </w:font>
  <w:font w:name="Cambria">
    <w:panose1 w:val="02040503050406030204"/>
  </w:font>
  <w:font w:name="方正黑体_GBK">
    <w:panose1 w:val="020B0503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Symbol">
    <w:panose1 w:val="05050102010706020507"/>
  </w:font>
  <w:font w:name="新宋体">
    <w:panose1 w:val="02010609030101010101"/>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Bell MT">
    <w:panose1 w:val="02020503060305020303"/>
  </w:font>
  <w:font w:name="微软雅黑">
    <w:panose1 w:val="020B0503020204020204"/>
  </w:font>
  <w:font w:name="Helvetica Neue">
    <w:panose1 w:val="020B0503020202020204"/>
  </w:font>
  <w:font w:name="Calibri">
    <w:panose1 w:val="020F050202020403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1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080"/>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1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9">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5"/>
  </w:num>
  <w:num w:numId="3">
    <w:abstractNumId w:val="38"/>
  </w:num>
  <w:num w:numId="4">
    <w:abstractNumId w:val="13"/>
  </w:num>
  <w:num w:numId="5">
    <w:abstractNumId w:val="9"/>
  </w:num>
  <w:num w:numId="6">
    <w:abstractNumId w:val="23"/>
  </w:num>
  <w:num w:numId="7">
    <w:abstractNumId w:val="28"/>
  </w:num>
  <w:num w:numId="8">
    <w:abstractNumId w:val="44"/>
  </w:num>
  <w:num w:numId="9">
    <w:abstractNumId w:val="22"/>
  </w:num>
  <w:num w:numId="10">
    <w:abstractNumId w:val="5"/>
  </w:num>
  <w:num w:numId="11">
    <w:abstractNumId w:val="29"/>
  </w:num>
  <w:num w:numId="12">
    <w:abstractNumId w:val="39"/>
  </w:num>
  <w:num w:numId="13">
    <w:abstractNumId w:val="14"/>
  </w:num>
  <w:num w:numId="14">
    <w:abstractNumId w:val="35"/>
  </w:num>
  <w:num w:numId="15">
    <w:abstractNumId w:val="19"/>
  </w:num>
  <w:num w:numId="16">
    <w:abstractNumId w:val="27"/>
  </w:num>
  <w:num w:numId="17">
    <w:abstractNumId w:val="17"/>
  </w:num>
  <w:num w:numId="18">
    <w:abstractNumId w:val="16"/>
  </w:num>
  <w:num w:numId="19">
    <w:abstractNumId w:val="7"/>
  </w:num>
  <w:num w:numId="20">
    <w:abstractNumId w:val="33"/>
  </w:num>
  <w:num w:numId="21">
    <w:abstractNumId w:val="42"/>
  </w:num>
  <w:num w:numId="22">
    <w:abstractNumId w:val="24"/>
  </w:num>
  <w:num w:numId="23">
    <w:abstractNumId w:val="32"/>
  </w:num>
  <w:num w:numId="24">
    <w:abstractNumId w:val="8"/>
  </w:num>
  <w:num w:numId="25">
    <w:abstractNumId w:val="48"/>
  </w:num>
  <w:num w:numId="26">
    <w:abstractNumId w:val="46"/>
  </w:num>
  <w:num w:numId="27">
    <w:abstractNumId w:val="12"/>
  </w:num>
  <w:num w:numId="28">
    <w:abstractNumId w:val="43"/>
  </w:num>
  <w:num w:numId="29">
    <w:abstractNumId w:val="6"/>
  </w:num>
  <w:num w:numId="30">
    <w:abstractNumId w:val="31"/>
  </w:num>
  <w:num w:numId="31">
    <w:abstractNumId w:val="2"/>
  </w:num>
  <w:num w:numId="32">
    <w:abstractNumId w:val="37"/>
  </w:num>
  <w:num w:numId="33">
    <w:abstractNumId w:val="49"/>
  </w:num>
  <w:num w:numId="34">
    <w:abstractNumId w:val="0"/>
  </w:num>
  <w:num w:numId="35">
    <w:abstractNumId w:val="26"/>
  </w:num>
  <w:num w:numId="36">
    <w:abstractNumId w:val="36"/>
  </w:num>
  <w:num w:numId="37">
    <w:abstractNumId w:val="20"/>
  </w:num>
  <w:num w:numId="38">
    <w:abstractNumId w:val="18"/>
  </w:num>
  <w:num w:numId="39">
    <w:abstractNumId w:val="30"/>
  </w:num>
  <w:num w:numId="40">
    <w:abstractNumId w:val="47"/>
  </w:num>
  <w:num w:numId="41">
    <w:abstractNumId w:val="11"/>
  </w:num>
  <w:num w:numId="42">
    <w:abstractNumId w:val="4"/>
  </w:num>
  <w:num w:numId="43">
    <w:abstractNumId w:val="10"/>
  </w:num>
  <w:num w:numId="44">
    <w:abstractNumId w:val="40"/>
  </w:num>
  <w:num w:numId="45">
    <w:abstractNumId w:val="1"/>
  </w:num>
  <w:num w:numId="46">
    <w:abstractNumId w:val="25"/>
  </w:num>
  <w:num w:numId="47">
    <w:abstractNumId w:val="3"/>
  </w:num>
  <w:num w:numId="48">
    <w:abstractNumId w:val="41"/>
  </w:num>
  <w:num w:numId="49">
    <w:abstractNumId w:val="45"/>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uiPriority w:val="0"/>
    <w:qFormat/>
    <w:pPr>
      <w:jc w:val="both"/>
      <w:widowControl w:val="off"/>
    </w:pPr>
    <w:rPr>
      <w:rFonts w:hint="default" w:ascii="Times New Roman" w:hAnsi="Times New Roman" w:eastAsia="宋体" w:cs="Times New Roman"/>
      <w:sz w:val="21"/>
      <w:szCs w:val="24"/>
    </w:rPr>
  </w:style>
  <w:style w:type="paragraph" w:styleId="744">
    <w:name w:val="Heading 1"/>
    <w:next w:val="743"/>
    <w:link w:val="820"/>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45">
    <w:name w:val="Heading 2"/>
    <w:basedOn w:val="743"/>
    <w:next w:val="743"/>
    <w:link w:val="1010"/>
    <w:uiPriority w:val="0"/>
    <w:qFormat/>
    <w:pPr>
      <w:spacing w:after="120" w:line="360" w:lineRule="auto"/>
      <w:outlineLvl w:val="1"/>
    </w:pPr>
    <w:rPr>
      <w:b/>
      <w:sz w:val="24"/>
    </w:rPr>
  </w:style>
  <w:style w:type="paragraph" w:styleId="746">
    <w:name w:val="Heading 3"/>
    <w:next w:val="743"/>
    <w:link w:val="1011"/>
    <w:uiPriority w:val="99"/>
    <w:qFormat/>
    <w:pPr>
      <w:spacing w:after="120" w:line="360" w:lineRule="auto"/>
      <w:widowControl w:val="off"/>
      <w:outlineLvl w:val="2"/>
    </w:pPr>
    <w:rPr>
      <w:rFonts w:hint="default" w:ascii="Times New Roman" w:hAnsi="Times New Roman" w:eastAsia="宋体" w:cs="Times New Roman"/>
      <w:b/>
      <w:sz w:val="24"/>
    </w:rPr>
  </w:style>
  <w:style w:type="paragraph" w:styleId="747">
    <w:name w:val="Heading 4"/>
    <w:next w:val="743"/>
    <w:link w:val="1012"/>
    <w:uiPriority w:val="0"/>
    <w:qFormat/>
    <w:pPr>
      <w:spacing w:after="120" w:line="360" w:lineRule="auto"/>
      <w:widowControl w:val="off"/>
      <w:outlineLvl w:val="3"/>
    </w:pPr>
    <w:rPr>
      <w:rFonts w:hint="default" w:ascii="Times New Roman" w:hAnsi="Times New Roman" w:eastAsia="宋体" w:cs="Times New Roman"/>
      <w:sz w:val="24"/>
    </w:rPr>
  </w:style>
  <w:style w:type="paragraph" w:styleId="748">
    <w:name w:val="Heading 5"/>
    <w:next w:val="743"/>
    <w:link w:val="1013"/>
    <w:uiPriority w:val="0"/>
    <w:qFormat/>
    <w:pPr>
      <w:spacing w:after="120" w:line="440" w:lineRule="exact"/>
      <w:widowControl w:val="off"/>
      <w:outlineLvl w:val="4"/>
    </w:pPr>
    <w:rPr>
      <w:rFonts w:hint="default" w:ascii="Times New Roman" w:hAnsi="Times New Roman" w:eastAsia="宋体" w:cs="Times New Roman"/>
      <w:sz w:val="24"/>
    </w:rPr>
  </w:style>
  <w:style w:type="paragraph" w:styleId="749">
    <w:name w:val="Heading 6"/>
    <w:next w:val="755"/>
    <w:link w:val="1014"/>
    <w:uiPriority w:val="0"/>
    <w:qFormat/>
    <w:pPr>
      <w:spacing w:after="120" w:line="360" w:lineRule="auto"/>
      <w:widowControl w:val="off"/>
      <w:outlineLvl w:val="5"/>
    </w:pPr>
    <w:rPr>
      <w:rFonts w:hint="default" w:ascii="Times New Roman" w:hAnsi="Times New Roman" w:eastAsia="宋体" w:cs="Times New Roman"/>
      <w:sz w:val="24"/>
    </w:rPr>
  </w:style>
  <w:style w:type="paragraph" w:styleId="750">
    <w:name w:val="Heading 7"/>
    <w:next w:val="743"/>
    <w:link w:val="1016"/>
    <w:uiPriority w:val="0"/>
    <w:qFormat/>
    <w:pPr>
      <w:spacing w:after="120" w:line="360" w:lineRule="auto"/>
      <w:widowControl w:val="off"/>
      <w:outlineLvl w:val="6"/>
    </w:pPr>
    <w:rPr>
      <w:rFonts w:hint="default" w:ascii="Times New Roman" w:hAnsi="Times New Roman" w:eastAsia="宋体" w:cs="Times New Roman"/>
      <w:sz w:val="24"/>
    </w:rPr>
  </w:style>
  <w:style w:type="paragraph" w:styleId="751">
    <w:name w:val="Heading 8"/>
    <w:next w:val="743"/>
    <w:link w:val="1017"/>
    <w:uiPriority w:val="0"/>
    <w:qFormat/>
    <w:pPr>
      <w:spacing w:after="120" w:line="360" w:lineRule="auto"/>
      <w:widowControl w:val="off"/>
      <w:outlineLvl w:val="7"/>
    </w:pPr>
    <w:rPr>
      <w:rFonts w:hint="default" w:ascii="Times New Roman" w:hAnsi="Times New Roman" w:eastAsia="宋体" w:cs="Times New Roman"/>
      <w:sz w:val="24"/>
    </w:rPr>
  </w:style>
  <w:style w:type="paragraph" w:styleId="752">
    <w:name w:val="Heading 9"/>
    <w:next w:val="743"/>
    <w:link w:val="1018"/>
    <w:uiPriority w:val="0"/>
    <w:qFormat/>
    <w:pPr>
      <w:spacing w:after="120" w:line="360" w:lineRule="auto"/>
      <w:widowControl w:val="off"/>
      <w:outlineLvl w:val="8"/>
    </w:pPr>
    <w:rPr>
      <w:rFonts w:hint="default" w:ascii="Times New Roman" w:hAnsi="Times New Roman" w:eastAsia="宋体" w:cs="Times New Roman"/>
      <w:sz w:val="24"/>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Normal Indent"/>
    <w:basedOn w:val="743"/>
    <w:link w:val="1015"/>
    <w:uiPriority w:val="0"/>
    <w:qFormat/>
    <w:pPr>
      <w:ind w:firstLine="420"/>
    </w:pPr>
    <w:rPr>
      <w:sz w:val="20"/>
      <w:szCs w:val="20"/>
    </w:rPr>
  </w:style>
  <w:style w:type="paragraph" w:styleId="756">
    <w:name w:val="List 3"/>
    <w:basedOn w:val="743"/>
    <w:uiPriority w:val="0"/>
    <w:qFormat/>
    <w:pPr>
      <w:ind w:left="100" w:hanging="200"/>
    </w:pPr>
    <w:rPr>
      <w:szCs w:val="21"/>
    </w:rPr>
  </w:style>
  <w:style w:type="paragraph" w:styleId="757">
    <w:name w:val="toc 7"/>
    <w:basedOn w:val="743"/>
    <w:next w:val="743"/>
    <w:uiPriority w:val="39"/>
    <w:unhideWhenUsed/>
    <w:qFormat/>
    <w:pPr>
      <w:ind w:left="1701"/>
      <w:spacing w:after="57"/>
    </w:pPr>
  </w:style>
  <w:style w:type="paragraph" w:styleId="758">
    <w:name w:val="index 8"/>
    <w:basedOn w:val="743"/>
    <w:next w:val="743"/>
    <w:uiPriority w:val="0"/>
    <w:qFormat/>
    <w:pPr>
      <w:ind w:left="2940"/>
    </w:pPr>
    <w:rPr>
      <w:rFonts w:ascii="Calibri" w:hAnsi="Calibri" w:eastAsia="楷体_GB2312"/>
      <w:sz w:val="26"/>
      <w:szCs w:val="20"/>
    </w:rPr>
  </w:style>
  <w:style w:type="paragraph" w:styleId="759">
    <w:name w:val="Caption"/>
    <w:basedOn w:val="743"/>
    <w:next w:val="743"/>
    <w:uiPriority w:val="35"/>
    <w:semiHidden/>
    <w:unhideWhenUsed/>
    <w:qFormat/>
    <w:pPr>
      <w:spacing w:line="276" w:lineRule="auto"/>
    </w:pPr>
    <w:rPr>
      <w:b/>
      <w:bCs/>
      <w:color w:val="4f81bd"/>
      <w:sz w:val="18"/>
      <w:szCs w:val="18"/>
    </w:rPr>
  </w:style>
  <w:style w:type="paragraph" w:styleId="760">
    <w:name w:val="index 5"/>
    <w:basedOn w:val="743"/>
    <w:next w:val="743"/>
    <w:uiPriority w:val="0"/>
    <w:qFormat/>
    <w:pPr>
      <w:ind w:left="1680"/>
    </w:pPr>
    <w:rPr>
      <w:rFonts w:ascii="Calibri" w:hAnsi="Calibri" w:eastAsia="楷体_GB2312"/>
      <w:sz w:val="26"/>
      <w:szCs w:val="20"/>
    </w:rPr>
  </w:style>
  <w:style w:type="paragraph" w:styleId="761">
    <w:name w:val="Document Map"/>
    <w:basedOn w:val="743"/>
    <w:link w:val="1019"/>
    <w:uiPriority w:val="0"/>
    <w:qFormat/>
    <w:pPr>
      <w:shd w:val="clear" w:color="auto" w:fill="000080"/>
    </w:pPr>
    <w:rPr>
      <w:sz w:val="20"/>
    </w:rPr>
  </w:style>
  <w:style w:type="paragraph" w:styleId="762">
    <w:name w:val="toa heading"/>
    <w:basedOn w:val="743"/>
    <w:next w:val="743"/>
    <w:uiPriority w:val="0"/>
    <w:qFormat/>
    <w:rPr>
      <w:rFonts w:ascii="Arial" w:hAnsi="Arial"/>
      <w:sz w:val="24"/>
      <w:szCs w:val="21"/>
    </w:rPr>
  </w:style>
  <w:style w:type="paragraph" w:styleId="763">
    <w:name w:val="annotation text"/>
    <w:basedOn w:val="743"/>
    <w:link w:val="1096"/>
    <w:uiPriority w:val="0"/>
    <w:unhideWhenUsed/>
    <w:qFormat/>
    <w:pPr>
      <w:jc w:val="left"/>
    </w:pPr>
    <w:rPr>
      <w:rFonts w:ascii="Calibri" w:hAnsi="Calibri"/>
      <w:szCs w:val="22"/>
    </w:rPr>
  </w:style>
  <w:style w:type="paragraph" w:styleId="764">
    <w:name w:val="index 6"/>
    <w:basedOn w:val="743"/>
    <w:next w:val="743"/>
    <w:uiPriority w:val="0"/>
    <w:qFormat/>
    <w:pPr>
      <w:ind w:left="2100"/>
    </w:pPr>
    <w:rPr>
      <w:rFonts w:ascii="Calibri" w:hAnsi="Calibri" w:eastAsia="楷体_GB2312"/>
      <w:sz w:val="26"/>
      <w:szCs w:val="20"/>
    </w:rPr>
  </w:style>
  <w:style w:type="paragraph" w:styleId="765">
    <w:name w:val="Body Text 3"/>
    <w:basedOn w:val="743"/>
    <w:link w:val="1020"/>
    <w:uiPriority w:val="0"/>
    <w:qFormat/>
    <w:pPr>
      <w:spacing w:after="120"/>
    </w:pPr>
    <w:rPr>
      <w:sz w:val="16"/>
      <w:szCs w:val="16"/>
    </w:rPr>
  </w:style>
  <w:style w:type="paragraph" w:styleId="766">
    <w:name w:val="Body Text"/>
    <w:basedOn w:val="743"/>
    <w:link w:val="1021"/>
    <w:uiPriority w:val="0"/>
    <w:qFormat/>
    <w:pPr>
      <w:ind w:firstLine="420"/>
      <w:spacing w:after="120" w:line="360" w:lineRule="auto"/>
    </w:pPr>
    <w:rPr>
      <w:sz w:val="24"/>
    </w:rPr>
  </w:style>
  <w:style w:type="paragraph" w:styleId="767">
    <w:name w:val="Body Text Indent"/>
    <w:basedOn w:val="743"/>
    <w:next w:val="768"/>
    <w:link w:val="1022"/>
    <w:uiPriority w:val="0"/>
    <w:qFormat/>
    <w:pPr>
      <w:ind w:left="765"/>
    </w:pPr>
    <w:rPr>
      <w:rFonts w:ascii="仿宋_GB2312" w:eastAsia="仿宋_GB2312"/>
      <w:sz w:val="28"/>
      <w:szCs w:val="20"/>
    </w:rPr>
  </w:style>
  <w:style w:type="paragraph" w:styleId="768">
    <w:name w:val="envelope return"/>
    <w:basedOn w:val="743"/>
    <w:uiPriority w:val="99"/>
    <w:unhideWhenUsed/>
    <w:qFormat/>
    <w:rPr>
      <w:rFonts w:ascii="Arial" w:hAnsi="Arial"/>
      <w:szCs w:val="22"/>
    </w:rPr>
  </w:style>
  <w:style w:type="paragraph" w:styleId="769">
    <w:name w:val="List 2"/>
    <w:basedOn w:val="743"/>
    <w:uiPriority w:val="0"/>
    <w:qFormat/>
    <w:pPr>
      <w:ind w:left="100" w:hanging="200"/>
    </w:pPr>
    <w:rPr>
      <w:szCs w:val="21"/>
    </w:rPr>
  </w:style>
  <w:style w:type="paragraph" w:styleId="770">
    <w:name w:val="Block Text"/>
    <w:basedOn w:val="743"/>
    <w:next w:val="766"/>
    <w:uiPriority w:val="0"/>
    <w:qFormat/>
    <w:pPr>
      <w:ind w:firstLine="640"/>
      <w:jc w:val="left"/>
      <w:spacing w:line="360" w:lineRule="auto"/>
    </w:pPr>
    <w:rPr>
      <w:sz w:val="24"/>
      <w:szCs w:val="22"/>
    </w:rPr>
  </w:style>
  <w:style w:type="paragraph" w:styleId="771">
    <w:name w:val="index 4"/>
    <w:basedOn w:val="743"/>
    <w:next w:val="743"/>
    <w:uiPriority w:val="0"/>
    <w:qFormat/>
    <w:pPr>
      <w:ind w:left="1260"/>
    </w:pPr>
    <w:rPr>
      <w:rFonts w:ascii="Calibri" w:hAnsi="Calibri"/>
      <w:szCs w:val="20"/>
    </w:rPr>
  </w:style>
  <w:style w:type="paragraph" w:styleId="772">
    <w:name w:val="toc 5"/>
    <w:basedOn w:val="743"/>
    <w:next w:val="743"/>
    <w:uiPriority w:val="39"/>
    <w:unhideWhenUsed/>
    <w:qFormat/>
    <w:pPr>
      <w:ind w:left="1134"/>
      <w:spacing w:after="57"/>
    </w:pPr>
  </w:style>
  <w:style w:type="paragraph" w:styleId="773">
    <w:name w:val="toc 3"/>
    <w:basedOn w:val="743"/>
    <w:next w:val="743"/>
    <w:uiPriority w:val="39"/>
    <w:unhideWhenUsed/>
    <w:qFormat/>
    <w:pPr>
      <w:ind w:left="567"/>
      <w:spacing w:after="57"/>
    </w:pPr>
  </w:style>
  <w:style w:type="paragraph" w:styleId="774">
    <w:name w:val="Plain Text"/>
    <w:basedOn w:val="743"/>
    <w:link w:val="1023"/>
    <w:uiPriority w:val="0"/>
    <w:qFormat/>
    <w:rPr>
      <w:rFonts w:ascii="宋体" w:hAnsi="Courier New"/>
      <w:sz w:val="20"/>
      <w:szCs w:val="21"/>
    </w:rPr>
  </w:style>
  <w:style w:type="paragraph" w:styleId="775">
    <w:name w:val="toc 8"/>
    <w:basedOn w:val="743"/>
    <w:next w:val="743"/>
    <w:uiPriority w:val="39"/>
    <w:unhideWhenUsed/>
    <w:qFormat/>
    <w:pPr>
      <w:ind w:left="1984"/>
      <w:spacing w:after="57"/>
    </w:pPr>
  </w:style>
  <w:style w:type="paragraph" w:styleId="776">
    <w:name w:val="index 3"/>
    <w:basedOn w:val="743"/>
    <w:next w:val="743"/>
    <w:uiPriority w:val="0"/>
    <w:qFormat/>
    <w:pPr>
      <w:ind w:left="840"/>
    </w:pPr>
    <w:rPr>
      <w:rFonts w:ascii="Calibri" w:hAnsi="Calibri" w:eastAsia="楷体_GB2312"/>
      <w:sz w:val="26"/>
      <w:szCs w:val="20"/>
    </w:rPr>
  </w:style>
  <w:style w:type="paragraph" w:styleId="777">
    <w:name w:val="Date"/>
    <w:basedOn w:val="743"/>
    <w:next w:val="743"/>
    <w:link w:val="1024"/>
    <w:uiPriority w:val="0"/>
    <w:qFormat/>
    <w:rPr>
      <w:sz w:val="24"/>
      <w:szCs w:val="20"/>
    </w:rPr>
  </w:style>
  <w:style w:type="paragraph" w:styleId="778">
    <w:name w:val="Body Text Indent 2"/>
    <w:basedOn w:val="743"/>
    <w:link w:val="1025"/>
    <w:uiPriority w:val="0"/>
    <w:qFormat/>
    <w:pPr>
      <w:ind w:firstLine="560"/>
      <w:spacing w:line="500" w:lineRule="exact"/>
    </w:pPr>
    <w:rPr>
      <w:rFonts w:eastAsia="仿宋_GB2312"/>
      <w:sz w:val="28"/>
      <w:szCs w:val="20"/>
    </w:rPr>
  </w:style>
  <w:style w:type="paragraph" w:styleId="779">
    <w:name w:val="endnote text"/>
    <w:basedOn w:val="743"/>
    <w:link w:val="1008"/>
    <w:uiPriority w:val="99"/>
    <w:semiHidden/>
    <w:unhideWhenUsed/>
    <w:qFormat/>
    <w:rPr>
      <w:sz w:val="20"/>
    </w:rPr>
  </w:style>
  <w:style w:type="paragraph" w:styleId="780">
    <w:name w:val="Balloon Text"/>
    <w:basedOn w:val="743"/>
    <w:link w:val="1026"/>
    <w:uiPriority w:val="0"/>
    <w:qFormat/>
    <w:rPr>
      <w:sz w:val="18"/>
      <w:szCs w:val="18"/>
    </w:rPr>
  </w:style>
  <w:style w:type="paragraph" w:styleId="781">
    <w:name w:val="Footer"/>
    <w:basedOn w:val="743"/>
    <w:link w:val="1027"/>
    <w:uiPriority w:val="99"/>
    <w:qFormat/>
    <w:pPr>
      <w:jc w:val="left"/>
      <w:tabs>
        <w:tab w:val="center" w:pos="4153" w:leader="none"/>
        <w:tab w:val="right" w:pos="8306" w:leader="none"/>
      </w:tabs>
    </w:pPr>
    <w:rPr>
      <w:sz w:val="18"/>
      <w:szCs w:val="20"/>
    </w:rPr>
  </w:style>
  <w:style w:type="paragraph" w:styleId="782">
    <w:name w:val="Header"/>
    <w:basedOn w:val="743"/>
    <w:link w:val="1028"/>
    <w:uiPriority w:val="99"/>
    <w:qFormat/>
    <w:pPr>
      <w:jc w:val="center"/>
      <w:tabs>
        <w:tab w:val="center" w:pos="4153" w:leader="none"/>
        <w:tab w:val="right" w:pos="8306" w:leader="none"/>
      </w:tabs>
      <w:pBdr>
        <w:bottom w:val="single" w:color="000000" w:sz="6" w:space="1"/>
      </w:pBdr>
    </w:pPr>
    <w:rPr>
      <w:sz w:val="18"/>
      <w:szCs w:val="18"/>
    </w:rPr>
  </w:style>
  <w:style w:type="paragraph" w:styleId="783">
    <w:name w:val="Signature"/>
    <w:basedOn w:val="743"/>
    <w:link w:val="1097"/>
    <w:uiPriority w:val="0"/>
    <w:qFormat/>
    <w:pPr>
      <w:jc w:val="center"/>
      <w:spacing w:after="600" w:line="312" w:lineRule="atLeast"/>
    </w:pPr>
    <w:rPr>
      <w:rFonts w:ascii="Calibri" w:hAnsi="Calibri" w:eastAsia="仿宋_GB2312"/>
      <w:sz w:val="24"/>
      <w:szCs w:val="20"/>
    </w:rPr>
  </w:style>
  <w:style w:type="paragraph" w:styleId="784">
    <w:name w:val="toc 1"/>
    <w:basedOn w:val="743"/>
    <w:next w:val="743"/>
    <w:uiPriority w:val="39"/>
    <w:unhideWhenUsed/>
    <w:qFormat/>
    <w:pPr>
      <w:spacing w:after="57"/>
    </w:pPr>
  </w:style>
  <w:style w:type="paragraph" w:styleId="785">
    <w:name w:val="toc 4"/>
    <w:basedOn w:val="743"/>
    <w:next w:val="743"/>
    <w:uiPriority w:val="39"/>
    <w:unhideWhenUsed/>
    <w:qFormat/>
    <w:pPr>
      <w:ind w:left="850"/>
      <w:spacing w:after="57"/>
    </w:pPr>
  </w:style>
  <w:style w:type="paragraph" w:styleId="786">
    <w:name w:val="index heading"/>
    <w:basedOn w:val="743"/>
    <w:next w:val="787"/>
    <w:uiPriority w:val="0"/>
    <w:qFormat/>
    <w:rPr>
      <w:rFonts w:ascii="Calibri" w:hAnsi="Calibri" w:eastAsia="楷体_GB2312"/>
      <w:sz w:val="26"/>
      <w:szCs w:val="20"/>
    </w:rPr>
  </w:style>
  <w:style w:type="paragraph" w:styleId="787">
    <w:name w:val="index 1"/>
    <w:basedOn w:val="743"/>
    <w:next w:val="743"/>
    <w:uiPriority w:val="0"/>
    <w:unhideWhenUsed/>
    <w:qFormat/>
  </w:style>
  <w:style w:type="paragraph" w:styleId="788">
    <w:name w:val="Subtitle"/>
    <w:next w:val="743"/>
    <w:link w:val="891"/>
    <w:uiPriority w:val="11"/>
    <w:qFormat/>
    <w:pPr>
      <w:jc w:val="center"/>
      <w:spacing w:after="240"/>
      <w:widowControl w:val="off"/>
    </w:pPr>
    <w:rPr>
      <w:rFonts w:hint="default" w:ascii="Times New Roman" w:hAnsi="Times New Roman" w:eastAsia="宋体" w:cs="Times New Roman"/>
      <w:sz w:val="21"/>
    </w:rPr>
  </w:style>
  <w:style w:type="paragraph" w:styleId="789">
    <w:name w:val="List"/>
    <w:basedOn w:val="743"/>
    <w:uiPriority w:val="0"/>
    <w:qFormat/>
    <w:pPr>
      <w:ind w:left="200" w:hanging="200"/>
    </w:pPr>
  </w:style>
  <w:style w:type="paragraph" w:styleId="790">
    <w:name w:val="footnote text"/>
    <w:basedOn w:val="743"/>
    <w:link w:val="1007"/>
    <w:uiPriority w:val="0"/>
    <w:unhideWhenUsed/>
    <w:qFormat/>
    <w:pPr>
      <w:spacing w:after="40"/>
    </w:pPr>
    <w:rPr>
      <w:sz w:val="18"/>
    </w:rPr>
  </w:style>
  <w:style w:type="paragraph" w:styleId="791">
    <w:name w:val="toc 6"/>
    <w:basedOn w:val="743"/>
    <w:next w:val="743"/>
    <w:uiPriority w:val="39"/>
    <w:unhideWhenUsed/>
    <w:qFormat/>
    <w:pPr>
      <w:ind w:left="1417"/>
      <w:spacing w:after="57"/>
    </w:pPr>
  </w:style>
  <w:style w:type="paragraph" w:styleId="792">
    <w:name w:val="Body Text Indent 3"/>
    <w:basedOn w:val="743"/>
    <w:link w:val="1030"/>
    <w:uiPriority w:val="0"/>
    <w:qFormat/>
    <w:pPr>
      <w:ind w:left="420"/>
      <w:spacing w:after="120"/>
    </w:pPr>
    <w:rPr>
      <w:sz w:val="16"/>
      <w:szCs w:val="16"/>
    </w:rPr>
  </w:style>
  <w:style w:type="paragraph" w:styleId="793">
    <w:name w:val="index 7"/>
    <w:basedOn w:val="743"/>
    <w:next w:val="743"/>
    <w:uiPriority w:val="0"/>
    <w:qFormat/>
    <w:pPr>
      <w:ind w:left="2520"/>
    </w:pPr>
    <w:rPr>
      <w:rFonts w:ascii="Calibri" w:hAnsi="Calibri" w:eastAsia="楷体_GB2312"/>
      <w:sz w:val="26"/>
      <w:szCs w:val="20"/>
    </w:rPr>
  </w:style>
  <w:style w:type="paragraph" w:styleId="794">
    <w:name w:val="index 9"/>
    <w:basedOn w:val="743"/>
    <w:next w:val="743"/>
    <w:uiPriority w:val="0"/>
    <w:qFormat/>
    <w:pPr>
      <w:ind w:left="3360"/>
    </w:pPr>
    <w:rPr>
      <w:rFonts w:ascii="Calibri" w:hAnsi="Calibri" w:eastAsia="楷体_GB2312"/>
      <w:sz w:val="26"/>
      <w:szCs w:val="20"/>
    </w:rPr>
  </w:style>
  <w:style w:type="paragraph" w:styleId="795">
    <w:name w:val="table of figures"/>
    <w:basedOn w:val="743"/>
    <w:next w:val="743"/>
    <w:uiPriority w:val="0"/>
    <w:unhideWhenUsed/>
    <w:qFormat/>
  </w:style>
  <w:style w:type="paragraph" w:styleId="796">
    <w:name w:val="toc 2"/>
    <w:basedOn w:val="743"/>
    <w:next w:val="743"/>
    <w:uiPriority w:val="39"/>
    <w:unhideWhenUsed/>
    <w:qFormat/>
    <w:pPr>
      <w:ind w:left="283"/>
      <w:spacing w:after="57"/>
    </w:pPr>
  </w:style>
  <w:style w:type="paragraph" w:styleId="797">
    <w:name w:val="toc 9"/>
    <w:basedOn w:val="743"/>
    <w:next w:val="743"/>
    <w:uiPriority w:val="39"/>
    <w:unhideWhenUsed/>
    <w:qFormat/>
    <w:pPr>
      <w:ind w:left="2268"/>
      <w:spacing w:after="57"/>
    </w:pPr>
  </w:style>
  <w:style w:type="paragraph" w:styleId="798">
    <w:name w:val="Body Text 2"/>
    <w:basedOn w:val="743"/>
    <w:link w:val="1031"/>
    <w:uiPriority w:val="0"/>
    <w:qFormat/>
    <w:rPr>
      <w:b/>
      <w:bCs/>
      <w:sz w:val="18"/>
    </w:rPr>
  </w:style>
  <w:style w:type="paragraph" w:styleId="799">
    <w:name w:val="HTML Preformatted"/>
    <w:basedOn w:val="743"/>
    <w:link w:val="10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800">
    <w:name w:val="Normal (Web)"/>
    <w:basedOn w:val="743"/>
    <w:link w:val="1291"/>
    <w:uiPriority w:val="0"/>
    <w:qFormat/>
    <w:pPr>
      <w:jc w:val="left"/>
      <w:spacing w:before="100" w:beforeAutospacing="1" w:after="100" w:afterAutospacing="1"/>
      <w:widowControl/>
    </w:pPr>
    <w:rPr>
      <w:rFonts w:ascii="宋体" w:hAnsi="宋体"/>
      <w:color w:val="000000"/>
      <w:sz w:val="24"/>
    </w:rPr>
  </w:style>
  <w:style w:type="paragraph" w:styleId="801">
    <w:name w:val="index 2"/>
    <w:basedOn w:val="743"/>
    <w:next w:val="743"/>
    <w:uiPriority w:val="0"/>
    <w:qFormat/>
    <w:pPr>
      <w:ind w:left="420"/>
    </w:pPr>
    <w:rPr>
      <w:rFonts w:ascii="Calibri" w:hAnsi="Calibri" w:eastAsia="楷体_GB2312"/>
      <w:sz w:val="26"/>
      <w:szCs w:val="20"/>
    </w:rPr>
  </w:style>
  <w:style w:type="paragraph" w:styleId="802">
    <w:name w:val="Title"/>
    <w:next w:val="743"/>
    <w:link w:val="890"/>
    <w:uiPriority w:val="10"/>
    <w:qFormat/>
    <w:pPr>
      <w:jc w:val="center"/>
      <w:spacing w:before="240" w:after="240"/>
    </w:pPr>
    <w:rPr>
      <w:rFonts w:hint="default" w:ascii="Times New Roman" w:hAnsi="Times New Roman" w:eastAsia="宋体" w:cs="Times New Roman"/>
      <w:b/>
      <w:sz w:val="32"/>
    </w:rPr>
  </w:style>
  <w:style w:type="paragraph" w:styleId="803">
    <w:name w:val="annotation subject"/>
    <w:basedOn w:val="763"/>
    <w:next w:val="763"/>
    <w:link w:val="1098"/>
    <w:uiPriority w:val="99"/>
    <w:qFormat/>
    <w:rPr>
      <w:rFonts w:ascii="Times New Roman" w:hAnsi="Times New Roman"/>
      <w:b/>
      <w:bCs/>
      <w:sz w:val="20"/>
      <w:szCs w:val="21"/>
    </w:rPr>
  </w:style>
  <w:style w:type="paragraph" w:styleId="804">
    <w:name w:val="Body Text First Indent"/>
    <w:basedOn w:val="766"/>
    <w:uiPriority w:val="0"/>
    <w:qFormat/>
    <w:rPr>
      <w:sz w:val="21"/>
      <w:lang w:val="zh-CN"/>
    </w:rPr>
  </w:style>
  <w:style w:type="paragraph" w:styleId="805">
    <w:name w:val="Body Text First Indent 2"/>
    <w:basedOn w:val="767"/>
    <w:next w:val="743"/>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table" w:styleId="806">
    <w:name w:val="Table Grid"/>
    <w:basedOn w:val="75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Strong"/>
    <w:uiPriority w:val="22"/>
    <w:qFormat/>
    <w:rPr>
      <w:b/>
      <w:bCs/>
    </w:rPr>
  </w:style>
  <w:style w:type="character" w:styleId="808">
    <w:name w:val="endnote reference"/>
    <w:uiPriority w:val="99"/>
    <w:semiHidden/>
    <w:unhideWhenUsed/>
    <w:qFormat/>
    <w:rPr>
      <w:vertAlign w:val="superscript"/>
    </w:rPr>
  </w:style>
  <w:style w:type="character" w:styleId="809">
    <w:name w:val="page number"/>
    <w:uiPriority w:val="0"/>
    <w:qFormat/>
  </w:style>
  <w:style w:type="character" w:styleId="810">
    <w:name w:val="Emphasis"/>
    <w:uiPriority w:val="0"/>
    <w:qFormat/>
    <w:rPr>
      <w:i/>
      <w:iCs/>
    </w:rPr>
  </w:style>
  <w:style w:type="character" w:styleId="811">
    <w:name w:val="line number"/>
    <w:uiPriority w:val="0"/>
    <w:qFormat/>
  </w:style>
  <w:style w:type="character" w:styleId="812">
    <w:name w:val="HTML Definition"/>
    <w:uiPriority w:val="0"/>
    <w:qFormat/>
    <w:rPr>
      <w:i/>
    </w:rPr>
  </w:style>
  <w:style w:type="character" w:styleId="813">
    <w:name w:val="Hyperlink"/>
    <w:uiPriority w:val="99"/>
    <w:qFormat/>
    <w:rPr>
      <w:color w:val="0000ff"/>
      <w:u w:val="single"/>
    </w:rPr>
  </w:style>
  <w:style w:type="character" w:styleId="814">
    <w:name w:val="HTML Code"/>
    <w:uiPriority w:val="0"/>
    <w:qFormat/>
    <w:rPr>
      <w:rFonts w:ascii="Bell MT" w:hAnsi="Bell MT" w:eastAsia="Bell MT" w:cs="Bell MT"/>
      <w:color w:val="c7254e"/>
      <w:sz w:val="21"/>
      <w:szCs w:val="21"/>
      <w:shd w:val="clear" w:color="auto" w:fill="f9f2f4"/>
    </w:rPr>
  </w:style>
  <w:style w:type="character" w:styleId="815">
    <w:name w:val="annotation reference"/>
    <w:uiPriority w:val="0"/>
    <w:qFormat/>
    <w:rPr>
      <w:sz w:val="21"/>
      <w:szCs w:val="21"/>
    </w:rPr>
  </w:style>
  <w:style w:type="character" w:styleId="816">
    <w:name w:val="HTML Cite"/>
    <w:uiPriority w:val="0"/>
    <w:qFormat/>
  </w:style>
  <w:style w:type="character" w:styleId="817">
    <w:name w:val="footnote reference"/>
    <w:uiPriority w:val="0"/>
    <w:unhideWhenUsed/>
    <w:qFormat/>
    <w:rPr>
      <w:vertAlign w:val="superscript"/>
    </w:rPr>
  </w:style>
  <w:style w:type="character" w:styleId="818">
    <w:name w:val="HTML Keyboard"/>
    <w:uiPriority w:val="0"/>
    <w:qFormat/>
    <w:rPr>
      <w:rFonts w:ascii="Bell MT" w:hAnsi="Bell MT" w:eastAsia="Bell MT" w:cs="Bell MT"/>
      <w:sz w:val="21"/>
      <w:szCs w:val="21"/>
    </w:rPr>
  </w:style>
  <w:style w:type="character" w:styleId="819">
    <w:name w:val="HTML Sample"/>
    <w:uiPriority w:val="0"/>
    <w:qFormat/>
    <w:rPr>
      <w:rFonts w:ascii="Bell MT" w:hAnsi="Bell MT" w:eastAsia="Bell MT" w:cs="Bell MT"/>
      <w:sz w:val="21"/>
      <w:szCs w:val="21"/>
    </w:rPr>
  </w:style>
  <w:style w:type="character" w:styleId="820" w:customStyle="1">
    <w:name w:val="标题 1 字符"/>
    <w:link w:val="744"/>
    <w:uiPriority w:val="0"/>
    <w:qFormat/>
    <w:rPr>
      <w:rFonts w:ascii="Times New Roman" w:hAnsi="Times New Roman" w:eastAsia="宋体" w:cs="Times New Roman"/>
      <w:b/>
      <w:bCs/>
      <w:sz w:val="44"/>
      <w:szCs w:val="44"/>
    </w:rPr>
  </w:style>
  <w:style w:type="table" w:styleId="821" w:customStyle="1">
    <w:name w:val="Plain Table 1"/>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3"/>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5 Dark"/>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6 Colorful"/>
    <w:basedOn w:val="7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7 Colorful"/>
    <w:basedOn w:val="7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1 Light"/>
    <w:basedOn w:val="7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2"/>
    <w:basedOn w:val="7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3"/>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5 Dark"/>
    <w:basedOn w:val="7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7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7 Colorful"/>
    <w:basedOn w:val="7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0" w:customStyle="1">
    <w:name w:val="TOC Heading"/>
    <w:uiPriority w:val="39"/>
    <w:unhideWhenUsed/>
    <w:qFormat/>
    <w:rPr>
      <w:rFonts w:hint="default" w:ascii="Calibri" w:hAnsi="Calibri" w:eastAsia="宋体" w:cs="Calibri"/>
    </w:rPr>
  </w:style>
  <w:style w:type="table" w:styleId="841" w:customStyle="1">
    <w:name w:val="无格式表格 11"/>
    <w:basedOn w:val="75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5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5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5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网格表 31"/>
    <w:basedOn w:val="75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5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网格表 5 深色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网格表 6 彩色1"/>
    <w:basedOn w:val="75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网格表 7 彩色1"/>
    <w:basedOn w:val="75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清单表 1 浅色1"/>
    <w:basedOn w:val="75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清单表 21"/>
    <w:basedOn w:val="75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清单表 31"/>
    <w:basedOn w:val="75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41"/>
    <w:basedOn w:val="7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5 深色1"/>
    <w:basedOn w:val="75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5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清单表 7 彩色1"/>
    <w:basedOn w:val="754"/>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标题1"/>
    <w:uiPriority w:val="39"/>
    <w:unhideWhenUsed/>
    <w:qFormat/>
    <w:rPr>
      <w:rFonts w:hint="default" w:ascii="Times New Roman" w:hAnsi="Times New Roman" w:eastAsia="宋体" w:cs="Times New Roman"/>
    </w:rPr>
  </w:style>
  <w:style w:type="paragraph" w:styleId="861" w:customStyle="1">
    <w:name w:val="TOC 标题113"/>
    <w:uiPriority w:val="39"/>
    <w:unhideWhenUsed/>
    <w:qFormat/>
    <w:rPr>
      <w:rFonts w:hint="default" w:ascii="Times New Roman" w:hAnsi="Times New Roman" w:eastAsia="宋体" w:cs="Times New Roman"/>
    </w:rPr>
  </w:style>
  <w:style w:type="paragraph" w:styleId="862" w:customStyle="1">
    <w:name w:val="TOC 标题112"/>
    <w:uiPriority w:val="39"/>
    <w:unhideWhenUsed/>
    <w:qFormat/>
    <w:rPr>
      <w:rFonts w:hint="default" w:ascii="Times New Roman" w:hAnsi="Times New Roman" w:eastAsia="宋体" w:cs="Times New Roman"/>
    </w:rPr>
  </w:style>
  <w:style w:type="paragraph" w:styleId="863" w:customStyle="1">
    <w:name w:val="TOC 标题111"/>
    <w:uiPriority w:val="39"/>
    <w:unhideWhenUsed/>
    <w:qFormat/>
    <w:rPr>
      <w:rFonts w:hint="default" w:ascii="Times New Roman" w:hAnsi="Times New Roman" w:eastAsia="宋体" w:cs="Times New Roman"/>
    </w:rPr>
  </w:style>
  <w:style w:type="character" w:styleId="864" w:customStyle="1">
    <w:name w:val="Title Char"/>
    <w:basedOn w:val="753"/>
    <w:uiPriority w:val="10"/>
    <w:qFormat/>
    <w:rPr>
      <w:sz w:val="48"/>
      <w:szCs w:val="48"/>
    </w:rPr>
  </w:style>
  <w:style w:type="character" w:styleId="865" w:customStyle="1">
    <w:name w:val="Subtitle Char"/>
    <w:basedOn w:val="753"/>
    <w:uiPriority w:val="11"/>
    <w:qFormat/>
    <w:rPr>
      <w:sz w:val="24"/>
      <w:szCs w:val="24"/>
    </w:rPr>
  </w:style>
  <w:style w:type="character" w:styleId="866" w:customStyle="1">
    <w:name w:val="Quote Char"/>
    <w:uiPriority w:val="29"/>
    <w:qFormat/>
    <w:rPr>
      <w:i/>
    </w:rPr>
  </w:style>
  <w:style w:type="character" w:styleId="867" w:customStyle="1">
    <w:name w:val="Intense Quote Char"/>
    <w:uiPriority w:val="30"/>
    <w:qFormat/>
    <w:rPr>
      <w:i/>
    </w:rPr>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character" w:styleId="870" w:customStyle="1">
    <w:name w:val="Heading 1 Char"/>
    <w:link w:val="871"/>
    <w:uiPriority w:val="9"/>
    <w:qFormat/>
    <w:rPr>
      <w:rFonts w:ascii="Arial" w:hAnsi="Arial" w:eastAsia="Arial" w:cs="Arial"/>
      <w:sz w:val="40"/>
      <w:szCs w:val="40"/>
    </w:rPr>
  </w:style>
  <w:style w:type="paragraph" w:styleId="871" w:customStyle="1">
    <w:name w:val="标题 11"/>
    <w:basedOn w:val="743"/>
    <w:next w:val="743"/>
    <w:link w:val="870"/>
    <w:uiPriority w:val="0"/>
    <w:qFormat/>
    <w:pPr>
      <w:keepLines/>
      <w:keepNext/>
      <w:spacing w:before="480" w:after="200"/>
      <w:outlineLvl w:val="0"/>
    </w:pPr>
    <w:rPr>
      <w:rFonts w:ascii="Arial" w:hAnsi="Arial" w:eastAsia="Arial" w:cs="Arial"/>
      <w:sz w:val="40"/>
      <w:szCs w:val="40"/>
    </w:rPr>
  </w:style>
  <w:style w:type="character" w:styleId="872" w:customStyle="1">
    <w:name w:val="Heading 2 Char"/>
    <w:link w:val="873"/>
    <w:uiPriority w:val="9"/>
    <w:qFormat/>
    <w:rPr>
      <w:rFonts w:ascii="Arial" w:hAnsi="Arial" w:eastAsia="Arial" w:cs="Arial"/>
      <w:sz w:val="34"/>
    </w:rPr>
  </w:style>
  <w:style w:type="paragraph" w:styleId="873" w:customStyle="1">
    <w:name w:val="标题 21"/>
    <w:basedOn w:val="743"/>
    <w:next w:val="743"/>
    <w:link w:val="872"/>
    <w:uiPriority w:val="0"/>
    <w:unhideWhenUsed/>
    <w:qFormat/>
    <w:pPr>
      <w:keepLines/>
      <w:keepNext/>
      <w:spacing w:before="360" w:after="200"/>
      <w:outlineLvl w:val="1"/>
    </w:pPr>
    <w:rPr>
      <w:rFonts w:ascii="Arial" w:hAnsi="Arial" w:eastAsia="Arial" w:cs="Arial"/>
      <w:sz w:val="34"/>
      <w:szCs w:val="20"/>
    </w:rPr>
  </w:style>
  <w:style w:type="character" w:styleId="874" w:customStyle="1">
    <w:name w:val="Heading 3 Char"/>
    <w:link w:val="875"/>
    <w:uiPriority w:val="9"/>
    <w:qFormat/>
    <w:rPr>
      <w:rFonts w:ascii="Arial" w:hAnsi="Arial" w:eastAsia="Arial" w:cs="Arial"/>
      <w:sz w:val="30"/>
      <w:szCs w:val="30"/>
    </w:rPr>
  </w:style>
  <w:style w:type="paragraph" w:styleId="875" w:customStyle="1">
    <w:name w:val="标题 31"/>
    <w:basedOn w:val="743"/>
    <w:next w:val="743"/>
    <w:link w:val="874"/>
    <w:uiPriority w:val="99"/>
    <w:unhideWhenUsed/>
    <w:qFormat/>
    <w:pPr>
      <w:keepLines/>
      <w:keepNext/>
      <w:spacing w:before="320" w:after="200"/>
      <w:outlineLvl w:val="2"/>
    </w:pPr>
    <w:rPr>
      <w:rFonts w:ascii="Arial" w:hAnsi="Arial" w:eastAsia="Arial" w:cs="Arial"/>
      <w:sz w:val="30"/>
      <w:szCs w:val="30"/>
    </w:rPr>
  </w:style>
  <w:style w:type="character" w:styleId="876" w:customStyle="1">
    <w:name w:val="Heading 4 Char"/>
    <w:link w:val="877"/>
    <w:uiPriority w:val="9"/>
    <w:qFormat/>
    <w:rPr>
      <w:rFonts w:ascii="Arial" w:hAnsi="Arial" w:eastAsia="Arial" w:cs="Arial"/>
      <w:b/>
      <w:bCs/>
      <w:sz w:val="26"/>
      <w:szCs w:val="26"/>
    </w:rPr>
  </w:style>
  <w:style w:type="paragraph" w:styleId="877" w:customStyle="1">
    <w:name w:val="标题 41"/>
    <w:basedOn w:val="743"/>
    <w:next w:val="743"/>
    <w:link w:val="876"/>
    <w:uiPriority w:val="0"/>
    <w:unhideWhenUsed/>
    <w:qFormat/>
    <w:pPr>
      <w:keepLines/>
      <w:keepNext/>
      <w:spacing w:before="320" w:after="200"/>
      <w:outlineLvl w:val="3"/>
    </w:pPr>
    <w:rPr>
      <w:rFonts w:ascii="Arial" w:hAnsi="Arial" w:eastAsia="Arial" w:cs="Arial"/>
      <w:b/>
      <w:bCs/>
      <w:sz w:val="26"/>
      <w:szCs w:val="26"/>
    </w:rPr>
  </w:style>
  <w:style w:type="character" w:styleId="878" w:customStyle="1">
    <w:name w:val="Heading 5 Char"/>
    <w:link w:val="879"/>
    <w:uiPriority w:val="9"/>
    <w:qFormat/>
    <w:rPr>
      <w:rFonts w:ascii="Arial" w:hAnsi="Arial" w:eastAsia="Arial" w:cs="Arial"/>
      <w:b/>
      <w:bCs/>
      <w:sz w:val="24"/>
      <w:szCs w:val="24"/>
    </w:rPr>
  </w:style>
  <w:style w:type="paragraph" w:styleId="879" w:customStyle="1">
    <w:name w:val="标题 51"/>
    <w:basedOn w:val="743"/>
    <w:next w:val="743"/>
    <w:link w:val="878"/>
    <w:uiPriority w:val="0"/>
    <w:unhideWhenUsed/>
    <w:qFormat/>
    <w:pPr>
      <w:keepLines/>
      <w:keepNext/>
      <w:spacing w:before="320" w:after="200"/>
      <w:outlineLvl w:val="4"/>
    </w:pPr>
    <w:rPr>
      <w:rFonts w:ascii="Arial" w:hAnsi="Arial" w:eastAsia="Arial" w:cs="Arial"/>
      <w:b/>
      <w:bCs/>
      <w:sz w:val="24"/>
    </w:rPr>
  </w:style>
  <w:style w:type="character" w:styleId="880" w:customStyle="1">
    <w:name w:val="Heading 6 Char"/>
    <w:link w:val="881"/>
    <w:uiPriority w:val="9"/>
    <w:qFormat/>
    <w:rPr>
      <w:rFonts w:ascii="Arial" w:hAnsi="Arial" w:eastAsia="Arial" w:cs="Arial"/>
      <w:b/>
      <w:bCs/>
      <w:sz w:val="22"/>
      <w:szCs w:val="22"/>
    </w:rPr>
  </w:style>
  <w:style w:type="paragraph" w:styleId="881" w:customStyle="1">
    <w:name w:val="标题 61"/>
    <w:basedOn w:val="743"/>
    <w:next w:val="743"/>
    <w:link w:val="880"/>
    <w:uiPriority w:val="0"/>
    <w:unhideWhenUsed/>
    <w:qFormat/>
    <w:pPr>
      <w:keepLines/>
      <w:keepNext/>
      <w:spacing w:before="320" w:after="200"/>
      <w:outlineLvl w:val="5"/>
    </w:pPr>
    <w:rPr>
      <w:rFonts w:ascii="Arial" w:hAnsi="Arial" w:eastAsia="Arial" w:cs="Arial"/>
      <w:b/>
      <w:bCs/>
      <w:sz w:val="22"/>
      <w:szCs w:val="22"/>
    </w:rPr>
  </w:style>
  <w:style w:type="character" w:styleId="882" w:customStyle="1">
    <w:name w:val="Heading 7 Char"/>
    <w:link w:val="883"/>
    <w:uiPriority w:val="9"/>
    <w:qFormat/>
    <w:rPr>
      <w:rFonts w:ascii="Arial" w:hAnsi="Arial" w:eastAsia="Arial" w:cs="Arial"/>
      <w:b/>
      <w:bCs/>
      <w:i/>
      <w:iCs/>
      <w:sz w:val="22"/>
      <w:szCs w:val="22"/>
    </w:rPr>
  </w:style>
  <w:style w:type="paragraph" w:styleId="883" w:customStyle="1">
    <w:name w:val="标题 71"/>
    <w:basedOn w:val="743"/>
    <w:next w:val="743"/>
    <w:link w:val="882"/>
    <w:uiPriority w:val="0"/>
    <w:unhideWhenUsed/>
    <w:qFormat/>
    <w:pPr>
      <w:keepLines/>
      <w:keepNext/>
      <w:spacing w:before="320" w:after="200"/>
      <w:outlineLvl w:val="6"/>
    </w:pPr>
    <w:rPr>
      <w:rFonts w:ascii="Arial" w:hAnsi="Arial" w:eastAsia="Arial" w:cs="Arial"/>
      <w:b/>
      <w:bCs/>
      <w:i/>
      <w:iCs/>
      <w:sz w:val="22"/>
      <w:szCs w:val="22"/>
    </w:rPr>
  </w:style>
  <w:style w:type="character" w:styleId="884" w:customStyle="1">
    <w:name w:val="Heading 8 Char"/>
    <w:link w:val="885"/>
    <w:uiPriority w:val="9"/>
    <w:qFormat/>
    <w:rPr>
      <w:rFonts w:ascii="Arial" w:hAnsi="Arial" w:eastAsia="Arial" w:cs="Arial"/>
      <w:i/>
      <w:iCs/>
      <w:sz w:val="22"/>
      <w:szCs w:val="22"/>
    </w:rPr>
  </w:style>
  <w:style w:type="paragraph" w:styleId="885" w:customStyle="1">
    <w:name w:val="标题 81"/>
    <w:basedOn w:val="743"/>
    <w:next w:val="743"/>
    <w:link w:val="884"/>
    <w:uiPriority w:val="0"/>
    <w:unhideWhenUsed/>
    <w:qFormat/>
    <w:pPr>
      <w:keepLines/>
      <w:keepNext/>
      <w:spacing w:before="320" w:after="200"/>
      <w:outlineLvl w:val="7"/>
    </w:pPr>
    <w:rPr>
      <w:rFonts w:ascii="Arial" w:hAnsi="Arial" w:eastAsia="Arial" w:cs="Arial"/>
      <w:i/>
      <w:iCs/>
      <w:sz w:val="22"/>
      <w:szCs w:val="22"/>
    </w:rPr>
  </w:style>
  <w:style w:type="character" w:styleId="886" w:customStyle="1">
    <w:name w:val="Heading 9 Char"/>
    <w:link w:val="887"/>
    <w:uiPriority w:val="9"/>
    <w:qFormat/>
    <w:rPr>
      <w:rFonts w:ascii="Arial" w:hAnsi="Arial" w:eastAsia="Arial" w:cs="Arial"/>
      <w:i/>
      <w:iCs/>
      <w:sz w:val="21"/>
      <w:szCs w:val="21"/>
    </w:rPr>
  </w:style>
  <w:style w:type="paragraph" w:styleId="887" w:customStyle="1">
    <w:name w:val="标题 91"/>
    <w:basedOn w:val="743"/>
    <w:next w:val="743"/>
    <w:link w:val="886"/>
    <w:uiPriority w:val="0"/>
    <w:unhideWhenUsed/>
    <w:qFormat/>
    <w:pPr>
      <w:keepLines/>
      <w:keepNext/>
      <w:spacing w:before="320" w:after="200"/>
      <w:outlineLvl w:val="8"/>
    </w:pPr>
    <w:rPr>
      <w:rFonts w:ascii="Arial" w:hAnsi="Arial" w:eastAsia="Arial" w:cs="Arial"/>
      <w:i/>
      <w:iCs/>
      <w:szCs w:val="21"/>
    </w:rPr>
  </w:style>
  <w:style w:type="paragraph" w:styleId="888">
    <w:name w:val="List Paragraph"/>
    <w:basedOn w:val="743"/>
    <w:link w:val="1036"/>
    <w:uiPriority w:val="34"/>
    <w:qFormat/>
    <w:pPr>
      <w:ind w:firstLine="420"/>
    </w:pPr>
    <w:rPr>
      <w:sz w:val="20"/>
      <w:szCs w:val="20"/>
    </w:rPr>
  </w:style>
  <w:style w:type="paragraph" w:styleId="889">
    <w:name w:val="No Spacing"/>
    <w:uiPriority w:val="99"/>
    <w:qFormat/>
    <w:rPr>
      <w:rFonts w:hint="default" w:ascii="Times New Roman" w:hAnsi="Times New Roman" w:eastAsia="宋体" w:cs="Times New Roman"/>
    </w:rPr>
  </w:style>
  <w:style w:type="character" w:styleId="890" w:customStyle="1">
    <w:name w:val="标题 字符"/>
    <w:link w:val="802"/>
    <w:uiPriority w:val="10"/>
    <w:qFormat/>
    <w:rPr>
      <w:sz w:val="48"/>
      <w:szCs w:val="48"/>
    </w:rPr>
  </w:style>
  <w:style w:type="character" w:styleId="891" w:customStyle="1">
    <w:name w:val="副标题 字符"/>
    <w:link w:val="788"/>
    <w:uiPriority w:val="11"/>
    <w:qFormat/>
    <w:rPr>
      <w:sz w:val="24"/>
      <w:szCs w:val="24"/>
    </w:rPr>
  </w:style>
  <w:style w:type="paragraph" w:styleId="892">
    <w:name w:val="Quote"/>
    <w:basedOn w:val="743"/>
    <w:next w:val="743"/>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743"/>
    <w:next w:val="743"/>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Header Char"/>
    <w:link w:val="897"/>
    <w:uiPriority w:val="0"/>
    <w:qFormat/>
  </w:style>
  <w:style w:type="paragraph" w:styleId="897" w:customStyle="1">
    <w:name w:val="页眉1"/>
    <w:basedOn w:val="743"/>
    <w:link w:val="896"/>
    <w:uiPriority w:val="99"/>
    <w:unhideWhenUsed/>
    <w:qFormat/>
    <w:pPr>
      <w:tabs>
        <w:tab w:val="center" w:pos="7143" w:leader="none"/>
        <w:tab w:val="right" w:pos="14287" w:leader="none"/>
      </w:tabs>
    </w:pPr>
    <w:rPr>
      <w:sz w:val="20"/>
      <w:szCs w:val="20"/>
    </w:rPr>
  </w:style>
  <w:style w:type="character" w:styleId="898" w:customStyle="1">
    <w:name w:val="Footer Char"/>
    <w:uiPriority w:val="99"/>
    <w:qFormat/>
  </w:style>
  <w:style w:type="character" w:styleId="899" w:customStyle="1">
    <w:name w:val="Caption Char"/>
    <w:link w:val="900"/>
    <w:uiPriority w:val="99"/>
    <w:qFormat/>
  </w:style>
  <w:style w:type="paragraph" w:styleId="900" w:customStyle="1">
    <w:name w:val="页脚1"/>
    <w:basedOn w:val="743"/>
    <w:link w:val="899"/>
    <w:uiPriority w:val="99"/>
    <w:unhideWhenUsed/>
    <w:qFormat/>
    <w:pPr>
      <w:tabs>
        <w:tab w:val="center" w:pos="7143" w:leader="none"/>
        <w:tab w:val="right" w:pos="14287" w:leader="none"/>
      </w:tabs>
    </w:pPr>
    <w:rPr>
      <w:sz w:val="20"/>
      <w:szCs w:val="20"/>
    </w:rPr>
  </w:style>
  <w:style w:type="table" w:styleId="90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List Table 1 Light - Accent 1"/>
    <w:uiPriority w:val="99"/>
    <w:qFormat/>
    <w:tblPr>
      <w:tblCellMar>
        <w:left w:w="0" w:type="dxa"/>
        <w:top w:w="0" w:type="dxa"/>
        <w:right w:w="0" w:type="dxa"/>
        <w:bottom w:w="0" w:type="dxa"/>
      </w:tblCellMar>
    </w:tblPr>
  </w:style>
  <w:style w:type="table" w:styleId="945" w:customStyle="1">
    <w:name w:val="List Table 1 Light - Accent 2"/>
    <w:uiPriority w:val="99"/>
    <w:qFormat/>
    <w:tblPr>
      <w:tblCellMar>
        <w:left w:w="0" w:type="dxa"/>
        <w:top w:w="0" w:type="dxa"/>
        <w:right w:w="0" w:type="dxa"/>
        <w:bottom w:w="0" w:type="dxa"/>
      </w:tblCellMar>
    </w:tblPr>
  </w:style>
  <w:style w:type="table" w:styleId="946" w:customStyle="1">
    <w:name w:val="List Table 1 Light - Accent 3"/>
    <w:uiPriority w:val="99"/>
    <w:qFormat/>
    <w:tblPr>
      <w:tblCellMar>
        <w:left w:w="0" w:type="dxa"/>
        <w:top w:w="0" w:type="dxa"/>
        <w:right w:w="0" w:type="dxa"/>
        <w:bottom w:w="0" w:type="dxa"/>
      </w:tblCellMar>
    </w:tblPr>
  </w:style>
  <w:style w:type="table" w:styleId="947" w:customStyle="1">
    <w:name w:val="List Table 1 Light - Accent 4"/>
    <w:uiPriority w:val="99"/>
    <w:qFormat/>
    <w:tblPr>
      <w:tblCellMar>
        <w:left w:w="0" w:type="dxa"/>
        <w:top w:w="0" w:type="dxa"/>
        <w:right w:w="0" w:type="dxa"/>
        <w:bottom w:w="0" w:type="dxa"/>
      </w:tblCellMar>
    </w:tblPr>
  </w:style>
  <w:style w:type="table" w:styleId="948" w:customStyle="1">
    <w:name w:val="List Table 1 Light - Accent 5"/>
    <w:uiPriority w:val="99"/>
    <w:qFormat/>
    <w:tblPr>
      <w:tblCellMar>
        <w:left w:w="0" w:type="dxa"/>
        <w:top w:w="0" w:type="dxa"/>
        <w:right w:w="0" w:type="dxa"/>
        <w:bottom w:w="0" w:type="dxa"/>
      </w:tblCellMar>
    </w:tblPr>
  </w:style>
  <w:style w:type="table" w:styleId="949" w:customStyle="1">
    <w:name w:val="List Table 1 Light - Accent 6"/>
    <w:uiPriority w:val="99"/>
    <w:qFormat/>
    <w:tblPr>
      <w:tblCellMar>
        <w:left w:w="0" w:type="dxa"/>
        <w:top w:w="0" w:type="dxa"/>
        <w:right w:w="0" w:type="dxa"/>
        <w:bottom w:w="0" w:type="dxa"/>
      </w:tblCellMar>
    </w:tblPr>
  </w:style>
  <w:style w:type="table" w:styleId="95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6" w:customStyle="1">
    <w:name w:val="Lined - Accent"/>
    <w:uiPriority w:val="99"/>
    <w:qFormat/>
    <w:rPr>
      <w:color w:val="404040"/>
    </w:rPr>
    <w:tblPr>
      <w:tblCellMar>
        <w:left w:w="0" w:type="dxa"/>
        <w:top w:w="0" w:type="dxa"/>
        <w:right w:w="0" w:type="dxa"/>
        <w:bottom w:w="0" w:type="dxa"/>
      </w:tblCellMar>
    </w:tblPr>
  </w:style>
  <w:style w:type="table" w:styleId="987" w:customStyle="1">
    <w:name w:val="Lined - Accent 1"/>
    <w:uiPriority w:val="99"/>
    <w:qFormat/>
    <w:rPr>
      <w:color w:val="404040"/>
    </w:rPr>
    <w:tblPr>
      <w:tblCellMar>
        <w:left w:w="0" w:type="dxa"/>
        <w:top w:w="0" w:type="dxa"/>
        <w:right w:w="0" w:type="dxa"/>
        <w:bottom w:w="0" w:type="dxa"/>
      </w:tblCellMar>
    </w:tblPr>
  </w:style>
  <w:style w:type="table" w:styleId="988" w:customStyle="1">
    <w:name w:val="Lined - Accent 2"/>
    <w:uiPriority w:val="99"/>
    <w:qFormat/>
    <w:rPr>
      <w:color w:val="404040"/>
    </w:rPr>
    <w:tblPr>
      <w:tblCellMar>
        <w:left w:w="0" w:type="dxa"/>
        <w:top w:w="0" w:type="dxa"/>
        <w:right w:w="0" w:type="dxa"/>
        <w:bottom w:w="0" w:type="dxa"/>
      </w:tblCellMar>
    </w:tblPr>
  </w:style>
  <w:style w:type="table" w:styleId="989" w:customStyle="1">
    <w:name w:val="Lined - Accent 3"/>
    <w:uiPriority w:val="99"/>
    <w:qFormat/>
    <w:rPr>
      <w:color w:val="404040"/>
    </w:rPr>
    <w:tblPr>
      <w:tblCellMar>
        <w:left w:w="0" w:type="dxa"/>
        <w:top w:w="0" w:type="dxa"/>
        <w:right w:w="0" w:type="dxa"/>
        <w:bottom w:w="0" w:type="dxa"/>
      </w:tblCellMar>
    </w:tblPr>
  </w:style>
  <w:style w:type="table" w:styleId="990" w:customStyle="1">
    <w:name w:val="Lined - Accent 4"/>
    <w:uiPriority w:val="99"/>
    <w:qFormat/>
    <w:rPr>
      <w:color w:val="404040"/>
    </w:rPr>
    <w:tblPr>
      <w:tblCellMar>
        <w:left w:w="0" w:type="dxa"/>
        <w:top w:w="0" w:type="dxa"/>
        <w:right w:w="0" w:type="dxa"/>
        <w:bottom w:w="0" w:type="dxa"/>
      </w:tblCellMar>
    </w:tblPr>
  </w:style>
  <w:style w:type="table" w:styleId="991" w:customStyle="1">
    <w:name w:val="Lined - Accent 5"/>
    <w:uiPriority w:val="99"/>
    <w:qFormat/>
    <w:rPr>
      <w:color w:val="404040"/>
    </w:rPr>
    <w:tblPr>
      <w:tblCellMar>
        <w:left w:w="0" w:type="dxa"/>
        <w:top w:w="0" w:type="dxa"/>
        <w:right w:w="0" w:type="dxa"/>
        <w:bottom w:w="0" w:type="dxa"/>
      </w:tblCellMar>
    </w:tblPr>
  </w:style>
  <w:style w:type="table" w:styleId="992" w:customStyle="1">
    <w:name w:val="Lined - Accent 6"/>
    <w:uiPriority w:val="99"/>
    <w:qFormat/>
    <w:rPr>
      <w:color w:val="404040"/>
    </w:rPr>
    <w:tblPr>
      <w:tblCellMar>
        <w:left w:w="0" w:type="dxa"/>
        <w:top w:w="0" w:type="dxa"/>
        <w:right w:w="0" w:type="dxa"/>
        <w:bottom w:w="0" w:type="dxa"/>
      </w:tblCellMar>
    </w:tblPr>
  </w:style>
  <w:style w:type="table" w:styleId="9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4" w:customStyle="1">
    <w:name w:val="Bordered &amp; Lined - Accent 1"/>
    <w:uiPriority w:val="99"/>
    <w:qFormat/>
    <w:rPr>
      <w:color w:val="404040"/>
    </w:rPr>
    <w:tblPr>
      <w:tblCellMar>
        <w:left w:w="0" w:type="dxa"/>
        <w:top w:w="0" w:type="dxa"/>
        <w:right w:w="0" w:type="dxa"/>
        <w:bottom w:w="0" w:type="dxa"/>
      </w:tblCellMar>
    </w:tblPr>
  </w:style>
  <w:style w:type="table" w:styleId="9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7" w:customStyle="1">
    <w:name w:val="脚注文本 字符"/>
    <w:link w:val="790"/>
    <w:uiPriority w:val="0"/>
    <w:qFormat/>
    <w:rPr>
      <w:sz w:val="18"/>
    </w:rPr>
  </w:style>
  <w:style w:type="character" w:styleId="1008" w:customStyle="1">
    <w:name w:val="尾注文本 字符"/>
    <w:link w:val="779"/>
    <w:uiPriority w:val="99"/>
    <w:qFormat/>
    <w:rPr>
      <w:sz w:val="20"/>
    </w:rPr>
  </w:style>
  <w:style w:type="paragraph" w:styleId="1009" w:customStyle="1">
    <w:name w:val="TOC 标题11"/>
    <w:uiPriority w:val="39"/>
    <w:unhideWhenUsed/>
    <w:qFormat/>
    <w:rPr>
      <w:rFonts w:hint="default" w:ascii="Times New Roman" w:hAnsi="Times New Roman" w:eastAsia="宋体" w:cs="Times New Roman"/>
    </w:rPr>
  </w:style>
  <w:style w:type="character" w:styleId="1010" w:customStyle="1">
    <w:name w:val="标题 2 字符"/>
    <w:link w:val="745"/>
    <w:uiPriority w:val="0"/>
    <w:qFormat/>
    <w:rPr>
      <w:rFonts w:ascii="Arial" w:hAnsi="Arial" w:eastAsia="黑体" w:cs="Times New Roman"/>
      <w:b/>
      <w:bCs/>
      <w:sz w:val="32"/>
      <w:szCs w:val="32"/>
    </w:rPr>
  </w:style>
  <w:style w:type="character" w:styleId="1011" w:customStyle="1">
    <w:name w:val="标题 3 字符"/>
    <w:link w:val="746"/>
    <w:uiPriority w:val="99"/>
    <w:qFormat/>
    <w:rPr>
      <w:rFonts w:ascii="Times New Roman" w:hAnsi="Times New Roman" w:eastAsia="宋体" w:cs="Times New Roman"/>
      <w:b/>
      <w:bCs/>
      <w:sz w:val="32"/>
      <w:szCs w:val="32"/>
    </w:rPr>
  </w:style>
  <w:style w:type="character" w:styleId="1012" w:customStyle="1">
    <w:name w:val="标题 4 字符"/>
    <w:link w:val="747"/>
    <w:uiPriority w:val="0"/>
    <w:qFormat/>
    <w:rPr>
      <w:rFonts w:ascii="Times New Roman" w:hAnsi="Times New Roman" w:eastAsia="新宋体" w:cs="Times New Roman"/>
      <w:sz w:val="30"/>
      <w:szCs w:val="21"/>
    </w:rPr>
  </w:style>
  <w:style w:type="character" w:styleId="1013" w:customStyle="1">
    <w:name w:val="标题 5 字符"/>
    <w:link w:val="748"/>
    <w:uiPriority w:val="0"/>
    <w:qFormat/>
    <w:rPr>
      <w:rFonts w:ascii="Times New Roman" w:hAnsi="Times New Roman" w:eastAsia="宋体" w:cs="Times New Roman"/>
      <w:b/>
      <w:bCs/>
      <w:sz w:val="28"/>
      <w:szCs w:val="28"/>
    </w:rPr>
  </w:style>
  <w:style w:type="character" w:styleId="1014" w:customStyle="1">
    <w:name w:val="标题 6 字符"/>
    <w:link w:val="749"/>
    <w:uiPriority w:val="0"/>
    <w:qFormat/>
    <w:rPr>
      <w:rFonts w:ascii="Times New Roman" w:hAnsi="Times New Roman" w:eastAsia="宋体" w:cs="Times New Roman"/>
      <w:b/>
      <w:sz w:val="44"/>
      <w:szCs w:val="20"/>
    </w:rPr>
  </w:style>
  <w:style w:type="character" w:styleId="1015" w:customStyle="1">
    <w:name w:val="正文缩进 字符"/>
    <w:link w:val="755"/>
    <w:uiPriority w:val="0"/>
    <w:qFormat/>
    <w:rPr>
      <w:rFonts w:ascii="Times New Roman" w:hAnsi="Times New Roman" w:eastAsia="宋体" w:cs="Times New Roman"/>
      <w:sz w:val="20"/>
      <w:szCs w:val="20"/>
    </w:rPr>
  </w:style>
  <w:style w:type="character" w:styleId="1016" w:customStyle="1">
    <w:name w:val="标题 7 字符"/>
    <w:link w:val="750"/>
    <w:uiPriority w:val="0"/>
    <w:qFormat/>
    <w:rPr>
      <w:rFonts w:ascii="Times New Roman" w:hAnsi="Times New Roman" w:eastAsia="宋体" w:cs="Times New Roman"/>
      <w:b/>
      <w:bCs/>
      <w:sz w:val="24"/>
      <w:szCs w:val="24"/>
    </w:rPr>
  </w:style>
  <w:style w:type="character" w:styleId="1017" w:customStyle="1">
    <w:name w:val="标题 8 字符"/>
    <w:link w:val="751"/>
    <w:uiPriority w:val="0"/>
    <w:qFormat/>
    <w:rPr>
      <w:rFonts w:ascii="Arial" w:hAnsi="Arial" w:eastAsia="黑体" w:cs="Times New Roman"/>
      <w:sz w:val="24"/>
      <w:szCs w:val="24"/>
    </w:rPr>
  </w:style>
  <w:style w:type="character" w:styleId="1018" w:customStyle="1">
    <w:name w:val="标题 9 字符"/>
    <w:link w:val="752"/>
    <w:uiPriority w:val="0"/>
    <w:qFormat/>
    <w:rPr>
      <w:rFonts w:ascii="Arial" w:hAnsi="Arial" w:eastAsia="黑体" w:cs="Times New Roman"/>
      <w:sz w:val="24"/>
      <w:szCs w:val="21"/>
    </w:rPr>
  </w:style>
  <w:style w:type="character" w:styleId="1019" w:customStyle="1">
    <w:name w:val="文档结构图 字符"/>
    <w:link w:val="761"/>
    <w:uiPriority w:val="0"/>
    <w:qFormat/>
    <w:rPr>
      <w:szCs w:val="24"/>
      <w:shd w:val="clear" w:color="auto" w:fill="000080"/>
    </w:rPr>
  </w:style>
  <w:style w:type="character" w:styleId="1020" w:customStyle="1">
    <w:name w:val="正文文本 3 字符"/>
    <w:link w:val="765"/>
    <w:uiPriority w:val="0"/>
    <w:qFormat/>
    <w:rPr>
      <w:rFonts w:ascii="Times New Roman" w:hAnsi="Times New Roman" w:eastAsia="宋体" w:cs="Times New Roman"/>
      <w:sz w:val="16"/>
      <w:szCs w:val="16"/>
    </w:rPr>
  </w:style>
  <w:style w:type="character" w:styleId="1021" w:customStyle="1">
    <w:name w:val="正文文本 字符"/>
    <w:link w:val="766"/>
    <w:uiPriority w:val="0"/>
    <w:qFormat/>
    <w:rPr>
      <w:rFonts w:ascii="仿宋_GB2312" w:hAnsi="Times New Roman" w:eastAsia="仿宋_GB2312" w:cs="Times New Roman"/>
      <w:sz w:val="24"/>
      <w:szCs w:val="20"/>
    </w:rPr>
  </w:style>
  <w:style w:type="character" w:styleId="1022" w:customStyle="1">
    <w:name w:val="正文文本缩进 字符"/>
    <w:link w:val="767"/>
    <w:uiPriority w:val="0"/>
    <w:qFormat/>
    <w:rPr>
      <w:rFonts w:ascii="仿宋_GB2312" w:hAnsi="Times New Roman" w:eastAsia="仿宋_GB2312" w:cs="Times New Roman"/>
      <w:sz w:val="28"/>
      <w:szCs w:val="20"/>
    </w:rPr>
  </w:style>
  <w:style w:type="character" w:styleId="1023" w:customStyle="1">
    <w:name w:val="纯文本 字符"/>
    <w:link w:val="774"/>
    <w:uiPriority w:val="0"/>
    <w:qFormat/>
    <w:rPr>
      <w:rFonts w:ascii="宋体" w:hAnsi="Courier New" w:eastAsia="宋体" w:cs="Courier New"/>
      <w:szCs w:val="21"/>
    </w:rPr>
  </w:style>
  <w:style w:type="character" w:styleId="1024" w:customStyle="1">
    <w:name w:val="日期 字符"/>
    <w:link w:val="777"/>
    <w:uiPriority w:val="0"/>
    <w:qFormat/>
    <w:rPr>
      <w:rFonts w:ascii="Times New Roman" w:hAnsi="Times New Roman" w:eastAsia="宋体" w:cs="Times New Roman"/>
      <w:sz w:val="24"/>
      <w:szCs w:val="20"/>
    </w:rPr>
  </w:style>
  <w:style w:type="character" w:styleId="1025" w:customStyle="1">
    <w:name w:val="正文文本缩进 2 字符"/>
    <w:link w:val="778"/>
    <w:uiPriority w:val="0"/>
    <w:qFormat/>
    <w:rPr>
      <w:rFonts w:ascii="Times New Roman" w:hAnsi="Times New Roman" w:eastAsia="仿宋_GB2312" w:cs="Times New Roman"/>
      <w:sz w:val="28"/>
      <w:szCs w:val="20"/>
    </w:rPr>
  </w:style>
  <w:style w:type="character" w:styleId="1026" w:customStyle="1">
    <w:name w:val="批注框文本 字符"/>
    <w:link w:val="780"/>
    <w:uiPriority w:val="0"/>
    <w:qFormat/>
    <w:rPr>
      <w:sz w:val="18"/>
      <w:szCs w:val="18"/>
    </w:rPr>
  </w:style>
  <w:style w:type="character" w:styleId="1027" w:customStyle="1">
    <w:name w:val="页脚 字符"/>
    <w:link w:val="781"/>
    <w:uiPriority w:val="99"/>
    <w:qFormat/>
    <w:rPr>
      <w:rFonts w:ascii="Times New Roman" w:hAnsi="Times New Roman" w:eastAsia="宋体" w:cs="Times New Roman"/>
      <w:sz w:val="18"/>
      <w:szCs w:val="20"/>
    </w:rPr>
  </w:style>
  <w:style w:type="character" w:styleId="1028" w:customStyle="1">
    <w:name w:val="页眉 字符"/>
    <w:link w:val="782"/>
    <w:uiPriority w:val="99"/>
    <w:qFormat/>
    <w:rPr>
      <w:rFonts w:ascii="Times New Roman" w:hAnsi="Times New Roman" w:eastAsia="宋体" w:cs="Times New Roman"/>
      <w:sz w:val="18"/>
      <w:szCs w:val="18"/>
    </w:rPr>
  </w:style>
  <w:style w:type="paragraph" w:styleId="1029" w:customStyle="1">
    <w:name w:val="目录 11"/>
    <w:basedOn w:val="743"/>
    <w:next w:val="743"/>
    <w:uiPriority w:val="0"/>
    <w:qFormat/>
    <w:rPr>
      <w:sz w:val="24"/>
    </w:rPr>
  </w:style>
  <w:style w:type="character" w:styleId="1030" w:customStyle="1">
    <w:name w:val="正文文本缩进 3 字符"/>
    <w:link w:val="792"/>
    <w:uiPriority w:val="0"/>
    <w:qFormat/>
    <w:rPr>
      <w:rFonts w:ascii="Times New Roman" w:hAnsi="Times New Roman" w:eastAsia="宋体" w:cs="Times New Roman"/>
      <w:sz w:val="16"/>
      <w:szCs w:val="16"/>
    </w:rPr>
  </w:style>
  <w:style w:type="character" w:styleId="1031" w:customStyle="1">
    <w:name w:val="正文文本 2 字符"/>
    <w:link w:val="798"/>
    <w:uiPriority w:val="0"/>
    <w:qFormat/>
    <w:rPr>
      <w:rFonts w:ascii="Times New Roman" w:hAnsi="Times New Roman" w:eastAsia="宋体" w:cs="Times New Roman"/>
      <w:b/>
      <w:bCs/>
      <w:sz w:val="18"/>
      <w:szCs w:val="24"/>
    </w:rPr>
  </w:style>
  <w:style w:type="character" w:styleId="1032" w:customStyle="1">
    <w:name w:val="HTML 预设格式 字符"/>
    <w:link w:val="799"/>
    <w:uiPriority w:val="0"/>
    <w:qFormat/>
    <w:rPr>
      <w:rFonts w:ascii="等线 Light" w:hAnsi="等线 Light" w:eastAsia="幼圆" w:cs="等线 Light"/>
      <w:sz w:val="24"/>
      <w:szCs w:val="22"/>
    </w:rPr>
  </w:style>
  <w:style w:type="paragraph" w:styleId="1033" w:customStyle="1">
    <w:name w:val="正文首行缩进1"/>
    <w:basedOn w:val="766"/>
    <w:link w:val="1034"/>
    <w:uiPriority w:val="0"/>
    <w:qFormat/>
  </w:style>
  <w:style w:type="character" w:styleId="1034" w:customStyle="1">
    <w:name w:val="正文文本首行缩进 字符"/>
    <w:link w:val="1033"/>
    <w:uiPriority w:val="0"/>
    <w:qFormat/>
    <w:rPr>
      <w:rFonts w:ascii="Times New Roman" w:hAnsi="Times New Roman" w:eastAsia="宋体" w:cs="Times New Roman"/>
      <w:sz w:val="24"/>
      <w:szCs w:val="24"/>
    </w:rPr>
  </w:style>
  <w:style w:type="character" w:styleId="1035" w:customStyle="1">
    <w:name w:val="已访问的超链接1"/>
    <w:uiPriority w:val="99"/>
    <w:qFormat/>
    <w:rPr>
      <w:color w:val="800080"/>
      <w:u w:val="single"/>
    </w:rPr>
  </w:style>
  <w:style w:type="character" w:styleId="1036" w:customStyle="1">
    <w:name w:val="列表段落 字符1"/>
    <w:link w:val="888"/>
    <w:uiPriority w:val="99"/>
    <w:qFormat/>
  </w:style>
  <w:style w:type="character" w:styleId="1037" w:customStyle="1">
    <w:name w:val="文档结构图 Char1"/>
    <w:uiPriority w:val="99"/>
    <w:semiHidden/>
    <w:qFormat/>
    <w:rPr>
      <w:rFonts w:ascii="宋体" w:hAnsi="Times New Roman" w:eastAsia="宋体" w:cs="Times New Roman"/>
      <w:sz w:val="18"/>
      <w:szCs w:val="18"/>
    </w:rPr>
  </w:style>
  <w:style w:type="character" w:styleId="1038" w:customStyle="1">
    <w:name w:val="普通正文 Char"/>
    <w:link w:val="1039"/>
    <w:uiPriority w:val="0"/>
    <w:qFormat/>
    <w:rPr>
      <w:rFonts w:ascii="Arial" w:hAnsi="Arial"/>
      <w:sz w:val="24"/>
      <w:szCs w:val="24"/>
    </w:rPr>
  </w:style>
  <w:style w:type="paragraph" w:styleId="1039" w:customStyle="1">
    <w:name w:val="普通正文"/>
    <w:basedOn w:val="743"/>
    <w:link w:val="1038"/>
    <w:uiPriority w:val="99"/>
    <w:qFormat/>
    <w:pPr>
      <w:ind w:left="-2" w:right="120" w:firstLine="480"/>
      <w:jc w:val="center"/>
      <w:spacing w:before="120" w:after="120" w:line="360" w:lineRule="auto"/>
    </w:pPr>
    <w:rPr>
      <w:rFonts w:ascii="Arial" w:hAnsi="Arial"/>
      <w:sz w:val="24"/>
    </w:rPr>
  </w:style>
  <w:style w:type="character" w:styleId="1040" w:customStyle="1">
    <w:name w:val="FA正文 Char"/>
    <w:link w:val="1041"/>
    <w:uiPriority w:val="0"/>
    <w:qFormat/>
    <w:rPr>
      <w:rFonts w:ascii="宋体" w:hAnsi="宋体" w:eastAsia="宋体" w:cs="Times New Roman"/>
      <w:sz w:val="28"/>
      <w:szCs w:val="28"/>
    </w:rPr>
  </w:style>
  <w:style w:type="paragraph" w:styleId="1041" w:customStyle="1">
    <w:name w:val="FA正文"/>
    <w:basedOn w:val="743"/>
    <w:link w:val="1040"/>
    <w:uiPriority w:val="0"/>
    <w:qFormat/>
    <w:pPr>
      <w:ind w:firstLine="538"/>
      <w:spacing w:line="440" w:lineRule="atLeast"/>
      <w:tabs>
        <w:tab w:val="left" w:pos="3375" w:leader="none"/>
      </w:tabs>
    </w:pPr>
    <w:rPr>
      <w:rFonts w:ascii="宋体" w:hAnsi="宋体"/>
      <w:sz w:val="28"/>
      <w:szCs w:val="28"/>
    </w:rPr>
  </w:style>
  <w:style w:type="character" w:styleId="1042" w:customStyle="1">
    <w:name w:val="正文缩进2格 Char"/>
    <w:link w:val="1043"/>
    <w:uiPriority w:val="0"/>
    <w:qFormat/>
    <w:rPr>
      <w:rFonts w:ascii="仿宋_GB2312" w:hAnsi="宋体" w:eastAsia="仿宋_GB2312" w:cs="Times New Roman"/>
      <w:sz w:val="31"/>
      <w:szCs w:val="28"/>
    </w:rPr>
  </w:style>
  <w:style w:type="paragraph" w:styleId="1043" w:customStyle="1">
    <w:name w:val="正文缩进2格"/>
    <w:basedOn w:val="743"/>
    <w:link w:val="1042"/>
    <w:uiPriority w:val="0"/>
    <w:qFormat/>
    <w:pPr>
      <w:ind w:firstLine="639"/>
      <w:spacing w:line="600" w:lineRule="exact"/>
    </w:pPr>
    <w:rPr>
      <w:rFonts w:ascii="仿宋_GB2312" w:hAnsi="宋体" w:eastAsia="仿宋_GB2312"/>
      <w:sz w:val="31"/>
      <w:szCs w:val="28"/>
    </w:rPr>
  </w:style>
  <w:style w:type="character" w:styleId="1044" w:customStyle="1">
    <w:name w:val="cn_text1"/>
    <w:uiPriority w:val="0"/>
    <w:qFormat/>
    <w:rPr>
      <w:rFonts w:ascii="仿宋" w:hAnsi="仿宋"/>
      <w:color w:val="003399"/>
      <w:spacing w:val="15"/>
      <w:sz w:val="18"/>
      <w:szCs w:val="18"/>
    </w:rPr>
  </w:style>
  <w:style w:type="character" w:styleId="1045" w:customStyle="1">
    <w:name w:val="ssss Char"/>
    <w:uiPriority w:val="0"/>
    <w:qFormat/>
    <w:rPr>
      <w:rFonts w:eastAsia="宋体"/>
      <w:sz w:val="24"/>
      <w:szCs w:val="24"/>
      <w:lang w:val="en-US" w:eastAsia="zh-CN" w:bidi="ar-SA"/>
    </w:rPr>
  </w:style>
  <w:style w:type="character" w:styleId="1046" w:customStyle="1">
    <w:name w:val="ssss Char1"/>
    <w:link w:val="1047"/>
    <w:uiPriority w:val="0"/>
    <w:qFormat/>
    <w:rPr>
      <w:rFonts w:ascii="Times New Roman" w:hAnsi="Times New Roman" w:eastAsia="宋体" w:cs="Times New Roman"/>
      <w:sz w:val="24"/>
      <w:szCs w:val="24"/>
    </w:rPr>
  </w:style>
  <w:style w:type="paragraph" w:styleId="1047" w:customStyle="1">
    <w:name w:val="ssss"/>
    <w:basedOn w:val="743"/>
    <w:link w:val="1046"/>
    <w:uiPriority w:val="0"/>
    <w:qFormat/>
    <w:pPr>
      <w:ind w:firstLine="480"/>
      <w:spacing w:line="360" w:lineRule="auto"/>
    </w:pPr>
    <w:rPr>
      <w:sz w:val="24"/>
    </w:rPr>
  </w:style>
  <w:style w:type="character" w:styleId="1048" w:customStyle="1">
    <w:name w:val="标题 4 Char1"/>
    <w:uiPriority w:val="0"/>
    <w:qFormat/>
    <w:rPr>
      <w:rFonts w:ascii="Arial" w:hAnsi="Arial" w:eastAsia="黑体"/>
      <w:b/>
      <w:bCs/>
      <w:sz w:val="28"/>
      <w:szCs w:val="28"/>
      <w:lang w:val="en-US" w:eastAsia="zh-CN" w:bidi="ar-SA"/>
    </w:rPr>
  </w:style>
  <w:style w:type="character" w:styleId="1049" w:customStyle="1">
    <w:name w:val="列表段落 字符"/>
    <w:uiPriority w:val="34"/>
    <w:qFormat/>
    <w:rPr>
      <w:rFonts w:ascii="Calibri" w:hAnsi="Calibri"/>
      <w:sz w:val="21"/>
      <w:szCs w:val="22"/>
    </w:rPr>
  </w:style>
  <w:style w:type="character" w:styleId="1050" w:customStyle="1">
    <w:name w:val="批注框文本 Char1"/>
    <w:uiPriority w:val="99"/>
    <w:semiHidden/>
    <w:qFormat/>
    <w:rPr>
      <w:rFonts w:ascii="Times New Roman" w:hAnsi="Times New Roman" w:eastAsia="宋体" w:cs="Times New Roman"/>
      <w:sz w:val="18"/>
      <w:szCs w:val="18"/>
    </w:rPr>
  </w:style>
  <w:style w:type="character" w:styleId="1051" w:customStyle="1">
    <w:name w:val="样式 ssss + 宋体 五号1 Char"/>
    <w:link w:val="1052"/>
    <w:uiPriority w:val="0"/>
    <w:qFormat/>
    <w:rPr>
      <w:rFonts w:ascii="宋体" w:hAnsi="宋体" w:eastAsia="宋体" w:cs="Times New Roman"/>
      <w:sz w:val="24"/>
      <w:szCs w:val="24"/>
    </w:rPr>
  </w:style>
  <w:style w:type="paragraph" w:styleId="1052" w:customStyle="1">
    <w:name w:val="样式 ssss + 宋体 五号1"/>
    <w:basedOn w:val="1047"/>
    <w:link w:val="1051"/>
    <w:uiPriority w:val="0"/>
    <w:qFormat/>
    <w:rPr>
      <w:rFonts w:ascii="宋体" w:hAnsi="宋体"/>
    </w:rPr>
  </w:style>
  <w:style w:type="character" w:styleId="1053" w:customStyle="1">
    <w:name w:val="point_normal1"/>
    <w:uiPriority w:val="0"/>
    <w:qFormat/>
    <w:rPr>
      <w:rFonts w:ascii="Arial" w:hAnsi="Arial" w:cs="Arial"/>
      <w:sz w:val="16"/>
      <w:szCs w:val="16"/>
    </w:rPr>
  </w:style>
  <w:style w:type="paragraph" w:styleId="1054" w:customStyle="1">
    <w:name w:val="样式 正文文本缩进 3 + 四号"/>
    <w:basedOn w:val="792"/>
    <w:uiPriority w:val="0"/>
    <w:qFormat/>
    <w:pPr>
      <w:ind w:left="0" w:firstLine="437"/>
      <w:spacing w:after="0" w:line="360" w:lineRule="auto"/>
    </w:pPr>
    <w:rPr>
      <w:sz w:val="24"/>
      <w:szCs w:val="21"/>
    </w:rPr>
  </w:style>
  <w:style w:type="paragraph" w:styleId="1055" w:customStyle="1">
    <w:name w:val="2cxsplast"/>
    <w:basedOn w:val="743"/>
    <w:uiPriority w:val="0"/>
    <w:qFormat/>
    <w:pPr>
      <w:jc w:val="left"/>
      <w:spacing w:before="100" w:beforeAutospacing="1" w:after="100" w:afterAutospacing="1"/>
      <w:widowControl/>
    </w:pPr>
    <w:rPr>
      <w:rFonts w:ascii="宋体" w:hAnsi="宋体" w:cs="宋体"/>
      <w:sz w:val="24"/>
    </w:rPr>
  </w:style>
  <w:style w:type="paragraph" w:styleId="1056" w:customStyle="1">
    <w:name w:val="ec_msonormal"/>
    <w:basedOn w:val="743"/>
    <w:uiPriority w:val="0"/>
    <w:qFormat/>
    <w:pPr>
      <w:jc w:val="left"/>
      <w:spacing w:before="100" w:beforeAutospacing="1" w:after="100" w:afterAutospacing="1"/>
      <w:widowControl/>
    </w:pPr>
    <w:rPr>
      <w:rFonts w:ascii="宋体" w:hAnsi="宋体"/>
      <w:sz w:val="24"/>
    </w:rPr>
  </w:style>
  <w:style w:type="paragraph" w:styleId="1057" w:customStyle="1">
    <w:name w:val="Char Char Char Char"/>
    <w:basedOn w:val="743"/>
    <w:uiPriority w:val="0"/>
    <w:qFormat/>
    <w:rPr>
      <w:rFonts w:ascii="Tahoma" w:hAnsi="Tahoma"/>
      <w:sz w:val="24"/>
      <w:szCs w:val="20"/>
    </w:rPr>
  </w:style>
  <w:style w:type="paragraph" w:styleId="1058" w:customStyle="1">
    <w:name w:val="Char Char Char Char Char Char Char Char Char Char Char Char Char"/>
    <w:basedOn w:val="743"/>
    <w:uiPriority w:val="0"/>
    <w:qFormat/>
  </w:style>
  <w:style w:type="paragraph" w:styleId="1059" w:customStyle="1">
    <w:name w:val="表格正文"/>
    <w:basedOn w:val="743"/>
    <w:uiPriority w:val="0"/>
    <w:qFormat/>
    <w:pPr>
      <w:jc w:val="left"/>
      <w:spacing w:line="360" w:lineRule="auto"/>
    </w:pPr>
    <w:rPr>
      <w:rFonts w:ascii="Calibri" w:hAnsi="Calibri"/>
      <w:color w:val="000000"/>
      <w:szCs w:val="28"/>
    </w:rPr>
  </w:style>
  <w:style w:type="paragraph" w:styleId="1060"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1061" w:customStyle="1">
    <w:name w:val="Char Char Char Char1"/>
    <w:basedOn w:val="743"/>
    <w:uiPriority w:val="0"/>
    <w:qFormat/>
    <w:rPr>
      <w:rFonts w:ascii="Tahoma" w:hAnsi="Tahoma"/>
      <w:sz w:val="24"/>
      <w:szCs w:val="20"/>
    </w:rPr>
  </w:style>
  <w:style w:type="paragraph" w:styleId="1062" w:customStyle="1">
    <w:name w:val="Char Char Char"/>
    <w:basedOn w:val="743"/>
    <w:uiPriority w:val="0"/>
    <w:qFormat/>
    <w:rPr>
      <w:rFonts w:ascii="Tahoma" w:hAnsi="Tahoma"/>
      <w:sz w:val="24"/>
      <w:szCs w:val="20"/>
    </w:rPr>
  </w:style>
  <w:style w:type="paragraph" w:styleId="1063" w:customStyle="1">
    <w:name w:val="标题-----3"/>
    <w:basedOn w:val="746"/>
    <w:uiPriority w:val="0"/>
    <w:qFormat/>
    <w:pPr>
      <w:spacing w:after="0" w:line="240" w:lineRule="auto"/>
      <w:outlineLvl w:val="0"/>
    </w:pPr>
    <w:rPr>
      <w:rFonts w:ascii="宋体" w:hAnsi="宋体"/>
      <w:b w:val="0"/>
      <w:sz w:val="28"/>
      <w:szCs w:val="28"/>
    </w:rPr>
  </w:style>
  <w:style w:type="paragraph" w:styleId="1064" w:customStyle="1">
    <w:name w:val="样式 ssss + 居中"/>
    <w:basedOn w:val="1047"/>
    <w:uiPriority w:val="0"/>
    <w:qFormat/>
    <w:pPr>
      <w:jc w:val="center"/>
    </w:pPr>
    <w:rPr>
      <w:rFonts w:cs="宋体"/>
      <w:szCs w:val="20"/>
    </w:rPr>
  </w:style>
  <w:style w:type="paragraph" w:styleId="1065" w:customStyle="1">
    <w:name w:val="样式 宋体 四号 黑色 左侧:  0.74 厘米 首行缩进:  0.74 厘米 行距: 1.5 倍行距"/>
    <w:basedOn w:val="743"/>
    <w:uiPriority w:val="0"/>
    <w:qFormat/>
    <w:pPr>
      <w:ind w:firstLine="420"/>
      <w:spacing w:line="360" w:lineRule="auto"/>
    </w:pPr>
    <w:rPr>
      <w:rFonts w:ascii="宋体"/>
      <w:color w:val="000000"/>
      <w:sz w:val="24"/>
      <w:szCs w:val="21"/>
    </w:rPr>
  </w:style>
  <w:style w:type="paragraph" w:styleId="1066" w:customStyle="1">
    <w:name w:val="样式 样式 ssss + 宋体 五号 + 首行缩进:  2 字符"/>
    <w:basedOn w:val="1067"/>
    <w:uiPriority w:val="0"/>
    <w:qFormat/>
    <w:pPr>
      <w:ind w:firstLine="480"/>
    </w:pPr>
  </w:style>
  <w:style w:type="paragraph" w:styleId="1067" w:customStyle="1">
    <w:name w:val="样式 ssss + 宋体 五号"/>
    <w:basedOn w:val="1047"/>
    <w:uiPriority w:val="0"/>
    <w:qFormat/>
    <w:pPr>
      <w:ind w:firstLine="420"/>
    </w:pPr>
    <w:rPr>
      <w:rFonts w:ascii="宋体" w:hAnsi="宋体" w:cs="宋体"/>
      <w:szCs w:val="20"/>
    </w:rPr>
  </w:style>
  <w:style w:type="paragraph" w:styleId="1068" w:customStyle="1">
    <w:name w:val="msonormalcxsplast"/>
    <w:basedOn w:val="743"/>
    <w:uiPriority w:val="0"/>
    <w:qFormat/>
    <w:pPr>
      <w:jc w:val="left"/>
      <w:spacing w:before="100" w:beforeAutospacing="1" w:after="100" w:afterAutospacing="1"/>
      <w:widowControl/>
    </w:pPr>
    <w:rPr>
      <w:rFonts w:ascii="宋体" w:hAnsi="宋体" w:cs="宋体"/>
      <w:sz w:val="24"/>
    </w:rPr>
  </w:style>
  <w:style w:type="paragraph" w:styleId="1069" w:customStyle="1">
    <w:name w:val="Char"/>
    <w:basedOn w:val="743"/>
    <w:uiPriority w:val="0"/>
    <w:qFormat/>
    <w:rPr>
      <w:rFonts w:ascii="Tahoma" w:hAnsi="Tahoma"/>
      <w:sz w:val="24"/>
      <w:szCs w:val="20"/>
    </w:rPr>
  </w:style>
  <w:style w:type="paragraph" w:styleId="1070" w:customStyle="1">
    <w:name w:val="xl25"/>
    <w:basedOn w:val="743"/>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1" w:customStyle="1">
    <w:name w:val="标题------4"/>
    <w:basedOn w:val="747"/>
    <w:uiPriority w:val="0"/>
    <w:qFormat/>
    <w:pPr>
      <w:ind w:left="960" w:hanging="420"/>
      <w:jc w:val="both"/>
      <w:keepLines/>
    </w:pPr>
    <w:rPr>
      <w:rFonts w:ascii="仿宋_GB2312" w:hAnsi="宋体" w:eastAsia="仿宋_GB2312" w:cs="仿宋_GB2312"/>
      <w:b/>
      <w:sz w:val="28"/>
      <w:szCs w:val="28"/>
      <w:lang w:val="zh-CN"/>
    </w:rPr>
  </w:style>
  <w:style w:type="paragraph" w:styleId="1072" w:customStyle="1">
    <w:name w:val="msonormalcxspmiddle"/>
    <w:basedOn w:val="743"/>
    <w:uiPriority w:val="0"/>
    <w:qFormat/>
    <w:pPr>
      <w:jc w:val="left"/>
      <w:spacing w:before="100" w:beforeAutospacing="1" w:after="100" w:afterAutospacing="1"/>
      <w:widowControl/>
    </w:pPr>
    <w:rPr>
      <w:rFonts w:ascii="宋体" w:hAnsi="宋体" w:cs="宋体"/>
      <w:sz w:val="24"/>
    </w:rPr>
  </w:style>
  <w:style w:type="paragraph" w:styleId="1073" w:customStyle="1">
    <w:name w:val="Char Char Char Char Char Char Char Char Char Char Char Char Char1"/>
    <w:basedOn w:val="743"/>
    <w:uiPriority w:val="0"/>
    <w:qFormat/>
    <w:rPr>
      <w:sz w:val="24"/>
    </w:rPr>
  </w:style>
  <w:style w:type="paragraph" w:styleId="1074" w:customStyle="1">
    <w:name w:val="表格"/>
    <w:basedOn w:val="743"/>
    <w:uiPriority w:val="0"/>
    <w:qFormat/>
    <w:rPr>
      <w:rFonts w:ascii="Arial" w:hAnsi="Arial"/>
      <w:sz w:val="24"/>
    </w:rPr>
  </w:style>
  <w:style w:type="paragraph" w:styleId="1075" w:customStyle="1">
    <w:name w:val="正文样式1"/>
    <w:basedOn w:val="743"/>
    <w:uiPriority w:val="0"/>
    <w:qFormat/>
    <w:pPr>
      <w:ind w:firstLine="480"/>
      <w:spacing w:before="120" w:after="120" w:line="360" w:lineRule="auto"/>
    </w:pPr>
    <w:rPr>
      <w:sz w:val="24"/>
      <w:szCs w:val="20"/>
    </w:rPr>
  </w:style>
  <w:style w:type="paragraph" w:styleId="1076" w:customStyle="1">
    <w:name w:val="Char Char1 Char Char Char Char Char Char"/>
    <w:basedOn w:val="743"/>
    <w:uiPriority w:val="0"/>
    <w:qFormat/>
    <w:pPr>
      <w:jc w:val="left"/>
      <w:spacing w:after="160" w:line="240" w:lineRule="exact"/>
      <w:widowControl/>
    </w:pPr>
    <w:rPr>
      <w:rFonts w:ascii="Verdana" w:hAnsi="Verdana" w:eastAsia="仿宋_GB2312"/>
      <w:sz w:val="24"/>
      <w:szCs w:val="20"/>
      <w:lang w:eastAsia="en-US"/>
    </w:rPr>
  </w:style>
  <w:style w:type="paragraph" w:styleId="1077" w:customStyle="1">
    <w:name w:val="Char Char Char Char Char Char Char Char Char Char"/>
    <w:basedOn w:val="743"/>
    <w:uiPriority w:val="0"/>
    <w:qFormat/>
    <w:rPr>
      <w:rFonts w:ascii="Tahoma" w:hAnsi="Tahoma"/>
      <w:sz w:val="24"/>
      <w:szCs w:val="20"/>
    </w:rPr>
  </w:style>
  <w:style w:type="paragraph" w:styleId="1078" w:customStyle="1">
    <w:name w:val="Char1"/>
    <w:basedOn w:val="743"/>
    <w:uiPriority w:val="0"/>
    <w:qFormat/>
    <w:pPr>
      <w:tabs>
        <w:tab w:val="left" w:pos="360" w:leader="none"/>
      </w:tabs>
    </w:pPr>
    <w:rPr>
      <w:sz w:val="24"/>
    </w:rPr>
  </w:style>
  <w:style w:type="paragraph" w:styleId="1079" w:customStyle="1">
    <w:name w:val="标题1"/>
    <w:basedOn w:val="743"/>
    <w:next w:val="74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customStyle="1">
    <w:name w:val="Header2"/>
    <w:basedOn w:val="743"/>
    <w:uiPriority w:val="0"/>
    <w:qFormat/>
    <w:pPr>
      <w:numPr>
        <w:ilvl w:val="0"/>
        <w:numId w:val="1"/>
      </w:numPr>
    </w:pPr>
  </w:style>
  <w:style w:type="paragraph" w:styleId="1081" w:customStyle="1">
    <w:name w:val="Char Char 字元 字元 字元 Char Char Char Char"/>
    <w:basedOn w:val="743"/>
    <w:uiPriority w:val="0"/>
    <w:qFormat/>
    <w:pPr>
      <w:spacing w:line="360" w:lineRule="auto"/>
    </w:pPr>
    <w:rPr>
      <w:sz w:val="24"/>
      <w:szCs w:val="20"/>
    </w:rPr>
  </w:style>
  <w:style w:type="paragraph" w:styleId="1082" w:customStyle="1">
    <w:name w:val="2cxspmiddle"/>
    <w:basedOn w:val="743"/>
    <w:uiPriority w:val="0"/>
    <w:qFormat/>
    <w:pPr>
      <w:jc w:val="left"/>
      <w:spacing w:before="100" w:beforeAutospacing="1" w:after="100" w:afterAutospacing="1"/>
      <w:widowControl/>
    </w:pPr>
    <w:rPr>
      <w:rFonts w:ascii="宋体" w:hAnsi="宋体" w:cs="宋体"/>
      <w:sz w:val="24"/>
    </w:rPr>
  </w:style>
  <w:style w:type="paragraph" w:styleId="1083"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84" w:customStyle="1">
    <w:name w:val="正文_1_0"/>
    <w:uiPriority w:val="0"/>
    <w:qFormat/>
    <w:pPr>
      <w:jc w:val="both"/>
      <w:widowControl w:val="off"/>
    </w:pPr>
    <w:rPr>
      <w:rFonts w:hint="default" w:ascii="Times New Roman" w:hAnsi="Times New Roman" w:eastAsia="宋体" w:cs="Times New Roman"/>
      <w:sz w:val="21"/>
      <w:szCs w:val="24"/>
    </w:rPr>
  </w:style>
  <w:style w:type="table" w:styleId="1085" w:customStyle="1">
    <w:name w:val="网格型1"/>
    <w:basedOn w:val="754"/>
    <w:uiPriority w:val="0"/>
    <w:qFormat/>
    <w:rPr>
      <w:rFonts w:ascii="等线" w:hAnsi="等线" w:eastAsia="等线"/>
      <w:sz w:val="21"/>
      <w:szCs w:val="22"/>
    </w:rPr>
    <w:tblPr/>
  </w:style>
  <w:style w:type="paragraph" w:styleId="1086" w:customStyle="1">
    <w:name w:val="正文_3"/>
    <w:uiPriority w:val="0"/>
    <w:qFormat/>
    <w:pPr>
      <w:jc w:val="both"/>
      <w:widowControl w:val="off"/>
    </w:pPr>
    <w:rPr>
      <w:rFonts w:hint="default" w:ascii="Times New Roman" w:hAnsi="Times New Roman" w:eastAsia="宋体" w:cs="Times New Roman"/>
      <w:sz w:val="21"/>
      <w:szCs w:val="24"/>
    </w:rPr>
  </w:style>
  <w:style w:type="paragraph" w:styleId="1087" w:customStyle="1">
    <w:name w:val="修订1"/>
    <w:uiPriority w:val="99"/>
    <w:unhideWhenUsed/>
    <w:qFormat/>
    <w:rPr>
      <w:rFonts w:hint="default" w:ascii="Times New Roman" w:hAnsi="Times New Roman" w:eastAsia="宋体" w:cs="Times New Roman"/>
      <w:sz w:val="21"/>
      <w:szCs w:val="24"/>
    </w:rPr>
  </w:style>
  <w:style w:type="paragraph" w:styleId="1088" w:customStyle="1">
    <w:name w:val="列出段落1"/>
    <w:basedOn w:val="743"/>
    <w:link w:val="1117"/>
    <w:uiPriority w:val="0"/>
    <w:qFormat/>
    <w:pPr>
      <w:ind w:firstLine="200"/>
    </w:pPr>
    <w:rPr>
      <w:rFonts w:ascii="Wingdings" w:hAnsi="Wingdings" w:eastAsia="幼圆" w:cs="Miss Sweetie"/>
      <w:szCs w:val="22"/>
    </w:rPr>
  </w:style>
  <w:style w:type="paragraph" w:styleId="1089" w:customStyle="1">
    <w:name w:val="Char1 Char Char Char"/>
    <w:basedOn w:val="743"/>
    <w:uiPriority w:val="0"/>
    <w:qFormat/>
    <w:pPr>
      <w:jc w:val="left"/>
      <w:spacing w:after="160" w:line="240" w:lineRule="exact"/>
      <w:widowControl/>
    </w:pPr>
    <w:rPr>
      <w:szCs w:val="20"/>
    </w:rPr>
  </w:style>
  <w:style w:type="paragraph" w:styleId="1090" w:customStyle="1">
    <w:name w:val="正文_2"/>
    <w:uiPriority w:val="0"/>
    <w:qFormat/>
    <w:pPr>
      <w:jc w:val="both"/>
      <w:widowControl w:val="off"/>
    </w:pPr>
    <w:rPr>
      <w:rFonts w:hint="default" w:ascii="等线" w:hAnsi="等线" w:eastAsia="等线" w:cs="等线"/>
      <w:sz w:val="21"/>
    </w:rPr>
  </w:style>
  <w:style w:type="paragraph" w:styleId="1091" w:customStyle="1">
    <w:name w:val="列表段落4"/>
    <w:basedOn w:val="743"/>
    <w:uiPriority w:val="34"/>
    <w:qFormat/>
    <w:pPr>
      <w:ind w:firstLine="420"/>
    </w:pPr>
    <w:rPr>
      <w:szCs w:val="22"/>
    </w:rPr>
  </w:style>
  <w:style w:type="character" w:styleId="1092" w:customStyle="1">
    <w:name w:val="font51"/>
    <w:basedOn w:val="753"/>
    <w:uiPriority w:val="99"/>
    <w:qFormat/>
    <w:rPr>
      <w:rFonts w:hint="eastAsia" w:ascii="宋体" w:hAnsi="宋体" w:eastAsia="宋体" w:cs="宋体"/>
      <w:color w:val="000000"/>
      <w:sz w:val="24"/>
      <w:szCs w:val="24"/>
      <w:u w:val="none"/>
    </w:rPr>
  </w:style>
  <w:style w:type="character" w:styleId="1093" w:customStyle="1">
    <w:name w:val="font71"/>
    <w:basedOn w:val="753"/>
    <w:uiPriority w:val="0"/>
    <w:qFormat/>
    <w:rPr>
      <w:rFonts w:hint="eastAsia" w:ascii="宋体" w:hAnsi="宋体" w:eastAsia="宋体" w:cs="宋体"/>
      <w:color w:val="000000"/>
      <w:sz w:val="24"/>
      <w:szCs w:val="24"/>
      <w:u w:val="none"/>
    </w:rPr>
  </w:style>
  <w:style w:type="character" w:styleId="1094" w:customStyle="1">
    <w:name w:val="font61"/>
    <w:basedOn w:val="753"/>
    <w:uiPriority w:val="0"/>
    <w:qFormat/>
    <w:rPr>
      <w:rFonts w:hint="eastAsia" w:ascii="宋体" w:hAnsi="宋体" w:eastAsia="宋体" w:cs="宋体"/>
      <w:color w:val="000000"/>
      <w:sz w:val="24"/>
      <w:szCs w:val="24"/>
      <w:u w:val="none"/>
    </w:rPr>
  </w:style>
  <w:style w:type="character" w:styleId="1095" w:customStyle="1">
    <w:name w:val="font81"/>
    <w:basedOn w:val="753"/>
    <w:uiPriority w:val="0"/>
    <w:qFormat/>
    <w:rPr>
      <w:rFonts w:hint="eastAsia" w:ascii="宋体" w:hAnsi="宋体" w:eastAsia="宋体" w:cs="宋体"/>
      <w:color w:val="000000"/>
      <w:sz w:val="24"/>
      <w:szCs w:val="24"/>
      <w:u w:val="none"/>
    </w:rPr>
  </w:style>
  <w:style w:type="character" w:styleId="1096" w:customStyle="1">
    <w:name w:val="批注文字 字符"/>
    <w:basedOn w:val="753"/>
    <w:link w:val="763"/>
    <w:uiPriority w:val="0"/>
    <w:qFormat/>
    <w:rPr>
      <w:rFonts w:ascii="Calibri" w:hAnsi="Calibri"/>
      <w:sz w:val="21"/>
      <w:szCs w:val="22"/>
    </w:rPr>
  </w:style>
  <w:style w:type="character" w:styleId="1097" w:customStyle="1">
    <w:name w:val="签名 字符"/>
    <w:basedOn w:val="753"/>
    <w:link w:val="783"/>
    <w:uiPriority w:val="0"/>
    <w:qFormat/>
    <w:rPr>
      <w:rFonts w:ascii="Calibri" w:hAnsi="Calibri" w:eastAsia="仿宋_GB2312"/>
      <w:sz w:val="24"/>
    </w:rPr>
  </w:style>
  <w:style w:type="character" w:styleId="1098" w:customStyle="1">
    <w:name w:val="批注主题 字符"/>
    <w:basedOn w:val="1096"/>
    <w:link w:val="803"/>
    <w:uiPriority w:val="99"/>
    <w:qFormat/>
    <w:rPr>
      <w:rFonts w:ascii="Calibri" w:hAnsi="Calibri"/>
      <w:b/>
      <w:bCs/>
      <w:sz w:val="21"/>
      <w:szCs w:val="21"/>
    </w:rPr>
  </w:style>
  <w:style w:type="paragraph" w:styleId="1099" w:customStyle="1">
    <w:name w:val="目录 711"/>
    <w:basedOn w:val="743"/>
    <w:next w:val="743"/>
    <w:uiPriority w:val="0"/>
    <w:semiHidden/>
    <w:qFormat/>
    <w:pPr>
      <w:ind w:left="1260"/>
      <w:jc w:val="left"/>
    </w:pPr>
    <w:rPr>
      <w:szCs w:val="21"/>
    </w:rPr>
  </w:style>
  <w:style w:type="paragraph" w:styleId="1100" w:customStyle="1">
    <w:name w:val="目录 511"/>
    <w:basedOn w:val="743"/>
    <w:next w:val="743"/>
    <w:uiPriority w:val="0"/>
    <w:semiHidden/>
    <w:qFormat/>
    <w:pPr>
      <w:ind w:left="840"/>
      <w:jc w:val="left"/>
    </w:pPr>
    <w:rPr>
      <w:szCs w:val="21"/>
    </w:rPr>
  </w:style>
  <w:style w:type="paragraph" w:styleId="1101" w:customStyle="1">
    <w:name w:val="目录 311"/>
    <w:basedOn w:val="743"/>
    <w:next w:val="743"/>
    <w:uiPriority w:val="0"/>
    <w:semiHidden/>
    <w:qFormat/>
    <w:pPr>
      <w:ind w:left="420"/>
      <w:jc w:val="left"/>
    </w:pPr>
    <w:rPr>
      <w:i/>
      <w:iCs/>
    </w:rPr>
  </w:style>
  <w:style w:type="paragraph" w:styleId="1102" w:customStyle="1">
    <w:name w:val="目录 811"/>
    <w:basedOn w:val="743"/>
    <w:next w:val="743"/>
    <w:uiPriority w:val="0"/>
    <w:semiHidden/>
    <w:qFormat/>
    <w:pPr>
      <w:ind w:left="1470"/>
      <w:jc w:val="left"/>
    </w:pPr>
    <w:rPr>
      <w:szCs w:val="21"/>
    </w:rPr>
  </w:style>
  <w:style w:type="paragraph" w:styleId="1103" w:customStyle="1">
    <w:name w:val="目录 111"/>
    <w:basedOn w:val="743"/>
    <w:next w:val="743"/>
    <w:uiPriority w:val="0"/>
    <w:semiHidden/>
    <w:qFormat/>
    <w:pPr>
      <w:jc w:val="left"/>
      <w:spacing w:before="120" w:after="120" w:line="400" w:lineRule="exact"/>
      <w:tabs>
        <w:tab w:val="right" w:pos="8720" w:leader="dot"/>
      </w:tabs>
    </w:pPr>
    <w:rPr>
      <w:rFonts w:ascii="宋体" w:hAnsi="宋体"/>
      <w:caps/>
      <w:sz w:val="24"/>
    </w:rPr>
  </w:style>
  <w:style w:type="paragraph" w:styleId="1104" w:customStyle="1">
    <w:name w:val="目录 411"/>
    <w:basedOn w:val="743"/>
    <w:next w:val="743"/>
    <w:uiPriority w:val="0"/>
    <w:semiHidden/>
    <w:qFormat/>
    <w:pPr>
      <w:ind w:left="630"/>
      <w:jc w:val="left"/>
    </w:pPr>
    <w:rPr>
      <w:szCs w:val="21"/>
    </w:rPr>
  </w:style>
  <w:style w:type="paragraph" w:styleId="1105" w:customStyle="1">
    <w:name w:val="目录 611"/>
    <w:basedOn w:val="743"/>
    <w:next w:val="743"/>
    <w:uiPriority w:val="0"/>
    <w:semiHidden/>
    <w:qFormat/>
    <w:pPr>
      <w:ind w:left="1050"/>
      <w:jc w:val="left"/>
    </w:pPr>
    <w:rPr>
      <w:szCs w:val="21"/>
    </w:rPr>
  </w:style>
  <w:style w:type="paragraph" w:styleId="1106" w:customStyle="1">
    <w:name w:val="目录 211"/>
    <w:basedOn w:val="743"/>
    <w:next w:val="743"/>
    <w:uiPriority w:val="0"/>
    <w:semiHidden/>
    <w:qFormat/>
    <w:pPr>
      <w:ind w:left="210"/>
      <w:jc w:val="left"/>
    </w:pPr>
    <w:rPr>
      <w:smallCaps/>
    </w:rPr>
  </w:style>
  <w:style w:type="paragraph" w:styleId="1107" w:customStyle="1">
    <w:name w:val="目录 911"/>
    <w:basedOn w:val="743"/>
    <w:next w:val="743"/>
    <w:uiPriority w:val="0"/>
    <w:semiHidden/>
    <w:qFormat/>
    <w:pPr>
      <w:ind w:left="1680"/>
      <w:jc w:val="left"/>
    </w:pPr>
    <w:rPr>
      <w:szCs w:val="21"/>
    </w:rPr>
  </w:style>
  <w:style w:type="paragraph" w:styleId="1108" w:customStyle="1">
    <w:name w:val="正文首行缩进11"/>
    <w:basedOn w:val="766"/>
    <w:link w:val="1109"/>
    <w:uiPriority w:val="0"/>
    <w:qFormat/>
    <w:pPr>
      <w:ind w:firstLine="200"/>
    </w:pPr>
    <w:rPr>
      <w:sz w:val="30"/>
      <w:szCs w:val="30"/>
    </w:rPr>
  </w:style>
  <w:style w:type="character" w:styleId="1109" w:customStyle="1">
    <w:name w:val="正文首行缩进 Char"/>
    <w:link w:val="1108"/>
    <w:uiPriority w:val="0"/>
    <w:qFormat/>
    <w:rPr>
      <w:rFonts w:ascii="仿宋_GB2312" w:eastAsia="仿宋_GB2312"/>
      <w:sz w:val="30"/>
      <w:szCs w:val="30"/>
    </w:rPr>
  </w:style>
  <w:style w:type="paragraph" w:styleId="1110" w:customStyle="1">
    <w:name w:val="正文首行缩进 21112"/>
    <w:basedOn w:val="767"/>
    <w:link w:val="1111"/>
    <w:uiPriority w:val="0"/>
    <w:qFormat/>
    <w:pPr>
      <w:ind w:left="0" w:firstLine="420"/>
      <w:spacing w:line="360" w:lineRule="auto"/>
    </w:pPr>
    <w:rPr>
      <w:rFonts w:ascii="宋体" w:hAnsi="宋体" w:eastAsia="宋体"/>
      <w:sz w:val="20"/>
    </w:rPr>
  </w:style>
  <w:style w:type="character" w:styleId="1111" w:customStyle="1">
    <w:name w:val="正文首行缩进 2 Char"/>
    <w:link w:val="1110"/>
    <w:uiPriority w:val="0"/>
    <w:qFormat/>
    <w:rPr>
      <w:rFonts w:ascii="宋体" w:hAnsi="宋体"/>
    </w:rPr>
  </w:style>
  <w:style w:type="character" w:styleId="1112" w:customStyle="1">
    <w:name w:val="已访问的超链接11"/>
    <w:uiPriority w:val="0"/>
    <w:qFormat/>
    <w:rPr>
      <w:color w:val="800080"/>
      <w:u w:val="single"/>
    </w:rPr>
  </w:style>
  <w:style w:type="paragraph" w:styleId="1113" w:customStyle="1">
    <w:name w:val="列出段落"/>
    <w:basedOn w:val="743"/>
    <w:uiPriority w:val="0"/>
    <w:qFormat/>
    <w:pPr>
      <w:contextualSpacing/>
      <w:ind w:left="720"/>
      <w:jc w:val="left"/>
      <w:widowControl/>
    </w:pPr>
    <w:rPr>
      <w:rFonts w:ascii="Calibri" w:hAnsi="Calibri"/>
      <w:sz w:val="24"/>
      <w:lang w:eastAsia="en-US" w:bidi="en-US"/>
    </w:rPr>
  </w:style>
  <w:style w:type="character" w:styleId="1114" w:customStyle="1">
    <w:name w:val="font5 Char"/>
    <w:uiPriority w:val="0"/>
    <w:qFormat/>
    <w:rPr>
      <w:rFonts w:ascii="宋体" w:hAnsi="宋体" w:eastAsia="宋体"/>
      <w:sz w:val="28"/>
      <w:szCs w:val="28"/>
      <w:lang w:val="en-US" w:eastAsia="zh-CN" w:bidi="ar-SA"/>
    </w:rPr>
  </w:style>
  <w:style w:type="character" w:styleId="1115" w:customStyle="1">
    <w:name w:val="二级目录 Char"/>
    <w:link w:val="1116"/>
    <w:uiPriority w:val="0"/>
    <w:qFormat/>
    <w:rPr>
      <w:rFonts w:ascii="Calibri" w:hAnsi="Calibri"/>
      <w:b/>
      <w:sz w:val="30"/>
      <w:szCs w:val="28"/>
    </w:rPr>
  </w:style>
  <w:style w:type="paragraph" w:styleId="1116" w:customStyle="1">
    <w:name w:val="二级目录"/>
    <w:next w:val="743"/>
    <w:link w:val="1115"/>
    <w:uiPriority w:val="0"/>
    <w:qFormat/>
    <w:pPr>
      <w:numPr>
        <w:ilvl w:val="0"/>
        <w:numId w:val="2"/>
      </w:numPr>
      <w:tabs>
        <w:tab w:val="left" w:pos="1145" w:leader="none"/>
      </w:tabs>
      <w:outlineLvl w:val="1"/>
    </w:pPr>
    <w:rPr>
      <w:rFonts w:hint="default" w:ascii="Calibri" w:hAnsi="Calibri" w:eastAsia="宋体" w:cs="Times New Roman"/>
      <w:b/>
      <w:sz w:val="30"/>
      <w:szCs w:val="28"/>
    </w:rPr>
  </w:style>
  <w:style w:type="character" w:styleId="1117" w:customStyle="1">
    <w:name w:val="列出段落 Char"/>
    <w:link w:val="1088"/>
    <w:uiPriority w:val="0"/>
    <w:qFormat/>
    <w:rPr>
      <w:rFonts w:ascii="Wingdings" w:hAnsi="Wingdings" w:eastAsia="幼圆" w:cs="Miss Sweetie"/>
      <w:sz w:val="21"/>
      <w:szCs w:val="22"/>
    </w:rPr>
  </w:style>
  <w:style w:type="paragraph" w:styleId="1118" w:customStyle="1">
    <w:name w:val="Body Text(ch)"/>
    <w:basedOn w:val="743"/>
    <w:next w:val="766"/>
    <w:uiPriority w:val="0"/>
    <w:qFormat/>
    <w:pPr>
      <w:spacing w:after="120"/>
    </w:pPr>
    <w:rPr>
      <w:rFonts w:ascii="宋体" w:hAnsi="Arial"/>
      <w:bCs/>
      <w:iCs/>
    </w:rPr>
  </w:style>
  <w:style w:type="paragraph" w:styleId="1119" w:customStyle="1">
    <w:name w:val="xl27"/>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20" w:customStyle="1">
    <w:name w:val="xl2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1" w:customStyle="1">
    <w:name w:val="table_lines"/>
    <w:basedOn w:val="743"/>
    <w:uiPriority w:val="0"/>
    <w:qFormat/>
    <w:pPr>
      <w:jc w:val="left"/>
      <w:widowControl/>
    </w:pPr>
    <w:rPr>
      <w:sz w:val="20"/>
      <w:szCs w:val="20"/>
      <w:lang w:val="de-DE" w:eastAsia="de-DE"/>
    </w:rPr>
  </w:style>
  <w:style w:type="paragraph" w:styleId="112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23" w:customStyle="1">
    <w:name w:val="font7"/>
    <w:basedOn w:val="743"/>
    <w:uiPriority w:val="0"/>
    <w:qFormat/>
    <w:pPr>
      <w:jc w:val="left"/>
      <w:spacing w:before="100" w:beforeAutospacing="1" w:after="100" w:afterAutospacing="1"/>
      <w:widowControl/>
    </w:pPr>
    <w:rPr>
      <w:rFonts w:hint="eastAsia" w:ascii="宋体" w:hAnsi="宋体"/>
      <w:sz w:val="18"/>
      <w:szCs w:val="18"/>
    </w:rPr>
  </w:style>
  <w:style w:type="paragraph" w:styleId="1124" w:customStyle="1">
    <w:name w:val="4"/>
    <w:basedOn w:val="743"/>
    <w:next w:val="792"/>
    <w:uiPriority w:val="0"/>
    <w:qFormat/>
    <w:pPr>
      <w:ind w:firstLine="420"/>
      <w:spacing w:line="360" w:lineRule="auto"/>
    </w:pPr>
    <w:rPr>
      <w:color w:val="ff0000"/>
      <w:sz w:val="24"/>
    </w:rPr>
  </w:style>
  <w:style w:type="paragraph" w:styleId="1125" w:customStyle="1">
    <w:name w:val="普通 (Web)"/>
    <w:basedOn w:val="743"/>
    <w:uiPriority w:val="0"/>
    <w:qFormat/>
    <w:pPr>
      <w:jc w:val="left"/>
      <w:spacing w:before="100" w:beforeAutospacing="1" w:after="100" w:afterAutospacing="1"/>
      <w:widowControl/>
    </w:pPr>
    <w:rPr>
      <w:rFonts w:ascii="宋体" w:hAnsi="宋体"/>
      <w:sz w:val="24"/>
    </w:rPr>
  </w:style>
  <w:style w:type="paragraph" w:styleId="1126" w:customStyle="1">
    <w:name w:val="样式1"/>
    <w:basedOn w:val="743"/>
    <w:uiPriority w:val="0"/>
    <w:qFormat/>
    <w:pPr>
      <w:numPr>
        <w:ilvl w:val="0"/>
        <w:numId w:val="3"/>
      </w:numPr>
    </w:pPr>
    <w:rPr>
      <w:rFonts w:ascii="宋体" w:hAnsi="宋体"/>
      <w:szCs w:val="21"/>
    </w:rPr>
  </w:style>
  <w:style w:type="paragraph" w:styleId="1127" w:customStyle="1">
    <w:name w:val="font6"/>
    <w:basedOn w:val="743"/>
    <w:uiPriority w:val="0"/>
    <w:qFormat/>
    <w:pPr>
      <w:jc w:val="left"/>
      <w:spacing w:before="100" w:beforeAutospacing="1" w:after="100" w:afterAutospacing="1"/>
      <w:widowControl/>
    </w:pPr>
    <w:rPr>
      <w:rFonts w:hint="eastAsia" w:ascii="宋体" w:hAnsi="宋体"/>
      <w:sz w:val="28"/>
      <w:szCs w:val="28"/>
      <w:u w:val="single"/>
    </w:rPr>
  </w:style>
  <w:style w:type="paragraph" w:styleId="1128" w:customStyle="1">
    <w:name w:val="图标"/>
    <w:basedOn w:val="743"/>
    <w:next w:val="74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9" w:customStyle="1">
    <w:name w:val="标题3"/>
    <w:basedOn w:val="743"/>
    <w:next w:val="743"/>
    <w:uiPriority w:val="0"/>
    <w:qFormat/>
    <w:pPr>
      <w:ind w:firstLine="624"/>
      <w:spacing w:line="590" w:lineRule="atLeast"/>
    </w:pPr>
    <w:rPr>
      <w:rFonts w:ascii="方正黑体_GBK" w:eastAsia="方正黑体_GBK"/>
      <w:sz w:val="32"/>
      <w:szCs w:val="32"/>
    </w:rPr>
  </w:style>
  <w:style w:type="paragraph" w:styleId="1130" w:customStyle="1">
    <w:name w:val="xl24"/>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1" w:customStyle="1">
    <w:name w:val="xl29"/>
    <w:basedOn w:val="74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32" w:customStyle="1">
    <w:name w:val="Char 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133" w:customStyle="1">
    <w:name w:val="xl2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34" w:customStyle="1">
    <w:name w:val="Char Char Char Char Char Char Char Char1"/>
    <w:basedOn w:val="743"/>
    <w:uiPriority w:val="0"/>
    <w:qFormat/>
    <w:pPr>
      <w:jc w:val="left"/>
      <w:spacing w:after="160" w:line="240" w:lineRule="exact"/>
      <w:widowControl/>
    </w:pPr>
    <w:rPr>
      <w:rFonts w:ascii="Verdana" w:hAnsi="Verdana"/>
      <w:sz w:val="20"/>
      <w:szCs w:val="20"/>
      <w:lang w:eastAsia="en-US"/>
    </w:rPr>
  </w:style>
  <w:style w:type="paragraph" w:styleId="1135" w:customStyle="1">
    <w:name w:val="xl30"/>
    <w:basedOn w:val="743"/>
    <w:uiPriority w:val="0"/>
    <w:qFormat/>
    <w:pPr>
      <w:jc w:val="center"/>
      <w:spacing w:before="100" w:beforeAutospacing="1" w:after="100" w:afterAutospacing="1"/>
      <w:widowControl/>
    </w:pPr>
    <w:rPr>
      <w:rFonts w:ascii="宋体" w:hAnsi="宋体"/>
      <w:b/>
      <w:bCs/>
      <w:sz w:val="36"/>
      <w:szCs w:val="36"/>
    </w:rPr>
  </w:style>
  <w:style w:type="paragraph" w:styleId="1136" w:customStyle="1">
    <w:name w:val="table_1stline"/>
    <w:basedOn w:val="743"/>
    <w:uiPriority w:val="0"/>
    <w:qFormat/>
    <w:pPr>
      <w:jc w:val="left"/>
      <w:spacing w:before="120"/>
      <w:widowControl/>
    </w:pPr>
    <w:rPr>
      <w:bCs/>
      <w:sz w:val="20"/>
      <w:szCs w:val="20"/>
      <w:lang w:val="de-DE" w:eastAsia="de-DE"/>
    </w:rPr>
  </w:style>
  <w:style w:type="paragraph" w:styleId="1137" w:customStyle="1">
    <w:name w:val="font5"/>
    <w:basedOn w:val="743"/>
    <w:uiPriority w:val="0"/>
    <w:qFormat/>
    <w:pPr>
      <w:jc w:val="left"/>
      <w:spacing w:before="100" w:beforeAutospacing="1" w:after="100" w:afterAutospacing="1"/>
      <w:widowControl/>
    </w:pPr>
    <w:rPr>
      <w:rFonts w:hint="eastAsia" w:ascii="宋体" w:hAnsi="宋体"/>
      <w:sz w:val="28"/>
      <w:szCs w:val="28"/>
    </w:rPr>
  </w:style>
  <w:style w:type="paragraph" w:styleId="1138" w:customStyle="1">
    <w:name w:val="p1"/>
    <w:basedOn w:val="743"/>
    <w:uiPriority w:val="0"/>
    <w:qFormat/>
    <w:pPr>
      <w:widowControl/>
    </w:pPr>
    <w:rPr>
      <w:rFonts w:ascii="Helvetica Neue" w:hAnsi="Helvetica Neue"/>
      <w:color w:val="454545"/>
      <w:sz w:val="18"/>
      <w:szCs w:val="18"/>
    </w:rPr>
  </w:style>
  <w:style w:type="paragraph" w:styleId="1139" w:customStyle="1">
    <w:name w:val="修订2"/>
    <w:uiPriority w:val="99"/>
    <w:unhideWhenUsed/>
    <w:qFormat/>
    <w:rPr>
      <w:rFonts w:hint="default" w:ascii="Calibri" w:hAnsi="Calibri" w:eastAsia="宋体" w:cs="Times New Roman"/>
      <w:sz w:val="21"/>
      <w:szCs w:val="22"/>
    </w:rPr>
  </w:style>
  <w:style w:type="paragraph" w:styleId="1140" w:customStyle="1">
    <w:name w:val="Table Paragraph"/>
    <w:basedOn w:val="743"/>
    <w:uiPriority w:val="1"/>
    <w:qFormat/>
    <w:pPr>
      <w:jc w:val="left"/>
    </w:pPr>
    <w:rPr>
      <w:rFonts w:ascii="宋体" w:hAnsi="宋体" w:cs="宋体"/>
      <w:sz w:val="22"/>
      <w:szCs w:val="22"/>
      <w:lang w:eastAsia="en-US"/>
    </w:rPr>
  </w:style>
  <w:style w:type="paragraph" w:styleId="1141" w:customStyle="1">
    <w:name w:val="段"/>
    <w:next w:val="743"/>
    <w:uiPriority w:val="0"/>
    <w:qFormat/>
    <w:pPr>
      <w:ind w:firstLine="200"/>
      <w:jc w:val="both"/>
    </w:pPr>
    <w:rPr>
      <w:rFonts w:hint="default" w:ascii="宋体" w:hAnsi="Times New Roman" w:eastAsia="宋体" w:cs="Times New Roman"/>
      <w:sz w:val="21"/>
    </w:rPr>
  </w:style>
  <w:style w:type="paragraph" w:styleId="1142" w:customStyle="1">
    <w:name w:val="BodyText1I21"/>
    <w:basedOn w:val="1143"/>
    <w:uiPriority w:val="0"/>
    <w:qFormat/>
    <w:pPr>
      <w:ind w:firstLine="420"/>
    </w:pPr>
  </w:style>
  <w:style w:type="paragraph" w:styleId="1143" w:customStyle="1">
    <w:name w:val="BodyTextIndent1"/>
    <w:basedOn w:val="743"/>
    <w:next w:val="1144"/>
    <w:uiPriority w:val="0"/>
    <w:qFormat/>
    <w:pPr>
      <w:ind w:left="570"/>
      <w:spacing w:line="520" w:lineRule="exact"/>
    </w:pPr>
    <w:rPr>
      <w:rFonts w:ascii="楷体_GB2312" w:hAnsi="Calibri"/>
      <w:szCs w:val="22"/>
    </w:rPr>
  </w:style>
  <w:style w:type="paragraph" w:styleId="1144" w:customStyle="1">
    <w:name w:val="EnvelopeReturn1"/>
    <w:basedOn w:val="743"/>
    <w:uiPriority w:val="0"/>
    <w:qFormat/>
    <w:rPr>
      <w:rFonts w:ascii="Arial" w:hAnsi="Arial"/>
      <w:szCs w:val="22"/>
    </w:rPr>
  </w:style>
  <w:style w:type="paragraph" w:styleId="1145" w:customStyle="1">
    <w:name w:val="题注1"/>
    <w:basedOn w:val="743"/>
    <w:next w:val="743"/>
    <w:uiPriority w:val="35"/>
    <w:semiHidden/>
    <w:unhideWhenUsed/>
    <w:qFormat/>
    <w:pPr>
      <w:spacing w:line="276" w:lineRule="auto"/>
    </w:pPr>
    <w:rPr>
      <w:rFonts w:ascii="Calibri" w:hAnsi="Calibri"/>
      <w:b/>
      <w:bCs/>
      <w:color w:val="4f81bd"/>
      <w:sz w:val="18"/>
      <w:szCs w:val="18"/>
    </w:rPr>
  </w:style>
  <w:style w:type="paragraph" w:styleId="1146" w:customStyle="1">
    <w:name w:val="正文首行缩进 21"/>
    <w:basedOn w:val="767"/>
    <w:uiPriority w:val="0"/>
    <w:unhideWhenUsed/>
    <w:qFormat/>
    <w:pPr>
      <w:ind w:left="420" w:firstLine="420"/>
      <w:spacing w:after="120"/>
    </w:pPr>
    <w:rPr>
      <w:rFonts w:ascii="Times New Roman" w:eastAsia="宋体"/>
      <w:sz w:val="21"/>
      <w:szCs w:val="22"/>
    </w:rPr>
  </w:style>
  <w:style w:type="character" w:styleId="1147" w:customStyle="1">
    <w:name w:val="标题 1 字符1"/>
    <w:uiPriority w:val="0"/>
    <w:qFormat/>
    <w:rPr>
      <w:rFonts w:ascii="Calibri" w:hAnsi="Calibri" w:eastAsia="楷体_GB2312"/>
      <w:b/>
      <w:sz w:val="44"/>
      <w:lang w:eastAsia="en-US"/>
    </w:rPr>
  </w:style>
  <w:style w:type="character" w:styleId="1148" w:customStyle="1">
    <w:name w:val="标题 2 字符1"/>
    <w:uiPriority w:val="0"/>
    <w:qFormat/>
    <w:rPr>
      <w:rFonts w:ascii="Cambria" w:hAnsi="Cambria"/>
      <w:b/>
      <w:bCs/>
      <w:sz w:val="32"/>
      <w:szCs w:val="32"/>
      <w:lang w:eastAsia="en-US"/>
    </w:rPr>
  </w:style>
  <w:style w:type="character" w:styleId="1149" w:customStyle="1">
    <w:name w:val="标题 4 字符1"/>
    <w:uiPriority w:val="0"/>
    <w:qFormat/>
    <w:rPr>
      <w:rFonts w:ascii="Arial" w:hAnsi="Arial" w:eastAsia="黑体"/>
      <w:b/>
      <w:bCs/>
      <w:sz w:val="28"/>
      <w:szCs w:val="28"/>
      <w:lang w:eastAsia="en-US"/>
    </w:rPr>
  </w:style>
  <w:style w:type="character" w:styleId="1150" w:customStyle="1">
    <w:name w:val="标题 3 字符1"/>
    <w:uiPriority w:val="99"/>
    <w:qFormat/>
    <w:rPr>
      <w:rFonts w:ascii="宋体" w:hAnsi="宋体"/>
      <w:b/>
      <w:bCs/>
      <w:sz w:val="27"/>
      <w:szCs w:val="27"/>
      <w:lang w:eastAsia="en-US"/>
    </w:rPr>
  </w:style>
  <w:style w:type="character" w:styleId="1151" w:customStyle="1">
    <w:name w:val="标题 5 字符1"/>
    <w:uiPriority w:val="0"/>
    <w:qFormat/>
    <w:rPr>
      <w:rFonts w:ascii="宋体" w:hAnsi="Calibri"/>
      <w:b/>
      <w:spacing w:val="-2"/>
      <w:position w:val="-6"/>
      <w:sz w:val="28"/>
      <w:lang w:eastAsia="en-US"/>
    </w:rPr>
  </w:style>
  <w:style w:type="character" w:styleId="1152" w:customStyle="1">
    <w:name w:val="标题 6 字符1"/>
    <w:uiPriority w:val="0"/>
    <w:qFormat/>
    <w:rPr>
      <w:rFonts w:ascii="Arial" w:hAnsi="Arial" w:eastAsia="黑体"/>
      <w:b/>
      <w:spacing w:val="-2"/>
      <w:position w:val="-6"/>
      <w:sz w:val="24"/>
      <w:lang w:eastAsia="en-US"/>
    </w:rPr>
  </w:style>
  <w:style w:type="character" w:styleId="1153" w:customStyle="1">
    <w:name w:val="标题 7 字符1"/>
    <w:uiPriority w:val="0"/>
    <w:qFormat/>
    <w:rPr>
      <w:rFonts w:ascii="宋体" w:hAnsi="Calibri"/>
      <w:b/>
      <w:spacing w:val="-2"/>
      <w:position w:val="-6"/>
      <w:sz w:val="24"/>
      <w:lang w:eastAsia="en-US"/>
    </w:rPr>
  </w:style>
  <w:style w:type="character" w:styleId="1154" w:customStyle="1">
    <w:name w:val="标题 8 字符1"/>
    <w:uiPriority w:val="0"/>
    <w:qFormat/>
    <w:rPr>
      <w:rFonts w:ascii="Arial" w:hAnsi="Arial" w:eastAsia="黑体"/>
      <w:spacing w:val="-2"/>
      <w:position w:val="-6"/>
      <w:sz w:val="24"/>
      <w:lang w:eastAsia="en-US"/>
    </w:rPr>
  </w:style>
  <w:style w:type="character" w:styleId="1155" w:customStyle="1">
    <w:name w:val="标题 9 字符1"/>
    <w:uiPriority w:val="0"/>
    <w:qFormat/>
    <w:rPr>
      <w:rFonts w:ascii="Arial" w:hAnsi="Arial" w:eastAsia="黑体"/>
      <w:spacing w:val="-2"/>
      <w:position w:val="-6"/>
      <w:sz w:val="28"/>
      <w:lang w:eastAsia="en-US"/>
    </w:rPr>
  </w:style>
  <w:style w:type="paragraph" w:styleId="1156" w:customStyle="1">
    <w:name w:val="列表段落1"/>
    <w:basedOn w:val="743"/>
    <w:uiPriority w:val="34"/>
    <w:qFormat/>
    <w:pPr>
      <w:contextualSpacing/>
      <w:ind w:left="720"/>
    </w:pPr>
    <w:rPr>
      <w:rFonts w:ascii="Calibri" w:hAnsi="Calibri"/>
      <w:szCs w:val="22"/>
    </w:rPr>
  </w:style>
  <w:style w:type="table" w:styleId="1157" w:customStyle="1">
    <w:name w:val="Table Grid Light1"/>
    <w:uiPriority w:val="59"/>
    <w:qFormat/>
    <w:tblPr>
      <w:tblCellMar>
        <w:left w:w="0" w:type="dxa"/>
        <w:top w:w="0" w:type="dxa"/>
        <w:right w:w="0" w:type="dxa"/>
        <w:bottom w:w="0" w:type="dxa"/>
      </w:tblCellMar>
    </w:tblPr>
  </w:style>
  <w:style w:type="table" w:styleId="1158" w:customStyle="1">
    <w:name w:val="无格式表格 111"/>
    <w:uiPriority w:val="59"/>
    <w:qFormat/>
    <w:tblPr>
      <w:tblCellMar>
        <w:left w:w="0" w:type="dxa"/>
        <w:top w:w="0" w:type="dxa"/>
        <w:right w:w="0" w:type="dxa"/>
        <w:bottom w:w="0" w:type="dxa"/>
      </w:tblCellMar>
    </w:tblPr>
  </w:style>
  <w:style w:type="table" w:styleId="1159" w:customStyle="1">
    <w:name w:val="无格式表格 211"/>
    <w:uiPriority w:val="59"/>
    <w:qFormat/>
    <w:tblPr>
      <w:tblCellMar>
        <w:left w:w="0" w:type="dxa"/>
        <w:top w:w="0" w:type="dxa"/>
        <w:right w:w="0" w:type="dxa"/>
        <w:bottom w:w="0" w:type="dxa"/>
      </w:tblCellMar>
    </w:tblPr>
  </w:style>
  <w:style w:type="table" w:styleId="1160" w:customStyle="1">
    <w:name w:val="无格式表格 311"/>
    <w:uiPriority w:val="99"/>
    <w:qFormat/>
    <w:tblPr>
      <w:tblCellMar>
        <w:left w:w="0" w:type="dxa"/>
        <w:top w:w="0" w:type="dxa"/>
        <w:right w:w="0" w:type="dxa"/>
        <w:bottom w:w="0" w:type="dxa"/>
      </w:tblCellMar>
    </w:tblPr>
  </w:style>
  <w:style w:type="table" w:styleId="1161" w:customStyle="1">
    <w:name w:val="无格式表格 411"/>
    <w:uiPriority w:val="99"/>
    <w:qFormat/>
    <w:tblPr>
      <w:tblCellMar>
        <w:left w:w="0" w:type="dxa"/>
        <w:top w:w="0" w:type="dxa"/>
        <w:right w:w="0" w:type="dxa"/>
        <w:bottom w:w="0" w:type="dxa"/>
      </w:tblCellMar>
    </w:tblPr>
  </w:style>
  <w:style w:type="table" w:styleId="1162" w:customStyle="1">
    <w:name w:val="无格式表格 511"/>
    <w:uiPriority w:val="99"/>
    <w:qFormat/>
    <w:tblPr>
      <w:tblCellMar>
        <w:left w:w="0" w:type="dxa"/>
        <w:top w:w="0" w:type="dxa"/>
        <w:right w:w="0" w:type="dxa"/>
        <w:bottom w:w="0" w:type="dxa"/>
      </w:tblCellMar>
    </w:tblPr>
  </w:style>
  <w:style w:type="table" w:styleId="1163" w:customStyle="1">
    <w:name w:val="网格表 1 浅色11"/>
    <w:uiPriority w:val="99"/>
    <w:qFormat/>
    <w:tblPr>
      <w:tblCellMar>
        <w:left w:w="0" w:type="dxa"/>
        <w:top w:w="0" w:type="dxa"/>
        <w:right w:w="0" w:type="dxa"/>
        <w:bottom w:w="0" w:type="dxa"/>
      </w:tblCellMar>
    </w:tblPr>
  </w:style>
  <w:style w:type="table" w:styleId="1164" w:customStyle="1">
    <w:name w:val="Grid Table 1 Light - Accent 11"/>
    <w:uiPriority w:val="99"/>
    <w:qFormat/>
    <w:tblPr>
      <w:tblCellMar>
        <w:left w:w="0" w:type="dxa"/>
        <w:top w:w="0" w:type="dxa"/>
        <w:right w:w="0" w:type="dxa"/>
        <w:bottom w:w="0" w:type="dxa"/>
      </w:tblCellMar>
    </w:tblPr>
  </w:style>
  <w:style w:type="table" w:styleId="1165" w:customStyle="1">
    <w:name w:val="Grid Table 1 Light - Accent 21"/>
    <w:uiPriority w:val="99"/>
    <w:qFormat/>
    <w:tblPr>
      <w:tblCellMar>
        <w:left w:w="0" w:type="dxa"/>
        <w:top w:w="0" w:type="dxa"/>
        <w:right w:w="0" w:type="dxa"/>
        <w:bottom w:w="0" w:type="dxa"/>
      </w:tblCellMar>
    </w:tblPr>
  </w:style>
  <w:style w:type="table" w:styleId="1166" w:customStyle="1">
    <w:name w:val="Grid Table 1 Light - Accent 31"/>
    <w:uiPriority w:val="99"/>
    <w:qFormat/>
    <w:tblPr>
      <w:tblCellMar>
        <w:left w:w="0" w:type="dxa"/>
        <w:top w:w="0" w:type="dxa"/>
        <w:right w:w="0" w:type="dxa"/>
        <w:bottom w:w="0" w:type="dxa"/>
      </w:tblCellMar>
    </w:tblPr>
  </w:style>
  <w:style w:type="table" w:styleId="1167" w:customStyle="1">
    <w:name w:val="Grid Table 1 Light - Accent 41"/>
    <w:uiPriority w:val="99"/>
    <w:qFormat/>
    <w:tblPr>
      <w:tblCellMar>
        <w:left w:w="0" w:type="dxa"/>
        <w:top w:w="0" w:type="dxa"/>
        <w:right w:w="0" w:type="dxa"/>
        <w:bottom w:w="0" w:type="dxa"/>
      </w:tblCellMar>
    </w:tblPr>
  </w:style>
  <w:style w:type="table" w:styleId="1168" w:customStyle="1">
    <w:name w:val="Grid Table 1 Light - Accent 51"/>
    <w:uiPriority w:val="99"/>
    <w:qFormat/>
    <w:tblPr>
      <w:tblCellMar>
        <w:left w:w="0" w:type="dxa"/>
        <w:top w:w="0" w:type="dxa"/>
        <w:right w:w="0" w:type="dxa"/>
        <w:bottom w:w="0" w:type="dxa"/>
      </w:tblCellMar>
    </w:tblPr>
  </w:style>
  <w:style w:type="table" w:styleId="1169" w:customStyle="1">
    <w:name w:val="Grid Table 1 Light - Accent 61"/>
    <w:uiPriority w:val="99"/>
    <w:qFormat/>
    <w:tblPr>
      <w:tblCellMar>
        <w:left w:w="0" w:type="dxa"/>
        <w:top w:w="0" w:type="dxa"/>
        <w:right w:w="0" w:type="dxa"/>
        <w:bottom w:w="0" w:type="dxa"/>
      </w:tblCellMar>
    </w:tblPr>
  </w:style>
  <w:style w:type="table" w:styleId="1170" w:customStyle="1">
    <w:name w:val="网格表 211"/>
    <w:uiPriority w:val="99"/>
    <w:qFormat/>
    <w:tblPr>
      <w:tblCellMar>
        <w:left w:w="0" w:type="dxa"/>
        <w:top w:w="0" w:type="dxa"/>
        <w:right w:w="0" w:type="dxa"/>
        <w:bottom w:w="0" w:type="dxa"/>
      </w:tblCellMar>
    </w:tblPr>
  </w:style>
  <w:style w:type="table" w:styleId="1171" w:customStyle="1">
    <w:name w:val="Grid Table 2 - Accent 11"/>
    <w:uiPriority w:val="99"/>
    <w:qFormat/>
    <w:tblPr>
      <w:tblCellMar>
        <w:left w:w="0" w:type="dxa"/>
        <w:top w:w="0" w:type="dxa"/>
        <w:right w:w="0" w:type="dxa"/>
        <w:bottom w:w="0" w:type="dxa"/>
      </w:tblCellMar>
    </w:tblPr>
  </w:style>
  <w:style w:type="table" w:styleId="1172" w:customStyle="1">
    <w:name w:val="Grid Table 2 - Accent 21"/>
    <w:uiPriority w:val="99"/>
    <w:qFormat/>
    <w:tblPr>
      <w:tblCellMar>
        <w:left w:w="0" w:type="dxa"/>
        <w:top w:w="0" w:type="dxa"/>
        <w:right w:w="0" w:type="dxa"/>
        <w:bottom w:w="0" w:type="dxa"/>
      </w:tblCellMar>
    </w:tblPr>
  </w:style>
  <w:style w:type="table" w:styleId="1173" w:customStyle="1">
    <w:name w:val="Grid Table 2 - Accent 31"/>
    <w:uiPriority w:val="99"/>
    <w:qFormat/>
    <w:tblPr>
      <w:tblCellMar>
        <w:left w:w="0" w:type="dxa"/>
        <w:top w:w="0" w:type="dxa"/>
        <w:right w:w="0" w:type="dxa"/>
        <w:bottom w:w="0" w:type="dxa"/>
      </w:tblCellMar>
    </w:tblPr>
  </w:style>
  <w:style w:type="table" w:styleId="1174" w:customStyle="1">
    <w:name w:val="Grid Table 2 - Accent 41"/>
    <w:uiPriority w:val="99"/>
    <w:qFormat/>
    <w:tblPr>
      <w:tblCellMar>
        <w:left w:w="0" w:type="dxa"/>
        <w:top w:w="0" w:type="dxa"/>
        <w:right w:w="0" w:type="dxa"/>
        <w:bottom w:w="0" w:type="dxa"/>
      </w:tblCellMar>
    </w:tblPr>
  </w:style>
  <w:style w:type="table" w:styleId="1175" w:customStyle="1">
    <w:name w:val="Grid Table 2 - Accent 51"/>
    <w:uiPriority w:val="99"/>
    <w:qFormat/>
    <w:tblPr>
      <w:tblCellMar>
        <w:left w:w="0" w:type="dxa"/>
        <w:top w:w="0" w:type="dxa"/>
        <w:right w:w="0" w:type="dxa"/>
        <w:bottom w:w="0" w:type="dxa"/>
      </w:tblCellMar>
    </w:tblPr>
  </w:style>
  <w:style w:type="table" w:styleId="1176" w:customStyle="1">
    <w:name w:val="Grid Table 2 - Accent 61"/>
    <w:uiPriority w:val="99"/>
    <w:qFormat/>
    <w:tblPr>
      <w:tblCellMar>
        <w:left w:w="0" w:type="dxa"/>
        <w:top w:w="0" w:type="dxa"/>
        <w:right w:w="0" w:type="dxa"/>
        <w:bottom w:w="0" w:type="dxa"/>
      </w:tblCellMar>
    </w:tblPr>
  </w:style>
  <w:style w:type="table" w:styleId="1177" w:customStyle="1">
    <w:name w:val="网格表 311"/>
    <w:uiPriority w:val="99"/>
    <w:qFormat/>
    <w:tblPr>
      <w:tblCellMar>
        <w:left w:w="0" w:type="dxa"/>
        <w:top w:w="0" w:type="dxa"/>
        <w:right w:w="0" w:type="dxa"/>
        <w:bottom w:w="0" w:type="dxa"/>
      </w:tblCellMar>
    </w:tblPr>
  </w:style>
  <w:style w:type="table" w:styleId="1178" w:customStyle="1">
    <w:name w:val="Grid Table 3 - Accent 11"/>
    <w:uiPriority w:val="99"/>
    <w:qFormat/>
    <w:tblPr>
      <w:tblCellMar>
        <w:left w:w="0" w:type="dxa"/>
        <w:top w:w="0" w:type="dxa"/>
        <w:right w:w="0" w:type="dxa"/>
        <w:bottom w:w="0" w:type="dxa"/>
      </w:tblCellMar>
    </w:tblPr>
  </w:style>
  <w:style w:type="table" w:styleId="1179" w:customStyle="1">
    <w:name w:val="Grid Table 3 - Accent 21"/>
    <w:uiPriority w:val="99"/>
    <w:qFormat/>
    <w:tblPr>
      <w:tblCellMar>
        <w:left w:w="0" w:type="dxa"/>
        <w:top w:w="0" w:type="dxa"/>
        <w:right w:w="0" w:type="dxa"/>
        <w:bottom w:w="0" w:type="dxa"/>
      </w:tblCellMar>
    </w:tblPr>
  </w:style>
  <w:style w:type="table" w:styleId="1180" w:customStyle="1">
    <w:name w:val="Grid Table 3 - Accent 31"/>
    <w:uiPriority w:val="99"/>
    <w:qFormat/>
    <w:tblPr>
      <w:tblCellMar>
        <w:left w:w="0" w:type="dxa"/>
        <w:top w:w="0" w:type="dxa"/>
        <w:right w:w="0" w:type="dxa"/>
        <w:bottom w:w="0" w:type="dxa"/>
      </w:tblCellMar>
    </w:tblPr>
  </w:style>
  <w:style w:type="table" w:styleId="1181" w:customStyle="1">
    <w:name w:val="Grid Table 3 - Accent 41"/>
    <w:uiPriority w:val="99"/>
    <w:qFormat/>
    <w:tblPr>
      <w:tblCellMar>
        <w:left w:w="0" w:type="dxa"/>
        <w:top w:w="0" w:type="dxa"/>
        <w:right w:w="0" w:type="dxa"/>
        <w:bottom w:w="0" w:type="dxa"/>
      </w:tblCellMar>
    </w:tblPr>
  </w:style>
  <w:style w:type="table" w:styleId="1182" w:customStyle="1">
    <w:name w:val="Grid Table 3 - Accent 51"/>
    <w:uiPriority w:val="99"/>
    <w:qFormat/>
    <w:tblPr>
      <w:tblCellMar>
        <w:left w:w="0" w:type="dxa"/>
        <w:top w:w="0" w:type="dxa"/>
        <w:right w:w="0" w:type="dxa"/>
        <w:bottom w:w="0" w:type="dxa"/>
      </w:tblCellMar>
    </w:tblPr>
  </w:style>
  <w:style w:type="table" w:styleId="1183" w:customStyle="1">
    <w:name w:val="Grid Table 3 - Accent 61"/>
    <w:uiPriority w:val="99"/>
    <w:qFormat/>
    <w:tblPr>
      <w:tblCellMar>
        <w:left w:w="0" w:type="dxa"/>
        <w:top w:w="0" w:type="dxa"/>
        <w:right w:w="0" w:type="dxa"/>
        <w:bottom w:w="0" w:type="dxa"/>
      </w:tblCellMar>
    </w:tblPr>
  </w:style>
  <w:style w:type="table" w:styleId="1184" w:customStyle="1">
    <w:name w:val="网格表 411"/>
    <w:uiPriority w:val="59"/>
    <w:qFormat/>
    <w:tblPr>
      <w:tblCellMar>
        <w:left w:w="0" w:type="dxa"/>
        <w:top w:w="0" w:type="dxa"/>
        <w:right w:w="0" w:type="dxa"/>
        <w:bottom w:w="0" w:type="dxa"/>
      </w:tblCellMar>
    </w:tblPr>
  </w:style>
  <w:style w:type="table" w:styleId="1185" w:customStyle="1">
    <w:name w:val="Grid Table 4 - Accent 11"/>
    <w:uiPriority w:val="59"/>
    <w:qFormat/>
    <w:tblPr>
      <w:tblCellMar>
        <w:left w:w="0" w:type="dxa"/>
        <w:top w:w="0" w:type="dxa"/>
        <w:right w:w="0" w:type="dxa"/>
        <w:bottom w:w="0" w:type="dxa"/>
      </w:tblCellMar>
    </w:tblPr>
  </w:style>
  <w:style w:type="table" w:styleId="1186" w:customStyle="1">
    <w:name w:val="Grid Table 4 - Accent 21"/>
    <w:uiPriority w:val="59"/>
    <w:qFormat/>
    <w:tblPr>
      <w:tblCellMar>
        <w:left w:w="0" w:type="dxa"/>
        <w:top w:w="0" w:type="dxa"/>
        <w:right w:w="0" w:type="dxa"/>
        <w:bottom w:w="0" w:type="dxa"/>
      </w:tblCellMar>
    </w:tblPr>
  </w:style>
  <w:style w:type="table" w:styleId="1187" w:customStyle="1">
    <w:name w:val="Grid Table 4 - Accent 31"/>
    <w:uiPriority w:val="59"/>
    <w:qFormat/>
    <w:tblPr>
      <w:tblCellMar>
        <w:left w:w="0" w:type="dxa"/>
        <w:top w:w="0" w:type="dxa"/>
        <w:right w:w="0" w:type="dxa"/>
        <w:bottom w:w="0" w:type="dxa"/>
      </w:tblCellMar>
    </w:tblPr>
  </w:style>
  <w:style w:type="table" w:styleId="1188" w:customStyle="1">
    <w:name w:val="Grid Table 4 - Accent 41"/>
    <w:uiPriority w:val="59"/>
    <w:qFormat/>
    <w:tblPr>
      <w:tblCellMar>
        <w:left w:w="0" w:type="dxa"/>
        <w:top w:w="0" w:type="dxa"/>
        <w:right w:w="0" w:type="dxa"/>
        <w:bottom w:w="0" w:type="dxa"/>
      </w:tblCellMar>
    </w:tblPr>
  </w:style>
  <w:style w:type="table" w:styleId="1189" w:customStyle="1">
    <w:name w:val="Grid Table 4 - Accent 51"/>
    <w:uiPriority w:val="59"/>
    <w:qFormat/>
    <w:tblPr>
      <w:tblCellMar>
        <w:left w:w="0" w:type="dxa"/>
        <w:top w:w="0" w:type="dxa"/>
        <w:right w:w="0" w:type="dxa"/>
        <w:bottom w:w="0" w:type="dxa"/>
      </w:tblCellMar>
    </w:tblPr>
  </w:style>
  <w:style w:type="table" w:styleId="1190" w:customStyle="1">
    <w:name w:val="Grid Table 4 - Accent 61"/>
    <w:uiPriority w:val="59"/>
    <w:qFormat/>
    <w:tblPr>
      <w:tblCellMar>
        <w:left w:w="0" w:type="dxa"/>
        <w:top w:w="0" w:type="dxa"/>
        <w:right w:w="0" w:type="dxa"/>
        <w:bottom w:w="0" w:type="dxa"/>
      </w:tblCellMar>
    </w:tblPr>
  </w:style>
  <w:style w:type="table" w:styleId="1191" w:customStyle="1">
    <w:name w:val="网格表 5 深色11"/>
    <w:uiPriority w:val="99"/>
    <w:qFormat/>
    <w:tblPr>
      <w:tblCellMar>
        <w:left w:w="0" w:type="dxa"/>
        <w:top w:w="0" w:type="dxa"/>
        <w:right w:w="0" w:type="dxa"/>
        <w:bottom w:w="0" w:type="dxa"/>
      </w:tblCellMar>
    </w:tblPr>
  </w:style>
  <w:style w:type="table" w:styleId="1192" w:customStyle="1">
    <w:name w:val="Grid Table 5 Dark- Accent 11"/>
    <w:uiPriority w:val="99"/>
    <w:qFormat/>
    <w:tblPr>
      <w:tblCellMar>
        <w:left w:w="0" w:type="dxa"/>
        <w:top w:w="0" w:type="dxa"/>
        <w:right w:w="0" w:type="dxa"/>
        <w:bottom w:w="0" w:type="dxa"/>
      </w:tblCellMar>
    </w:tblPr>
  </w:style>
  <w:style w:type="table" w:styleId="1193" w:customStyle="1">
    <w:name w:val="Grid Table 5 Dark - Accent 21"/>
    <w:uiPriority w:val="99"/>
    <w:qFormat/>
    <w:tblPr>
      <w:tblCellMar>
        <w:left w:w="0" w:type="dxa"/>
        <w:top w:w="0" w:type="dxa"/>
        <w:right w:w="0" w:type="dxa"/>
        <w:bottom w:w="0" w:type="dxa"/>
      </w:tblCellMar>
    </w:tblPr>
  </w:style>
  <w:style w:type="table" w:styleId="1194" w:customStyle="1">
    <w:name w:val="Grid Table 5 Dark - Accent 31"/>
    <w:uiPriority w:val="99"/>
    <w:qFormat/>
    <w:tblPr>
      <w:tblCellMar>
        <w:left w:w="0" w:type="dxa"/>
        <w:top w:w="0" w:type="dxa"/>
        <w:right w:w="0" w:type="dxa"/>
        <w:bottom w:w="0" w:type="dxa"/>
      </w:tblCellMar>
    </w:tblPr>
  </w:style>
  <w:style w:type="table" w:styleId="1195" w:customStyle="1">
    <w:name w:val="Grid Table 5 Dark- Accent 41"/>
    <w:uiPriority w:val="99"/>
    <w:qFormat/>
    <w:tblPr>
      <w:tblCellMar>
        <w:left w:w="0" w:type="dxa"/>
        <w:top w:w="0" w:type="dxa"/>
        <w:right w:w="0" w:type="dxa"/>
        <w:bottom w:w="0" w:type="dxa"/>
      </w:tblCellMar>
    </w:tblPr>
  </w:style>
  <w:style w:type="table" w:styleId="1196" w:customStyle="1">
    <w:name w:val="Grid Table 5 Dark - Accent 51"/>
    <w:uiPriority w:val="99"/>
    <w:qFormat/>
    <w:tblPr>
      <w:tblCellMar>
        <w:left w:w="0" w:type="dxa"/>
        <w:top w:w="0" w:type="dxa"/>
        <w:right w:w="0" w:type="dxa"/>
        <w:bottom w:w="0" w:type="dxa"/>
      </w:tblCellMar>
    </w:tblPr>
  </w:style>
  <w:style w:type="table" w:styleId="1197" w:customStyle="1">
    <w:name w:val="Grid Table 5 Dark - Accent 61"/>
    <w:uiPriority w:val="99"/>
    <w:qFormat/>
    <w:tblPr>
      <w:tblCellMar>
        <w:left w:w="0" w:type="dxa"/>
        <w:top w:w="0" w:type="dxa"/>
        <w:right w:w="0" w:type="dxa"/>
        <w:bottom w:w="0" w:type="dxa"/>
      </w:tblCellMar>
    </w:tblPr>
  </w:style>
  <w:style w:type="table" w:styleId="1198" w:customStyle="1">
    <w:name w:val="网格表 6 彩色11"/>
    <w:uiPriority w:val="99"/>
    <w:qFormat/>
    <w:tblPr>
      <w:tblCellMar>
        <w:left w:w="0" w:type="dxa"/>
        <w:top w:w="0" w:type="dxa"/>
        <w:right w:w="0" w:type="dxa"/>
        <w:bottom w:w="0" w:type="dxa"/>
      </w:tblCellMar>
    </w:tblPr>
  </w:style>
  <w:style w:type="table" w:styleId="1199" w:customStyle="1">
    <w:name w:val="Grid Table 6 Colorful - Accent 11"/>
    <w:uiPriority w:val="99"/>
    <w:qFormat/>
    <w:tblPr>
      <w:tblCellMar>
        <w:left w:w="0" w:type="dxa"/>
        <w:top w:w="0" w:type="dxa"/>
        <w:right w:w="0" w:type="dxa"/>
        <w:bottom w:w="0" w:type="dxa"/>
      </w:tblCellMar>
    </w:tblPr>
  </w:style>
  <w:style w:type="table" w:styleId="1200" w:customStyle="1">
    <w:name w:val="Grid Table 6 Colorful - Accent 21"/>
    <w:uiPriority w:val="99"/>
    <w:qFormat/>
    <w:tblPr>
      <w:tblCellMar>
        <w:left w:w="0" w:type="dxa"/>
        <w:top w:w="0" w:type="dxa"/>
        <w:right w:w="0" w:type="dxa"/>
        <w:bottom w:w="0" w:type="dxa"/>
      </w:tblCellMar>
    </w:tblPr>
  </w:style>
  <w:style w:type="table" w:styleId="1201" w:customStyle="1">
    <w:name w:val="Grid Table 6 Colorful - Accent 31"/>
    <w:uiPriority w:val="99"/>
    <w:qFormat/>
    <w:tblPr>
      <w:tblCellMar>
        <w:left w:w="0" w:type="dxa"/>
        <w:top w:w="0" w:type="dxa"/>
        <w:right w:w="0" w:type="dxa"/>
        <w:bottom w:w="0" w:type="dxa"/>
      </w:tblCellMar>
    </w:tblPr>
  </w:style>
  <w:style w:type="table" w:styleId="1202" w:customStyle="1">
    <w:name w:val="Grid Table 6 Colorful - Accent 41"/>
    <w:uiPriority w:val="99"/>
    <w:qFormat/>
    <w:tblPr>
      <w:tblCellMar>
        <w:left w:w="0" w:type="dxa"/>
        <w:top w:w="0" w:type="dxa"/>
        <w:right w:w="0" w:type="dxa"/>
        <w:bottom w:w="0" w:type="dxa"/>
      </w:tblCellMar>
    </w:tblPr>
  </w:style>
  <w:style w:type="table" w:styleId="1203" w:customStyle="1">
    <w:name w:val="Grid Table 6 Colorful - Accent 51"/>
    <w:uiPriority w:val="99"/>
    <w:qFormat/>
    <w:tblPr>
      <w:tblCellMar>
        <w:left w:w="0" w:type="dxa"/>
        <w:top w:w="0" w:type="dxa"/>
        <w:right w:w="0" w:type="dxa"/>
        <w:bottom w:w="0" w:type="dxa"/>
      </w:tblCellMar>
    </w:tblPr>
  </w:style>
  <w:style w:type="table" w:styleId="1204" w:customStyle="1">
    <w:name w:val="Grid Table 6 Colorful - Accent 61"/>
    <w:uiPriority w:val="99"/>
    <w:qFormat/>
    <w:tblPr>
      <w:tblCellMar>
        <w:left w:w="0" w:type="dxa"/>
        <w:top w:w="0" w:type="dxa"/>
        <w:right w:w="0" w:type="dxa"/>
        <w:bottom w:w="0" w:type="dxa"/>
      </w:tblCellMar>
    </w:tblPr>
  </w:style>
  <w:style w:type="table" w:styleId="1205" w:customStyle="1">
    <w:name w:val="网格表 7 彩色11"/>
    <w:uiPriority w:val="99"/>
    <w:qFormat/>
    <w:tblPr>
      <w:tblCellMar>
        <w:left w:w="0" w:type="dxa"/>
        <w:top w:w="0" w:type="dxa"/>
        <w:right w:w="0" w:type="dxa"/>
        <w:bottom w:w="0" w:type="dxa"/>
      </w:tblCellMar>
    </w:tblPr>
  </w:style>
  <w:style w:type="table" w:styleId="1206" w:customStyle="1">
    <w:name w:val="Grid Table 7 Colorful - Accent 11"/>
    <w:uiPriority w:val="99"/>
    <w:qFormat/>
    <w:tblPr>
      <w:tblCellMar>
        <w:left w:w="0" w:type="dxa"/>
        <w:top w:w="0" w:type="dxa"/>
        <w:right w:w="0" w:type="dxa"/>
        <w:bottom w:w="0" w:type="dxa"/>
      </w:tblCellMar>
    </w:tblPr>
  </w:style>
  <w:style w:type="table" w:styleId="1207" w:customStyle="1">
    <w:name w:val="Grid Table 7 Colorful - Accent 21"/>
    <w:uiPriority w:val="99"/>
    <w:qFormat/>
    <w:tblPr>
      <w:tblCellMar>
        <w:left w:w="0" w:type="dxa"/>
        <w:top w:w="0" w:type="dxa"/>
        <w:right w:w="0" w:type="dxa"/>
        <w:bottom w:w="0" w:type="dxa"/>
      </w:tblCellMar>
    </w:tblPr>
  </w:style>
  <w:style w:type="table" w:styleId="1208" w:customStyle="1">
    <w:name w:val="Grid Table 7 Colorful - Accent 31"/>
    <w:uiPriority w:val="99"/>
    <w:qFormat/>
    <w:tblPr>
      <w:tblCellMar>
        <w:left w:w="0" w:type="dxa"/>
        <w:top w:w="0" w:type="dxa"/>
        <w:right w:w="0" w:type="dxa"/>
        <w:bottom w:w="0" w:type="dxa"/>
      </w:tblCellMar>
    </w:tblPr>
  </w:style>
  <w:style w:type="table" w:styleId="1209" w:customStyle="1">
    <w:name w:val="Grid Table 7 Colorful - Accent 41"/>
    <w:uiPriority w:val="99"/>
    <w:qFormat/>
    <w:tblPr>
      <w:tblCellMar>
        <w:left w:w="0" w:type="dxa"/>
        <w:top w:w="0" w:type="dxa"/>
        <w:right w:w="0" w:type="dxa"/>
        <w:bottom w:w="0" w:type="dxa"/>
      </w:tblCellMar>
    </w:tblPr>
  </w:style>
  <w:style w:type="table" w:styleId="1210" w:customStyle="1">
    <w:name w:val="Grid Table 7 Colorful - Accent 51"/>
    <w:uiPriority w:val="99"/>
    <w:qFormat/>
    <w:tblPr>
      <w:tblCellMar>
        <w:left w:w="0" w:type="dxa"/>
        <w:top w:w="0" w:type="dxa"/>
        <w:right w:w="0" w:type="dxa"/>
        <w:bottom w:w="0" w:type="dxa"/>
      </w:tblCellMar>
    </w:tblPr>
  </w:style>
  <w:style w:type="table" w:styleId="1211" w:customStyle="1">
    <w:name w:val="Grid Table 7 Colorful - Accent 61"/>
    <w:uiPriority w:val="99"/>
    <w:qFormat/>
    <w:tblPr>
      <w:tblCellMar>
        <w:left w:w="0" w:type="dxa"/>
        <w:top w:w="0" w:type="dxa"/>
        <w:right w:w="0" w:type="dxa"/>
        <w:bottom w:w="0" w:type="dxa"/>
      </w:tblCellMar>
    </w:tblPr>
  </w:style>
  <w:style w:type="table" w:styleId="1212" w:customStyle="1">
    <w:name w:val="清单表 1 浅色11"/>
    <w:uiPriority w:val="99"/>
    <w:qFormat/>
    <w:tblPr>
      <w:tblCellMar>
        <w:left w:w="0" w:type="dxa"/>
        <w:top w:w="0" w:type="dxa"/>
        <w:right w:w="0" w:type="dxa"/>
        <w:bottom w:w="0" w:type="dxa"/>
      </w:tblCellMar>
    </w:tblPr>
  </w:style>
  <w:style w:type="table" w:styleId="1213" w:customStyle="1">
    <w:name w:val="List Table 1 Light - Accent 11"/>
    <w:uiPriority w:val="99"/>
    <w:qFormat/>
    <w:tblPr>
      <w:tblCellMar>
        <w:left w:w="0" w:type="dxa"/>
        <w:top w:w="0" w:type="dxa"/>
        <w:right w:w="0" w:type="dxa"/>
        <w:bottom w:w="0" w:type="dxa"/>
      </w:tblCellMar>
    </w:tblPr>
  </w:style>
  <w:style w:type="table" w:styleId="1214" w:customStyle="1">
    <w:name w:val="List Table 1 Light - Accent 21"/>
    <w:uiPriority w:val="99"/>
    <w:qFormat/>
    <w:tblPr>
      <w:tblCellMar>
        <w:left w:w="0" w:type="dxa"/>
        <w:top w:w="0" w:type="dxa"/>
        <w:right w:w="0" w:type="dxa"/>
        <w:bottom w:w="0" w:type="dxa"/>
      </w:tblCellMar>
    </w:tblPr>
  </w:style>
  <w:style w:type="table" w:styleId="1215" w:customStyle="1">
    <w:name w:val="List Table 1 Light - Accent 31"/>
    <w:uiPriority w:val="99"/>
    <w:qFormat/>
    <w:tblPr>
      <w:tblCellMar>
        <w:left w:w="0" w:type="dxa"/>
        <w:top w:w="0" w:type="dxa"/>
        <w:right w:w="0" w:type="dxa"/>
        <w:bottom w:w="0" w:type="dxa"/>
      </w:tblCellMar>
    </w:tblPr>
  </w:style>
  <w:style w:type="table" w:styleId="1216" w:customStyle="1">
    <w:name w:val="List Table 1 Light - Accent 41"/>
    <w:uiPriority w:val="99"/>
    <w:qFormat/>
    <w:tblPr>
      <w:tblCellMar>
        <w:left w:w="0" w:type="dxa"/>
        <w:top w:w="0" w:type="dxa"/>
        <w:right w:w="0" w:type="dxa"/>
        <w:bottom w:w="0" w:type="dxa"/>
      </w:tblCellMar>
    </w:tblPr>
  </w:style>
  <w:style w:type="table" w:styleId="1217" w:customStyle="1">
    <w:name w:val="List Table 1 Light - Accent 51"/>
    <w:uiPriority w:val="99"/>
    <w:qFormat/>
    <w:tblPr>
      <w:tblCellMar>
        <w:left w:w="0" w:type="dxa"/>
        <w:top w:w="0" w:type="dxa"/>
        <w:right w:w="0" w:type="dxa"/>
        <w:bottom w:w="0" w:type="dxa"/>
      </w:tblCellMar>
    </w:tblPr>
  </w:style>
  <w:style w:type="table" w:styleId="1218" w:customStyle="1">
    <w:name w:val="List Table 1 Light - Accent 61"/>
    <w:uiPriority w:val="99"/>
    <w:qFormat/>
    <w:tblPr>
      <w:tblCellMar>
        <w:left w:w="0" w:type="dxa"/>
        <w:top w:w="0" w:type="dxa"/>
        <w:right w:w="0" w:type="dxa"/>
        <w:bottom w:w="0" w:type="dxa"/>
      </w:tblCellMar>
    </w:tblPr>
  </w:style>
  <w:style w:type="table" w:styleId="1219" w:customStyle="1">
    <w:name w:val="清单表 211"/>
    <w:uiPriority w:val="99"/>
    <w:qFormat/>
    <w:tblPr>
      <w:tblCellMar>
        <w:left w:w="0" w:type="dxa"/>
        <w:top w:w="0" w:type="dxa"/>
        <w:right w:w="0" w:type="dxa"/>
        <w:bottom w:w="0" w:type="dxa"/>
      </w:tblCellMar>
    </w:tblPr>
  </w:style>
  <w:style w:type="table" w:styleId="1220" w:customStyle="1">
    <w:name w:val="List Table 2 - Accent 11"/>
    <w:uiPriority w:val="99"/>
    <w:qFormat/>
    <w:tblPr>
      <w:tblCellMar>
        <w:left w:w="0" w:type="dxa"/>
        <w:top w:w="0" w:type="dxa"/>
        <w:right w:w="0" w:type="dxa"/>
        <w:bottom w:w="0" w:type="dxa"/>
      </w:tblCellMar>
    </w:tblPr>
  </w:style>
  <w:style w:type="table" w:styleId="1221" w:customStyle="1">
    <w:name w:val="List Table 2 - Accent 21"/>
    <w:uiPriority w:val="99"/>
    <w:qFormat/>
    <w:tblPr>
      <w:tblCellMar>
        <w:left w:w="0" w:type="dxa"/>
        <w:top w:w="0" w:type="dxa"/>
        <w:right w:w="0" w:type="dxa"/>
        <w:bottom w:w="0" w:type="dxa"/>
      </w:tblCellMar>
    </w:tblPr>
  </w:style>
  <w:style w:type="table" w:styleId="1222" w:customStyle="1">
    <w:name w:val="List Table 2 - Accent 31"/>
    <w:uiPriority w:val="99"/>
    <w:qFormat/>
    <w:tblPr>
      <w:tblCellMar>
        <w:left w:w="0" w:type="dxa"/>
        <w:top w:w="0" w:type="dxa"/>
        <w:right w:w="0" w:type="dxa"/>
        <w:bottom w:w="0" w:type="dxa"/>
      </w:tblCellMar>
    </w:tblPr>
  </w:style>
  <w:style w:type="table" w:styleId="1223" w:customStyle="1">
    <w:name w:val="List Table 2 - Accent 41"/>
    <w:uiPriority w:val="99"/>
    <w:qFormat/>
    <w:tblPr>
      <w:tblCellMar>
        <w:left w:w="0" w:type="dxa"/>
        <w:top w:w="0" w:type="dxa"/>
        <w:right w:w="0" w:type="dxa"/>
        <w:bottom w:w="0" w:type="dxa"/>
      </w:tblCellMar>
    </w:tblPr>
  </w:style>
  <w:style w:type="table" w:styleId="1224" w:customStyle="1">
    <w:name w:val="List Table 2 - Accent 51"/>
    <w:uiPriority w:val="99"/>
    <w:qFormat/>
    <w:tblPr>
      <w:tblCellMar>
        <w:left w:w="0" w:type="dxa"/>
        <w:top w:w="0" w:type="dxa"/>
        <w:right w:w="0" w:type="dxa"/>
        <w:bottom w:w="0" w:type="dxa"/>
      </w:tblCellMar>
    </w:tblPr>
  </w:style>
  <w:style w:type="table" w:styleId="1225" w:customStyle="1">
    <w:name w:val="List Table 2 - Accent 61"/>
    <w:uiPriority w:val="99"/>
    <w:qFormat/>
    <w:tblPr>
      <w:tblCellMar>
        <w:left w:w="0" w:type="dxa"/>
        <w:top w:w="0" w:type="dxa"/>
        <w:right w:w="0" w:type="dxa"/>
        <w:bottom w:w="0" w:type="dxa"/>
      </w:tblCellMar>
    </w:tblPr>
  </w:style>
  <w:style w:type="table" w:styleId="1226" w:customStyle="1">
    <w:name w:val="清单表 311"/>
    <w:uiPriority w:val="99"/>
    <w:qFormat/>
    <w:tblPr>
      <w:tblCellMar>
        <w:left w:w="0" w:type="dxa"/>
        <w:top w:w="0" w:type="dxa"/>
        <w:right w:w="0" w:type="dxa"/>
        <w:bottom w:w="0" w:type="dxa"/>
      </w:tblCellMar>
    </w:tblPr>
  </w:style>
  <w:style w:type="table" w:styleId="1227" w:customStyle="1">
    <w:name w:val="List Table 3 - Accent 11"/>
    <w:uiPriority w:val="99"/>
    <w:qFormat/>
    <w:tblPr>
      <w:tblCellMar>
        <w:left w:w="0" w:type="dxa"/>
        <w:top w:w="0" w:type="dxa"/>
        <w:right w:w="0" w:type="dxa"/>
        <w:bottom w:w="0" w:type="dxa"/>
      </w:tblCellMar>
    </w:tblPr>
  </w:style>
  <w:style w:type="table" w:styleId="1228" w:customStyle="1">
    <w:name w:val="List Table 3 - Accent 21"/>
    <w:uiPriority w:val="99"/>
    <w:qFormat/>
    <w:tblPr>
      <w:tblCellMar>
        <w:left w:w="0" w:type="dxa"/>
        <w:top w:w="0" w:type="dxa"/>
        <w:right w:w="0" w:type="dxa"/>
        <w:bottom w:w="0" w:type="dxa"/>
      </w:tblCellMar>
    </w:tblPr>
  </w:style>
  <w:style w:type="table" w:styleId="1229" w:customStyle="1">
    <w:name w:val="List Table 3 - Accent 31"/>
    <w:uiPriority w:val="99"/>
    <w:qFormat/>
    <w:tblPr>
      <w:tblCellMar>
        <w:left w:w="0" w:type="dxa"/>
        <w:top w:w="0" w:type="dxa"/>
        <w:right w:w="0" w:type="dxa"/>
        <w:bottom w:w="0" w:type="dxa"/>
      </w:tblCellMar>
    </w:tblPr>
  </w:style>
  <w:style w:type="table" w:styleId="1230" w:customStyle="1">
    <w:name w:val="List Table 3 - Accent 41"/>
    <w:uiPriority w:val="99"/>
    <w:qFormat/>
    <w:tblPr>
      <w:tblCellMar>
        <w:left w:w="0" w:type="dxa"/>
        <w:top w:w="0" w:type="dxa"/>
        <w:right w:w="0" w:type="dxa"/>
        <w:bottom w:w="0" w:type="dxa"/>
      </w:tblCellMar>
    </w:tblPr>
  </w:style>
  <w:style w:type="table" w:styleId="1231" w:customStyle="1">
    <w:name w:val="List Table 3 - Accent 51"/>
    <w:uiPriority w:val="99"/>
    <w:qFormat/>
    <w:tblPr>
      <w:tblCellMar>
        <w:left w:w="0" w:type="dxa"/>
        <w:top w:w="0" w:type="dxa"/>
        <w:right w:w="0" w:type="dxa"/>
        <w:bottom w:w="0" w:type="dxa"/>
      </w:tblCellMar>
    </w:tblPr>
  </w:style>
  <w:style w:type="table" w:styleId="1232" w:customStyle="1">
    <w:name w:val="List Table 3 - Accent 61"/>
    <w:uiPriority w:val="99"/>
    <w:qFormat/>
    <w:tblPr>
      <w:tblCellMar>
        <w:left w:w="0" w:type="dxa"/>
        <w:top w:w="0" w:type="dxa"/>
        <w:right w:w="0" w:type="dxa"/>
        <w:bottom w:w="0" w:type="dxa"/>
      </w:tblCellMar>
    </w:tblPr>
  </w:style>
  <w:style w:type="table" w:styleId="1233" w:customStyle="1">
    <w:name w:val="清单表 411"/>
    <w:uiPriority w:val="99"/>
    <w:qFormat/>
    <w:tblPr>
      <w:tblCellMar>
        <w:left w:w="0" w:type="dxa"/>
        <w:top w:w="0" w:type="dxa"/>
        <w:right w:w="0" w:type="dxa"/>
        <w:bottom w:w="0" w:type="dxa"/>
      </w:tblCellMar>
    </w:tblPr>
  </w:style>
  <w:style w:type="table" w:styleId="1234" w:customStyle="1">
    <w:name w:val="List Table 4 - Accent 11"/>
    <w:uiPriority w:val="99"/>
    <w:qFormat/>
    <w:tblPr>
      <w:tblCellMar>
        <w:left w:w="0" w:type="dxa"/>
        <w:top w:w="0" w:type="dxa"/>
        <w:right w:w="0" w:type="dxa"/>
        <w:bottom w:w="0" w:type="dxa"/>
      </w:tblCellMar>
    </w:tblPr>
  </w:style>
  <w:style w:type="table" w:styleId="1235" w:customStyle="1">
    <w:name w:val="List Table 4 - Accent 21"/>
    <w:uiPriority w:val="99"/>
    <w:qFormat/>
    <w:tblPr>
      <w:tblCellMar>
        <w:left w:w="0" w:type="dxa"/>
        <w:top w:w="0" w:type="dxa"/>
        <w:right w:w="0" w:type="dxa"/>
        <w:bottom w:w="0" w:type="dxa"/>
      </w:tblCellMar>
    </w:tblPr>
  </w:style>
  <w:style w:type="table" w:styleId="1236" w:customStyle="1">
    <w:name w:val="List Table 4 - Accent 31"/>
    <w:uiPriority w:val="99"/>
    <w:qFormat/>
    <w:tblPr>
      <w:tblCellMar>
        <w:left w:w="0" w:type="dxa"/>
        <w:top w:w="0" w:type="dxa"/>
        <w:right w:w="0" w:type="dxa"/>
        <w:bottom w:w="0" w:type="dxa"/>
      </w:tblCellMar>
    </w:tblPr>
  </w:style>
  <w:style w:type="table" w:styleId="1237" w:customStyle="1">
    <w:name w:val="List Table 4 - Accent 41"/>
    <w:uiPriority w:val="99"/>
    <w:qFormat/>
    <w:tblPr>
      <w:tblCellMar>
        <w:left w:w="0" w:type="dxa"/>
        <w:top w:w="0" w:type="dxa"/>
        <w:right w:w="0" w:type="dxa"/>
        <w:bottom w:w="0" w:type="dxa"/>
      </w:tblCellMar>
    </w:tblPr>
  </w:style>
  <w:style w:type="table" w:styleId="1238" w:customStyle="1">
    <w:name w:val="List Table 4 - Accent 51"/>
    <w:uiPriority w:val="99"/>
    <w:qFormat/>
    <w:tblPr>
      <w:tblCellMar>
        <w:left w:w="0" w:type="dxa"/>
        <w:top w:w="0" w:type="dxa"/>
        <w:right w:w="0" w:type="dxa"/>
        <w:bottom w:w="0" w:type="dxa"/>
      </w:tblCellMar>
    </w:tblPr>
  </w:style>
  <w:style w:type="table" w:styleId="1239" w:customStyle="1">
    <w:name w:val="List Table 4 - Accent 61"/>
    <w:uiPriority w:val="99"/>
    <w:qFormat/>
    <w:tblPr>
      <w:tblCellMar>
        <w:left w:w="0" w:type="dxa"/>
        <w:top w:w="0" w:type="dxa"/>
        <w:right w:w="0" w:type="dxa"/>
        <w:bottom w:w="0" w:type="dxa"/>
      </w:tblCellMar>
    </w:tblPr>
  </w:style>
  <w:style w:type="table" w:styleId="1240" w:customStyle="1">
    <w:name w:val="清单表 5 深色11"/>
    <w:uiPriority w:val="99"/>
    <w:qFormat/>
    <w:tblPr>
      <w:tblCellMar>
        <w:left w:w="0" w:type="dxa"/>
        <w:top w:w="0" w:type="dxa"/>
        <w:right w:w="0" w:type="dxa"/>
        <w:bottom w:w="0" w:type="dxa"/>
      </w:tblCellMar>
    </w:tblPr>
  </w:style>
  <w:style w:type="table" w:styleId="1241" w:customStyle="1">
    <w:name w:val="List Table 5 Dark - Accent 11"/>
    <w:uiPriority w:val="99"/>
    <w:qFormat/>
    <w:tblPr>
      <w:tblCellMar>
        <w:left w:w="0" w:type="dxa"/>
        <w:top w:w="0" w:type="dxa"/>
        <w:right w:w="0" w:type="dxa"/>
        <w:bottom w:w="0" w:type="dxa"/>
      </w:tblCellMar>
    </w:tblPr>
  </w:style>
  <w:style w:type="table" w:styleId="1242" w:customStyle="1">
    <w:name w:val="List Table 5 Dark - Accent 21"/>
    <w:uiPriority w:val="99"/>
    <w:qFormat/>
    <w:tblPr>
      <w:tblCellMar>
        <w:left w:w="0" w:type="dxa"/>
        <w:top w:w="0" w:type="dxa"/>
        <w:right w:w="0" w:type="dxa"/>
        <w:bottom w:w="0" w:type="dxa"/>
      </w:tblCellMar>
    </w:tblPr>
  </w:style>
  <w:style w:type="table" w:styleId="1243" w:customStyle="1">
    <w:name w:val="List Table 5 Dark - Accent 31"/>
    <w:uiPriority w:val="99"/>
    <w:qFormat/>
    <w:tblPr>
      <w:tblCellMar>
        <w:left w:w="0" w:type="dxa"/>
        <w:top w:w="0" w:type="dxa"/>
        <w:right w:w="0" w:type="dxa"/>
        <w:bottom w:w="0" w:type="dxa"/>
      </w:tblCellMar>
    </w:tblPr>
  </w:style>
  <w:style w:type="table" w:styleId="1244" w:customStyle="1">
    <w:name w:val="List Table 5 Dark - Accent 41"/>
    <w:uiPriority w:val="99"/>
    <w:qFormat/>
    <w:tblPr>
      <w:tblCellMar>
        <w:left w:w="0" w:type="dxa"/>
        <w:top w:w="0" w:type="dxa"/>
        <w:right w:w="0" w:type="dxa"/>
        <w:bottom w:w="0" w:type="dxa"/>
      </w:tblCellMar>
    </w:tblPr>
  </w:style>
  <w:style w:type="table" w:styleId="1245" w:customStyle="1">
    <w:name w:val="List Table 5 Dark - Accent 51"/>
    <w:uiPriority w:val="99"/>
    <w:qFormat/>
    <w:tblPr>
      <w:tblCellMar>
        <w:left w:w="0" w:type="dxa"/>
        <w:top w:w="0" w:type="dxa"/>
        <w:right w:w="0" w:type="dxa"/>
        <w:bottom w:w="0" w:type="dxa"/>
      </w:tblCellMar>
    </w:tblPr>
  </w:style>
  <w:style w:type="table" w:styleId="1246" w:customStyle="1">
    <w:name w:val="List Table 5 Dark - Accent 61"/>
    <w:uiPriority w:val="99"/>
    <w:qFormat/>
    <w:tblPr>
      <w:tblCellMar>
        <w:left w:w="0" w:type="dxa"/>
        <w:top w:w="0" w:type="dxa"/>
        <w:right w:w="0" w:type="dxa"/>
        <w:bottom w:w="0" w:type="dxa"/>
      </w:tblCellMar>
    </w:tblPr>
  </w:style>
  <w:style w:type="table" w:styleId="1247" w:customStyle="1">
    <w:name w:val="清单表 6 彩色11"/>
    <w:uiPriority w:val="99"/>
    <w:qFormat/>
    <w:tblPr>
      <w:tblCellMar>
        <w:left w:w="0" w:type="dxa"/>
        <w:top w:w="0" w:type="dxa"/>
        <w:right w:w="0" w:type="dxa"/>
        <w:bottom w:w="0" w:type="dxa"/>
      </w:tblCellMar>
    </w:tblPr>
  </w:style>
  <w:style w:type="table" w:styleId="1248" w:customStyle="1">
    <w:name w:val="List Table 6 Colorful - Accent 11"/>
    <w:uiPriority w:val="99"/>
    <w:qFormat/>
    <w:tblPr>
      <w:tblCellMar>
        <w:left w:w="0" w:type="dxa"/>
        <w:top w:w="0" w:type="dxa"/>
        <w:right w:w="0" w:type="dxa"/>
        <w:bottom w:w="0" w:type="dxa"/>
      </w:tblCellMar>
    </w:tblPr>
  </w:style>
  <w:style w:type="table" w:styleId="1249" w:customStyle="1">
    <w:name w:val="List Table 6 Colorful - Accent 21"/>
    <w:uiPriority w:val="99"/>
    <w:qFormat/>
    <w:tblPr>
      <w:tblCellMar>
        <w:left w:w="0" w:type="dxa"/>
        <w:top w:w="0" w:type="dxa"/>
        <w:right w:w="0" w:type="dxa"/>
        <w:bottom w:w="0" w:type="dxa"/>
      </w:tblCellMar>
    </w:tblPr>
  </w:style>
  <w:style w:type="table" w:styleId="1250" w:customStyle="1">
    <w:name w:val="List Table 6 Colorful - Accent 31"/>
    <w:uiPriority w:val="99"/>
    <w:qFormat/>
    <w:tblPr>
      <w:tblCellMar>
        <w:left w:w="0" w:type="dxa"/>
        <w:top w:w="0" w:type="dxa"/>
        <w:right w:w="0" w:type="dxa"/>
        <w:bottom w:w="0" w:type="dxa"/>
      </w:tblCellMar>
    </w:tblPr>
  </w:style>
  <w:style w:type="table" w:styleId="1251" w:customStyle="1">
    <w:name w:val="List Table 6 Colorful - Accent 41"/>
    <w:uiPriority w:val="99"/>
    <w:qFormat/>
    <w:tblPr>
      <w:tblCellMar>
        <w:left w:w="0" w:type="dxa"/>
        <w:top w:w="0" w:type="dxa"/>
        <w:right w:w="0" w:type="dxa"/>
        <w:bottom w:w="0" w:type="dxa"/>
      </w:tblCellMar>
    </w:tblPr>
  </w:style>
  <w:style w:type="table" w:styleId="1252" w:customStyle="1">
    <w:name w:val="List Table 6 Colorful - Accent 51"/>
    <w:uiPriority w:val="99"/>
    <w:qFormat/>
    <w:tblPr>
      <w:tblCellMar>
        <w:left w:w="0" w:type="dxa"/>
        <w:top w:w="0" w:type="dxa"/>
        <w:right w:w="0" w:type="dxa"/>
        <w:bottom w:w="0" w:type="dxa"/>
      </w:tblCellMar>
    </w:tblPr>
  </w:style>
  <w:style w:type="table" w:styleId="1253" w:customStyle="1">
    <w:name w:val="List Table 6 Colorful - Accent 61"/>
    <w:uiPriority w:val="99"/>
    <w:qFormat/>
    <w:tblPr>
      <w:tblCellMar>
        <w:left w:w="0" w:type="dxa"/>
        <w:top w:w="0" w:type="dxa"/>
        <w:right w:w="0" w:type="dxa"/>
        <w:bottom w:w="0" w:type="dxa"/>
      </w:tblCellMar>
    </w:tblPr>
  </w:style>
  <w:style w:type="table" w:styleId="1254" w:customStyle="1">
    <w:name w:val="清单表 7 彩色11"/>
    <w:uiPriority w:val="99"/>
    <w:qFormat/>
    <w:tblPr>
      <w:tblCellMar>
        <w:left w:w="0" w:type="dxa"/>
        <w:top w:w="0" w:type="dxa"/>
        <w:right w:w="0" w:type="dxa"/>
        <w:bottom w:w="0" w:type="dxa"/>
      </w:tblCellMar>
    </w:tblPr>
  </w:style>
  <w:style w:type="table" w:styleId="1255" w:customStyle="1">
    <w:name w:val="List Table 7 Colorful - Accent 11"/>
    <w:uiPriority w:val="99"/>
    <w:qFormat/>
    <w:tblPr>
      <w:tblCellMar>
        <w:left w:w="0" w:type="dxa"/>
        <w:top w:w="0" w:type="dxa"/>
        <w:right w:w="0" w:type="dxa"/>
        <w:bottom w:w="0" w:type="dxa"/>
      </w:tblCellMar>
    </w:tblPr>
  </w:style>
  <w:style w:type="table" w:styleId="1256" w:customStyle="1">
    <w:name w:val="List Table 7 Colorful - Accent 21"/>
    <w:uiPriority w:val="99"/>
    <w:qFormat/>
    <w:tblPr>
      <w:tblCellMar>
        <w:left w:w="0" w:type="dxa"/>
        <w:top w:w="0" w:type="dxa"/>
        <w:right w:w="0" w:type="dxa"/>
        <w:bottom w:w="0" w:type="dxa"/>
      </w:tblCellMar>
    </w:tblPr>
  </w:style>
  <w:style w:type="table" w:styleId="1257" w:customStyle="1">
    <w:name w:val="List Table 7 Colorful - Accent 31"/>
    <w:uiPriority w:val="99"/>
    <w:qFormat/>
    <w:tblPr>
      <w:tblCellMar>
        <w:left w:w="0" w:type="dxa"/>
        <w:top w:w="0" w:type="dxa"/>
        <w:right w:w="0" w:type="dxa"/>
        <w:bottom w:w="0" w:type="dxa"/>
      </w:tblCellMar>
    </w:tblPr>
  </w:style>
  <w:style w:type="table" w:styleId="1258" w:customStyle="1">
    <w:name w:val="List Table 7 Colorful - Accent 41"/>
    <w:uiPriority w:val="99"/>
    <w:qFormat/>
    <w:tblPr>
      <w:tblCellMar>
        <w:left w:w="0" w:type="dxa"/>
        <w:top w:w="0" w:type="dxa"/>
        <w:right w:w="0" w:type="dxa"/>
        <w:bottom w:w="0" w:type="dxa"/>
      </w:tblCellMar>
    </w:tblPr>
  </w:style>
  <w:style w:type="table" w:styleId="1259" w:customStyle="1">
    <w:name w:val="List Table 7 Colorful - Accent 51"/>
    <w:uiPriority w:val="99"/>
    <w:qFormat/>
    <w:tblPr>
      <w:tblCellMar>
        <w:left w:w="0" w:type="dxa"/>
        <w:top w:w="0" w:type="dxa"/>
        <w:right w:w="0" w:type="dxa"/>
        <w:bottom w:w="0" w:type="dxa"/>
      </w:tblCellMar>
    </w:tblPr>
  </w:style>
  <w:style w:type="table" w:styleId="1260" w:customStyle="1">
    <w:name w:val="List Table 7 Colorful - Accent 61"/>
    <w:uiPriority w:val="99"/>
    <w:qFormat/>
    <w:tblPr>
      <w:tblCellMar>
        <w:left w:w="0" w:type="dxa"/>
        <w:top w:w="0" w:type="dxa"/>
        <w:right w:w="0" w:type="dxa"/>
        <w:bottom w:w="0" w:type="dxa"/>
      </w:tblCellMar>
    </w:tblPr>
  </w:style>
  <w:style w:type="table" w:styleId="1261" w:customStyle="1">
    <w:name w:val="Lined - Accent 11"/>
    <w:uiPriority w:val="99"/>
    <w:qFormat/>
    <w:rPr>
      <w:color w:val="404040"/>
    </w:rPr>
    <w:tblPr>
      <w:tblCellMar>
        <w:left w:w="0" w:type="dxa"/>
        <w:top w:w="0" w:type="dxa"/>
        <w:right w:w="0" w:type="dxa"/>
        <w:bottom w:w="0" w:type="dxa"/>
      </w:tblCellMar>
    </w:tblPr>
  </w:style>
  <w:style w:type="table" w:styleId="1262" w:customStyle="1">
    <w:name w:val="Lined - Accent 21"/>
    <w:uiPriority w:val="99"/>
    <w:qFormat/>
    <w:rPr>
      <w:color w:val="404040"/>
    </w:rPr>
    <w:tblPr>
      <w:tblCellMar>
        <w:left w:w="0" w:type="dxa"/>
        <w:top w:w="0" w:type="dxa"/>
        <w:right w:w="0" w:type="dxa"/>
        <w:bottom w:w="0" w:type="dxa"/>
      </w:tblCellMar>
    </w:tblPr>
  </w:style>
  <w:style w:type="table" w:styleId="1263" w:customStyle="1">
    <w:name w:val="Lined - Accent 31"/>
    <w:uiPriority w:val="99"/>
    <w:qFormat/>
    <w:rPr>
      <w:color w:val="404040"/>
    </w:rPr>
    <w:tblPr>
      <w:tblCellMar>
        <w:left w:w="0" w:type="dxa"/>
        <w:top w:w="0" w:type="dxa"/>
        <w:right w:w="0" w:type="dxa"/>
        <w:bottom w:w="0" w:type="dxa"/>
      </w:tblCellMar>
    </w:tblPr>
  </w:style>
  <w:style w:type="table" w:styleId="1264" w:customStyle="1">
    <w:name w:val="Lined - Accent 41"/>
    <w:uiPriority w:val="99"/>
    <w:qFormat/>
    <w:rPr>
      <w:color w:val="404040"/>
    </w:rPr>
    <w:tblPr>
      <w:tblCellMar>
        <w:left w:w="0" w:type="dxa"/>
        <w:top w:w="0" w:type="dxa"/>
        <w:right w:w="0" w:type="dxa"/>
        <w:bottom w:w="0" w:type="dxa"/>
      </w:tblCellMar>
    </w:tblPr>
  </w:style>
  <w:style w:type="table" w:styleId="1265" w:customStyle="1">
    <w:name w:val="Lined - Accent 51"/>
    <w:uiPriority w:val="99"/>
    <w:qFormat/>
    <w:rPr>
      <w:color w:val="404040"/>
    </w:rPr>
    <w:tblPr>
      <w:tblCellMar>
        <w:left w:w="0" w:type="dxa"/>
        <w:top w:w="0" w:type="dxa"/>
        <w:right w:w="0" w:type="dxa"/>
        <w:bottom w:w="0" w:type="dxa"/>
      </w:tblCellMar>
    </w:tblPr>
  </w:style>
  <w:style w:type="table" w:styleId="1266" w:customStyle="1">
    <w:name w:val="Lined - Accent 61"/>
    <w:uiPriority w:val="99"/>
    <w:qFormat/>
    <w:rPr>
      <w:color w:val="404040"/>
    </w:rPr>
    <w:tblPr>
      <w:tblCellMar>
        <w:left w:w="0" w:type="dxa"/>
        <w:top w:w="0" w:type="dxa"/>
        <w:right w:w="0" w:type="dxa"/>
        <w:bottom w:w="0" w:type="dxa"/>
      </w:tblCellMar>
    </w:tblPr>
  </w:style>
  <w:style w:type="table" w:styleId="1267" w:customStyle="1">
    <w:name w:val="Bordered &amp; Lined - Accent 11"/>
    <w:uiPriority w:val="99"/>
    <w:qFormat/>
    <w:rPr>
      <w:color w:val="404040"/>
    </w:rPr>
    <w:tblPr>
      <w:tblCellMar>
        <w:left w:w="0" w:type="dxa"/>
        <w:top w:w="0" w:type="dxa"/>
        <w:right w:w="0" w:type="dxa"/>
        <w:bottom w:w="0" w:type="dxa"/>
      </w:tblCellMar>
    </w:tblPr>
  </w:style>
  <w:style w:type="table" w:styleId="1268" w:customStyle="1">
    <w:name w:val="Bordered &amp; Lined - Accent 21"/>
    <w:uiPriority w:val="99"/>
    <w:qFormat/>
    <w:rPr>
      <w:color w:val="404040"/>
    </w:rPr>
    <w:tblPr>
      <w:tblCellMar>
        <w:left w:w="0" w:type="dxa"/>
        <w:top w:w="0" w:type="dxa"/>
        <w:right w:w="0" w:type="dxa"/>
        <w:bottom w:w="0" w:type="dxa"/>
      </w:tblCellMar>
    </w:tblPr>
  </w:style>
  <w:style w:type="table" w:styleId="1269" w:customStyle="1">
    <w:name w:val="Bordered &amp; Lined - Accent 31"/>
    <w:uiPriority w:val="99"/>
    <w:qFormat/>
    <w:rPr>
      <w:color w:val="404040"/>
    </w:rPr>
    <w:tblPr>
      <w:tblCellMar>
        <w:left w:w="0" w:type="dxa"/>
        <w:top w:w="0" w:type="dxa"/>
        <w:right w:w="0" w:type="dxa"/>
        <w:bottom w:w="0" w:type="dxa"/>
      </w:tblCellMar>
    </w:tblPr>
  </w:style>
  <w:style w:type="table" w:styleId="1270" w:customStyle="1">
    <w:name w:val="Bordered &amp; Lined - Accent 41"/>
    <w:uiPriority w:val="99"/>
    <w:qFormat/>
    <w:rPr>
      <w:color w:val="404040"/>
    </w:rPr>
    <w:tblPr>
      <w:tblCellMar>
        <w:left w:w="0" w:type="dxa"/>
        <w:top w:w="0" w:type="dxa"/>
        <w:right w:w="0" w:type="dxa"/>
        <w:bottom w:w="0" w:type="dxa"/>
      </w:tblCellMar>
    </w:tblPr>
  </w:style>
  <w:style w:type="table" w:styleId="1271" w:customStyle="1">
    <w:name w:val="Bordered &amp; Lined - Accent 51"/>
    <w:uiPriority w:val="99"/>
    <w:qFormat/>
    <w:rPr>
      <w:color w:val="404040"/>
    </w:rPr>
    <w:tblPr>
      <w:tblCellMar>
        <w:left w:w="0" w:type="dxa"/>
        <w:top w:w="0" w:type="dxa"/>
        <w:right w:w="0" w:type="dxa"/>
        <w:bottom w:w="0" w:type="dxa"/>
      </w:tblCellMar>
    </w:tblPr>
  </w:style>
  <w:style w:type="table" w:styleId="1272" w:customStyle="1">
    <w:name w:val="Bordered &amp; Lined - Accent 61"/>
    <w:uiPriority w:val="99"/>
    <w:qFormat/>
    <w:rPr>
      <w:color w:val="404040"/>
    </w:rPr>
    <w:tblPr>
      <w:tblCellMar>
        <w:left w:w="0" w:type="dxa"/>
        <w:top w:w="0" w:type="dxa"/>
        <w:right w:w="0" w:type="dxa"/>
        <w:bottom w:w="0" w:type="dxa"/>
      </w:tblCellMar>
    </w:tblPr>
  </w:style>
  <w:style w:type="table" w:styleId="1273" w:customStyle="1">
    <w:name w:val="Bordered1"/>
    <w:uiPriority w:val="99"/>
    <w:qFormat/>
    <w:tblPr>
      <w:tblCellMar>
        <w:left w:w="0" w:type="dxa"/>
        <w:top w:w="0" w:type="dxa"/>
        <w:right w:w="0" w:type="dxa"/>
        <w:bottom w:w="0" w:type="dxa"/>
      </w:tblCellMar>
    </w:tblPr>
  </w:style>
  <w:style w:type="table" w:styleId="1274" w:customStyle="1">
    <w:name w:val="Bordered - Accent 11"/>
    <w:uiPriority w:val="99"/>
    <w:qFormat/>
    <w:tblPr>
      <w:tblCellMar>
        <w:left w:w="0" w:type="dxa"/>
        <w:top w:w="0" w:type="dxa"/>
        <w:right w:w="0" w:type="dxa"/>
        <w:bottom w:w="0" w:type="dxa"/>
      </w:tblCellMar>
    </w:tblPr>
  </w:style>
  <w:style w:type="table" w:styleId="1275" w:customStyle="1">
    <w:name w:val="Bordered - Accent 21"/>
    <w:uiPriority w:val="99"/>
    <w:qFormat/>
    <w:tblPr>
      <w:tblCellMar>
        <w:left w:w="0" w:type="dxa"/>
        <w:top w:w="0" w:type="dxa"/>
        <w:right w:w="0" w:type="dxa"/>
        <w:bottom w:w="0" w:type="dxa"/>
      </w:tblCellMar>
    </w:tblPr>
  </w:style>
  <w:style w:type="table" w:styleId="1276" w:customStyle="1">
    <w:name w:val="Bordered - Accent 31"/>
    <w:uiPriority w:val="99"/>
    <w:qFormat/>
    <w:tblPr>
      <w:tblCellMar>
        <w:left w:w="0" w:type="dxa"/>
        <w:top w:w="0" w:type="dxa"/>
        <w:right w:w="0" w:type="dxa"/>
        <w:bottom w:w="0" w:type="dxa"/>
      </w:tblCellMar>
    </w:tblPr>
  </w:style>
  <w:style w:type="table" w:styleId="1277" w:customStyle="1">
    <w:name w:val="Bordered - Accent 41"/>
    <w:uiPriority w:val="99"/>
    <w:qFormat/>
    <w:tblPr>
      <w:tblCellMar>
        <w:left w:w="0" w:type="dxa"/>
        <w:top w:w="0" w:type="dxa"/>
        <w:right w:w="0" w:type="dxa"/>
        <w:bottom w:w="0" w:type="dxa"/>
      </w:tblCellMar>
    </w:tblPr>
  </w:style>
  <w:style w:type="table" w:styleId="1278" w:customStyle="1">
    <w:name w:val="Bordered - Accent 51"/>
    <w:uiPriority w:val="99"/>
    <w:qFormat/>
    <w:tblPr>
      <w:tblCellMar>
        <w:left w:w="0" w:type="dxa"/>
        <w:top w:w="0" w:type="dxa"/>
        <w:right w:w="0" w:type="dxa"/>
        <w:bottom w:w="0" w:type="dxa"/>
      </w:tblCellMar>
    </w:tblPr>
  </w:style>
  <w:style w:type="table" w:styleId="1279" w:customStyle="1">
    <w:name w:val="Bordered - Accent 61"/>
    <w:uiPriority w:val="99"/>
    <w:qFormat/>
    <w:tblPr>
      <w:tblCellMar>
        <w:left w:w="0" w:type="dxa"/>
        <w:top w:w="0" w:type="dxa"/>
        <w:right w:w="0" w:type="dxa"/>
        <w:bottom w:w="0" w:type="dxa"/>
      </w:tblCellMar>
    </w:tblPr>
  </w:style>
  <w:style w:type="paragraph" w:styleId="1280" w:customStyle="1">
    <w:name w:val="目录 71"/>
    <w:basedOn w:val="743"/>
    <w:next w:val="743"/>
    <w:uiPriority w:val="0"/>
    <w:qFormat/>
    <w:pPr>
      <w:ind w:left="2520"/>
    </w:pPr>
    <w:rPr>
      <w:rFonts w:ascii="Calibri" w:hAnsi="Calibri" w:eastAsia="楷体_GB2312"/>
      <w:sz w:val="26"/>
      <w:szCs w:val="20"/>
    </w:rPr>
  </w:style>
  <w:style w:type="character" w:styleId="1281" w:customStyle="1">
    <w:name w:val="正文文本 字符2"/>
    <w:uiPriority w:val="0"/>
    <w:qFormat/>
    <w:rPr>
      <w:rFonts w:ascii="Times New Roman" w:hAnsi="Times New Roman" w:eastAsia="宋体" w:cs="Times New Roman"/>
      <w:sz w:val="21"/>
      <w:szCs w:val="22"/>
    </w:rPr>
  </w:style>
  <w:style w:type="paragraph" w:styleId="1282" w:customStyle="1">
    <w:name w:val="目录 51"/>
    <w:basedOn w:val="743"/>
    <w:next w:val="743"/>
    <w:uiPriority w:val="0"/>
    <w:qFormat/>
    <w:pPr>
      <w:ind w:left="1680"/>
    </w:pPr>
    <w:rPr>
      <w:rFonts w:ascii="Calibri" w:hAnsi="Calibri" w:eastAsia="楷体_GB2312"/>
      <w:sz w:val="26"/>
      <w:szCs w:val="20"/>
    </w:rPr>
  </w:style>
  <w:style w:type="paragraph" w:styleId="1283" w:customStyle="1">
    <w:name w:val="目录 31"/>
    <w:basedOn w:val="743"/>
    <w:next w:val="743"/>
    <w:link w:val="1284"/>
    <w:uiPriority w:val="0"/>
    <w:qFormat/>
    <w:pPr>
      <w:ind w:left="840"/>
    </w:pPr>
    <w:rPr>
      <w:rFonts w:ascii="Calibri" w:hAnsi="Calibri"/>
      <w:szCs w:val="20"/>
    </w:rPr>
  </w:style>
  <w:style w:type="character" w:styleId="1284" w:customStyle="1">
    <w:name w:val="目录 3 Char"/>
    <w:link w:val="1283"/>
    <w:uiPriority w:val="0"/>
    <w:qFormat/>
    <w:rPr>
      <w:rFonts w:ascii="Calibri" w:hAnsi="Calibri"/>
      <w:sz w:val="21"/>
    </w:rPr>
  </w:style>
  <w:style w:type="character" w:styleId="1285" w:customStyle="1">
    <w:name w:val="纯文本 字符1"/>
    <w:uiPriority w:val="0"/>
    <w:qFormat/>
    <w:rPr>
      <w:rFonts w:ascii="宋体" w:hAnsi="Courier New" w:eastAsia="宋体" w:cs="Times New Roman"/>
      <w:sz w:val="21"/>
    </w:rPr>
  </w:style>
  <w:style w:type="paragraph" w:styleId="1286" w:customStyle="1">
    <w:name w:val="目录 81"/>
    <w:basedOn w:val="743"/>
    <w:next w:val="743"/>
    <w:uiPriority w:val="0"/>
    <w:qFormat/>
    <w:pPr>
      <w:ind w:left="2940"/>
    </w:pPr>
    <w:rPr>
      <w:rFonts w:ascii="Calibri" w:hAnsi="Calibri" w:eastAsia="楷体_GB2312"/>
      <w:sz w:val="26"/>
      <w:szCs w:val="20"/>
    </w:rPr>
  </w:style>
  <w:style w:type="paragraph" w:styleId="1287" w:customStyle="1">
    <w:name w:val="目录 41"/>
    <w:basedOn w:val="743"/>
    <w:next w:val="743"/>
    <w:uiPriority w:val="0"/>
    <w:qFormat/>
    <w:pPr>
      <w:ind w:left="1260"/>
    </w:pPr>
    <w:rPr>
      <w:rFonts w:ascii="Calibri" w:hAnsi="Calibri" w:eastAsia="楷体_GB2312"/>
      <w:sz w:val="26"/>
      <w:szCs w:val="20"/>
    </w:rPr>
  </w:style>
  <w:style w:type="paragraph" w:styleId="1288" w:customStyle="1">
    <w:name w:val="目录 61"/>
    <w:basedOn w:val="743"/>
    <w:next w:val="743"/>
    <w:uiPriority w:val="0"/>
    <w:qFormat/>
    <w:pPr>
      <w:ind w:left="2100"/>
    </w:pPr>
    <w:rPr>
      <w:rFonts w:ascii="Calibri" w:hAnsi="Calibri" w:eastAsia="楷体_GB2312"/>
      <w:sz w:val="26"/>
      <w:szCs w:val="20"/>
    </w:rPr>
  </w:style>
  <w:style w:type="paragraph" w:styleId="1289" w:customStyle="1">
    <w:name w:val="目录 21"/>
    <w:basedOn w:val="743"/>
    <w:next w:val="743"/>
    <w:uiPriority w:val="0"/>
    <w:qFormat/>
    <w:pPr>
      <w:ind w:left="420"/>
    </w:pPr>
    <w:rPr>
      <w:rFonts w:ascii="Calibri" w:hAnsi="Calibri" w:eastAsia="楷体_GB2312"/>
      <w:sz w:val="26"/>
      <w:szCs w:val="20"/>
    </w:rPr>
  </w:style>
  <w:style w:type="paragraph" w:styleId="1290" w:customStyle="1">
    <w:name w:val="目录 91"/>
    <w:basedOn w:val="743"/>
    <w:next w:val="743"/>
    <w:uiPriority w:val="0"/>
    <w:qFormat/>
    <w:pPr>
      <w:ind w:left="3360"/>
    </w:pPr>
    <w:rPr>
      <w:rFonts w:ascii="Calibri" w:hAnsi="Calibri" w:eastAsia="楷体_GB2312"/>
      <w:sz w:val="26"/>
      <w:szCs w:val="20"/>
    </w:rPr>
  </w:style>
  <w:style w:type="character" w:styleId="1291" w:customStyle="1">
    <w:name w:val="普通(网站) 字符"/>
    <w:link w:val="800"/>
    <w:uiPriority w:val="0"/>
    <w:qFormat/>
    <w:rPr>
      <w:rFonts w:ascii="宋体" w:hAnsi="宋体"/>
      <w:color w:val="000000"/>
      <w:sz w:val="24"/>
      <w:szCs w:val="24"/>
    </w:rPr>
  </w:style>
  <w:style w:type="paragraph" w:styleId="1292" w:customStyle="1">
    <w:name w:val="正文首行缩进 21111"/>
    <w:basedOn w:val="1293"/>
    <w:next w:val="743"/>
    <w:uiPriority w:val="0"/>
    <w:unhideWhenUsed/>
    <w:qFormat/>
    <w:pPr>
      <w:ind w:firstLine="420"/>
    </w:pPr>
  </w:style>
  <w:style w:type="paragraph" w:styleId="1293" w:customStyle="1">
    <w:name w:val="正文文本缩进1"/>
    <w:basedOn w:val="743"/>
    <w:next w:val="1294"/>
    <w:uiPriority w:val="0"/>
    <w:unhideWhenUsed/>
    <w:qFormat/>
    <w:pPr>
      <w:ind w:left="420"/>
      <w:spacing w:after="120"/>
    </w:pPr>
    <w:rPr>
      <w:szCs w:val="22"/>
      <w:lang w:eastAsia="en-US"/>
    </w:rPr>
  </w:style>
  <w:style w:type="paragraph" w:styleId="1294" w:customStyle="1">
    <w:name w:val="寄信人地址1"/>
    <w:basedOn w:val="743"/>
    <w:uiPriority w:val="99"/>
    <w:unhideWhenUsed/>
    <w:qFormat/>
    <w:rPr>
      <w:rFonts w:ascii="Arial" w:hAnsi="Arial" w:eastAsia="楷体_GB2312"/>
      <w:sz w:val="26"/>
      <w:szCs w:val="20"/>
    </w:rPr>
  </w:style>
  <w:style w:type="paragraph" w:styleId="1295" w:customStyle="1">
    <w:name w:val="正文缩进1"/>
    <w:basedOn w:val="743"/>
    <w:uiPriority w:val="0"/>
    <w:qFormat/>
    <w:pPr>
      <w:ind w:firstLine="420"/>
      <w:jc w:val="left"/>
      <w:widowControl/>
    </w:pPr>
    <w:rPr>
      <w:rFonts w:ascii="Calibri" w:hAnsi="Calibri"/>
      <w:szCs w:val="22"/>
    </w:rPr>
  </w:style>
  <w:style w:type="character" w:styleId="1296" w:customStyle="1">
    <w:name w:val="NormalCharacter1"/>
    <w:uiPriority w:val="0"/>
    <w:qFormat/>
    <w:rPr>
      <w:rFonts w:ascii="Times New Roman" w:hAnsi="Times New Roman" w:eastAsia="宋体" w:cs="Times New Roman"/>
    </w:rPr>
  </w:style>
  <w:style w:type="paragraph" w:styleId="1297" w:customStyle="1">
    <w:name w:val="Default"/>
    <w:uiPriority w:val="0"/>
    <w:qFormat/>
    <w:pPr>
      <w:widowControl w:val="off"/>
    </w:pPr>
    <w:rPr>
      <w:rFonts w:hint="default" w:ascii="微软雅黑" w:hAnsi="Times New Roman" w:eastAsia="微软雅黑" w:cs="微软雅黑"/>
      <w:color w:val="000000"/>
      <w:sz w:val="24"/>
      <w:szCs w:val="24"/>
    </w:rPr>
  </w:style>
  <w:style w:type="table" w:styleId="1298" w:customStyle="1">
    <w:name w:val="网格型11"/>
    <w:basedOn w:val="754"/>
    <w:uiPriority w:val="0"/>
    <w:qFormat/>
    <w:pPr>
      <w:jc w:val="both"/>
      <w:widowControl w:val="off"/>
    </w:pPr>
    <w:tblPr/>
  </w:style>
  <w:style w:type="table" w:styleId="1299" w:customStyle="1">
    <w:name w:val="网格型2"/>
    <w:basedOn w:val="754"/>
    <w:uiPriority w:val="0"/>
    <w:qFormat/>
    <w:pPr>
      <w:jc w:val="both"/>
      <w:widowControl w:val="off"/>
    </w:pPr>
    <w:tblPr/>
  </w:style>
  <w:style w:type="character" w:styleId="1300" w:customStyle="1">
    <w:name w:val="正文文本 Char"/>
    <w:uiPriority w:val="0"/>
    <w:qFormat/>
    <w:rPr>
      <w:rFonts w:ascii="楷体_GB2312" w:eastAsia="楷体_GB2312"/>
      <w:sz w:val="28"/>
    </w:rPr>
  </w:style>
  <w:style w:type="paragraph" w:styleId="1301" w:customStyle="1">
    <w:name w:val="style4"/>
    <w:basedOn w:val="743"/>
    <w:next w:val="1302"/>
    <w:uiPriority w:val="99"/>
    <w:qFormat/>
    <w:pPr>
      <w:spacing w:before="280" w:after="280"/>
      <w:widowControl/>
    </w:pPr>
    <w:rPr>
      <w:rFonts w:ascii="宋体" w:hAnsi="Calibri" w:eastAsia="楷体_GB2312"/>
      <w:sz w:val="18"/>
      <w:szCs w:val="20"/>
    </w:rPr>
  </w:style>
  <w:style w:type="paragraph" w:styleId="1302" w:customStyle="1">
    <w:name w:val="2"/>
    <w:next w:val="743"/>
    <w:uiPriority w:val="99"/>
    <w:qFormat/>
    <w:pPr>
      <w:jc w:val="both"/>
      <w:widowControl w:val="off"/>
    </w:pPr>
    <w:rPr>
      <w:rFonts w:hint="default" w:ascii="Times New Roman" w:hAnsi="Times New Roman" w:eastAsia="宋体" w:cs="Times New Roman"/>
      <w:sz w:val="21"/>
      <w:szCs w:val="22"/>
    </w:rPr>
  </w:style>
  <w:style w:type="table" w:styleId="1303" w:customStyle="1">
    <w:name w:val="网格型3"/>
    <w:basedOn w:val="754"/>
    <w:uiPriority w:val="0"/>
    <w:qFormat/>
    <w:pPr>
      <w:jc w:val="both"/>
      <w:widowControl w:val="off"/>
    </w:pPr>
    <w:rPr>
      <w:sz w:val="21"/>
      <w:szCs w:val="22"/>
    </w:rPr>
    <w:tblPr/>
  </w:style>
  <w:style w:type="character" w:styleId="1304" w:customStyle="1">
    <w:name w:val="Char Char4"/>
    <w:uiPriority w:val="0"/>
    <w:qFormat/>
    <w:rPr>
      <w:rFonts w:ascii="方正仿宋简体" w:hAnsi="汉仪雅酷黑简" w:eastAsia="方正仿宋简体"/>
      <w:sz w:val="24"/>
      <w:lang w:val="en-US" w:eastAsia="zh-CN" w:bidi="ar-SA"/>
    </w:rPr>
  </w:style>
  <w:style w:type="character" w:styleId="1305" w:customStyle="1">
    <w:name w:val="state"/>
    <w:uiPriority w:val="0"/>
    <w:qFormat/>
    <w:rPr>
      <w:b/>
      <w:color w:val="ffffff"/>
      <w:sz w:val="19"/>
      <w:szCs w:val="19"/>
    </w:rPr>
  </w:style>
  <w:style w:type="character" w:styleId="1306" w:customStyle="1">
    <w:name w:val="bds_more6"/>
    <w:uiPriority w:val="0"/>
    <w:qFormat/>
  </w:style>
  <w:style w:type="character" w:styleId="1307" w:customStyle="1">
    <w:name w:val="hilite"/>
    <w:uiPriority w:val="0"/>
    <w:qFormat/>
    <w:rPr>
      <w:color w:val="ffffff"/>
      <w:shd w:val="clear" w:color="auto" w:fill="776666"/>
    </w:rPr>
  </w:style>
  <w:style w:type="character" w:styleId="1308" w:customStyle="1">
    <w:name w:val="bds_nopic"/>
    <w:uiPriority w:val="0"/>
    <w:qFormat/>
  </w:style>
  <w:style w:type="character" w:styleId="1309" w:customStyle="1">
    <w:name w:val="Char Char2"/>
    <w:uiPriority w:val="0"/>
    <w:qFormat/>
    <w:rPr>
      <w:rFonts w:ascii="宋体" w:hAnsi="宋体" w:eastAsia="楷体_GB2312"/>
      <w:b/>
      <w:sz w:val="26"/>
      <w:lang w:val="en-US" w:eastAsia="zh-CN" w:bidi="ar-SA"/>
    </w:rPr>
  </w:style>
  <w:style w:type="character" w:styleId="1310" w:customStyle="1">
    <w:name w:val="hover61"/>
    <w:uiPriority w:val="0"/>
    <w:qFormat/>
    <w:rPr>
      <w:shd w:val="clear" w:color="auto" w:fill="ff0000"/>
    </w:rPr>
  </w:style>
  <w:style w:type="character" w:styleId="1311" w:customStyle="1">
    <w:name w:val="grid"/>
    <w:uiPriority w:val="0"/>
    <w:qFormat/>
  </w:style>
  <w:style w:type="character" w:styleId="1312" w:customStyle="1">
    <w:name w:val="bds_more7"/>
    <w:uiPriority w:val="0"/>
    <w:qFormat/>
  </w:style>
  <w:style w:type="character" w:styleId="1313" w:customStyle="1">
    <w:name w:val="bds_more8"/>
    <w:uiPriority w:val="0"/>
    <w:qFormat/>
    <w:rPr>
      <w:rFonts w:hint="eastAsia" w:ascii="宋体" w:hAnsi="宋体" w:eastAsia="宋体" w:cs="宋体"/>
    </w:rPr>
  </w:style>
  <w:style w:type="character" w:styleId="1314" w:customStyle="1">
    <w:name w:val="bds_more4"/>
    <w:uiPriority w:val="0"/>
    <w:qFormat/>
    <w:rPr>
      <w:rFonts w:hint="eastAsia" w:ascii="宋体" w:hAnsi="宋体" w:eastAsia="宋体" w:cs="宋体"/>
    </w:rPr>
  </w:style>
  <w:style w:type="character" w:styleId="1315" w:customStyle="1">
    <w:name w:val="bds_nopic1"/>
    <w:uiPriority w:val="0"/>
    <w:qFormat/>
  </w:style>
  <w:style w:type="character" w:styleId="1316" w:customStyle="1">
    <w:name w:val="hilite6"/>
    <w:uiPriority w:val="0"/>
    <w:qFormat/>
    <w:rPr>
      <w:color w:val="ffffff"/>
      <w:shd w:val="clear" w:color="auto" w:fill="776666"/>
    </w:rPr>
  </w:style>
  <w:style w:type="character" w:styleId="1317" w:customStyle="1">
    <w:name w:val="正文缩进2格 Char Char"/>
    <w:uiPriority w:val="0"/>
    <w:qFormat/>
    <w:rPr>
      <w:rFonts w:ascii="仿宋_GB2312" w:hAnsi="宋体" w:eastAsia="仿宋_GB2312"/>
      <w:sz w:val="31"/>
      <w:szCs w:val="28"/>
    </w:rPr>
  </w:style>
  <w:style w:type="character" w:styleId="1318" w:customStyle="1">
    <w:name w:val="grid2"/>
    <w:uiPriority w:val="0"/>
    <w:qFormat/>
  </w:style>
  <w:style w:type="character" w:styleId="1319" w:customStyle="1">
    <w:name w:val="other"/>
    <w:uiPriority w:val="0"/>
    <w:qFormat/>
  </w:style>
  <w:style w:type="character" w:styleId="1320" w:customStyle="1">
    <w:name w:val="font01"/>
    <w:uiPriority w:val="0"/>
    <w:qFormat/>
    <w:rPr>
      <w:rFonts w:hint="eastAsia" w:ascii="宋体" w:hAnsi="宋体" w:eastAsia="宋体" w:cs="宋体"/>
      <w:b/>
      <w:color w:val="000000"/>
      <w:sz w:val="20"/>
      <w:szCs w:val="20"/>
      <w:u w:val="none"/>
    </w:rPr>
  </w:style>
  <w:style w:type="character" w:styleId="1321" w:customStyle="1">
    <w:name w:val="noused"/>
    <w:uiPriority w:val="0"/>
    <w:qFormat/>
    <w:rPr>
      <w:b/>
      <w:color w:val="ffffff"/>
      <w:sz w:val="21"/>
      <w:szCs w:val="21"/>
    </w:rPr>
  </w:style>
  <w:style w:type="character" w:styleId="1322" w:customStyle="1">
    <w:name w:val="active8"/>
    <w:uiPriority w:val="0"/>
    <w:qFormat/>
    <w:rPr>
      <w:color w:val="00ff00"/>
      <w:shd w:val="clear" w:color="auto" w:fill="000000"/>
    </w:rPr>
  </w:style>
  <w:style w:type="character" w:styleId="1323" w:customStyle="1">
    <w:name w:val="bds_more5"/>
    <w:uiPriority w:val="0"/>
    <w:qFormat/>
  </w:style>
  <w:style w:type="character" w:styleId="1324" w:customStyle="1">
    <w:name w:val="bds_nopic2"/>
    <w:uiPriority w:val="0"/>
    <w:qFormat/>
  </w:style>
  <w:style w:type="character" w:styleId="1325" w:customStyle="1">
    <w:name w:val="active"/>
    <w:uiPriority w:val="0"/>
    <w:qFormat/>
    <w:rPr>
      <w:color w:val="00ff00"/>
      <w:shd w:val="clear" w:color="auto" w:fill="000000"/>
    </w:rPr>
  </w:style>
  <w:style w:type="paragraph" w:styleId="1326" w:customStyle="1">
    <w:name w:val="列出段落2"/>
    <w:basedOn w:val="743"/>
    <w:uiPriority w:val="0"/>
    <w:qFormat/>
    <w:pPr>
      <w:ind w:firstLine="420"/>
    </w:pPr>
  </w:style>
  <w:style w:type="character" w:styleId="1327" w:customStyle="1">
    <w:name w:val="font41"/>
    <w:uiPriority w:val="0"/>
    <w:qFormat/>
    <w:rPr>
      <w:rFonts w:hint="eastAsia" w:ascii="宋体" w:hAnsi="宋体" w:eastAsia="宋体" w:cs="宋体"/>
      <w:color w:val="000000"/>
      <w:sz w:val="20"/>
      <w:szCs w:val="20"/>
      <w:u w:val="none"/>
    </w:rPr>
  </w:style>
  <w:style w:type="character" w:styleId="1328" w:customStyle="1">
    <w:name w:val="font11"/>
    <w:uiPriority w:val="0"/>
    <w:qFormat/>
    <w:rPr>
      <w:rFonts w:ascii="宋体" w:hAnsi="宋体" w:eastAsia="宋体"/>
      <w:color w:val="000000"/>
      <w:sz w:val="28"/>
      <w:u w:val="none"/>
    </w:rPr>
  </w:style>
  <w:style w:type="character" w:styleId="1329" w:customStyle="1">
    <w:name w:val="正文文本缩进 Char1"/>
    <w:uiPriority w:val="0"/>
    <w:qFormat/>
    <w:rPr>
      <w:rFonts w:eastAsia="楷体_GB2312"/>
      <w:sz w:val="26"/>
    </w:rPr>
  </w:style>
  <w:style w:type="character" w:styleId="1330"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31" w:customStyle="1">
    <w:name w:val="日期 Char1"/>
    <w:uiPriority w:val="0"/>
    <w:qFormat/>
    <w:rPr>
      <w:rFonts w:eastAsia="楷体_GB2312"/>
      <w:sz w:val="26"/>
      <w:szCs w:val="26"/>
    </w:rPr>
  </w:style>
  <w:style w:type="character" w:styleId="1332" w:customStyle="1">
    <w:name w:val="Balloon Text Char"/>
    <w:uiPriority w:val="0"/>
    <w:semiHidden/>
    <w:qFormat/>
    <w:rPr>
      <w:rFonts w:eastAsia="宋体"/>
      <w:sz w:val="18"/>
      <w:lang w:val="en-US" w:eastAsia="zh-CN"/>
    </w:rPr>
  </w:style>
  <w:style w:type="character" w:styleId="1333" w:customStyle="1">
    <w:name w:val="font21"/>
    <w:basedOn w:val="753"/>
    <w:uiPriority w:val="0"/>
    <w:qFormat/>
    <w:rPr>
      <w:rFonts w:hint="eastAsia" w:ascii="宋体" w:hAnsi="宋体" w:eastAsia="宋体" w:cs="宋体"/>
      <w:b/>
      <w:color w:val="000000"/>
      <w:sz w:val="20"/>
      <w:szCs w:val="20"/>
      <w:u w:val="none"/>
    </w:rPr>
  </w:style>
  <w:style w:type="character" w:styleId="1334" w:customStyle="1">
    <w:name w:val="font31"/>
    <w:uiPriority w:val="0"/>
    <w:qFormat/>
    <w:rPr>
      <w:rFonts w:ascii="宋体" w:hAnsi="宋体" w:eastAsia="宋体"/>
      <w:color w:val="000000"/>
      <w:sz w:val="20"/>
      <w:u w:val="none"/>
    </w:rPr>
  </w:style>
  <w:style w:type="character" w:styleId="1335" w:customStyle="1">
    <w:name w:val="Body Text Indent Char"/>
    <w:uiPriority w:val="0"/>
    <w:qFormat/>
    <w:rPr>
      <w:rFonts w:ascii="方正仿宋简体" w:hAnsi="汉仪雅酷黑简" w:eastAsia="方正仿宋简体"/>
      <w:sz w:val="24"/>
    </w:rPr>
  </w:style>
  <w:style w:type="character" w:styleId="1336" w:customStyle="1">
    <w:name w:val="Header Char1"/>
    <w:uiPriority w:val="0"/>
    <w:qFormat/>
    <w:rPr>
      <w:rFonts w:eastAsia="楷体_GB2312"/>
      <w:sz w:val="18"/>
    </w:rPr>
  </w:style>
  <w:style w:type="character" w:styleId="1337" w:customStyle="1">
    <w:name w:val="正文文本缩进 Char2"/>
    <w:uiPriority w:val="0"/>
    <w:qFormat/>
    <w:rPr>
      <w:rFonts w:eastAsia="楷体_GB2312"/>
      <w:sz w:val="26"/>
      <w:szCs w:val="26"/>
    </w:rPr>
  </w:style>
  <w:style w:type="paragraph" w:styleId="1338" w:customStyle="1">
    <w:name w:val="p0"/>
    <w:basedOn w:val="743"/>
    <w:uiPriority w:val="0"/>
    <w:qFormat/>
    <w:pPr>
      <w:widowControl/>
    </w:pPr>
    <w:rPr>
      <w:rFonts w:ascii="Calibri" w:hAnsi="Calibri"/>
      <w:szCs w:val="21"/>
    </w:rPr>
  </w:style>
  <w:style w:type="paragraph" w:styleId="1339" w:customStyle="1">
    <w:name w:val="纯文本1"/>
    <w:basedOn w:val="743"/>
    <w:uiPriority w:val="0"/>
    <w:qFormat/>
    <w:rPr>
      <w:rFonts w:ascii="宋体" w:hAnsi="Courier New" w:eastAsia="楷体_GB2312"/>
      <w:sz w:val="28"/>
      <w:szCs w:val="20"/>
    </w:rPr>
  </w:style>
  <w:style w:type="paragraph" w:styleId="1340" w:customStyle="1">
    <w:name w:val="Char Char1 Char Char Char Char"/>
    <w:basedOn w:val="761"/>
    <w:uiPriority w:val="0"/>
    <w:qFormat/>
    <w:pPr>
      <w:spacing w:line="360" w:lineRule="auto"/>
    </w:pPr>
    <w:rPr>
      <w:rFonts w:ascii="Tahoma" w:hAnsi="Tahoma"/>
      <w:sz w:val="24"/>
    </w:rPr>
  </w:style>
  <w:style w:type="paragraph" w:styleId="1341" w:customStyle="1">
    <w:name w:val="Char Char1 Char Char Char Char Char Char Char"/>
    <w:basedOn w:val="743"/>
    <w:uiPriority w:val="0"/>
    <w:qFormat/>
    <w:rPr>
      <w:rFonts w:ascii="Tahoma" w:hAnsi="Tahoma" w:eastAsia="楷体_GB2312"/>
      <w:sz w:val="24"/>
      <w:szCs w:val="20"/>
    </w:rPr>
  </w:style>
  <w:style w:type="paragraph" w:styleId="1342" w:customStyle="1">
    <w:name w:val="图"/>
    <w:basedOn w:val="743"/>
    <w:uiPriority w:val="0"/>
    <w:qFormat/>
    <w:pPr>
      <w:jc w:val="center"/>
      <w:keepNext/>
      <w:spacing w:before="60" w:after="60" w:line="300" w:lineRule="auto"/>
    </w:pPr>
    <w:rPr>
      <w:rFonts w:ascii="Calibri" w:hAnsi="Calibri"/>
      <w:spacing w:val="20"/>
      <w:sz w:val="24"/>
      <w:szCs w:val="20"/>
    </w:rPr>
  </w:style>
  <w:style w:type="paragraph" w:styleId="1343" w:customStyle="1">
    <w:name w:val="纯文本2"/>
    <w:basedOn w:val="743"/>
    <w:uiPriority w:val="0"/>
    <w:qFormat/>
    <w:rPr>
      <w:rFonts w:ascii="宋体" w:hAnsi="Courier New" w:eastAsia="楷体_GB2312"/>
      <w:sz w:val="26"/>
      <w:szCs w:val="20"/>
    </w:rPr>
  </w:style>
  <w:style w:type="paragraph" w:styleId="1344" w:customStyle="1">
    <w:name w:val="xl10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5" w:customStyle="1">
    <w:name w:val="font10"/>
    <w:basedOn w:val="743"/>
    <w:uiPriority w:val="0"/>
    <w:qFormat/>
    <w:pPr>
      <w:jc w:val="left"/>
      <w:spacing w:before="100" w:beforeAutospacing="1" w:after="100" w:afterAutospacing="1"/>
      <w:widowControl/>
    </w:pPr>
    <w:rPr>
      <w:rFonts w:ascii="宋体" w:hAnsi="宋体" w:cs="宋体"/>
      <w:sz w:val="18"/>
      <w:szCs w:val="18"/>
    </w:rPr>
  </w:style>
  <w:style w:type="paragraph" w:styleId="1346" w:customStyle="1">
    <w:name w:val="xl10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7" w:customStyle="1">
    <w:name w:val="xl127"/>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8" w:customStyle="1">
    <w:name w:val="xl124"/>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9" w:customStyle="1">
    <w:name w:val="xl162"/>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50" w:customStyle="1">
    <w:name w:val="xl12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1" w:customStyle="1">
    <w:name w:val="xl11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52" w:customStyle="1">
    <w:name w:val="font12"/>
    <w:basedOn w:val="743"/>
    <w:uiPriority w:val="0"/>
    <w:qFormat/>
    <w:pPr>
      <w:jc w:val="left"/>
      <w:spacing w:before="100" w:beforeAutospacing="1" w:after="100" w:afterAutospacing="1"/>
      <w:widowControl/>
    </w:pPr>
    <w:rPr>
      <w:rFonts w:ascii="宋体" w:hAnsi="宋体" w:cs="宋体"/>
      <w:sz w:val="18"/>
      <w:szCs w:val="18"/>
    </w:rPr>
  </w:style>
  <w:style w:type="paragraph" w:styleId="1353" w:customStyle="1">
    <w:name w:val="xl145"/>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54" w:customStyle="1">
    <w:name w:val="font22"/>
    <w:basedOn w:val="743"/>
    <w:uiPriority w:val="0"/>
    <w:qFormat/>
    <w:pPr>
      <w:jc w:val="left"/>
      <w:spacing w:before="100" w:beforeAutospacing="1" w:after="100" w:afterAutospacing="1"/>
      <w:widowControl/>
    </w:pPr>
    <w:rPr>
      <w:rFonts w:ascii="宋体" w:hAnsi="宋体" w:cs="宋体"/>
      <w:sz w:val="18"/>
      <w:szCs w:val="18"/>
    </w:rPr>
  </w:style>
  <w:style w:type="paragraph" w:styleId="1355" w:customStyle="1">
    <w:name w:val="xl15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56" w:customStyle="1">
    <w:name w:val="xl15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57" w:customStyle="1">
    <w:name w:val="xl111"/>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8" w:customStyle="1">
    <w:name w:val="xl143"/>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9" w:customStyle="1">
    <w:name w:val="xl128"/>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0" w:customStyle="1">
    <w:name w:val="xl13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1" w:customStyle="1">
    <w:name w:val="xl15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2" w:customStyle="1">
    <w:name w:val="xl11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3" w:customStyle="1">
    <w:name w:val="xl149"/>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4" w:customStyle="1">
    <w:name w:val="xl154"/>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5" w:customStyle="1">
    <w:name w:val="xl14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6" w:customStyle="1">
    <w:name w:val="xl12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7" w:customStyle="1">
    <w:name w:val="font8"/>
    <w:basedOn w:val="743"/>
    <w:uiPriority w:val="0"/>
    <w:qFormat/>
    <w:pPr>
      <w:jc w:val="left"/>
      <w:spacing w:before="100" w:beforeAutospacing="1" w:after="100" w:afterAutospacing="1"/>
      <w:widowControl/>
    </w:pPr>
    <w:rPr>
      <w:rFonts w:ascii="宋体" w:hAnsi="宋体" w:cs="宋体"/>
      <w:sz w:val="18"/>
      <w:szCs w:val="18"/>
    </w:rPr>
  </w:style>
  <w:style w:type="paragraph" w:styleId="1368" w:customStyle="1">
    <w:name w:val="xl14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9" w:customStyle="1">
    <w:name w:val="xl125"/>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0" w:customStyle="1">
    <w:name w:val="xl12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1" w:customStyle="1">
    <w:name w:val="xl105"/>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2" w:customStyle="1">
    <w:name w:val="xl109"/>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3" w:customStyle="1">
    <w:name w:val="xl136"/>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4" w:customStyle="1">
    <w:name w:val="xl10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75" w:customStyle="1">
    <w:name w:val="列出段落11"/>
    <w:basedOn w:val="743"/>
    <w:uiPriority w:val="34"/>
    <w:qFormat/>
    <w:pPr>
      <w:ind w:firstLine="420"/>
    </w:pPr>
    <w:rPr>
      <w:rFonts w:ascii="Calibri" w:hAnsi="Calibri"/>
      <w:sz w:val="26"/>
      <w:szCs w:val="26"/>
    </w:rPr>
  </w:style>
  <w:style w:type="paragraph" w:styleId="1376" w:customStyle="1">
    <w:name w:val="font15"/>
    <w:basedOn w:val="743"/>
    <w:uiPriority w:val="0"/>
    <w:qFormat/>
    <w:pPr>
      <w:jc w:val="left"/>
      <w:spacing w:before="100" w:beforeAutospacing="1" w:after="100" w:afterAutospacing="1"/>
      <w:widowControl/>
    </w:pPr>
    <w:rPr>
      <w:rFonts w:ascii="宋体" w:hAnsi="宋体" w:cs="宋体"/>
      <w:sz w:val="18"/>
      <w:szCs w:val="18"/>
    </w:rPr>
  </w:style>
  <w:style w:type="paragraph" w:styleId="1377" w:customStyle="1">
    <w:name w:val="xl161"/>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78" w:customStyle="1">
    <w:name w:val="xl141"/>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9" w:customStyle="1">
    <w:name w:val="xl11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0" w:customStyle="1">
    <w:name w:val="xl15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1" w:customStyle="1">
    <w:name w:val="xl133"/>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2" w:customStyle="1">
    <w:name w:val="font17"/>
    <w:basedOn w:val="743"/>
    <w:uiPriority w:val="0"/>
    <w:qFormat/>
    <w:pPr>
      <w:jc w:val="left"/>
      <w:spacing w:before="100" w:beforeAutospacing="1" w:after="100" w:afterAutospacing="1"/>
      <w:widowControl/>
    </w:pPr>
    <w:rPr>
      <w:rFonts w:ascii="宋体" w:hAnsi="宋体" w:cs="宋体"/>
      <w:sz w:val="18"/>
      <w:szCs w:val="18"/>
    </w:rPr>
  </w:style>
  <w:style w:type="paragraph" w:styleId="1383" w:customStyle="1">
    <w:name w:val="xl14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4" w:customStyle="1">
    <w:name w:val="xl159"/>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5" w:customStyle="1">
    <w:name w:val="xl10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6" w:customStyle="1">
    <w:name w:val="xl120"/>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7" w:customStyle="1">
    <w:name w:val="xl148"/>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8" w:customStyle="1">
    <w:name w:val="xl15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9" w:customStyle="1">
    <w:name w:val="xl110"/>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0" w:customStyle="1">
    <w:name w:val="正文1"/>
    <w:uiPriority w:val="0"/>
    <w:qFormat/>
    <w:pPr>
      <w:ind w:firstLine="200"/>
      <w:jc w:val="both"/>
      <w:spacing w:line="240" w:lineRule="atLeast"/>
    </w:pPr>
    <w:rPr>
      <w:rFonts w:hint="default" w:ascii="Calibri" w:hAnsi="Calibri" w:eastAsia="宋体" w:cs="Times New Roman"/>
      <w:sz w:val="21"/>
      <w:szCs w:val="21"/>
    </w:rPr>
  </w:style>
  <w:style w:type="paragraph" w:styleId="1391" w:customStyle="1">
    <w:name w:val="xl13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2" w:customStyle="1">
    <w:name w:val="font16"/>
    <w:basedOn w:val="743"/>
    <w:uiPriority w:val="0"/>
    <w:qFormat/>
    <w:pPr>
      <w:jc w:val="left"/>
      <w:spacing w:before="100" w:beforeAutospacing="1" w:after="100" w:afterAutospacing="1"/>
      <w:widowControl/>
    </w:pPr>
    <w:rPr>
      <w:rFonts w:ascii="宋体" w:hAnsi="宋体" w:cs="宋体"/>
      <w:sz w:val="18"/>
      <w:szCs w:val="18"/>
    </w:rPr>
  </w:style>
  <w:style w:type="paragraph" w:styleId="1393" w:customStyle="1">
    <w:name w:val="Normal_20"/>
    <w:uiPriority w:val="0"/>
    <w:qFormat/>
    <w:pPr>
      <w:jc w:val="both"/>
      <w:spacing w:before="120" w:after="240"/>
    </w:pPr>
    <w:rPr>
      <w:rFonts w:hint="default" w:ascii="Calibri" w:hAnsi="Calibri" w:eastAsia="Calibri" w:cs="Times New Roman"/>
      <w:sz w:val="22"/>
      <w:szCs w:val="22"/>
      <w:lang w:val="ru-RU" w:eastAsia="en-US"/>
    </w:rPr>
  </w:style>
  <w:style w:type="paragraph" w:styleId="1394" w:customStyle="1">
    <w:name w:val="xl114"/>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95" w:customStyle="1">
    <w:name w:val="xl131"/>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6" w:customStyle="1">
    <w:name w:val="_Style 7"/>
    <w:basedOn w:val="743"/>
    <w:uiPriority w:val="0"/>
    <w:qFormat/>
    <w:pPr>
      <w:ind w:firstLine="420"/>
    </w:pPr>
    <w:rPr>
      <w:rFonts w:ascii="Calibri" w:hAnsi="Calibri"/>
      <w:sz w:val="26"/>
      <w:szCs w:val="26"/>
    </w:rPr>
  </w:style>
  <w:style w:type="paragraph" w:styleId="1397" w:customStyle="1">
    <w:name w:val="xl10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8" w:customStyle="1">
    <w:name w:val="xl13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9" w:customStyle="1">
    <w:name w:val="font14"/>
    <w:basedOn w:val="743"/>
    <w:uiPriority w:val="0"/>
    <w:qFormat/>
    <w:pPr>
      <w:jc w:val="left"/>
      <w:spacing w:before="100" w:beforeAutospacing="1" w:after="100" w:afterAutospacing="1"/>
      <w:widowControl/>
    </w:pPr>
    <w:rPr>
      <w:rFonts w:ascii="宋体" w:hAnsi="宋体" w:cs="宋体"/>
      <w:sz w:val="18"/>
      <w:szCs w:val="18"/>
    </w:rPr>
  </w:style>
  <w:style w:type="paragraph" w:styleId="1400" w:customStyle="1">
    <w:name w:val="xl100"/>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401" w:customStyle="1">
    <w:name w:val="xl99"/>
    <w:basedOn w:val="743"/>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402" w:customStyle="1">
    <w:name w:val="xl151"/>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3" w:customStyle="1">
    <w:name w:val="_Style 26"/>
    <w:next w:val="743"/>
    <w:uiPriority w:val="99"/>
    <w:qFormat/>
    <w:pPr>
      <w:jc w:val="both"/>
      <w:widowControl w:val="off"/>
    </w:pPr>
    <w:rPr>
      <w:rFonts w:hint="default" w:ascii="Calibri" w:hAnsi="Calibri" w:eastAsia="楷体_GB2312" w:cs="Times New Roman"/>
      <w:sz w:val="26"/>
      <w:szCs w:val="26"/>
    </w:rPr>
  </w:style>
  <w:style w:type="paragraph" w:styleId="1404" w:customStyle="1">
    <w:name w:val="样式 标题 1 + 宋体 段前: 0 磅 段后: 0 磅 行距: 单倍行距"/>
    <w:basedOn w:val="871"/>
    <w:next w:val="743"/>
    <w:uiPriority w:val="0"/>
    <w:qFormat/>
    <w:pPr>
      <w:jc w:val="center"/>
      <w:spacing w:before="340" w:after="330"/>
    </w:pPr>
    <w:rPr>
      <w:rFonts w:ascii="仿宋_GB2312" w:hAnsi="宋体" w:eastAsia="仿宋_GB2312" w:cs="宋体"/>
      <w:b/>
      <w:bCs/>
      <w:sz w:val="44"/>
      <w:szCs w:val="44"/>
    </w:rPr>
  </w:style>
  <w:style w:type="paragraph" w:styleId="1405" w:customStyle="1">
    <w:name w:val="font9"/>
    <w:basedOn w:val="743"/>
    <w:uiPriority w:val="0"/>
    <w:qFormat/>
    <w:pPr>
      <w:jc w:val="left"/>
      <w:spacing w:before="100" w:beforeAutospacing="1" w:after="100" w:afterAutospacing="1"/>
      <w:widowControl/>
    </w:pPr>
    <w:rPr>
      <w:rFonts w:ascii="宋体" w:hAnsi="宋体" w:cs="宋体"/>
      <w:sz w:val="18"/>
      <w:szCs w:val="18"/>
    </w:rPr>
  </w:style>
  <w:style w:type="paragraph" w:styleId="1406" w:customStyle="1">
    <w:name w:val="font20"/>
    <w:basedOn w:val="743"/>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07" w:customStyle="1">
    <w:name w:val="font13"/>
    <w:basedOn w:val="743"/>
    <w:uiPriority w:val="0"/>
    <w:qFormat/>
    <w:pPr>
      <w:jc w:val="left"/>
      <w:spacing w:before="100" w:beforeAutospacing="1" w:after="100" w:afterAutospacing="1"/>
      <w:widowControl/>
    </w:pPr>
    <w:rPr>
      <w:rFonts w:ascii="宋体" w:hAnsi="宋体" w:cs="宋体"/>
      <w:sz w:val="18"/>
      <w:szCs w:val="18"/>
    </w:rPr>
  </w:style>
  <w:style w:type="paragraph" w:styleId="1408" w:customStyle="1">
    <w:name w:val="xl10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09" w:customStyle="1">
    <w:name w:val="xl116"/>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0" w:customStyle="1">
    <w:name w:val="xl134"/>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1" w:customStyle="1">
    <w:name w:val="font18"/>
    <w:basedOn w:val="743"/>
    <w:uiPriority w:val="0"/>
    <w:qFormat/>
    <w:pPr>
      <w:jc w:val="left"/>
      <w:spacing w:before="100" w:beforeAutospacing="1" w:after="100" w:afterAutospacing="1"/>
      <w:widowControl/>
    </w:pPr>
    <w:rPr>
      <w:rFonts w:ascii="宋体" w:hAnsi="宋体" w:cs="宋体"/>
      <w:sz w:val="18"/>
      <w:szCs w:val="18"/>
    </w:rPr>
  </w:style>
  <w:style w:type="paragraph" w:styleId="1412" w:customStyle="1">
    <w:name w:val="xl12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3" w:customStyle="1">
    <w:name w:val="xl158"/>
    <w:basedOn w:val="743"/>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14" w:customStyle="1">
    <w:name w:val="xl11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5" w:customStyle="1">
    <w:name w:val="xl135"/>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6" w:customStyle="1">
    <w:name w:val="xl155"/>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7" w:customStyle="1">
    <w:name w:val="font19"/>
    <w:basedOn w:val="743"/>
    <w:uiPriority w:val="0"/>
    <w:qFormat/>
    <w:pPr>
      <w:jc w:val="left"/>
      <w:spacing w:before="100" w:beforeAutospacing="1" w:after="100" w:afterAutospacing="1"/>
      <w:widowControl/>
    </w:pPr>
    <w:rPr>
      <w:rFonts w:ascii="宋体" w:hAnsi="宋体" w:cs="宋体"/>
      <w:sz w:val="18"/>
      <w:szCs w:val="18"/>
    </w:rPr>
  </w:style>
  <w:style w:type="paragraph" w:styleId="1418" w:customStyle="1">
    <w:name w:val="xl160"/>
    <w:basedOn w:val="7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19" w:customStyle="1">
    <w:name w:val="xl112"/>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0" w:customStyle="1">
    <w:name w:val="xl104"/>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1" w:customStyle="1">
    <w:name w:val="xl139"/>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22" w:customStyle="1">
    <w:name w:val="xl130"/>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3" w:customStyle="1">
    <w:name w:val="xl129"/>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4" w:customStyle="1">
    <w:name w:val="xl115"/>
    <w:basedOn w:val="7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5" w:customStyle="1">
    <w:name w:val="xl14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6" w:customStyle="1">
    <w:name w:val="xl144"/>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27" w:customStyle="1">
    <w:name w:val="网格型111"/>
    <w:basedOn w:val="754"/>
    <w:uiPriority w:val="0"/>
    <w:qFormat/>
    <w:pPr>
      <w:jc w:val="both"/>
      <w:widowControl w:val="off"/>
    </w:pPr>
    <w:rPr>
      <w:sz w:val="21"/>
      <w:szCs w:val="22"/>
    </w:rPr>
    <w:tblPr/>
  </w:style>
  <w:style w:type="paragraph" w:styleId="1428" w:customStyle="1">
    <w:name w:val="_Style 225"/>
    <w:uiPriority w:val="0"/>
    <w:qFormat/>
    <w:pPr>
      <w:ind w:firstLine="420"/>
      <w:jc w:val="both"/>
      <w:spacing w:after="120"/>
      <w:widowControl w:val="off"/>
    </w:pPr>
    <w:rPr>
      <w:rFonts w:hint="default" w:ascii="Calibri" w:hAnsi="Calibri" w:eastAsia="楷体_GB2312" w:cs="Times New Roman"/>
      <w:sz w:val="26"/>
    </w:rPr>
  </w:style>
  <w:style w:type="character" w:styleId="1429" w:customStyle="1">
    <w:name w:val="正文文本 字符1"/>
    <w:uiPriority w:val="0"/>
    <w:qFormat/>
    <w:rPr>
      <w:rFonts w:ascii="楷体_GB2312" w:eastAsia="楷体_GB2312"/>
      <w:sz w:val="28"/>
    </w:rPr>
  </w:style>
  <w:style w:type="table" w:styleId="1430"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31"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32"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33"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34" w:customStyle="1">
    <w:name w:val="样式 行距: 1.5 倍行距 左  3.42 字符"/>
    <w:basedOn w:val="743"/>
    <w:uiPriority w:val="0"/>
    <w:qFormat/>
    <w:pPr>
      <w:ind w:left="200" w:firstLine="200"/>
      <w:spacing w:line="360" w:lineRule="auto"/>
    </w:pPr>
    <w:rPr>
      <w:szCs w:val="20"/>
    </w:rPr>
  </w:style>
  <w:style w:type="paragraph" w:styleId="1435" w:customStyle="1">
    <w:name w:val="表格文字"/>
    <w:basedOn w:val="1436"/>
    <w:next w:val="766"/>
    <w:uiPriority w:val="0"/>
    <w:qFormat/>
  </w:style>
  <w:style w:type="paragraph" w:styleId="1436" w:customStyle="1">
    <w:name w:val="表格文字（两侧对齐）"/>
    <w:basedOn w:val="743"/>
    <w:uiPriority w:val="0"/>
    <w:qFormat/>
    <w:rPr>
      <w:rFonts w:ascii="Calibri" w:hAnsi="Calibri"/>
      <w:sz w:val="20"/>
      <w:szCs w:val="22"/>
    </w:rPr>
  </w:style>
  <w:style w:type="paragraph" w:styleId="1437" w:customStyle="1">
    <w:name w:val="无间隔1"/>
    <w:uiPriority w:val="0"/>
    <w:qFormat/>
    <w:pPr>
      <w:spacing w:line="300" w:lineRule="auto"/>
      <w:widowControl w:val="off"/>
    </w:pPr>
    <w:rPr>
      <w:rFonts w:hint="default" w:ascii="Times New Roman" w:hAnsi="Times New Roman" w:eastAsia="华文仿宋" w:cs="Times New Roman"/>
      <w:sz w:val="24"/>
      <w:szCs w:val="21"/>
    </w:rPr>
  </w:style>
  <w:style w:type="paragraph" w:styleId="1438" w:customStyle="1">
    <w:name w:val="正文首行缩进 211"/>
    <w:basedOn w:val="1439"/>
    <w:uiPriority w:val="0"/>
    <w:unhideWhenUsed/>
    <w:qFormat/>
    <w:pPr>
      <w:ind w:firstLine="420"/>
    </w:pPr>
  </w:style>
  <w:style w:type="paragraph" w:styleId="1439" w:customStyle="1">
    <w:name w:val="正文文本缩进11"/>
    <w:basedOn w:val="743"/>
    <w:next w:val="1440"/>
    <w:uiPriority w:val="0"/>
    <w:unhideWhenUsed/>
    <w:qFormat/>
    <w:pPr>
      <w:ind w:left="420"/>
      <w:spacing w:after="120"/>
    </w:pPr>
    <w:rPr>
      <w:szCs w:val="22"/>
      <w:lang w:eastAsia="en-US"/>
    </w:rPr>
  </w:style>
  <w:style w:type="paragraph" w:styleId="1440" w:customStyle="1">
    <w:name w:val="寄信人地址11"/>
    <w:basedOn w:val="743"/>
    <w:uiPriority w:val="99"/>
    <w:unhideWhenUsed/>
    <w:qFormat/>
    <w:rPr>
      <w:rFonts w:ascii="Arial" w:hAnsi="Arial" w:eastAsia="楷体_GB2312"/>
      <w:sz w:val="26"/>
      <w:szCs w:val="20"/>
    </w:rPr>
  </w:style>
  <w:style w:type="character" w:styleId="1441" w:customStyle="1">
    <w:name w:val="页眉 字符1"/>
    <w:uiPriority w:val="99"/>
    <w:qFormat/>
    <w:rPr>
      <w:rFonts w:ascii="Calibri" w:hAnsi="Calibri"/>
      <w:sz w:val="18"/>
      <w:szCs w:val="18"/>
    </w:rPr>
  </w:style>
  <w:style w:type="character" w:styleId="1442" w:customStyle="1">
    <w:name w:val="页脚 字符1"/>
    <w:uiPriority w:val="99"/>
    <w:qFormat/>
    <w:rPr>
      <w:rFonts w:ascii="Calibri" w:hAnsi="Calibri"/>
      <w:sz w:val="18"/>
      <w:szCs w:val="18"/>
    </w:rPr>
  </w:style>
  <w:style w:type="paragraph" w:styleId="1443" w:customStyle="1">
    <w:name w:val="正文首行缩进 2111"/>
    <w:basedOn w:val="767"/>
    <w:uiPriority w:val="0"/>
    <w:unhideWhenUsed/>
    <w:qFormat/>
    <w:pPr>
      <w:ind w:left="420" w:firstLine="420"/>
      <w:spacing w:after="120"/>
    </w:pPr>
    <w:rPr>
      <w:rFonts w:ascii="Times New Roman" w:eastAsia="宋体"/>
      <w:sz w:val="21"/>
      <w:szCs w:val="22"/>
      <w:lang w:eastAsia="en-US"/>
    </w:rPr>
  </w:style>
  <w:style w:type="table" w:styleId="1444" w:customStyle="1">
    <w:name w:val="网格型4"/>
    <w:basedOn w:val="754"/>
    <w:uiPriority w:val="59"/>
    <w:unhideWhenUsed/>
    <w:qFormat/>
    <w:tblPr/>
  </w:style>
  <w:style w:type="table" w:styleId="1445" w:customStyle="1">
    <w:name w:val="Plain Table 31"/>
    <w:uiPriority w:val="99"/>
    <w:qFormat/>
    <w:tblPr>
      <w:tblCellMar>
        <w:left w:w="0" w:type="dxa"/>
        <w:top w:w="0" w:type="dxa"/>
        <w:right w:w="0" w:type="dxa"/>
        <w:bottom w:w="0" w:type="dxa"/>
      </w:tblCellMar>
    </w:tblPr>
  </w:style>
  <w:style w:type="table" w:styleId="1446" w:customStyle="1">
    <w:name w:val="Plain Table 41"/>
    <w:uiPriority w:val="99"/>
    <w:qFormat/>
    <w:tblPr>
      <w:tblCellMar>
        <w:left w:w="0" w:type="dxa"/>
        <w:top w:w="0" w:type="dxa"/>
        <w:right w:w="0" w:type="dxa"/>
        <w:bottom w:w="0" w:type="dxa"/>
      </w:tblCellMar>
    </w:tblPr>
  </w:style>
  <w:style w:type="table" w:styleId="1447" w:customStyle="1">
    <w:name w:val="Plain Table 51"/>
    <w:uiPriority w:val="99"/>
    <w:qFormat/>
    <w:tblPr>
      <w:tblCellMar>
        <w:left w:w="0" w:type="dxa"/>
        <w:top w:w="0" w:type="dxa"/>
        <w:right w:w="0" w:type="dxa"/>
        <w:bottom w:w="0" w:type="dxa"/>
      </w:tblCellMar>
    </w:tblPr>
  </w:style>
  <w:style w:type="table" w:styleId="1448" w:customStyle="1">
    <w:name w:val="Grid Table 1 Light1"/>
    <w:uiPriority w:val="99"/>
    <w:qFormat/>
    <w:tblPr>
      <w:tblCellMar>
        <w:left w:w="0" w:type="dxa"/>
        <w:top w:w="0" w:type="dxa"/>
        <w:right w:w="0" w:type="dxa"/>
        <w:bottom w:w="0" w:type="dxa"/>
      </w:tblCellMar>
    </w:tblPr>
  </w:style>
  <w:style w:type="table" w:styleId="1449" w:customStyle="1">
    <w:name w:val="Grid Table 21"/>
    <w:uiPriority w:val="99"/>
    <w:qFormat/>
    <w:tblPr>
      <w:tblCellMar>
        <w:left w:w="0" w:type="dxa"/>
        <w:top w:w="0" w:type="dxa"/>
        <w:right w:w="0" w:type="dxa"/>
        <w:bottom w:w="0" w:type="dxa"/>
      </w:tblCellMar>
    </w:tblPr>
  </w:style>
  <w:style w:type="table" w:styleId="1450" w:customStyle="1">
    <w:name w:val="Grid Table 31"/>
    <w:uiPriority w:val="99"/>
    <w:qFormat/>
    <w:tblPr>
      <w:tblCellMar>
        <w:left w:w="0" w:type="dxa"/>
        <w:top w:w="0" w:type="dxa"/>
        <w:right w:w="0" w:type="dxa"/>
        <w:bottom w:w="0" w:type="dxa"/>
      </w:tblCellMar>
    </w:tblPr>
  </w:style>
  <w:style w:type="table" w:styleId="1451" w:customStyle="1">
    <w:name w:val="Grid Table 41"/>
    <w:uiPriority w:val="59"/>
    <w:qFormat/>
    <w:tblPr>
      <w:tblCellMar>
        <w:left w:w="0" w:type="dxa"/>
        <w:top w:w="0" w:type="dxa"/>
        <w:right w:w="0" w:type="dxa"/>
        <w:bottom w:w="0" w:type="dxa"/>
      </w:tblCellMar>
    </w:tblPr>
  </w:style>
  <w:style w:type="table" w:styleId="1452" w:customStyle="1">
    <w:name w:val="Grid Table 5 Dark1"/>
    <w:uiPriority w:val="99"/>
    <w:qFormat/>
    <w:tblPr>
      <w:tblCellMar>
        <w:left w:w="0" w:type="dxa"/>
        <w:top w:w="0" w:type="dxa"/>
        <w:right w:w="0" w:type="dxa"/>
        <w:bottom w:w="0" w:type="dxa"/>
      </w:tblCellMar>
    </w:tblPr>
  </w:style>
  <w:style w:type="table" w:styleId="1453" w:customStyle="1">
    <w:name w:val="Grid Table 6 Colorful1"/>
    <w:uiPriority w:val="99"/>
    <w:qFormat/>
    <w:tblPr>
      <w:tblCellMar>
        <w:left w:w="0" w:type="dxa"/>
        <w:top w:w="0" w:type="dxa"/>
        <w:right w:w="0" w:type="dxa"/>
        <w:bottom w:w="0" w:type="dxa"/>
      </w:tblCellMar>
    </w:tblPr>
  </w:style>
  <w:style w:type="table" w:styleId="1454" w:customStyle="1">
    <w:name w:val="Grid Table 7 Colorful1"/>
    <w:uiPriority w:val="99"/>
    <w:qFormat/>
    <w:tblPr>
      <w:tblCellMar>
        <w:left w:w="0" w:type="dxa"/>
        <w:top w:w="0" w:type="dxa"/>
        <w:right w:w="0" w:type="dxa"/>
        <w:bottom w:w="0" w:type="dxa"/>
      </w:tblCellMar>
    </w:tblPr>
  </w:style>
  <w:style w:type="table" w:styleId="1455" w:customStyle="1">
    <w:name w:val="List Table 1 Light1"/>
    <w:uiPriority w:val="99"/>
    <w:qFormat/>
    <w:tblPr>
      <w:tblCellMar>
        <w:left w:w="0" w:type="dxa"/>
        <w:top w:w="0" w:type="dxa"/>
        <w:right w:w="0" w:type="dxa"/>
        <w:bottom w:w="0" w:type="dxa"/>
      </w:tblCellMar>
    </w:tblPr>
  </w:style>
  <w:style w:type="table" w:styleId="1456" w:customStyle="1">
    <w:name w:val="List Table 21"/>
    <w:uiPriority w:val="99"/>
    <w:qFormat/>
    <w:tblPr>
      <w:tblCellMar>
        <w:left w:w="0" w:type="dxa"/>
        <w:top w:w="0" w:type="dxa"/>
        <w:right w:w="0" w:type="dxa"/>
        <w:bottom w:w="0" w:type="dxa"/>
      </w:tblCellMar>
    </w:tblPr>
  </w:style>
  <w:style w:type="table" w:styleId="1457" w:customStyle="1">
    <w:name w:val="List Table 31"/>
    <w:uiPriority w:val="99"/>
    <w:qFormat/>
    <w:tblPr>
      <w:tblCellMar>
        <w:left w:w="0" w:type="dxa"/>
        <w:top w:w="0" w:type="dxa"/>
        <w:right w:w="0" w:type="dxa"/>
        <w:bottom w:w="0" w:type="dxa"/>
      </w:tblCellMar>
    </w:tblPr>
  </w:style>
  <w:style w:type="table" w:styleId="1458" w:customStyle="1">
    <w:name w:val="List Table 41"/>
    <w:uiPriority w:val="99"/>
    <w:qFormat/>
    <w:tblPr>
      <w:tblCellMar>
        <w:left w:w="0" w:type="dxa"/>
        <w:top w:w="0" w:type="dxa"/>
        <w:right w:w="0" w:type="dxa"/>
        <w:bottom w:w="0" w:type="dxa"/>
      </w:tblCellMar>
    </w:tblPr>
  </w:style>
  <w:style w:type="table" w:styleId="1459" w:customStyle="1">
    <w:name w:val="List Table 5 Dark1"/>
    <w:uiPriority w:val="99"/>
    <w:qFormat/>
    <w:tblPr>
      <w:tblCellMar>
        <w:left w:w="0" w:type="dxa"/>
        <w:top w:w="0" w:type="dxa"/>
        <w:right w:w="0" w:type="dxa"/>
        <w:bottom w:w="0" w:type="dxa"/>
      </w:tblCellMar>
    </w:tblPr>
  </w:style>
  <w:style w:type="table" w:styleId="1460" w:customStyle="1">
    <w:name w:val="List Table 6 Colorful1"/>
    <w:uiPriority w:val="99"/>
    <w:qFormat/>
    <w:tblPr>
      <w:tblCellMar>
        <w:left w:w="0" w:type="dxa"/>
        <w:top w:w="0" w:type="dxa"/>
        <w:right w:w="0" w:type="dxa"/>
        <w:bottom w:w="0" w:type="dxa"/>
      </w:tblCellMar>
    </w:tblPr>
  </w:style>
  <w:style w:type="table" w:styleId="1461" w:customStyle="1">
    <w:name w:val="List Table 7 Colorful1"/>
    <w:uiPriority w:val="99"/>
    <w:qFormat/>
    <w:tblPr>
      <w:tblCellMar>
        <w:left w:w="0" w:type="dxa"/>
        <w:top w:w="0" w:type="dxa"/>
        <w:right w:w="0" w:type="dxa"/>
        <w:bottom w:w="0" w:type="dxa"/>
      </w:tblCellMar>
    </w:tblPr>
  </w:style>
  <w:style w:type="table" w:styleId="1462" w:customStyle="1">
    <w:name w:val="Lined - Accent 12"/>
    <w:uiPriority w:val="99"/>
    <w:qFormat/>
    <w:rPr>
      <w:color w:val="404040"/>
    </w:rPr>
    <w:tblPr>
      <w:tblCellMar>
        <w:left w:w="0" w:type="dxa"/>
        <w:top w:w="0" w:type="dxa"/>
        <w:right w:w="0" w:type="dxa"/>
        <w:bottom w:w="0" w:type="dxa"/>
      </w:tblCellMar>
    </w:tblPr>
  </w:style>
  <w:style w:type="table" w:styleId="1463" w:customStyle="1">
    <w:name w:val="Bordered &amp; Lined - Accent 12"/>
    <w:uiPriority w:val="99"/>
    <w:qFormat/>
    <w:rPr>
      <w:color w:val="404040"/>
    </w:rPr>
    <w:tblPr>
      <w:tblCellMar>
        <w:left w:w="0" w:type="dxa"/>
        <w:top w:w="0" w:type="dxa"/>
        <w:right w:w="0" w:type="dxa"/>
        <w:bottom w:w="0" w:type="dxa"/>
      </w:tblCellMar>
    </w:tblPr>
  </w:style>
  <w:style w:type="character" w:styleId="1464" w:customStyle="1">
    <w:name w:val="未处理的提及1"/>
    <w:basedOn w:val="753"/>
    <w:uiPriority w:val="99"/>
    <w:semiHidden/>
    <w:unhideWhenUsed/>
    <w:qFormat/>
    <w:rPr>
      <w:color w:val="605e5c"/>
      <w:shd w:val="clear" w:color="auto" w:fill="e1dfdd"/>
    </w:rPr>
  </w:style>
  <w:style w:type="paragraph" w:styleId="1465" w:customStyle="1">
    <w:name w:val="附录标题"/>
    <w:next w:val="743"/>
    <w:uiPriority w:val="0"/>
    <w:qFormat/>
    <w:pPr>
      <w:spacing w:after="240"/>
      <w:widowControl w:val="off"/>
      <w:outlineLvl w:val="0"/>
    </w:pPr>
    <w:rPr>
      <w:rFonts w:hint="default" w:ascii="Times New Roman" w:hAnsi="Times New Roman" w:eastAsia="宋体" w:cs="Times New Roman"/>
      <w:b/>
      <w:sz w:val="24"/>
    </w:rPr>
  </w:style>
  <w:style w:type="paragraph" w:styleId="1466" w:customStyle="1">
    <w:name w:val="章前标题"/>
    <w:next w:val="743"/>
    <w:uiPriority w:val="0"/>
    <w:qFormat/>
    <w:pPr>
      <w:jc w:val="center"/>
      <w:spacing w:before="240" w:after="240"/>
      <w:widowControl w:val="off"/>
    </w:pPr>
    <w:rPr>
      <w:rFonts w:hint="default" w:ascii="黑体" w:hAnsi="黑体" w:eastAsia="黑体" w:cs="黑体"/>
      <w:sz w:val="32"/>
      <w:szCs w:val="36"/>
    </w:rPr>
  </w:style>
  <w:style w:type="paragraph" w:styleId="1467" w:customStyle="1">
    <w:name w:val="章节标题"/>
    <w:next w:val="743"/>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1468" w:customStyle="1">
    <w:name w:val="内嵌文档标题1"/>
    <w:next w:val="743"/>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1469" w:customStyle="1">
    <w:name w:val="强调标题"/>
    <w:next w:val="743"/>
    <w:uiPriority w:val="0"/>
    <w:qFormat/>
    <w:pPr>
      <w:ind w:firstLine="420"/>
      <w:spacing w:after="120" w:line="360" w:lineRule="auto"/>
      <w:outlineLvl w:val="0"/>
    </w:pPr>
    <w:rPr>
      <w:rFonts w:hint="default" w:ascii="Calibri" w:hAnsi="Calibri" w:eastAsia="宋体" w:cs="Times New Roman"/>
      <w:b/>
      <w:sz w:val="24"/>
    </w:rPr>
  </w:style>
  <w:style w:type="paragraph" w:styleId="1470" w:customStyle="1">
    <w:name w:val="表格标题"/>
    <w:next w:val="743"/>
    <w:uiPriority w:val="0"/>
    <w:qFormat/>
    <w:pPr>
      <w:jc w:val="center"/>
      <w:spacing w:before="240" w:after="240"/>
      <w:widowControl w:val="off"/>
    </w:pPr>
    <w:rPr>
      <w:rFonts w:hint="default" w:ascii="宋体" w:hAnsi="宋体" w:eastAsia="宋体" w:cs="宋体"/>
      <w:b/>
      <w:sz w:val="24"/>
      <w:szCs w:val="22"/>
    </w:rPr>
  </w:style>
  <w:style w:type="paragraph" w:styleId="1471" w:customStyle="1">
    <w:name w:val="内嵌文档标题2"/>
    <w:next w:val="743"/>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numbering" w:styleId="86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丁昕</cp:lastModifiedBy>
  <cp:revision>45</cp:revision>
  <dcterms:created xsi:type="dcterms:W3CDTF">2024-09-03T02:08:00Z</dcterms:created>
  <dcterms:modified xsi:type="dcterms:W3CDTF">2026-09-14T06:46:06Z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3D9FB2DD85784FFB82C4C439704CCA48_13</vt:lpwstr>
  </property>
  <property fmtid="{D5CDD505-2E9C-101B-9397-08002B2CF9AE}" pid="4" name="KSOTemplateDocerSaveRecord">
    <vt:lpwstr>eyJoZGlkIjoiMGZjYjM3YmRlN2NlYTJlZGM3MDljMzEyYzE1ZGY5NWQiLCJ1c2VySWQiOiIzNzU0NjAwNDgifQ==</vt:lpwstr>
  </property>
</Properties>
</file>