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微软雅黑" w:hAnsi="微软雅黑" w:cs="微软雅黑"/>
          <w:color w:val="auto"/>
          <w:sz w:val="84"/>
          <w:highlight w:val="none"/>
        </w:rPr>
      </w:pPr>
      <w:r>
        <w:rPr>
          <w:rFonts w:hint="eastAsia" w:ascii="微软雅黑" w:hAnsi="微软雅黑" w:cs="微软雅黑"/>
          <w:color w:val="auto"/>
          <w:sz w:val="84"/>
          <w:highlight w:val="none"/>
        </w:rPr>
      </w:r>
      <w:r>
        <w:rPr>
          <w:highlight w:val="none"/>
        </w:rPr>
      </w:r>
      <w:r>
        <w:rPr>
          <w:highlight w:val="none"/>
        </w:rPr>
      </w:r>
    </w:p>
    <w:p>
      <w:pPr>
        <w:jc w:val="center"/>
        <w:spacing w:line="720" w:lineRule="auto"/>
        <w:rPr>
          <w:rFonts w:ascii="微软雅黑" w:hAnsi="微软雅黑" w:cs="微软雅黑"/>
          <w:b/>
          <w:bCs/>
          <w:color w:val="auto"/>
          <w:sz w:val="84"/>
          <w:highlight w:val="none"/>
        </w:rPr>
      </w:pPr>
      <w:r>
        <w:rPr>
          <w:rFonts w:hint="eastAsia" w:ascii="微软雅黑" w:hAnsi="微软雅黑" w:cs="微软雅黑"/>
          <w:color w:val="auto"/>
          <w:sz w:val="72"/>
          <w:szCs w:val="72"/>
          <w:highlight w:val="none"/>
        </w:rPr>
        <w:t xml:space="preserve">采 购 文 件</w:t>
      </w:r>
      <w:r>
        <w:rPr>
          <w:highlight w:val="none"/>
        </w:rPr>
      </w:r>
      <w:r>
        <w:rPr>
          <w:highlight w:val="none"/>
        </w:rPr>
      </w:r>
    </w:p>
    <w:p>
      <w:pPr>
        <w:jc w:val="center"/>
        <w:rPr>
          <w:rFonts w:ascii="微软雅黑" w:hAnsi="微软雅黑" w:cs="微软雅黑"/>
          <w:color w:val="auto"/>
          <w:sz w:val="48"/>
          <w:highlight w:val="none"/>
        </w:rPr>
      </w:pPr>
      <w:r>
        <w:rPr>
          <w:rFonts w:hint="eastAsia" w:ascii="微软雅黑" w:hAnsi="微软雅黑" w:cs="微软雅黑"/>
          <w:color w:val="auto"/>
          <w:sz w:val="44"/>
          <w:szCs w:val="21"/>
          <w:highlight w:val="none"/>
        </w:rPr>
        <w:t xml:space="preserve">（公开招标）</w:t>
      </w:r>
      <w:r>
        <w:rPr>
          <w:highlight w:val="none"/>
        </w:rPr>
      </w:r>
      <w:r>
        <w:rPr>
          <w:highlight w:val="none"/>
        </w:rPr>
      </w:r>
    </w:p>
    <w:p>
      <w:pPr>
        <w:rPr>
          <w:rStyle w:val="1164"/>
          <w:rFonts w:ascii="微软雅黑" w:hAnsi="微软雅黑" w:cs="微软雅黑"/>
          <w:color w:val="auto"/>
          <w:highlight w:val="none"/>
        </w:rPr>
      </w:pPr>
      <w:r>
        <w:rPr>
          <w:highlight w:val="none"/>
        </w:rPr>
      </w:r>
      <w:bookmarkStart w:id="328" w:name="_GoBack"/>
      <w:r>
        <w:rPr>
          <w:highlight w:val="none"/>
        </w:rPr>
      </w:r>
      <w:bookmarkEnd w:id="328"/>
      <w:r>
        <w:rPr>
          <w:highlight w:val="none"/>
        </w:rPr>
      </w:r>
      <w:r>
        <w:rPr>
          <w:highlight w:val="none"/>
        </w:rPr>
      </w:r>
    </w:p>
    <w:p>
      <w:pPr>
        <w:ind w:firstLine="0"/>
        <w:spacing w:line="360" w:lineRule="auto"/>
        <w:rPr>
          <w:rFonts w:ascii="微软雅黑" w:hAnsi="微软雅黑" w:cs="微软雅黑"/>
          <w:color w:val="auto"/>
          <w:sz w:val="30"/>
          <w:szCs w:val="30"/>
          <w:highlight w:val="none"/>
        </w:rPr>
      </w:pPr>
      <w:r>
        <w:rPr>
          <w:rFonts w:ascii="微软雅黑" w:hAnsi="微软雅黑" w:cs="微软雅黑"/>
          <w:color w:val="auto"/>
          <w:sz w:val="30"/>
          <w:szCs w:val="30"/>
          <w:highlight w:val="none"/>
        </w:rPr>
      </w:r>
      <w:r>
        <w:rPr>
          <w:highlight w:val="none"/>
        </w:rPr>
      </w:r>
      <w:r>
        <w:rPr>
          <w:highlight w:val="none"/>
        </w:rPr>
      </w:r>
    </w:p>
    <w:p>
      <w:pPr>
        <w:ind w:firstLine="900"/>
        <w:spacing w:line="360" w:lineRule="auto"/>
        <w:rPr>
          <w:rFonts w:hint="eastAsia" w:ascii="微软雅黑" w:hAnsi="微软雅黑" w:eastAsia="微软雅黑" w:cs="微软雅黑"/>
          <w:color w:val="auto"/>
          <w:sz w:val="30"/>
          <w:szCs w:val="30"/>
          <w:highlight w:val="none"/>
        </w:rPr>
      </w:pPr>
      <w:r>
        <w:rPr>
          <w:rFonts w:hint="eastAsia" w:ascii="微软雅黑" w:hAnsi="微软雅黑" w:cs="微软雅黑"/>
          <w:color w:val="auto"/>
          <w:sz w:val="30"/>
          <w:szCs w:val="30"/>
          <w:highlight w:val="none"/>
          <w:lang w:eastAsia="zh-CN"/>
        </w:rPr>
        <w:t xml:space="preserve">项目编号：JSZC-320000-ZJZB-G2026-0129</w:t>
      </w:r>
      <w:r>
        <w:rPr>
          <w:highlight w:val="none"/>
        </w:rPr>
      </w:r>
      <w:r>
        <w:rPr>
          <w:highlight w:val="none"/>
        </w:rPr>
      </w:r>
    </w:p>
    <w:p>
      <w:pPr>
        <w:ind w:left="2401" w:hanging="1500"/>
        <w:jc w:val="left"/>
        <w:spacing w:line="360" w:lineRule="auto"/>
        <w:rPr>
          <w:rFonts w:hint="eastAsia" w:ascii="微软雅黑" w:hAnsi="微软雅黑" w:eastAsia="微软雅黑" w:cs="微软雅黑"/>
          <w:color w:val="auto"/>
          <w:sz w:val="30"/>
          <w:szCs w:val="30"/>
          <w:highlight w:val="none"/>
        </w:rPr>
      </w:pPr>
      <w:r>
        <w:rPr>
          <w:rFonts w:hint="eastAsia" w:ascii="微软雅黑" w:hAnsi="微软雅黑" w:cs="微软雅黑"/>
          <w:color w:val="auto"/>
          <w:sz w:val="30"/>
          <w:szCs w:val="30"/>
          <w:highlight w:val="none"/>
        </w:rPr>
        <w:t xml:space="preserve">代理机构内部编号：</w:t>
      </w:r>
      <w:r>
        <w:rPr>
          <w:rFonts w:hint="eastAsia" w:ascii="微软雅黑" w:hAnsi="微软雅黑" w:cs="微软雅黑"/>
          <w:color w:val="auto"/>
          <w:sz w:val="30"/>
          <w:szCs w:val="30"/>
          <w:highlight w:val="none"/>
          <w:lang w:eastAsia="zh-CN"/>
        </w:rPr>
        <w:t xml:space="preserve">徐采公（2026）JSZJ096</w:t>
      </w:r>
      <w:r>
        <w:rPr>
          <w:highlight w:val="none"/>
        </w:rPr>
      </w:r>
      <w:r>
        <w:rPr>
          <w:highlight w:val="none"/>
        </w:rPr>
      </w:r>
    </w:p>
    <w:p>
      <w:pPr>
        <w:ind w:left="2401" w:hanging="1500"/>
        <w:jc w:val="left"/>
        <w:spacing w:line="360" w:lineRule="auto"/>
        <w:rPr>
          <w:rFonts w:hint="eastAsia" w:ascii="微软雅黑" w:hAnsi="微软雅黑" w:eastAsia="微软雅黑" w:cs="微软雅黑"/>
          <w:color w:val="auto"/>
          <w:sz w:val="30"/>
          <w:szCs w:val="30"/>
          <w:highlight w:val="none"/>
        </w:rPr>
      </w:pPr>
      <w:r>
        <w:rPr>
          <w:rFonts w:hint="eastAsia" w:ascii="微软雅黑" w:hAnsi="微软雅黑" w:cs="微软雅黑"/>
          <w:color w:val="auto"/>
          <w:sz w:val="30"/>
          <w:szCs w:val="30"/>
          <w:highlight w:val="none"/>
        </w:rPr>
        <w:t xml:space="preserve">项目名称：</w:t>
      </w:r>
      <w:r>
        <w:rPr>
          <w:rFonts w:hint="eastAsia" w:ascii="微软雅黑" w:hAnsi="微软雅黑" w:cs="微软雅黑"/>
          <w:color w:val="auto"/>
          <w:sz w:val="30"/>
          <w:szCs w:val="30"/>
          <w:highlight w:val="none"/>
          <w:lang w:eastAsia="zh-CN"/>
        </w:rPr>
        <w:t xml:space="preserve">徐医附院肝癌诊疗系统项目</w:t>
      </w:r>
      <w:r>
        <w:rPr>
          <w:highlight w:val="none"/>
        </w:rPr>
      </w:r>
      <w:r>
        <w:rPr>
          <w:highlight w:val="none"/>
        </w:rPr>
      </w:r>
    </w:p>
    <w:p>
      <w:pPr>
        <w:ind w:firstLine="900"/>
        <w:jc w:val="left"/>
        <w:spacing w:line="360" w:lineRule="auto"/>
        <w:rPr>
          <w:rFonts w:ascii="微软雅黑" w:hAnsi="微软雅黑" w:cs="微软雅黑"/>
          <w:color w:val="auto"/>
          <w:sz w:val="30"/>
          <w:szCs w:val="30"/>
          <w:highlight w:val="none"/>
        </w:rPr>
      </w:pPr>
      <w:r>
        <w:rPr>
          <w:rFonts w:hint="eastAsia" w:ascii="微软雅黑" w:hAnsi="微软雅黑" w:cs="微软雅黑"/>
          <w:color w:val="auto"/>
          <w:sz w:val="30"/>
          <w:szCs w:val="30"/>
          <w:highlight w:val="none"/>
        </w:rPr>
        <w:t xml:space="preserve">采 购 人：</w:t>
      </w:r>
      <w:r>
        <w:rPr>
          <w:rFonts w:hint="eastAsia" w:ascii="微软雅黑" w:hAnsi="微软雅黑" w:cs="微软雅黑"/>
          <w:color w:val="auto"/>
          <w:sz w:val="30"/>
          <w:szCs w:val="30"/>
          <w:highlight w:val="none"/>
          <w:lang w:eastAsia="zh-CN"/>
        </w:rPr>
        <w:t xml:space="preserve">徐州医科大学附属医院</w:t>
      </w:r>
      <w:r>
        <w:rPr>
          <w:highlight w:val="none"/>
        </w:rPr>
      </w:r>
      <w:r>
        <w:rPr>
          <w:highlight w:val="none"/>
        </w:rPr>
      </w:r>
    </w:p>
    <w:p>
      <w:pPr>
        <w:ind w:firstLine="900"/>
        <w:jc w:val="left"/>
        <w:spacing w:line="360" w:lineRule="auto"/>
        <w:rPr>
          <w:rFonts w:hint="eastAsia" w:ascii="微软雅黑" w:hAnsi="微软雅黑" w:eastAsia="微软雅黑" w:cs="微软雅黑"/>
          <w:color w:val="auto"/>
          <w:sz w:val="30"/>
          <w:szCs w:val="30"/>
          <w:highlight w:val="none"/>
        </w:rPr>
      </w:pPr>
      <w:r>
        <w:rPr>
          <w:rFonts w:hint="eastAsia" w:ascii="微软雅黑" w:hAnsi="微软雅黑" w:cs="微软雅黑"/>
          <w:color w:val="auto"/>
          <w:sz w:val="30"/>
          <w:szCs w:val="30"/>
          <w:highlight w:val="none"/>
        </w:rPr>
        <w:t xml:space="preserve">代理机构：</w:t>
      </w:r>
      <w:r>
        <w:rPr>
          <w:rFonts w:hint="eastAsia" w:ascii="微软雅黑" w:hAnsi="微软雅黑" w:cs="微软雅黑"/>
          <w:color w:val="auto"/>
          <w:sz w:val="30"/>
          <w:szCs w:val="30"/>
          <w:highlight w:val="none"/>
          <w:lang w:eastAsia="zh-CN"/>
        </w:rPr>
        <w:t xml:space="preserve">江苏中际招标代理有限公司</w:t>
      </w:r>
      <w:r>
        <w:rPr>
          <w:highlight w:val="none"/>
        </w:rPr>
      </w:r>
      <w:r>
        <w:rPr>
          <w:highlight w:val="none"/>
        </w:rPr>
      </w:r>
    </w:p>
    <w:p>
      <w:pPr>
        <w:ind w:left="2580" w:hanging="2580"/>
        <w:jc w:val="center"/>
        <w:rPr>
          <w:rFonts w:ascii="微软雅黑" w:hAnsi="微软雅黑" w:cs="微软雅黑"/>
          <w:color w:val="auto"/>
          <w:sz w:val="30"/>
          <w:szCs w:val="30"/>
          <w:highlight w:val="none"/>
        </w:rPr>
      </w:pPr>
      <w:r>
        <w:rPr>
          <w:rFonts w:ascii="微软雅黑" w:hAnsi="微软雅黑" w:cs="微软雅黑"/>
          <w:color w:val="auto"/>
          <w:sz w:val="30"/>
          <w:szCs w:val="30"/>
          <w:highlight w:val="none"/>
        </w:rPr>
      </w:r>
      <w:r>
        <w:rPr>
          <w:highlight w:val="none"/>
        </w:rPr>
      </w:r>
      <w:r>
        <w:rPr>
          <w:highlight w:val="none"/>
        </w:rPr>
      </w:r>
    </w:p>
    <w:p>
      <w:pPr>
        <w:pStyle w:val="1124"/>
        <w:ind w:left="1260"/>
        <w:rPr>
          <w:rFonts w:ascii="微软雅黑" w:hAnsi="微软雅黑" w:cs="微软雅黑"/>
          <w:color w:val="auto"/>
          <w:highlight w:val="none"/>
        </w:rPr>
      </w:pPr>
      <w:r>
        <w:rPr>
          <w:rFonts w:ascii="微软雅黑" w:hAnsi="微软雅黑" w:cs="微软雅黑"/>
          <w:color w:val="auto"/>
          <w:highlight w:val="none"/>
        </w:rPr>
      </w:r>
      <w:r>
        <w:rPr>
          <w:highlight w:val="none"/>
        </w:rPr>
      </w:r>
      <w:r>
        <w:rPr>
          <w:highlight w:val="none"/>
        </w:rPr>
      </w:r>
    </w:p>
    <w:p>
      <w:pPr>
        <w:pStyle w:val="1124"/>
        <w:ind w:left="1260"/>
        <w:rPr>
          <w:rFonts w:ascii="微软雅黑" w:hAnsi="微软雅黑" w:cs="微软雅黑"/>
          <w:color w:val="auto"/>
          <w:highlight w:val="none"/>
        </w:rPr>
      </w:pPr>
      <w:r>
        <w:rPr>
          <w:rFonts w:ascii="微软雅黑" w:hAnsi="微软雅黑" w:cs="微软雅黑"/>
          <w:color w:val="auto"/>
          <w:highlight w:val="none"/>
        </w:rPr>
      </w:r>
      <w:r>
        <w:rPr>
          <w:highlight w:val="none"/>
        </w:rPr>
      </w:r>
      <w:r>
        <w:rPr>
          <w:highlight w:val="none"/>
        </w:rPr>
      </w:r>
    </w:p>
    <w:p>
      <w:pPr>
        <w:jc w:val="center"/>
        <w:rPr>
          <w:rFonts w:ascii="微软雅黑" w:hAnsi="微软雅黑" w:cs="微软雅黑"/>
          <w:color w:val="auto"/>
          <w:sz w:val="30"/>
          <w:szCs w:val="30"/>
          <w:highlight w:val="none"/>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135" w:right="1800" w:bottom="1276" w:left="1800" w:header="851" w:footer="992" w:gutter="0"/>
          <w:cols w:num="1" w:sep="0" w:space="1701" w:equalWidth="1"/>
          <w:docGrid w:linePitch="360"/>
          <w:titlePg/>
        </w:sectPr>
      </w:pPr>
      <w:r>
        <w:rPr>
          <w:rFonts w:hint="eastAsia" w:ascii="微软雅黑" w:hAnsi="微软雅黑" w:cs="微软雅黑"/>
          <w:color w:val="auto"/>
          <w:spacing w:val="30"/>
          <w:sz w:val="32"/>
          <w:szCs w:val="32"/>
          <w:highlight w:val="none"/>
        </w:rPr>
        <w:t xml:space="preserve">202</w:t>
      </w:r>
      <w:r>
        <w:rPr>
          <w:rFonts w:hint="eastAsia" w:ascii="微软雅黑" w:hAnsi="微软雅黑" w:cs="微软雅黑"/>
          <w:color w:val="auto"/>
          <w:spacing w:val="30"/>
          <w:sz w:val="32"/>
          <w:szCs w:val="32"/>
          <w:highlight w:val="none"/>
          <w:lang w:val="en-US" w:eastAsia="zh-CN"/>
        </w:rPr>
        <w:t xml:space="preserve">6</w:t>
      </w:r>
      <w:r>
        <w:rPr>
          <w:rFonts w:hint="eastAsia" w:ascii="微软雅黑" w:hAnsi="微软雅黑" w:cs="微软雅黑"/>
          <w:color w:val="auto"/>
          <w:spacing w:val="30"/>
          <w:sz w:val="32"/>
          <w:szCs w:val="32"/>
          <w:highlight w:val="none"/>
        </w:rPr>
        <w:t xml:space="preserve">年</w:t>
      </w:r>
      <w:r>
        <w:rPr>
          <w:rFonts w:hint="eastAsia" w:ascii="微软雅黑" w:hAnsi="微软雅黑" w:cs="微软雅黑"/>
          <w:color w:val="auto"/>
          <w:spacing w:val="30"/>
          <w:sz w:val="32"/>
          <w:szCs w:val="32"/>
          <w:highlight w:val="none"/>
          <w:lang w:val="en-US" w:eastAsia="zh-CN"/>
        </w:rPr>
        <w:t xml:space="preserve">9</w:t>
      </w:r>
      <w:r>
        <w:rPr>
          <w:rFonts w:hint="eastAsia" w:ascii="微软雅黑" w:hAnsi="微软雅黑" w:cs="微软雅黑"/>
          <w:color w:val="auto"/>
          <w:spacing w:val="30"/>
          <w:sz w:val="32"/>
          <w:szCs w:val="32"/>
          <w:highlight w:val="none"/>
        </w:rPr>
        <w:t xml:space="preserve">月</w:t>
      </w:r>
      <w:r>
        <w:rPr>
          <w:highlight w:val="none"/>
        </w:rPr>
      </w:r>
      <w:r>
        <w:rPr>
          <w:highlight w:val="none"/>
        </w:rPr>
      </w:r>
    </w:p>
    <w:p>
      <w:pPr>
        <w:jc w:val="center"/>
        <w:rPr>
          <w:rFonts w:ascii="微软雅黑" w:hAnsi="微软雅黑" w:cs="微软雅黑"/>
          <w:color w:val="auto"/>
          <w:sz w:val="30"/>
          <w:highlight w:val="none"/>
        </w:rPr>
      </w:pPr>
      <w:r>
        <w:rPr>
          <w:rFonts w:hint="eastAsia" w:ascii="微软雅黑" w:hAnsi="微软雅黑" w:cs="微软雅黑"/>
          <w:color w:val="auto"/>
          <w:sz w:val="44"/>
          <w:highlight w:val="none"/>
        </w:rPr>
        <w:t xml:space="preserve">目 录</w:t>
      </w:r>
      <w:r>
        <w:rPr>
          <w:highlight w:val="none"/>
        </w:rPr>
      </w:r>
      <w:r>
        <w:rPr>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fldChar w:fldCharType="begin"/>
      </w:r>
      <w:r>
        <w:rPr>
          <w:rFonts w:hint="eastAsia" w:ascii="微软雅黑" w:hAnsi="微软雅黑" w:eastAsia="微软雅黑" w:cs="微软雅黑"/>
          <w:color w:val="auto"/>
          <w:sz w:val="21"/>
          <w:szCs w:val="21"/>
          <w:highlight w:val="none"/>
        </w:rPr>
        <w:instrText xml:space="preserve"> TOC \o "1-3" \f </w:instrText>
      </w:r>
      <w:r>
        <w:rPr>
          <w:rFonts w:hint="eastAsia" w:ascii="微软雅黑" w:hAnsi="微软雅黑" w:eastAsia="微软雅黑" w:cs="微软雅黑"/>
          <w:color w:val="auto"/>
          <w:sz w:val="21"/>
          <w:szCs w:val="21"/>
          <w:highlight w:val="none"/>
        </w:rPr>
        <w:fldChar w:fldCharType="separate"/>
      </w:r>
      <w:r>
        <w:rPr>
          <w:rFonts w:hint="eastAsia" w:ascii="微软雅黑" w:hAnsi="微软雅黑" w:eastAsia="微软雅黑" w:cs="微软雅黑"/>
          <w:color w:val="auto"/>
          <w:sz w:val="21"/>
          <w:szCs w:val="21"/>
          <w:highlight w:val="none"/>
        </w:rPr>
        <w:t xml:space="preserve">第一章 公开招标公告</w:t>
        <w:tab/>
        <w:t xml:space="preserve">5</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第二章 供应商须知</w:t>
        <w:tab/>
        <w:t xml:space="preserve">8</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一、总则</w:t>
        <w:tab/>
        <w:t xml:space="preserve">11</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1.1 适用范围</w:t>
        <w:tab/>
        <w:t xml:space="preserve">11</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1.2 合格的供应商</w:t>
        <w:tab/>
        <w:t xml:space="preserve">11</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1.3 参加采购活动费用</w:t>
        <w:tab/>
        <w:t xml:space="preserve">11</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1.4 法律适用</w:t>
        <w:tab/>
        <w:t xml:space="preserve">11</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1.5 采购文件的约束力</w:t>
        <w:tab/>
        <w:t xml:space="preserve">11</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二、采购文件</w:t>
        <w:tab/>
        <w:t xml:space="preserve">11</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2.1 采购文件的组成</w:t>
        <w:tab/>
        <w:t xml:space="preserve">11</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2.2 采购文件的更正或补充</w:t>
        <w:tab/>
        <w:t xml:space="preserve">12</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三、投标文件</w:t>
        <w:tab/>
        <w:t xml:space="preserve">12</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3.1 投标文件的语言及度量衡</w:t>
        <w:tab/>
        <w:t xml:space="preserve">12</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3.2 投标文件的组成</w:t>
        <w:tab/>
        <w:t xml:space="preserve">12</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3.3 投标报价</w:t>
        <w:tab/>
        <w:t xml:space="preserve">13</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3.4 投标报价中的货币</w:t>
        <w:tab/>
        <w:t xml:space="preserve">13</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3.6 投标有效期</w:t>
        <w:tab/>
        <w:t xml:space="preserve">13</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3.7 投标文件的签署、形式</w:t>
        <w:tab/>
        <w:t xml:space="preserve">13</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四、投标文件的递交</w:t>
        <w:tab/>
        <w:t xml:space="preserve">14</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五、开标与评标</w:t>
        <w:tab/>
        <w:t xml:space="preserve">15</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5.1 投标文件启封</w:t>
        <w:tab/>
        <w:t xml:space="preserve">15</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5.2 评标委员会</w:t>
        <w:tab/>
        <w:t xml:space="preserve">15</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5.3 对投标文件的资格性审查和符合性审查</w:t>
        <w:tab/>
        <w:t xml:space="preserve">15</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5.4投标文件的澄清</w:t>
        <w:tab/>
        <w:t xml:space="preserve">16</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5.5评标及中标</w:t>
        <w:tab/>
        <w:t xml:space="preserve">16</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5.6评标过程保密</w:t>
        <w:tab/>
        <w:t xml:space="preserve">16</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5.7投标截止时间结束后参加供应商不足三家情况的处理</w:t>
        <w:tab/>
        <w:t xml:space="preserve">17</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5.8废标（终止采购活动）</w:t>
        <w:tab/>
        <w:t xml:space="preserve">17</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5.9有下列情形之一的，视为投标供应商串通投标，其投标无效：</w:t>
        <w:tab/>
        <w:t xml:space="preserve">17</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六、合同授予及签订</w:t>
        <w:tab/>
        <w:t xml:space="preserve">17</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6.1确定中标、成交供应商</w:t>
        <w:tab/>
        <w:t xml:space="preserve">17</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6.2质疑处理</w:t>
        <w:tab/>
        <w:t xml:space="preserve">18</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6.3中标通知书</w:t>
        <w:tab/>
        <w:t xml:space="preserve">19</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6.4签订合同</w:t>
        <w:tab/>
        <w:t xml:space="preserve">19</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第三章 评标办法和定标原则</w:t>
        <w:tab/>
        <w:t xml:space="preserve">20</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第四章 项目采购需求</w:t>
        <w:tab/>
        <w:t xml:space="preserve">27</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第五章 拟签订的合同主要条款</w:t>
        <w:tab/>
        <w:t xml:space="preserve">47</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第六章 投标文件格式及附件</w:t>
        <w:tab/>
        <w:t xml:space="preserve">63</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一、投标函、投标报价及项目相关文件</w:t>
        <w:tab/>
        <w:t xml:space="preserve">68</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1.投标函</w:t>
        <w:tab/>
        <w:t xml:space="preserve">68</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2.开标一览表</w:t>
        <w:tab/>
        <w:t xml:space="preserve">69</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3.投标报价明细表</w:t>
        <w:tab/>
        <w:t xml:space="preserve">70</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4.服务要求响应表</w:t>
        <w:tab/>
        <w:t xml:space="preserve">71</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5.商务要求响应表</w:t>
        <w:tab/>
        <w:t xml:space="preserve">72</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6.项目实施方案</w:t>
        <w:tab/>
        <w:t xml:space="preserve">73</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7.服务方案</w:t>
        <w:tab/>
        <w:t xml:space="preserve">73</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8.经营业绩（提供合同复印件）</w:t>
        <w:tab/>
        <w:t xml:space="preserve">73</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二、资格证明文件格式</w:t>
        <w:tab/>
        <w:t xml:space="preserve">74</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法人授权委托书</w:t>
        <w:tab/>
        <w:t xml:space="preserve">79</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三、其他相关附表格式</w:t>
        <w:tab/>
        <w:t xml:space="preserve">81</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附件1.中小企业声明函</w:t>
        <w:tab/>
        <w:t xml:space="preserve">82</w:t>
      </w:r>
      <w:r>
        <w:rPr>
          <w:rFonts w:hint="eastAsia" w:ascii="微软雅黑" w:hAnsi="微软雅黑" w:eastAsia="微软雅黑" w:cs="微软雅黑"/>
          <w:color w:val="auto"/>
          <w:sz w:val="21"/>
          <w:szCs w:val="21"/>
          <w:highlight w:val="none"/>
        </w:rPr>
      </w:r>
    </w:p>
    <w:p>
      <w:pPr>
        <w:pStyle w:val="924"/>
        <w:tabs>
          <w:tab w:val="right" w:pos="8504" w:leader="dot"/>
        </w:tabs>
        <w:rPr>
          <w:highlight w:val="none"/>
        </w:rPr>
      </w:pPr>
      <w:r>
        <w:rPr>
          <w:rFonts w:hint="eastAsia" w:ascii="微软雅黑" w:hAnsi="微软雅黑" w:eastAsia="微软雅黑" w:cs="微软雅黑"/>
          <w:color w:val="auto"/>
          <w:sz w:val="21"/>
          <w:szCs w:val="21"/>
          <w:highlight w:val="none"/>
        </w:rPr>
        <w:t xml:space="preserve">附件2.残疾人福利性单位声明函</w:t>
        <w:tab/>
        <w:t xml:space="preserve">85</w:t>
      </w:r>
      <w:r>
        <w:rPr>
          <w:rFonts w:hint="eastAsia" w:ascii="微软雅黑" w:hAnsi="微软雅黑" w:eastAsia="微软雅黑" w:cs="微软雅黑"/>
          <w:color w:val="auto"/>
          <w:sz w:val="21"/>
          <w:szCs w:val="21"/>
          <w:highlight w:val="none"/>
        </w:rPr>
      </w:r>
    </w:p>
    <w:p>
      <w:pPr>
        <w:pStyle w:val="924"/>
        <w:tabs>
          <w:tab w:val="right" w:pos="8504" w:leader="dot"/>
        </w:tabs>
        <w:rPr>
          <w:color w:val="auto"/>
          <w:highlight w:val="none"/>
        </w:rPr>
      </w:pPr>
      <w:r>
        <w:rPr>
          <w:rFonts w:hint="eastAsia" w:ascii="微软雅黑" w:hAnsi="微软雅黑" w:eastAsia="微软雅黑" w:cs="微软雅黑"/>
          <w:color w:val="auto"/>
          <w:sz w:val="21"/>
          <w:szCs w:val="21"/>
          <w:highlight w:val="none"/>
        </w:rPr>
        <w:t xml:space="preserve">附件3.关于符合本国产品标准的声明函</w:t>
        <w:tab/>
        <w:t xml:space="preserve">86</w:t>
      </w:r>
      <w:r>
        <w:rPr>
          <w:highlight w:val="none"/>
        </w:rPr>
      </w:r>
      <w:r>
        <w:rPr>
          <w:highlight w:val="none"/>
        </w:rPr>
      </w:r>
    </w:p>
    <w:p>
      <w:pPr>
        <w:pStyle w:val="1087"/>
        <w:spacing w:line="420" w:lineRule="exact"/>
        <w:rPr>
          <w:rStyle w:val="1156"/>
          <w:rFonts w:ascii="微软雅黑" w:hAnsi="微软雅黑" w:cs="微软雅黑"/>
          <w:bCs/>
          <w:color w:val="auto"/>
          <w:sz w:val="32"/>
          <w:szCs w:val="32"/>
          <w:highlight w:val="none"/>
        </w:rPr>
      </w:pPr>
      <w:r>
        <w:rPr>
          <w:rFonts w:hint="eastAsia" w:ascii="微软雅黑" w:hAnsi="微软雅黑" w:eastAsia="微软雅黑" w:cs="微软雅黑"/>
          <w:bCs w:val="0"/>
          <w:color w:val="auto"/>
          <w:szCs w:val="21"/>
          <w:highlight w:val="none"/>
        </w:rPr>
      </w:r>
      <w:bookmarkStart w:id="1" w:name="_Toc25333"/>
      <w:r>
        <w:rPr>
          <w:highlight w:val="none"/>
        </w:rPr>
      </w:r>
      <w:bookmarkStart w:id="2" w:name="_Toc452384169"/>
      <w:r>
        <w:rPr>
          <w:rFonts w:hint="eastAsia" w:ascii="微软雅黑" w:hAnsi="微软雅黑" w:cs="微软雅黑"/>
          <w:color w:val="auto"/>
          <w:sz w:val="24"/>
          <w:szCs w:val="24"/>
          <w:highlight w:val="none"/>
        </w:rPr>
        <w:br w:type="page" w:clear="all"/>
      </w:r>
      <w:r>
        <w:rPr>
          <w:rFonts w:hint="eastAsia" w:ascii="微软雅黑" w:hAnsi="微软雅黑" w:cs="微软雅黑"/>
          <w:bCs w:val="0"/>
          <w:color w:val="auto"/>
          <w:szCs w:val="32"/>
          <w:highlight w:val="none"/>
        </w:rPr>
        <w:t xml:space="preserve">第一章 公开招标公告</w:t>
      </w:r>
      <w:bookmarkEnd w:id="1"/>
      <w:r>
        <w:rPr>
          <w:highlight w:val="none"/>
        </w:rPr>
      </w:r>
      <w:bookmarkEnd w:id="0"/>
      <w:r>
        <w:rPr>
          <w:highlight w:val="none"/>
        </w:rPr>
      </w:r>
      <w:r>
        <w:rPr>
          <w:highlight w:val="none"/>
        </w:rPr>
      </w:r>
    </w:p>
    <w:p>
      <w:pPr>
        <w:ind w:firstLine="420"/>
        <w:spacing w:line="440" w:lineRule="exact"/>
        <w:rPr>
          <w:rFonts w:ascii="微软雅黑" w:hAnsi="微软雅黑" w:cs="微软雅黑"/>
          <w:color w:val="auto"/>
          <w:szCs w:val="21"/>
          <w:highlight w:val="none"/>
        </w:rPr>
      </w:pPr>
      <w:r>
        <w:rPr>
          <w:rFonts w:hint="eastAsia" w:ascii="微软雅黑" w:hAnsi="微软雅黑" w:cs="微软雅黑"/>
          <w:color w:val="auto"/>
          <w:szCs w:val="21"/>
          <w:highlight w:val="none"/>
        </w:rPr>
        <w:t xml:space="preserve">（</w:t>
      </w:r>
      <w:r>
        <w:rPr>
          <w:rFonts w:hint="eastAsia" w:ascii="微软雅黑" w:hAnsi="微软雅黑" w:cs="微软雅黑"/>
          <w:color w:val="auto"/>
          <w:szCs w:val="21"/>
          <w:highlight w:val="none"/>
          <w:lang w:eastAsia="zh-CN"/>
        </w:rPr>
        <w:t xml:space="preserve">徐医附院肝癌诊疗系统项目</w:t>
      </w:r>
      <w:r>
        <w:rPr>
          <w:rFonts w:hint="eastAsia" w:ascii="微软雅黑" w:hAnsi="微软雅黑" w:cs="微软雅黑"/>
          <w:color w:val="auto"/>
          <w:szCs w:val="21"/>
          <w:highlight w:val="none"/>
        </w:rPr>
        <w:t xml:space="preserve">）招标项目的潜在投标供应商应在（</w:t>
      </w:r>
      <w:r>
        <w:rPr>
          <w:rFonts w:hint="eastAsia" w:ascii="微软雅黑" w:hAnsi="微软雅黑" w:cs="微软雅黑"/>
          <w:color w:val="auto"/>
          <w:szCs w:val="21"/>
          <w:highlight w:val="none"/>
          <w:lang w:eastAsia="zh-CN"/>
        </w:rPr>
        <w:t xml:space="preserve">江苏政府采购网</w:t>
      </w:r>
      <w:r>
        <w:rPr>
          <w:rFonts w:hint="eastAsia" w:ascii="微软雅黑" w:hAnsi="微软雅黑" w:cs="微软雅黑"/>
          <w:color w:val="auto"/>
          <w:szCs w:val="21"/>
          <w:highlight w:val="none"/>
        </w:rPr>
        <w:t xml:space="preserve">）获取采购文件，并于202</w:t>
      </w:r>
      <w:r>
        <w:rPr>
          <w:rFonts w:hint="eastAsia" w:ascii="微软雅黑" w:hAnsi="微软雅黑" w:cs="微软雅黑"/>
          <w:color w:val="auto"/>
          <w:szCs w:val="21"/>
          <w:highlight w:val="none"/>
          <w:lang w:val="en-US" w:eastAsia="zh-CN"/>
        </w:rPr>
        <w:t xml:space="preserve">6</w:t>
      </w:r>
      <w:r>
        <w:rPr>
          <w:rFonts w:hint="eastAsia" w:ascii="微软雅黑" w:hAnsi="微软雅黑" w:cs="微软雅黑"/>
          <w:color w:val="auto"/>
          <w:szCs w:val="21"/>
          <w:highlight w:val="none"/>
        </w:rPr>
        <w:t xml:space="preserve">年</w:t>
      </w:r>
      <w:r>
        <w:rPr>
          <w:rFonts w:hint="eastAsia" w:ascii="微软雅黑" w:hAnsi="微软雅黑" w:cs="微软雅黑"/>
          <w:color w:val="auto"/>
          <w:szCs w:val="21"/>
          <w:highlight w:val="none"/>
          <w:lang w:val="en-US" w:eastAsia="zh-CN"/>
        </w:rPr>
        <w:t xml:space="preserve">10</w:t>
      </w:r>
      <w:r>
        <w:rPr>
          <w:rFonts w:hint="eastAsia" w:ascii="微软雅黑" w:hAnsi="微软雅黑" w:cs="微软雅黑"/>
          <w:color w:val="auto"/>
          <w:szCs w:val="21"/>
          <w:highlight w:val="none"/>
        </w:rPr>
        <w:t xml:space="preserve">月20</w:t>
      </w:r>
      <w:r>
        <w:rPr>
          <w:rFonts w:hint="eastAsia" w:ascii="微软雅黑" w:hAnsi="微软雅黑" w:cs="微软雅黑"/>
          <w:color w:val="auto"/>
          <w:szCs w:val="21"/>
          <w:highlight w:val="none"/>
        </w:rPr>
        <w:t xml:space="preserve">日</w:t>
      </w:r>
      <w:r>
        <w:rPr>
          <w:rFonts w:hint="eastAsia" w:ascii="微软雅黑" w:hAnsi="微软雅黑" w:cs="微软雅黑"/>
          <w:color w:val="auto"/>
          <w:szCs w:val="21"/>
          <w:highlight w:val="none"/>
          <w:lang w:val="en-US" w:eastAsia="zh-CN"/>
        </w:rPr>
        <w:t xml:space="preserve">14</w:t>
      </w:r>
      <w:r>
        <w:rPr>
          <w:rFonts w:hint="eastAsia" w:ascii="微软雅黑" w:hAnsi="微软雅黑" w:cs="微软雅黑"/>
          <w:color w:val="auto"/>
          <w:szCs w:val="21"/>
          <w:highlight w:val="none"/>
        </w:rPr>
        <w:t xml:space="preserve">点</w:t>
      </w:r>
      <w:r>
        <w:rPr>
          <w:rFonts w:hint="eastAsia" w:ascii="微软雅黑" w:hAnsi="微软雅黑" w:cs="微软雅黑"/>
          <w:color w:val="auto"/>
          <w:szCs w:val="21"/>
          <w:highlight w:val="none"/>
          <w:lang w:val="en-US" w:eastAsia="zh-CN"/>
        </w:rPr>
        <w:t xml:space="preserve">30</w:t>
      </w:r>
      <w:r>
        <w:rPr>
          <w:rFonts w:hint="eastAsia" w:ascii="微软雅黑" w:hAnsi="微软雅黑" w:cs="微软雅黑"/>
          <w:color w:val="auto"/>
          <w:szCs w:val="21"/>
          <w:highlight w:val="none"/>
        </w:rPr>
        <w:t xml:space="preserve">分00秒（北京时间）前递交投标文件。</w:t>
      </w:r>
      <w:r>
        <w:rPr>
          <w:highlight w:val="none"/>
        </w:rPr>
      </w:r>
      <w:r>
        <w:rPr>
          <w:highlight w:val="none"/>
        </w:rPr>
      </w:r>
    </w:p>
    <w:p>
      <w:pPr>
        <w:rPr>
          <w:rFonts w:hint="eastAsia"/>
          <w:color w:val="auto"/>
          <w:highlight w:val="none"/>
        </w:rPr>
      </w:pPr>
      <w:r>
        <w:rPr>
          <w:highlight w:val="none"/>
        </w:rPr>
      </w:r>
      <w:bookmarkStart w:id="3" w:name="_Toc5452"/>
      <w:r>
        <w:rPr>
          <w:highlight w:val="none"/>
        </w:rPr>
      </w:r>
      <w:bookmarkStart w:id="4" w:name="_Toc35393790"/>
      <w:r>
        <w:rPr>
          <w:highlight w:val="none"/>
        </w:rPr>
      </w:r>
      <w:bookmarkStart w:id="5" w:name="_Toc28359079"/>
      <w:r>
        <w:rPr>
          <w:highlight w:val="none"/>
        </w:rPr>
      </w:r>
      <w:bookmarkStart w:id="6" w:name="_Toc35393621"/>
      <w:r>
        <w:rPr>
          <w:highlight w:val="none"/>
        </w:rPr>
      </w:r>
      <w:bookmarkStart w:id="7" w:name="_Toc28359002"/>
      <w:r>
        <w:rPr>
          <w:highlight w:val="none"/>
        </w:rPr>
      </w:r>
      <w:bookmarkStart w:id="8" w:name="_Toc22074"/>
      <w:r>
        <w:rPr>
          <w:highlight w:val="none"/>
        </w:rPr>
      </w:r>
      <w:bookmarkStart w:id="9" w:name="_Hlk24379207"/>
      <w:r>
        <w:rPr>
          <w:rFonts w:hint="eastAsia"/>
          <w:color w:val="auto"/>
          <w:highlight w:val="none"/>
        </w:rPr>
        <w:t xml:space="preserve">一、项目基本情况</w:t>
      </w:r>
      <w:bookmarkEnd w:id="3"/>
      <w:r>
        <w:rPr>
          <w:highlight w:val="none"/>
        </w:rPr>
      </w:r>
      <w:bookmarkEnd w:id="4"/>
      <w:r>
        <w:rPr>
          <w:highlight w:val="none"/>
        </w:rPr>
      </w:r>
      <w:bookmarkEnd w:id="5"/>
      <w:r>
        <w:rPr>
          <w:highlight w:val="none"/>
        </w:rPr>
      </w:r>
      <w:bookmarkEnd w:id="6"/>
      <w:r>
        <w:rPr>
          <w:highlight w:val="none"/>
        </w:rPr>
      </w:r>
      <w:bookmarkEnd w:id="7"/>
      <w:r>
        <w:rPr>
          <w:highlight w:val="none"/>
        </w:rPr>
      </w:r>
      <w:bookmarkEnd w:id="8"/>
      <w:r>
        <w:rPr>
          <w:highlight w:val="none"/>
        </w:rPr>
      </w:r>
      <w:r>
        <w:rPr>
          <w:highlight w:val="none"/>
        </w:rPr>
      </w:r>
    </w:p>
    <w:p>
      <w:pPr>
        <w:ind w:firstLine="420"/>
        <w:spacing w:line="420" w:lineRule="exact"/>
        <w:rPr>
          <w:rFonts w:hint="eastAsia" w:ascii="微软雅黑" w:hAnsi="微软雅黑" w:eastAsia="微软雅黑" w:cs="微软雅黑"/>
          <w:color w:val="auto"/>
          <w:szCs w:val="21"/>
          <w:highlight w:val="none"/>
        </w:rPr>
      </w:pPr>
      <w:r>
        <w:rPr>
          <w:rFonts w:hint="eastAsia" w:ascii="微软雅黑" w:hAnsi="微软雅黑" w:cs="微软雅黑"/>
          <w:color w:val="auto"/>
          <w:szCs w:val="21"/>
          <w:highlight w:val="none"/>
        </w:rPr>
        <w:t xml:space="preserve">项目编号：</w:t>
      </w:r>
      <w:r>
        <w:rPr>
          <w:rFonts w:hint="eastAsia" w:ascii="微软雅黑" w:hAnsi="微软雅黑" w:cs="微软雅黑"/>
          <w:color w:val="auto"/>
          <w:szCs w:val="21"/>
          <w:highlight w:val="none"/>
          <w:lang w:eastAsia="zh-CN"/>
        </w:rPr>
        <w:t xml:space="preserve">JSZC-320000-ZJZB-G2026-0129</w:t>
      </w:r>
      <w:r>
        <w:rPr>
          <w:highlight w:val="none"/>
        </w:rPr>
      </w:r>
      <w:r>
        <w:rPr>
          <w:highlight w:val="none"/>
        </w:rPr>
      </w:r>
    </w:p>
    <w:p>
      <w:pPr>
        <w:ind w:firstLine="420"/>
        <w:spacing w:line="420" w:lineRule="exact"/>
        <w:rPr>
          <w:rFonts w:hint="eastAsia" w:ascii="微软雅黑" w:hAnsi="微软雅黑" w:eastAsia="微软雅黑" w:cs="微软雅黑"/>
          <w:color w:val="auto"/>
          <w:szCs w:val="21"/>
          <w:highlight w:val="none"/>
        </w:rPr>
      </w:pPr>
      <w:r>
        <w:rPr>
          <w:rFonts w:hint="eastAsia" w:ascii="微软雅黑" w:hAnsi="微软雅黑" w:cs="微软雅黑"/>
          <w:color w:val="auto"/>
          <w:szCs w:val="21"/>
          <w:highlight w:val="none"/>
          <w:lang w:eastAsia="zh-CN"/>
        </w:rPr>
        <w:t xml:space="preserve">代理机构内部编号：徐采公（2026）JSZJ096</w:t>
      </w:r>
      <w:r>
        <w:rPr>
          <w:highlight w:val="none"/>
        </w:rPr>
      </w:r>
      <w:r>
        <w:rPr>
          <w:highlight w:val="none"/>
        </w:rPr>
      </w:r>
    </w:p>
    <w:p>
      <w:pPr>
        <w:ind w:firstLine="420"/>
        <w:spacing w:line="420" w:lineRule="exact"/>
        <w:tabs>
          <w:tab w:val="left" w:pos="5780" w:leader="none"/>
        </w:tabs>
        <w:rPr>
          <w:rFonts w:hint="eastAsia" w:ascii="微软雅黑" w:hAnsi="微软雅黑" w:eastAsia="微软雅黑" w:cs="微软雅黑"/>
          <w:color w:val="auto"/>
          <w:szCs w:val="21"/>
          <w:highlight w:val="none"/>
        </w:rPr>
      </w:pPr>
      <w:r>
        <w:rPr>
          <w:rFonts w:hint="eastAsia" w:ascii="微软雅黑" w:hAnsi="微软雅黑" w:cs="微软雅黑"/>
          <w:color w:val="auto"/>
          <w:szCs w:val="21"/>
          <w:highlight w:val="none"/>
        </w:rPr>
        <w:t xml:space="preserve">项目名称：</w:t>
      </w:r>
      <w:r>
        <w:rPr>
          <w:rFonts w:hint="eastAsia" w:ascii="微软雅黑" w:hAnsi="微软雅黑" w:cs="微软雅黑"/>
          <w:color w:val="auto"/>
          <w:szCs w:val="21"/>
          <w:highlight w:val="none"/>
          <w:lang w:eastAsia="zh-CN"/>
        </w:rPr>
        <w:t xml:space="preserve">徐医附院肝癌诊疗系统项目</w:t>
      </w:r>
      <w:bookmarkEnd w:id="9"/>
      <w:r>
        <w:rPr>
          <w:highlight w:val="none"/>
        </w:rPr>
        <w:tab/>
      </w:r>
      <w:r>
        <w:rPr>
          <w:highlight w:val="none"/>
        </w:rPr>
      </w:r>
    </w:p>
    <w:p>
      <w:pPr>
        <w:ind w:firstLine="420"/>
        <w:spacing w:line="420" w:lineRule="exact"/>
        <w:rPr>
          <w:rFonts w:hint="eastAsia" w:ascii="微软雅黑" w:hAnsi="微软雅黑" w:cs="微软雅黑"/>
          <w:color w:val="auto"/>
          <w:highlight w:val="none"/>
        </w:rPr>
      </w:pPr>
      <w:r>
        <w:rPr>
          <w:highlight w:val="none"/>
        </w:rPr>
      </w:r>
      <w:bookmarkStart w:id="10" w:name="_Toc35393622"/>
      <w:r>
        <w:rPr>
          <w:highlight w:val="none"/>
        </w:rPr>
      </w:r>
      <w:bookmarkStart w:id="11" w:name="_Toc28359003"/>
      <w:r>
        <w:rPr>
          <w:highlight w:val="none"/>
        </w:rPr>
      </w:r>
      <w:bookmarkStart w:id="12" w:name="_Toc28359080"/>
      <w:r>
        <w:rPr>
          <w:highlight w:val="none"/>
        </w:rPr>
      </w:r>
      <w:bookmarkStart w:id="13" w:name="_Toc18689"/>
      <w:r>
        <w:rPr>
          <w:highlight w:val="none"/>
        </w:rPr>
      </w:r>
      <w:bookmarkStart w:id="14" w:name="_Toc35393791"/>
      <w:r>
        <w:rPr>
          <w:highlight w:val="none"/>
        </w:rPr>
      </w:r>
      <w:bookmarkStart w:id="15" w:name="_Toc19106"/>
      <w:r>
        <w:rPr>
          <w:rFonts w:hint="eastAsia" w:ascii="微软雅黑" w:hAnsi="微软雅黑" w:cs="微软雅黑"/>
          <w:color w:val="auto"/>
          <w:szCs w:val="21"/>
          <w:highlight w:val="none"/>
        </w:rPr>
        <w:t xml:space="preserve">预算金额：人民币</w:t>
      </w:r>
      <w:r>
        <w:rPr>
          <w:rFonts w:hint="eastAsia" w:ascii="微软雅黑" w:hAnsi="微软雅黑" w:cs="微软雅黑"/>
          <w:color w:val="auto"/>
          <w:szCs w:val="21"/>
          <w:highlight w:val="none"/>
          <w:lang w:eastAsia="zh-CN"/>
        </w:rPr>
        <w:t xml:space="preserve">壹佰万元整</w:t>
      </w:r>
      <w:r>
        <w:rPr>
          <w:rFonts w:hint="eastAsia" w:ascii="微软雅黑" w:hAnsi="微软雅黑" w:cs="微软雅黑"/>
          <w:color w:val="auto"/>
          <w:szCs w:val="21"/>
          <w:highlight w:val="none"/>
        </w:rPr>
        <w:t xml:space="preserve">（￥</w:t>
      </w:r>
      <w:r>
        <w:rPr>
          <w:rFonts w:hint="eastAsia" w:ascii="微软雅黑" w:hAnsi="微软雅黑" w:cs="微软雅黑"/>
          <w:color w:val="auto"/>
          <w:szCs w:val="21"/>
          <w:highlight w:val="none"/>
          <w:lang w:eastAsia="zh-CN"/>
        </w:rPr>
        <w:t xml:space="preserve">1,000,000.00</w:t>
      </w:r>
      <w:r>
        <w:rPr>
          <w:rFonts w:hint="eastAsia" w:ascii="微软雅黑" w:hAnsi="微软雅黑" w:cs="微软雅黑"/>
          <w:color w:val="auto"/>
          <w:szCs w:val="21"/>
          <w:highlight w:val="none"/>
        </w:rPr>
        <w:t xml:space="preserve">）</w:t>
      </w:r>
      <w:r>
        <w:rPr>
          <w:highlight w:val="none"/>
        </w:rPr>
      </w:r>
      <w:r>
        <w:rPr>
          <w:highlight w:val="none"/>
        </w:rPr>
      </w:r>
    </w:p>
    <w:p>
      <w:pPr>
        <w:ind w:firstLine="420"/>
        <w:spacing w:line="420" w:lineRule="exact"/>
        <w:rPr>
          <w:rFonts w:hint="eastAsia"/>
          <w:color w:val="auto"/>
          <w:highlight w:val="none"/>
        </w:rPr>
      </w:pPr>
      <w:r>
        <w:rPr>
          <w:rFonts w:hint="eastAsia" w:ascii="微软雅黑" w:hAnsi="微软雅黑" w:cs="微软雅黑"/>
          <w:color w:val="auto"/>
          <w:szCs w:val="21"/>
          <w:highlight w:val="none"/>
        </w:rPr>
        <w:t xml:space="preserve">最高限价：人民币</w:t>
      </w:r>
      <w:r>
        <w:rPr>
          <w:rFonts w:hint="eastAsia" w:ascii="微软雅黑" w:hAnsi="微软雅黑" w:cs="微软雅黑"/>
          <w:color w:val="auto"/>
          <w:szCs w:val="21"/>
          <w:highlight w:val="none"/>
          <w:lang w:eastAsia="zh-CN"/>
        </w:rPr>
        <w:t xml:space="preserve">壹佰万元整</w:t>
      </w:r>
      <w:r>
        <w:rPr>
          <w:rFonts w:hint="eastAsia" w:ascii="微软雅黑" w:hAnsi="微软雅黑" w:cs="微软雅黑"/>
          <w:color w:val="auto"/>
          <w:szCs w:val="21"/>
          <w:highlight w:val="none"/>
        </w:rPr>
        <w:t xml:space="preserve">（￥</w:t>
      </w:r>
      <w:r>
        <w:rPr>
          <w:rFonts w:hint="eastAsia" w:ascii="微软雅黑" w:hAnsi="微软雅黑" w:cs="微软雅黑"/>
          <w:color w:val="auto"/>
          <w:szCs w:val="21"/>
          <w:highlight w:val="none"/>
          <w:lang w:eastAsia="zh-CN"/>
        </w:rPr>
        <w:t xml:space="preserve">1,000,000.00</w:t>
      </w:r>
      <w:r>
        <w:rPr>
          <w:rFonts w:hint="eastAsia" w:ascii="微软雅黑" w:hAnsi="微软雅黑" w:cs="微软雅黑"/>
          <w:color w:val="auto"/>
          <w:szCs w:val="21"/>
          <w:highlight w:val="none"/>
        </w:rPr>
        <w:t xml:space="preserve">）          </w:t>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资金来源：财政性资金</w:t>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采购需求：</w:t>
      </w:r>
      <w:r>
        <w:rPr>
          <w:rFonts w:hint="eastAsia" w:ascii="微软雅黑" w:hAnsi="微软雅黑" w:cs="微软雅黑"/>
          <w:color w:val="auto"/>
          <w:szCs w:val="21"/>
          <w:highlight w:val="none"/>
          <w:lang w:eastAsia="zh-CN"/>
        </w:rPr>
        <w:t xml:space="preserve">肝癌诊疗系统1套</w:t>
      </w:r>
      <w:r>
        <w:rPr>
          <w:rFonts w:hint="eastAsia" w:ascii="微软雅黑" w:hAnsi="微软雅黑" w:cs="微软雅黑"/>
          <w:color w:val="auto"/>
          <w:szCs w:val="21"/>
          <w:highlight w:val="none"/>
        </w:rPr>
        <w:t xml:space="preserve">，</w:t>
      </w:r>
      <w:r>
        <w:rPr>
          <w:rFonts w:hint="eastAsia" w:ascii="宋体" w:hAnsi="宋体" w:cs="宋体"/>
          <w:color w:val="auto"/>
          <w:szCs w:val="21"/>
          <w:highlight w:val="none"/>
        </w:rPr>
        <w:t xml:space="preserve">详见采购文件第四章项目采购需求</w:t>
      </w:r>
      <w:r>
        <w:rPr>
          <w:rFonts w:hint="eastAsia" w:ascii="微软雅黑" w:hAnsi="微软雅黑" w:cs="微软雅黑"/>
          <w:color w:val="auto"/>
          <w:szCs w:val="21"/>
          <w:highlight w:val="none"/>
        </w:rPr>
        <w:t xml:space="preserve">。</w:t>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合同履行期限：合同签订后 </w:t>
      </w:r>
      <w:r>
        <w:rPr>
          <w:rFonts w:hint="eastAsia" w:ascii="微软雅黑" w:hAnsi="微软雅黑" w:cs="微软雅黑"/>
          <w:color w:val="auto"/>
          <w:szCs w:val="21"/>
          <w:highlight w:val="none"/>
          <w:lang w:eastAsia="zh-CN"/>
        </w:rPr>
        <w:t xml:space="preserve">90 日内</w:t>
      </w:r>
      <w:r>
        <w:rPr>
          <w:rFonts w:hint="eastAsia" w:ascii="微软雅黑" w:hAnsi="微软雅黑" w:cs="微软雅黑"/>
          <w:color w:val="auto"/>
          <w:szCs w:val="21"/>
          <w:highlight w:val="none"/>
        </w:rPr>
        <w:t xml:space="preserve">完成系统的</w:t>
      </w:r>
      <w:r>
        <w:rPr>
          <w:rFonts w:hint="eastAsia" w:ascii="微软雅黑" w:hAnsi="微软雅黑" w:cs="微软雅黑"/>
          <w:color w:val="auto"/>
          <w:szCs w:val="21"/>
          <w:highlight w:val="none"/>
          <w:lang w:eastAsia="zh-CN"/>
        </w:rPr>
        <w:t xml:space="preserve">测试、对接和部署工作。</w:t>
      </w:r>
      <w:r>
        <w:rPr>
          <w:highlight w:val="none"/>
        </w:rPr>
      </w:r>
      <w:r>
        <w:rPr>
          <w:highlight w:val="none"/>
        </w:rPr>
      </w:r>
    </w:p>
    <w:p>
      <w:pPr>
        <w:ind w:firstLine="420"/>
        <w:spacing w:line="420" w:lineRule="exact"/>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二、申请人的资格要求：</w:t>
      </w:r>
      <w:bookmarkEnd w:id="10"/>
      <w:r>
        <w:rPr>
          <w:highlight w:val="none"/>
        </w:rPr>
      </w:r>
      <w:bookmarkEnd w:id="11"/>
      <w:r>
        <w:rPr>
          <w:highlight w:val="none"/>
        </w:rPr>
      </w:r>
      <w:bookmarkEnd w:id="12"/>
      <w:r>
        <w:rPr>
          <w:highlight w:val="none"/>
        </w:rPr>
      </w:r>
      <w:bookmarkEnd w:id="13"/>
      <w:r>
        <w:rPr>
          <w:highlight w:val="none"/>
        </w:rPr>
      </w:r>
      <w:bookmarkEnd w:id="14"/>
      <w:r>
        <w:rPr>
          <w:highlight w:val="none"/>
        </w:rPr>
      </w:r>
      <w:bookmarkEnd w:id="15"/>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1.满足《中华人民共和国政府采购法》第二十二条规定：</w:t>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1.1具有独立承担民事责任的能力（提供法人或者其他组织的营业执照复印件）；</w:t>
      </w:r>
      <w:r>
        <w:rPr>
          <w:highlight w:val="none"/>
        </w:rPr>
      </w:r>
      <w:r>
        <w:rPr>
          <w:highlight w:val="none"/>
        </w:rPr>
      </w:r>
    </w:p>
    <w:p>
      <w:pPr>
        <w:ind w:firstLine="420"/>
        <w:spacing w:line="420" w:lineRule="exact"/>
        <w:rPr>
          <w:rFonts w:ascii="微软雅黑" w:hAnsi="微软雅黑" w:cs="微软雅黑"/>
          <w:color w:val="auto"/>
          <w:szCs w:val="21"/>
          <w:highlight w:val="none"/>
        </w:rPr>
      </w:pPr>
      <w:r>
        <w:rPr>
          <w:rFonts w:hint="eastAsia" w:ascii="微软雅黑" w:hAnsi="微软雅黑" w:cs="微软雅黑"/>
          <w:color w:val="auto"/>
          <w:szCs w:val="21"/>
          <w:highlight w:val="none"/>
        </w:rPr>
        <w:t xml:space="preserve">1.2具有良好的商业信誉和健全的财务会计制度，提供202</w:t>
      </w:r>
      <w:r>
        <w:rPr>
          <w:rFonts w:hint="eastAsia" w:ascii="微软雅黑" w:hAnsi="微软雅黑" w:cs="微软雅黑"/>
          <w:color w:val="auto"/>
          <w:szCs w:val="21"/>
          <w:highlight w:val="none"/>
          <w:lang w:val="en-US" w:eastAsia="zh-CN"/>
        </w:rPr>
        <w:t xml:space="preserve">5</w:t>
      </w:r>
      <w:r>
        <w:rPr>
          <w:rFonts w:hint="eastAsia" w:ascii="微软雅黑" w:hAnsi="微软雅黑" w:cs="微软雅黑"/>
          <w:color w:val="auto"/>
          <w:szCs w:val="21"/>
          <w:highlight w:val="none"/>
        </w:rPr>
        <w:t xml:space="preserve">年</w:t>
      </w:r>
      <w:r>
        <w:rPr>
          <w:rFonts w:hint="eastAsia" w:ascii="微软雅黑" w:hAnsi="微软雅黑" w:cs="微软雅黑"/>
          <w:color w:val="auto"/>
          <w:szCs w:val="21"/>
          <w:highlight w:val="none"/>
          <w:lang w:val="en-US" w:eastAsia="zh-CN"/>
        </w:rPr>
        <w:t xml:space="preserve">9</w:t>
      </w:r>
      <w:r>
        <w:rPr>
          <w:rFonts w:hint="eastAsia" w:ascii="微软雅黑" w:hAnsi="微软雅黑" w:cs="微软雅黑"/>
          <w:color w:val="auto"/>
          <w:szCs w:val="21"/>
          <w:highlight w:val="none"/>
        </w:rPr>
        <w:t xml:space="preserve">月至投标截止时间前任意一月份的财务状况报告（至少包括资产负债表和利润表），或其银行出具的资信证书（复印件）</w:t>
      </w:r>
      <w:r>
        <w:rPr>
          <w:rFonts w:hint="eastAsia" w:ascii="微软雅黑" w:hAnsi="微软雅黑" w:cs="微软雅黑"/>
          <w:color w:val="auto"/>
          <w:szCs w:val="21"/>
          <w:highlight w:val="none"/>
        </w:rPr>
        <w:t xml:space="preserve">，或</w:t>
      </w:r>
      <w:r>
        <w:rPr>
          <w:rFonts w:hint="eastAsia" w:ascii="微软雅黑" w:hAnsi="微软雅黑" w:cs="微软雅黑"/>
          <w:color w:val="auto"/>
          <w:szCs w:val="21"/>
          <w:highlight w:val="none"/>
          <w:lang w:val="en-US" w:eastAsia="zh-CN"/>
        </w:rPr>
        <w:t xml:space="preserve">2025</w:t>
      </w:r>
      <w:r>
        <w:rPr>
          <w:rFonts w:hint="eastAsia" w:ascii="微软雅黑" w:hAnsi="微软雅黑" w:cs="微软雅黑"/>
          <w:color w:val="auto"/>
          <w:szCs w:val="21"/>
          <w:highlight w:val="none"/>
        </w:rPr>
        <w:t xml:space="preserve">年度审计报告</w:t>
      </w:r>
      <w:r>
        <w:rPr>
          <w:rFonts w:hint="eastAsia" w:ascii="微软雅黑" w:hAnsi="微软雅黑" w:cs="微软雅黑"/>
          <w:b/>
          <w:bCs/>
          <w:color w:val="auto"/>
          <w:szCs w:val="21"/>
          <w:highlight w:val="none"/>
        </w:rPr>
        <w:t xml:space="preserve">（包括报告及报告中所附的完整内容，并由注册会计师签名、盖章以及会计师事务所盖章）</w:t>
      </w:r>
      <w:r>
        <w:rPr>
          <w:rFonts w:hint="eastAsia" w:ascii="微软雅黑" w:hAnsi="微软雅黑" w:cs="微软雅黑"/>
          <w:color w:val="auto"/>
          <w:szCs w:val="21"/>
          <w:highlight w:val="none"/>
        </w:rPr>
        <w:t xml:space="preserve">，或银行出具的资信证明，</w:t>
      </w:r>
      <w:r>
        <w:rPr>
          <w:rFonts w:hint="eastAsia" w:ascii="微软雅黑" w:hAnsi="微软雅黑" w:cs="微软雅黑"/>
          <w:b/>
          <w:bCs/>
          <w:color w:val="auto"/>
          <w:szCs w:val="21"/>
          <w:highlight w:val="none"/>
        </w:rPr>
        <w:t xml:space="preserve">或</w:t>
      </w:r>
      <w:r>
        <w:rPr>
          <w:rFonts w:hint="eastAsia" w:ascii="微软雅黑" w:hAnsi="微软雅黑" w:cs="微软雅黑"/>
          <w:color w:val="auto"/>
          <w:szCs w:val="21"/>
          <w:highlight w:val="none"/>
        </w:rPr>
        <w:t xml:space="preserve">财政部门认可的专业担保机构出具的投标担保函；</w:t>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（法人或者其他组织成立未满一年的可以不提供）；</w:t>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1.3具有履行合同所必需的设备和专业技术能力（根据项目需求提供履行合同所必需的设备和专业技术能力的证明材料或承诺函）； </w:t>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1.4有依法缴纳税收</w:t>
      </w:r>
      <w:r>
        <w:rPr>
          <w:rFonts w:hint="eastAsia" w:ascii="微软雅黑" w:hAnsi="微软雅黑" w:cs="微软雅黑"/>
          <w:b/>
          <w:bCs/>
          <w:color w:val="auto"/>
          <w:szCs w:val="21"/>
          <w:highlight w:val="none"/>
        </w:rPr>
        <w:t xml:space="preserve">和</w:t>
      </w:r>
      <w:r>
        <w:rPr>
          <w:rFonts w:hint="eastAsia" w:ascii="微软雅黑" w:hAnsi="微软雅黑" w:cs="微软雅黑"/>
          <w:color w:val="auto"/>
          <w:szCs w:val="21"/>
          <w:highlight w:val="none"/>
        </w:rPr>
        <w:t xml:space="preserve">社会保障资金的良好记录（提供202</w:t>
      </w:r>
      <w:r>
        <w:rPr>
          <w:rFonts w:hint="eastAsia" w:ascii="微软雅黑" w:hAnsi="微软雅黑" w:cs="微软雅黑"/>
          <w:color w:val="auto"/>
          <w:szCs w:val="21"/>
          <w:highlight w:val="none"/>
          <w:lang w:val="en-US" w:eastAsia="zh-CN"/>
        </w:rPr>
        <w:t xml:space="preserve">5</w:t>
      </w:r>
      <w:r>
        <w:rPr>
          <w:rFonts w:hint="eastAsia" w:ascii="微软雅黑" w:hAnsi="微软雅黑" w:cs="微软雅黑"/>
          <w:color w:val="auto"/>
          <w:szCs w:val="21"/>
          <w:highlight w:val="none"/>
        </w:rPr>
        <w:t xml:space="preserve">年</w:t>
      </w:r>
      <w:r>
        <w:rPr>
          <w:rFonts w:hint="eastAsia" w:ascii="微软雅黑" w:hAnsi="微软雅黑" w:cs="微软雅黑"/>
          <w:color w:val="auto"/>
          <w:szCs w:val="21"/>
          <w:highlight w:val="none"/>
          <w:lang w:val="en-US" w:eastAsia="zh-CN"/>
        </w:rPr>
        <w:t xml:space="preserve">9</w:t>
      </w:r>
      <w:r>
        <w:rPr>
          <w:rFonts w:hint="eastAsia" w:ascii="微软雅黑" w:hAnsi="微软雅黑" w:cs="微软雅黑"/>
          <w:color w:val="auto"/>
          <w:szCs w:val="21"/>
          <w:highlight w:val="none"/>
        </w:rPr>
        <w:t xml:space="preserve">月至投标截止时间前任一月份依法缴纳税收的凭据（企业代缴的个人所得税除外），以及缴纳社会保险的凭据（专用收据或社会保险的凭据）。依法免税或不需要缴纳社会保障资金的投标供应商，应提供相应文件证明）；</w:t>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1.5参加本次采购活动前三年内（成立时间不足三年的自成立之日起），在经营活动中没有重大违法记录（提供参加本次采购活动前三年内在经营活动中没有重大违法记录的书面声明）；</w:t>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1.6投标供应商须提供法定代表人授权书原件、法定代表人身份证复印件、授权代表身份证复印件（如果是法定代表人直接参与投标的可以不提供授权书）。</w:t>
      </w:r>
      <w:r>
        <w:rPr>
          <w:highlight w:val="none"/>
        </w:rPr>
      </w:r>
      <w:r>
        <w:rPr>
          <w:highlight w:val="none"/>
        </w:rPr>
      </w:r>
    </w:p>
    <w:p>
      <w:pPr>
        <w:ind w:firstLine="420"/>
        <w:spacing w:line="420" w:lineRule="exact"/>
        <w:rPr>
          <w:rFonts w:hint="eastAsia" w:ascii="微软雅黑" w:hAnsi="微软雅黑" w:cs="微软雅黑"/>
          <w:b/>
          <w:bCs/>
          <w:color w:val="auto"/>
          <w:highlight w:val="none"/>
        </w:rPr>
      </w:pPr>
      <w:r>
        <w:rPr>
          <w:rFonts w:hint="eastAsia" w:ascii="微软雅黑" w:hAnsi="微软雅黑" w:cs="微软雅黑"/>
          <w:color w:val="auto"/>
          <w:highlight w:val="none"/>
        </w:rPr>
        <w:t xml:space="preserve">2.是否专门面向中小企业：否</w:t>
      </w:r>
      <w:r>
        <w:rPr>
          <w:rFonts w:hint="eastAsia" w:ascii="微软雅黑" w:hAnsi="微软雅黑" w:cs="微软雅黑"/>
          <w:b/>
          <w:bCs/>
          <w:color w:val="auto"/>
          <w:highlight w:val="none"/>
        </w:rPr>
        <w:t xml:space="preserve">。</w:t>
      </w:r>
      <w:r>
        <w:rPr>
          <w:highlight w:val="none"/>
        </w:rPr>
      </w:r>
      <w:r>
        <w:rPr>
          <w:highlight w:val="none"/>
        </w:rP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szCs w:val="21"/>
          <w:highlight w:val="none"/>
        </w:rPr>
        <w:t xml:space="preserve">3.采购项目需要落实的政府采购政策：《政府采购促进中小企业发展管理办法》；《关于政府采购支持监狱企业发展有关问题的通知》；《关于促进残疾人就业政府采购政策的通知》。</w:t>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4.本项目的特定资格要求：无。</w:t>
      </w:r>
      <w:r>
        <w:rPr>
          <w:highlight w:val="none"/>
        </w:rPr>
      </w:r>
      <w:r>
        <w:rPr>
          <w:highlight w:val="none"/>
        </w:rP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szCs w:val="21"/>
          <w:highlight w:val="none"/>
        </w:rPr>
        <w:t xml:space="preserve">5.本项目不接受联合体投标</w:t>
      </w:r>
      <w:r>
        <w:rPr>
          <w:rFonts w:hint="eastAsia" w:ascii="微软雅黑" w:hAnsi="微软雅黑" w:cs="微软雅黑"/>
          <w:color w:val="auto"/>
          <w:szCs w:val="21"/>
          <w:highlight w:val="none"/>
          <w:lang w:val="zh-CN"/>
        </w:rPr>
        <w:t xml:space="preserve">。</w:t>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6.拒绝下述供应商参加本次采购活动:</w:t>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6.1为采购项目提供整体设计、规范编制或者项目管理、监理、检测等服务的；</w:t>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6.2供应商单位负责人为同一人或者存在直接控股、管理关系的不同供应商，不得参加同一合同项下的采购活动；</w:t>
      </w:r>
      <w:r>
        <w:rPr>
          <w:highlight w:val="none"/>
        </w:rPr>
      </w:r>
      <w:r>
        <w:rPr>
          <w:highlight w:val="none"/>
        </w:rPr>
      </w:r>
    </w:p>
    <w:p>
      <w:pPr>
        <w:ind w:firstLine="420"/>
        <w:spacing w:line="440" w:lineRule="exact"/>
        <w:rPr>
          <w:rFonts w:hint="eastAsia" w:ascii="微软雅黑" w:hAnsi="微软雅黑" w:eastAsia="微软雅黑" w:cs="微软雅黑"/>
          <w:color w:val="auto"/>
          <w:szCs w:val="21"/>
          <w:highlight w:val="none"/>
        </w:rPr>
      </w:pPr>
      <w:r>
        <w:rPr>
          <w:rFonts w:hint="eastAsia" w:ascii="微软雅黑" w:hAnsi="微软雅黑" w:cs="微软雅黑"/>
          <w:color w:val="auto"/>
          <w:szCs w:val="21"/>
          <w:highlight w:val="none"/>
        </w:rPr>
        <w:t xml:space="preserve">6.3被“信用中国”网站(www.creditchina.gov.cn)或中国政府采购网(www.ccgp.gov.cn)列入失信被</w:t>
      </w:r>
      <w:r>
        <w:rPr>
          <w:rFonts w:hint="eastAsia" w:ascii="微软雅黑" w:hAnsi="微软雅黑" w:cs="微软雅黑"/>
          <w:color w:val="auto"/>
          <w:szCs w:val="21"/>
          <w:highlight w:val="none"/>
        </w:rPr>
        <w:t xml:space="preserve">执行人、重大税收违法失信主体、政府采购严重违法失信行为记录名单的。</w:t>
      </w:r>
      <w:r>
        <w:rPr>
          <w:highlight w:val="none"/>
        </w:rPr>
      </w:r>
      <w:r>
        <w:rPr>
          <w:highlight w:val="none"/>
        </w:rPr>
      </w:r>
    </w:p>
    <w:p>
      <w:pPr>
        <w:rPr>
          <w:rFonts w:hint="eastAsia" w:ascii="微软雅黑" w:hAnsi="微软雅黑" w:cs="微软雅黑"/>
          <w:b/>
          <w:bCs/>
          <w:color w:val="auto"/>
          <w:highlight w:val="none"/>
        </w:rPr>
      </w:pPr>
      <w:r>
        <w:rPr>
          <w:highlight w:val="none"/>
        </w:rPr>
      </w:r>
      <w:bookmarkStart w:id="16" w:name="_Toc35393624"/>
      <w:r>
        <w:rPr>
          <w:highlight w:val="none"/>
        </w:rPr>
      </w:r>
      <w:bookmarkStart w:id="17" w:name="_Toc28359082"/>
      <w:r>
        <w:rPr>
          <w:highlight w:val="none"/>
        </w:rPr>
      </w:r>
      <w:bookmarkStart w:id="18" w:name="_Toc35393793"/>
      <w:r>
        <w:rPr>
          <w:highlight w:val="none"/>
        </w:rPr>
      </w:r>
      <w:bookmarkStart w:id="19" w:name="_Toc1219"/>
      <w:r>
        <w:rPr>
          <w:highlight w:val="none"/>
        </w:rPr>
      </w:r>
      <w:bookmarkStart w:id="20" w:name="_Toc28359005"/>
      <w:r>
        <w:rPr>
          <w:highlight w:val="none"/>
        </w:rPr>
      </w:r>
      <w:bookmarkStart w:id="21" w:name="_Toc35393627"/>
      <w:r>
        <w:rPr>
          <w:highlight w:val="none"/>
        </w:rPr>
      </w:r>
      <w:bookmarkStart w:id="22" w:name="_Toc19317"/>
      <w:r>
        <w:rPr>
          <w:highlight w:val="none"/>
        </w:rPr>
      </w:r>
      <w:bookmarkStart w:id="23" w:name="_Toc28359085"/>
      <w:r>
        <w:rPr>
          <w:highlight w:val="none"/>
        </w:rPr>
      </w:r>
      <w:bookmarkStart w:id="24" w:name="_Toc28359008"/>
      <w:r>
        <w:rPr>
          <w:highlight w:val="none"/>
        </w:rPr>
      </w:r>
      <w:bookmarkStart w:id="25" w:name="_Toc35393796"/>
      <w:r>
        <w:rPr>
          <w:rFonts w:hint="eastAsia" w:ascii="微软雅黑" w:hAnsi="微软雅黑" w:cs="微软雅黑"/>
          <w:b/>
          <w:bCs/>
          <w:color w:val="auto"/>
          <w:highlight w:val="none"/>
        </w:rPr>
        <w:t xml:space="preserve">三、获取采购文件</w:t>
      </w:r>
      <w:r>
        <w:rPr>
          <w:highlight w:val="none"/>
        </w:rPr>
      </w:r>
      <w:r>
        <w:rPr>
          <w:highlight w:val="none"/>
        </w:rPr>
      </w:r>
    </w:p>
    <w:p>
      <w:pPr>
        <w:ind w:firstLine="420"/>
        <w:keepLines w:val="0"/>
        <w:keepNext w:val="0"/>
        <w:pageBreakBefore w:val="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时间</w:t>
      </w:r>
      <w:r>
        <w:rPr>
          <w:rFonts w:hint="eastAsia" w:ascii="微软雅黑" w:hAnsi="微软雅黑" w:cs="微软雅黑"/>
          <w:color w:val="auto"/>
          <w:szCs w:val="21"/>
          <w:highlight w:val="none"/>
          <w:lang w:eastAsia="zh-CN"/>
        </w:rPr>
        <w:t xml:space="preserve">：</w:t>
      </w:r>
      <w:r>
        <w:rPr>
          <w:rFonts w:hint="eastAsia" w:ascii="微软雅黑" w:hAnsi="微软雅黑" w:cs="微软雅黑"/>
          <w:color w:val="auto"/>
          <w:szCs w:val="21"/>
          <w:highlight w:val="none"/>
        </w:rPr>
        <w:t xml:space="preserve">自公告发布之日</w:t>
      </w:r>
      <w:r>
        <w:rPr>
          <w:rFonts w:hint="eastAsia" w:ascii="微软雅黑" w:hAnsi="微软雅黑" w:cs="微软雅黑"/>
          <w:color w:val="auto"/>
          <w:szCs w:val="21"/>
          <w:highlight w:val="none"/>
          <w:lang w:eastAsia="zh-CN"/>
        </w:rPr>
        <w:t xml:space="preserve">起</w:t>
      </w:r>
      <w:r>
        <w:rPr>
          <w:rFonts w:hint="eastAsia" w:ascii="微软雅黑" w:hAnsi="微软雅黑" w:cs="微软雅黑"/>
          <w:color w:val="auto"/>
          <w:szCs w:val="21"/>
          <w:highlight w:val="none"/>
          <w:lang w:val="en-US" w:eastAsia="zh-CN"/>
        </w:rPr>
        <w:t xml:space="preserve">5个工作日</w:t>
      </w:r>
      <w:r>
        <w:rPr>
          <w:rFonts w:hint="eastAsia" w:ascii="微软雅黑" w:hAnsi="微软雅黑" w:cs="微软雅黑"/>
          <w:color w:val="auto"/>
          <w:szCs w:val="21"/>
          <w:highlight w:val="none"/>
        </w:rPr>
        <w:t xml:space="preserve"> </w:t>
      </w:r>
      <w:r>
        <w:rPr>
          <w:highlight w:val="none"/>
        </w:rPr>
      </w:r>
      <w:r>
        <w:rPr>
          <w:highlight w:val="none"/>
        </w:rPr>
      </w:r>
    </w:p>
    <w:p>
      <w:pPr>
        <w:ind w:firstLine="420"/>
        <w:keepLines w:val="0"/>
        <w:keepNext w:val="0"/>
        <w:pageBreakBefore w:val="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地点：江苏省政府采购管理交易系统（苏采云）</w:t>
      </w:r>
      <w:r>
        <w:rPr>
          <w:highlight w:val="none"/>
        </w:rPr>
      </w:r>
      <w:r>
        <w:rPr>
          <w:highlight w:val="none"/>
        </w:rPr>
      </w:r>
    </w:p>
    <w:p>
      <w:pPr>
        <w:ind w:firstLine="420"/>
        <w:keepLines w:val="0"/>
        <w:keepNext w:val="0"/>
        <w:pageBreakBefore w:val="0"/>
        <w:spacing w:line="420" w:lineRule="exact"/>
        <w:widowControl w:val="off"/>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方式：</w:t>
      </w:r>
      <w:r>
        <w:rPr>
          <w:rFonts w:hint="eastAsia" w:ascii="微软雅黑" w:hAnsi="微软雅黑" w:cs="微软雅黑"/>
          <w:color w:val="auto"/>
          <w:szCs w:val="21"/>
          <w:highlight w:val="none"/>
          <w:lang w:eastAsia="zh-CN"/>
        </w:rPr>
        <w:t xml:space="preserve">自行下载</w:t>
      </w:r>
      <w:r>
        <w:rPr>
          <w:rFonts w:hint="eastAsia" w:ascii="微软雅黑" w:hAnsi="微软雅黑" w:cs="微软雅黑"/>
          <w:color w:val="auto"/>
          <w:szCs w:val="21"/>
          <w:highlight w:val="none"/>
        </w:rPr>
        <w:t xml:space="preserve">。</w:t>
      </w:r>
      <w:r>
        <w:rPr>
          <w:highlight w:val="none"/>
        </w:rPr>
      </w:r>
      <w:r>
        <w:rPr>
          <w:highlight w:val="none"/>
        </w:rPr>
      </w:r>
    </w:p>
    <w:p>
      <w:pPr>
        <w:ind w:firstLine="420"/>
        <w:keepLines w:val="0"/>
        <w:keepNext w:val="0"/>
        <w:pageBreakBefore w:val="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售价：</w:t>
      </w:r>
      <w:r>
        <w:rPr>
          <w:rFonts w:hint="eastAsia" w:ascii="微软雅黑" w:hAnsi="微软雅黑" w:cs="微软雅黑"/>
          <w:color w:val="auto"/>
          <w:szCs w:val="21"/>
          <w:highlight w:val="none"/>
          <w:lang w:val="en-US" w:eastAsia="zh-CN"/>
        </w:rPr>
        <w:t xml:space="preserve">0.00元</w:t>
      </w:r>
      <w:bookmarkEnd w:id="16"/>
      <w:r>
        <w:rPr>
          <w:highlight w:val="none"/>
        </w:rPr>
      </w:r>
      <w:bookmarkEnd w:id="17"/>
      <w:r>
        <w:rPr>
          <w:highlight w:val="none"/>
        </w:rPr>
      </w:r>
      <w:bookmarkEnd w:id="18"/>
      <w:r>
        <w:rPr>
          <w:highlight w:val="none"/>
        </w:rPr>
      </w:r>
      <w:bookmarkEnd w:id="19"/>
      <w:r>
        <w:rPr>
          <w:highlight w:val="none"/>
        </w:rPr>
      </w:r>
      <w:bookmarkEnd w:id="20"/>
      <w:r>
        <w:rPr>
          <w:highlight w:val="none"/>
        </w:rPr>
      </w:r>
      <w:r>
        <w:rPr>
          <w:highlight w:val="none"/>
        </w:rPr>
      </w:r>
    </w:p>
    <w:p>
      <w:pPr>
        <w:keepLines w:val="0"/>
        <w:keepNext w:val="0"/>
        <w:pageBreakBefore w:val="0"/>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四、提交投标文件截止时间、开标时间和地点</w:t>
      </w:r>
      <w:r>
        <w:rPr>
          <w:highlight w:val="none"/>
        </w:rPr>
      </w:r>
      <w:r>
        <w:rPr>
          <w:highlight w:val="none"/>
        </w:rPr>
      </w:r>
    </w:p>
    <w:p>
      <w:pPr>
        <w:ind w:firstLine="420"/>
        <w:keepLines w:val="0"/>
        <w:keepNext w:val="0"/>
        <w:pageBreakBefore w:val="0"/>
        <w:spacing w:line="420" w:lineRule="exact"/>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t xml:space="preserve">时间：</w:t>
      </w:r>
      <w:r>
        <w:rPr>
          <w:rFonts w:hint="eastAsia" w:ascii="微软雅黑" w:hAnsi="微软雅黑" w:cs="微软雅黑"/>
          <w:color w:val="auto"/>
          <w:szCs w:val="21"/>
          <w:highlight w:val="none"/>
          <w:lang w:val="en-US" w:eastAsia="zh-CN"/>
        </w:rPr>
        <w:t xml:space="preserve">2026</w:t>
      </w:r>
      <w:r>
        <w:rPr>
          <w:rFonts w:hint="eastAsia" w:ascii="微软雅黑" w:hAnsi="微软雅黑" w:cs="微软雅黑"/>
          <w:color w:val="auto"/>
          <w:szCs w:val="21"/>
          <w:highlight w:val="none"/>
          <w:lang w:eastAsia="zh-CN"/>
        </w:rPr>
        <w:t xml:space="preserve">年</w:t>
      </w:r>
      <w:r>
        <w:rPr>
          <w:rFonts w:hint="eastAsia" w:ascii="微软雅黑" w:hAnsi="微软雅黑" w:cs="微软雅黑"/>
          <w:color w:val="auto"/>
          <w:szCs w:val="21"/>
          <w:highlight w:val="none"/>
          <w:lang w:val="en-US" w:eastAsia="zh-CN"/>
        </w:rPr>
        <w:t xml:space="preserve">10</w:t>
      </w:r>
      <w:r>
        <w:rPr>
          <w:rFonts w:hint="eastAsia" w:ascii="微软雅黑" w:hAnsi="微软雅黑" w:cs="微软雅黑"/>
          <w:color w:val="auto"/>
          <w:szCs w:val="21"/>
          <w:highlight w:val="none"/>
          <w:lang w:eastAsia="zh-CN"/>
        </w:rPr>
        <w:t xml:space="preserve">月</w:t>
      </w:r>
      <w:r>
        <w:rPr>
          <w:rFonts w:hint="eastAsia" w:ascii="微软雅黑" w:hAnsi="微软雅黑" w:cs="微软雅黑"/>
          <w:color w:val="auto"/>
          <w:szCs w:val="21"/>
          <w:highlight w:val="none"/>
          <w:lang w:val="en-US" w:eastAsia="zh-CN"/>
        </w:rPr>
        <w:t xml:space="preserve">20</w:t>
      </w:r>
      <w:r>
        <w:rPr>
          <w:rFonts w:hint="eastAsia" w:ascii="微软雅黑" w:hAnsi="微软雅黑" w:cs="微软雅黑"/>
          <w:color w:val="auto"/>
          <w:szCs w:val="21"/>
          <w:highlight w:val="none"/>
          <w:lang w:eastAsia="zh-CN"/>
        </w:rPr>
        <w:t xml:space="preserve">日</w:t>
      </w:r>
      <w:r>
        <w:rPr>
          <w:rFonts w:hint="eastAsia" w:ascii="微软雅黑" w:hAnsi="微软雅黑" w:cs="微软雅黑"/>
          <w:color w:val="auto"/>
          <w:szCs w:val="21"/>
          <w:highlight w:val="none"/>
          <w:lang w:val="en-US" w:eastAsia="zh-CN"/>
        </w:rPr>
        <w:t xml:space="preserve">14:30:00</w:t>
      </w:r>
      <w:r>
        <w:rPr>
          <w:rFonts w:hint="eastAsia" w:ascii="微软雅黑" w:hAnsi="微软雅黑" w:cs="微软雅黑"/>
          <w:bCs/>
          <w:color w:val="auto"/>
          <w:szCs w:val="21"/>
          <w:highlight w:val="none"/>
        </w:rPr>
        <w:t xml:space="preserve">（北京时间）</w:t>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地点：</w:t>
      </w:r>
      <w:r>
        <w:rPr>
          <w:rFonts w:hint="eastAsia" w:ascii="微软雅黑" w:hAnsi="微软雅黑" w:cs="微软雅黑"/>
          <w:color w:val="auto"/>
          <w:szCs w:val="21"/>
          <w:highlight w:val="none"/>
          <w:lang w:eastAsia="zh-CN"/>
        </w:rPr>
        <w:t xml:space="preserve">“苏采云”政府采购交易系统网上开标大厅</w:t>
      </w:r>
      <w:r>
        <w:rPr>
          <w:highlight w:val="none"/>
        </w:rPr>
      </w:r>
      <w:r>
        <w:rPr>
          <w:highlight w:val="none"/>
        </w:rPr>
      </w:r>
    </w:p>
    <w:p>
      <w:pPr>
        <w:rPr>
          <w:rFonts w:hint="eastAsia" w:ascii="微软雅黑" w:hAnsi="微软雅黑" w:cs="微软雅黑"/>
          <w:b/>
          <w:bCs/>
          <w:color w:val="auto"/>
          <w:highlight w:val="none"/>
        </w:rPr>
      </w:pPr>
      <w:r>
        <w:rPr>
          <w:highlight w:val="none"/>
        </w:rPr>
      </w:r>
      <w:bookmarkStart w:id="26" w:name="_Toc28359084"/>
      <w:r>
        <w:rPr>
          <w:highlight w:val="none"/>
        </w:rPr>
      </w:r>
      <w:bookmarkStart w:id="27" w:name="_Toc35393794"/>
      <w:r>
        <w:rPr>
          <w:highlight w:val="none"/>
        </w:rPr>
      </w:r>
      <w:bookmarkStart w:id="28" w:name="_Toc28359007"/>
      <w:r>
        <w:rPr>
          <w:highlight w:val="none"/>
        </w:rPr>
      </w:r>
      <w:bookmarkStart w:id="29" w:name="_Toc35393625"/>
      <w:r>
        <w:rPr>
          <w:highlight w:val="none"/>
        </w:rPr>
      </w:r>
      <w:bookmarkStart w:id="30" w:name="_Toc31210"/>
      <w:r>
        <w:rPr>
          <w:rFonts w:hint="eastAsia" w:ascii="微软雅黑" w:hAnsi="微软雅黑" w:cs="微软雅黑"/>
          <w:b/>
          <w:bCs/>
          <w:color w:val="auto"/>
          <w:highlight w:val="none"/>
        </w:rPr>
        <w:t xml:space="preserve">五、公告期限</w:t>
      </w:r>
      <w:bookmarkEnd w:id="26"/>
      <w:r>
        <w:rPr>
          <w:highlight w:val="none"/>
        </w:rPr>
      </w:r>
      <w:bookmarkEnd w:id="27"/>
      <w:r>
        <w:rPr>
          <w:highlight w:val="none"/>
        </w:rPr>
      </w:r>
      <w:bookmarkEnd w:id="28"/>
      <w:r>
        <w:rPr>
          <w:highlight w:val="none"/>
        </w:rPr>
      </w:r>
      <w:bookmarkEnd w:id="29"/>
      <w:r>
        <w:rPr>
          <w:highlight w:val="none"/>
        </w:rPr>
      </w:r>
      <w:bookmarkEnd w:id="30"/>
      <w:r>
        <w:rPr>
          <w:highlight w:val="none"/>
        </w:rPr>
      </w:r>
      <w:r>
        <w:rPr>
          <w:highlight w:val="none"/>
        </w:rP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szCs w:val="21"/>
          <w:highlight w:val="none"/>
        </w:rPr>
        <w:t xml:space="preserve">自本公告发布之日起5个工作日。</w:t>
      </w:r>
      <w:r>
        <w:rPr>
          <w:highlight w:val="none"/>
        </w:rPr>
      </w:r>
      <w:r>
        <w:rPr>
          <w:highlight w:val="none"/>
        </w:rPr>
      </w:r>
    </w:p>
    <w:p>
      <w:pPr>
        <w:rPr>
          <w:rFonts w:hint="eastAsia" w:ascii="微软雅黑" w:hAnsi="微软雅黑" w:cs="微软雅黑"/>
          <w:b/>
          <w:bCs/>
          <w:color w:val="auto"/>
          <w:highlight w:val="none"/>
        </w:rPr>
      </w:pPr>
      <w:r>
        <w:rPr>
          <w:highlight w:val="none"/>
        </w:rPr>
      </w:r>
      <w:bookmarkStart w:id="31" w:name="_Toc19985"/>
      <w:r>
        <w:rPr>
          <w:highlight w:val="none"/>
        </w:rPr>
      </w:r>
      <w:bookmarkStart w:id="32" w:name="_Toc35393626"/>
      <w:r>
        <w:rPr>
          <w:highlight w:val="none"/>
        </w:rPr>
      </w:r>
      <w:bookmarkStart w:id="33" w:name="_Toc35393795"/>
      <w:r>
        <w:rPr>
          <w:rFonts w:hint="eastAsia" w:ascii="微软雅黑" w:hAnsi="微软雅黑" w:cs="微软雅黑"/>
          <w:b/>
          <w:bCs/>
          <w:color w:val="auto"/>
          <w:highlight w:val="none"/>
        </w:rPr>
        <w:t xml:space="preserve">六、其他补充事宜</w:t>
      </w:r>
      <w:bookmarkEnd w:id="31"/>
      <w:r>
        <w:rPr>
          <w:highlight w:val="none"/>
        </w:rPr>
      </w:r>
      <w:bookmarkEnd w:id="32"/>
      <w:r>
        <w:rPr>
          <w:highlight w:val="none"/>
        </w:rPr>
      </w:r>
      <w:bookmarkEnd w:id="33"/>
      <w:r>
        <w:rPr>
          <w:highlight w:val="none"/>
        </w:rPr>
      </w:r>
      <w:r>
        <w:rPr>
          <w:highlight w:val="none"/>
        </w:rPr>
      </w:r>
    </w:p>
    <w:p>
      <w:pPr>
        <w:ind w:firstLine="420"/>
        <w:spacing w:line="420" w:lineRule="exact"/>
        <w:rPr>
          <w:rFonts w:ascii="微软雅黑" w:hAnsi="微软雅黑" w:cs="微软雅黑"/>
          <w:color w:val="auto"/>
          <w:szCs w:val="21"/>
          <w:highlight w:val="none"/>
        </w:rPr>
      </w:pPr>
      <w:r>
        <w:rPr>
          <w:rFonts w:hint="eastAsia" w:ascii="微软雅黑" w:hAnsi="微软雅黑" w:cs="微软雅黑"/>
          <w:color w:val="auto"/>
          <w:szCs w:val="21"/>
          <w:highlight w:val="none"/>
        </w:rPr>
        <w:t xml:space="preserve">1.</w:t>
      </w:r>
      <w:r>
        <w:rPr>
          <w:rFonts w:hint="eastAsia" w:ascii="微软雅黑" w:hAnsi="微软雅黑" w:cs="微软雅黑"/>
          <w:color w:val="auto"/>
          <w:szCs w:val="21"/>
          <w:highlight w:val="none"/>
          <w:lang w:val="en-US" w:eastAsia="zh-CN"/>
        </w:rPr>
        <w:t xml:space="preserve"> </w:t>
      </w:r>
      <w:r>
        <w:rPr>
          <w:rFonts w:hint="eastAsia" w:ascii="微软雅黑" w:hAnsi="微软雅黑" w:cs="微软雅黑"/>
          <w:color w:val="auto"/>
          <w:szCs w:val="21"/>
          <w:highlight w:val="none"/>
        </w:rPr>
        <w:t xml:space="preserve">评审方法和标准：采用综合评分法。</w:t>
      </w:r>
      <w:r>
        <w:rPr>
          <w:highlight w:val="none"/>
        </w:rPr>
      </w:r>
      <w:r>
        <w:rPr>
          <w:highlight w:val="none"/>
        </w:rPr>
      </w:r>
    </w:p>
    <w:p>
      <w:pPr>
        <w:ind w:firstLine="420"/>
        <w:spacing w:line="420" w:lineRule="exact"/>
        <w:rPr>
          <w:rFonts w:ascii="微软雅黑" w:hAnsi="微软雅黑" w:cs="微软雅黑"/>
          <w:color w:val="auto"/>
          <w:szCs w:val="21"/>
          <w:highlight w:val="none"/>
        </w:rPr>
      </w:pPr>
      <w:r>
        <w:rPr>
          <w:rFonts w:hint="eastAsia" w:ascii="微软雅黑" w:hAnsi="微软雅黑" w:cs="微软雅黑"/>
          <w:color w:val="auto"/>
          <w:szCs w:val="21"/>
          <w:highlight w:val="none"/>
        </w:rPr>
        <w:t xml:space="preserve">2.</w:t>
      </w:r>
      <w:r>
        <w:rPr>
          <w:rFonts w:hint="eastAsia" w:ascii="微软雅黑" w:hAnsi="微软雅黑" w:cs="微软雅黑"/>
          <w:color w:val="auto"/>
          <w:szCs w:val="21"/>
          <w:highlight w:val="none"/>
          <w:lang w:val="en-US" w:eastAsia="zh-CN"/>
        </w:rPr>
        <w:t xml:space="preserve"> </w:t>
      </w:r>
      <w:r>
        <w:rPr>
          <w:rFonts w:hint="eastAsia" w:ascii="微软雅黑" w:hAnsi="微软雅黑" w:cs="微软雅黑"/>
          <w:color w:val="auto"/>
          <w:szCs w:val="21"/>
          <w:highlight w:val="none"/>
        </w:rPr>
        <w:t xml:space="preserve">此采购公告在江苏政府采购网</w:t>
      </w:r>
      <w:r>
        <w:rPr>
          <w:rFonts w:hint="eastAsia" w:ascii="微软雅黑" w:hAnsi="微软雅黑" w:cs="微软雅黑"/>
          <w:color w:val="auto"/>
          <w:szCs w:val="21"/>
          <w:highlight w:val="none"/>
          <w:lang w:eastAsia="zh-CN"/>
        </w:rPr>
        <w:t xml:space="preserve">（</w:t>
      </w:r>
      <w:r>
        <w:rPr>
          <w:rFonts w:hint="eastAsia" w:ascii="微软雅黑" w:hAnsi="微软雅黑" w:cs="微软雅黑"/>
          <w:color w:val="auto"/>
          <w:szCs w:val="21"/>
          <w:highlight w:val="none"/>
        </w:rPr>
        <w:t xml:space="preserve">http://www.ccgp-jiangsu.gov.cn</w:t>
      </w:r>
      <w:r>
        <w:rPr>
          <w:rFonts w:hint="eastAsia" w:ascii="微软雅黑" w:hAnsi="微软雅黑" w:cs="微软雅黑"/>
          <w:color w:val="auto"/>
          <w:szCs w:val="21"/>
          <w:highlight w:val="none"/>
          <w:lang w:eastAsia="zh-CN"/>
        </w:rPr>
        <w:t xml:space="preserve">）</w:t>
      </w:r>
      <w:r>
        <w:rPr>
          <w:rFonts w:hint="eastAsia" w:ascii="微软雅黑" w:hAnsi="微软雅黑" w:cs="微软雅黑"/>
          <w:color w:val="auto"/>
          <w:szCs w:val="21"/>
          <w:highlight w:val="none"/>
        </w:rPr>
        <w:t xml:space="preserve">发布。 </w:t>
      </w:r>
      <w:r>
        <w:rPr>
          <w:highlight w:val="none"/>
        </w:rPr>
      </w:r>
      <w:r>
        <w:rPr>
          <w:highlight w:val="none"/>
        </w:rPr>
      </w:r>
    </w:p>
    <w:p>
      <w:pPr>
        <w:ind w:firstLine="420"/>
        <w:spacing w:line="420" w:lineRule="exact"/>
        <w:rPr>
          <w:rFonts w:ascii="微软雅黑" w:hAnsi="微软雅黑" w:cs="微软雅黑"/>
          <w:color w:val="auto"/>
          <w:szCs w:val="21"/>
          <w:highlight w:val="none"/>
        </w:rPr>
      </w:pPr>
      <w:r>
        <w:rPr>
          <w:rFonts w:hint="eastAsia" w:ascii="微软雅黑" w:hAnsi="微软雅黑" w:cs="微软雅黑"/>
          <w:color w:val="auto"/>
          <w:szCs w:val="21"/>
          <w:highlight w:val="none"/>
          <w:lang w:val="en-US" w:eastAsia="zh-CN"/>
        </w:rPr>
        <w:t xml:space="preserve">3. 苏采云CA办理及登录：</w:t>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lang w:val="en-US" w:eastAsia="zh-CN"/>
        </w:rPr>
        <w:t xml:space="preserve">苏采云系统网址：http://jszfcg.jsczt.cn/，供应商需办理江苏省政府采购数字证书CA及电子签章，并在苏采云登录页面进行用户注册及CA绑定。详见江苏省政府采购管理交易系统（苏采云）供应商操作指南（</w:t>
      </w:r>
      <w:bookmarkStart w:id="34" w:name="OLE_LINK2"/>
      <w:r>
        <w:rPr>
          <w:rFonts w:hint="eastAsia" w:ascii="微软雅黑" w:hAnsi="微软雅黑" w:cs="微软雅黑"/>
          <w:color w:val="auto"/>
          <w:sz w:val="21"/>
          <w:szCs w:val="21"/>
          <w:highlight w:val="none"/>
          <w:lang w:val="en-US" w:eastAsia="zh-CN"/>
        </w:rPr>
        <w:t xml:space="preserve">http://www.ccgp-jiangsu.gov.cn/jiangsu/zlxz/ee/ee3a4bc5a3454aa2b0d9312230633ce9.html</w:t>
      </w:r>
      <w:bookmarkEnd w:id="34"/>
      <w:r>
        <w:rPr>
          <w:rFonts w:hint="eastAsia" w:ascii="微软雅黑" w:hAnsi="微软雅黑" w:cs="微软雅黑"/>
          <w:color w:val="auto"/>
          <w:szCs w:val="21"/>
          <w:highlight w:val="none"/>
          <w:lang w:val="en-US" w:eastAsia="zh-CN"/>
        </w:rPr>
        <w:t xml:space="preserve">）。</w:t>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lang w:val="en-US" w:eastAsia="zh-CN"/>
        </w:rPr>
        <w:t xml:space="preserve">4.采购文件下载及投标文件制作：</w:t>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lang w:val="en-US" w:eastAsia="zh-CN"/>
        </w:rPr>
        <w:t xml:space="preserve">“苏采云”登录页面用户注册--获取“CA数字证书”--CA绑定与登录--登记参与采购项目--下载采购文件（后缀名为“.kedt”)--将后缀名为“.kedt”的采购文件导入政府采购客户端工具--制作投标文件--导出加密的投标文件（后缀名为zip）--通过“苏采云”系统上传投标文件。详见《江苏省政府采购管理交易系统（苏采云）供应商操作手册》，操作手册可通过“苏采云”系统中相应链接进行下载。</w:t>
      </w:r>
      <w:r>
        <w:rPr>
          <w:highlight w:val="none"/>
        </w:rPr>
      </w:r>
      <w:r>
        <w:rPr>
          <w:highlight w:val="none"/>
        </w:rPr>
      </w:r>
    </w:p>
    <w:p>
      <w:pPr>
        <w:numPr>
          <w:ilvl w:val="0"/>
          <w:numId w:val="0"/>
        </w:numPr>
        <w:ind w:firstLine="420"/>
        <w:keepLines w:val="0"/>
        <w:keepNext w:val="0"/>
        <w:pageBreakBefore w:val="0"/>
        <w:spacing w:line="420" w:lineRule="exact"/>
        <w:widowControl w:val="off"/>
        <w:rPr>
          <w:rFonts w:hint="eastAsia" w:ascii="微软雅黑" w:hAnsi="微软雅黑" w:cs="微软雅黑"/>
          <w:color w:val="auto"/>
          <w:szCs w:val="21"/>
          <w:highlight w:val="none"/>
        </w:rPr>
      </w:pPr>
      <w:r>
        <w:rPr>
          <w:rFonts w:hint="eastAsia" w:ascii="微软雅黑" w:hAnsi="微软雅黑" w:cs="微软雅黑"/>
          <w:color w:val="auto"/>
          <w:szCs w:val="21"/>
          <w:highlight w:val="none"/>
          <w:lang w:val="en-US" w:eastAsia="zh-CN"/>
        </w:rPr>
        <w:t xml:space="preserve">5. 不见面远程开标：</w:t>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lang w:val="en-US" w:eastAsia="zh-CN"/>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lang w:val="en-US" w:eastAsia="zh-CN"/>
        </w:rPr>
        <w:t xml:space="preserve">6.</w:t>
      </w:r>
      <w:r>
        <w:rPr>
          <w:rFonts w:hint="eastAsia" w:ascii="宋体" w:hAnsi="宋体" w:cs="宋体"/>
          <w:color w:val="auto"/>
          <w:szCs w:val="21"/>
          <w:highlight w:val="none"/>
          <w:lang w:bidi="ar"/>
        </w:rPr>
        <w:t xml:space="preserve">供应商应当在获取招标文件后自行对项目现场和周围环境进行实地踏勘，以了解现场的环境、范围</w:t>
      </w:r>
      <w:r>
        <w:rPr>
          <w:rFonts w:hint="eastAsia" w:ascii="宋体" w:hAnsi="宋体" w:cs="宋体"/>
          <w:color w:val="auto"/>
          <w:szCs w:val="21"/>
          <w:highlight w:val="none"/>
          <w:lang w:eastAsia="zh-CN" w:bidi="ar"/>
        </w:rPr>
        <w:t xml:space="preserve">等</w:t>
      </w:r>
      <w:r>
        <w:rPr>
          <w:rFonts w:hint="eastAsia" w:ascii="宋体" w:hAnsi="宋体" w:cs="宋体"/>
          <w:color w:val="auto"/>
          <w:szCs w:val="21"/>
          <w:highlight w:val="none"/>
          <w:lang w:bidi="ar"/>
        </w:rPr>
        <w:t xml:space="preserve">。供应商应承担现场踏勘的责任和风险，费用由供应商自己承担。中标后不得以未踏勘现场或不了解现场为由提出任何增加费用的要求</w:t>
      </w:r>
      <w:r>
        <w:rPr>
          <w:rFonts w:hint="eastAsia" w:ascii="宋体" w:hAnsi="宋体" w:cs="宋体"/>
          <w:color w:val="auto"/>
          <w:szCs w:val="21"/>
          <w:highlight w:val="none"/>
          <w:lang w:eastAsia="zh-CN" w:bidi="ar"/>
        </w:rPr>
        <w:t xml:space="preserve">。</w:t>
      </w:r>
      <w:r>
        <w:rPr>
          <w:rFonts w:hint="eastAsia" w:ascii="微软雅黑" w:hAnsi="微软雅黑" w:cs="微软雅黑"/>
          <w:color w:val="auto"/>
          <w:szCs w:val="21"/>
          <w:highlight w:val="none"/>
        </w:rPr>
        <w:t xml:space="preserve"> </w:t>
      </w:r>
      <w:r>
        <w:rPr>
          <w:highlight w:val="none"/>
        </w:rPr>
      </w:r>
      <w:r>
        <w:rPr>
          <w:highlight w:val="none"/>
        </w:rPr>
      </w:r>
    </w:p>
    <w:p>
      <w:pPr>
        <w:rPr>
          <w:rFonts w:hint="eastAsia"/>
          <w:color w:val="auto"/>
          <w:highlight w:val="none"/>
        </w:rPr>
      </w:pPr>
      <w:r>
        <w:rPr>
          <w:highlight w:val="none"/>
        </w:rPr>
      </w:r>
      <w:bookmarkStart w:id="35" w:name="_Toc30491"/>
      <w:r>
        <w:rPr>
          <w:highlight w:val="none"/>
        </w:rPr>
      </w:r>
      <w:bookmarkStart w:id="36" w:name="_Toc22125"/>
      <w:r>
        <w:rPr>
          <w:rFonts w:hint="eastAsia"/>
          <w:color w:val="auto"/>
          <w:highlight w:val="none"/>
        </w:rPr>
        <w:t xml:space="preserve">七、对本次招标提出询问，请按以下方式联系。</w:t>
      </w:r>
      <w:bookmarkEnd w:id="21"/>
      <w:r>
        <w:rPr>
          <w:highlight w:val="none"/>
        </w:rPr>
      </w:r>
      <w:bookmarkEnd w:id="22"/>
      <w:r>
        <w:rPr>
          <w:highlight w:val="none"/>
        </w:rPr>
      </w:r>
      <w:bookmarkEnd w:id="23"/>
      <w:r>
        <w:rPr>
          <w:highlight w:val="none"/>
        </w:rPr>
      </w:r>
      <w:bookmarkEnd w:id="24"/>
      <w:r>
        <w:rPr>
          <w:highlight w:val="none"/>
        </w:rPr>
      </w:r>
      <w:bookmarkEnd w:id="25"/>
      <w:r>
        <w:rPr>
          <w:highlight w:val="none"/>
        </w:rPr>
      </w:r>
      <w:bookmarkEnd w:id="35"/>
      <w:r>
        <w:rPr>
          <w:highlight w:val="none"/>
        </w:rPr>
      </w:r>
      <w:bookmarkEnd w:id="36"/>
      <w:r>
        <w:rPr>
          <w:rFonts w:hint="eastAsia"/>
          <w:color w:val="auto"/>
          <w:highlight w:val="none"/>
        </w:rPr>
        <w:t xml:space="preserve"> </w:t>
      </w:r>
      <w:r>
        <w:rPr>
          <w:highlight w:val="none"/>
        </w:rPr>
      </w:r>
      <w:r>
        <w:rPr>
          <w:highlight w:val="none"/>
        </w:rPr>
      </w:r>
    </w:p>
    <w:p>
      <w:pPr>
        <w:ind w:firstLine="420"/>
        <w:spacing w:line="420" w:lineRule="exact"/>
        <w:rPr>
          <w:rFonts w:hint="eastAsia" w:ascii="微软雅黑" w:hAnsi="微软雅黑" w:cs="微软雅黑"/>
          <w:bCs/>
          <w:color w:val="auto"/>
          <w:szCs w:val="21"/>
          <w:highlight w:val="none"/>
        </w:rPr>
      </w:pPr>
      <w:r>
        <w:rPr>
          <w:highlight w:val="none"/>
        </w:rPr>
      </w:r>
      <w:bookmarkStart w:id="37" w:name="_Toc35393806"/>
      <w:r>
        <w:rPr>
          <w:highlight w:val="none"/>
        </w:rPr>
      </w:r>
      <w:bookmarkStart w:id="38" w:name="_Toc28359019"/>
      <w:r>
        <w:rPr>
          <w:highlight w:val="none"/>
        </w:rPr>
      </w:r>
      <w:bookmarkStart w:id="39" w:name="_Toc28359096"/>
      <w:r>
        <w:rPr>
          <w:highlight w:val="none"/>
        </w:rPr>
      </w:r>
      <w:bookmarkStart w:id="40" w:name="_Toc35393637"/>
      <w:r>
        <w:rPr>
          <w:rFonts w:hint="eastAsia" w:ascii="微软雅黑" w:hAnsi="微软雅黑" w:cs="微软雅黑"/>
          <w:bCs/>
          <w:color w:val="auto"/>
          <w:szCs w:val="21"/>
          <w:highlight w:val="none"/>
        </w:rPr>
        <w:t xml:space="preserve">1.采购人信息</w:t>
      </w:r>
      <w:bookmarkEnd w:id="37"/>
      <w:r>
        <w:rPr>
          <w:highlight w:val="none"/>
        </w:rPr>
      </w:r>
      <w:bookmarkEnd w:id="38"/>
      <w:r>
        <w:rPr>
          <w:highlight w:val="none"/>
        </w:rPr>
      </w:r>
      <w:bookmarkEnd w:id="39"/>
      <w:r>
        <w:rPr>
          <w:highlight w:val="none"/>
        </w:rPr>
      </w:r>
      <w:bookmarkEnd w:id="40"/>
      <w:r>
        <w:rPr>
          <w:highlight w:val="none"/>
        </w:rPr>
      </w:r>
      <w:r>
        <w:rPr>
          <w:highlight w:val="none"/>
        </w:rPr>
      </w:r>
    </w:p>
    <w:p>
      <w:pPr>
        <w:ind w:firstLine="630"/>
        <w:jc w:val="left"/>
        <w:spacing w:line="420" w:lineRule="exact"/>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t xml:space="preserve">名    称：</w:t>
      </w:r>
      <w:r>
        <w:rPr>
          <w:rFonts w:hint="eastAsia" w:ascii="微软雅黑" w:hAnsi="微软雅黑" w:cs="微软雅黑"/>
          <w:bCs/>
          <w:color w:val="auto"/>
          <w:szCs w:val="21"/>
          <w:highlight w:val="none"/>
          <w:lang w:eastAsia="zh-CN"/>
        </w:rPr>
        <w:t xml:space="preserve">徐州医科大学附属医院</w:t>
      </w:r>
      <w:r>
        <w:rPr>
          <w:rFonts w:hint="eastAsia" w:ascii="微软雅黑" w:hAnsi="微软雅黑" w:cs="微软雅黑"/>
          <w:bCs/>
          <w:color w:val="auto"/>
          <w:szCs w:val="21"/>
          <w:highlight w:val="none"/>
        </w:rPr>
        <w:t xml:space="preserve">　　　　</w:t>
      </w:r>
      <w:r>
        <w:rPr>
          <w:highlight w:val="none"/>
        </w:rPr>
      </w:r>
      <w:r>
        <w:rPr>
          <w:highlight w:val="none"/>
        </w:rPr>
      </w:r>
    </w:p>
    <w:p>
      <w:pPr>
        <w:ind w:firstLine="630"/>
        <w:jc w:val="left"/>
        <w:spacing w:line="420" w:lineRule="exact"/>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t xml:space="preserve">地    址：江苏省徐州市泉山区淮海西路99号 　　　</w:t>
      </w:r>
      <w:r>
        <w:rPr>
          <w:highlight w:val="none"/>
        </w:rPr>
      </w:r>
      <w:r>
        <w:rPr>
          <w:highlight w:val="none"/>
        </w:rPr>
      </w:r>
    </w:p>
    <w:p>
      <w:pPr>
        <w:ind w:firstLine="630"/>
        <w:jc w:val="left"/>
        <w:spacing w:line="420" w:lineRule="exact"/>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t xml:space="preserve">联系方式：</w:t>
      </w:r>
      <w:r>
        <w:rPr>
          <w:rFonts w:hint="eastAsia" w:ascii="微软雅黑" w:hAnsi="微软雅黑" w:cs="微软雅黑"/>
          <w:bCs/>
          <w:color w:val="auto"/>
          <w:szCs w:val="21"/>
          <w:highlight w:val="none"/>
          <w:lang w:eastAsia="zh-CN"/>
        </w:rPr>
        <w:t xml:space="preserve">陈老师</w:t>
      </w:r>
      <w:r>
        <w:rPr>
          <w:rFonts w:hint="eastAsia" w:ascii="微软雅黑" w:hAnsi="微软雅黑" w:cs="微软雅黑"/>
          <w:bCs/>
          <w:color w:val="auto"/>
          <w:szCs w:val="21"/>
          <w:highlight w:val="none"/>
        </w:rPr>
        <w:t xml:space="preserve"> </w:t>
      </w:r>
      <w:r>
        <w:rPr>
          <w:rFonts w:hint="eastAsia" w:ascii="微软雅黑" w:hAnsi="微软雅黑" w:cs="微软雅黑"/>
          <w:bCs/>
          <w:color w:val="auto"/>
          <w:szCs w:val="21"/>
          <w:highlight w:val="none"/>
          <w:lang w:val="en-US" w:eastAsia="zh-CN"/>
        </w:rPr>
        <w:t xml:space="preserve">0516-85806002</w:t>
      </w:r>
      <w:r>
        <w:rPr>
          <w:rFonts w:hint="eastAsia" w:ascii="微软雅黑" w:hAnsi="微软雅黑" w:cs="微软雅黑"/>
          <w:bCs/>
          <w:color w:val="auto"/>
          <w:szCs w:val="21"/>
          <w:highlight w:val="none"/>
        </w:rPr>
        <w:t xml:space="preserve">　 　　   　 </w:t>
      </w:r>
      <w:r>
        <w:rPr>
          <w:highlight w:val="none"/>
        </w:rPr>
      </w:r>
      <w:r>
        <w:rPr>
          <w:highlight w:val="none"/>
        </w:rPr>
      </w:r>
    </w:p>
    <w:p>
      <w:pPr>
        <w:ind w:firstLine="420"/>
        <w:spacing w:line="420" w:lineRule="exact"/>
        <w:rPr>
          <w:rFonts w:hint="eastAsia" w:ascii="微软雅黑" w:hAnsi="微软雅黑" w:cs="微软雅黑"/>
          <w:bCs/>
          <w:color w:val="auto"/>
          <w:szCs w:val="21"/>
          <w:highlight w:val="none"/>
        </w:rPr>
      </w:pPr>
      <w:r>
        <w:rPr>
          <w:highlight w:val="none"/>
        </w:rPr>
      </w:r>
      <w:bookmarkStart w:id="41" w:name="_Toc35393638"/>
      <w:r>
        <w:rPr>
          <w:highlight w:val="none"/>
        </w:rPr>
      </w:r>
      <w:bookmarkStart w:id="42" w:name="_Toc28359097"/>
      <w:r>
        <w:rPr>
          <w:highlight w:val="none"/>
        </w:rPr>
      </w:r>
      <w:bookmarkStart w:id="43" w:name="_Toc28359020"/>
      <w:r>
        <w:rPr>
          <w:highlight w:val="none"/>
        </w:rPr>
      </w:r>
      <w:bookmarkStart w:id="44" w:name="_Toc35393807"/>
      <w:r>
        <w:rPr>
          <w:rFonts w:hint="eastAsia" w:ascii="微软雅黑" w:hAnsi="微软雅黑" w:cs="微软雅黑"/>
          <w:bCs/>
          <w:color w:val="auto"/>
          <w:szCs w:val="21"/>
          <w:highlight w:val="none"/>
        </w:rPr>
        <w:t xml:space="preserve">2.采购代理机构信息</w:t>
      </w:r>
      <w:bookmarkEnd w:id="41"/>
      <w:r>
        <w:rPr>
          <w:highlight w:val="none"/>
        </w:rPr>
      </w:r>
      <w:bookmarkEnd w:id="42"/>
      <w:r>
        <w:rPr>
          <w:highlight w:val="none"/>
        </w:rPr>
      </w:r>
      <w:bookmarkEnd w:id="43"/>
      <w:r>
        <w:rPr>
          <w:highlight w:val="none"/>
        </w:rPr>
      </w:r>
      <w:bookmarkEnd w:id="44"/>
      <w:r>
        <w:rPr>
          <w:highlight w:val="none"/>
        </w:rPr>
      </w:r>
      <w:r>
        <w:rPr>
          <w:highlight w:val="none"/>
        </w:rPr>
      </w:r>
    </w:p>
    <w:p>
      <w:pPr>
        <w:ind w:firstLine="630"/>
        <w:spacing w:line="420" w:lineRule="exact"/>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t xml:space="preserve">名    称：</w:t>
      </w:r>
      <w:r>
        <w:rPr>
          <w:rFonts w:hint="eastAsia" w:ascii="微软雅黑" w:hAnsi="微软雅黑" w:cs="微软雅黑"/>
          <w:bCs/>
          <w:color w:val="auto"/>
          <w:szCs w:val="21"/>
          <w:highlight w:val="none"/>
          <w:lang w:eastAsia="zh-CN"/>
        </w:rPr>
        <w:t xml:space="preserve">江苏中际招标代理有限公司</w:t>
      </w:r>
      <w:r>
        <w:rPr>
          <w:rFonts w:hint="eastAsia" w:ascii="微软雅黑" w:hAnsi="微软雅黑" w:cs="微软雅黑"/>
          <w:bCs/>
          <w:color w:val="auto"/>
          <w:szCs w:val="21"/>
          <w:highlight w:val="none"/>
        </w:rPr>
        <w:t xml:space="preserve">　　　　　　　</w:t>
      </w:r>
      <w:r>
        <w:rPr>
          <w:highlight w:val="none"/>
        </w:rPr>
      </w:r>
      <w:r>
        <w:rPr>
          <w:highlight w:val="none"/>
        </w:rPr>
      </w:r>
    </w:p>
    <w:p>
      <w:pPr>
        <w:ind w:firstLine="630"/>
        <w:spacing w:line="420" w:lineRule="exact"/>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t xml:space="preserve">地　　址：</w:t>
      </w:r>
      <w:r>
        <w:rPr>
          <w:rFonts w:hint="eastAsia" w:ascii="微软雅黑" w:hAnsi="微软雅黑" w:cs="微软雅黑"/>
          <w:bCs/>
          <w:color w:val="auto"/>
          <w:szCs w:val="21"/>
          <w:highlight w:val="none"/>
          <w:lang w:eastAsia="zh-CN"/>
        </w:rPr>
        <w:t xml:space="preserve">徐州市云龙区绿地商务城LOFT领海5#办公楼19层</w:t>
      </w:r>
      <w:r>
        <w:rPr>
          <w:rFonts w:hint="eastAsia" w:ascii="微软雅黑" w:hAnsi="微软雅黑" w:cs="微软雅黑"/>
          <w:bCs/>
          <w:color w:val="auto"/>
          <w:szCs w:val="21"/>
          <w:highlight w:val="none"/>
        </w:rPr>
        <w:t xml:space="preserve">　　　　　　　　　　　</w:t>
      </w:r>
      <w:r>
        <w:rPr>
          <w:highlight w:val="none"/>
        </w:rPr>
      </w:r>
      <w:r>
        <w:rPr>
          <w:highlight w:val="none"/>
        </w:rPr>
      </w:r>
    </w:p>
    <w:p>
      <w:pPr>
        <w:ind w:firstLine="630"/>
        <w:spacing w:line="420" w:lineRule="exact"/>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t xml:space="preserve">联系方式：</w:t>
      </w:r>
      <w:r>
        <w:rPr>
          <w:rFonts w:hint="eastAsia" w:ascii="微软雅黑" w:hAnsi="微软雅黑" w:cs="微软雅黑"/>
          <w:bCs/>
          <w:color w:val="auto"/>
          <w:szCs w:val="21"/>
          <w:highlight w:val="none"/>
          <w:lang w:eastAsia="zh-CN"/>
        </w:rPr>
        <w:t xml:space="preserve">0516-83200975</w:t>
      </w:r>
      <w:r>
        <w:rPr>
          <w:rFonts w:hint="eastAsia" w:ascii="微软雅黑" w:hAnsi="微软雅黑" w:cs="微软雅黑"/>
          <w:bCs/>
          <w:color w:val="auto"/>
          <w:szCs w:val="21"/>
          <w:highlight w:val="none"/>
        </w:rPr>
        <w:t xml:space="preserve">　　　　　　　  　　　</w:t>
      </w:r>
      <w:r>
        <w:rPr>
          <w:highlight w:val="none"/>
        </w:rPr>
      </w:r>
      <w:r>
        <w:rPr>
          <w:highlight w:val="none"/>
        </w:rPr>
      </w:r>
    </w:p>
    <w:p>
      <w:pPr>
        <w:ind w:firstLine="420"/>
        <w:spacing w:line="420" w:lineRule="exact"/>
        <w:rPr>
          <w:rFonts w:hint="eastAsia" w:ascii="微软雅黑" w:hAnsi="微软雅黑" w:cs="微软雅黑"/>
          <w:bCs/>
          <w:color w:val="auto"/>
          <w:szCs w:val="21"/>
          <w:highlight w:val="none"/>
        </w:rPr>
      </w:pPr>
      <w:r>
        <w:rPr>
          <w:highlight w:val="none"/>
        </w:rPr>
      </w:r>
      <w:bookmarkStart w:id="45" w:name="_Toc35393639"/>
      <w:r>
        <w:rPr>
          <w:highlight w:val="none"/>
        </w:rPr>
      </w:r>
      <w:bookmarkStart w:id="46" w:name="_Toc35393808"/>
      <w:r>
        <w:rPr>
          <w:highlight w:val="none"/>
        </w:rPr>
      </w:r>
      <w:bookmarkStart w:id="47" w:name="_Toc28359021"/>
      <w:r>
        <w:rPr>
          <w:highlight w:val="none"/>
        </w:rPr>
      </w:r>
      <w:bookmarkStart w:id="48" w:name="_Toc28359098"/>
      <w:r>
        <w:rPr>
          <w:rFonts w:hint="eastAsia" w:ascii="微软雅黑" w:hAnsi="微软雅黑" w:cs="微软雅黑"/>
          <w:bCs/>
          <w:color w:val="auto"/>
          <w:szCs w:val="21"/>
          <w:highlight w:val="none"/>
        </w:rPr>
        <w:t xml:space="preserve">3.项目联系方式</w:t>
      </w:r>
      <w:bookmarkEnd w:id="45"/>
      <w:r>
        <w:rPr>
          <w:highlight w:val="none"/>
        </w:rPr>
      </w:r>
      <w:bookmarkEnd w:id="46"/>
      <w:r>
        <w:rPr>
          <w:highlight w:val="none"/>
        </w:rPr>
      </w:r>
      <w:bookmarkEnd w:id="47"/>
      <w:r>
        <w:rPr>
          <w:highlight w:val="none"/>
        </w:rPr>
      </w:r>
      <w:bookmarkEnd w:id="48"/>
      <w:r>
        <w:rPr>
          <w:highlight w:val="none"/>
        </w:rPr>
      </w:r>
      <w:r>
        <w:rPr>
          <w:highlight w:val="none"/>
        </w:rPr>
      </w:r>
    </w:p>
    <w:p>
      <w:pPr>
        <w:pStyle w:val="1127"/>
        <w:ind w:firstLine="630"/>
        <w:spacing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bCs/>
          <w:color w:val="auto"/>
          <w:sz w:val="21"/>
          <w:szCs w:val="21"/>
          <w:highlight w:val="none"/>
        </w:rPr>
        <w:t xml:space="preserve">项目联系人：</w:t>
      </w:r>
      <w:r>
        <w:rPr>
          <w:rFonts w:hint="eastAsia" w:ascii="微软雅黑" w:hAnsi="微软雅黑" w:eastAsia="微软雅黑" w:cs="微软雅黑"/>
          <w:bCs/>
          <w:color w:val="auto"/>
          <w:sz w:val="21"/>
          <w:szCs w:val="21"/>
          <w:highlight w:val="none"/>
          <w:lang w:eastAsia="zh-CN"/>
        </w:rPr>
        <w:t xml:space="preserve">冯旭、彭翔宇</w:t>
      </w:r>
      <w:r>
        <w:rPr>
          <w:rFonts w:hint="eastAsia" w:ascii="微软雅黑" w:hAnsi="微软雅黑" w:eastAsia="微软雅黑" w:cs="微软雅黑"/>
          <w:color w:val="auto"/>
          <w:sz w:val="21"/>
          <w:szCs w:val="21"/>
          <w:highlight w:val="none"/>
        </w:rPr>
        <w:t xml:space="preserve">       </w:t>
      </w:r>
      <w:r>
        <w:rPr>
          <w:highlight w:val="none"/>
        </w:rPr>
      </w:r>
      <w:r>
        <w:rPr>
          <w:highlight w:val="none"/>
        </w:rPr>
      </w:r>
    </w:p>
    <w:p>
      <w:pPr>
        <w:ind w:firstLine="735"/>
        <w:spacing w:line="440" w:lineRule="exact"/>
        <w:rPr>
          <w:rFonts w:hint="eastAsia" w:ascii="微软雅黑" w:hAnsi="微软雅黑" w:eastAsia="微软雅黑" w:cs="微软雅黑"/>
          <w:color w:val="auto"/>
          <w:highlight w:val="none"/>
        </w:rPr>
      </w:pPr>
      <w:r>
        <w:rPr>
          <w:rFonts w:hint="eastAsia" w:ascii="微软雅黑" w:hAnsi="微软雅黑" w:cs="微软雅黑"/>
          <w:color w:val="auto"/>
          <w:szCs w:val="21"/>
          <w:highlight w:val="none"/>
        </w:rPr>
        <w:t xml:space="preserve">电　　 话：</w:t>
      </w:r>
      <w:r>
        <w:rPr>
          <w:rFonts w:hint="eastAsia" w:ascii="微软雅黑" w:hAnsi="微软雅黑" w:cs="微软雅黑"/>
          <w:color w:val="auto"/>
          <w:szCs w:val="21"/>
          <w:highlight w:val="none"/>
          <w:lang w:eastAsia="zh-CN"/>
        </w:rPr>
        <w:t xml:space="preserve">0516-83200975</w:t>
      </w:r>
      <w:r>
        <w:rPr>
          <w:highlight w:val="none"/>
        </w:rPr>
      </w:r>
      <w:r>
        <w:rPr>
          <w:highlight w:val="none"/>
        </w:rPr>
      </w:r>
    </w:p>
    <w:p>
      <w:pPr>
        <w:pStyle w:val="1089"/>
        <w:rPr>
          <w:rFonts w:ascii="微软雅黑" w:hAnsi="微软雅黑" w:eastAsia="微软雅黑" w:cs="微软雅黑"/>
          <w:color w:val="auto"/>
          <w:highlight w:val="none"/>
        </w:rPr>
      </w:pPr>
      <w:r>
        <w:rPr>
          <w:rFonts w:ascii="微软雅黑" w:hAnsi="微软雅黑" w:eastAsia="微软雅黑" w:cs="微软雅黑"/>
          <w:color w:val="auto"/>
          <w:highlight w:val="none"/>
        </w:rPr>
      </w:r>
      <w:r>
        <w:rPr>
          <w:highlight w:val="none"/>
        </w:rPr>
      </w:r>
      <w:r>
        <w:rPr>
          <w:highlight w:val="none"/>
        </w:rPr>
      </w:r>
    </w:p>
    <w:p>
      <w:pPr>
        <w:ind w:firstLine="735"/>
        <w:jc w:val="right"/>
        <w:spacing w:line="440" w:lineRule="exact"/>
        <w:rPr>
          <w:rFonts w:ascii="微软雅黑" w:hAnsi="微软雅黑" w:cs="微软雅黑"/>
          <w:color w:val="auto"/>
          <w:highlight w:val="none"/>
        </w:rPr>
      </w:pPr>
      <w:r>
        <w:rPr>
          <w:rFonts w:ascii="微软雅黑" w:hAnsi="微软雅黑" w:cs="微软雅黑"/>
          <w:color w:val="auto"/>
          <w:highlight w:val="none"/>
        </w:rPr>
      </w:r>
      <w:bookmarkEnd w:id="2"/>
      <w:r>
        <w:rPr>
          <w:highlight w:val="none"/>
        </w:rPr>
      </w:r>
      <w:r>
        <w:rPr>
          <w:highlight w:val="none"/>
        </w:rPr>
      </w:r>
    </w:p>
    <w:p>
      <w:pPr>
        <w:pStyle w:val="1087"/>
        <w:jc w:val="center"/>
        <w:rPr>
          <w:rFonts w:hint="eastAsia" w:ascii="微软雅黑" w:hAnsi="微软雅黑" w:cs="微软雅黑"/>
          <w:color w:val="auto"/>
          <w:highlight w:val="none"/>
        </w:rPr>
      </w:pPr>
      <w:r>
        <w:rPr>
          <w:highlight w:val="none"/>
        </w:rPr>
      </w:r>
      <w:bookmarkStart w:id="49" w:name="_Toc27573"/>
      <w:r>
        <w:rPr>
          <w:rFonts w:hint="eastAsia" w:ascii="微软雅黑" w:hAnsi="微软雅黑" w:cs="微软雅黑"/>
          <w:color w:val="auto"/>
          <w:highlight w:val="none"/>
          <w:lang w:eastAsia="zh-CN"/>
        </w:rPr>
        <w:t xml:space="preserve">第二章</w:t>
      </w:r>
      <w:r>
        <w:rPr>
          <w:rFonts w:hint="eastAsia" w:ascii="微软雅黑" w:hAnsi="微软雅黑" w:cs="微软雅黑"/>
          <w:color w:val="auto"/>
          <w:highlight w:val="none"/>
        </w:rPr>
        <w:t xml:space="preserve"> </w:t>
      </w:r>
      <w:bookmarkStart w:id="50" w:name="_Toc28947"/>
      <w:r>
        <w:rPr>
          <w:rFonts w:hint="eastAsia" w:ascii="微软雅黑" w:hAnsi="微软雅黑" w:cs="微软雅黑"/>
          <w:color w:val="auto"/>
          <w:highlight w:val="none"/>
        </w:rPr>
        <w:t xml:space="preserve">供应商须知</w:t>
      </w:r>
      <w:bookmarkEnd w:id="49"/>
      <w:r>
        <w:rPr>
          <w:highlight w:val="none"/>
        </w:rPr>
      </w:r>
      <w:bookmarkEnd w:id="50"/>
      <w:r>
        <w:rPr>
          <w:highlight w:val="none"/>
        </w:rPr>
      </w:r>
      <w:r>
        <w:rPr>
          <w:highlight w:val="none"/>
        </w:rPr>
      </w:r>
    </w:p>
    <w:p>
      <w:pPr>
        <w:jc w:val="left"/>
        <w:widowControl/>
        <w:rPr>
          <w:rFonts w:hint="eastAsia" w:ascii="微软雅黑" w:hAnsi="微软雅黑" w:cs="微软雅黑"/>
          <w:b/>
          <w:bCs/>
          <w:color w:val="auto"/>
          <w:sz w:val="24"/>
          <w:szCs w:val="24"/>
          <w:highlight w:val="none"/>
        </w:rPr>
      </w:pPr>
      <w:r>
        <w:rPr>
          <w:rFonts w:hint="eastAsia" w:ascii="微软雅黑" w:hAnsi="微软雅黑" w:cs="微软雅黑"/>
          <w:b/>
          <w:bCs/>
          <w:color w:val="auto"/>
          <w:sz w:val="24"/>
          <w:szCs w:val="24"/>
          <w:highlight w:val="none"/>
        </w:rPr>
        <w:t xml:space="preserve">供应商须知前附表</w:t>
      </w:r>
      <w:r>
        <w:rPr>
          <w:rFonts w:hint="eastAsia" w:ascii="微软雅黑" w:hAnsi="微软雅黑" w:cs="微软雅黑"/>
          <w:b/>
          <w:bCs/>
          <w:color w:val="auto"/>
          <w:sz w:val="24"/>
          <w:szCs w:val="24"/>
          <w:highlight w:val="none"/>
          <w:lang w:bidi="ar"/>
        </w:rPr>
        <w:t xml:space="preserve">（采购文件中与此表内容表述不一致部分，以此表内容为准）</w:t>
      </w:r>
      <w:r>
        <w:rPr>
          <w:highlight w:val="none"/>
        </w:rPr>
      </w:r>
      <w:r>
        <w:rPr>
          <w:highlight w:val="none"/>
        </w:rPr>
      </w:r>
    </w:p>
    <w:tbl>
      <w:tblPr>
        <w:tblStyle w:val="9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289"/>
        <w:gridCol w:w="6583"/>
      </w:tblGrid>
      <w:tr>
        <w:trPr>
          <w:jc w:val="center"/>
          <w:trHeight w:val="734"/>
        </w:trPr>
        <w:tc>
          <w:tcPr>
            <w:tcW w:w="650" w:type="dxa"/>
            <w:vAlign w:val="center"/>
            <w:textDirection w:val="lrTb"/>
            <w:noWrap w:val="false"/>
          </w:tcPr>
          <w:p>
            <w:pPr>
              <w:jc w:val="center"/>
              <w:spacing w:line="44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序号</w:t>
            </w:r>
            <w:r>
              <w:rPr>
                <w:highlight w:val="none"/>
              </w:rPr>
            </w:r>
            <w:r>
              <w:rPr>
                <w:highlight w:val="none"/>
              </w:rPr>
            </w:r>
          </w:p>
        </w:tc>
        <w:tc>
          <w:tcPr>
            <w:tcW w:w="1289" w:type="dxa"/>
            <w:vAlign w:val="center"/>
            <w:textDirection w:val="lrTb"/>
            <w:noWrap w:val="false"/>
          </w:tcPr>
          <w:p>
            <w:pPr>
              <w:jc w:val="center"/>
              <w:spacing w:line="44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项目</w:t>
            </w:r>
            <w:r>
              <w:rPr>
                <w:highlight w:val="none"/>
              </w:rPr>
            </w:r>
            <w:r>
              <w:rPr>
                <w:highlight w:val="none"/>
              </w:rPr>
            </w:r>
          </w:p>
        </w:tc>
        <w:tc>
          <w:tcPr>
            <w:tcW w:w="6583" w:type="dxa"/>
            <w:vAlign w:val="center"/>
            <w:textDirection w:val="lrTb"/>
            <w:noWrap w:val="false"/>
          </w:tcPr>
          <w:p>
            <w:pPr>
              <w:jc w:val="center"/>
              <w:spacing w:line="44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具 体 内  容</w:t>
            </w:r>
            <w:r>
              <w:rPr>
                <w:highlight w:val="none"/>
              </w:rPr>
            </w:r>
            <w:r>
              <w:rPr>
                <w:highlight w:val="none"/>
              </w:rPr>
            </w:r>
          </w:p>
        </w:tc>
      </w:tr>
      <w:tr>
        <w:trPr>
          <w:jc w:val="center"/>
          <w:trHeight w:val="604"/>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w:t>
            </w:r>
            <w:r>
              <w:rPr>
                <w:highlight w:val="none"/>
              </w:rPr>
            </w:r>
            <w:r>
              <w:rPr>
                <w:highlight w:val="none"/>
              </w:rPr>
            </w:r>
          </w:p>
        </w:tc>
        <w:tc>
          <w:tcPr>
            <w:tcW w:w="1289"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项目名称</w:t>
            </w:r>
            <w:r>
              <w:rPr>
                <w:highlight w:val="none"/>
              </w:rPr>
            </w:r>
            <w:r>
              <w:rPr>
                <w:highlight w:val="none"/>
              </w:rPr>
            </w:r>
          </w:p>
        </w:tc>
        <w:tc>
          <w:tcPr>
            <w:tcW w:w="6583" w:type="dxa"/>
            <w:vAlign w:val="center"/>
            <w:textDirection w:val="lrTb"/>
            <w:noWrap w:val="false"/>
          </w:tcPr>
          <w:p>
            <w:pPr>
              <w:spacing w:line="440" w:lineRule="exact"/>
              <w:rPr>
                <w:rFonts w:hint="eastAsia" w:ascii="微软雅黑" w:hAnsi="微软雅黑" w:eastAsia="微软雅黑" w:cs="微软雅黑"/>
                <w:color w:val="auto"/>
                <w:szCs w:val="21"/>
                <w:highlight w:val="none"/>
              </w:rPr>
            </w:pPr>
            <w:r>
              <w:rPr>
                <w:rFonts w:hint="eastAsia" w:ascii="微软雅黑" w:hAnsi="微软雅黑" w:cs="微软雅黑"/>
                <w:color w:val="auto"/>
                <w:szCs w:val="21"/>
                <w:highlight w:val="none"/>
                <w:lang w:eastAsia="zh-CN"/>
              </w:rPr>
              <w:t xml:space="preserve">徐医附院肝癌诊疗系统项目</w:t>
            </w:r>
            <w:r>
              <w:rPr>
                <w:highlight w:val="none"/>
              </w:rPr>
            </w:r>
            <w:r>
              <w:rPr>
                <w:highlight w:val="none"/>
              </w:rPr>
            </w:r>
          </w:p>
        </w:tc>
      </w:tr>
      <w:tr>
        <w:trPr>
          <w:jc w:val="center"/>
          <w:trHeight w:val="521"/>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w:t>
            </w:r>
            <w:r>
              <w:rPr>
                <w:highlight w:val="none"/>
              </w:rPr>
            </w:r>
            <w:r>
              <w:rPr>
                <w:highlight w:val="none"/>
              </w:rPr>
            </w:r>
          </w:p>
        </w:tc>
        <w:tc>
          <w:tcPr>
            <w:tcW w:w="1289"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项目编号</w:t>
            </w:r>
            <w:r>
              <w:rPr>
                <w:highlight w:val="none"/>
              </w:rPr>
            </w:r>
            <w:r>
              <w:rPr>
                <w:highlight w:val="none"/>
              </w:rPr>
            </w:r>
          </w:p>
        </w:tc>
        <w:tc>
          <w:tcPr>
            <w:tcW w:w="6583" w:type="dxa"/>
            <w:vAlign w:val="center"/>
            <w:textDirection w:val="lrTb"/>
            <w:noWrap w:val="false"/>
          </w:tcPr>
          <w:p>
            <w:pPr>
              <w:spacing w:line="420" w:lineRule="exact"/>
              <w:rPr>
                <w:rFonts w:hint="eastAsia" w:ascii="微软雅黑" w:hAnsi="微软雅黑" w:eastAsia="微软雅黑" w:cs="微软雅黑"/>
                <w:color w:val="auto"/>
                <w:szCs w:val="21"/>
                <w:highlight w:val="none"/>
              </w:rPr>
            </w:pPr>
            <w:r>
              <w:rPr>
                <w:rFonts w:hint="eastAsia" w:ascii="微软雅黑" w:hAnsi="微软雅黑" w:cs="微软雅黑"/>
                <w:color w:val="auto"/>
                <w:szCs w:val="21"/>
                <w:highlight w:val="none"/>
              </w:rPr>
              <w:t xml:space="preserve">项目编号：</w:t>
            </w:r>
            <w:r>
              <w:rPr>
                <w:rFonts w:hint="eastAsia" w:ascii="微软雅黑" w:hAnsi="微软雅黑" w:cs="微软雅黑"/>
                <w:color w:val="auto"/>
                <w:szCs w:val="21"/>
                <w:highlight w:val="none"/>
                <w:lang w:eastAsia="zh-CN"/>
              </w:rPr>
              <w:t xml:space="preserve">JSZC-320000-ZJZB-G2026-0129</w:t>
            </w:r>
            <w:r>
              <w:rPr>
                <w:highlight w:val="none"/>
              </w:rPr>
            </w:r>
            <w:r>
              <w:rPr>
                <w:highlight w:val="none"/>
              </w:rPr>
            </w:r>
          </w:p>
          <w:p>
            <w:pPr>
              <w:spacing w:line="420" w:lineRule="exact"/>
              <w:rPr>
                <w:rFonts w:hint="eastAsia" w:ascii="微软雅黑" w:hAnsi="微软雅黑" w:eastAsia="微软雅黑" w:cs="微软雅黑"/>
                <w:color w:val="auto"/>
                <w:szCs w:val="21"/>
                <w:highlight w:val="none"/>
              </w:rPr>
            </w:pPr>
            <w:r>
              <w:rPr>
                <w:rFonts w:hint="eastAsia" w:ascii="微软雅黑" w:hAnsi="微软雅黑" w:cs="微软雅黑"/>
                <w:color w:val="auto"/>
                <w:szCs w:val="21"/>
                <w:highlight w:val="none"/>
                <w:lang w:eastAsia="zh-CN"/>
              </w:rPr>
              <w:t xml:space="preserve">代理机构内部编号：徐采公（2026）JSZJ096</w:t>
            </w:r>
            <w:r>
              <w:rPr>
                <w:highlight w:val="none"/>
              </w:rPr>
            </w:r>
            <w:r>
              <w:rPr>
                <w:highlight w:val="none"/>
              </w:rPr>
            </w:r>
          </w:p>
        </w:tc>
      </w:tr>
      <w:tr>
        <w:trPr>
          <w:jc w:val="center"/>
          <w:trHeight w:val="521"/>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w:t>
            </w:r>
            <w:r>
              <w:rPr>
                <w:highlight w:val="none"/>
              </w:rPr>
            </w:r>
            <w:r>
              <w:rPr>
                <w:highlight w:val="none"/>
              </w:rPr>
            </w:r>
          </w:p>
        </w:tc>
        <w:tc>
          <w:tcPr>
            <w:tcW w:w="1289"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采购方式</w:t>
            </w:r>
            <w:r>
              <w:rPr>
                <w:highlight w:val="none"/>
              </w:rPr>
            </w:r>
            <w:r>
              <w:rPr>
                <w:highlight w:val="none"/>
              </w:rPr>
            </w:r>
          </w:p>
        </w:tc>
        <w:tc>
          <w:tcPr>
            <w:tcW w:w="6583" w:type="dxa"/>
            <w:vAlign w:val="center"/>
            <w:textDirection w:val="lrTb"/>
            <w:noWrap w:val="false"/>
          </w:tcPr>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公开招标</w:t>
            </w:r>
            <w:r>
              <w:rPr>
                <w:highlight w:val="none"/>
              </w:rPr>
            </w:r>
            <w:r>
              <w:rPr>
                <w:highlight w:val="none"/>
              </w:rPr>
            </w:r>
          </w:p>
        </w:tc>
      </w:tr>
      <w:tr>
        <w:trPr>
          <w:jc w:val="center"/>
          <w:trHeight w:val="588"/>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w:t>
            </w:r>
            <w:r>
              <w:rPr>
                <w:highlight w:val="none"/>
              </w:rPr>
            </w:r>
            <w:r>
              <w:rPr>
                <w:highlight w:val="none"/>
              </w:rPr>
            </w:r>
          </w:p>
        </w:tc>
        <w:tc>
          <w:tcPr>
            <w:tcW w:w="1289"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资金来源</w:t>
            </w:r>
            <w:r>
              <w:rPr>
                <w:highlight w:val="none"/>
              </w:rPr>
            </w:r>
            <w:r>
              <w:rPr>
                <w:highlight w:val="none"/>
              </w:rPr>
            </w:r>
          </w:p>
        </w:tc>
        <w:tc>
          <w:tcPr>
            <w:tcW w:w="6583" w:type="dxa"/>
            <w:vAlign w:val="center"/>
            <w:textDirection w:val="lrTb"/>
            <w:noWrap w:val="false"/>
          </w:tcPr>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财政性资金</w:t>
            </w:r>
            <w:r>
              <w:rPr>
                <w:highlight w:val="none"/>
              </w:rPr>
            </w:r>
            <w:r>
              <w:rPr>
                <w:highlight w:val="none"/>
              </w:rPr>
            </w:r>
          </w:p>
        </w:tc>
      </w:tr>
      <w:tr>
        <w:trPr>
          <w:jc w:val="center"/>
          <w:trHeight w:val="589"/>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w:t>
            </w:r>
            <w:r>
              <w:rPr>
                <w:highlight w:val="none"/>
              </w:rPr>
            </w:r>
            <w:r>
              <w:rPr>
                <w:highlight w:val="none"/>
              </w:rPr>
            </w:r>
          </w:p>
        </w:tc>
        <w:tc>
          <w:tcPr>
            <w:tcW w:w="1289"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预算金额</w:t>
            </w:r>
            <w:r>
              <w:rPr>
                <w:highlight w:val="none"/>
              </w:rPr>
            </w:r>
            <w:r>
              <w:rPr>
                <w:highlight w:val="none"/>
              </w:rPr>
            </w:r>
          </w:p>
        </w:tc>
        <w:tc>
          <w:tcPr>
            <w:tcW w:w="6583" w:type="dxa"/>
            <w:vAlign w:val="center"/>
            <w:textDirection w:val="lrTb"/>
            <w:noWrap w:val="false"/>
          </w:tcPr>
          <w:p>
            <w:pPr>
              <w:spacing w:line="440" w:lineRule="exact"/>
              <w:rPr>
                <w:rFonts w:hint="eastAsia" w:ascii="微软雅黑" w:hAnsi="微软雅黑" w:eastAsia="微软雅黑" w:cs="微软雅黑"/>
                <w:color w:val="auto"/>
                <w:highlight w:val="none"/>
              </w:rPr>
            </w:pPr>
            <w:r>
              <w:rPr>
                <w:rFonts w:hint="eastAsia" w:ascii="微软雅黑" w:hAnsi="微软雅黑" w:cs="微软雅黑"/>
                <w:color w:val="auto"/>
                <w:szCs w:val="21"/>
                <w:highlight w:val="none"/>
              </w:rPr>
              <w:t xml:space="preserve">人民币</w:t>
            </w:r>
            <w:r>
              <w:rPr>
                <w:rFonts w:hint="eastAsia" w:ascii="微软雅黑" w:hAnsi="微软雅黑" w:cs="微软雅黑"/>
                <w:color w:val="auto"/>
                <w:szCs w:val="21"/>
                <w:highlight w:val="none"/>
                <w:lang w:eastAsia="zh-CN"/>
              </w:rPr>
              <w:t xml:space="preserve">壹佰万元整</w:t>
            </w:r>
            <w:r>
              <w:rPr>
                <w:rFonts w:hint="eastAsia" w:ascii="微软雅黑" w:hAnsi="微软雅黑" w:cs="微软雅黑"/>
                <w:color w:val="auto"/>
                <w:szCs w:val="21"/>
                <w:highlight w:val="none"/>
              </w:rPr>
              <w:t xml:space="preserve">（￥</w:t>
            </w:r>
            <w:r>
              <w:rPr>
                <w:rFonts w:hint="eastAsia" w:ascii="微软雅黑" w:hAnsi="微软雅黑" w:cs="微软雅黑"/>
                <w:color w:val="auto"/>
                <w:szCs w:val="21"/>
                <w:highlight w:val="none"/>
                <w:lang w:eastAsia="zh-CN"/>
              </w:rPr>
              <w:t xml:space="preserve">1,000,000.00</w:t>
            </w:r>
            <w:r>
              <w:rPr>
                <w:rFonts w:hint="eastAsia" w:ascii="微软雅黑" w:hAnsi="微软雅黑" w:cs="微软雅黑"/>
                <w:color w:val="auto"/>
                <w:szCs w:val="21"/>
                <w:highlight w:val="none"/>
              </w:rPr>
              <w:t xml:space="preserve">）</w:t>
            </w:r>
            <w:r>
              <w:rPr>
                <w:highlight w:val="none"/>
              </w:rPr>
            </w:r>
            <w:r>
              <w:rPr>
                <w:highlight w:val="none"/>
              </w:rPr>
            </w:r>
          </w:p>
        </w:tc>
      </w:tr>
      <w:tr>
        <w:trPr>
          <w:jc w:val="center"/>
          <w:trHeight w:val="589"/>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6</w:t>
            </w:r>
            <w:r>
              <w:rPr>
                <w:highlight w:val="none"/>
              </w:rPr>
            </w:r>
            <w:r>
              <w:rPr>
                <w:highlight w:val="none"/>
              </w:rPr>
            </w:r>
          </w:p>
        </w:tc>
        <w:tc>
          <w:tcPr>
            <w:tcW w:w="1289"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最高限价</w:t>
            </w:r>
            <w:r>
              <w:rPr>
                <w:highlight w:val="none"/>
              </w:rPr>
            </w:r>
            <w:r>
              <w:rPr>
                <w:highlight w:val="none"/>
              </w:rPr>
            </w:r>
          </w:p>
        </w:tc>
        <w:tc>
          <w:tcPr>
            <w:tcW w:w="6583" w:type="dxa"/>
            <w:vAlign w:val="center"/>
            <w:textDirection w:val="lrTb"/>
            <w:noWrap w:val="false"/>
          </w:tcPr>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人民币</w:t>
            </w:r>
            <w:r>
              <w:rPr>
                <w:rFonts w:hint="eastAsia" w:ascii="微软雅黑" w:hAnsi="微软雅黑" w:cs="微软雅黑"/>
                <w:color w:val="auto"/>
                <w:szCs w:val="21"/>
                <w:highlight w:val="none"/>
                <w:lang w:eastAsia="zh-CN"/>
              </w:rPr>
              <w:t xml:space="preserve">壹佰万元整</w:t>
            </w:r>
            <w:r>
              <w:rPr>
                <w:rFonts w:hint="eastAsia" w:ascii="微软雅黑" w:hAnsi="微软雅黑" w:cs="微软雅黑"/>
                <w:color w:val="auto"/>
                <w:szCs w:val="21"/>
                <w:highlight w:val="none"/>
              </w:rPr>
              <w:t xml:space="preserve">（￥</w:t>
            </w:r>
            <w:r>
              <w:rPr>
                <w:rFonts w:hint="eastAsia" w:ascii="微软雅黑" w:hAnsi="微软雅黑" w:cs="微软雅黑"/>
                <w:color w:val="auto"/>
                <w:szCs w:val="21"/>
                <w:highlight w:val="none"/>
                <w:lang w:eastAsia="zh-CN"/>
              </w:rPr>
              <w:t xml:space="preserve">1,000,000.00</w:t>
            </w:r>
            <w:r>
              <w:rPr>
                <w:rFonts w:hint="eastAsia" w:ascii="微软雅黑" w:hAnsi="微软雅黑" w:cs="微软雅黑"/>
                <w:color w:val="auto"/>
                <w:szCs w:val="21"/>
                <w:highlight w:val="none"/>
              </w:rPr>
              <w:t xml:space="preserve">）</w:t>
            </w:r>
            <w:r>
              <w:rPr>
                <w:highlight w:val="none"/>
              </w:rPr>
            </w:r>
            <w:r>
              <w:rPr>
                <w:highlight w:val="none"/>
              </w:rPr>
            </w:r>
          </w:p>
        </w:tc>
      </w:tr>
      <w:tr>
        <w:trPr>
          <w:jc w:val="center"/>
          <w:trHeight w:val="533"/>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7</w:t>
            </w:r>
            <w:r>
              <w:rPr>
                <w:highlight w:val="none"/>
              </w:rPr>
            </w:r>
            <w:r>
              <w:rPr>
                <w:highlight w:val="none"/>
              </w:rPr>
            </w:r>
          </w:p>
        </w:tc>
        <w:tc>
          <w:tcPr>
            <w:tcW w:w="1289"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分包</w:t>
            </w:r>
            <w:r>
              <w:rPr>
                <w:highlight w:val="none"/>
              </w:rPr>
            </w:r>
            <w:r>
              <w:rPr>
                <w:highlight w:val="none"/>
              </w:rPr>
            </w:r>
          </w:p>
        </w:tc>
        <w:tc>
          <w:tcPr>
            <w:tcW w:w="6583"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无</w:t>
            </w:r>
            <w:r>
              <w:rPr>
                <w:highlight w:val="none"/>
              </w:rPr>
            </w:r>
            <w:r>
              <w:rPr>
                <w:highlight w:val="none"/>
              </w:rPr>
            </w:r>
          </w:p>
        </w:tc>
      </w:tr>
      <w:tr>
        <w:trPr>
          <w:jc w:val="center"/>
          <w:trHeight w:val="1269"/>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8</w:t>
            </w:r>
            <w:r>
              <w:rPr>
                <w:highlight w:val="none"/>
              </w:rPr>
            </w:r>
            <w:r>
              <w:rPr>
                <w:highlight w:val="none"/>
              </w:rPr>
            </w:r>
          </w:p>
        </w:tc>
        <w:tc>
          <w:tcPr>
            <w:tcW w:w="1289"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采购人</w:t>
            </w:r>
            <w:r>
              <w:rPr>
                <w:highlight w:val="none"/>
              </w:rPr>
            </w:r>
            <w:r>
              <w:rPr>
                <w:highlight w:val="none"/>
              </w:rPr>
            </w:r>
          </w:p>
        </w:tc>
        <w:tc>
          <w:tcPr>
            <w:tcW w:w="6583" w:type="dxa"/>
            <w:vAlign w:val="center"/>
            <w:textDirection w:val="lrTb"/>
            <w:noWrap w:val="false"/>
          </w:tcPr>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单位名称：</w:t>
            </w:r>
            <w:r>
              <w:rPr>
                <w:rFonts w:hint="eastAsia" w:ascii="微软雅黑" w:hAnsi="微软雅黑" w:cs="微软雅黑"/>
                <w:bCs/>
                <w:color w:val="auto"/>
                <w:szCs w:val="21"/>
                <w:highlight w:val="none"/>
                <w:lang w:eastAsia="zh-CN"/>
              </w:rPr>
              <w:t xml:space="preserve">徐州医科大学附属医院</w:t>
            </w:r>
            <w:r>
              <w:rPr>
                <w:highlight w:val="none"/>
              </w:rPr>
            </w:r>
            <w:r>
              <w:rPr>
                <w:highlight w:val="none"/>
              </w:rPr>
            </w:r>
          </w:p>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联系人：</w:t>
            </w:r>
            <w:r>
              <w:rPr>
                <w:rFonts w:hint="eastAsia" w:ascii="微软雅黑" w:hAnsi="微软雅黑" w:cs="微软雅黑"/>
                <w:bCs/>
                <w:color w:val="auto"/>
                <w:szCs w:val="21"/>
                <w:highlight w:val="none"/>
                <w:lang w:eastAsia="zh-CN"/>
              </w:rPr>
              <w:t xml:space="preserve">陈老师</w:t>
            </w:r>
            <w:r>
              <w:rPr>
                <w:rFonts w:hint="eastAsia" w:ascii="微软雅黑" w:hAnsi="微软雅黑" w:cs="微软雅黑"/>
                <w:bCs/>
                <w:color w:val="auto"/>
                <w:szCs w:val="21"/>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szCs w:val="21"/>
                <w:highlight w:val="none"/>
              </w:rPr>
              <w:t xml:space="preserve">                  </w:t>
            </w:r>
            <w:r>
              <w:rPr>
                <w:highlight w:val="none"/>
              </w:rPr>
            </w:r>
            <w:r>
              <w:rPr>
                <w:highlight w:val="none"/>
              </w:rPr>
            </w:r>
          </w:p>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联系电话：</w:t>
            </w:r>
            <w:r>
              <w:rPr>
                <w:rFonts w:hint="eastAsia" w:ascii="微软雅黑" w:hAnsi="微软雅黑" w:cs="微软雅黑"/>
                <w:bCs/>
                <w:color w:val="auto"/>
                <w:szCs w:val="21"/>
                <w:highlight w:val="none"/>
                <w:lang w:val="en-US" w:eastAsia="zh-CN"/>
              </w:rPr>
              <w:t xml:space="preserve">0516-85806002</w:t>
            </w:r>
            <w:r>
              <w:rPr>
                <w:highlight w:val="none"/>
              </w:rPr>
            </w:r>
            <w:r>
              <w:rPr>
                <w:highlight w:val="none"/>
              </w:rPr>
            </w:r>
          </w:p>
        </w:tc>
      </w:tr>
      <w:tr>
        <w:trPr>
          <w:jc w:val="center"/>
          <w:trHeight w:val="1303"/>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9</w:t>
            </w:r>
            <w:r>
              <w:rPr>
                <w:highlight w:val="none"/>
              </w:rPr>
            </w:r>
            <w:r>
              <w:rPr>
                <w:highlight w:val="none"/>
              </w:rPr>
            </w:r>
          </w:p>
        </w:tc>
        <w:tc>
          <w:tcPr>
            <w:tcW w:w="1289"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采购代理机构</w:t>
            </w:r>
            <w:r>
              <w:rPr>
                <w:highlight w:val="none"/>
              </w:rPr>
            </w:r>
            <w:r>
              <w:rPr>
                <w:highlight w:val="none"/>
              </w:rPr>
            </w:r>
          </w:p>
        </w:tc>
        <w:tc>
          <w:tcPr>
            <w:tcW w:w="6583" w:type="dxa"/>
            <w:vAlign w:val="center"/>
            <w:textDirection w:val="lrTb"/>
            <w:noWrap w:val="false"/>
          </w:tcPr>
          <w:p>
            <w:pPr>
              <w:spacing w:line="400" w:lineRule="exact"/>
              <w:rPr>
                <w:rFonts w:hint="eastAsia" w:ascii="微软雅黑" w:hAnsi="微软雅黑" w:eastAsia="微软雅黑" w:cs="微软雅黑"/>
                <w:color w:val="auto"/>
                <w:szCs w:val="21"/>
                <w:highlight w:val="none"/>
              </w:rPr>
            </w:pPr>
            <w:r>
              <w:rPr>
                <w:rFonts w:hint="eastAsia" w:ascii="微软雅黑" w:hAnsi="微软雅黑" w:cs="微软雅黑"/>
                <w:color w:val="auto"/>
                <w:szCs w:val="21"/>
                <w:highlight w:val="none"/>
                <w:lang w:eastAsia="zh-CN"/>
              </w:rPr>
              <w:t xml:space="preserve">江苏中际招标代理有限公司</w:t>
            </w:r>
            <w:r>
              <w:rPr>
                <w:highlight w:val="none"/>
              </w:rPr>
            </w:r>
            <w:r>
              <w:rPr>
                <w:highlight w:val="none"/>
              </w:rPr>
            </w:r>
          </w:p>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项目负责人：</w:t>
            </w:r>
            <w:r>
              <w:rPr>
                <w:rFonts w:hint="eastAsia" w:ascii="微软雅黑" w:hAnsi="微软雅黑" w:cs="微软雅黑"/>
                <w:bCs/>
                <w:color w:val="auto"/>
                <w:sz w:val="21"/>
                <w:szCs w:val="21"/>
                <w:highlight w:val="none"/>
                <w:lang w:eastAsia="zh-CN"/>
              </w:rPr>
              <w:t xml:space="preserve">冯旭、彭翔宇</w:t>
            </w:r>
            <w:r>
              <w:rPr>
                <w:rFonts w:hint="eastAsia" w:ascii="微软雅黑" w:hAnsi="微软雅黑" w:cs="微软雅黑"/>
                <w:color w:val="auto"/>
                <w:szCs w:val="21"/>
                <w:highlight w:val="none"/>
              </w:rPr>
              <w:t xml:space="preserve">      </w:t>
            </w:r>
            <w:r>
              <w:rPr>
                <w:highlight w:val="none"/>
              </w:rPr>
            </w:r>
            <w:r>
              <w:rPr>
                <w:highlight w:val="none"/>
              </w:rPr>
            </w:r>
          </w:p>
          <w:p>
            <w:pPr>
              <w:spacing w:line="400" w:lineRule="exact"/>
              <w:rPr>
                <w:rFonts w:hint="eastAsia" w:ascii="微软雅黑" w:hAnsi="微软雅黑" w:eastAsia="微软雅黑" w:cs="微软雅黑"/>
                <w:color w:val="auto"/>
                <w:szCs w:val="21"/>
                <w:highlight w:val="none"/>
              </w:rPr>
            </w:pPr>
            <w:r>
              <w:rPr>
                <w:rFonts w:hint="eastAsia" w:ascii="微软雅黑" w:hAnsi="微软雅黑" w:cs="微软雅黑"/>
                <w:color w:val="auto"/>
                <w:szCs w:val="21"/>
                <w:highlight w:val="none"/>
              </w:rPr>
              <w:t xml:space="preserve">联系电话：</w:t>
            </w:r>
            <w:r>
              <w:rPr>
                <w:rFonts w:hint="eastAsia" w:ascii="微软雅黑" w:hAnsi="微软雅黑" w:cs="微软雅黑"/>
                <w:color w:val="auto"/>
                <w:szCs w:val="21"/>
                <w:highlight w:val="none"/>
                <w:lang w:eastAsia="zh-CN"/>
              </w:rPr>
              <w:t xml:space="preserve">0516-83200975</w:t>
            </w:r>
            <w:r>
              <w:rPr>
                <w:highlight w:val="none"/>
              </w:rPr>
            </w:r>
            <w:r>
              <w:rPr>
                <w:highlight w:val="none"/>
              </w:rPr>
            </w:r>
          </w:p>
        </w:tc>
      </w:tr>
      <w:tr>
        <w:trPr>
          <w:jc w:val="center"/>
          <w:trHeight w:val="572"/>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10</w:t>
            </w:r>
            <w:r>
              <w:rPr>
                <w:highlight w:val="none"/>
              </w:rPr>
            </w:r>
            <w:r>
              <w:rPr>
                <w:highlight w:val="none"/>
              </w:rPr>
            </w:r>
          </w:p>
        </w:tc>
        <w:tc>
          <w:tcPr>
            <w:tcW w:w="1289"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投标保证金</w:t>
            </w:r>
            <w:r>
              <w:rPr>
                <w:highlight w:val="none"/>
              </w:rPr>
            </w:r>
            <w:r>
              <w:rPr>
                <w:highlight w:val="none"/>
              </w:rPr>
            </w:r>
          </w:p>
        </w:tc>
        <w:tc>
          <w:tcPr>
            <w:tcW w:w="6583" w:type="dxa"/>
            <w:vAlign w:val="center"/>
            <w:textDirection w:val="lrTb"/>
            <w:noWrap w:val="false"/>
          </w:tcPr>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本项目不收取投标保证金</w:t>
            </w:r>
            <w:r>
              <w:rPr>
                <w:highlight w:val="none"/>
              </w:rPr>
            </w:r>
            <w:r>
              <w:rPr>
                <w:highlight w:val="none"/>
              </w:rP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11</w:t>
            </w:r>
            <w:r>
              <w:rPr>
                <w:highlight w:val="none"/>
              </w:rPr>
            </w:r>
            <w:r>
              <w:rPr>
                <w:highlight w:val="none"/>
              </w:rPr>
            </w:r>
          </w:p>
        </w:tc>
        <w:tc>
          <w:tcPr>
            <w:tcW w:w="1289"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现场勘查/答疑</w:t>
            </w:r>
            <w:r>
              <w:rPr>
                <w:highlight w:val="none"/>
              </w:rPr>
            </w:r>
            <w:r>
              <w:rPr>
                <w:highlight w:val="none"/>
              </w:rPr>
            </w:r>
          </w:p>
        </w:tc>
        <w:tc>
          <w:tcPr>
            <w:tcW w:w="6583" w:type="dxa"/>
            <w:vAlign w:val="center"/>
            <w:textDirection w:val="lrTb"/>
            <w:noWrap w:val="false"/>
          </w:tcPr>
          <w:p>
            <w:pPr>
              <w:spacing w:line="400" w:lineRule="exact"/>
              <w:rPr>
                <w:rFonts w:hint="eastAsia" w:ascii="微软雅黑" w:hAnsi="微软雅黑" w:eastAsia="微软雅黑" w:cs="微软雅黑"/>
                <w:color w:val="auto"/>
                <w:szCs w:val="21"/>
                <w:highlight w:val="none"/>
              </w:rPr>
            </w:pPr>
            <w:r>
              <w:rPr>
                <w:rFonts w:hint="eastAsia" w:ascii="宋体" w:hAnsi="宋体" w:cs="宋体"/>
                <w:color w:val="auto"/>
                <w:szCs w:val="21"/>
                <w:highlight w:val="none"/>
                <w:lang w:bidi="ar"/>
              </w:rPr>
              <w:t xml:space="preserve">供应商应当在获取招标文件后自行对项目现场和周围环境进行实地踏勘，以了解现场的环境、范围</w:t>
            </w:r>
            <w:r>
              <w:rPr>
                <w:rFonts w:hint="eastAsia" w:ascii="宋体" w:hAnsi="宋体" w:cs="宋体"/>
                <w:color w:val="auto"/>
                <w:szCs w:val="21"/>
                <w:highlight w:val="none"/>
                <w:lang w:eastAsia="zh-CN" w:bidi="ar"/>
              </w:rPr>
              <w:t xml:space="preserve">等</w:t>
            </w:r>
            <w:r>
              <w:rPr>
                <w:rFonts w:hint="eastAsia" w:ascii="宋体" w:hAnsi="宋体" w:cs="宋体"/>
                <w:color w:val="auto"/>
                <w:szCs w:val="21"/>
                <w:highlight w:val="none"/>
                <w:lang w:bidi="ar"/>
              </w:rPr>
              <w:t xml:space="preserve">。供应商应承担现场踏勘的责任和风险，费用由供应商自己承担。中标后不得以未踏勘现场或不了解现场为由提出任何增加费用的要求</w:t>
            </w:r>
            <w:r>
              <w:rPr>
                <w:highlight w:val="none"/>
              </w:rPr>
            </w:r>
            <w:r>
              <w:rPr>
                <w:highlight w:val="none"/>
              </w:rP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12</w:t>
            </w:r>
            <w:r>
              <w:rPr>
                <w:highlight w:val="none"/>
              </w:rPr>
            </w:r>
            <w:r>
              <w:rPr>
                <w:highlight w:val="none"/>
              </w:rPr>
            </w:r>
          </w:p>
        </w:tc>
        <w:tc>
          <w:tcPr>
            <w:tcW w:w="1289" w:type="dxa"/>
            <w:vAlign w:val="center"/>
            <w:textDirection w:val="lrTb"/>
            <w:noWrap w:val="false"/>
          </w:tcPr>
          <w:p>
            <w:pPr>
              <w:jc w:val="cente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投标文件递交开始时间、截止时间及地点</w:t>
            </w:r>
            <w:r>
              <w:rPr>
                <w:highlight w:val="none"/>
              </w:rPr>
            </w:r>
            <w:r>
              <w:rPr>
                <w:highlight w:val="none"/>
              </w:rPr>
            </w:r>
          </w:p>
        </w:tc>
        <w:tc>
          <w:tcPr>
            <w:tcW w:w="6583"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详见第一章投标邀请（采购公告）</w:t>
            </w:r>
            <w:r>
              <w:rPr>
                <w:highlight w:val="none"/>
              </w:rPr>
            </w:r>
            <w:r>
              <w:rPr>
                <w:highlight w:val="none"/>
              </w:rP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13</w:t>
            </w:r>
            <w:r>
              <w:rPr>
                <w:highlight w:val="none"/>
              </w:rPr>
            </w:r>
            <w:r>
              <w:rPr>
                <w:highlight w:val="none"/>
              </w:rPr>
            </w:r>
          </w:p>
        </w:tc>
        <w:tc>
          <w:tcPr>
            <w:tcW w:w="1289"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投标文件数量</w:t>
            </w:r>
            <w:r>
              <w:rPr>
                <w:highlight w:val="none"/>
              </w:rPr>
            </w:r>
            <w:r>
              <w:rPr>
                <w:highlight w:val="none"/>
              </w:rPr>
            </w:r>
          </w:p>
        </w:tc>
        <w:tc>
          <w:tcPr>
            <w:tcW w:w="6583" w:type="dxa"/>
            <w:vAlign w:val="center"/>
            <w:textDirection w:val="lrTb"/>
            <w:noWrap w:val="false"/>
          </w:tcPr>
          <w:p>
            <w:pPr>
              <w:spacing w:line="400" w:lineRule="exact"/>
              <w:rPr>
                <w:rFonts w:hint="eastAsia" w:ascii="微软雅黑" w:hAnsi="微软雅黑" w:cs="微软雅黑"/>
                <w:color w:val="auto"/>
                <w:sz w:val="22"/>
                <w:highlight w:val="none"/>
              </w:rPr>
            </w:pPr>
            <w:r>
              <w:rPr>
                <w:rFonts w:hint="eastAsia" w:ascii="微软雅黑" w:hAnsi="微软雅黑" w:cs="微软雅黑"/>
                <w:color w:val="auto"/>
                <w:szCs w:val="21"/>
                <w:highlight w:val="none"/>
                <w:lang w:eastAsia="zh-CN"/>
              </w:rPr>
              <w:t xml:space="preserve">电子投标文件上传“苏采云”政府采购交易系统。</w:t>
            </w:r>
            <w:r>
              <w:rPr>
                <w:highlight w:val="none"/>
              </w:rPr>
            </w:r>
            <w:r>
              <w:rPr>
                <w:highlight w:val="none"/>
              </w:rP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14</w:t>
            </w:r>
            <w:r>
              <w:rPr>
                <w:highlight w:val="none"/>
              </w:rPr>
            </w:r>
            <w:r>
              <w:rPr>
                <w:highlight w:val="none"/>
              </w:rPr>
            </w:r>
          </w:p>
        </w:tc>
        <w:tc>
          <w:tcPr>
            <w:tcW w:w="1289"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开标注意事项</w:t>
            </w:r>
            <w:r>
              <w:rPr>
                <w:highlight w:val="none"/>
              </w:rPr>
            </w:r>
            <w:r>
              <w:rPr>
                <w:highlight w:val="none"/>
              </w:rPr>
            </w:r>
          </w:p>
        </w:tc>
        <w:tc>
          <w:tcPr>
            <w:tcW w:w="6583" w:type="dxa"/>
            <w:vAlign w:val="center"/>
            <w:textDirection w:val="lrTb"/>
            <w:noWrap w:val="false"/>
          </w:tcPr>
          <w:p>
            <w:pPr>
              <w:spacing w:line="400" w:lineRule="exact"/>
              <w:rPr>
                <w:rFonts w:hint="eastAsia" w:ascii="微软雅黑" w:hAnsi="微软雅黑" w:cs="微软雅黑"/>
                <w:bCs/>
                <w:color w:val="auto"/>
                <w:szCs w:val="21"/>
                <w:highlight w:val="none"/>
              </w:rPr>
            </w:pPr>
            <w:r>
              <w:rPr>
                <w:rFonts w:hint="eastAsia" w:ascii="微软雅黑" w:hAnsi="微软雅黑" w:cs="微软雅黑"/>
                <w:color w:val="auto"/>
                <w:szCs w:val="21"/>
                <w:highlight w:val="none"/>
                <w:lang w:val="en-US" w:eastAsia="zh-CN"/>
              </w:rPr>
              <w:t xml:space="preserve">供应商在投标文件递交截止时间前</w:t>
            </w:r>
            <w:r>
              <w:rPr>
                <w:rFonts w:hint="eastAsia"/>
                <w:color w:val="auto"/>
                <w:highlight w:val="none"/>
                <w:lang w:eastAsia="zh-CN"/>
              </w:rPr>
              <w:t xml:space="preserve">将</w:t>
            </w:r>
            <w:r>
              <w:rPr>
                <w:rFonts w:hint="eastAsia" w:ascii="微软雅黑" w:hAnsi="微软雅黑" w:cs="微软雅黑"/>
                <w:color w:val="auto"/>
                <w:szCs w:val="21"/>
                <w:highlight w:val="none"/>
                <w:lang w:eastAsia="zh-CN"/>
              </w:rPr>
              <w:t xml:space="preserve">电子投标文件上传“苏采云”政府采购交易系统，并准时参加线上开标会。</w:t>
            </w:r>
            <w:r>
              <w:rPr>
                <w:highlight w:val="none"/>
              </w:rPr>
            </w:r>
            <w:r>
              <w:rPr>
                <w:highlight w:val="none"/>
              </w:rP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15</w:t>
            </w:r>
            <w:r>
              <w:rPr>
                <w:highlight w:val="none"/>
              </w:rPr>
            </w:r>
            <w:r>
              <w:rPr>
                <w:highlight w:val="none"/>
              </w:rPr>
            </w:r>
          </w:p>
        </w:tc>
        <w:tc>
          <w:tcPr>
            <w:tcW w:w="1289"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样品</w:t>
            </w:r>
            <w:r>
              <w:rPr>
                <w:highlight w:val="none"/>
              </w:rPr>
            </w:r>
            <w:r>
              <w:rPr>
                <w:highlight w:val="none"/>
              </w:rPr>
            </w:r>
          </w:p>
        </w:tc>
        <w:tc>
          <w:tcPr>
            <w:tcW w:w="6583" w:type="dxa"/>
            <w:vAlign w:val="center"/>
            <w:textDirection w:val="lrTb"/>
            <w:noWrap w:val="false"/>
          </w:tcPr>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无</w:t>
            </w:r>
            <w:r>
              <w:rPr>
                <w:highlight w:val="none"/>
              </w:rPr>
            </w:r>
            <w:r>
              <w:rPr>
                <w:highlight w:val="none"/>
              </w:rPr>
            </w:r>
          </w:p>
        </w:tc>
      </w:tr>
      <w:tr>
        <w:trPr>
          <w:jc w:val="center"/>
        </w:trPr>
        <w:tc>
          <w:tcPr>
            <w:tcW w:w="650" w:type="dxa"/>
            <w:vAlign w:val="center"/>
            <w:textDirection w:val="lrTb"/>
            <w:noWrap w:val="false"/>
          </w:tcPr>
          <w:p>
            <w:pPr>
              <w:jc w:val="center"/>
              <w:spacing w:line="440" w:lineRule="exact"/>
              <w:rPr>
                <w:rFonts w:hint="eastAsia" w:ascii="微软雅黑" w:hAnsi="微软雅黑" w:eastAsia="微软雅黑" w:cs="微软雅黑"/>
                <w:color w:val="auto"/>
                <w:szCs w:val="21"/>
                <w:highlight w:val="none"/>
              </w:rPr>
            </w:pPr>
            <w:r>
              <w:rPr>
                <w:rFonts w:hint="eastAsia" w:ascii="微软雅黑" w:hAnsi="微软雅黑" w:cs="微软雅黑"/>
                <w:color w:val="auto"/>
                <w:szCs w:val="21"/>
                <w:highlight w:val="none"/>
              </w:rPr>
              <w:t xml:space="preserve">1</w:t>
            </w:r>
            <w:r>
              <w:rPr>
                <w:rFonts w:hint="eastAsia" w:ascii="微软雅黑" w:hAnsi="微软雅黑" w:cs="微软雅黑"/>
                <w:color w:val="auto"/>
                <w:szCs w:val="21"/>
                <w:highlight w:val="none"/>
                <w:lang w:val="en-US" w:eastAsia="zh-CN"/>
              </w:rPr>
              <w:t xml:space="preserve">6</w:t>
            </w:r>
            <w:r>
              <w:rPr>
                <w:highlight w:val="none"/>
              </w:rPr>
            </w:r>
            <w:r>
              <w:rPr>
                <w:highlight w:val="none"/>
              </w:rPr>
            </w:r>
          </w:p>
        </w:tc>
        <w:tc>
          <w:tcPr>
            <w:tcW w:w="1289"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投标文件有效期</w:t>
            </w:r>
            <w:r>
              <w:rPr>
                <w:highlight w:val="none"/>
              </w:rPr>
            </w:r>
            <w:r>
              <w:rPr>
                <w:highlight w:val="none"/>
              </w:rPr>
            </w:r>
          </w:p>
        </w:tc>
        <w:tc>
          <w:tcPr>
            <w:tcW w:w="6583" w:type="dxa"/>
            <w:vAlign w:val="center"/>
            <w:textDirection w:val="lrTb"/>
            <w:noWrap w:val="false"/>
          </w:tcPr>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投标截止时间后九十天</w:t>
            </w:r>
            <w:r>
              <w:rPr>
                <w:highlight w:val="none"/>
              </w:rPr>
            </w:r>
            <w:r>
              <w:rPr>
                <w:highlight w:val="none"/>
              </w:rPr>
            </w:r>
          </w:p>
        </w:tc>
      </w:tr>
      <w:tr>
        <w:trPr>
          <w:jc w:val="center"/>
          <w:trHeight w:val="1287"/>
        </w:trPr>
        <w:tc>
          <w:tcPr>
            <w:tcW w:w="650" w:type="dxa"/>
            <w:vAlign w:val="center"/>
            <w:textDirection w:val="lrTb"/>
            <w:noWrap w:val="false"/>
          </w:tcPr>
          <w:p>
            <w:pPr>
              <w:jc w:val="center"/>
              <w:spacing w:line="440" w:lineRule="exact"/>
              <w:rPr>
                <w:rFonts w:hint="eastAsia" w:ascii="微软雅黑" w:hAnsi="微软雅黑" w:eastAsia="微软雅黑" w:cs="微软雅黑"/>
                <w:color w:val="auto"/>
                <w:szCs w:val="21"/>
                <w:highlight w:val="none"/>
              </w:rPr>
            </w:pPr>
            <w:r>
              <w:rPr>
                <w:rFonts w:hint="eastAsia" w:ascii="微软雅黑" w:hAnsi="微软雅黑" w:cs="微软雅黑"/>
                <w:color w:val="auto"/>
                <w:szCs w:val="21"/>
                <w:highlight w:val="none"/>
              </w:rPr>
              <w:t xml:space="preserve">1</w:t>
            </w:r>
            <w:r>
              <w:rPr>
                <w:rFonts w:hint="eastAsia" w:ascii="微软雅黑" w:hAnsi="微软雅黑" w:cs="微软雅黑"/>
                <w:color w:val="auto"/>
                <w:szCs w:val="21"/>
                <w:highlight w:val="none"/>
                <w:lang w:val="en-US" w:eastAsia="zh-CN"/>
              </w:rPr>
              <w:t xml:space="preserve">7</w:t>
            </w:r>
            <w:r>
              <w:rPr>
                <w:highlight w:val="none"/>
              </w:rPr>
            </w:r>
            <w:r>
              <w:rPr>
                <w:highlight w:val="none"/>
              </w:rPr>
            </w:r>
          </w:p>
        </w:tc>
        <w:tc>
          <w:tcPr>
            <w:tcW w:w="1289" w:type="dxa"/>
            <w:vAlign w:val="center"/>
            <w:textDirection w:val="lrTb"/>
            <w:noWrap w:val="false"/>
          </w:tcPr>
          <w:p>
            <w:pPr>
              <w:jc w:val="cente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采购标的对应的 中小企业划分标准所属行业</w:t>
            </w:r>
            <w:r>
              <w:rPr>
                <w:highlight w:val="none"/>
              </w:rPr>
            </w:r>
            <w:r>
              <w:rPr>
                <w:highlight w:val="none"/>
              </w:rPr>
            </w:r>
          </w:p>
        </w:tc>
        <w:tc>
          <w:tcPr>
            <w:tcW w:w="6583" w:type="dxa"/>
            <w:vAlign w:val="center"/>
            <w:textDirection w:val="lrTb"/>
            <w:noWrap w:val="false"/>
          </w:tcPr>
          <w:p>
            <w:pPr>
              <w:jc w:val="left"/>
              <w:spacing w:line="440" w:lineRule="exact"/>
              <w:rPr>
                <w:rFonts w:hint="eastAsia" w:ascii="微软雅黑" w:hAnsi="微软雅黑" w:eastAsia="微软雅黑" w:cs="微软雅黑"/>
                <w:color w:val="auto"/>
                <w:szCs w:val="21"/>
                <w:highlight w:val="none"/>
              </w:rPr>
            </w:pPr>
            <w:r>
              <w:rPr>
                <w:rFonts w:hint="eastAsia" w:ascii="微软雅黑" w:hAnsi="微软雅黑" w:cs="微软雅黑"/>
                <w:b/>
                <w:color w:val="auto"/>
                <w:szCs w:val="21"/>
                <w:highlight w:val="none"/>
                <w:lang w:eastAsia="zh-CN"/>
              </w:rPr>
              <w:t xml:space="preserve">软件和信息技术服务业</w:t>
            </w:r>
            <w:r>
              <w:rPr>
                <w:highlight w:val="none"/>
              </w:rPr>
            </w:r>
            <w:r>
              <w:rPr>
                <w:highlight w:val="none"/>
              </w:rPr>
            </w:r>
          </w:p>
        </w:tc>
      </w:tr>
      <w:tr>
        <w:trPr>
          <w:jc w:val="center"/>
        </w:trPr>
        <w:tc>
          <w:tcPr>
            <w:tcW w:w="650" w:type="dxa"/>
            <w:vAlign w:val="center"/>
            <w:textDirection w:val="lrTb"/>
            <w:noWrap w:val="false"/>
          </w:tcPr>
          <w:p>
            <w:pPr>
              <w:jc w:val="center"/>
              <w:spacing w:line="440" w:lineRule="exact"/>
              <w:rPr>
                <w:rFonts w:ascii="微软雅黑" w:hAnsi="微软雅黑" w:eastAsia="微软雅黑" w:cs="微软雅黑"/>
                <w:color w:val="auto"/>
                <w:szCs w:val="21"/>
                <w:highlight w:val="none"/>
              </w:rPr>
            </w:pPr>
            <w:r>
              <w:rPr>
                <w:rFonts w:hint="eastAsia" w:ascii="微软雅黑" w:hAnsi="微软雅黑" w:cs="微软雅黑"/>
                <w:color w:val="auto"/>
                <w:szCs w:val="21"/>
                <w:highlight w:val="none"/>
                <w:lang w:val="en-US" w:eastAsia="zh-CN"/>
              </w:rPr>
              <w:t xml:space="preserve">18</w:t>
            </w:r>
            <w:r>
              <w:rPr>
                <w:highlight w:val="none"/>
              </w:rPr>
            </w:r>
            <w:r>
              <w:rPr>
                <w:highlight w:val="none"/>
              </w:rPr>
            </w:r>
          </w:p>
        </w:tc>
        <w:tc>
          <w:tcPr>
            <w:tcW w:w="1289"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投标报价</w:t>
            </w:r>
            <w:r>
              <w:rPr>
                <w:highlight w:val="none"/>
              </w:rPr>
            </w:r>
            <w:r>
              <w:rPr>
                <w:highlight w:val="none"/>
              </w:rPr>
            </w:r>
          </w:p>
        </w:tc>
        <w:tc>
          <w:tcPr>
            <w:tcW w:w="6583" w:type="dxa"/>
            <w:vAlign w:val="center"/>
            <w:textDirection w:val="lrTb"/>
            <w:noWrap w:val="false"/>
          </w:tcPr>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投标报价包括采购文件所规定的采购范围的全部内容。包括但不仅限于全部</w:t>
            </w:r>
            <w:r>
              <w:rPr>
                <w:rFonts w:hint="eastAsia" w:ascii="微软雅黑" w:hAnsi="微软雅黑" w:cs="微软雅黑"/>
                <w:color w:val="auto"/>
                <w:szCs w:val="21"/>
                <w:highlight w:val="none"/>
                <w:lang w:eastAsia="zh-CN"/>
              </w:rPr>
              <w:t xml:space="preserve">服务的人员工资、</w:t>
            </w:r>
            <w:r>
              <w:rPr>
                <w:rFonts w:hint="eastAsia" w:ascii="微软雅黑" w:hAnsi="微软雅黑" w:cs="微软雅黑"/>
                <w:color w:val="auto"/>
                <w:szCs w:val="21"/>
                <w:highlight w:val="none"/>
              </w:rPr>
              <w:t xml:space="preserve">综合意外保险、社会保险</w:t>
            </w:r>
            <w:r>
              <w:rPr>
                <w:rFonts w:hint="eastAsia" w:ascii="微软雅黑" w:hAnsi="微软雅黑" w:cs="微软雅黑"/>
                <w:color w:val="auto"/>
                <w:szCs w:val="21"/>
                <w:highlight w:val="none"/>
              </w:rPr>
              <w:t xml:space="preserve">、</w:t>
            </w:r>
            <w:r>
              <w:rPr>
                <w:rFonts w:hint="eastAsia" w:ascii="微软雅黑" w:hAnsi="微软雅黑" w:cs="微软雅黑"/>
                <w:color w:val="auto"/>
                <w:szCs w:val="21"/>
                <w:highlight w:val="none"/>
                <w:lang w:eastAsia="zh-CN"/>
              </w:rPr>
              <w:t xml:space="preserve">代理服务费</w:t>
            </w:r>
            <w:r>
              <w:rPr>
                <w:rFonts w:hint="eastAsia" w:ascii="微软雅黑" w:hAnsi="微软雅黑" w:cs="微软雅黑"/>
                <w:color w:val="auto"/>
                <w:szCs w:val="21"/>
                <w:highlight w:val="none"/>
              </w:rPr>
              <w:t xml:space="preserve">等其他有关的所有费用。</w:t>
            </w:r>
            <w:r>
              <w:rPr>
                <w:highlight w:val="none"/>
              </w:rPr>
            </w:r>
            <w:r>
              <w:rPr>
                <w:highlight w:val="none"/>
              </w:rPr>
            </w:r>
          </w:p>
        </w:tc>
      </w:tr>
      <w:tr>
        <w:trPr>
          <w:jc w:val="center"/>
        </w:trPr>
        <w:tc>
          <w:tcPr>
            <w:tcW w:w="650" w:type="dxa"/>
            <w:vAlign w:val="center"/>
            <w:textDirection w:val="lrTb"/>
            <w:noWrap w:val="false"/>
          </w:tcPr>
          <w:p>
            <w:pPr>
              <w:jc w:val="center"/>
              <w:spacing w:line="440" w:lineRule="exact"/>
              <w:rPr>
                <w:rFonts w:hint="eastAsia" w:ascii="微软雅黑" w:hAnsi="微软雅黑" w:eastAsia="微软雅黑" w:cs="微软雅黑"/>
                <w:color w:val="auto"/>
                <w:szCs w:val="21"/>
                <w:highlight w:val="none"/>
              </w:rPr>
            </w:pPr>
            <w:r>
              <w:rPr>
                <w:rFonts w:hint="eastAsia" w:ascii="微软雅黑" w:hAnsi="微软雅黑" w:cs="微软雅黑"/>
                <w:color w:val="auto"/>
                <w:szCs w:val="21"/>
                <w:highlight w:val="none"/>
              </w:rPr>
              <w:t xml:space="preserve">1</w:t>
            </w:r>
            <w:r>
              <w:rPr>
                <w:rFonts w:hint="eastAsia" w:ascii="微软雅黑" w:hAnsi="微软雅黑" w:cs="微软雅黑"/>
                <w:color w:val="auto"/>
                <w:szCs w:val="21"/>
                <w:highlight w:val="none"/>
                <w:lang w:val="en-US" w:eastAsia="zh-CN"/>
              </w:rPr>
              <w:t xml:space="preserve">9</w:t>
            </w:r>
            <w:r>
              <w:rPr>
                <w:highlight w:val="none"/>
              </w:rPr>
            </w:r>
            <w:r>
              <w:rPr>
                <w:highlight w:val="none"/>
              </w:rPr>
            </w:r>
          </w:p>
        </w:tc>
        <w:tc>
          <w:tcPr>
            <w:tcW w:w="1289"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关于联合体投标</w:t>
            </w:r>
            <w:r>
              <w:rPr>
                <w:highlight w:val="none"/>
              </w:rPr>
            </w:r>
            <w:r>
              <w:rPr>
                <w:highlight w:val="none"/>
              </w:rPr>
            </w:r>
          </w:p>
        </w:tc>
        <w:tc>
          <w:tcPr>
            <w:tcW w:w="6583" w:type="dxa"/>
            <w:vAlign w:val="center"/>
            <w:textDirection w:val="lrTb"/>
            <w:noWrap w:val="false"/>
          </w:tcPr>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本项目不接受联合体投标</w:t>
            </w:r>
            <w:r>
              <w:rPr>
                <w:highlight w:val="none"/>
              </w:rPr>
            </w:r>
            <w:r>
              <w:rPr>
                <w:highlight w:val="none"/>
              </w:rPr>
            </w:r>
          </w:p>
        </w:tc>
      </w:tr>
      <w:tr>
        <w:trPr>
          <w:jc w:val="center"/>
          <w:trHeight w:val="90"/>
        </w:trPr>
        <w:tc>
          <w:tcPr>
            <w:tcW w:w="650" w:type="dxa"/>
            <w:vAlign w:val="center"/>
            <w:textDirection w:val="lrTb"/>
            <w:noWrap w:val="false"/>
          </w:tcPr>
          <w:p>
            <w:pPr>
              <w:jc w:val="center"/>
              <w:spacing w:line="440" w:lineRule="exact"/>
              <w:rPr>
                <w:rFonts w:ascii="微软雅黑" w:hAnsi="微软雅黑" w:eastAsia="微软雅黑" w:cs="微软雅黑"/>
                <w:color w:val="auto"/>
                <w:szCs w:val="21"/>
                <w:highlight w:val="none"/>
              </w:rPr>
            </w:pPr>
            <w:r>
              <w:rPr>
                <w:rFonts w:hint="eastAsia" w:ascii="微软雅黑" w:hAnsi="微软雅黑" w:cs="微软雅黑"/>
                <w:color w:val="auto"/>
                <w:szCs w:val="21"/>
                <w:highlight w:val="none"/>
                <w:lang w:val="en-US" w:eastAsia="zh-CN"/>
              </w:rPr>
              <w:t xml:space="preserve">20</w:t>
            </w:r>
            <w:r>
              <w:rPr>
                <w:highlight w:val="none"/>
              </w:rPr>
            </w:r>
            <w:r>
              <w:rPr>
                <w:highlight w:val="none"/>
              </w:rPr>
            </w:r>
          </w:p>
        </w:tc>
        <w:tc>
          <w:tcPr>
            <w:tcW w:w="1289"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投标文件有效性</w:t>
            </w:r>
            <w:r>
              <w:rPr>
                <w:highlight w:val="none"/>
              </w:rPr>
            </w:r>
            <w:r>
              <w:rPr>
                <w:highlight w:val="none"/>
              </w:rPr>
            </w:r>
          </w:p>
        </w:tc>
        <w:tc>
          <w:tcPr>
            <w:tcW w:w="6583" w:type="dxa"/>
            <w:vAlign w:val="center"/>
            <w:textDirection w:val="lrTb"/>
            <w:noWrap w:val="false"/>
          </w:tcPr>
          <w:p>
            <w:pPr>
              <w:spacing w:line="40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采购文件中有明确规定需要签字和盖章的必须要有签字和盖章，否则作无效投标处理。</w:t>
            </w:r>
            <w:r>
              <w:rPr>
                <w:highlight w:val="none"/>
              </w:rPr>
            </w:r>
            <w:r>
              <w:rPr>
                <w:highlight w:val="none"/>
              </w:rPr>
            </w:r>
          </w:p>
        </w:tc>
      </w:tr>
      <w:tr>
        <w:trPr>
          <w:jc w:val="center"/>
          <w:trHeight w:val="90"/>
        </w:trPr>
        <w:tc>
          <w:tcPr>
            <w:tcW w:w="650" w:type="dxa"/>
            <w:vAlign w:val="center"/>
            <w:textDirection w:val="lrTb"/>
            <w:noWrap w:val="false"/>
          </w:tcPr>
          <w:p>
            <w:pPr>
              <w:jc w:val="center"/>
              <w:spacing w:line="440" w:lineRule="exact"/>
              <w:rPr>
                <w:rFonts w:hint="eastAsia" w:ascii="微软雅黑" w:hAnsi="微软雅黑" w:eastAsia="微软雅黑" w:cs="微软雅黑"/>
                <w:color w:val="auto"/>
                <w:szCs w:val="21"/>
                <w:highlight w:val="none"/>
              </w:rPr>
            </w:pPr>
            <w:r>
              <w:rPr>
                <w:rFonts w:hint="eastAsia" w:ascii="微软雅黑" w:hAnsi="微软雅黑" w:cs="微软雅黑"/>
                <w:color w:val="auto"/>
                <w:szCs w:val="21"/>
                <w:highlight w:val="none"/>
              </w:rPr>
              <w:t xml:space="preserve">2</w:t>
            </w:r>
            <w:r>
              <w:rPr>
                <w:rFonts w:hint="eastAsia" w:ascii="微软雅黑" w:hAnsi="微软雅黑" w:cs="微软雅黑"/>
                <w:color w:val="auto"/>
                <w:szCs w:val="21"/>
                <w:highlight w:val="none"/>
                <w:lang w:val="en-US" w:eastAsia="zh-CN"/>
              </w:rPr>
              <w:t xml:space="preserve">1</w:t>
            </w:r>
            <w:r>
              <w:rPr>
                <w:highlight w:val="none"/>
              </w:rPr>
            </w:r>
            <w:r>
              <w:rPr>
                <w:highlight w:val="none"/>
              </w:rPr>
            </w:r>
          </w:p>
        </w:tc>
        <w:tc>
          <w:tcPr>
            <w:tcW w:w="1289"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代理费用</w:t>
            </w:r>
            <w:r>
              <w:rPr>
                <w:highlight w:val="none"/>
              </w:rPr>
            </w:r>
            <w:r>
              <w:rPr>
                <w:highlight w:val="none"/>
              </w:rPr>
            </w:r>
          </w:p>
        </w:tc>
        <w:tc>
          <w:tcPr>
            <w:tcW w:w="6583" w:type="dxa"/>
            <w:vAlign w:val="center"/>
            <w:textDirection w:val="lrTb"/>
            <w:noWrap w:val="false"/>
          </w:tcPr>
          <w:p>
            <w:pPr>
              <w:spacing w:line="40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1、本次采购活动招标代理服务费：</w:t>
            </w:r>
            <w:r>
              <w:rPr>
                <w:rFonts w:hint="eastAsia" w:ascii="微软雅黑" w:hAnsi="微软雅黑" w:cs="微软雅黑"/>
                <w:color w:val="auto"/>
                <w:highlight w:val="none"/>
                <w:lang w:eastAsia="zh-CN"/>
              </w:rPr>
              <w:t xml:space="preserve">参照苏财规〔2026〕1号规定，本项目采购人不支付代理服务费，代理服务费由中标供应商支付，供应商报价应包含代理服务费，中标供应商</w:t>
            </w:r>
            <w:r>
              <w:rPr>
                <w:rFonts w:hint="eastAsia" w:ascii="微软雅黑" w:hAnsi="微软雅黑" w:cs="微软雅黑"/>
                <w:color w:val="auto"/>
                <w:highlight w:val="none"/>
              </w:rPr>
              <w:t xml:space="preserve">按《江苏省政府采购代理服务收费指导意见》（苏政采协【2024】20 号文）费率中规定的收费标准的</w:t>
            </w:r>
            <w:r>
              <w:rPr>
                <w:rFonts w:hint="eastAsia" w:ascii="微软雅黑" w:hAnsi="微软雅黑" w:cs="微软雅黑"/>
                <w:color w:val="auto"/>
                <w:highlight w:val="none"/>
                <w:lang w:val="en-US" w:eastAsia="zh-CN"/>
              </w:rPr>
              <w:t xml:space="preserve">71</w:t>
            </w:r>
            <w:r>
              <w:rPr>
                <w:rFonts w:hint="eastAsia" w:ascii="微软雅黑" w:hAnsi="微软雅黑" w:cs="微软雅黑"/>
                <w:color w:val="auto"/>
                <w:highlight w:val="none"/>
              </w:rPr>
              <w:t xml:space="preserve">%</w:t>
            </w:r>
            <w:r>
              <w:rPr>
                <w:rFonts w:hint="eastAsia" w:ascii="微软雅黑" w:hAnsi="微软雅黑" w:cs="微软雅黑"/>
                <w:color w:val="auto"/>
                <w:highlight w:val="none"/>
                <w:lang w:eastAsia="zh-CN"/>
              </w:rPr>
              <w:t xml:space="preserve">向</w:t>
            </w:r>
            <w:r>
              <w:rPr>
                <w:rFonts w:hint="eastAsia" w:ascii="微软雅黑" w:hAnsi="微软雅黑" w:cs="微软雅黑"/>
                <w:color w:val="auto"/>
                <w:highlight w:val="none"/>
              </w:rPr>
              <w:t xml:space="preserve">中标供应商</w:t>
            </w:r>
            <w:r>
              <w:rPr>
                <w:rFonts w:hint="eastAsia" w:ascii="微软雅黑" w:hAnsi="微软雅黑" w:cs="微软雅黑"/>
                <w:color w:val="auto"/>
                <w:highlight w:val="none"/>
                <w:lang w:eastAsia="zh-CN"/>
              </w:rPr>
              <w:t xml:space="preserve">收取</w:t>
            </w:r>
            <w:r>
              <w:rPr>
                <w:rFonts w:hint="eastAsia" w:ascii="微软雅黑" w:hAnsi="微软雅黑" w:cs="微软雅黑"/>
                <w:color w:val="auto"/>
                <w:highlight w:val="none"/>
              </w:rPr>
              <w:t xml:space="preserve">。 </w:t>
            </w:r>
            <w:r>
              <w:rPr>
                <w:highlight w:val="none"/>
              </w:rPr>
            </w:r>
            <w:r>
              <w:rPr>
                <w:highlight w:val="none"/>
              </w:rPr>
            </w:r>
          </w:p>
          <w:p>
            <w:pPr>
              <w:spacing w:line="40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2、本次采购活动招</w:t>
            </w:r>
            <w:r>
              <w:rPr>
                <w:rFonts w:hint="eastAsia" w:ascii="微软雅黑" w:hAnsi="微软雅黑" w:cs="微软雅黑"/>
                <w:color w:val="auto"/>
                <w:highlight w:val="none"/>
              </w:rPr>
              <w:t xml:space="preserve">标代理服务费由中标供应商支付，中标供应商领取《中标通知书》时一次性向采购代理机构缴纳。</w:t>
            </w:r>
            <w:r>
              <w:rPr>
                <w:highlight w:val="none"/>
              </w:rPr>
            </w:r>
            <w:r>
              <w:rPr>
                <w:highlight w:val="none"/>
              </w:rPr>
            </w:r>
          </w:p>
          <w:p>
            <w:pPr>
              <w:spacing w:line="40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3、本次招标代理服务费不包括有可能产生的专家复议费等，如有产生此项费用由中标供应商额外按实支付。</w:t>
            </w:r>
            <w:r>
              <w:rPr>
                <w:highlight w:val="none"/>
              </w:rPr>
            </w:r>
            <w:r>
              <w:rPr>
                <w:highlight w:val="none"/>
              </w:rPr>
            </w:r>
          </w:p>
          <w:p>
            <w:pPr>
              <w:pStyle w:val="1124"/>
              <w:ind w:left="0"/>
              <w:spacing w:line="40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4、收款信息：</w:t>
            </w:r>
            <w:r>
              <w:rPr>
                <w:highlight w:val="none"/>
              </w:rPr>
            </w:r>
            <w:r>
              <w:rPr>
                <w:highlight w:val="none"/>
              </w:rPr>
            </w:r>
          </w:p>
          <w:p>
            <w:pPr>
              <w:pStyle w:val="1124"/>
              <w:ind w:left="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开户行：徐州农村商业银行股份有限公司彭园支行</w:t>
            </w:r>
            <w:r>
              <w:rPr>
                <w:highlight w:val="none"/>
              </w:rPr>
            </w:r>
            <w:r>
              <w:rPr>
                <w:highlight w:val="none"/>
              </w:rPr>
            </w:r>
          </w:p>
          <w:p>
            <w:pPr>
              <w:pStyle w:val="1124"/>
              <w:ind w:left="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户  名：江苏中际招标代理有限公司</w:t>
            </w:r>
            <w:r>
              <w:rPr>
                <w:highlight w:val="none"/>
              </w:rPr>
            </w:r>
            <w:r>
              <w:rPr>
                <w:highlight w:val="none"/>
              </w:rPr>
            </w:r>
          </w:p>
          <w:p>
            <w:pPr>
              <w:pStyle w:val="1124"/>
              <w:ind w:left="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账  号：3203020171010000003980</w:t>
            </w:r>
            <w:r>
              <w:rPr>
                <w:highlight w:val="none"/>
              </w:rPr>
            </w:r>
            <w:r>
              <w:rPr>
                <w:highlight w:val="none"/>
              </w:rPr>
            </w:r>
          </w:p>
          <w:p>
            <w:pPr>
              <w:pStyle w:val="1124"/>
              <w:ind w:left="0"/>
              <w:spacing w:line="400" w:lineRule="exact"/>
              <w:rPr>
                <w:rFonts w:hint="eastAsia" w:ascii="微软雅黑" w:hAnsi="微软雅黑" w:cs="微软雅黑"/>
                <w:color w:val="auto"/>
                <w:highlight w:val="none"/>
              </w:rPr>
            </w:pPr>
            <w:r>
              <w:rPr>
                <w:rFonts w:hint="eastAsia" w:ascii="微软雅黑" w:hAnsi="微软雅黑" w:cs="微软雅黑"/>
                <w:color w:val="auto"/>
                <w:szCs w:val="21"/>
                <w:highlight w:val="none"/>
              </w:rPr>
              <w:t xml:space="preserve">备注</w:t>
            </w:r>
            <w:r>
              <w:rPr>
                <w:rFonts w:hint="eastAsia" w:ascii="微软雅黑" w:hAnsi="微软雅黑" w:cs="微软雅黑"/>
                <w:color w:val="auto"/>
                <w:szCs w:val="21"/>
                <w:highlight w:val="none"/>
                <w:lang w:eastAsia="zh-CN"/>
              </w:rPr>
              <w:t xml:space="preserve">：</w:t>
            </w:r>
            <w:r>
              <w:rPr>
                <w:rFonts w:hint="eastAsia" w:ascii="微软雅黑" w:hAnsi="微软雅黑" w:cs="微软雅黑"/>
                <w:color w:val="auto"/>
                <w:szCs w:val="21"/>
                <w:highlight w:val="none"/>
              </w:rPr>
              <w:t xml:space="preserve">代理服务费。</w:t>
            </w:r>
            <w:r>
              <w:rPr>
                <w:highlight w:val="none"/>
              </w:rPr>
            </w:r>
            <w:r>
              <w:rPr>
                <w:highlight w:val="none"/>
              </w:rPr>
            </w:r>
          </w:p>
        </w:tc>
      </w:tr>
      <w:tr>
        <w:trPr>
          <w:jc w:val="center"/>
          <w:trHeight w:val="90"/>
        </w:trPr>
        <w:tc>
          <w:tcPr>
            <w:tcW w:w="650" w:type="dxa"/>
            <w:vAlign w:val="center"/>
            <w:textDirection w:val="lrTb"/>
            <w:noWrap w:val="false"/>
          </w:tcPr>
          <w:p>
            <w:pPr>
              <w:jc w:val="center"/>
              <w:spacing w:line="440" w:lineRule="exact"/>
              <w:rPr>
                <w:rFonts w:hint="eastAsia" w:ascii="微软雅黑" w:hAnsi="微软雅黑" w:eastAsia="微软雅黑" w:cs="微软雅黑"/>
                <w:color w:val="auto"/>
                <w:szCs w:val="21"/>
                <w:highlight w:val="none"/>
              </w:rPr>
            </w:pPr>
            <w:r>
              <w:rPr>
                <w:rFonts w:hint="eastAsia" w:ascii="微软雅黑" w:hAnsi="微软雅黑" w:cs="微软雅黑"/>
                <w:color w:val="auto"/>
                <w:szCs w:val="21"/>
                <w:highlight w:val="none"/>
              </w:rPr>
              <w:t xml:space="preserve">2</w:t>
            </w:r>
            <w:r>
              <w:rPr>
                <w:rFonts w:hint="eastAsia" w:ascii="微软雅黑" w:hAnsi="微软雅黑" w:cs="微软雅黑"/>
                <w:color w:val="auto"/>
                <w:szCs w:val="21"/>
                <w:highlight w:val="none"/>
                <w:lang w:val="en-US" w:eastAsia="zh-CN"/>
              </w:rPr>
              <w:t xml:space="preserve">2</w:t>
            </w:r>
            <w:r>
              <w:rPr>
                <w:highlight w:val="none"/>
              </w:rPr>
            </w:r>
            <w:r>
              <w:rPr>
                <w:highlight w:val="none"/>
              </w:rPr>
            </w:r>
          </w:p>
        </w:tc>
        <w:tc>
          <w:tcPr>
            <w:tcW w:w="1289"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其他相关说明</w:t>
            </w:r>
            <w:r>
              <w:rPr>
                <w:highlight w:val="none"/>
              </w:rPr>
            </w:r>
            <w:r>
              <w:rPr>
                <w:highlight w:val="none"/>
              </w:rPr>
            </w:r>
          </w:p>
        </w:tc>
        <w:tc>
          <w:tcPr>
            <w:tcW w:w="6583" w:type="dxa"/>
            <w:vAlign w:val="center"/>
            <w:textDirection w:val="lrTb"/>
            <w:noWrap w:val="false"/>
          </w:tcPr>
          <w:p>
            <w:pPr>
              <w:spacing w:line="40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1、有关本项目的相关公告敬请关注</w:t>
            </w:r>
            <w:r>
              <w:rPr>
                <w:rFonts w:hint="eastAsia" w:ascii="微软雅黑" w:hAnsi="微软雅黑" w:cs="微软雅黑"/>
                <w:color w:val="auto"/>
                <w:highlight w:val="none"/>
                <w:lang w:eastAsia="zh-CN"/>
              </w:rPr>
              <w:t xml:space="preserve">江苏政府采购网http://www.ccgp-jiangsu.gov.cn/</w:t>
            </w:r>
            <w:r>
              <w:rPr>
                <w:rFonts w:hint="eastAsia" w:ascii="微软雅黑" w:hAnsi="微软雅黑" w:cs="微软雅黑"/>
                <w:color w:val="auto"/>
                <w:highlight w:val="none"/>
              </w:rPr>
              <w:t xml:space="preserve">，也可以与我公司项目部联系，联系人及电话：</w:t>
            </w:r>
            <w:r>
              <w:rPr>
                <w:rFonts w:hint="eastAsia" w:ascii="微软雅黑" w:hAnsi="微软雅黑" w:cs="微软雅黑"/>
                <w:color w:val="auto"/>
                <w:highlight w:val="none"/>
                <w:lang w:eastAsia="zh-CN"/>
              </w:rPr>
              <w:t xml:space="preserve">冯旭、彭翔宇</w:t>
            </w:r>
            <w:r>
              <w:rPr>
                <w:rFonts w:hint="eastAsia" w:ascii="微软雅黑" w:hAnsi="微软雅黑" w:cs="微软雅黑"/>
                <w:color w:val="auto"/>
                <w:highlight w:val="none"/>
              </w:rPr>
              <w:t xml:space="preserve"> </w:t>
            </w:r>
            <w:r>
              <w:rPr>
                <w:rFonts w:hint="eastAsia" w:ascii="微软雅黑" w:hAnsi="微软雅黑" w:cs="微软雅黑"/>
                <w:color w:val="auto"/>
                <w:highlight w:val="none"/>
                <w:lang w:eastAsia="zh-CN"/>
              </w:rPr>
              <w:t xml:space="preserve">0516-83200975</w:t>
            </w:r>
            <w:r>
              <w:rPr>
                <w:rFonts w:hint="eastAsia" w:ascii="微软雅黑" w:hAnsi="微软雅黑" w:cs="微软雅黑"/>
                <w:color w:val="auto"/>
                <w:highlight w:val="none"/>
              </w:rPr>
              <w:t xml:space="preserve">。</w:t>
            </w:r>
            <w:r>
              <w:rPr>
                <w:highlight w:val="none"/>
              </w:rPr>
            </w:r>
            <w:r>
              <w:rPr>
                <w:highlight w:val="none"/>
              </w:rPr>
            </w:r>
          </w:p>
          <w:p>
            <w:pPr>
              <w:pStyle w:val="1124"/>
              <w:ind w:left="0"/>
              <w:spacing w:line="400" w:lineRule="exact"/>
              <w:rPr>
                <w:rFonts w:hint="eastAsia" w:ascii="微软雅黑" w:hAnsi="微软雅黑" w:cs="微软雅黑"/>
                <w:color w:val="auto"/>
                <w:highlight w:val="none"/>
              </w:rPr>
            </w:pPr>
            <w:r>
              <w:rPr>
                <w:rFonts w:hint="eastAsia" w:ascii="微软雅黑" w:hAnsi="微软雅黑" w:cs="微软雅黑"/>
                <w:color w:val="auto"/>
                <w:szCs w:val="21"/>
                <w:highlight w:val="none"/>
              </w:rPr>
              <w:t xml:space="preserve">2、有关发票开具事项：请将开票信息</w:t>
            </w:r>
            <w:r>
              <w:rPr>
                <w:rFonts w:hint="eastAsia" w:ascii="微软雅黑" w:hAnsi="微软雅黑" w:cs="微软雅黑"/>
                <w:color w:val="auto"/>
                <w:highlight w:val="none"/>
              </w:rPr>
              <w:t xml:space="preserve">发至邮箱：</w:t>
            </w:r>
            <w:r>
              <w:rPr>
                <w:rFonts w:hint="eastAsia" w:ascii="微软雅黑" w:hAnsi="微软雅黑" w:cs="微软雅黑"/>
                <w:color w:val="auto"/>
                <w:highlight w:val="none"/>
                <w:lang w:eastAsia="zh-CN"/>
              </w:rPr>
              <w:t xml:space="preserve">1034027037@qq.com</w:t>
            </w:r>
            <w:r>
              <w:rPr>
                <w:rFonts w:hint="eastAsia" w:ascii="微软雅黑" w:hAnsi="微软雅黑" w:cs="微软雅黑"/>
                <w:color w:val="auto"/>
                <w:highlight w:val="none"/>
              </w:rPr>
              <w:t xml:space="preserve">（开票信息包括公司名称、统一社会信用代码、公司地址、联系电话、开户银行及账号、财务联系人等）。领取发票：电子发票。</w:t>
            </w:r>
            <w:r>
              <w:rPr>
                <w:highlight w:val="none"/>
              </w:rPr>
            </w:r>
            <w:r>
              <w:rPr>
                <w:highlight w:val="none"/>
              </w:rPr>
            </w:r>
          </w:p>
        </w:tc>
      </w:tr>
    </w:tbl>
    <w:p>
      <w:pPr>
        <w:rPr>
          <w:color w:val="auto"/>
          <w:highlight w:val="none"/>
        </w:rPr>
      </w:pPr>
      <w:r>
        <w:rPr>
          <w:color w:val="auto"/>
          <w:highlight w:val="none"/>
        </w:rPr>
      </w:r>
      <w:r>
        <w:rPr>
          <w:highlight w:val="none"/>
        </w:rPr>
      </w:r>
      <w:r>
        <w:rPr>
          <w:highlight w:val="none"/>
        </w:rPr>
      </w:r>
    </w:p>
    <w:p>
      <w:pPr>
        <w:pStyle w:val="1088"/>
        <w:spacing w:before="0" w:after="0"/>
        <w:rPr>
          <w:rFonts w:hint="eastAsia" w:ascii="微软雅黑" w:hAnsi="微软雅黑" w:cs="微软雅黑"/>
          <w:color w:val="auto"/>
          <w:highlight w:val="none"/>
        </w:rPr>
      </w:pPr>
      <w:r>
        <w:rPr>
          <w:highlight w:val="none"/>
        </w:rPr>
      </w:r>
      <w:bookmarkStart w:id="51" w:name="_Toc15919"/>
      <w:r>
        <w:rPr>
          <w:rFonts w:hint="eastAsia" w:ascii="微软雅黑" w:hAnsi="微软雅黑" w:cs="微软雅黑"/>
          <w:color w:val="auto"/>
          <w:highlight w:val="none"/>
        </w:rPr>
        <w:br w:type="page" w:clear="all"/>
      </w:r>
      <w:bookmarkStart w:id="52" w:name="_Toc23408"/>
      <w:r>
        <w:rPr>
          <w:rFonts w:hint="eastAsia" w:ascii="微软雅黑" w:hAnsi="微软雅黑" w:cs="微软雅黑"/>
          <w:color w:val="auto"/>
          <w:highlight w:val="none"/>
        </w:rPr>
        <w:t xml:space="preserve">一、总则</w:t>
      </w:r>
      <w:bookmarkEnd w:id="51"/>
      <w:r>
        <w:rPr>
          <w:highlight w:val="none"/>
        </w:rPr>
      </w:r>
      <w:bookmarkEnd w:id="52"/>
      <w:r>
        <w:rPr>
          <w:highlight w:val="none"/>
        </w:rPr>
      </w:r>
      <w:r>
        <w:rPr>
          <w:highlight w:val="none"/>
        </w:rPr>
      </w:r>
    </w:p>
    <w:p>
      <w:pPr>
        <w:pStyle w:val="1090"/>
        <w:jc w:val="left"/>
        <w:spacing w:before="0" w:after="0" w:line="420" w:lineRule="exact"/>
        <w:rPr>
          <w:rFonts w:hint="eastAsia" w:ascii="微软雅黑" w:hAnsi="微软雅黑" w:cs="微软雅黑"/>
          <w:b/>
          <w:bCs w:val="0"/>
          <w:color w:val="auto"/>
          <w:sz w:val="21"/>
          <w:szCs w:val="21"/>
          <w:highlight w:val="none"/>
        </w:rPr>
      </w:pPr>
      <w:r>
        <w:rPr>
          <w:highlight w:val="none"/>
        </w:rPr>
      </w:r>
      <w:bookmarkStart w:id="53" w:name="_Toc25469"/>
      <w:r>
        <w:rPr>
          <w:highlight w:val="none"/>
        </w:rPr>
      </w:r>
      <w:bookmarkStart w:id="54" w:name="_Toc4471"/>
      <w:r>
        <w:rPr>
          <w:highlight w:val="none"/>
        </w:rPr>
      </w:r>
      <w:bookmarkStart w:id="55" w:name="_Toc6969"/>
      <w:r>
        <w:rPr>
          <w:highlight w:val="none"/>
        </w:rPr>
      </w:r>
      <w:bookmarkStart w:id="56" w:name="_Toc452384171"/>
      <w:r>
        <w:rPr>
          <w:highlight w:val="none"/>
        </w:rPr>
      </w:r>
      <w:bookmarkStart w:id="57" w:name="_Toc19359"/>
      <w:r>
        <w:rPr>
          <w:rFonts w:hint="eastAsia" w:ascii="微软雅黑" w:hAnsi="微软雅黑" w:cs="微软雅黑"/>
          <w:b/>
          <w:bCs w:val="0"/>
          <w:color w:val="auto"/>
          <w:sz w:val="21"/>
          <w:szCs w:val="21"/>
          <w:highlight w:val="none"/>
        </w:rPr>
        <w:t xml:space="preserve">1.1 适用范围</w:t>
      </w:r>
      <w:bookmarkEnd w:id="53"/>
      <w:r>
        <w:rPr>
          <w:highlight w:val="none"/>
        </w:rPr>
      </w:r>
      <w:bookmarkEnd w:id="54"/>
      <w:r>
        <w:rPr>
          <w:highlight w:val="none"/>
        </w:rPr>
      </w:r>
      <w:bookmarkEnd w:id="55"/>
      <w:r>
        <w:rPr>
          <w:highlight w:val="none"/>
        </w:rPr>
      </w:r>
      <w:bookmarkEnd w:id="56"/>
      <w:r>
        <w:rPr>
          <w:highlight w:val="none"/>
        </w:rPr>
      </w:r>
      <w:bookmarkEnd w:id="57"/>
      <w:r>
        <w:rPr>
          <w:highlight w:val="none"/>
        </w:rPr>
      </w:r>
      <w:r>
        <w:rPr>
          <w:highlight w:val="none"/>
        </w:rP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1.1.1 本采购文件仅适用于</w:t>
      </w:r>
      <w:r>
        <w:rPr>
          <w:rFonts w:hint="eastAsia" w:ascii="微软雅黑" w:hAnsi="微软雅黑" w:cs="微软雅黑"/>
          <w:color w:val="auto"/>
          <w:szCs w:val="21"/>
          <w:highlight w:val="none"/>
          <w:lang w:eastAsia="zh-CN"/>
        </w:rPr>
        <w:t xml:space="preserve">江苏中际招标代理有限公司</w:t>
      </w:r>
      <w:r>
        <w:rPr>
          <w:rFonts w:hint="eastAsia" w:ascii="微软雅黑" w:hAnsi="微软雅黑" w:cs="微软雅黑"/>
          <w:color w:val="auto"/>
          <w:szCs w:val="21"/>
          <w:highlight w:val="none"/>
        </w:rPr>
        <w:t xml:space="preserve">（以下简称采购代理机构）组织的采购活动。</w:t>
      </w:r>
      <w:r>
        <w:rPr>
          <w:highlight w:val="none"/>
        </w:rPr>
      </w:r>
      <w:r>
        <w:rPr>
          <w:highlight w:val="none"/>
        </w:rP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1.1.2 采购人指</w:t>
      </w:r>
      <w:r>
        <w:rPr>
          <w:rFonts w:hint="eastAsia" w:ascii="微软雅黑" w:hAnsi="微软雅黑" w:cs="微软雅黑"/>
          <w:b/>
          <w:bCs/>
          <w:color w:val="auto"/>
          <w:szCs w:val="21"/>
          <w:highlight w:val="none"/>
          <w:lang w:eastAsia="zh-CN"/>
        </w:rPr>
        <w:t xml:space="preserve">徐州医科大学附属医院</w:t>
      </w:r>
      <w:r>
        <w:rPr>
          <w:rFonts w:hint="eastAsia" w:ascii="微软雅黑" w:hAnsi="微软雅黑" w:cs="微软雅黑"/>
          <w:color w:val="auto"/>
          <w:szCs w:val="21"/>
          <w:highlight w:val="none"/>
        </w:rPr>
        <w:t xml:space="preserve">。</w:t>
      </w:r>
      <w:r>
        <w:rPr>
          <w:highlight w:val="none"/>
        </w:rPr>
      </w:r>
      <w:r>
        <w:rPr>
          <w:highlight w:val="none"/>
        </w:rPr>
      </w:r>
    </w:p>
    <w:p>
      <w:pPr>
        <w:pStyle w:val="1090"/>
        <w:ind w:left="0"/>
        <w:jc w:val="left"/>
        <w:pageBreakBefore w:val="0"/>
        <w:spacing w:before="0" w:after="0" w:line="440" w:lineRule="exact"/>
        <w:widowControl w:val="off"/>
        <w:rPr>
          <w:rFonts w:hint="eastAsia" w:ascii="微软雅黑" w:hAnsi="微软雅黑" w:eastAsia="微软雅黑" w:cs="微软雅黑"/>
          <w:b/>
          <w:bCs w:val="0"/>
          <w:color w:val="auto"/>
          <w:sz w:val="21"/>
          <w:szCs w:val="21"/>
          <w:highlight w:val="none"/>
        </w:rPr>
      </w:pPr>
      <w:r>
        <w:rPr>
          <w:highlight w:val="none"/>
        </w:rPr>
      </w:r>
      <w:bookmarkStart w:id="58" w:name="_Toc452384172"/>
      <w:r>
        <w:rPr>
          <w:highlight w:val="none"/>
        </w:rPr>
      </w:r>
      <w:bookmarkStart w:id="59" w:name="_Toc5050"/>
      <w:r>
        <w:rPr>
          <w:highlight w:val="none"/>
        </w:rPr>
      </w:r>
      <w:bookmarkStart w:id="60" w:name="_Toc2639"/>
      <w:r>
        <w:rPr>
          <w:highlight w:val="none"/>
        </w:rPr>
      </w:r>
      <w:bookmarkStart w:id="61" w:name="_Toc6316"/>
      <w:r>
        <w:rPr>
          <w:highlight w:val="none"/>
        </w:rPr>
      </w:r>
      <w:bookmarkStart w:id="62" w:name="_Toc9740"/>
      <w:r>
        <w:rPr>
          <w:rFonts w:hint="eastAsia" w:ascii="微软雅黑" w:hAnsi="微软雅黑" w:eastAsia="微软雅黑" w:cs="微软雅黑"/>
          <w:b/>
          <w:bCs w:val="0"/>
          <w:color w:val="auto"/>
          <w:sz w:val="21"/>
          <w:szCs w:val="21"/>
          <w:highlight w:val="none"/>
        </w:rPr>
        <w:t xml:space="preserve">1.2 合格的</w:t>
      </w:r>
      <w:bookmarkEnd w:id="58"/>
      <w:r>
        <w:rPr>
          <w:rFonts w:hint="eastAsia" w:ascii="微软雅黑" w:hAnsi="微软雅黑" w:eastAsia="微软雅黑" w:cs="微软雅黑"/>
          <w:b/>
          <w:bCs w:val="0"/>
          <w:color w:val="auto"/>
          <w:sz w:val="21"/>
          <w:szCs w:val="21"/>
          <w:highlight w:val="none"/>
        </w:rPr>
        <w:t xml:space="preserve">供应商</w:t>
      </w:r>
      <w:bookmarkEnd w:id="59"/>
      <w:r>
        <w:rPr>
          <w:highlight w:val="none"/>
        </w:rPr>
      </w:r>
      <w:bookmarkEnd w:id="60"/>
      <w:r>
        <w:rPr>
          <w:highlight w:val="none"/>
        </w:rPr>
      </w:r>
      <w:bookmarkEnd w:id="61"/>
      <w:r>
        <w:rPr>
          <w:highlight w:val="none"/>
        </w:rPr>
      </w:r>
      <w:bookmarkEnd w:id="62"/>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1.2.1 凡有能力按照本采购文件规定的要求提供</w:t>
      </w:r>
      <w:r>
        <w:rPr>
          <w:rFonts w:hint="eastAsia" w:ascii="微软雅黑" w:hAnsi="微软雅黑" w:cs="微软雅黑"/>
          <w:color w:val="auto"/>
          <w:sz w:val="21"/>
          <w:szCs w:val="21"/>
          <w:highlight w:val="none"/>
          <w:lang w:eastAsia="zh-CN"/>
        </w:rPr>
        <w:t xml:space="preserve">货物、</w:t>
      </w:r>
      <w:r>
        <w:rPr>
          <w:rFonts w:hint="eastAsia" w:ascii="微软雅黑" w:hAnsi="微软雅黑" w:eastAsia="微软雅黑" w:cs="微软雅黑"/>
          <w:color w:val="auto"/>
          <w:sz w:val="21"/>
          <w:szCs w:val="21"/>
          <w:highlight w:val="none"/>
        </w:rPr>
        <w:t xml:space="preserve">服务，并符合采购文件第一章 “申请人的资格要求”的投标单位均可成为合格的供应商。</w:t>
      </w:r>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1.2.2 供应商参加本次采购活动应当符合本采购文件的规定。</w:t>
      </w:r>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1.2.3 供应商应遵守《中华人民共和国政府采购法》、《中华人民共和国政府采购法实施条例》</w:t>
      </w:r>
      <w:r>
        <w:rPr>
          <w:rFonts w:hint="eastAsia" w:ascii="微软雅黑" w:hAnsi="微软雅黑" w:eastAsia="微软雅黑" w:cs="微软雅黑"/>
          <w:color w:val="auto"/>
          <w:sz w:val="21"/>
          <w:szCs w:val="21"/>
          <w:highlight w:val="none"/>
        </w:rPr>
        <w:t xml:space="preserve">、《政府采购货物和服务招标投标管理办法》、《中华人民共</w:t>
      </w:r>
      <w:r>
        <w:rPr>
          <w:rFonts w:hint="eastAsia" w:ascii="微软雅黑" w:hAnsi="微软雅黑" w:eastAsia="微软雅黑" w:cs="微软雅黑"/>
          <w:color w:val="auto"/>
          <w:sz w:val="21"/>
          <w:szCs w:val="21"/>
          <w:highlight w:val="none"/>
        </w:rPr>
        <w:t xml:space="preserve">和国民法典》和《</w:t>
      </w:r>
      <w:r>
        <w:rPr>
          <w:rFonts w:hint="eastAsia" w:ascii="微软雅黑" w:hAnsi="微软雅黑" w:cs="微软雅黑"/>
          <w:color w:val="auto"/>
          <w:sz w:val="21"/>
          <w:szCs w:val="21"/>
          <w:highlight w:val="none"/>
          <w:lang w:eastAsia="zh-CN"/>
        </w:rPr>
        <w:t xml:space="preserve">中华人民共和国反不正当竞争法</w:t>
      </w:r>
      <w:r>
        <w:rPr>
          <w:rFonts w:hint="eastAsia" w:ascii="微软雅黑" w:hAnsi="微软雅黑" w:eastAsia="微软雅黑" w:cs="微软雅黑"/>
          <w:color w:val="auto"/>
          <w:sz w:val="21"/>
          <w:szCs w:val="21"/>
          <w:highlight w:val="none"/>
        </w:rPr>
        <w:t xml:space="preserve">》等有关法律、法规，如有违反将视为不合格供应商，其投标文件无效。</w:t>
      </w:r>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b/>
          <w:i/>
          <w:color w:val="auto"/>
          <w:sz w:val="21"/>
          <w:szCs w:val="21"/>
          <w:highlight w:val="none"/>
          <w:u w:val="single"/>
        </w:rPr>
      </w:pPr>
      <w:r>
        <w:rPr>
          <w:rFonts w:hint="eastAsia" w:ascii="微软雅黑" w:hAnsi="微软雅黑" w:eastAsia="微软雅黑" w:cs="微软雅黑"/>
          <w:color w:val="auto"/>
          <w:sz w:val="21"/>
          <w:szCs w:val="21"/>
          <w:highlight w:val="none"/>
        </w:rPr>
        <w:t xml:space="preserve">1.2.4 无论采购文件是否提及，投标供应商所递交的投标文件中所有内容均应是真实有效的；</w:t>
      </w:r>
      <w:r>
        <w:rPr>
          <w:rFonts w:hint="eastAsia" w:ascii="微软雅黑" w:hAnsi="微软雅黑" w:eastAsia="微软雅黑" w:cs="微软雅黑"/>
          <w:b/>
          <w:i/>
          <w:color w:val="auto"/>
          <w:sz w:val="21"/>
          <w:szCs w:val="21"/>
          <w:highlight w:val="none"/>
          <w:u w:val="single"/>
        </w:rPr>
        <w:t xml:space="preserve">供应商所提供的产品或者服务，必须满足国家相关强制性规定要求，否则，将视为不合格供应商，其投标文件无效。</w:t>
      </w:r>
      <w:r>
        <w:rPr>
          <w:highlight w:val="none"/>
        </w:rPr>
      </w:r>
      <w:r>
        <w:rPr>
          <w:highlight w:val="none"/>
        </w:rPr>
      </w:r>
    </w:p>
    <w:p>
      <w:pPr>
        <w:pStyle w:val="1090"/>
        <w:ind w:left="0"/>
        <w:jc w:val="left"/>
        <w:pageBreakBefore w:val="0"/>
        <w:spacing w:before="0" w:after="0" w:line="440" w:lineRule="exact"/>
        <w:widowControl w:val="off"/>
        <w:rPr>
          <w:rFonts w:hint="eastAsia" w:ascii="微软雅黑" w:hAnsi="微软雅黑" w:eastAsia="微软雅黑" w:cs="微软雅黑"/>
          <w:b/>
          <w:bCs w:val="0"/>
          <w:color w:val="auto"/>
          <w:sz w:val="21"/>
          <w:szCs w:val="21"/>
          <w:highlight w:val="none"/>
        </w:rPr>
      </w:pPr>
      <w:r>
        <w:rPr>
          <w:highlight w:val="none"/>
        </w:rPr>
      </w:r>
      <w:bookmarkStart w:id="63" w:name="_Toc403671109"/>
      <w:r>
        <w:rPr>
          <w:highlight w:val="none"/>
        </w:rPr>
      </w:r>
      <w:bookmarkStart w:id="64" w:name="_Toc27879"/>
      <w:r>
        <w:rPr>
          <w:highlight w:val="none"/>
        </w:rPr>
      </w:r>
      <w:bookmarkStart w:id="65" w:name="_Toc25639"/>
      <w:r>
        <w:rPr>
          <w:highlight w:val="none"/>
        </w:rPr>
      </w:r>
      <w:bookmarkStart w:id="66" w:name="_Toc452384173"/>
      <w:r>
        <w:rPr>
          <w:highlight w:val="none"/>
        </w:rPr>
      </w:r>
      <w:bookmarkStart w:id="67" w:name="_Toc10476"/>
      <w:r>
        <w:rPr>
          <w:highlight w:val="none"/>
        </w:rPr>
      </w:r>
      <w:bookmarkStart w:id="68" w:name="_Toc28084"/>
      <w:r>
        <w:rPr>
          <w:rFonts w:hint="eastAsia" w:ascii="微软雅黑" w:hAnsi="微软雅黑" w:eastAsia="微软雅黑" w:cs="微软雅黑"/>
          <w:b/>
          <w:bCs w:val="0"/>
          <w:color w:val="auto"/>
          <w:sz w:val="21"/>
          <w:szCs w:val="21"/>
          <w:highlight w:val="none"/>
        </w:rPr>
        <w:t xml:space="preserve">1.3 </w:t>
      </w:r>
      <w:bookmarkEnd w:id="63"/>
      <w:r>
        <w:rPr>
          <w:rFonts w:hint="eastAsia" w:ascii="微软雅黑" w:hAnsi="微软雅黑" w:eastAsia="微软雅黑" w:cs="微软雅黑"/>
          <w:b/>
          <w:bCs w:val="0"/>
          <w:color w:val="auto"/>
          <w:sz w:val="21"/>
          <w:szCs w:val="21"/>
          <w:highlight w:val="none"/>
        </w:rPr>
        <w:t xml:space="preserve">参加采购活动费用</w:t>
      </w:r>
      <w:bookmarkEnd w:id="64"/>
      <w:r>
        <w:rPr>
          <w:highlight w:val="none"/>
        </w:rPr>
      </w:r>
      <w:bookmarkEnd w:id="65"/>
      <w:r>
        <w:rPr>
          <w:highlight w:val="none"/>
        </w:rPr>
      </w:r>
      <w:bookmarkEnd w:id="66"/>
      <w:r>
        <w:rPr>
          <w:highlight w:val="none"/>
        </w:rPr>
      </w:r>
      <w:bookmarkEnd w:id="67"/>
      <w:r>
        <w:rPr>
          <w:highlight w:val="none"/>
        </w:rPr>
      </w:r>
      <w:bookmarkEnd w:id="68"/>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1.3.1 无论采购活动过程中的做法和结果如何，供应商自行承担与参加采购活动有关的全部费用。</w:t>
      </w:r>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1.3.2 有关费用的收取标准，详见供应商须知前附表。</w:t>
      </w:r>
      <w:r>
        <w:rPr>
          <w:highlight w:val="none"/>
        </w:rPr>
      </w:r>
      <w:r>
        <w:rPr>
          <w:highlight w:val="none"/>
        </w:rPr>
      </w:r>
    </w:p>
    <w:p>
      <w:pPr>
        <w:pStyle w:val="1090"/>
        <w:ind w:left="0"/>
        <w:jc w:val="left"/>
        <w:pageBreakBefore w:val="0"/>
        <w:spacing w:before="0" w:after="0" w:line="440" w:lineRule="exact"/>
        <w:widowControl w:val="off"/>
        <w:rPr>
          <w:rFonts w:hint="eastAsia" w:ascii="微软雅黑" w:hAnsi="微软雅黑" w:eastAsia="微软雅黑" w:cs="微软雅黑"/>
          <w:b/>
          <w:bCs w:val="0"/>
          <w:color w:val="auto"/>
          <w:sz w:val="21"/>
          <w:szCs w:val="21"/>
          <w:highlight w:val="none"/>
        </w:rPr>
      </w:pPr>
      <w:r>
        <w:rPr>
          <w:highlight w:val="none"/>
        </w:rPr>
      </w:r>
      <w:bookmarkStart w:id="69" w:name="_Toc6551"/>
      <w:r>
        <w:rPr>
          <w:highlight w:val="none"/>
        </w:rPr>
      </w:r>
      <w:bookmarkStart w:id="70" w:name="_Toc20654"/>
      <w:r>
        <w:rPr>
          <w:highlight w:val="none"/>
        </w:rPr>
      </w:r>
      <w:bookmarkStart w:id="71" w:name="_Toc22926"/>
      <w:r>
        <w:rPr>
          <w:highlight w:val="none"/>
        </w:rPr>
      </w:r>
      <w:bookmarkStart w:id="72" w:name="_Toc30030"/>
      <w:r>
        <w:rPr>
          <w:highlight w:val="none"/>
        </w:rPr>
      </w:r>
      <w:bookmarkStart w:id="73" w:name="_Toc452384174"/>
      <w:r>
        <w:rPr>
          <w:rFonts w:hint="eastAsia" w:ascii="微软雅黑" w:hAnsi="微软雅黑" w:eastAsia="微软雅黑" w:cs="微软雅黑"/>
          <w:b/>
          <w:bCs w:val="0"/>
          <w:color w:val="auto"/>
          <w:sz w:val="21"/>
          <w:szCs w:val="21"/>
          <w:highlight w:val="none"/>
        </w:rPr>
        <w:t xml:space="preserve">1.4 法律适用</w:t>
      </w:r>
      <w:bookmarkEnd w:id="69"/>
      <w:r>
        <w:rPr>
          <w:highlight w:val="none"/>
        </w:rPr>
      </w:r>
      <w:bookmarkEnd w:id="70"/>
      <w:r>
        <w:rPr>
          <w:highlight w:val="none"/>
        </w:rPr>
      </w:r>
      <w:bookmarkEnd w:id="71"/>
      <w:r>
        <w:rPr>
          <w:highlight w:val="none"/>
        </w:rPr>
      </w:r>
      <w:bookmarkEnd w:id="72"/>
      <w:r>
        <w:rPr>
          <w:highlight w:val="none"/>
        </w:rPr>
      </w:r>
      <w:bookmarkEnd w:id="73"/>
      <w:r>
        <w:rPr>
          <w:highlight w:val="none"/>
        </w:rPr>
      </w:r>
      <w:r>
        <w:rPr>
          <w:highlight w:val="none"/>
        </w:rPr>
      </w:r>
    </w:p>
    <w:p>
      <w:pPr>
        <w:ind w:left="0" w:firstLine="42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本次采购活动及其产生的合同适用中华人民共和国法律。</w:t>
      </w:r>
      <w:r>
        <w:rPr>
          <w:highlight w:val="none"/>
        </w:rPr>
      </w:r>
      <w:r>
        <w:rPr>
          <w:highlight w:val="none"/>
        </w:rPr>
      </w:r>
    </w:p>
    <w:p>
      <w:pPr>
        <w:pStyle w:val="1090"/>
        <w:ind w:left="0"/>
        <w:jc w:val="left"/>
        <w:pageBreakBefore w:val="0"/>
        <w:spacing w:before="0" w:after="0" w:line="440" w:lineRule="exact"/>
        <w:widowControl w:val="off"/>
        <w:rPr>
          <w:rFonts w:hint="eastAsia" w:ascii="微软雅黑" w:hAnsi="微软雅黑" w:eastAsia="微软雅黑" w:cs="微软雅黑"/>
          <w:b/>
          <w:bCs w:val="0"/>
          <w:color w:val="auto"/>
          <w:sz w:val="21"/>
          <w:szCs w:val="21"/>
          <w:highlight w:val="none"/>
        </w:rPr>
      </w:pPr>
      <w:r>
        <w:rPr>
          <w:highlight w:val="none"/>
        </w:rPr>
      </w:r>
      <w:bookmarkStart w:id="74" w:name="_Toc21815"/>
      <w:r>
        <w:rPr>
          <w:highlight w:val="none"/>
        </w:rPr>
      </w:r>
      <w:bookmarkStart w:id="75" w:name="_Toc24537"/>
      <w:r>
        <w:rPr>
          <w:highlight w:val="none"/>
        </w:rPr>
      </w:r>
      <w:bookmarkStart w:id="76" w:name="_Toc22927"/>
      <w:r>
        <w:rPr>
          <w:highlight w:val="none"/>
        </w:rPr>
      </w:r>
      <w:bookmarkStart w:id="77" w:name="_Toc4227"/>
      <w:r>
        <w:rPr>
          <w:highlight w:val="none"/>
        </w:rPr>
      </w:r>
      <w:bookmarkStart w:id="78" w:name="_Toc452384175"/>
      <w:r>
        <w:rPr>
          <w:rFonts w:hint="eastAsia" w:ascii="微软雅黑" w:hAnsi="微软雅黑" w:eastAsia="微软雅黑" w:cs="微软雅黑"/>
          <w:b/>
          <w:bCs w:val="0"/>
          <w:color w:val="auto"/>
          <w:sz w:val="21"/>
          <w:szCs w:val="21"/>
          <w:highlight w:val="none"/>
        </w:rPr>
        <w:t xml:space="preserve">1.5 采购文件的约束力</w:t>
      </w:r>
      <w:bookmarkEnd w:id="74"/>
      <w:r>
        <w:rPr>
          <w:highlight w:val="none"/>
        </w:rPr>
      </w:r>
      <w:bookmarkEnd w:id="75"/>
      <w:r>
        <w:rPr>
          <w:highlight w:val="none"/>
        </w:rPr>
      </w:r>
      <w:bookmarkEnd w:id="76"/>
      <w:r>
        <w:rPr>
          <w:highlight w:val="none"/>
        </w:rPr>
      </w:r>
      <w:bookmarkEnd w:id="77"/>
      <w:r>
        <w:rPr>
          <w:highlight w:val="none"/>
        </w:rPr>
      </w:r>
      <w:bookmarkEnd w:id="78"/>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1.5.1 供应商一旦参加本次采购活动，即被认为接受了本采购文件中的所有条款和规定。</w:t>
      </w:r>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1.5.2 本采购文件由采购代理机构负责解释。</w:t>
      </w:r>
      <w:r>
        <w:rPr>
          <w:highlight w:val="none"/>
        </w:rPr>
      </w:r>
      <w:r>
        <w:rPr>
          <w:highlight w:val="none"/>
        </w:rPr>
      </w:r>
    </w:p>
    <w:p>
      <w:pPr>
        <w:pStyle w:val="1088"/>
        <w:ind w:left="0" w:right="0" w:firstLine="0"/>
        <w:jc w:val="center"/>
        <w:pageBreakBefore w:val="0"/>
        <w:spacing w:before="0" w:after="0" w:line="240" w:lineRule="auto"/>
        <w:widowControl w:val="off"/>
        <w:rPr>
          <w:rFonts w:hint="eastAsia" w:ascii="微软雅黑" w:hAnsi="微软雅黑" w:eastAsia="微软雅黑" w:cs="微软雅黑"/>
          <w:b/>
          <w:bCs/>
          <w:color w:val="auto"/>
          <w:sz w:val="28"/>
          <w:szCs w:val="32"/>
          <w:highlight w:val="none"/>
        </w:rPr>
      </w:pPr>
      <w:r>
        <w:rPr>
          <w:highlight w:val="none"/>
        </w:rPr>
      </w:r>
      <w:bookmarkStart w:id="79" w:name="_Toc452384176"/>
      <w:r>
        <w:rPr>
          <w:highlight w:val="none"/>
        </w:rPr>
      </w:r>
      <w:bookmarkStart w:id="80" w:name="_Toc15682"/>
      <w:r>
        <w:rPr>
          <w:highlight w:val="none"/>
        </w:rPr>
      </w:r>
      <w:bookmarkStart w:id="81" w:name="_Toc25730"/>
      <w:r>
        <w:rPr>
          <w:highlight w:val="none"/>
        </w:rPr>
      </w:r>
      <w:bookmarkStart w:id="82" w:name="_Toc4855"/>
      <w:r>
        <w:rPr>
          <w:rFonts w:hint="eastAsia" w:ascii="微软雅黑" w:hAnsi="微软雅黑" w:eastAsia="微软雅黑" w:cs="微软雅黑"/>
          <w:b/>
          <w:bCs/>
          <w:color w:val="auto"/>
          <w:sz w:val="28"/>
          <w:szCs w:val="32"/>
          <w:highlight w:val="none"/>
          <w:lang w:val="en-US" w:eastAsia="zh-CN" w:bidi="ar-SA"/>
        </w:rPr>
        <w:t xml:space="preserve">二、采购文件</w:t>
      </w:r>
      <w:bookmarkEnd w:id="79"/>
      <w:r>
        <w:rPr>
          <w:highlight w:val="none"/>
        </w:rPr>
      </w:r>
      <w:bookmarkEnd w:id="80"/>
      <w:r>
        <w:rPr>
          <w:highlight w:val="none"/>
        </w:rPr>
      </w:r>
      <w:bookmarkEnd w:id="81"/>
      <w:r>
        <w:rPr>
          <w:highlight w:val="none"/>
        </w:rPr>
      </w:r>
      <w:bookmarkEnd w:id="82"/>
      <w:r>
        <w:rPr>
          <w:highlight w:val="none"/>
        </w:rPr>
      </w:r>
      <w:r>
        <w:rPr>
          <w:highlight w:val="none"/>
        </w:rPr>
      </w:r>
    </w:p>
    <w:p>
      <w:pPr>
        <w:pStyle w:val="1090"/>
        <w:ind w:left="0"/>
        <w:jc w:val="left"/>
        <w:pageBreakBefore w:val="0"/>
        <w:spacing w:before="0" w:after="0" w:line="440" w:lineRule="exact"/>
        <w:widowControl w:val="off"/>
        <w:rPr>
          <w:rFonts w:hint="eastAsia" w:ascii="微软雅黑" w:hAnsi="微软雅黑" w:eastAsia="微软雅黑" w:cs="微软雅黑"/>
          <w:b/>
          <w:bCs w:val="0"/>
          <w:color w:val="auto"/>
          <w:sz w:val="21"/>
          <w:szCs w:val="21"/>
          <w:highlight w:val="none"/>
        </w:rPr>
      </w:pPr>
      <w:r>
        <w:rPr>
          <w:highlight w:val="none"/>
        </w:rPr>
      </w:r>
      <w:bookmarkStart w:id="83" w:name="_Toc25037"/>
      <w:r>
        <w:rPr>
          <w:highlight w:val="none"/>
        </w:rPr>
      </w:r>
      <w:bookmarkStart w:id="84" w:name="_Toc28414"/>
      <w:r>
        <w:rPr>
          <w:highlight w:val="none"/>
        </w:rPr>
      </w:r>
      <w:bookmarkStart w:id="85" w:name="_Toc6658"/>
      <w:r>
        <w:rPr>
          <w:highlight w:val="none"/>
        </w:rPr>
      </w:r>
      <w:bookmarkStart w:id="86" w:name="_Toc31606"/>
      <w:r>
        <w:rPr>
          <w:highlight w:val="none"/>
        </w:rPr>
      </w:r>
      <w:bookmarkStart w:id="87" w:name="_Toc452384177"/>
      <w:r>
        <w:rPr>
          <w:rFonts w:hint="eastAsia" w:ascii="微软雅黑" w:hAnsi="微软雅黑" w:eastAsia="微软雅黑" w:cs="微软雅黑"/>
          <w:b/>
          <w:bCs w:val="0"/>
          <w:color w:val="auto"/>
          <w:sz w:val="21"/>
          <w:szCs w:val="21"/>
          <w:highlight w:val="none"/>
        </w:rPr>
        <w:t xml:space="preserve">2.1 采购文件的组成</w:t>
      </w:r>
      <w:bookmarkEnd w:id="83"/>
      <w:r>
        <w:rPr>
          <w:highlight w:val="none"/>
        </w:rPr>
      </w:r>
      <w:bookmarkEnd w:id="84"/>
      <w:r>
        <w:rPr>
          <w:highlight w:val="none"/>
        </w:rPr>
      </w:r>
      <w:bookmarkEnd w:id="85"/>
      <w:r>
        <w:rPr>
          <w:highlight w:val="none"/>
        </w:rPr>
      </w:r>
      <w:bookmarkEnd w:id="86"/>
      <w:r>
        <w:rPr>
          <w:highlight w:val="none"/>
        </w:rPr>
      </w:r>
      <w:bookmarkEnd w:id="87"/>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2.1.1 采购文件由以下部分组成：</w:t>
      </w:r>
      <w:r>
        <w:rPr>
          <w:highlight w:val="none"/>
        </w:rPr>
      </w:r>
      <w:r>
        <w:rPr>
          <w:highlight w:val="none"/>
        </w:rPr>
      </w:r>
    </w:p>
    <w:p>
      <w:pPr>
        <w:ind w:left="0" w:firstLine="42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第一章  投标邀请（采购公告）</w:t>
      </w:r>
      <w:r>
        <w:rPr>
          <w:highlight w:val="none"/>
        </w:rPr>
      </w:r>
      <w:r>
        <w:rPr>
          <w:highlight w:val="none"/>
        </w:rPr>
      </w:r>
    </w:p>
    <w:p>
      <w:pPr>
        <w:ind w:left="0" w:firstLine="42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第二章  供应商须知</w:t>
      </w:r>
      <w:r>
        <w:rPr>
          <w:highlight w:val="none"/>
        </w:rPr>
      </w:r>
      <w:r>
        <w:rPr>
          <w:highlight w:val="none"/>
        </w:rPr>
      </w:r>
    </w:p>
    <w:p>
      <w:pPr>
        <w:ind w:left="0" w:firstLine="42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第三章  评分标准和定标原则</w:t>
      </w:r>
      <w:r>
        <w:rPr>
          <w:highlight w:val="none"/>
        </w:rPr>
      </w:r>
      <w:r>
        <w:rPr>
          <w:highlight w:val="none"/>
        </w:rPr>
      </w:r>
    </w:p>
    <w:p>
      <w:pPr>
        <w:ind w:left="0" w:firstLine="42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第四章  项目采购需求</w:t>
      </w:r>
      <w:r>
        <w:rPr>
          <w:highlight w:val="none"/>
        </w:rPr>
      </w:r>
      <w:r>
        <w:rPr>
          <w:highlight w:val="none"/>
        </w:rPr>
      </w:r>
    </w:p>
    <w:p>
      <w:pPr>
        <w:ind w:left="0" w:firstLine="42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第五章  采购合同</w:t>
      </w:r>
      <w:r>
        <w:rPr>
          <w:highlight w:val="none"/>
        </w:rPr>
      </w:r>
      <w:r>
        <w:rPr>
          <w:highlight w:val="none"/>
        </w:rPr>
      </w:r>
    </w:p>
    <w:p>
      <w:pPr>
        <w:ind w:left="0" w:firstLine="42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第六章  投标文件格式及附件</w:t>
      </w:r>
      <w:r>
        <w:rPr>
          <w:highlight w:val="none"/>
        </w:rPr>
      </w:r>
      <w:r>
        <w:rPr>
          <w:highlight w:val="none"/>
        </w:rPr>
      </w:r>
    </w:p>
    <w:p>
      <w:pPr>
        <w:ind w:left="0" w:firstLine="42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请仔细检查采购文件是否齐全，如有缺漏，请立即与采购代理机构联系解决。</w:t>
      </w:r>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2.1.2 供应商被视为充分熟悉本采购项目所在地的与履行合同有关的各种情况，包括自然环境、气候条件、劳动力及公用设施等，本采购文件不再对上述情况进行描述。</w:t>
      </w:r>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2.1.3 供应商必须详阅采购文件的所有条款、文件及表格格式等。供应商若未按采购文件的要求和规范编制、提交投标文件，将有可能导致投标文件被拒绝接受或被视为无效。</w:t>
      </w:r>
      <w:r>
        <w:rPr>
          <w:highlight w:val="none"/>
        </w:rPr>
      </w:r>
      <w:r>
        <w:rPr>
          <w:highlight w:val="none"/>
        </w:rPr>
      </w:r>
    </w:p>
    <w:p>
      <w:pPr>
        <w:pStyle w:val="1090"/>
        <w:ind w:left="0"/>
        <w:jc w:val="left"/>
        <w:pageBreakBefore w:val="0"/>
        <w:spacing w:before="0" w:after="0" w:line="440" w:lineRule="exact"/>
        <w:widowControl w:val="off"/>
        <w:rPr>
          <w:rFonts w:hint="eastAsia" w:ascii="微软雅黑" w:hAnsi="微软雅黑" w:eastAsia="微软雅黑" w:cs="微软雅黑"/>
          <w:b/>
          <w:bCs w:val="0"/>
          <w:color w:val="auto"/>
          <w:sz w:val="21"/>
          <w:szCs w:val="21"/>
          <w:highlight w:val="none"/>
        </w:rPr>
      </w:pPr>
      <w:r>
        <w:rPr>
          <w:highlight w:val="none"/>
        </w:rPr>
      </w:r>
      <w:bookmarkStart w:id="88" w:name="_Toc21544"/>
      <w:r>
        <w:rPr>
          <w:highlight w:val="none"/>
        </w:rPr>
      </w:r>
      <w:bookmarkStart w:id="89" w:name="_Toc32308"/>
      <w:r>
        <w:rPr>
          <w:highlight w:val="none"/>
        </w:rPr>
      </w:r>
      <w:bookmarkStart w:id="90" w:name="_Toc4439"/>
      <w:r>
        <w:rPr>
          <w:highlight w:val="none"/>
        </w:rPr>
      </w:r>
      <w:bookmarkStart w:id="91" w:name="_Toc452384179"/>
      <w:r>
        <w:rPr>
          <w:highlight w:val="none"/>
        </w:rPr>
      </w:r>
      <w:bookmarkStart w:id="92" w:name="_Toc10465"/>
      <w:r>
        <w:rPr>
          <w:rFonts w:hint="eastAsia" w:ascii="微软雅黑" w:hAnsi="微软雅黑" w:eastAsia="微软雅黑" w:cs="微软雅黑"/>
          <w:b/>
          <w:bCs w:val="0"/>
          <w:color w:val="auto"/>
          <w:sz w:val="21"/>
          <w:szCs w:val="21"/>
          <w:highlight w:val="none"/>
        </w:rPr>
        <w:t xml:space="preserve">2.2 采购文件的更正或补充</w:t>
      </w:r>
      <w:bookmarkEnd w:id="88"/>
      <w:r>
        <w:rPr>
          <w:highlight w:val="none"/>
        </w:rPr>
      </w:r>
      <w:bookmarkEnd w:id="89"/>
      <w:r>
        <w:rPr>
          <w:highlight w:val="none"/>
        </w:rPr>
      </w:r>
      <w:bookmarkEnd w:id="90"/>
      <w:r>
        <w:rPr>
          <w:highlight w:val="none"/>
        </w:rPr>
      </w:r>
      <w:bookmarkEnd w:id="91"/>
      <w:r>
        <w:rPr>
          <w:highlight w:val="none"/>
        </w:rPr>
      </w:r>
      <w:bookmarkEnd w:id="92"/>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2.2.1 在投标截止时间前，采购代理机构可根据有关规定对采购文件用更正公告的方式进行修正。</w:t>
      </w:r>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2.2.2 对采购文件的更正，将在原公告媒体上以公告的方式通知供应商。更正公告将作为采购文件的组成部分，对所有参加本次采购活动的供应</w:t>
      </w:r>
      <w:r>
        <w:rPr>
          <w:rFonts w:hint="eastAsia" w:ascii="微软雅黑" w:hAnsi="微软雅黑" w:cs="微软雅黑"/>
          <w:color w:val="auto"/>
          <w:sz w:val="21"/>
          <w:szCs w:val="21"/>
          <w:highlight w:val="none"/>
          <w:lang w:eastAsia="zh-CN"/>
        </w:rPr>
        <w:t xml:space="preserve">商具</w:t>
      </w:r>
      <w:r>
        <w:rPr>
          <w:rFonts w:hint="eastAsia" w:ascii="微软雅黑" w:hAnsi="微软雅黑" w:eastAsia="微软雅黑" w:cs="微软雅黑"/>
          <w:color w:val="auto"/>
          <w:sz w:val="21"/>
          <w:szCs w:val="21"/>
          <w:highlight w:val="none"/>
        </w:rPr>
        <w:t xml:space="preserve">有约束力。因供应商未能及时全面地关注更正公告而导致其投标文件不符合要求并产生的风险及损失，由供应商自行承担。</w:t>
      </w:r>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2.2.3 当采购文件与更正公告的内容不一致时，以采购代理机构最后发出的更正公告为准。</w:t>
      </w:r>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2.2.4 为使供应商有足够的时间按采购文件的更正要求修正投标文件，采购代理机构有权决定推迟投标截</w:t>
      </w:r>
      <w:r>
        <w:rPr>
          <w:rFonts w:hint="eastAsia" w:ascii="微软雅黑" w:hAnsi="微软雅黑" w:eastAsia="微软雅黑" w:cs="微软雅黑"/>
          <w:color w:val="auto"/>
          <w:sz w:val="21"/>
          <w:szCs w:val="21"/>
          <w:highlight w:val="none"/>
        </w:rPr>
        <w:t xml:space="preserve">止时间，并按2.2.2条规定的方式将具体变更情况通知供应商。</w:t>
      </w:r>
      <w:r>
        <w:rPr>
          <w:highlight w:val="none"/>
        </w:rPr>
      </w:r>
      <w:r>
        <w:rPr>
          <w:highlight w:val="none"/>
        </w:rPr>
      </w:r>
    </w:p>
    <w:p>
      <w:pPr>
        <w:ind w:firstLine="420"/>
        <w:jc w:val="left"/>
        <w:pageBreakBefore w:val="0"/>
        <w:spacing w:line="440" w:lineRule="exact"/>
        <w:widowControl w:val="off"/>
        <w:rPr>
          <w:rFonts w:hint="eastAsia" w:ascii="微软雅黑" w:hAnsi="微软雅黑" w:eastAsia="微软雅黑" w:cs="微软雅黑"/>
          <w:b/>
          <w:bCs/>
          <w:i/>
          <w:iCs/>
          <w:color w:val="auto"/>
          <w:sz w:val="21"/>
          <w:szCs w:val="21"/>
          <w:highlight w:val="none"/>
          <w:u w:val="single"/>
        </w:rPr>
      </w:pPr>
      <w:r>
        <w:rPr>
          <w:rFonts w:hint="eastAsia" w:ascii="微软雅黑" w:hAnsi="微软雅黑" w:eastAsia="微软雅黑" w:cs="微软雅黑"/>
          <w:b/>
          <w:bCs/>
          <w:i/>
          <w:iCs/>
          <w:color w:val="auto"/>
          <w:sz w:val="21"/>
          <w:szCs w:val="21"/>
          <w:highlight w:val="none"/>
          <w:u w:val="single"/>
        </w:rPr>
        <w:t xml:space="preserve">如标书制作工具中格式和内容与“江苏政府采购网”发布的招标文件不一致，以“江苏政府采购网”发布的招标文件为准。</w:t>
      </w:r>
      <w:r>
        <w:rPr>
          <w:highlight w:val="none"/>
        </w:rPr>
      </w:r>
      <w:r>
        <w:rPr>
          <w:highlight w:val="none"/>
        </w:rPr>
      </w:r>
    </w:p>
    <w:p>
      <w:pPr>
        <w:pStyle w:val="1088"/>
        <w:ind w:left="0" w:right="0" w:firstLine="0"/>
        <w:jc w:val="center"/>
        <w:pageBreakBefore w:val="0"/>
        <w:spacing w:before="0" w:after="0" w:line="240" w:lineRule="auto"/>
        <w:widowControl w:val="off"/>
        <w:rPr>
          <w:rFonts w:hint="eastAsia" w:ascii="微软雅黑" w:hAnsi="微软雅黑" w:eastAsia="微软雅黑" w:cs="微软雅黑"/>
          <w:b/>
          <w:bCs/>
          <w:color w:val="auto"/>
          <w:sz w:val="28"/>
          <w:szCs w:val="32"/>
          <w:highlight w:val="none"/>
        </w:rPr>
      </w:pPr>
      <w:r>
        <w:rPr>
          <w:highlight w:val="none"/>
        </w:rPr>
      </w:r>
      <w:bookmarkStart w:id="93" w:name="_Toc15544"/>
      <w:r>
        <w:rPr>
          <w:highlight w:val="none"/>
        </w:rPr>
      </w:r>
      <w:bookmarkStart w:id="94" w:name="_Toc2521"/>
      <w:r>
        <w:rPr>
          <w:highlight w:val="none"/>
        </w:rPr>
      </w:r>
      <w:bookmarkStart w:id="95" w:name="_Toc10212"/>
      <w:r>
        <w:rPr>
          <w:highlight w:val="none"/>
        </w:rPr>
      </w:r>
      <w:bookmarkStart w:id="96" w:name="_Toc17607"/>
      <w:r>
        <w:rPr>
          <w:highlight w:val="none"/>
        </w:rPr>
      </w:r>
      <w:bookmarkStart w:id="97" w:name="_Toc452384180"/>
      <w:r>
        <w:rPr>
          <w:rFonts w:hint="eastAsia" w:ascii="微软雅黑" w:hAnsi="微软雅黑" w:eastAsia="微软雅黑" w:cs="微软雅黑"/>
          <w:b/>
          <w:bCs/>
          <w:color w:val="auto"/>
          <w:sz w:val="28"/>
          <w:szCs w:val="32"/>
          <w:highlight w:val="none"/>
          <w:lang w:val="en-US" w:eastAsia="zh-CN" w:bidi="ar-SA"/>
        </w:rPr>
        <w:t xml:space="preserve">三、投标文件</w:t>
      </w:r>
      <w:bookmarkEnd w:id="93"/>
      <w:r>
        <w:rPr>
          <w:highlight w:val="none"/>
        </w:rPr>
      </w:r>
      <w:bookmarkEnd w:id="94"/>
      <w:r>
        <w:rPr>
          <w:highlight w:val="none"/>
        </w:rPr>
      </w:r>
      <w:bookmarkEnd w:id="95"/>
      <w:r>
        <w:rPr>
          <w:highlight w:val="none"/>
        </w:rPr>
      </w:r>
      <w:bookmarkEnd w:id="96"/>
      <w:r>
        <w:rPr>
          <w:highlight w:val="none"/>
        </w:rPr>
      </w:r>
      <w:bookmarkEnd w:id="97"/>
      <w:r>
        <w:rPr>
          <w:highlight w:val="none"/>
        </w:rPr>
      </w:r>
      <w:r>
        <w:rPr>
          <w:highlight w:val="none"/>
        </w:rPr>
      </w:r>
    </w:p>
    <w:p>
      <w:pPr>
        <w:pStyle w:val="1090"/>
        <w:ind w:left="0"/>
        <w:jc w:val="left"/>
        <w:pageBreakBefore w:val="0"/>
        <w:spacing w:before="0" w:after="0" w:line="440" w:lineRule="exact"/>
        <w:widowControl w:val="off"/>
        <w:rPr>
          <w:rFonts w:hint="eastAsia" w:ascii="微软雅黑" w:hAnsi="微软雅黑" w:eastAsia="微软雅黑" w:cs="微软雅黑"/>
          <w:b/>
          <w:bCs w:val="0"/>
          <w:color w:val="auto"/>
          <w:sz w:val="21"/>
          <w:szCs w:val="21"/>
          <w:highlight w:val="none"/>
        </w:rPr>
      </w:pPr>
      <w:r>
        <w:rPr>
          <w:highlight w:val="none"/>
        </w:rPr>
      </w:r>
      <w:bookmarkStart w:id="98" w:name="_Toc28047"/>
      <w:r>
        <w:rPr>
          <w:highlight w:val="none"/>
        </w:rPr>
      </w:r>
      <w:bookmarkStart w:id="99" w:name="_Toc25007"/>
      <w:r>
        <w:rPr>
          <w:highlight w:val="none"/>
        </w:rPr>
      </w:r>
      <w:bookmarkStart w:id="100" w:name="_Toc25966"/>
      <w:r>
        <w:rPr>
          <w:highlight w:val="none"/>
        </w:rPr>
      </w:r>
      <w:bookmarkStart w:id="101" w:name="_Toc452384181"/>
      <w:r>
        <w:rPr>
          <w:highlight w:val="none"/>
        </w:rPr>
      </w:r>
      <w:bookmarkStart w:id="102" w:name="_Toc15046"/>
      <w:r>
        <w:rPr>
          <w:rFonts w:hint="eastAsia" w:ascii="微软雅黑" w:hAnsi="微软雅黑" w:eastAsia="微软雅黑" w:cs="微软雅黑"/>
          <w:b/>
          <w:bCs w:val="0"/>
          <w:color w:val="auto"/>
          <w:sz w:val="21"/>
          <w:szCs w:val="21"/>
          <w:highlight w:val="none"/>
        </w:rPr>
        <w:t xml:space="preserve">3.1 投标文件的语言及度量衡</w:t>
      </w:r>
      <w:bookmarkEnd w:id="98"/>
      <w:r>
        <w:rPr>
          <w:highlight w:val="none"/>
        </w:rPr>
      </w:r>
      <w:bookmarkEnd w:id="99"/>
      <w:r>
        <w:rPr>
          <w:highlight w:val="none"/>
        </w:rPr>
      </w:r>
      <w:bookmarkEnd w:id="100"/>
      <w:r>
        <w:rPr>
          <w:highlight w:val="none"/>
        </w:rPr>
      </w:r>
      <w:bookmarkEnd w:id="101"/>
      <w:r>
        <w:rPr>
          <w:highlight w:val="none"/>
        </w:rPr>
      </w:r>
      <w:bookmarkEnd w:id="102"/>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3.1.1 投标文件以及供应商与采购代理机构之间的所有书面往来都应用简体中文书写。</w:t>
      </w:r>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3.1.2 供应商已印刷好的资料如产品样本、说明书等可以用其他语言，但其中要点应附有中文译文。在解释投标文件时，以译文为准。如译文有误，有关风险与责任由供应商承担。</w:t>
      </w:r>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3.1.3 除在采购文件第六章中另有规定外，度量衡单位应使用国际单位制。</w:t>
      </w:r>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3.1.4 本采购文件所表述的时间均为北京时间。</w:t>
      </w:r>
      <w:r>
        <w:rPr>
          <w:highlight w:val="none"/>
        </w:rPr>
      </w:r>
      <w:r>
        <w:rPr>
          <w:highlight w:val="none"/>
        </w:rPr>
      </w:r>
    </w:p>
    <w:p>
      <w:pPr>
        <w:pStyle w:val="1090"/>
        <w:ind w:left="0"/>
        <w:jc w:val="left"/>
        <w:pageBreakBefore w:val="0"/>
        <w:spacing w:before="0" w:after="0" w:line="440" w:lineRule="exact"/>
        <w:widowControl w:val="off"/>
        <w:rPr>
          <w:rFonts w:hint="eastAsia" w:ascii="微软雅黑" w:hAnsi="微软雅黑" w:eastAsia="微软雅黑" w:cs="微软雅黑"/>
          <w:b/>
          <w:bCs w:val="0"/>
          <w:color w:val="auto"/>
          <w:sz w:val="21"/>
          <w:szCs w:val="21"/>
          <w:highlight w:val="none"/>
        </w:rPr>
      </w:pPr>
      <w:r>
        <w:rPr>
          <w:highlight w:val="none"/>
        </w:rPr>
      </w:r>
      <w:bookmarkStart w:id="103" w:name="_Toc20626"/>
      <w:r>
        <w:rPr>
          <w:highlight w:val="none"/>
        </w:rPr>
      </w:r>
      <w:bookmarkStart w:id="104" w:name="_Toc3528"/>
      <w:r>
        <w:rPr>
          <w:highlight w:val="none"/>
        </w:rPr>
      </w:r>
      <w:bookmarkStart w:id="105" w:name="_Toc29417"/>
      <w:r>
        <w:rPr>
          <w:highlight w:val="none"/>
        </w:rPr>
      </w:r>
      <w:bookmarkStart w:id="106" w:name="_Toc452384182"/>
      <w:r>
        <w:rPr>
          <w:highlight w:val="none"/>
        </w:rPr>
      </w:r>
      <w:bookmarkStart w:id="107" w:name="_Toc25088"/>
      <w:r>
        <w:rPr>
          <w:rFonts w:hint="eastAsia" w:ascii="微软雅黑" w:hAnsi="微软雅黑" w:eastAsia="微软雅黑" w:cs="微软雅黑"/>
          <w:b/>
          <w:bCs w:val="0"/>
          <w:color w:val="auto"/>
          <w:sz w:val="21"/>
          <w:szCs w:val="21"/>
          <w:highlight w:val="none"/>
        </w:rPr>
        <w:t xml:space="preserve">3.2 投标文件的组成</w:t>
      </w:r>
      <w:bookmarkEnd w:id="103"/>
      <w:r>
        <w:rPr>
          <w:highlight w:val="none"/>
        </w:rPr>
      </w:r>
      <w:bookmarkEnd w:id="104"/>
      <w:r>
        <w:rPr>
          <w:highlight w:val="none"/>
        </w:rPr>
      </w:r>
      <w:bookmarkEnd w:id="105"/>
      <w:r>
        <w:rPr>
          <w:highlight w:val="none"/>
        </w:rPr>
      </w:r>
      <w:bookmarkEnd w:id="106"/>
      <w:r>
        <w:rPr>
          <w:highlight w:val="none"/>
        </w:rPr>
      </w:r>
      <w:bookmarkEnd w:id="107"/>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3.2.1 投标文件应包括下列部分（目录及有关格式按采购文件第六章“投标文件格式”要求）：</w:t>
      </w:r>
      <w:r>
        <w:rPr>
          <w:highlight w:val="none"/>
        </w:rPr>
      </w:r>
      <w:r>
        <w:rPr>
          <w:highlight w:val="none"/>
        </w:rPr>
      </w:r>
    </w:p>
    <w:p>
      <w:pPr>
        <w:ind w:left="0" w:firstLine="42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（1）投标函和投标报价及相关证明文件。</w:t>
      </w:r>
      <w:r>
        <w:rPr>
          <w:highlight w:val="none"/>
        </w:rPr>
      </w:r>
      <w:r>
        <w:rPr>
          <w:highlight w:val="none"/>
        </w:rPr>
      </w:r>
    </w:p>
    <w:p>
      <w:pPr>
        <w:ind w:left="0" w:firstLine="42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（2）供应商资格证明文件。</w:t>
      </w:r>
      <w:r>
        <w:rPr>
          <w:highlight w:val="none"/>
        </w:rPr>
      </w:r>
      <w:r>
        <w:rPr>
          <w:highlight w:val="none"/>
        </w:rPr>
      </w:r>
    </w:p>
    <w:p>
      <w:pPr>
        <w:ind w:left="0" w:firstLine="42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（3）投标供应商有能力履行合同的证明文件，除必须具有的履行合同所需的提供货物</w:t>
      </w:r>
      <w:r>
        <w:rPr>
          <w:rFonts w:hint="eastAsia" w:ascii="微软雅黑" w:hAnsi="微软雅黑" w:cs="微软雅黑"/>
          <w:color w:val="auto"/>
          <w:sz w:val="21"/>
          <w:szCs w:val="21"/>
          <w:highlight w:val="none"/>
          <w:lang w:eastAsia="zh-CN"/>
        </w:rPr>
        <w:t xml:space="preserve">、服务</w:t>
      </w:r>
      <w:r>
        <w:rPr>
          <w:rFonts w:hint="eastAsia" w:ascii="微软雅黑" w:hAnsi="微软雅黑" w:eastAsia="微软雅黑" w:cs="微软雅黑"/>
          <w:color w:val="auto"/>
          <w:sz w:val="21"/>
          <w:szCs w:val="21"/>
          <w:highlight w:val="none"/>
        </w:rPr>
        <w:t xml:space="preserve">的能力外，还必须具备相应的财务、专业技术方面的能力；</w:t>
      </w:r>
      <w:r>
        <w:rPr>
          <w:highlight w:val="none"/>
        </w:rPr>
      </w:r>
      <w:r>
        <w:rPr>
          <w:highlight w:val="none"/>
        </w:rPr>
      </w:r>
    </w:p>
    <w:p>
      <w:pPr>
        <w:ind w:left="0" w:firstLine="42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（4）其他根据合同要求证明其产品质量合格以及符合采购文件规定的证明文件。</w:t>
      </w:r>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3.2.2 采购文件第四章中指出的工艺、材料和设备的标准，以及商标、牌号或其目录编号，仅起说明作用并非进行限制。</w:t>
      </w:r>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b/>
          <w:i/>
          <w:color w:val="auto"/>
          <w:sz w:val="21"/>
          <w:szCs w:val="21"/>
          <w:highlight w:val="none"/>
          <w:u w:val="single"/>
        </w:rPr>
      </w:pPr>
      <w:r>
        <w:rPr>
          <w:rFonts w:hint="eastAsia" w:ascii="微软雅黑" w:hAnsi="微软雅黑" w:eastAsia="微软雅黑" w:cs="微软雅黑"/>
          <w:color w:val="auto"/>
          <w:sz w:val="21"/>
          <w:szCs w:val="21"/>
          <w:highlight w:val="none"/>
        </w:rPr>
        <w:t xml:space="preserve">3.2.3 </w:t>
      </w:r>
      <w:r>
        <w:rPr>
          <w:rFonts w:hint="eastAsia" w:ascii="微软雅黑" w:hAnsi="微软雅黑" w:eastAsia="微软雅黑" w:cs="微软雅黑"/>
          <w:b/>
          <w:i/>
          <w:color w:val="auto"/>
          <w:sz w:val="21"/>
          <w:szCs w:val="21"/>
          <w:highlight w:val="none"/>
          <w:u w:val="single"/>
        </w:rPr>
        <w:t xml:space="preserve">若供应商未按采购文件的要求提供资料，或未对采购文件做出实质性响应，将导致投标文件被视为无效。</w:t>
      </w:r>
      <w:r>
        <w:rPr>
          <w:highlight w:val="none"/>
        </w:rPr>
      </w:r>
      <w:r>
        <w:rPr>
          <w:highlight w:val="none"/>
        </w:rPr>
      </w:r>
    </w:p>
    <w:p>
      <w:pPr>
        <w:pStyle w:val="1090"/>
        <w:ind w:left="0"/>
        <w:jc w:val="left"/>
        <w:pageBreakBefore w:val="0"/>
        <w:spacing w:before="0" w:after="0" w:line="440" w:lineRule="exact"/>
        <w:widowControl w:val="off"/>
        <w:rPr>
          <w:rFonts w:hint="eastAsia" w:ascii="微软雅黑" w:hAnsi="微软雅黑" w:eastAsia="微软雅黑" w:cs="微软雅黑"/>
          <w:b/>
          <w:bCs w:val="0"/>
          <w:color w:val="auto"/>
          <w:sz w:val="21"/>
          <w:szCs w:val="21"/>
          <w:highlight w:val="none"/>
        </w:rPr>
      </w:pPr>
      <w:r>
        <w:rPr>
          <w:highlight w:val="none"/>
        </w:rPr>
      </w:r>
      <w:bookmarkStart w:id="108" w:name="_Toc452384183"/>
      <w:r>
        <w:rPr>
          <w:highlight w:val="none"/>
        </w:rPr>
      </w:r>
      <w:bookmarkStart w:id="109" w:name="_Toc4151"/>
      <w:r>
        <w:rPr>
          <w:highlight w:val="none"/>
        </w:rPr>
      </w:r>
      <w:bookmarkStart w:id="110" w:name="_Toc26951"/>
      <w:r>
        <w:rPr>
          <w:highlight w:val="none"/>
        </w:rPr>
      </w:r>
      <w:bookmarkStart w:id="111" w:name="_Toc9697"/>
      <w:r>
        <w:rPr>
          <w:highlight w:val="none"/>
        </w:rPr>
      </w:r>
      <w:bookmarkStart w:id="112" w:name="_Toc17428"/>
      <w:r>
        <w:rPr>
          <w:rFonts w:hint="eastAsia" w:ascii="微软雅黑" w:hAnsi="微软雅黑" w:eastAsia="微软雅黑" w:cs="微软雅黑"/>
          <w:b/>
          <w:bCs w:val="0"/>
          <w:color w:val="auto"/>
          <w:sz w:val="21"/>
          <w:szCs w:val="21"/>
          <w:highlight w:val="none"/>
        </w:rPr>
        <w:t xml:space="preserve">3.3 投标报价</w:t>
      </w:r>
      <w:bookmarkEnd w:id="108"/>
      <w:r>
        <w:rPr>
          <w:highlight w:val="none"/>
        </w:rPr>
      </w:r>
      <w:bookmarkEnd w:id="109"/>
      <w:r>
        <w:rPr>
          <w:highlight w:val="none"/>
        </w:rPr>
      </w:r>
      <w:bookmarkEnd w:id="110"/>
      <w:r>
        <w:rPr>
          <w:highlight w:val="none"/>
        </w:rPr>
      </w:r>
      <w:bookmarkEnd w:id="111"/>
      <w:r>
        <w:rPr>
          <w:highlight w:val="none"/>
        </w:rPr>
      </w:r>
      <w:bookmarkEnd w:id="112"/>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3.3.1 如采购文件无其他特殊说明，本次采购采用总承包方式，因此供应商的报价应包括全部货物的价格及相关税费、运输到指定地点的装运费用、安装调试、培训、售后服务等其他有关的所有费用。</w:t>
      </w:r>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3.3.2 除非采购文件有特别说明，采购代理机构不接受备选的投标方案或有选择的报价。</w:t>
      </w:r>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b/>
          <w:i/>
          <w:color w:val="auto"/>
          <w:sz w:val="21"/>
          <w:szCs w:val="21"/>
          <w:highlight w:val="none"/>
          <w:u w:val="single"/>
        </w:rPr>
      </w:pPr>
      <w:r>
        <w:rPr>
          <w:rFonts w:hint="eastAsia" w:ascii="微软雅黑" w:hAnsi="微软雅黑" w:eastAsia="微软雅黑" w:cs="微软雅黑"/>
          <w:b/>
          <w:i/>
          <w:color w:val="auto"/>
          <w:sz w:val="21"/>
          <w:szCs w:val="21"/>
          <w:highlight w:val="none"/>
          <w:u w:val="single"/>
        </w:rPr>
        <w:t xml:space="preserve">3.3.3 投标报价不得超过最高限价，否则投标文件被视为无效。</w:t>
      </w:r>
      <w:r>
        <w:rPr>
          <w:highlight w:val="none"/>
        </w:rPr>
      </w:r>
      <w:r>
        <w:rPr>
          <w:highlight w:val="none"/>
        </w:rPr>
      </w:r>
    </w:p>
    <w:p>
      <w:pPr>
        <w:pStyle w:val="1090"/>
        <w:ind w:left="0"/>
        <w:jc w:val="left"/>
        <w:pageBreakBefore w:val="0"/>
        <w:spacing w:before="0" w:after="0" w:line="440" w:lineRule="exact"/>
        <w:widowControl w:val="off"/>
        <w:rPr>
          <w:rFonts w:hint="eastAsia" w:ascii="微软雅黑" w:hAnsi="微软雅黑" w:eastAsia="微软雅黑" w:cs="微软雅黑"/>
          <w:b/>
          <w:bCs w:val="0"/>
          <w:color w:val="auto"/>
          <w:sz w:val="21"/>
          <w:szCs w:val="21"/>
          <w:highlight w:val="none"/>
        </w:rPr>
      </w:pPr>
      <w:r>
        <w:rPr>
          <w:highlight w:val="none"/>
        </w:rPr>
      </w:r>
      <w:bookmarkStart w:id="113" w:name="_Toc5336"/>
      <w:r>
        <w:rPr>
          <w:highlight w:val="none"/>
        </w:rPr>
      </w:r>
      <w:bookmarkStart w:id="114" w:name="_Toc141"/>
      <w:r>
        <w:rPr>
          <w:highlight w:val="none"/>
        </w:rPr>
      </w:r>
      <w:bookmarkStart w:id="115" w:name="_Toc28149"/>
      <w:r>
        <w:rPr>
          <w:highlight w:val="none"/>
        </w:rPr>
      </w:r>
      <w:bookmarkStart w:id="116" w:name="_Toc452384184"/>
      <w:r>
        <w:rPr>
          <w:highlight w:val="none"/>
        </w:rPr>
      </w:r>
      <w:bookmarkStart w:id="117" w:name="_Toc11686"/>
      <w:r>
        <w:rPr>
          <w:rFonts w:hint="eastAsia" w:ascii="微软雅黑" w:hAnsi="微软雅黑" w:eastAsia="微软雅黑" w:cs="微软雅黑"/>
          <w:b/>
          <w:bCs w:val="0"/>
          <w:color w:val="auto"/>
          <w:sz w:val="21"/>
          <w:szCs w:val="21"/>
          <w:highlight w:val="none"/>
        </w:rPr>
        <w:t xml:space="preserve">3.4 投标报价中的货币</w:t>
      </w:r>
      <w:bookmarkEnd w:id="113"/>
      <w:r>
        <w:rPr>
          <w:highlight w:val="none"/>
        </w:rPr>
      </w:r>
      <w:bookmarkEnd w:id="114"/>
      <w:r>
        <w:rPr>
          <w:highlight w:val="none"/>
        </w:rPr>
      </w:r>
      <w:bookmarkEnd w:id="115"/>
      <w:r>
        <w:rPr>
          <w:highlight w:val="none"/>
        </w:rPr>
      </w:r>
      <w:bookmarkEnd w:id="116"/>
      <w:r>
        <w:rPr>
          <w:highlight w:val="none"/>
        </w:rPr>
      </w:r>
      <w:bookmarkEnd w:id="117"/>
      <w:r>
        <w:rPr>
          <w:highlight w:val="none"/>
        </w:rPr>
      </w:r>
      <w:r>
        <w:rPr>
          <w:highlight w:val="none"/>
        </w:rPr>
      </w:r>
    </w:p>
    <w:p>
      <w:pPr>
        <w:ind w:firstLine="42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投标报价均须以人民币为计算单位，采购文件另有规定的，从其规定。</w:t>
      </w:r>
      <w:r>
        <w:rPr>
          <w:highlight w:val="none"/>
        </w:rPr>
      </w:r>
      <w:r>
        <w:rPr>
          <w:highlight w:val="none"/>
        </w:rPr>
      </w:r>
    </w:p>
    <w:p>
      <w:pPr>
        <w:ind w:left="0"/>
        <w:jc w:val="left"/>
        <w:keepLines/>
        <w:keepNext/>
        <w:pageBreakBefore w:val="0"/>
        <w:spacing w:line="440" w:lineRule="exact"/>
        <w:widowControl w:val="off"/>
        <w:rPr>
          <w:rFonts w:hint="eastAsia" w:ascii="微软雅黑" w:hAnsi="微软雅黑" w:eastAsia="微软雅黑" w:cs="微软雅黑"/>
          <w:b/>
          <w:color w:val="auto"/>
          <w:sz w:val="21"/>
          <w:szCs w:val="21"/>
          <w:highlight w:val="none"/>
        </w:rPr>
        <w:outlineLvl w:val="2"/>
      </w:pPr>
      <w:r>
        <w:rPr>
          <w:highlight w:val="none"/>
        </w:rPr>
      </w:r>
      <w:bookmarkStart w:id="118" w:name="_Toc452384185"/>
      <w:r>
        <w:rPr>
          <w:highlight w:val="none"/>
        </w:rPr>
      </w:r>
      <w:bookmarkStart w:id="119" w:name="_Toc23861"/>
      <w:r>
        <w:rPr>
          <w:highlight w:val="none"/>
        </w:rPr>
      </w:r>
      <w:bookmarkStart w:id="120" w:name="_Toc24048"/>
      <w:r>
        <w:rPr>
          <w:highlight w:val="none"/>
        </w:rPr>
      </w:r>
      <w:bookmarkStart w:id="121" w:name="_Toc1909"/>
      <w:r>
        <w:rPr>
          <w:highlight w:val="none"/>
        </w:rPr>
      </w:r>
      <w:bookmarkStart w:id="122" w:name="_Toc24981"/>
      <w:r>
        <w:rPr>
          <w:rFonts w:hint="eastAsia" w:ascii="微软雅黑" w:hAnsi="微软雅黑" w:eastAsia="微软雅黑" w:cs="微软雅黑"/>
          <w:b/>
          <w:color w:val="auto"/>
          <w:sz w:val="21"/>
          <w:szCs w:val="21"/>
          <w:highlight w:val="none"/>
        </w:rPr>
        <w:t xml:space="preserve">3.5 投标保证金</w:t>
      </w:r>
      <w:bookmarkEnd w:id="118"/>
      <w:r>
        <w:rPr>
          <w:highlight w:val="none"/>
        </w:rPr>
      </w:r>
      <w:bookmarkEnd w:id="119"/>
      <w:r>
        <w:rPr>
          <w:rFonts w:hint="eastAsia" w:ascii="微软雅黑" w:hAnsi="微软雅黑" w:eastAsia="微软雅黑" w:cs="微软雅黑"/>
          <w:b/>
          <w:color w:val="auto"/>
          <w:sz w:val="21"/>
          <w:szCs w:val="21"/>
          <w:highlight w:val="none"/>
        </w:rPr>
        <w:t xml:space="preserve">：无</w:t>
      </w:r>
      <w:bookmarkEnd w:id="120"/>
      <w:r>
        <w:rPr>
          <w:highlight w:val="none"/>
        </w:rPr>
      </w:r>
      <w:bookmarkEnd w:id="121"/>
      <w:r>
        <w:rPr>
          <w:highlight w:val="none"/>
        </w:rPr>
      </w:r>
      <w:bookmarkEnd w:id="122"/>
      <w:r>
        <w:rPr>
          <w:highlight w:val="none"/>
        </w:rPr>
      </w:r>
      <w:r>
        <w:rPr>
          <w:highlight w:val="none"/>
        </w:rPr>
      </w:r>
    </w:p>
    <w:p>
      <w:pPr>
        <w:pStyle w:val="1090"/>
        <w:ind w:left="0"/>
        <w:jc w:val="left"/>
        <w:pageBreakBefore w:val="0"/>
        <w:spacing w:before="0" w:after="0" w:line="440" w:lineRule="exact"/>
        <w:widowControl w:val="off"/>
        <w:rPr>
          <w:rFonts w:hint="eastAsia" w:ascii="微软雅黑" w:hAnsi="微软雅黑" w:eastAsia="微软雅黑" w:cs="微软雅黑"/>
          <w:b/>
          <w:bCs w:val="0"/>
          <w:color w:val="auto"/>
          <w:sz w:val="21"/>
          <w:szCs w:val="21"/>
          <w:highlight w:val="none"/>
        </w:rPr>
      </w:pPr>
      <w:r>
        <w:rPr>
          <w:highlight w:val="none"/>
        </w:rPr>
      </w:r>
      <w:bookmarkStart w:id="123" w:name="_Toc29123"/>
      <w:r>
        <w:rPr>
          <w:highlight w:val="none"/>
        </w:rPr>
      </w:r>
      <w:bookmarkStart w:id="124" w:name="_Toc30704"/>
      <w:r>
        <w:rPr>
          <w:highlight w:val="none"/>
        </w:rPr>
      </w:r>
      <w:bookmarkStart w:id="125" w:name="_Toc31169"/>
      <w:r>
        <w:rPr>
          <w:highlight w:val="none"/>
        </w:rPr>
      </w:r>
      <w:bookmarkStart w:id="126" w:name="_Toc452384186"/>
      <w:r>
        <w:rPr>
          <w:highlight w:val="none"/>
        </w:rPr>
      </w:r>
      <w:bookmarkStart w:id="127" w:name="_Toc29696"/>
      <w:r>
        <w:rPr>
          <w:rFonts w:hint="eastAsia" w:ascii="微软雅黑" w:hAnsi="微软雅黑" w:eastAsia="微软雅黑" w:cs="微软雅黑"/>
          <w:b/>
          <w:bCs w:val="0"/>
          <w:color w:val="auto"/>
          <w:sz w:val="21"/>
          <w:szCs w:val="21"/>
          <w:highlight w:val="none"/>
        </w:rPr>
        <w:t xml:space="preserve">3.6 投标有效期</w:t>
      </w:r>
      <w:bookmarkEnd w:id="123"/>
      <w:r>
        <w:rPr>
          <w:highlight w:val="none"/>
        </w:rPr>
      </w:r>
      <w:bookmarkEnd w:id="124"/>
      <w:r>
        <w:rPr>
          <w:highlight w:val="none"/>
        </w:rPr>
      </w:r>
      <w:bookmarkEnd w:id="125"/>
      <w:r>
        <w:rPr>
          <w:highlight w:val="none"/>
        </w:rPr>
      </w:r>
      <w:bookmarkEnd w:id="126"/>
      <w:r>
        <w:rPr>
          <w:highlight w:val="none"/>
        </w:rPr>
      </w:r>
      <w:bookmarkEnd w:id="127"/>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3.6.1 投标有效期为从投标截止之日起计算的九十天，有效期短于此规定的投标文件将被视为无效。</w:t>
      </w:r>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3.6.2 在特殊情况下，采购代理机构可于投标有效期满之前，征得供应商同意延长有效期，要求与答复均应以书面形式进行。供应商可以拒绝接受这一要求而放弃投标，保证金将无息退还。同意这一要求的供应商，不得修改其投标文件，但须相应延长保证金的有效期。受投标有效期制约的所有权利和义务均应延长至新的有效期。</w:t>
      </w:r>
      <w:r>
        <w:rPr>
          <w:highlight w:val="none"/>
        </w:rPr>
      </w:r>
      <w:r>
        <w:rPr>
          <w:highlight w:val="none"/>
        </w:rPr>
      </w:r>
    </w:p>
    <w:p>
      <w:pPr>
        <w:pStyle w:val="1090"/>
        <w:ind w:left="0"/>
        <w:jc w:val="left"/>
        <w:pageBreakBefore w:val="0"/>
        <w:spacing w:before="0" w:after="0" w:line="440" w:lineRule="exact"/>
        <w:widowControl w:val="off"/>
        <w:rPr>
          <w:rFonts w:hint="eastAsia" w:ascii="微软雅黑" w:hAnsi="微软雅黑" w:eastAsia="微软雅黑" w:cs="微软雅黑"/>
          <w:color w:val="auto"/>
          <w:sz w:val="21"/>
          <w:szCs w:val="21"/>
          <w:highlight w:val="none"/>
        </w:rPr>
      </w:pPr>
      <w:r>
        <w:rPr>
          <w:highlight w:val="none"/>
        </w:rPr>
      </w:r>
      <w:bookmarkStart w:id="128" w:name="_Toc1603"/>
      <w:r>
        <w:rPr>
          <w:highlight w:val="none"/>
        </w:rPr>
      </w:r>
      <w:bookmarkStart w:id="129" w:name="_Toc15028"/>
      <w:r>
        <w:rPr>
          <w:highlight w:val="none"/>
        </w:rPr>
      </w:r>
      <w:bookmarkStart w:id="130" w:name="_Toc2873"/>
      <w:r>
        <w:rPr>
          <w:rFonts w:hint="eastAsia" w:ascii="微软雅黑" w:hAnsi="微软雅黑" w:eastAsia="微软雅黑" w:cs="微软雅黑"/>
          <w:b/>
          <w:bCs w:val="0"/>
          <w:color w:val="auto"/>
          <w:sz w:val="21"/>
          <w:szCs w:val="21"/>
          <w:highlight w:val="none"/>
        </w:rPr>
        <w:t xml:space="preserve">3.7 投标文件的签署、形式</w:t>
      </w:r>
      <w:bookmarkEnd w:id="128"/>
      <w:r>
        <w:rPr>
          <w:highlight w:val="none"/>
        </w:rPr>
      </w:r>
      <w:bookmarkEnd w:id="129"/>
      <w:r>
        <w:rPr>
          <w:highlight w:val="none"/>
        </w:rPr>
      </w:r>
      <w:bookmarkEnd w:id="130"/>
      <w:r>
        <w:rPr>
          <w:highlight w:val="none"/>
        </w:rPr>
      </w:r>
      <w:r>
        <w:rPr>
          <w:highlight w:val="none"/>
        </w:rPr>
      </w:r>
    </w:p>
    <w:p>
      <w:pPr>
        <w:jc w:val="left"/>
        <w:pageBreakBefore w:val="0"/>
        <w:spacing w:afterAutospacing="0" w:line="440" w:lineRule="exact"/>
        <w:widowControl w:val="off"/>
        <w:rPr>
          <w:rFonts w:hint="eastAsia" w:ascii="微软雅黑" w:hAnsi="微软雅黑" w:eastAsia="微软雅黑" w:cs="微软雅黑"/>
          <w:bCs/>
          <w:color w:val="auto"/>
          <w:sz w:val="21"/>
          <w:szCs w:val="21"/>
          <w:highlight w:val="none"/>
        </w:rPr>
      </w:pPr>
      <w:r>
        <w:rPr>
          <w:rFonts w:hint="eastAsia" w:ascii="微软雅黑" w:hAnsi="微软雅黑" w:eastAsia="微软雅黑" w:cs="微软雅黑"/>
          <w:bCs/>
          <w:color w:val="auto"/>
          <w:sz w:val="21"/>
          <w:szCs w:val="21"/>
          <w:highlight w:val="none"/>
          <w:lang w:val="en-US" w:eastAsia="zh-CN"/>
        </w:rPr>
        <w:t xml:space="preserve">3.7.1</w:t>
      </w:r>
      <w:r>
        <w:rPr>
          <w:rFonts w:hint="eastAsia" w:ascii="微软雅黑" w:hAnsi="微软雅黑" w:cs="微软雅黑"/>
          <w:bCs/>
          <w:color w:val="auto"/>
          <w:sz w:val="21"/>
          <w:szCs w:val="21"/>
          <w:highlight w:val="none"/>
          <w:lang w:val="en-US" w:eastAsia="zh-CN"/>
        </w:rPr>
        <w:t xml:space="preserve"> </w:t>
      </w:r>
      <w:r>
        <w:rPr>
          <w:rFonts w:hint="eastAsia" w:ascii="微软雅黑" w:hAnsi="微软雅黑" w:eastAsia="微软雅黑" w:cs="微软雅黑"/>
          <w:bCs/>
          <w:color w:val="auto"/>
          <w:sz w:val="21"/>
          <w:szCs w:val="21"/>
          <w:highlight w:val="none"/>
        </w:rPr>
        <w:t xml:space="preserve">投标文件规定盖章的地方，应盖单位公章</w:t>
      </w:r>
      <w:r>
        <w:rPr>
          <w:rFonts w:hint="eastAsia" w:ascii="微软雅黑" w:hAnsi="微软雅黑" w:eastAsia="微软雅黑" w:cs="微软雅黑"/>
          <w:bCs/>
          <w:color w:val="auto"/>
          <w:sz w:val="21"/>
          <w:szCs w:val="21"/>
          <w:highlight w:val="none"/>
          <w:lang w:val="en-US" w:eastAsia="zh-CN"/>
        </w:rPr>
        <w:t xml:space="preserve">或电子公章</w:t>
      </w:r>
      <w:r>
        <w:rPr>
          <w:rFonts w:hint="eastAsia" w:ascii="微软雅黑" w:hAnsi="微软雅黑" w:eastAsia="微软雅黑" w:cs="微软雅黑"/>
          <w:bCs/>
          <w:color w:val="auto"/>
          <w:sz w:val="21"/>
          <w:szCs w:val="21"/>
          <w:highlight w:val="none"/>
        </w:rPr>
        <w:t xml:space="preserve">（文件中的单位盖章、印章、公章等处均仅指与投标人名称全称相一致的标准公章，如投标人为自然人可不加盖公章，仅由本人签字）。</w:t>
      </w:r>
      <w:r>
        <w:rPr>
          <w:highlight w:val="none"/>
        </w:rPr>
      </w:r>
      <w:r>
        <w:rPr>
          <w:highlight w:val="none"/>
        </w:rPr>
      </w:r>
    </w:p>
    <w:p>
      <w:pPr>
        <w:jc w:val="left"/>
        <w:pageBreakBefore w:val="0"/>
        <w:spacing w:afterAutospacing="0" w:line="440" w:lineRule="exact"/>
        <w:widowControl w:val="off"/>
        <w:rPr>
          <w:rFonts w:hint="eastAsia" w:ascii="微软雅黑" w:hAnsi="微软雅黑" w:eastAsia="微软雅黑" w:cs="微软雅黑"/>
          <w:bCs/>
          <w:color w:val="auto"/>
          <w:sz w:val="21"/>
          <w:szCs w:val="21"/>
          <w:highlight w:val="none"/>
        </w:rPr>
      </w:pPr>
      <w:r>
        <w:rPr>
          <w:rFonts w:hint="eastAsia" w:ascii="微软雅黑" w:hAnsi="微软雅黑" w:eastAsia="微软雅黑" w:cs="微软雅黑"/>
          <w:bCs/>
          <w:color w:val="auto"/>
          <w:sz w:val="21"/>
          <w:szCs w:val="21"/>
          <w:highlight w:val="none"/>
          <w:lang w:val="en-US" w:eastAsia="zh-CN"/>
        </w:rPr>
        <w:t xml:space="preserve">3.7.2</w:t>
      </w:r>
      <w:r>
        <w:rPr>
          <w:rFonts w:hint="eastAsia" w:ascii="微软雅黑" w:hAnsi="微软雅黑" w:cs="微软雅黑"/>
          <w:bCs/>
          <w:color w:val="auto"/>
          <w:sz w:val="21"/>
          <w:szCs w:val="21"/>
          <w:highlight w:val="none"/>
          <w:lang w:val="en-US" w:eastAsia="zh-CN"/>
        </w:rPr>
        <w:t xml:space="preserve"> </w:t>
      </w:r>
      <w:r>
        <w:rPr>
          <w:rFonts w:hint="eastAsia" w:ascii="微软雅黑" w:hAnsi="微软雅黑" w:eastAsia="微软雅黑" w:cs="微软雅黑"/>
          <w:b/>
          <w:color w:val="auto"/>
          <w:sz w:val="21"/>
          <w:szCs w:val="21"/>
          <w:highlight w:val="none"/>
        </w:rPr>
        <w:t xml:space="preserve">本采购文件所表述（指定）的公章是指刻有供应商法定名称的印章，不包括投标、合同、财务、税务、发票等形式的业务专用章。</w:t>
      </w:r>
      <w:r>
        <w:rPr>
          <w:highlight w:val="none"/>
        </w:rPr>
      </w:r>
      <w:r>
        <w:rPr>
          <w:highlight w:val="none"/>
        </w:rPr>
      </w:r>
    </w:p>
    <w:p>
      <w:pPr>
        <w:jc w:val="left"/>
        <w:pageBreakBefore w:val="0"/>
        <w:spacing w:afterAutospacing="0"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bCs/>
          <w:color w:val="auto"/>
          <w:sz w:val="21"/>
          <w:szCs w:val="21"/>
          <w:highlight w:val="none"/>
          <w:lang w:val="en-US" w:eastAsia="zh-CN"/>
        </w:rPr>
        <w:t xml:space="preserve">3.7.3</w:t>
      </w:r>
      <w:r>
        <w:rPr>
          <w:rFonts w:hint="eastAsia" w:ascii="微软雅黑" w:hAnsi="微软雅黑" w:cs="微软雅黑"/>
          <w:bCs/>
          <w:color w:val="auto"/>
          <w:sz w:val="21"/>
          <w:szCs w:val="21"/>
          <w:highlight w:val="none"/>
          <w:lang w:val="en-US" w:eastAsia="zh-CN"/>
        </w:rPr>
        <w:t xml:space="preserve"> </w:t>
      </w:r>
      <w:r>
        <w:rPr>
          <w:rFonts w:hint="eastAsia" w:ascii="微软雅黑" w:hAnsi="微软雅黑" w:eastAsia="微软雅黑" w:cs="微软雅黑"/>
          <w:bCs/>
          <w:color w:val="auto"/>
          <w:sz w:val="21"/>
          <w:szCs w:val="21"/>
          <w:highlight w:val="none"/>
        </w:rPr>
        <w:t xml:space="preserve">除投标人对错处做必要修改外，投标文件不得行间插字、涂改或增删。如有修改错漏处，必须由法定代表人或其授权代表签字或盖章方有效。</w:t>
      </w:r>
      <w:r>
        <w:rPr>
          <w:highlight w:val="none"/>
        </w:rPr>
      </w:r>
      <w:r>
        <w:rPr>
          <w:highlight w:val="none"/>
        </w:rPr>
      </w:r>
    </w:p>
    <w:p>
      <w:pPr>
        <w:jc w:val="left"/>
        <w:pageBreakBefore w:val="0"/>
        <w:spacing w:afterAutospacing="0" w:line="440" w:lineRule="exact"/>
        <w:widowControl w:val="off"/>
        <w:rPr>
          <w:rFonts w:hint="eastAsia" w:ascii="微软雅黑" w:hAnsi="微软雅黑" w:eastAsia="微软雅黑" w:cs="微软雅黑"/>
          <w:bCs/>
          <w:color w:val="auto"/>
          <w:sz w:val="21"/>
          <w:szCs w:val="21"/>
          <w:highlight w:val="none"/>
        </w:rPr>
      </w:pPr>
      <w:r>
        <w:rPr>
          <w:rFonts w:hint="eastAsia" w:ascii="微软雅黑" w:hAnsi="微软雅黑" w:eastAsia="微软雅黑" w:cs="微软雅黑"/>
          <w:bCs/>
          <w:color w:val="auto"/>
          <w:sz w:val="21"/>
          <w:szCs w:val="21"/>
          <w:highlight w:val="none"/>
          <w:lang w:val="en-US" w:eastAsia="zh-CN"/>
        </w:rPr>
        <w:t xml:space="preserve">3.7.4</w:t>
      </w:r>
      <w:r>
        <w:rPr>
          <w:rFonts w:hint="eastAsia" w:ascii="微软雅黑" w:hAnsi="微软雅黑" w:cs="微软雅黑"/>
          <w:bCs/>
          <w:color w:val="auto"/>
          <w:sz w:val="21"/>
          <w:szCs w:val="21"/>
          <w:highlight w:val="none"/>
          <w:lang w:val="en-US" w:eastAsia="zh-CN"/>
        </w:rPr>
        <w:t xml:space="preserve"> </w:t>
      </w:r>
      <w:r>
        <w:rPr>
          <w:rFonts w:hint="eastAsia" w:ascii="微软雅黑" w:hAnsi="微软雅黑" w:eastAsia="微软雅黑" w:cs="微软雅黑"/>
          <w:bCs/>
          <w:color w:val="auto"/>
          <w:sz w:val="21"/>
          <w:szCs w:val="21"/>
          <w:highlight w:val="none"/>
          <w:lang w:val="en-US" w:eastAsia="zh-CN"/>
        </w:rPr>
        <w:t xml:space="preserve">投标文件需包含评分索引表、目录及页码。</w:t>
      </w:r>
      <w:r>
        <w:rPr>
          <w:highlight w:val="none"/>
        </w:rPr>
      </w:r>
      <w:r>
        <w:rPr>
          <w:highlight w:val="none"/>
        </w:rPr>
      </w:r>
    </w:p>
    <w:p>
      <w:pPr>
        <w:pStyle w:val="1088"/>
        <w:ind w:left="0" w:right="0" w:firstLine="0"/>
        <w:jc w:val="center"/>
        <w:pageBreakBefore w:val="0"/>
        <w:spacing w:before="0" w:after="0" w:line="240" w:lineRule="auto"/>
        <w:widowControl w:val="off"/>
        <w:rPr>
          <w:rFonts w:hint="eastAsia" w:ascii="微软雅黑" w:hAnsi="微软雅黑" w:eastAsia="微软雅黑" w:cs="微软雅黑"/>
          <w:b/>
          <w:bCs/>
          <w:color w:val="auto"/>
          <w:sz w:val="28"/>
          <w:szCs w:val="32"/>
          <w:highlight w:val="none"/>
        </w:rPr>
      </w:pPr>
      <w:r>
        <w:rPr>
          <w:highlight w:val="none"/>
        </w:rPr>
      </w:r>
      <w:bookmarkStart w:id="131" w:name="_Toc16651"/>
      <w:r>
        <w:rPr>
          <w:highlight w:val="none"/>
        </w:rPr>
      </w:r>
      <w:bookmarkStart w:id="132" w:name="_Toc26007"/>
      <w:r>
        <w:rPr>
          <w:highlight w:val="none"/>
        </w:rPr>
      </w:r>
      <w:bookmarkStart w:id="133" w:name="_Toc452384188"/>
      <w:r>
        <w:rPr>
          <w:highlight w:val="none"/>
        </w:rPr>
      </w:r>
      <w:bookmarkStart w:id="134" w:name="_Toc3387"/>
      <w:r>
        <w:rPr>
          <w:highlight w:val="none"/>
        </w:rPr>
      </w:r>
      <w:bookmarkStart w:id="135" w:name="_Toc14088"/>
      <w:r>
        <w:rPr>
          <w:rFonts w:hint="eastAsia" w:ascii="微软雅黑" w:hAnsi="微软雅黑" w:eastAsia="微软雅黑" w:cs="微软雅黑"/>
          <w:b/>
          <w:bCs/>
          <w:color w:val="auto"/>
          <w:sz w:val="28"/>
          <w:szCs w:val="32"/>
          <w:highlight w:val="none"/>
          <w:lang w:val="en-US" w:eastAsia="zh-CN" w:bidi="ar-SA"/>
        </w:rPr>
        <w:t xml:space="preserve">四、投标文件的递交</w:t>
      </w:r>
      <w:bookmarkEnd w:id="131"/>
      <w:r>
        <w:rPr>
          <w:highlight w:val="none"/>
        </w:rPr>
      </w:r>
      <w:bookmarkEnd w:id="132"/>
      <w:r>
        <w:rPr>
          <w:highlight w:val="none"/>
        </w:rPr>
      </w:r>
      <w:bookmarkEnd w:id="133"/>
      <w:r>
        <w:rPr>
          <w:highlight w:val="none"/>
        </w:rPr>
      </w:r>
      <w:bookmarkEnd w:id="134"/>
      <w:r>
        <w:rPr>
          <w:highlight w:val="none"/>
        </w:rPr>
      </w:r>
      <w:bookmarkEnd w:id="135"/>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val="en-US" w:eastAsia="zh-CN"/>
        </w:rPr>
        <w:t xml:space="preserve">4.1</w:t>
      </w:r>
      <w:r>
        <w:rPr>
          <w:rFonts w:hint="eastAsia" w:ascii="微软雅黑" w:hAnsi="微软雅黑" w:eastAsia="微软雅黑" w:cs="微软雅黑"/>
          <w:color w:val="auto"/>
          <w:sz w:val="21"/>
          <w:szCs w:val="21"/>
          <w:highlight w:val="none"/>
        </w:rPr>
        <w:t xml:space="preserve">投标人应当按照《操作手册》规定，在</w:t>
      </w:r>
      <w:r>
        <w:rPr>
          <w:rFonts w:hint="eastAsia" w:ascii="微软雅黑" w:hAnsi="微软雅黑" w:eastAsia="微软雅黑" w:cs="微软雅黑"/>
          <w:color w:val="auto"/>
          <w:sz w:val="21"/>
          <w:szCs w:val="21"/>
          <w:highlight w:val="none"/>
          <w:lang w:eastAsia="zh-CN"/>
        </w:rPr>
        <w:t xml:space="preserve">采购公告</w:t>
      </w:r>
      <w:r>
        <w:rPr>
          <w:rFonts w:hint="eastAsia" w:ascii="微软雅黑" w:hAnsi="微软雅黑" w:eastAsia="微软雅黑" w:cs="微软雅黑"/>
          <w:color w:val="auto"/>
          <w:sz w:val="21"/>
          <w:szCs w:val="21"/>
          <w:highlight w:val="none"/>
        </w:rPr>
        <w:t xml:space="preserve">规定的投标截止时间</w:t>
      </w:r>
      <w:r>
        <w:rPr>
          <w:rFonts w:hint="eastAsia" w:ascii="微软雅黑" w:hAnsi="微软雅黑" w:eastAsia="微软雅黑" w:cs="微软雅黑"/>
          <w:color w:val="auto"/>
          <w:sz w:val="21"/>
          <w:szCs w:val="21"/>
          <w:highlight w:val="none"/>
          <w:lang w:eastAsia="zh-CN"/>
        </w:rPr>
        <w:t xml:space="preserve">前制作并上传电子投标文件。</w:t>
      </w:r>
      <w:r>
        <w:rPr>
          <w:highlight w:val="none"/>
        </w:rPr>
      </w:r>
      <w:r>
        <w:rPr>
          <w:highlight w:val="none"/>
        </w:rPr>
      </w:r>
    </w:p>
    <w:p>
      <w:pPr>
        <w:pStyle w:val="1090"/>
        <w:ind w:left="0"/>
        <w:jc w:val="left"/>
        <w:pageBreakBefore w:val="0"/>
        <w:spacing w:before="0" w:after="0" w:line="440" w:lineRule="exact"/>
        <w:widowControl w:val="off"/>
        <w:rPr>
          <w:rFonts w:hint="eastAsia" w:ascii="微软雅黑" w:hAnsi="微软雅黑" w:eastAsia="微软雅黑" w:cs="微软雅黑"/>
          <w:b/>
          <w:bCs w:val="0"/>
          <w:color w:val="auto"/>
          <w:sz w:val="21"/>
          <w:szCs w:val="21"/>
          <w:highlight w:val="none"/>
        </w:rPr>
      </w:pPr>
      <w:r>
        <w:rPr>
          <w:highlight w:val="none"/>
        </w:rPr>
      </w:r>
      <w:bookmarkStart w:id="136" w:name="_Toc2168"/>
      <w:r>
        <w:rPr>
          <w:highlight w:val="none"/>
        </w:rPr>
      </w:r>
      <w:bookmarkStart w:id="137" w:name="_Toc11977"/>
      <w:r>
        <w:rPr>
          <w:highlight w:val="none"/>
        </w:rPr>
      </w:r>
      <w:bookmarkStart w:id="138" w:name="_Toc12256"/>
      <w:r>
        <w:rPr>
          <w:highlight w:val="none"/>
        </w:rPr>
      </w:r>
      <w:bookmarkStart w:id="139" w:name="_Toc11818"/>
      <w:r>
        <w:rPr>
          <w:highlight w:val="none"/>
        </w:rPr>
      </w:r>
      <w:bookmarkStart w:id="140" w:name="_Toc452384192"/>
      <w:r>
        <w:rPr>
          <w:rFonts w:hint="eastAsia" w:ascii="微软雅黑" w:hAnsi="微软雅黑" w:eastAsia="微软雅黑" w:cs="微软雅黑"/>
          <w:b/>
          <w:bCs w:val="0"/>
          <w:color w:val="auto"/>
          <w:sz w:val="21"/>
          <w:szCs w:val="21"/>
          <w:highlight w:val="none"/>
          <w:lang w:val="en-US" w:eastAsia="zh-CN" w:bidi="ar-SA"/>
        </w:rPr>
        <w:t xml:space="preserve">4.2有下列情形的投标文件将被拒收</w:t>
      </w:r>
      <w:bookmarkEnd w:id="136"/>
      <w:r>
        <w:rPr>
          <w:highlight w:val="none"/>
        </w:rPr>
      </w:r>
      <w:bookmarkEnd w:id="137"/>
      <w:r>
        <w:rPr>
          <w:highlight w:val="none"/>
        </w:rPr>
      </w:r>
      <w:bookmarkEnd w:id="138"/>
      <w:r>
        <w:rPr>
          <w:highlight w:val="none"/>
        </w:rPr>
      </w:r>
      <w:r>
        <w:rPr>
          <w:highlight w:val="none"/>
        </w:rPr>
      </w:r>
    </w:p>
    <w:p>
      <w:pPr>
        <w:pStyle w:val="1090"/>
        <w:ind w:left="0"/>
        <w:jc w:val="left"/>
        <w:pageBreakBefore w:val="0"/>
        <w:spacing w:before="0" w:after="0" w:line="440" w:lineRule="exact"/>
        <w:widowControl w:val="off"/>
        <w:rPr>
          <w:rFonts w:hint="eastAsia" w:ascii="微软雅黑" w:hAnsi="微软雅黑" w:eastAsia="微软雅黑" w:cs="微软雅黑"/>
          <w:b/>
          <w:bCs w:val="0"/>
          <w:color w:val="auto"/>
          <w:sz w:val="21"/>
          <w:szCs w:val="21"/>
          <w:highlight w:val="none"/>
        </w:rPr>
      </w:pPr>
      <w:r>
        <w:rPr>
          <w:highlight w:val="none"/>
        </w:rPr>
      </w:r>
      <w:bookmarkStart w:id="141" w:name="_Toc27208"/>
      <w:r>
        <w:rPr>
          <w:highlight w:val="none"/>
        </w:rPr>
      </w:r>
      <w:bookmarkStart w:id="142" w:name="_Toc7486"/>
      <w:r>
        <w:rPr>
          <w:highlight w:val="none"/>
        </w:rPr>
      </w:r>
      <w:bookmarkStart w:id="143" w:name="_Toc13038"/>
      <w:r>
        <w:rPr>
          <w:rFonts w:hint="eastAsia" w:ascii="微软雅黑" w:hAnsi="微软雅黑" w:eastAsia="微软雅黑" w:cs="微软雅黑"/>
          <w:b/>
          <w:bCs w:val="0"/>
          <w:color w:val="auto"/>
          <w:sz w:val="21"/>
          <w:szCs w:val="21"/>
          <w:highlight w:val="none"/>
          <w:lang w:val="en-US" w:eastAsia="zh-CN" w:bidi="ar-SA"/>
        </w:rPr>
        <w:t xml:space="preserve">4.2.1投标人应当按照《操作手册》规定，在“苏采云”系统规定的时间内对投标文件进行解密。</w:t>
      </w:r>
      <w:bookmarkEnd w:id="141"/>
      <w:r>
        <w:rPr>
          <w:highlight w:val="none"/>
        </w:rPr>
      </w:r>
      <w:bookmarkEnd w:id="142"/>
      <w:r>
        <w:rPr>
          <w:highlight w:val="none"/>
        </w:rPr>
      </w:r>
      <w:bookmarkEnd w:id="143"/>
      <w:r>
        <w:rPr>
          <w:highlight w:val="none"/>
        </w:rPr>
      </w:r>
      <w:r>
        <w:rPr>
          <w:highlight w:val="none"/>
        </w:rPr>
      </w:r>
    </w:p>
    <w:p>
      <w:pPr>
        <w:pStyle w:val="1090"/>
        <w:ind w:left="0"/>
        <w:jc w:val="left"/>
        <w:pageBreakBefore w:val="0"/>
        <w:spacing w:before="0" w:after="0" w:line="440" w:lineRule="exact"/>
        <w:widowControl w:val="off"/>
        <w:rPr>
          <w:rFonts w:hint="eastAsia" w:ascii="微软雅黑" w:hAnsi="微软雅黑" w:eastAsia="微软雅黑" w:cs="微软雅黑"/>
          <w:b/>
          <w:bCs w:val="0"/>
          <w:color w:val="auto"/>
          <w:sz w:val="21"/>
          <w:szCs w:val="21"/>
          <w:highlight w:val="none"/>
        </w:rPr>
      </w:pPr>
      <w:r>
        <w:rPr>
          <w:highlight w:val="none"/>
        </w:rPr>
      </w:r>
      <w:bookmarkStart w:id="144" w:name="_Toc27804"/>
      <w:r>
        <w:rPr>
          <w:highlight w:val="none"/>
        </w:rPr>
      </w:r>
      <w:bookmarkStart w:id="145" w:name="_Toc1919"/>
      <w:r>
        <w:rPr>
          <w:highlight w:val="none"/>
        </w:rPr>
      </w:r>
      <w:bookmarkStart w:id="146" w:name="_Toc16650"/>
      <w:r>
        <w:rPr>
          <w:rFonts w:hint="eastAsia" w:ascii="微软雅黑" w:hAnsi="微软雅黑" w:eastAsia="微软雅黑" w:cs="微软雅黑"/>
          <w:b/>
          <w:bCs w:val="0"/>
          <w:color w:val="auto"/>
          <w:sz w:val="21"/>
          <w:szCs w:val="21"/>
          <w:highlight w:val="none"/>
          <w:lang w:val="en-US" w:eastAsia="zh-CN" w:bidi="ar-SA"/>
        </w:rPr>
        <w:t xml:space="preserve">4.2.2投标人应充分考虑网络环境、网络带宽等因素可能对投标产生的影响，如因投标人自身原因造成的电子投标文件解密不成功的，做无效投标处理。</w:t>
      </w:r>
      <w:bookmarkEnd w:id="144"/>
      <w:r>
        <w:rPr>
          <w:highlight w:val="none"/>
        </w:rPr>
      </w:r>
      <w:bookmarkEnd w:id="145"/>
      <w:r>
        <w:rPr>
          <w:rFonts w:hint="eastAsia" w:ascii="微软雅黑" w:hAnsi="微软雅黑" w:eastAsia="微软雅黑" w:cs="微软雅黑"/>
          <w:b/>
          <w:bCs w:val="0"/>
          <w:color w:val="auto"/>
          <w:sz w:val="21"/>
          <w:szCs w:val="21"/>
          <w:highlight w:val="none"/>
          <w:lang w:val="en-US" w:eastAsia="zh-CN" w:bidi="ar-SA"/>
        </w:rPr>
        <w:t xml:space="preserve">投标人未在“苏采云”系统规定的时间内完成解密的视为其放弃投标。但因系统故障导致投标人无法在“苏采云”系统规定的时间内完成签到或解密的情况除外。</w:t>
      </w:r>
      <w:bookmarkEnd w:id="146"/>
      <w:r>
        <w:rPr>
          <w:highlight w:val="none"/>
        </w:rPr>
      </w:r>
      <w:r>
        <w:rPr>
          <w:highlight w:val="none"/>
        </w:rPr>
      </w:r>
    </w:p>
    <w:p>
      <w:pPr>
        <w:rPr>
          <w:rFonts w:hint="eastAsia"/>
          <w:highlight w:val="none"/>
        </w:rPr>
      </w:pPr>
      <w:r>
        <w:rPr>
          <w:rFonts w:hint="eastAsia" w:ascii="微软雅黑" w:hAnsi="微软雅黑" w:eastAsia="微软雅黑" w:cs="微软雅黑"/>
          <w:b/>
          <w:bCs w:val="0"/>
          <w:color w:val="auto"/>
          <w:sz w:val="21"/>
          <w:szCs w:val="21"/>
          <w:highlight w:val="none"/>
          <w:lang w:val="en-US" w:eastAsia="zh-CN" w:bidi="ar-SA"/>
        </w:rPr>
        <w:t xml:space="preserve">4.2.3供应商需按照招标文件规定的演示内容制作演示视频文件，视频文件的格式为*.mp4或*.avi，供应商须将视频文件分段压缩为*.zip文件上传（单个文件不得大于50M，所有文件总共不得大于300M）。</w:t>
      </w:r>
      <w:bookmarkEnd w:id="139"/>
      <w:r>
        <w:rPr>
          <w:highlight w:val="none"/>
        </w:rPr>
      </w:r>
      <w:bookmarkEnd w:id="140"/>
      <w:r>
        <w:rPr>
          <w:highlight w:val="none"/>
        </w:rPr>
      </w:r>
      <w:r>
        <w:rPr>
          <w:highlight w:val="none"/>
        </w:rPr>
      </w:r>
    </w:p>
    <w:p>
      <w:pPr>
        <w:pStyle w:val="1090"/>
        <w:ind w:left="0"/>
        <w:jc w:val="left"/>
        <w:pageBreakBefore w:val="0"/>
        <w:spacing w:before="0" w:after="0" w:line="440" w:lineRule="exact"/>
        <w:widowControl w:val="off"/>
        <w:rPr>
          <w:rFonts w:hint="eastAsia" w:ascii="微软雅黑" w:hAnsi="微软雅黑" w:eastAsia="微软雅黑" w:cs="微软雅黑"/>
          <w:b/>
          <w:bCs w:val="0"/>
          <w:color w:val="auto"/>
          <w:sz w:val="21"/>
          <w:szCs w:val="21"/>
          <w:highlight w:val="none"/>
        </w:rPr>
      </w:pPr>
      <w:r>
        <w:rPr>
          <w:highlight w:val="none"/>
        </w:rPr>
      </w:r>
      <w:bookmarkStart w:id="147" w:name="_Toc6850"/>
      <w:r>
        <w:rPr>
          <w:highlight w:val="none"/>
        </w:rPr>
      </w:r>
      <w:bookmarkStart w:id="148" w:name="_Toc1859"/>
      <w:r>
        <w:rPr>
          <w:highlight w:val="none"/>
        </w:rPr>
      </w:r>
      <w:bookmarkStart w:id="149" w:name="_Toc6818"/>
      <w:r>
        <w:rPr>
          <w:highlight w:val="none"/>
        </w:rPr>
      </w:r>
      <w:bookmarkStart w:id="150" w:name="_Toc21630"/>
      <w:r>
        <w:rPr>
          <w:highlight w:val="none"/>
        </w:rPr>
      </w:r>
      <w:bookmarkStart w:id="151" w:name="_Toc452384190"/>
      <w:r>
        <w:rPr>
          <w:rFonts w:hint="eastAsia" w:ascii="微软雅黑" w:hAnsi="微软雅黑" w:eastAsia="微软雅黑" w:cs="微软雅黑"/>
          <w:b/>
          <w:bCs w:val="0"/>
          <w:color w:val="auto"/>
          <w:sz w:val="21"/>
          <w:szCs w:val="21"/>
          <w:highlight w:val="none"/>
        </w:rPr>
        <w:t xml:space="preserve">4.</w:t>
      </w:r>
      <w:r>
        <w:rPr>
          <w:rFonts w:hint="eastAsia" w:ascii="微软雅黑" w:hAnsi="微软雅黑" w:eastAsia="微软雅黑" w:cs="微软雅黑"/>
          <w:b/>
          <w:bCs w:val="0"/>
          <w:color w:val="auto"/>
          <w:sz w:val="21"/>
          <w:szCs w:val="21"/>
          <w:highlight w:val="none"/>
          <w:lang w:val="en-US" w:eastAsia="zh-CN"/>
        </w:rPr>
        <w:t xml:space="preserve">3</w:t>
      </w:r>
      <w:r>
        <w:rPr>
          <w:rFonts w:hint="eastAsia" w:ascii="微软雅黑" w:hAnsi="微软雅黑" w:eastAsia="微软雅黑" w:cs="微软雅黑"/>
          <w:b/>
          <w:bCs w:val="0"/>
          <w:color w:val="auto"/>
          <w:sz w:val="21"/>
          <w:szCs w:val="21"/>
          <w:highlight w:val="none"/>
        </w:rPr>
        <w:t xml:space="preserve"> 投标截止时间</w:t>
      </w:r>
      <w:bookmarkEnd w:id="147"/>
      <w:r>
        <w:rPr>
          <w:highlight w:val="none"/>
        </w:rPr>
      </w:r>
      <w:bookmarkEnd w:id="148"/>
      <w:r>
        <w:rPr>
          <w:highlight w:val="none"/>
        </w:rPr>
      </w:r>
      <w:bookmarkEnd w:id="149"/>
      <w:r>
        <w:rPr>
          <w:highlight w:val="none"/>
        </w:rPr>
      </w:r>
      <w:bookmarkEnd w:id="150"/>
      <w:r>
        <w:rPr>
          <w:highlight w:val="none"/>
        </w:rPr>
      </w:r>
      <w:bookmarkEnd w:id="151"/>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4.</w:t>
      </w:r>
      <w:r>
        <w:rPr>
          <w:rFonts w:hint="eastAsia" w:ascii="微软雅黑" w:hAnsi="微软雅黑" w:eastAsia="微软雅黑" w:cs="微软雅黑"/>
          <w:color w:val="auto"/>
          <w:sz w:val="21"/>
          <w:szCs w:val="21"/>
          <w:highlight w:val="none"/>
          <w:lang w:val="en-US" w:eastAsia="zh-CN"/>
        </w:rPr>
        <w:t xml:space="preserve">3</w:t>
      </w:r>
      <w:r>
        <w:rPr>
          <w:rFonts w:hint="eastAsia" w:ascii="微软雅黑" w:hAnsi="微软雅黑" w:eastAsia="微软雅黑" w:cs="微软雅黑"/>
          <w:color w:val="auto"/>
          <w:sz w:val="21"/>
          <w:szCs w:val="21"/>
          <w:highlight w:val="none"/>
        </w:rPr>
        <w:t xml:space="preserve">.1 供应商须在采购文件第一章“投标邀请”规定的投标截止时间前</w:t>
      </w:r>
      <w:r>
        <w:rPr>
          <w:rFonts w:hint="eastAsia" w:ascii="微软雅黑" w:hAnsi="微软雅黑" w:eastAsia="微软雅黑" w:cs="微软雅黑"/>
          <w:color w:val="auto"/>
          <w:sz w:val="21"/>
          <w:szCs w:val="21"/>
          <w:highlight w:val="none"/>
          <w:lang w:eastAsia="zh-CN"/>
        </w:rPr>
        <w:t xml:space="preserve">上传电子投标文件</w:t>
      </w:r>
      <w:r>
        <w:rPr>
          <w:rFonts w:hint="eastAsia" w:ascii="微软雅黑" w:hAnsi="微软雅黑" w:eastAsia="微软雅黑" w:cs="微软雅黑"/>
          <w:color w:val="auto"/>
          <w:sz w:val="21"/>
          <w:szCs w:val="21"/>
          <w:highlight w:val="none"/>
        </w:rPr>
        <w:t xml:space="preserve">。</w:t>
      </w:r>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4.</w:t>
      </w:r>
      <w:r>
        <w:rPr>
          <w:rFonts w:hint="eastAsia" w:ascii="微软雅黑" w:hAnsi="微软雅黑" w:eastAsia="微软雅黑" w:cs="微软雅黑"/>
          <w:color w:val="auto"/>
          <w:sz w:val="21"/>
          <w:szCs w:val="21"/>
          <w:highlight w:val="none"/>
          <w:lang w:val="en-US" w:eastAsia="zh-CN"/>
        </w:rPr>
        <w:t xml:space="preserve">3</w:t>
      </w:r>
      <w:r>
        <w:rPr>
          <w:rFonts w:hint="eastAsia" w:ascii="微软雅黑" w:hAnsi="微软雅黑" w:eastAsia="微软雅黑" w:cs="微软雅黑"/>
          <w:color w:val="auto"/>
          <w:sz w:val="21"/>
          <w:szCs w:val="21"/>
          <w:highlight w:val="none"/>
        </w:rPr>
        <w:t xml:space="preserve">.2 若采购代理机构按3.6.2条规定推迟了投标截止时间，采购代理机构和供应商受投标截止时间制约的所有权利和义务均应以新的截止时间为准。</w:t>
      </w:r>
      <w:r>
        <w:rPr>
          <w:highlight w:val="none"/>
        </w:rPr>
      </w:r>
      <w:r>
        <w:rPr>
          <w:highlight w:val="none"/>
        </w:rPr>
      </w:r>
    </w:p>
    <w:p>
      <w:pPr>
        <w:pStyle w:val="1090"/>
        <w:ind w:left="0"/>
        <w:jc w:val="left"/>
        <w:pageBreakBefore w:val="0"/>
        <w:spacing w:before="0" w:after="0" w:line="440" w:lineRule="exact"/>
        <w:widowControl w:val="off"/>
        <w:rPr>
          <w:rFonts w:hint="eastAsia" w:ascii="微软雅黑" w:hAnsi="微软雅黑" w:eastAsia="微软雅黑" w:cs="微软雅黑"/>
          <w:b/>
          <w:bCs w:val="0"/>
          <w:color w:val="auto"/>
          <w:sz w:val="21"/>
          <w:szCs w:val="21"/>
          <w:highlight w:val="none"/>
        </w:rPr>
      </w:pPr>
      <w:r>
        <w:rPr>
          <w:highlight w:val="none"/>
        </w:rPr>
      </w:r>
      <w:bookmarkStart w:id="152" w:name="_Toc4410"/>
      <w:r>
        <w:rPr>
          <w:highlight w:val="none"/>
        </w:rPr>
      </w:r>
      <w:bookmarkStart w:id="153" w:name="_Toc2903"/>
      <w:r>
        <w:rPr>
          <w:highlight w:val="none"/>
        </w:rPr>
      </w:r>
      <w:bookmarkStart w:id="154" w:name="_Toc25550"/>
      <w:r>
        <w:rPr>
          <w:rFonts w:hint="eastAsia" w:ascii="微软雅黑" w:hAnsi="微软雅黑" w:eastAsia="微软雅黑" w:cs="微软雅黑"/>
          <w:b/>
          <w:bCs w:val="0"/>
          <w:color w:val="auto"/>
          <w:sz w:val="21"/>
          <w:szCs w:val="21"/>
          <w:highlight w:val="none"/>
        </w:rPr>
        <w:t xml:space="preserve">4.</w:t>
      </w:r>
      <w:r>
        <w:rPr>
          <w:rFonts w:hint="eastAsia" w:ascii="微软雅黑" w:hAnsi="微软雅黑" w:eastAsia="微软雅黑" w:cs="微软雅黑"/>
          <w:b/>
          <w:bCs w:val="0"/>
          <w:color w:val="auto"/>
          <w:sz w:val="21"/>
          <w:szCs w:val="21"/>
          <w:highlight w:val="none"/>
          <w:lang w:val="en-US" w:eastAsia="zh-CN"/>
        </w:rPr>
        <w:t xml:space="preserve">4</w:t>
      </w:r>
      <w:r>
        <w:rPr>
          <w:rFonts w:hint="eastAsia" w:ascii="微软雅黑" w:hAnsi="微软雅黑" w:eastAsia="微软雅黑" w:cs="微软雅黑"/>
          <w:b/>
          <w:bCs w:val="0"/>
          <w:color w:val="auto"/>
          <w:sz w:val="21"/>
          <w:szCs w:val="21"/>
          <w:highlight w:val="none"/>
        </w:rPr>
        <w:t xml:space="preserve"> 投标文件的修改和撤回</w:t>
      </w:r>
      <w:bookmarkEnd w:id="152"/>
      <w:r>
        <w:rPr>
          <w:highlight w:val="none"/>
        </w:rPr>
      </w:r>
      <w:bookmarkEnd w:id="153"/>
      <w:r>
        <w:rPr>
          <w:highlight w:val="none"/>
        </w:rPr>
      </w:r>
      <w:bookmarkEnd w:id="154"/>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val="en-US" w:eastAsia="zh-CN"/>
        </w:rPr>
        <w:t xml:space="preserve">4.</w:t>
      </w:r>
      <w:r>
        <w:rPr>
          <w:rFonts w:hint="eastAsia" w:ascii="微软雅黑" w:hAnsi="微软雅黑" w:cs="微软雅黑"/>
          <w:color w:val="auto"/>
          <w:sz w:val="21"/>
          <w:szCs w:val="21"/>
          <w:highlight w:val="none"/>
          <w:lang w:val="en-US" w:eastAsia="zh-CN"/>
        </w:rPr>
        <w:t xml:space="preserve">4</w:t>
      </w:r>
      <w:r>
        <w:rPr>
          <w:rFonts w:hint="eastAsia" w:ascii="微软雅黑" w:hAnsi="微软雅黑" w:eastAsia="微软雅黑" w:cs="微软雅黑"/>
          <w:color w:val="auto"/>
          <w:sz w:val="21"/>
          <w:szCs w:val="21"/>
          <w:highlight w:val="none"/>
          <w:lang w:val="en-US" w:eastAsia="zh-CN"/>
        </w:rPr>
        <w:t xml:space="preserve">.1</w:t>
      </w:r>
      <w:r>
        <w:rPr>
          <w:rFonts w:hint="eastAsia" w:ascii="微软雅黑" w:hAnsi="微软雅黑" w:eastAsia="微软雅黑" w:cs="微软雅黑"/>
          <w:color w:val="auto"/>
          <w:sz w:val="21"/>
          <w:szCs w:val="21"/>
          <w:highlight w:val="none"/>
        </w:rPr>
        <w:t xml:space="preserve"> 投标文件的撤回</w:t>
      </w:r>
      <w:r>
        <w:rPr>
          <w:highlight w:val="none"/>
        </w:rPr>
      </w:r>
      <w:r>
        <w:rPr>
          <w:highlight w:val="none"/>
        </w:rPr>
      </w:r>
    </w:p>
    <w:p>
      <w:pPr>
        <w:ind w:left="0" w:firstLine="420"/>
        <w:jc w:val="left"/>
        <w:keepLines w:val="0"/>
        <w:keepNext w:val="0"/>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cs="微软雅黑"/>
          <w:color w:val="auto"/>
          <w:sz w:val="21"/>
          <w:szCs w:val="21"/>
          <w:highlight w:val="none"/>
          <w:lang w:val="en-US" w:eastAsia="zh-CN"/>
        </w:rPr>
        <w:t xml:space="preserve">（1）</w:t>
      </w:r>
      <w:r>
        <w:rPr>
          <w:rFonts w:hint="eastAsia" w:ascii="微软雅黑" w:hAnsi="微软雅黑" w:eastAsia="微软雅黑" w:cs="微软雅黑"/>
          <w:color w:val="auto"/>
          <w:sz w:val="21"/>
          <w:szCs w:val="21"/>
          <w:highlight w:val="none"/>
        </w:rPr>
        <w:t xml:space="preserve">投标人可在投标截止时间前撤回其电子投标文件，具体操作方法见《操作手册》。</w:t>
      </w:r>
      <w:r>
        <w:rPr>
          <w:highlight w:val="none"/>
        </w:rPr>
      </w:r>
      <w:r>
        <w:rPr>
          <w:highlight w:val="none"/>
        </w:rPr>
      </w:r>
    </w:p>
    <w:p>
      <w:pPr>
        <w:ind w:left="0" w:firstLine="420"/>
        <w:jc w:val="left"/>
        <w:keepLines w:val="0"/>
        <w:keepNext w:val="0"/>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cs="微软雅黑"/>
          <w:color w:val="auto"/>
          <w:sz w:val="21"/>
          <w:szCs w:val="21"/>
          <w:highlight w:val="none"/>
          <w:lang w:val="en-US" w:eastAsia="zh-CN"/>
        </w:rPr>
        <w:t xml:space="preserve">（2）</w:t>
      </w:r>
      <w:r>
        <w:rPr>
          <w:rFonts w:hint="eastAsia" w:ascii="微软雅黑" w:hAnsi="微软雅黑" w:eastAsia="微软雅黑" w:cs="微软雅黑"/>
          <w:color w:val="auto"/>
          <w:sz w:val="21"/>
          <w:szCs w:val="21"/>
          <w:highlight w:val="none"/>
        </w:rPr>
        <w:t xml:space="preserve">投标人撤回电子投标文件，则认为其不再参与本项目投标活动。</w:t>
      </w:r>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val="en-US" w:eastAsia="zh-CN"/>
        </w:rPr>
        <w:t xml:space="preserve">4.</w:t>
      </w:r>
      <w:r>
        <w:rPr>
          <w:rFonts w:hint="eastAsia" w:ascii="微软雅黑" w:hAnsi="微软雅黑" w:cs="微软雅黑"/>
          <w:color w:val="auto"/>
          <w:sz w:val="21"/>
          <w:szCs w:val="21"/>
          <w:highlight w:val="none"/>
          <w:lang w:val="en-US" w:eastAsia="zh-CN"/>
        </w:rPr>
        <w:t xml:space="preserve">4</w:t>
      </w:r>
      <w:r>
        <w:rPr>
          <w:rFonts w:hint="eastAsia" w:ascii="微软雅黑" w:hAnsi="微软雅黑" w:eastAsia="微软雅黑" w:cs="微软雅黑"/>
          <w:color w:val="auto"/>
          <w:sz w:val="21"/>
          <w:szCs w:val="21"/>
          <w:highlight w:val="none"/>
          <w:lang w:val="en-US" w:eastAsia="zh-CN"/>
        </w:rPr>
        <w:t xml:space="preserve">.2</w:t>
      </w:r>
      <w:r>
        <w:rPr>
          <w:rFonts w:hint="eastAsia" w:ascii="微软雅黑" w:hAnsi="微软雅黑" w:eastAsia="微软雅黑" w:cs="微软雅黑"/>
          <w:color w:val="auto"/>
          <w:sz w:val="21"/>
          <w:szCs w:val="21"/>
          <w:highlight w:val="none"/>
        </w:rPr>
        <w:t xml:space="preserve"> 投标文件的修改</w:t>
      </w:r>
      <w:r>
        <w:rPr>
          <w:highlight w:val="none"/>
        </w:rPr>
      </w:r>
      <w:r>
        <w:rPr>
          <w:highlight w:val="none"/>
        </w:rPr>
      </w:r>
    </w:p>
    <w:p>
      <w:pPr>
        <w:ind w:left="0" w:firstLine="420"/>
        <w:jc w:val="left"/>
        <w:keepLines w:val="0"/>
        <w:keepNext w:val="0"/>
        <w:pageBreakBefore w:val="0"/>
        <w:spacing w:line="440" w:lineRule="exact"/>
        <w:widowControl w:val="off"/>
        <w:rPr>
          <w:rFonts w:hint="eastAsia" w:ascii="微软雅黑" w:hAnsi="微软雅黑" w:cs="微软雅黑"/>
          <w:color w:val="auto"/>
          <w:sz w:val="21"/>
          <w:szCs w:val="21"/>
          <w:highlight w:val="none"/>
        </w:rPr>
      </w:pPr>
      <w:r>
        <w:rPr>
          <w:rFonts w:hint="eastAsia" w:ascii="微软雅黑" w:hAnsi="微软雅黑" w:cs="微软雅黑"/>
          <w:color w:val="auto"/>
          <w:sz w:val="21"/>
          <w:szCs w:val="21"/>
          <w:highlight w:val="none"/>
          <w:lang w:val="en-US" w:eastAsia="zh-CN"/>
        </w:rPr>
        <w:t xml:space="preserve">（1）投标人可在投标截止时间前对其电子投标文件进行修改，具体操作方法见《操作手册》。</w:t>
      </w:r>
      <w:r>
        <w:rPr>
          <w:highlight w:val="none"/>
        </w:rPr>
      </w:r>
      <w:r>
        <w:rPr>
          <w:highlight w:val="none"/>
        </w:rPr>
      </w:r>
    </w:p>
    <w:p>
      <w:pPr>
        <w:ind w:left="0" w:firstLine="420"/>
        <w:jc w:val="left"/>
        <w:keepLines w:val="0"/>
        <w:keepNext w:val="0"/>
        <w:pageBreakBefore w:val="0"/>
        <w:spacing w:line="440" w:lineRule="exact"/>
        <w:widowControl w:val="off"/>
        <w:rPr>
          <w:rFonts w:hint="eastAsia" w:ascii="微软雅黑" w:hAnsi="微软雅黑" w:cs="微软雅黑"/>
          <w:color w:val="auto"/>
          <w:sz w:val="21"/>
          <w:szCs w:val="21"/>
          <w:highlight w:val="none"/>
        </w:rPr>
      </w:pPr>
      <w:r>
        <w:rPr>
          <w:rFonts w:hint="eastAsia" w:ascii="微软雅黑" w:hAnsi="微软雅黑" w:cs="微软雅黑"/>
          <w:color w:val="auto"/>
          <w:sz w:val="21"/>
          <w:szCs w:val="21"/>
          <w:highlight w:val="none"/>
          <w:lang w:val="en-US" w:eastAsia="zh-CN"/>
        </w:rPr>
        <w:t xml:space="preserve">（2）投标截止时间之后，投标人不得对其电子投标文件作任何修改。</w:t>
      </w:r>
      <w:r>
        <w:rPr>
          <w:highlight w:val="none"/>
        </w:rPr>
      </w:r>
      <w:r>
        <w:rPr>
          <w:highlight w:val="none"/>
        </w:rPr>
      </w:r>
    </w:p>
    <w:p>
      <w:pPr>
        <w:ind w:left="0" w:firstLine="420"/>
        <w:jc w:val="left"/>
        <w:keepLines w:val="0"/>
        <w:keepNext w:val="0"/>
        <w:pageBreakBefore w:val="0"/>
        <w:spacing w:line="440" w:lineRule="exact"/>
        <w:widowControl w:val="off"/>
        <w:rPr>
          <w:rFonts w:hint="eastAsia" w:ascii="微软雅黑" w:hAnsi="微软雅黑" w:cs="微软雅黑"/>
          <w:color w:val="auto"/>
          <w:sz w:val="21"/>
          <w:szCs w:val="21"/>
          <w:highlight w:val="none"/>
        </w:rPr>
      </w:pPr>
      <w:r>
        <w:rPr>
          <w:rFonts w:hint="eastAsia" w:ascii="微软雅黑" w:hAnsi="微软雅黑" w:cs="微软雅黑"/>
          <w:color w:val="auto"/>
          <w:sz w:val="21"/>
          <w:szCs w:val="21"/>
          <w:highlight w:val="none"/>
          <w:lang w:val="en-US" w:eastAsia="zh-CN"/>
        </w:rPr>
        <w:t xml:space="preserve">（3）在投标截止时间至采购文件中规定的投标有效期满之间的这段时间内，投标人不得撤回其投标。</w:t>
      </w:r>
      <w:r>
        <w:rPr>
          <w:highlight w:val="none"/>
        </w:rPr>
      </w:r>
      <w:r>
        <w:rPr>
          <w:highlight w:val="none"/>
        </w:rPr>
      </w:r>
    </w:p>
    <w:p>
      <w:pPr>
        <w:pStyle w:val="1088"/>
        <w:ind w:left="0" w:right="0" w:firstLine="0"/>
        <w:jc w:val="center"/>
        <w:pageBreakBefore w:val="0"/>
        <w:spacing w:before="0" w:after="0" w:line="240" w:lineRule="auto"/>
        <w:widowControl w:val="off"/>
        <w:rPr>
          <w:rFonts w:hint="eastAsia" w:ascii="微软雅黑" w:hAnsi="微软雅黑" w:eastAsia="微软雅黑" w:cs="微软雅黑"/>
          <w:b/>
          <w:bCs/>
          <w:color w:val="auto"/>
          <w:sz w:val="28"/>
          <w:szCs w:val="32"/>
          <w:highlight w:val="none"/>
        </w:rPr>
      </w:pPr>
      <w:r>
        <w:rPr>
          <w:highlight w:val="none"/>
        </w:rPr>
      </w:r>
      <w:bookmarkStart w:id="155" w:name="_Toc24848"/>
      <w:r>
        <w:rPr>
          <w:highlight w:val="none"/>
        </w:rPr>
      </w:r>
      <w:bookmarkStart w:id="156" w:name="_Toc1965"/>
      <w:r>
        <w:rPr>
          <w:highlight w:val="none"/>
        </w:rPr>
      </w:r>
      <w:bookmarkStart w:id="157" w:name="_Toc30076"/>
      <w:r>
        <w:rPr>
          <w:rFonts w:hint="eastAsia" w:ascii="微软雅黑" w:hAnsi="微软雅黑" w:eastAsia="微软雅黑" w:cs="微软雅黑"/>
          <w:b/>
          <w:bCs/>
          <w:color w:val="auto"/>
          <w:sz w:val="28"/>
          <w:szCs w:val="32"/>
          <w:highlight w:val="none"/>
          <w:lang w:val="en-US" w:eastAsia="zh-CN" w:bidi="ar-SA"/>
        </w:rPr>
        <w:t xml:space="preserve">五、开标与评标</w:t>
      </w:r>
      <w:bookmarkEnd w:id="155"/>
      <w:r>
        <w:rPr>
          <w:highlight w:val="none"/>
        </w:rPr>
      </w:r>
      <w:bookmarkEnd w:id="156"/>
      <w:r>
        <w:rPr>
          <w:highlight w:val="none"/>
        </w:rPr>
      </w:r>
      <w:bookmarkEnd w:id="157"/>
      <w:r>
        <w:rPr>
          <w:highlight w:val="none"/>
        </w:rPr>
      </w:r>
      <w:r>
        <w:rPr>
          <w:highlight w:val="none"/>
        </w:rPr>
      </w:r>
    </w:p>
    <w:p>
      <w:pPr>
        <w:pStyle w:val="1090"/>
        <w:ind w:left="0"/>
        <w:jc w:val="left"/>
        <w:pageBreakBefore w:val="0"/>
        <w:spacing w:before="0" w:after="0" w:line="440" w:lineRule="exact"/>
        <w:widowControl w:val="off"/>
        <w:rPr>
          <w:rFonts w:hint="eastAsia" w:ascii="微软雅黑" w:hAnsi="微软雅黑" w:eastAsia="微软雅黑" w:cs="微软雅黑"/>
          <w:b/>
          <w:bCs w:val="0"/>
          <w:color w:val="auto"/>
          <w:sz w:val="21"/>
          <w:szCs w:val="21"/>
          <w:highlight w:val="none"/>
        </w:rPr>
      </w:pPr>
      <w:r>
        <w:rPr>
          <w:highlight w:val="none"/>
        </w:rPr>
      </w:r>
      <w:bookmarkStart w:id="158" w:name="_Toc21670"/>
      <w:r>
        <w:rPr>
          <w:highlight w:val="none"/>
        </w:rPr>
      </w:r>
      <w:bookmarkStart w:id="159" w:name="_Toc27569"/>
      <w:r>
        <w:rPr>
          <w:highlight w:val="none"/>
        </w:rPr>
      </w:r>
      <w:bookmarkStart w:id="160" w:name="_Toc452384194"/>
      <w:r>
        <w:rPr>
          <w:highlight w:val="none"/>
        </w:rPr>
      </w:r>
      <w:bookmarkStart w:id="161" w:name="_Toc7072"/>
      <w:r>
        <w:rPr>
          <w:highlight w:val="none"/>
        </w:rPr>
      </w:r>
      <w:bookmarkStart w:id="162" w:name="_Toc4421"/>
      <w:r>
        <w:rPr>
          <w:rFonts w:hint="eastAsia" w:ascii="微软雅黑" w:hAnsi="微软雅黑" w:eastAsia="微软雅黑" w:cs="微软雅黑"/>
          <w:b/>
          <w:bCs w:val="0"/>
          <w:color w:val="auto"/>
          <w:sz w:val="21"/>
          <w:szCs w:val="21"/>
          <w:highlight w:val="none"/>
        </w:rPr>
        <w:t xml:space="preserve">5.1 投标文件启封</w:t>
      </w:r>
      <w:bookmarkEnd w:id="158"/>
      <w:r>
        <w:rPr>
          <w:highlight w:val="none"/>
        </w:rPr>
      </w:r>
      <w:bookmarkEnd w:id="159"/>
      <w:r>
        <w:rPr>
          <w:highlight w:val="none"/>
        </w:rPr>
      </w:r>
      <w:bookmarkEnd w:id="160"/>
      <w:r>
        <w:rPr>
          <w:highlight w:val="none"/>
        </w:rPr>
      </w:r>
      <w:bookmarkEnd w:id="161"/>
      <w:r>
        <w:rPr>
          <w:highlight w:val="none"/>
        </w:rPr>
      </w:r>
      <w:bookmarkEnd w:id="162"/>
      <w:r>
        <w:rPr>
          <w:highlight w:val="none"/>
        </w:rPr>
      </w:r>
      <w:r>
        <w:rPr>
          <w:highlight w:val="none"/>
        </w:rPr>
      </w:r>
    </w:p>
    <w:p>
      <w:pPr>
        <w:jc w:val="left"/>
        <w:keepLines w:val="0"/>
        <w:keepNext w:val="0"/>
        <w:pageBreakBefore w:val="0"/>
        <w:spacing w:afterAutospacing="0" w:line="440" w:lineRule="exact"/>
        <w:widowControl w:val="off"/>
        <w:rPr>
          <w:rFonts w:hint="eastAsia" w:ascii="微软雅黑" w:hAnsi="微软雅黑" w:eastAsia="微软雅黑" w:cs="微软雅黑"/>
          <w:bCs/>
          <w:color w:val="auto"/>
          <w:sz w:val="21"/>
          <w:szCs w:val="21"/>
          <w:highlight w:val="none"/>
        </w:rPr>
      </w:pPr>
      <w:r>
        <w:rPr>
          <w:rFonts w:hint="eastAsia" w:ascii="微软雅黑" w:hAnsi="微软雅黑" w:eastAsia="微软雅黑" w:cs="微软雅黑"/>
          <w:bCs/>
          <w:color w:val="auto"/>
          <w:sz w:val="21"/>
          <w:szCs w:val="21"/>
          <w:highlight w:val="none"/>
          <w:lang w:val="en-US" w:eastAsia="zh-CN"/>
        </w:rPr>
        <w:t xml:space="preserve">5.1.1</w:t>
      </w:r>
      <w:r>
        <w:rPr>
          <w:rFonts w:hint="eastAsia" w:ascii="微软雅黑" w:hAnsi="微软雅黑" w:eastAsia="微软雅黑" w:cs="微软雅黑"/>
          <w:bCs/>
          <w:color w:val="auto"/>
          <w:sz w:val="21"/>
          <w:szCs w:val="21"/>
          <w:highlight w:val="none"/>
        </w:rPr>
        <w:t xml:space="preserve"> </w:t>
      </w:r>
      <w:r>
        <w:rPr>
          <w:rFonts w:hint="eastAsia" w:ascii="微软雅黑" w:hAnsi="微软雅黑" w:eastAsia="微软雅黑" w:cs="微软雅黑"/>
          <w:color w:val="auto"/>
          <w:sz w:val="21"/>
          <w:szCs w:val="21"/>
          <w:highlight w:val="none"/>
        </w:rPr>
        <w:t xml:space="preserve">采购人、采购代理机构</w:t>
      </w:r>
      <w:r>
        <w:rPr>
          <w:rFonts w:hint="eastAsia" w:ascii="微软雅黑" w:hAnsi="微软雅黑" w:eastAsia="微软雅黑" w:cs="微软雅黑"/>
          <w:bCs/>
          <w:color w:val="auto"/>
          <w:sz w:val="21"/>
          <w:szCs w:val="21"/>
          <w:highlight w:val="none"/>
        </w:rPr>
        <w:t xml:space="preserve">在</w:t>
      </w:r>
      <w:r>
        <w:rPr>
          <w:rFonts w:hint="eastAsia" w:ascii="微软雅黑" w:hAnsi="微软雅黑" w:eastAsia="微软雅黑" w:cs="微软雅黑"/>
          <w:bCs/>
          <w:color w:val="auto"/>
          <w:sz w:val="21"/>
          <w:szCs w:val="21"/>
          <w:highlight w:val="none"/>
          <w:lang w:eastAsia="zh-CN"/>
        </w:rPr>
        <w:t xml:space="preserve">采购公告</w:t>
      </w:r>
      <w:r>
        <w:rPr>
          <w:rFonts w:hint="eastAsia" w:ascii="微软雅黑" w:hAnsi="微软雅黑" w:eastAsia="微软雅黑" w:cs="微软雅黑"/>
          <w:bCs/>
          <w:color w:val="auto"/>
          <w:sz w:val="21"/>
          <w:szCs w:val="21"/>
          <w:highlight w:val="none"/>
        </w:rPr>
        <w:t xml:space="preserve">中规定的时间和地点组织公开开标。投标人按照《操作手册》规定参加开标活动，并在</w:t>
      </w:r>
      <w:bookmarkStart w:id="163" w:name="OLE_LINK3"/>
      <w:r>
        <w:rPr>
          <w:rFonts w:hint="eastAsia" w:ascii="微软雅黑" w:hAnsi="微软雅黑" w:eastAsia="微软雅黑" w:cs="微软雅黑"/>
          <w:bCs/>
          <w:color w:val="auto"/>
          <w:sz w:val="21"/>
          <w:szCs w:val="21"/>
          <w:highlight w:val="none"/>
          <w:lang w:eastAsia="zh-CN"/>
        </w:rPr>
        <w:t xml:space="preserve">“</w:t>
      </w:r>
      <w:r>
        <w:rPr>
          <w:rFonts w:hint="eastAsia" w:ascii="微软雅黑" w:hAnsi="微软雅黑" w:eastAsia="微软雅黑" w:cs="微软雅黑"/>
          <w:bCs/>
          <w:color w:val="auto"/>
          <w:sz w:val="21"/>
          <w:szCs w:val="21"/>
          <w:highlight w:val="none"/>
        </w:rPr>
        <w:t xml:space="preserve">苏采云</w:t>
      </w:r>
      <w:r>
        <w:rPr>
          <w:rFonts w:hint="eastAsia" w:ascii="微软雅黑" w:hAnsi="微软雅黑" w:eastAsia="微软雅黑" w:cs="微软雅黑"/>
          <w:bCs/>
          <w:color w:val="auto"/>
          <w:sz w:val="21"/>
          <w:szCs w:val="21"/>
          <w:highlight w:val="none"/>
          <w:lang w:eastAsia="zh-CN"/>
        </w:rPr>
        <w:t xml:space="preserve">”</w:t>
      </w:r>
      <w:r>
        <w:rPr>
          <w:rFonts w:hint="eastAsia" w:ascii="微软雅黑" w:hAnsi="微软雅黑" w:eastAsia="微软雅黑" w:cs="微软雅黑"/>
          <w:bCs/>
          <w:color w:val="auto"/>
          <w:sz w:val="21"/>
          <w:szCs w:val="21"/>
          <w:highlight w:val="none"/>
        </w:rPr>
        <w:t xml:space="preserve">系统规定的时间内</w:t>
      </w:r>
      <w:bookmarkEnd w:id="163"/>
      <w:r>
        <w:rPr>
          <w:rFonts w:hint="eastAsia" w:ascii="微软雅黑" w:hAnsi="微软雅黑" w:eastAsia="微软雅黑" w:cs="微软雅黑"/>
          <w:bCs/>
          <w:color w:val="auto"/>
          <w:sz w:val="21"/>
          <w:szCs w:val="21"/>
          <w:highlight w:val="none"/>
        </w:rPr>
        <w:t xml:space="preserve">对投标文件进行解密。</w:t>
      </w:r>
      <w:r>
        <w:rPr>
          <w:rFonts w:hint="eastAsia" w:ascii="微软雅黑" w:hAnsi="微软雅黑" w:eastAsia="微软雅黑" w:cs="微软雅黑"/>
          <w:bCs/>
          <w:color w:val="auto"/>
          <w:sz w:val="21"/>
          <w:szCs w:val="21"/>
          <w:highlight w:val="none"/>
          <w:lang w:eastAsia="zh-CN"/>
        </w:rPr>
        <w:t xml:space="preserve">“</w:t>
      </w:r>
      <w:r>
        <w:rPr>
          <w:rFonts w:hint="eastAsia" w:ascii="微软雅黑" w:hAnsi="微软雅黑" w:eastAsia="微软雅黑" w:cs="微软雅黑"/>
          <w:bCs/>
          <w:color w:val="auto"/>
          <w:sz w:val="21"/>
          <w:szCs w:val="21"/>
          <w:highlight w:val="none"/>
        </w:rPr>
        <w:t xml:space="preserve">苏采云</w:t>
      </w:r>
      <w:r>
        <w:rPr>
          <w:rFonts w:hint="eastAsia" w:ascii="微软雅黑" w:hAnsi="微软雅黑" w:eastAsia="微软雅黑" w:cs="微软雅黑"/>
          <w:bCs/>
          <w:color w:val="auto"/>
          <w:sz w:val="21"/>
          <w:szCs w:val="21"/>
          <w:highlight w:val="none"/>
          <w:lang w:eastAsia="zh-CN"/>
        </w:rPr>
        <w:t xml:space="preserve">”</w:t>
      </w:r>
      <w:r>
        <w:rPr>
          <w:rFonts w:hint="eastAsia" w:ascii="微软雅黑" w:hAnsi="微软雅黑" w:eastAsia="微软雅黑" w:cs="微软雅黑"/>
          <w:bCs/>
          <w:color w:val="auto"/>
          <w:sz w:val="21"/>
          <w:szCs w:val="21"/>
          <w:highlight w:val="none"/>
        </w:rPr>
        <w:t xml:space="preserve">系统公布各投标人名称和投标价格。</w:t>
      </w:r>
      <w:r>
        <w:rPr>
          <w:highlight w:val="none"/>
        </w:rPr>
      </w:r>
      <w:r>
        <w:rPr>
          <w:highlight w:val="none"/>
        </w:rPr>
      </w:r>
    </w:p>
    <w:p>
      <w:pPr>
        <w:jc w:val="left"/>
        <w:keepLines w:val="0"/>
        <w:keepNext w:val="0"/>
        <w:pageBreakBefore w:val="0"/>
        <w:spacing w:afterAutospacing="0" w:line="440" w:lineRule="exact"/>
        <w:widowControl w:val="off"/>
        <w:rPr>
          <w:rFonts w:hint="eastAsia" w:ascii="微软雅黑" w:hAnsi="微软雅黑" w:eastAsia="微软雅黑" w:cs="微软雅黑"/>
          <w:bCs/>
          <w:color w:val="auto"/>
          <w:sz w:val="21"/>
          <w:szCs w:val="21"/>
          <w:highlight w:val="none"/>
        </w:rPr>
      </w:pPr>
      <w:r>
        <w:rPr>
          <w:rFonts w:hint="eastAsia" w:ascii="微软雅黑" w:hAnsi="微软雅黑" w:eastAsia="微软雅黑" w:cs="微软雅黑"/>
          <w:bCs/>
          <w:color w:val="auto"/>
          <w:sz w:val="21"/>
          <w:szCs w:val="21"/>
          <w:highlight w:val="none"/>
          <w:lang w:val="en-US" w:eastAsia="zh-CN"/>
        </w:rPr>
        <w:t xml:space="preserve">5.1</w:t>
      </w:r>
      <w:r>
        <w:rPr>
          <w:rFonts w:hint="eastAsia" w:ascii="微软雅黑" w:hAnsi="微软雅黑" w:eastAsia="微软雅黑" w:cs="微软雅黑"/>
          <w:bCs/>
          <w:color w:val="auto"/>
          <w:sz w:val="21"/>
          <w:szCs w:val="21"/>
          <w:highlight w:val="none"/>
        </w:rPr>
        <w:t xml:space="preserve">.2 投标人在开标过程中涉及到的投标文件解密、开标结果确认等工作，应按照《操作手册》规定执行。</w:t>
      </w:r>
      <w:r>
        <w:rPr>
          <w:highlight w:val="none"/>
        </w:rPr>
      </w:r>
      <w:r>
        <w:rPr>
          <w:highlight w:val="none"/>
        </w:rPr>
      </w:r>
    </w:p>
    <w:p>
      <w:pPr>
        <w:jc w:val="left"/>
        <w:keepLines w:val="0"/>
        <w:keepNext w:val="0"/>
        <w:pageBreakBefore w:val="0"/>
        <w:spacing w:afterAutospacing="0" w:line="440" w:lineRule="exact"/>
        <w:widowControl w:val="off"/>
        <w:rPr>
          <w:rFonts w:hint="eastAsia" w:ascii="微软雅黑" w:hAnsi="微软雅黑" w:eastAsia="微软雅黑" w:cs="微软雅黑"/>
          <w:bCs/>
          <w:color w:val="auto"/>
          <w:sz w:val="21"/>
          <w:szCs w:val="21"/>
          <w:highlight w:val="none"/>
        </w:rPr>
      </w:pPr>
      <w:r>
        <w:rPr>
          <w:rFonts w:hint="eastAsia" w:ascii="微软雅黑" w:hAnsi="微软雅黑" w:eastAsia="微软雅黑" w:cs="微软雅黑"/>
          <w:bCs/>
          <w:color w:val="auto"/>
          <w:sz w:val="21"/>
          <w:szCs w:val="21"/>
          <w:highlight w:val="none"/>
          <w:lang w:val="en-US" w:eastAsia="zh-CN"/>
        </w:rPr>
        <w:t xml:space="preserve">5.1</w:t>
      </w:r>
      <w:r>
        <w:rPr>
          <w:rFonts w:hint="eastAsia" w:ascii="微软雅黑" w:hAnsi="微软雅黑" w:eastAsia="微软雅黑" w:cs="微软雅黑"/>
          <w:bCs/>
          <w:color w:val="auto"/>
          <w:sz w:val="21"/>
          <w:szCs w:val="21"/>
          <w:highlight w:val="none"/>
        </w:rPr>
        <w:t xml:space="preserve">.3 投标人不足3家的，不得开标。</w:t>
      </w:r>
      <w:r>
        <w:rPr>
          <w:highlight w:val="none"/>
        </w:rPr>
      </w:r>
      <w:r>
        <w:rPr>
          <w:highlight w:val="none"/>
        </w:rPr>
      </w:r>
    </w:p>
    <w:p>
      <w:pPr>
        <w:jc w:val="left"/>
        <w:keepLines w:val="0"/>
        <w:keepNext w:val="0"/>
        <w:pageBreakBefore w:val="0"/>
        <w:spacing w:afterAutospacing="0" w:line="440" w:lineRule="exact"/>
        <w:widowControl w:val="off"/>
        <w:rPr>
          <w:rFonts w:hint="eastAsia" w:ascii="微软雅黑" w:hAnsi="微软雅黑" w:eastAsia="微软雅黑" w:cs="微软雅黑"/>
          <w:bCs/>
          <w:color w:val="auto"/>
          <w:sz w:val="21"/>
          <w:szCs w:val="21"/>
          <w:highlight w:val="none"/>
        </w:rPr>
      </w:pPr>
      <w:r>
        <w:rPr>
          <w:rFonts w:hint="eastAsia" w:ascii="微软雅黑" w:hAnsi="微软雅黑" w:eastAsia="微软雅黑" w:cs="微软雅黑"/>
          <w:bCs/>
          <w:color w:val="auto"/>
          <w:sz w:val="21"/>
          <w:szCs w:val="21"/>
          <w:highlight w:val="none"/>
          <w:lang w:val="en-US" w:eastAsia="zh-CN"/>
        </w:rPr>
        <w:t xml:space="preserve">5.1</w:t>
      </w:r>
      <w:r>
        <w:rPr>
          <w:rFonts w:hint="eastAsia" w:ascii="微软雅黑" w:hAnsi="微软雅黑" w:eastAsia="微软雅黑" w:cs="微软雅黑"/>
          <w:bCs/>
          <w:color w:val="auto"/>
          <w:sz w:val="21"/>
          <w:szCs w:val="21"/>
          <w:highlight w:val="none"/>
        </w:rPr>
        <w:t xml:space="preserve">.4 投标人如果对开标过程和开标结果有疑义，应当根据《操作手册》规定提出，</w:t>
      </w:r>
      <w:r>
        <w:rPr>
          <w:rFonts w:hint="eastAsia" w:ascii="微软雅黑" w:hAnsi="微软雅黑" w:eastAsia="微软雅黑" w:cs="微软雅黑"/>
          <w:bCs/>
          <w:color w:val="auto"/>
          <w:sz w:val="21"/>
          <w:szCs w:val="21"/>
          <w:highlight w:val="none"/>
          <w:lang w:eastAsia="zh-CN"/>
        </w:rPr>
        <w:t xml:space="preserve">“</w:t>
      </w:r>
      <w:r>
        <w:rPr>
          <w:rFonts w:hint="eastAsia" w:ascii="微软雅黑" w:hAnsi="微软雅黑" w:eastAsia="微软雅黑" w:cs="微软雅黑"/>
          <w:bCs/>
          <w:color w:val="auto"/>
          <w:sz w:val="21"/>
          <w:szCs w:val="21"/>
          <w:highlight w:val="none"/>
        </w:rPr>
        <w:t xml:space="preserve">苏采云</w:t>
      </w:r>
      <w:r>
        <w:rPr>
          <w:rFonts w:hint="eastAsia" w:ascii="微软雅黑" w:hAnsi="微软雅黑" w:eastAsia="微软雅黑" w:cs="微软雅黑"/>
          <w:bCs/>
          <w:color w:val="auto"/>
          <w:sz w:val="21"/>
          <w:szCs w:val="21"/>
          <w:highlight w:val="none"/>
          <w:lang w:eastAsia="zh-CN"/>
        </w:rPr>
        <w:t xml:space="preserve">”</w:t>
      </w:r>
      <w:r>
        <w:rPr>
          <w:rFonts w:hint="eastAsia" w:ascii="微软雅黑" w:hAnsi="微软雅黑" w:eastAsia="微软雅黑" w:cs="微软雅黑"/>
          <w:bCs/>
          <w:color w:val="auto"/>
          <w:sz w:val="21"/>
          <w:szCs w:val="21"/>
          <w:highlight w:val="none"/>
        </w:rPr>
        <w:t xml:space="preserve">系统中《开标记录表》公布后5分钟内未提出的，视同认可开标结果。</w:t>
      </w:r>
      <w:r>
        <w:rPr>
          <w:highlight w:val="none"/>
        </w:rPr>
      </w:r>
      <w:r>
        <w:rPr>
          <w:highlight w:val="none"/>
        </w:rPr>
      </w:r>
    </w:p>
    <w:p>
      <w:pPr>
        <w:pStyle w:val="1090"/>
        <w:ind w:left="0"/>
        <w:jc w:val="left"/>
        <w:pageBreakBefore w:val="0"/>
        <w:spacing w:before="0" w:after="0" w:line="440" w:lineRule="exact"/>
        <w:widowControl w:val="off"/>
        <w:rPr>
          <w:rFonts w:hint="eastAsia" w:ascii="微软雅黑" w:hAnsi="微软雅黑" w:eastAsia="微软雅黑" w:cs="微软雅黑"/>
          <w:b/>
          <w:bCs w:val="0"/>
          <w:color w:val="auto"/>
          <w:sz w:val="21"/>
          <w:szCs w:val="21"/>
          <w:highlight w:val="none"/>
        </w:rPr>
      </w:pPr>
      <w:r>
        <w:rPr>
          <w:highlight w:val="none"/>
        </w:rPr>
      </w:r>
      <w:bookmarkStart w:id="164" w:name="_Toc15763"/>
      <w:r>
        <w:rPr>
          <w:highlight w:val="none"/>
        </w:rPr>
      </w:r>
      <w:bookmarkStart w:id="165" w:name="_Toc29254"/>
      <w:r>
        <w:rPr>
          <w:highlight w:val="none"/>
        </w:rPr>
      </w:r>
      <w:bookmarkStart w:id="166" w:name="_Toc32095"/>
      <w:r>
        <w:rPr>
          <w:highlight w:val="none"/>
        </w:rPr>
      </w:r>
      <w:bookmarkStart w:id="167" w:name="_Toc3406"/>
      <w:r>
        <w:rPr>
          <w:highlight w:val="none"/>
        </w:rPr>
      </w:r>
      <w:bookmarkStart w:id="168" w:name="_Toc452384195"/>
      <w:r>
        <w:rPr>
          <w:rFonts w:hint="eastAsia" w:ascii="微软雅黑" w:hAnsi="微软雅黑" w:eastAsia="微软雅黑" w:cs="微软雅黑"/>
          <w:b/>
          <w:bCs w:val="0"/>
          <w:color w:val="auto"/>
          <w:sz w:val="21"/>
          <w:szCs w:val="21"/>
          <w:highlight w:val="none"/>
        </w:rPr>
        <w:t xml:space="preserve">5.2 评标委员会</w:t>
      </w:r>
      <w:bookmarkEnd w:id="164"/>
      <w:r>
        <w:rPr>
          <w:highlight w:val="none"/>
        </w:rPr>
      </w:r>
      <w:bookmarkEnd w:id="165"/>
      <w:r>
        <w:rPr>
          <w:highlight w:val="none"/>
        </w:rPr>
      </w:r>
      <w:bookmarkEnd w:id="166"/>
      <w:r>
        <w:rPr>
          <w:highlight w:val="none"/>
        </w:rPr>
      </w:r>
      <w:bookmarkEnd w:id="167"/>
      <w:r>
        <w:rPr>
          <w:highlight w:val="none"/>
        </w:rPr>
      </w:r>
      <w:bookmarkEnd w:id="168"/>
      <w:r>
        <w:rPr>
          <w:highlight w:val="none"/>
        </w:rPr>
      </w:r>
      <w:r>
        <w:rPr>
          <w:highlight w:val="none"/>
        </w:rPr>
      </w:r>
    </w:p>
    <w:p>
      <w:pPr>
        <w:ind w:left="0" w:firstLine="42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评标委员会按照法律法规及相关文件的规定由采购人代表和有关技术、经济等方面的专家组成，评标委员会独立工作，负责评审所有投标文件并推荐确定中标供应商候选人。</w:t>
      </w:r>
      <w:r>
        <w:rPr>
          <w:highlight w:val="none"/>
        </w:rPr>
      </w:r>
      <w:r>
        <w:rPr>
          <w:highlight w:val="none"/>
        </w:rPr>
      </w:r>
    </w:p>
    <w:p>
      <w:pPr>
        <w:pStyle w:val="1090"/>
        <w:ind w:left="0"/>
        <w:jc w:val="left"/>
        <w:pageBreakBefore w:val="0"/>
        <w:spacing w:before="0" w:after="0" w:line="440" w:lineRule="exact"/>
        <w:widowControl w:val="off"/>
        <w:rPr>
          <w:rFonts w:hint="eastAsia" w:ascii="微软雅黑" w:hAnsi="微软雅黑" w:eastAsia="微软雅黑" w:cs="微软雅黑"/>
          <w:b/>
          <w:bCs w:val="0"/>
          <w:color w:val="auto"/>
          <w:sz w:val="21"/>
          <w:szCs w:val="21"/>
          <w:highlight w:val="none"/>
        </w:rPr>
      </w:pPr>
      <w:r>
        <w:rPr>
          <w:highlight w:val="none"/>
        </w:rPr>
      </w:r>
      <w:bookmarkStart w:id="169" w:name="_Toc4587"/>
      <w:r>
        <w:rPr>
          <w:highlight w:val="none"/>
        </w:rPr>
      </w:r>
      <w:bookmarkStart w:id="170" w:name="_Toc13666"/>
      <w:r>
        <w:rPr>
          <w:highlight w:val="none"/>
        </w:rPr>
      </w:r>
      <w:bookmarkStart w:id="171" w:name="_Toc452384196"/>
      <w:r>
        <w:rPr>
          <w:highlight w:val="none"/>
        </w:rPr>
      </w:r>
      <w:bookmarkStart w:id="172" w:name="_Toc8726"/>
      <w:r>
        <w:rPr>
          <w:highlight w:val="none"/>
        </w:rPr>
      </w:r>
      <w:bookmarkStart w:id="173" w:name="_Toc31905"/>
      <w:r>
        <w:rPr>
          <w:rFonts w:hint="eastAsia" w:ascii="微软雅黑" w:hAnsi="微软雅黑" w:eastAsia="微软雅黑" w:cs="微软雅黑"/>
          <w:b/>
          <w:bCs w:val="0"/>
          <w:color w:val="auto"/>
          <w:sz w:val="21"/>
          <w:szCs w:val="21"/>
          <w:highlight w:val="none"/>
        </w:rPr>
        <w:t xml:space="preserve">5.3 对投标文件的资格性审查和符合性审查</w:t>
      </w:r>
      <w:bookmarkEnd w:id="169"/>
      <w:r>
        <w:rPr>
          <w:highlight w:val="none"/>
        </w:rPr>
      </w:r>
      <w:bookmarkEnd w:id="170"/>
      <w:r>
        <w:rPr>
          <w:highlight w:val="none"/>
        </w:rPr>
      </w:r>
      <w:bookmarkEnd w:id="171"/>
      <w:r>
        <w:rPr>
          <w:highlight w:val="none"/>
        </w:rPr>
      </w:r>
      <w:bookmarkEnd w:id="172"/>
      <w:r>
        <w:rPr>
          <w:highlight w:val="none"/>
        </w:rPr>
      </w:r>
      <w:bookmarkEnd w:id="173"/>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5.3.1 资格性审查的内容包括：</w:t>
      </w:r>
      <w:r>
        <w:rPr>
          <w:highlight w:val="none"/>
        </w:rPr>
      </w:r>
      <w:r>
        <w:rPr>
          <w:highlight w:val="none"/>
        </w:rPr>
      </w:r>
    </w:p>
    <w:p>
      <w:pPr>
        <w:ind w:left="0" w:firstLine="42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（1）供应商资质（采购文件第一章要求）；</w:t>
      </w:r>
      <w:r>
        <w:rPr>
          <w:highlight w:val="none"/>
        </w:rPr>
      </w:r>
      <w:r>
        <w:rPr>
          <w:highlight w:val="none"/>
        </w:rPr>
      </w:r>
    </w:p>
    <w:p>
      <w:pPr>
        <w:ind w:left="0" w:firstLine="42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（2）投标保证金</w:t>
      </w:r>
      <w:r>
        <w:rPr>
          <w:rFonts w:hint="eastAsia" w:ascii="微软雅黑" w:hAnsi="微软雅黑" w:cs="微软雅黑"/>
          <w:color w:val="auto"/>
          <w:sz w:val="21"/>
          <w:szCs w:val="21"/>
          <w:highlight w:val="none"/>
          <w:lang w:eastAsia="zh-CN"/>
        </w:rPr>
        <w:t xml:space="preserve">缴纳</w:t>
      </w:r>
      <w:r>
        <w:rPr>
          <w:rFonts w:hint="eastAsia" w:ascii="微软雅黑" w:hAnsi="微软雅黑" w:eastAsia="微软雅黑" w:cs="微软雅黑"/>
          <w:color w:val="auto"/>
          <w:sz w:val="21"/>
          <w:szCs w:val="21"/>
          <w:highlight w:val="none"/>
        </w:rPr>
        <w:t xml:space="preserve">情况（采购文件第二章供应商须知前附表要求）；</w:t>
      </w:r>
      <w:r>
        <w:rPr>
          <w:highlight w:val="none"/>
        </w:rPr>
      </w:r>
      <w:r>
        <w:rPr>
          <w:highlight w:val="none"/>
        </w:rPr>
      </w:r>
    </w:p>
    <w:p>
      <w:pPr>
        <w:ind w:left="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5.3.2 符合性审查的内容包括：</w:t>
      </w:r>
      <w:r>
        <w:rPr>
          <w:highlight w:val="none"/>
        </w:rPr>
      </w:r>
      <w:r>
        <w:rPr>
          <w:highlight w:val="none"/>
        </w:rPr>
      </w:r>
    </w:p>
    <w:p>
      <w:pPr>
        <w:ind w:left="0" w:firstLine="42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eastAsia="zh-CN"/>
        </w:rPr>
        <w:t xml:space="preserve">（</w:t>
      </w:r>
      <w:r>
        <w:rPr>
          <w:rFonts w:hint="eastAsia" w:ascii="微软雅黑" w:hAnsi="微软雅黑" w:cs="微软雅黑"/>
          <w:color w:val="auto"/>
          <w:sz w:val="21"/>
          <w:szCs w:val="21"/>
          <w:highlight w:val="none"/>
          <w:lang w:val="en-US" w:eastAsia="zh-CN"/>
        </w:rPr>
        <w:t xml:space="preserve">1</w:t>
      </w:r>
      <w:r>
        <w:rPr>
          <w:rFonts w:hint="eastAsia" w:ascii="微软雅黑" w:hAnsi="微软雅黑" w:eastAsia="微软雅黑" w:cs="微软雅黑"/>
          <w:color w:val="auto"/>
          <w:sz w:val="21"/>
          <w:szCs w:val="21"/>
          <w:highlight w:val="none"/>
          <w:lang w:eastAsia="zh-CN"/>
        </w:rPr>
        <w:t xml:space="preserve">）</w:t>
      </w:r>
      <w:r>
        <w:rPr>
          <w:rFonts w:hint="eastAsia" w:ascii="微软雅黑" w:hAnsi="微软雅黑" w:eastAsia="微软雅黑" w:cs="微软雅黑"/>
          <w:color w:val="auto"/>
          <w:sz w:val="21"/>
          <w:szCs w:val="21"/>
          <w:highlight w:val="none"/>
        </w:rPr>
        <w:t xml:space="preserve">投标文件的有效性(签署、盖章情况等)；</w:t>
      </w:r>
      <w:r>
        <w:rPr>
          <w:highlight w:val="none"/>
        </w:rPr>
      </w:r>
      <w:r>
        <w:rPr>
          <w:highlight w:val="none"/>
        </w:rPr>
      </w:r>
    </w:p>
    <w:p>
      <w:pPr>
        <w:ind w:left="0" w:firstLine="42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w:t>
      </w:r>
      <w:r>
        <w:rPr>
          <w:rFonts w:hint="eastAsia" w:ascii="微软雅黑" w:hAnsi="微软雅黑" w:cs="微软雅黑"/>
          <w:color w:val="auto"/>
          <w:sz w:val="21"/>
          <w:szCs w:val="21"/>
          <w:highlight w:val="none"/>
          <w:lang w:val="en-US" w:eastAsia="zh-CN"/>
        </w:rPr>
        <w:t xml:space="preserve">2</w:t>
      </w:r>
      <w:r>
        <w:rPr>
          <w:rFonts w:hint="eastAsia" w:ascii="微软雅黑" w:hAnsi="微软雅黑" w:eastAsia="微软雅黑" w:cs="微软雅黑"/>
          <w:color w:val="auto"/>
          <w:sz w:val="21"/>
          <w:szCs w:val="21"/>
          <w:highlight w:val="none"/>
        </w:rPr>
        <w:t xml:space="preserve">）投标报价是否超过最高限价；</w:t>
      </w:r>
      <w:r>
        <w:rPr>
          <w:highlight w:val="none"/>
        </w:rPr>
      </w:r>
      <w:r>
        <w:rPr>
          <w:highlight w:val="none"/>
        </w:rPr>
      </w:r>
    </w:p>
    <w:p>
      <w:pPr>
        <w:ind w:left="0" w:firstLine="420"/>
        <w:jc w:val="left"/>
        <w:pageBreakBefore w:val="0"/>
        <w:spacing w:line="440" w:lineRule="exact"/>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w:t>
      </w:r>
      <w:r>
        <w:rPr>
          <w:rFonts w:hint="eastAsia" w:ascii="微软雅黑" w:hAnsi="微软雅黑" w:cs="微软雅黑"/>
          <w:color w:val="auto"/>
          <w:sz w:val="21"/>
          <w:szCs w:val="21"/>
          <w:highlight w:val="none"/>
          <w:lang w:val="en-US" w:eastAsia="zh-CN"/>
        </w:rPr>
        <w:t xml:space="preserve">3</w:t>
      </w:r>
      <w:r>
        <w:rPr>
          <w:rFonts w:hint="eastAsia" w:ascii="微软雅黑" w:hAnsi="微软雅黑" w:eastAsia="微软雅黑" w:cs="微软雅黑"/>
          <w:color w:val="auto"/>
          <w:sz w:val="21"/>
          <w:szCs w:val="21"/>
          <w:highlight w:val="none"/>
        </w:rPr>
        <w:t xml:space="preserve">）对采购文件的响应程度（</w:t>
      </w:r>
      <w:r>
        <w:rPr>
          <w:rFonts w:hint="eastAsia"/>
          <w:color w:val="auto"/>
          <w:highlight w:val="none"/>
          <w:lang w:val="en-US" w:eastAsia="zh-CN"/>
        </w:rPr>
        <w:t xml:space="preserve">是否有实质性响应偏离</w:t>
      </w:r>
      <w:r>
        <w:rPr>
          <w:rFonts w:hint="eastAsia" w:ascii="微软雅黑" w:hAnsi="微软雅黑" w:eastAsia="微软雅黑" w:cs="微软雅黑"/>
          <w:color w:val="auto"/>
          <w:sz w:val="21"/>
          <w:szCs w:val="21"/>
          <w:highlight w:val="none"/>
        </w:rPr>
        <w:t xml:space="preserve">等）。</w:t>
      </w:r>
      <w:r>
        <w:rPr>
          <w:highlight w:val="none"/>
        </w:rPr>
      </w:r>
      <w:r>
        <w:rPr>
          <w:highlight w:val="none"/>
        </w:rPr>
      </w:r>
    </w:p>
    <w:p>
      <w:pPr>
        <w:ind w:firstLine="420"/>
        <w:spacing w:line="420" w:lineRule="exact"/>
        <w:rPr>
          <w:rFonts w:hint="eastAsia" w:ascii="微软雅黑" w:hAnsi="微软雅黑" w:cs="微软雅黑"/>
          <w:b/>
          <w:i/>
          <w:color w:val="auto"/>
          <w:highlight w:val="none"/>
          <w:u w:val="single"/>
        </w:rPr>
      </w:pPr>
      <w:r>
        <w:rPr>
          <w:rFonts w:hint="eastAsia" w:ascii="微软雅黑" w:hAnsi="微软雅黑" w:cs="微软雅黑"/>
          <w:b/>
          <w:i/>
          <w:color w:val="auto"/>
          <w:highlight w:val="none"/>
          <w:u w:val="single"/>
        </w:rPr>
        <w:t xml:space="preserve">采购人或者采购代理机构依法对投标供应商的资质进行审查，以上资格性审查的内容只要有一条不满足，则投标文件无效。</w:t>
      </w:r>
      <w:r>
        <w:rPr>
          <w:highlight w:val="none"/>
        </w:rPr>
      </w:r>
      <w:r>
        <w:rPr>
          <w:highlight w:val="none"/>
        </w:rPr>
      </w:r>
    </w:p>
    <w:p>
      <w:pPr>
        <w:ind w:firstLine="420"/>
        <w:spacing w:line="420" w:lineRule="exact"/>
        <w:rPr>
          <w:rFonts w:hint="eastAsia" w:ascii="微软雅黑" w:hAnsi="微软雅黑" w:cs="微软雅黑"/>
          <w:b/>
          <w:i/>
          <w:color w:val="auto"/>
          <w:highlight w:val="none"/>
          <w:u w:val="single"/>
        </w:rPr>
      </w:pPr>
      <w:r>
        <w:rPr>
          <w:rFonts w:hint="eastAsia" w:ascii="微软雅黑" w:hAnsi="微软雅黑" w:cs="微软雅黑"/>
          <w:b/>
          <w:i/>
          <w:color w:val="auto"/>
          <w:highlight w:val="none"/>
          <w:u w:val="single"/>
        </w:rPr>
        <w:t xml:space="preserve">评标委员会依法对投标供应商的符合性进行审查，以上符合性审查的内容只要有一条不满足，则投标文件无效。</w:t>
      </w:r>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5.3.3所谓偏离是指投标文件的内容高于或低于采购文件的相关要求。所谓重大负偏离是指供应商所响应的范围、质量、数量和交货期限等明显不能满足采购文件的要求。重大负偏离的认定须经多数评标委员会成员同意作出结论。</w:t>
      </w:r>
      <w:r>
        <w:rPr>
          <w:highlight w:val="none"/>
        </w:rPr>
      </w:r>
      <w:r>
        <w:rPr>
          <w:highlight w:val="none"/>
        </w:rPr>
      </w:r>
    </w:p>
    <w:p>
      <w:pPr>
        <w:spacing w:line="420" w:lineRule="exact"/>
        <w:rPr>
          <w:rFonts w:hint="eastAsia" w:ascii="微软雅黑" w:hAnsi="微软雅黑" w:cs="微软雅黑"/>
          <w:b/>
          <w:i/>
          <w:color w:val="auto"/>
          <w:highlight w:val="none"/>
          <w:u w:val="single"/>
        </w:rPr>
      </w:pPr>
      <w:r>
        <w:rPr>
          <w:rFonts w:hint="eastAsia" w:ascii="微软雅黑" w:hAnsi="微软雅黑" w:cs="微软雅黑"/>
          <w:b/>
          <w:i/>
          <w:color w:val="auto"/>
          <w:highlight w:val="none"/>
          <w:u w:val="single"/>
        </w:rPr>
        <w:t xml:space="preserve">判断投标文件的响应与否只根据投标文件本身，而不寻求外部证据。</w:t>
      </w:r>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5.3.4评标委员会在初审中，对算术错误的修正原则如下:</w:t>
      </w:r>
      <w:r>
        <w:rPr>
          <w:highlight w:val="none"/>
        </w:rPr>
      </w:r>
      <w:r>
        <w:rPr>
          <w:highlight w:val="none"/>
        </w:rP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（1）开标一览表内容与投标文件中明细表内容不一致的，以开标一览表为准；</w:t>
      </w:r>
      <w:r>
        <w:rPr>
          <w:highlight w:val="none"/>
        </w:rPr>
      </w:r>
      <w:r>
        <w:rPr>
          <w:highlight w:val="none"/>
        </w:rP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（2）投标文件的大写金额和小写金额不一致的，以大写金额为准；</w:t>
      </w:r>
      <w:r>
        <w:rPr>
          <w:highlight w:val="none"/>
        </w:rPr>
      </w:r>
      <w:r>
        <w:rPr>
          <w:highlight w:val="none"/>
        </w:rP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（3）总价金额与按单价汇总金额不一致的，以单价金额计算结果为准；</w:t>
      </w:r>
      <w:r>
        <w:rPr>
          <w:highlight w:val="none"/>
        </w:rPr>
      </w:r>
      <w:r>
        <w:rPr>
          <w:highlight w:val="none"/>
        </w:rP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（4）单价金额小数点有明显错位的，以总价为准并修改单价；</w:t>
      </w:r>
      <w:r>
        <w:rPr>
          <w:highlight w:val="none"/>
        </w:rPr>
      </w:r>
      <w:r>
        <w:rPr>
          <w:highlight w:val="none"/>
        </w:rP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（5）若供应商不同意以上修正，该投标文件将视为无效。</w:t>
      </w:r>
      <w:r>
        <w:rPr>
          <w:highlight w:val="none"/>
        </w:rPr>
      </w:r>
      <w:r>
        <w:rPr>
          <w:highlight w:val="none"/>
        </w:rPr>
      </w:r>
    </w:p>
    <w:p>
      <w:pPr>
        <w:pStyle w:val="1274"/>
        <w:spacing w:line="420" w:lineRule="exact"/>
        <w:rPr>
          <w:rFonts w:hint="eastAsia" w:ascii="微软雅黑" w:hAnsi="微软雅黑" w:cs="微软雅黑"/>
          <w:bCs w:val="0"/>
          <w:color w:val="auto"/>
          <w:sz w:val="24"/>
          <w:szCs w:val="24"/>
          <w:highlight w:val="none"/>
        </w:rPr>
      </w:pPr>
      <w:r>
        <w:rPr>
          <w:highlight w:val="none"/>
        </w:rPr>
      </w:r>
      <w:bookmarkStart w:id="174" w:name="_Toc5896"/>
      <w:r>
        <w:rPr>
          <w:highlight w:val="none"/>
        </w:rPr>
      </w:r>
      <w:bookmarkStart w:id="175" w:name="_Toc2667"/>
      <w:r>
        <w:rPr>
          <w:highlight w:val="none"/>
        </w:rPr>
      </w:r>
      <w:bookmarkStart w:id="176" w:name="_Toc452384197"/>
      <w:r>
        <w:rPr>
          <w:highlight w:val="none"/>
        </w:rPr>
      </w:r>
      <w:bookmarkStart w:id="177" w:name="_Toc23900"/>
      <w:r>
        <w:rPr>
          <w:highlight w:val="none"/>
        </w:rPr>
      </w:r>
      <w:bookmarkStart w:id="178" w:name="_Toc3913"/>
      <w:r>
        <w:rPr>
          <w:rFonts w:hint="eastAsia" w:ascii="微软雅黑" w:hAnsi="微软雅黑" w:cs="微软雅黑"/>
          <w:bCs w:val="0"/>
          <w:color w:val="auto"/>
          <w:sz w:val="24"/>
          <w:szCs w:val="24"/>
          <w:highlight w:val="none"/>
        </w:rPr>
        <w:t xml:space="preserve">5.4投标文件的澄清</w:t>
      </w:r>
      <w:bookmarkEnd w:id="174"/>
      <w:r>
        <w:rPr>
          <w:highlight w:val="none"/>
        </w:rPr>
      </w:r>
      <w:bookmarkEnd w:id="175"/>
      <w:r>
        <w:rPr>
          <w:highlight w:val="none"/>
        </w:rPr>
      </w:r>
      <w:bookmarkEnd w:id="176"/>
      <w:r>
        <w:rPr>
          <w:highlight w:val="none"/>
        </w:rPr>
      </w:r>
      <w:bookmarkEnd w:id="177"/>
      <w:r>
        <w:rPr>
          <w:highlight w:val="none"/>
        </w:rPr>
      </w:r>
      <w:bookmarkEnd w:id="178"/>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5.4.1在评标期间，评标委员会有权要求供应商对其投标文件中含义不明确、同类问题前后表述不一致或者有明显文字和计算错误的内容进行澄清。供应商应派授权代表和技术人员按评标委员会通知的时间和地点接受质询。</w:t>
      </w:r>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5.4.2评标委员会认为有必要，可以要求供应商对某些问题作出必要的澄清、说明和补正。供应商的澄清、说明或者补正应当采用书面形式，并由法定代表人或其授权代表签字，且不得超出投标文件的范围或者改变投标文件的实质性内容(范围仅</w:t>
      </w:r>
      <w:r>
        <w:rPr>
          <w:rFonts w:hint="eastAsia" w:ascii="微软雅黑" w:hAnsi="微软雅黑" w:cs="微软雅黑"/>
          <w:color w:val="auto"/>
          <w:highlight w:val="none"/>
          <w:lang w:eastAsia="zh-CN"/>
        </w:rPr>
        <w:t xml:space="preserve">限于</w:t>
      </w:r>
      <w:r>
        <w:rPr>
          <w:rFonts w:hint="eastAsia" w:ascii="微软雅黑" w:hAnsi="微软雅黑" w:cs="微软雅黑"/>
          <w:color w:val="auto"/>
          <w:highlight w:val="none"/>
        </w:rPr>
        <w:t xml:space="preserve">采购需求中的技术、服务要求以及合同草案条款）。供应商的书面澄清材料作为投标文件的补充。</w:t>
      </w:r>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5.4.3供应商不按评标委员会规定的时间和地点作书面澄清，将视为放弃该权利。</w:t>
      </w:r>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5.4.4并非每个供应商都将被要求澄清。</w:t>
      </w:r>
      <w:r>
        <w:rPr>
          <w:highlight w:val="none"/>
        </w:rPr>
      </w:r>
      <w:r>
        <w:rPr>
          <w:highlight w:val="none"/>
        </w:rPr>
      </w:r>
    </w:p>
    <w:p>
      <w:pPr>
        <w:pStyle w:val="1274"/>
        <w:spacing w:line="420" w:lineRule="exact"/>
        <w:rPr>
          <w:rFonts w:hint="eastAsia" w:ascii="微软雅黑" w:hAnsi="微软雅黑" w:cs="微软雅黑"/>
          <w:bCs w:val="0"/>
          <w:color w:val="auto"/>
          <w:sz w:val="24"/>
          <w:szCs w:val="24"/>
          <w:highlight w:val="none"/>
        </w:rPr>
      </w:pPr>
      <w:r>
        <w:rPr>
          <w:highlight w:val="none"/>
        </w:rPr>
      </w:r>
      <w:bookmarkStart w:id="179" w:name="_Toc27862"/>
      <w:r>
        <w:rPr>
          <w:highlight w:val="none"/>
        </w:rPr>
      </w:r>
      <w:bookmarkStart w:id="180" w:name="_Toc452384198"/>
      <w:r>
        <w:rPr>
          <w:highlight w:val="none"/>
        </w:rPr>
      </w:r>
      <w:bookmarkStart w:id="181" w:name="_Toc25289"/>
      <w:r>
        <w:rPr>
          <w:highlight w:val="none"/>
        </w:rPr>
      </w:r>
      <w:bookmarkStart w:id="182" w:name="_Toc2242"/>
      <w:r>
        <w:rPr>
          <w:highlight w:val="none"/>
        </w:rPr>
      </w:r>
      <w:bookmarkStart w:id="183" w:name="_Toc6372"/>
      <w:r>
        <w:rPr>
          <w:rFonts w:hint="eastAsia" w:ascii="微软雅黑" w:hAnsi="微软雅黑" w:cs="微软雅黑"/>
          <w:bCs w:val="0"/>
          <w:color w:val="auto"/>
          <w:sz w:val="24"/>
          <w:szCs w:val="24"/>
          <w:highlight w:val="none"/>
        </w:rPr>
        <w:t xml:space="preserve">5.5评标及中标</w:t>
      </w:r>
      <w:bookmarkEnd w:id="179"/>
      <w:r>
        <w:rPr>
          <w:highlight w:val="none"/>
        </w:rPr>
      </w:r>
      <w:bookmarkEnd w:id="180"/>
      <w:r>
        <w:rPr>
          <w:highlight w:val="none"/>
        </w:rPr>
      </w:r>
      <w:bookmarkEnd w:id="181"/>
      <w:r>
        <w:rPr>
          <w:highlight w:val="none"/>
        </w:rPr>
      </w:r>
      <w:bookmarkEnd w:id="182"/>
      <w:r>
        <w:rPr>
          <w:highlight w:val="none"/>
        </w:rPr>
      </w:r>
      <w:bookmarkEnd w:id="183"/>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5.5.1评标委员会将对通过资格性审查和符合性审查的投标文件进行评价和比较。</w:t>
      </w:r>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5.5.2评标委员会按采购文件第三章中公布的评审办法对每份合格投标文件进行评审，确定中标候选人名单，以及根据采购人委托直接确定中标人，</w:t>
      </w:r>
      <w:r>
        <w:rPr>
          <w:rFonts w:hint="eastAsia" w:ascii="微软雅黑" w:hAnsi="微软雅黑" w:cs="微软雅黑"/>
          <w:b/>
          <w:i/>
          <w:color w:val="auto"/>
          <w:highlight w:val="none"/>
          <w:u w:val="single"/>
        </w:rPr>
        <w:t xml:space="preserve">任何单项因素的最优不能作为中标的保证</w:t>
      </w:r>
      <w:r>
        <w:rPr>
          <w:rFonts w:hint="eastAsia" w:ascii="微软雅黑" w:hAnsi="微软雅黑" w:cs="微软雅黑"/>
          <w:color w:val="auto"/>
          <w:highlight w:val="none"/>
        </w:rPr>
        <w:t xml:space="preserve">。</w:t>
      </w:r>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5.5.3评标委员会发现采购文件存在歧义、重大缺陷导致评审工作无法进行，或者采购文件内容存在违反国家有关规定的，评标工作停止，采购代理机构修改采购文件后重新组织采购活动。</w:t>
      </w:r>
      <w:r>
        <w:rPr>
          <w:highlight w:val="none"/>
        </w:rPr>
      </w:r>
      <w:r>
        <w:rPr>
          <w:highlight w:val="none"/>
        </w:rPr>
      </w:r>
    </w:p>
    <w:p>
      <w:pPr>
        <w:pStyle w:val="1274"/>
        <w:spacing w:line="420" w:lineRule="exact"/>
        <w:rPr>
          <w:rFonts w:hint="eastAsia" w:ascii="微软雅黑" w:hAnsi="微软雅黑" w:cs="微软雅黑"/>
          <w:bCs w:val="0"/>
          <w:color w:val="auto"/>
          <w:sz w:val="24"/>
          <w:szCs w:val="24"/>
          <w:highlight w:val="none"/>
        </w:rPr>
      </w:pPr>
      <w:r>
        <w:rPr>
          <w:highlight w:val="none"/>
        </w:rPr>
      </w:r>
      <w:bookmarkStart w:id="184" w:name="_Toc31625"/>
      <w:r>
        <w:rPr>
          <w:highlight w:val="none"/>
        </w:rPr>
      </w:r>
      <w:bookmarkStart w:id="185" w:name="_Toc25985"/>
      <w:r>
        <w:rPr>
          <w:highlight w:val="none"/>
        </w:rPr>
      </w:r>
      <w:bookmarkStart w:id="186" w:name="_Toc26358"/>
      <w:r>
        <w:rPr>
          <w:highlight w:val="none"/>
        </w:rPr>
      </w:r>
      <w:bookmarkStart w:id="187" w:name="_Toc11345"/>
      <w:r>
        <w:rPr>
          <w:highlight w:val="none"/>
        </w:rPr>
      </w:r>
      <w:bookmarkStart w:id="188" w:name="_Toc452384199"/>
      <w:r>
        <w:rPr>
          <w:rFonts w:hint="eastAsia" w:ascii="微软雅黑" w:hAnsi="微软雅黑" w:cs="微软雅黑"/>
          <w:bCs w:val="0"/>
          <w:color w:val="auto"/>
          <w:sz w:val="24"/>
          <w:szCs w:val="24"/>
          <w:highlight w:val="none"/>
        </w:rPr>
        <w:t xml:space="preserve">5.6评标过程保密</w:t>
      </w:r>
      <w:bookmarkEnd w:id="184"/>
      <w:r>
        <w:rPr>
          <w:highlight w:val="none"/>
        </w:rPr>
      </w:r>
      <w:bookmarkEnd w:id="185"/>
      <w:r>
        <w:rPr>
          <w:highlight w:val="none"/>
        </w:rPr>
      </w:r>
      <w:bookmarkEnd w:id="186"/>
      <w:r>
        <w:rPr>
          <w:highlight w:val="none"/>
        </w:rPr>
      </w:r>
      <w:bookmarkEnd w:id="187"/>
      <w:r>
        <w:rPr>
          <w:highlight w:val="none"/>
        </w:rPr>
      </w:r>
      <w:bookmarkEnd w:id="188"/>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5.6.1在宣布中标结果之前，凡属于审查、澄清、评价、比较投标文件和中标意向等有关信息，相关当事人均不得泄露给任何供应商或与评标工作无关的人员。</w:t>
      </w:r>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5.6.2供应商不得探听上述信息，不得以任何行为影响评标过程，否则其投标文件将被作无效处理。</w:t>
      </w:r>
      <w:r>
        <w:rPr>
          <w:highlight w:val="none"/>
        </w:rPr>
      </w:r>
      <w:r>
        <w:rPr>
          <w:highlight w:val="none"/>
        </w:rPr>
      </w:r>
    </w:p>
    <w:p>
      <w:pPr>
        <w:pStyle w:val="1274"/>
        <w:spacing w:line="420" w:lineRule="exact"/>
        <w:rPr>
          <w:rFonts w:hint="eastAsia" w:ascii="微软雅黑" w:hAnsi="微软雅黑" w:cs="微软雅黑"/>
          <w:bCs w:val="0"/>
          <w:color w:val="auto"/>
          <w:sz w:val="24"/>
          <w:szCs w:val="24"/>
          <w:highlight w:val="none"/>
        </w:rPr>
      </w:pPr>
      <w:r>
        <w:rPr>
          <w:highlight w:val="none"/>
        </w:rPr>
      </w:r>
      <w:bookmarkStart w:id="189" w:name="_Toc13403"/>
      <w:r>
        <w:rPr>
          <w:highlight w:val="none"/>
        </w:rPr>
      </w:r>
      <w:bookmarkStart w:id="190" w:name="_Toc11696"/>
      <w:r>
        <w:rPr>
          <w:highlight w:val="none"/>
        </w:rPr>
      </w:r>
      <w:bookmarkStart w:id="191" w:name="_Toc2542"/>
      <w:r>
        <w:rPr>
          <w:highlight w:val="none"/>
        </w:rPr>
      </w:r>
      <w:bookmarkStart w:id="192" w:name="_Toc6161"/>
      <w:r>
        <w:rPr>
          <w:highlight w:val="none"/>
        </w:rPr>
      </w:r>
      <w:bookmarkStart w:id="193" w:name="_Toc452384200"/>
      <w:r>
        <w:rPr>
          <w:rFonts w:hint="eastAsia" w:ascii="微软雅黑" w:hAnsi="微软雅黑" w:cs="微软雅黑"/>
          <w:bCs w:val="0"/>
          <w:color w:val="auto"/>
          <w:sz w:val="24"/>
          <w:szCs w:val="24"/>
          <w:highlight w:val="none"/>
        </w:rPr>
        <w:t xml:space="preserve">5.7投标截止时间结束后参加供应商不足三家情况的处理</w:t>
      </w:r>
      <w:bookmarkEnd w:id="189"/>
      <w:r>
        <w:rPr>
          <w:highlight w:val="none"/>
        </w:rPr>
      </w:r>
      <w:bookmarkEnd w:id="190"/>
      <w:r>
        <w:rPr>
          <w:highlight w:val="none"/>
        </w:rPr>
      </w:r>
      <w:bookmarkEnd w:id="191"/>
      <w:r>
        <w:rPr>
          <w:highlight w:val="none"/>
        </w:rPr>
      </w:r>
      <w:bookmarkEnd w:id="192"/>
      <w:r>
        <w:rPr>
          <w:highlight w:val="none"/>
        </w:rPr>
      </w:r>
      <w:bookmarkEnd w:id="193"/>
      <w:r>
        <w:rPr>
          <w:highlight w:val="none"/>
        </w:rPr>
      </w:r>
      <w:r>
        <w:rPr>
          <w:highlight w:val="none"/>
        </w:rP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投标截止后投标供应商不足3家或者通过资格审查或符合性审查的投标供应商不足3家的，除采购任务取消情形外，按照以下方式处理：</w:t>
      </w:r>
      <w:r>
        <w:rPr>
          <w:highlight w:val="none"/>
        </w:rPr>
      </w:r>
      <w:r>
        <w:rPr>
          <w:highlight w:val="none"/>
        </w:rP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（一）采购文件存在不合理条款或者招标程序不符合规定的，采购人、采购代理机构改正后依法重新招标；</w:t>
      </w:r>
      <w:r>
        <w:rPr>
          <w:highlight w:val="none"/>
        </w:rPr>
      </w:r>
      <w:r>
        <w:rPr>
          <w:highlight w:val="none"/>
        </w:rP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（二）采购文件没有不合理条款、招标程序符合规定，需要采用其他采购方式采购的，采购人应当依法报财政部门批准（不需要审批的除外）。</w:t>
      </w:r>
      <w:r>
        <w:rPr>
          <w:highlight w:val="none"/>
        </w:rPr>
      </w:r>
      <w:r>
        <w:rPr>
          <w:highlight w:val="none"/>
        </w:rP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（三）评标委员会如建议对采购方式进行改变，供应商应在规定时间内以书面方式表达自己的意见（是否同意参加竞争性谈判、单一来源采购等），规定时间内不表达意见的，视同不参加。</w:t>
      </w:r>
      <w:r>
        <w:rPr>
          <w:highlight w:val="none"/>
        </w:rPr>
      </w:r>
      <w:r>
        <w:rPr>
          <w:highlight w:val="none"/>
        </w:rPr>
      </w:r>
    </w:p>
    <w:p>
      <w:pPr>
        <w:pStyle w:val="1274"/>
        <w:spacing w:line="420" w:lineRule="exact"/>
        <w:rPr>
          <w:rFonts w:hint="eastAsia" w:ascii="微软雅黑" w:hAnsi="微软雅黑" w:cs="微软雅黑"/>
          <w:bCs w:val="0"/>
          <w:color w:val="auto"/>
          <w:sz w:val="24"/>
          <w:szCs w:val="24"/>
          <w:highlight w:val="none"/>
        </w:rPr>
      </w:pPr>
      <w:r>
        <w:rPr>
          <w:highlight w:val="none"/>
        </w:rPr>
      </w:r>
      <w:bookmarkStart w:id="194" w:name="_Toc12833"/>
      <w:r>
        <w:rPr>
          <w:highlight w:val="none"/>
        </w:rPr>
      </w:r>
      <w:bookmarkStart w:id="195" w:name="_Toc31001"/>
      <w:r>
        <w:rPr>
          <w:highlight w:val="none"/>
        </w:rPr>
      </w:r>
      <w:bookmarkStart w:id="196" w:name="_Toc23111"/>
      <w:r>
        <w:rPr>
          <w:highlight w:val="none"/>
        </w:rPr>
      </w:r>
      <w:bookmarkStart w:id="197" w:name="_Toc452384201"/>
      <w:r>
        <w:rPr>
          <w:highlight w:val="none"/>
        </w:rPr>
      </w:r>
      <w:bookmarkStart w:id="198" w:name="_Toc14481"/>
      <w:r>
        <w:rPr>
          <w:rFonts w:hint="eastAsia" w:ascii="微软雅黑" w:hAnsi="微软雅黑" w:cs="微软雅黑"/>
          <w:bCs w:val="0"/>
          <w:color w:val="auto"/>
          <w:sz w:val="24"/>
          <w:szCs w:val="24"/>
          <w:highlight w:val="none"/>
        </w:rPr>
        <w:t xml:space="preserve">5.8废标（终止采购活动）</w:t>
      </w:r>
      <w:bookmarkEnd w:id="194"/>
      <w:r>
        <w:rPr>
          <w:highlight w:val="none"/>
        </w:rPr>
      </w:r>
      <w:bookmarkEnd w:id="195"/>
      <w:r>
        <w:rPr>
          <w:highlight w:val="none"/>
        </w:rPr>
      </w:r>
      <w:bookmarkEnd w:id="196"/>
      <w:r>
        <w:rPr>
          <w:highlight w:val="none"/>
        </w:rPr>
      </w:r>
      <w:bookmarkEnd w:id="197"/>
      <w:r>
        <w:rPr>
          <w:highlight w:val="none"/>
        </w:rPr>
      </w:r>
      <w:bookmarkEnd w:id="198"/>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出现下列情形之一的，将予废标（终止采购活动）：</w:t>
      </w:r>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5.8.1需要审批的项目符合专业条件的供应商或者对采购文件作实质响应的供应商不足三家的；</w:t>
      </w:r>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5.8.2出现影响采购公正的违法、违规行为的；</w:t>
      </w:r>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5.8.3供应商的报价均超过了采购</w:t>
      </w:r>
      <w:r>
        <w:rPr>
          <w:rFonts w:hint="eastAsia" w:ascii="微软雅黑" w:hAnsi="微软雅黑" w:cs="微软雅黑"/>
          <w:color w:val="auto"/>
          <w:highlight w:val="none"/>
          <w:lang w:eastAsia="zh-CN"/>
        </w:rPr>
        <w:t xml:space="preserve">限价</w:t>
      </w:r>
      <w:r>
        <w:rPr>
          <w:rFonts w:hint="eastAsia" w:ascii="微软雅黑" w:hAnsi="微软雅黑" w:cs="微软雅黑"/>
          <w:color w:val="auto"/>
          <w:highlight w:val="none"/>
        </w:rPr>
        <w:t xml:space="preserve">，采购人不能支付的；</w:t>
      </w:r>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5.8.4因重大变故，采购任务取消的。</w:t>
      </w:r>
      <w:r>
        <w:rPr>
          <w:highlight w:val="none"/>
        </w:rPr>
      </w:r>
      <w:r>
        <w:rPr>
          <w:highlight w:val="none"/>
        </w:rPr>
      </w:r>
    </w:p>
    <w:p>
      <w:pPr>
        <w:pStyle w:val="1274"/>
        <w:spacing w:line="420" w:lineRule="exact"/>
        <w:rPr>
          <w:rFonts w:hint="eastAsia" w:ascii="微软雅黑" w:hAnsi="微软雅黑" w:cs="微软雅黑"/>
          <w:bCs w:val="0"/>
          <w:color w:val="auto"/>
          <w:sz w:val="24"/>
          <w:szCs w:val="24"/>
          <w:highlight w:val="none"/>
        </w:rPr>
      </w:pPr>
      <w:r>
        <w:rPr>
          <w:highlight w:val="none"/>
        </w:rPr>
      </w:r>
      <w:bookmarkStart w:id="199" w:name="_Toc18356"/>
      <w:r>
        <w:rPr>
          <w:highlight w:val="none"/>
        </w:rPr>
      </w:r>
      <w:bookmarkStart w:id="200" w:name="_Toc25877"/>
      <w:r>
        <w:rPr>
          <w:highlight w:val="none"/>
        </w:rPr>
      </w:r>
      <w:bookmarkStart w:id="201" w:name="_Toc9811"/>
      <w:r>
        <w:rPr>
          <w:highlight w:val="none"/>
        </w:rPr>
      </w:r>
      <w:bookmarkStart w:id="202" w:name="_Toc26119"/>
      <w:r>
        <w:rPr>
          <w:rFonts w:hint="eastAsia" w:ascii="微软雅黑" w:hAnsi="微软雅黑" w:cs="微软雅黑"/>
          <w:bCs w:val="0"/>
          <w:color w:val="auto"/>
          <w:sz w:val="24"/>
          <w:szCs w:val="24"/>
          <w:highlight w:val="none"/>
        </w:rPr>
        <w:t xml:space="preserve">5.9有下列情形之一的，视为投标供应商串通投标，其投标无效：</w:t>
      </w:r>
      <w:bookmarkEnd w:id="199"/>
      <w:r>
        <w:rPr>
          <w:highlight w:val="none"/>
        </w:rPr>
      </w:r>
      <w:bookmarkEnd w:id="200"/>
      <w:r>
        <w:rPr>
          <w:highlight w:val="none"/>
        </w:rPr>
      </w:r>
      <w:bookmarkEnd w:id="201"/>
      <w:r>
        <w:rPr>
          <w:highlight w:val="none"/>
        </w:rPr>
      </w:r>
      <w:bookmarkEnd w:id="202"/>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5.9.1不同投标供应商的投标文件由同一单位或者个人编制；</w:t>
      </w:r>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5.9.2不同投标供应商委托同一单位或者个人办理投标事宜；</w:t>
      </w:r>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5.9.3不同投标供应商的投标文件载明的项目管理成员或者联系人员为同一人；</w:t>
      </w:r>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5.9.4不同投标供应商的投标文件异常一致或者投标报价呈规律性差异；</w:t>
      </w:r>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5.9.5不同投标供应商的投标文件相互混装;</w:t>
      </w:r>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5.9.6不同投标供应商的投标保证金从同一单位或者个人的账户转出。</w:t>
      </w:r>
      <w:r>
        <w:rPr>
          <w:highlight w:val="none"/>
        </w:rPr>
      </w:r>
      <w:r>
        <w:rPr>
          <w:highlight w:val="none"/>
        </w:rPr>
      </w:r>
    </w:p>
    <w:p>
      <w:pPr>
        <w:pStyle w:val="1093"/>
        <w:spacing w:line="420" w:lineRule="exact"/>
        <w:rPr>
          <w:rFonts w:hint="eastAsia" w:ascii="微软雅黑" w:hAnsi="微软雅黑" w:cs="微软雅黑"/>
          <w:color w:val="auto"/>
          <w:highlight w:val="none"/>
        </w:rPr>
      </w:pPr>
      <w:r>
        <w:rPr>
          <w:highlight w:val="none"/>
        </w:rPr>
      </w:r>
      <w:bookmarkStart w:id="203" w:name="_Toc15764"/>
      <w:r>
        <w:rPr>
          <w:highlight w:val="none"/>
        </w:rPr>
      </w:r>
      <w:bookmarkStart w:id="204" w:name="_Toc452384202"/>
      <w:r>
        <w:rPr>
          <w:highlight w:val="none"/>
        </w:rPr>
      </w:r>
      <w:bookmarkStart w:id="205" w:name="_Toc25642"/>
      <w:r>
        <w:rPr>
          <w:highlight w:val="none"/>
        </w:rPr>
      </w:r>
      <w:bookmarkStart w:id="206" w:name="_Toc16539"/>
      <w:r>
        <w:rPr>
          <w:highlight w:val="none"/>
        </w:rPr>
      </w:r>
      <w:bookmarkStart w:id="207" w:name="_Toc15320"/>
      <w:r>
        <w:rPr>
          <w:rFonts w:hint="eastAsia" w:ascii="微软雅黑" w:hAnsi="微软雅黑" w:cs="微软雅黑"/>
          <w:color w:val="auto"/>
          <w:highlight w:val="none"/>
        </w:rPr>
        <w:t xml:space="preserve">六、合同授予及签订</w:t>
      </w:r>
      <w:bookmarkEnd w:id="203"/>
      <w:r>
        <w:rPr>
          <w:highlight w:val="none"/>
        </w:rPr>
      </w:r>
      <w:bookmarkEnd w:id="204"/>
      <w:r>
        <w:rPr>
          <w:highlight w:val="none"/>
        </w:rPr>
      </w:r>
      <w:bookmarkEnd w:id="205"/>
      <w:r>
        <w:rPr>
          <w:highlight w:val="none"/>
        </w:rPr>
      </w:r>
      <w:bookmarkEnd w:id="206"/>
      <w:r>
        <w:rPr>
          <w:highlight w:val="none"/>
        </w:rPr>
      </w:r>
      <w:bookmarkEnd w:id="207"/>
      <w:r>
        <w:rPr>
          <w:highlight w:val="none"/>
        </w:rPr>
      </w:r>
      <w:r>
        <w:rPr>
          <w:highlight w:val="none"/>
        </w:rPr>
      </w:r>
    </w:p>
    <w:p>
      <w:pPr>
        <w:pStyle w:val="1274"/>
        <w:spacing w:line="420" w:lineRule="exact"/>
        <w:rPr>
          <w:rFonts w:hint="eastAsia" w:ascii="微软雅黑" w:hAnsi="微软雅黑" w:cs="微软雅黑"/>
          <w:bCs w:val="0"/>
          <w:color w:val="auto"/>
          <w:sz w:val="24"/>
          <w:szCs w:val="24"/>
          <w:highlight w:val="none"/>
        </w:rPr>
      </w:pPr>
      <w:r>
        <w:rPr>
          <w:highlight w:val="none"/>
        </w:rPr>
      </w:r>
      <w:bookmarkStart w:id="208" w:name="_Toc6259"/>
      <w:r>
        <w:rPr>
          <w:highlight w:val="none"/>
        </w:rPr>
      </w:r>
      <w:bookmarkStart w:id="209" w:name="_Toc452384203"/>
      <w:r>
        <w:rPr>
          <w:highlight w:val="none"/>
        </w:rPr>
      </w:r>
      <w:bookmarkStart w:id="210" w:name="_Toc6552"/>
      <w:r>
        <w:rPr>
          <w:highlight w:val="none"/>
        </w:rPr>
      </w:r>
      <w:bookmarkStart w:id="211" w:name="_Toc2419"/>
      <w:r>
        <w:rPr>
          <w:highlight w:val="none"/>
        </w:rPr>
      </w:r>
      <w:bookmarkStart w:id="212" w:name="_Toc15230"/>
      <w:r>
        <w:rPr>
          <w:rFonts w:hint="eastAsia" w:ascii="微软雅黑" w:hAnsi="微软雅黑" w:cs="微软雅黑"/>
          <w:bCs w:val="0"/>
          <w:color w:val="auto"/>
          <w:sz w:val="24"/>
          <w:szCs w:val="24"/>
          <w:highlight w:val="none"/>
        </w:rPr>
        <w:t xml:space="preserve">6.1确定中标、成交供应商</w:t>
      </w:r>
      <w:bookmarkEnd w:id="208"/>
      <w:r>
        <w:rPr>
          <w:highlight w:val="none"/>
        </w:rPr>
      </w:r>
      <w:bookmarkEnd w:id="209"/>
      <w:r>
        <w:rPr>
          <w:highlight w:val="none"/>
        </w:rPr>
      </w:r>
      <w:bookmarkEnd w:id="210"/>
      <w:r>
        <w:rPr>
          <w:highlight w:val="none"/>
        </w:rPr>
      </w:r>
      <w:bookmarkEnd w:id="211"/>
      <w:r>
        <w:rPr>
          <w:highlight w:val="none"/>
        </w:rPr>
      </w:r>
      <w:bookmarkEnd w:id="212"/>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6.1.1采购人严格按照本采购文件的约定和有关规定确定中标供应商。中标供应商将在原公告媒体上公示。</w:t>
      </w:r>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6.1.2评标结束后，如有必要采购人可以对评标委员会确定的中标候选供应商进行考察。</w:t>
      </w:r>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6.1.3供应商出现下列情况之一的，将被取消中标供应商资格，没收投标保证金：</w:t>
      </w:r>
      <w:r>
        <w:rPr>
          <w:highlight w:val="none"/>
        </w:rPr>
      </w:r>
      <w:r>
        <w:rPr>
          <w:highlight w:val="none"/>
        </w:rP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（1）提供虚假材料谋取中标、成交的；</w:t>
      </w:r>
      <w:r>
        <w:rPr>
          <w:highlight w:val="none"/>
        </w:rPr>
      </w:r>
      <w:r>
        <w:rPr>
          <w:highlight w:val="none"/>
        </w:rP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（2）采取不正当手段诋毁、排挤其他供应商的；</w:t>
      </w:r>
      <w:r>
        <w:rPr>
          <w:highlight w:val="none"/>
        </w:rPr>
      </w:r>
      <w:r>
        <w:rPr>
          <w:highlight w:val="none"/>
        </w:rP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（3）与采购人、采购代理机构或者其他供应商恶意串通的；</w:t>
      </w:r>
      <w:r>
        <w:rPr>
          <w:highlight w:val="none"/>
        </w:rPr>
      </w:r>
      <w:r>
        <w:rPr>
          <w:highlight w:val="none"/>
        </w:rP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（4）向采购人、采购代理机构行贿或者提供其他不正当利益的；</w:t>
      </w:r>
      <w:r>
        <w:rPr>
          <w:highlight w:val="none"/>
        </w:rPr>
      </w:r>
      <w:r>
        <w:rPr>
          <w:highlight w:val="none"/>
        </w:rP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（5）恶意竞争，投标总报价明显低于其自身合理成本且又无法提供证明的；</w:t>
      </w:r>
      <w:r>
        <w:rPr>
          <w:highlight w:val="none"/>
        </w:rPr>
      </w:r>
      <w:r>
        <w:rPr>
          <w:highlight w:val="none"/>
        </w:rP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（6）不符合法律、法规的规定。</w:t>
      </w:r>
      <w:r>
        <w:rPr>
          <w:highlight w:val="none"/>
        </w:rPr>
      </w:r>
      <w:r>
        <w:rPr>
          <w:highlight w:val="none"/>
        </w:rPr>
      </w:r>
    </w:p>
    <w:p>
      <w:pPr>
        <w:pStyle w:val="1274"/>
        <w:spacing w:line="420" w:lineRule="exact"/>
        <w:rPr>
          <w:rFonts w:hint="eastAsia" w:ascii="微软雅黑" w:hAnsi="微软雅黑" w:cs="微软雅黑"/>
          <w:bCs w:val="0"/>
          <w:color w:val="auto"/>
          <w:sz w:val="24"/>
          <w:szCs w:val="24"/>
          <w:highlight w:val="none"/>
        </w:rPr>
      </w:pPr>
      <w:r>
        <w:rPr>
          <w:highlight w:val="none"/>
        </w:rPr>
      </w:r>
      <w:bookmarkStart w:id="213" w:name="_Toc13409"/>
      <w:r>
        <w:rPr>
          <w:highlight w:val="none"/>
        </w:rPr>
      </w:r>
      <w:bookmarkStart w:id="214" w:name="_Toc26991"/>
      <w:r>
        <w:rPr>
          <w:highlight w:val="none"/>
        </w:rPr>
      </w:r>
      <w:bookmarkStart w:id="215" w:name="_Toc14115"/>
      <w:r>
        <w:rPr>
          <w:highlight w:val="none"/>
        </w:rPr>
      </w:r>
      <w:bookmarkStart w:id="216" w:name="_Toc452384204"/>
      <w:r>
        <w:rPr>
          <w:highlight w:val="none"/>
        </w:rPr>
      </w:r>
      <w:bookmarkStart w:id="217" w:name="_Toc24458"/>
      <w:r>
        <w:rPr>
          <w:rFonts w:hint="eastAsia" w:ascii="微软雅黑" w:hAnsi="微软雅黑" w:cs="微软雅黑"/>
          <w:bCs w:val="0"/>
          <w:color w:val="auto"/>
          <w:sz w:val="24"/>
          <w:szCs w:val="24"/>
          <w:highlight w:val="none"/>
        </w:rPr>
        <w:t xml:space="preserve">6.2质疑处理</w:t>
      </w:r>
      <w:bookmarkEnd w:id="213"/>
      <w:r>
        <w:rPr>
          <w:highlight w:val="none"/>
        </w:rPr>
      </w:r>
      <w:bookmarkEnd w:id="214"/>
      <w:r>
        <w:rPr>
          <w:highlight w:val="none"/>
        </w:rPr>
      </w:r>
      <w:bookmarkEnd w:id="215"/>
      <w:r>
        <w:rPr>
          <w:highlight w:val="none"/>
        </w:rPr>
      </w:r>
      <w:bookmarkEnd w:id="216"/>
      <w:r>
        <w:rPr>
          <w:highlight w:val="none"/>
        </w:rPr>
      </w:r>
      <w:bookmarkEnd w:id="217"/>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6.2.1供应商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w:t>
      </w:r>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6.2.2提出质疑的供应商应当是参与所质疑项目采购活动的供应商。并在法定质疑期内一次性提出针对同一采购程序环节的质疑。</w:t>
      </w:r>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6.2.3质疑必须由供应商的法定代表人或授权代表（投标文件中所确定的，如递交质疑者不是投标文件中确定的授权代表，须由供应商另行出具授权）以送达或邮寄的方式提交，未按上述要求提交的质疑函（含传真、电子邮件等）采购人或采购代理机构有权不予受理。</w:t>
      </w:r>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6.2.4质疑函应当包括下列内容：</w:t>
      </w:r>
      <w:r>
        <w:rPr>
          <w:highlight w:val="none"/>
        </w:rPr>
      </w:r>
      <w:r>
        <w:rPr>
          <w:highlight w:val="none"/>
        </w:rP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（1）供应商的姓名或者名称、地址、邮编、联系人及联系电话；</w:t>
      </w:r>
      <w:r>
        <w:rPr>
          <w:highlight w:val="none"/>
        </w:rPr>
      </w:r>
      <w:r>
        <w:rPr>
          <w:highlight w:val="none"/>
        </w:rP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（2）质疑项目的名称、编号；</w:t>
      </w:r>
      <w:r>
        <w:rPr>
          <w:highlight w:val="none"/>
        </w:rPr>
      </w:r>
      <w:r>
        <w:rPr>
          <w:highlight w:val="none"/>
        </w:rP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（3）具体、明确的质疑事项和与质疑事项相关的请求；</w:t>
      </w:r>
      <w:r>
        <w:rPr>
          <w:highlight w:val="none"/>
        </w:rPr>
      </w:r>
      <w:r>
        <w:rPr>
          <w:highlight w:val="none"/>
        </w:rP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（4）事实依据；</w:t>
      </w:r>
      <w:r>
        <w:rPr>
          <w:highlight w:val="none"/>
        </w:rPr>
      </w:r>
      <w:r>
        <w:rPr>
          <w:highlight w:val="none"/>
        </w:rP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（5）必要的法律依据；</w:t>
      </w:r>
      <w:r>
        <w:rPr>
          <w:highlight w:val="none"/>
        </w:rPr>
      </w:r>
      <w:r>
        <w:rPr>
          <w:highlight w:val="none"/>
        </w:rP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（6）提出质疑的日期。</w:t>
      </w:r>
      <w:r>
        <w:rPr>
          <w:highlight w:val="none"/>
        </w:rPr>
      </w:r>
      <w:r>
        <w:rPr>
          <w:highlight w:val="none"/>
        </w:rP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供应商为自然人的，应当由本人签字并附有效身份证明；供应商为法人或其他组织的，应当由法定代表人、主要负责人或者其授权代表签字或者盖章，并加盖公章。</w:t>
      </w:r>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质疑人委托代理人质疑的，应当向采购代理机构提交法人授权委托书，其法人授权委托书应当载明代理人的姓名或者名称、代理事项、具体权限、期限和相关事项。供应商为自然人的，应当由本人签字；供应商为法人或者其他组织的，应当由法定代表人、主要负责人签字或者盖章，并加盖公章。</w:t>
      </w:r>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6.2.5采购代理机构收到质疑函后，将对质疑的形式和内容进行审查，如质疑函内容、格式不符合规定，采购代理机构将告知质疑人进行补正。质疑人应当在法定质疑期限内进行补正并重新提交质疑函，拒不补正或者超过期限后未重新提交质疑函的，为无效质疑，采购代理机构有权不予受理。</w:t>
      </w:r>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6.2.6对于内容、格式符合规定的质疑函，采购代理机构将在七个工作日内以书面形式作出答复，其内容不得泄露国家秘密、其他供应商商业机密和个人隐私。</w:t>
      </w:r>
      <w:r>
        <w:rPr>
          <w:highlight w:val="none"/>
        </w:rPr>
      </w:r>
      <w:r>
        <w:rPr>
          <w:highlight w:val="none"/>
        </w:rPr>
      </w:r>
    </w:p>
    <w:p>
      <w:pPr>
        <w:pStyle w:val="1274"/>
        <w:spacing w:line="420" w:lineRule="exact"/>
        <w:rPr>
          <w:rFonts w:hint="eastAsia" w:ascii="微软雅黑" w:hAnsi="微软雅黑" w:cs="微软雅黑"/>
          <w:bCs w:val="0"/>
          <w:color w:val="auto"/>
          <w:sz w:val="24"/>
          <w:szCs w:val="24"/>
          <w:highlight w:val="none"/>
        </w:rPr>
      </w:pPr>
      <w:r>
        <w:rPr>
          <w:highlight w:val="none"/>
        </w:rPr>
      </w:r>
      <w:bookmarkStart w:id="218" w:name="_Toc29601"/>
      <w:r>
        <w:rPr>
          <w:highlight w:val="none"/>
        </w:rPr>
      </w:r>
      <w:bookmarkStart w:id="219" w:name="_Toc4506"/>
      <w:r>
        <w:rPr>
          <w:highlight w:val="none"/>
        </w:rPr>
      </w:r>
      <w:bookmarkStart w:id="220" w:name="_Toc1781"/>
      <w:r>
        <w:rPr>
          <w:highlight w:val="none"/>
        </w:rPr>
      </w:r>
      <w:bookmarkStart w:id="221" w:name="_Toc30950"/>
      <w:r>
        <w:rPr>
          <w:highlight w:val="none"/>
        </w:rPr>
      </w:r>
      <w:bookmarkStart w:id="222" w:name="_Toc452384205"/>
      <w:r>
        <w:rPr>
          <w:rFonts w:hint="eastAsia" w:ascii="微软雅黑" w:hAnsi="微软雅黑" w:cs="微软雅黑"/>
          <w:bCs w:val="0"/>
          <w:color w:val="auto"/>
          <w:sz w:val="24"/>
          <w:szCs w:val="24"/>
          <w:highlight w:val="none"/>
        </w:rPr>
        <w:t xml:space="preserve">6.3中标通知书</w:t>
      </w:r>
      <w:bookmarkEnd w:id="218"/>
      <w:r>
        <w:rPr>
          <w:highlight w:val="none"/>
        </w:rPr>
      </w:r>
      <w:bookmarkEnd w:id="219"/>
      <w:r>
        <w:rPr>
          <w:highlight w:val="none"/>
        </w:rPr>
      </w:r>
      <w:bookmarkEnd w:id="220"/>
      <w:r>
        <w:rPr>
          <w:highlight w:val="none"/>
        </w:rPr>
      </w:r>
      <w:bookmarkEnd w:id="221"/>
      <w:r>
        <w:rPr>
          <w:highlight w:val="none"/>
        </w:rPr>
      </w:r>
      <w:bookmarkEnd w:id="222"/>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6.3.1确定中标供应商后,向中标供应商发出中标通知书。</w:t>
      </w:r>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6.3.2中标通知书是合同的组成部分。</w:t>
      </w:r>
      <w:r>
        <w:rPr>
          <w:highlight w:val="none"/>
        </w:rPr>
      </w:r>
      <w:r>
        <w:rPr>
          <w:highlight w:val="none"/>
        </w:rPr>
      </w:r>
    </w:p>
    <w:p>
      <w:pPr>
        <w:pStyle w:val="1274"/>
        <w:spacing w:line="420" w:lineRule="exact"/>
        <w:rPr>
          <w:rFonts w:hint="eastAsia" w:ascii="微软雅黑" w:hAnsi="微软雅黑" w:cs="微软雅黑"/>
          <w:bCs w:val="0"/>
          <w:color w:val="auto"/>
          <w:sz w:val="24"/>
          <w:szCs w:val="24"/>
          <w:highlight w:val="none"/>
        </w:rPr>
      </w:pPr>
      <w:r>
        <w:rPr>
          <w:highlight w:val="none"/>
        </w:rPr>
      </w:r>
      <w:bookmarkStart w:id="223" w:name="_Toc8978"/>
      <w:r>
        <w:rPr>
          <w:highlight w:val="none"/>
        </w:rPr>
      </w:r>
      <w:bookmarkStart w:id="224" w:name="_Toc24863"/>
      <w:r>
        <w:rPr>
          <w:highlight w:val="none"/>
        </w:rPr>
      </w:r>
      <w:bookmarkStart w:id="225" w:name="_Toc6588"/>
      <w:r>
        <w:rPr>
          <w:highlight w:val="none"/>
        </w:rPr>
      </w:r>
      <w:bookmarkStart w:id="226" w:name="_Toc14281"/>
      <w:r>
        <w:rPr>
          <w:highlight w:val="none"/>
        </w:rPr>
      </w:r>
      <w:bookmarkStart w:id="227" w:name="_Toc452384206"/>
      <w:r>
        <w:rPr>
          <w:rFonts w:hint="eastAsia" w:ascii="微软雅黑" w:hAnsi="微软雅黑" w:cs="微软雅黑"/>
          <w:bCs w:val="0"/>
          <w:color w:val="auto"/>
          <w:sz w:val="24"/>
          <w:szCs w:val="24"/>
          <w:highlight w:val="none"/>
        </w:rPr>
        <w:t xml:space="preserve">6.4签订合同</w:t>
      </w:r>
      <w:bookmarkEnd w:id="223"/>
      <w:r>
        <w:rPr>
          <w:highlight w:val="none"/>
        </w:rPr>
      </w:r>
      <w:bookmarkEnd w:id="224"/>
      <w:r>
        <w:rPr>
          <w:highlight w:val="none"/>
        </w:rPr>
      </w:r>
      <w:bookmarkEnd w:id="225"/>
      <w:r>
        <w:rPr>
          <w:highlight w:val="none"/>
        </w:rPr>
      </w:r>
      <w:bookmarkEnd w:id="226"/>
      <w:r>
        <w:rPr>
          <w:highlight w:val="none"/>
        </w:rPr>
      </w:r>
      <w:bookmarkEnd w:id="227"/>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6.4.1中标、成交供应商应当在中标通知书发出之日起三十日内，按照采购文件确定的事项与采购人签订采购合同,如中标人未按要求签订合同并给采购人和采购代理机构造成损失的，中标、成交供应商还应承担赔偿责任。</w:t>
      </w:r>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6.4.2中标供应商拒绝与采购人签订合同的，采购人可以按照评审报告推荐的中标候选人名单排序，确定下一候选人为中标供应商，也可以重新开展政府采购活动。</w:t>
      </w:r>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6.4.3采购文件、中标供应商的投标文件及评标过程中有关澄清文件均应作为合同附件。</w:t>
      </w:r>
      <w:r>
        <w:rPr>
          <w:highlight w:val="none"/>
        </w:rPr>
      </w:r>
      <w:r>
        <w:rPr>
          <w:highlight w:val="none"/>
        </w:rPr>
      </w:r>
    </w:p>
    <w:p>
      <w:pPr>
        <w:spacing w:line="440" w:lineRule="exact"/>
        <w:rPr>
          <w:rFonts w:ascii="微软雅黑" w:hAnsi="微软雅黑" w:cs="微软雅黑"/>
          <w:color w:val="auto"/>
          <w:highlight w:val="none"/>
        </w:rPr>
      </w:pPr>
      <w:r>
        <w:rPr>
          <w:rFonts w:hint="eastAsia" w:ascii="微软雅黑" w:hAnsi="微软雅黑" w:cs="微软雅黑"/>
          <w:color w:val="auto"/>
          <w:highlight w:val="none"/>
        </w:rPr>
        <w:t xml:space="preserve">6.4.4签订合同后，中标供应商不得将货物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rPr>
          <w:rFonts w:hint="eastAsia" w:ascii="微软雅黑" w:hAnsi="微软雅黑" w:cs="微软雅黑"/>
          <w:color w:val="auto"/>
          <w:szCs w:val="21"/>
          <w:highlight w:val="none"/>
        </w:rPr>
        <w:t xml:space="preserve">。</w:t>
      </w:r>
      <w:r>
        <w:rPr>
          <w:highlight w:val="none"/>
        </w:rPr>
      </w:r>
      <w:r>
        <w:rPr>
          <w:highlight w:val="none"/>
        </w:rPr>
      </w:r>
    </w:p>
    <w:p>
      <w:pPr>
        <w:pStyle w:val="1087"/>
        <w:rPr>
          <w:rFonts w:hint="eastAsia" w:ascii="微软雅黑" w:hAnsi="微软雅黑" w:cs="微软雅黑"/>
          <w:color w:val="auto"/>
          <w:highlight w:val="none"/>
        </w:rPr>
      </w:pPr>
      <w:r>
        <w:rPr>
          <w:rFonts w:hint="eastAsia" w:ascii="微软雅黑" w:hAnsi="微软雅黑" w:cs="微软雅黑"/>
          <w:color w:val="auto"/>
          <w:highlight w:val="none"/>
        </w:rPr>
        <w:br w:type="page" w:clear="all"/>
      </w:r>
      <w:bookmarkStart w:id="228" w:name="_Toc14393"/>
      <w:r>
        <w:rPr>
          <w:rFonts w:hint="eastAsia" w:ascii="微软雅黑" w:hAnsi="微软雅黑" w:cs="微软雅黑"/>
          <w:color w:val="auto"/>
          <w:highlight w:val="none"/>
        </w:rPr>
        <w:t xml:space="preserve">第三章 评标办法和定标原则</w:t>
      </w:r>
      <w:bookmarkEnd w:id="228"/>
      <w:r>
        <w:rPr>
          <w:highlight w:val="none"/>
        </w:rPr>
      </w:r>
      <w:r>
        <w:rPr>
          <w:highlight w:val="none"/>
        </w:rPr>
      </w:r>
    </w:p>
    <w:p>
      <w:pPr>
        <w:ind w:firstLine="420"/>
        <w:spacing w:line="420" w:lineRule="exact"/>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rPr>
        <w:t xml:space="preserve">本项目采用综合评分法，总分为100分，评标结果按评审后得分由高到低顺序排列。得分相同的，按投标报价由低到高顺序排列。得分相同且投标报价相同的，按技术参数响应优劣顺序排列。投标文件满足采购文件全部实质性要求，且按照评审因素的量化指标评审得分由高到低推荐三名中标候选人，并根据采购人委托直接确定排名第一投标供应商的为中标人。</w:t>
      </w:r>
      <w:r>
        <w:rPr>
          <w:highlight w:val="none"/>
        </w:rPr>
      </w:r>
      <w:r>
        <w:rPr>
          <w:highlight w:val="none"/>
        </w:rPr>
      </w:r>
    </w:p>
    <w:p>
      <w:pPr>
        <w:numPr>
          <w:ilvl w:val="0"/>
          <w:numId w:val="0"/>
        </w:numPr>
        <w:ind w:firstLine="420"/>
        <w:jc w:val="left"/>
        <w:spacing w:line="420" w:lineRule="exact"/>
        <w:widowControl/>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rPr>
        <w:t xml:space="preserve">评审过程中出现下列情形之一的，评审委员会应当启动异常低价投标（响应）审查程序：</w:t>
      </w:r>
      <w:r>
        <w:rPr>
          <w:highlight w:val="none"/>
        </w:rPr>
      </w:r>
      <w:r>
        <w:rPr>
          <w:highlight w:val="none"/>
        </w:rPr>
      </w:r>
    </w:p>
    <w:p>
      <w:pPr>
        <w:ind w:firstLine="420"/>
        <w:jc w:val="left"/>
        <w:spacing w:line="420" w:lineRule="exact"/>
        <w:widowControl/>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rPr>
        <w:t xml:space="preserve">（1）投标（响应）报价低于采购项目预算50%的；</w:t>
      </w:r>
      <w:r>
        <w:rPr>
          <w:highlight w:val="none"/>
        </w:rPr>
      </w:r>
      <w:r>
        <w:rPr>
          <w:highlight w:val="none"/>
        </w:rPr>
      </w:r>
    </w:p>
    <w:p>
      <w:pPr>
        <w:ind w:firstLine="420"/>
        <w:jc w:val="left"/>
        <w:spacing w:line="420" w:lineRule="exact"/>
        <w:widowControl/>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rPr>
        <w:t xml:space="preserve">（2）投标（响应）报价低于采购项目最高限价45%的；</w:t>
      </w:r>
      <w:r>
        <w:rPr>
          <w:highlight w:val="none"/>
        </w:rPr>
      </w:r>
      <w:r>
        <w:rPr>
          <w:highlight w:val="none"/>
        </w:rPr>
      </w:r>
    </w:p>
    <w:p>
      <w:pPr>
        <w:ind w:firstLine="420"/>
        <w:jc w:val="left"/>
        <w:spacing w:line="420" w:lineRule="exact"/>
        <w:widowControl/>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rPr>
        <w:t xml:space="preserve">（3）评审委员会认定的供应商报价过低、有可能影响产品质量或者不能诚信履约的其他情形。</w:t>
      </w:r>
      <w:r>
        <w:rPr>
          <w:highlight w:val="none"/>
        </w:rPr>
      </w:r>
      <w:r>
        <w:rPr>
          <w:highlight w:val="none"/>
        </w:rPr>
      </w:r>
    </w:p>
    <w:p>
      <w:pPr>
        <w:ind w:firstLine="420"/>
        <w:spacing w:line="440" w:lineRule="exact"/>
        <w:rPr>
          <w:rFonts w:hint="eastAsia" w:ascii="微软雅黑" w:hAnsi="微软雅黑" w:cs="微软雅黑"/>
          <w:b/>
          <w:bCs/>
          <w:color w:val="auto"/>
          <w:highlight w:val="none"/>
        </w:rPr>
      </w:pPr>
      <w:r>
        <w:rPr>
          <w:rFonts w:hint="eastAsia" w:ascii="微软雅黑" w:hAnsi="微软雅黑" w:eastAsia="微软雅黑" w:cs="微软雅黑"/>
          <w:color w:val="auto"/>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微软雅黑" w:hAnsi="微软雅黑" w:cs="微软雅黑"/>
          <w:color w:val="auto"/>
          <w:highlight w:val="none"/>
        </w:rPr>
        <w:t xml:space="preserve">。</w:t>
      </w:r>
      <w:r>
        <w:rPr>
          <w:highlight w:val="none"/>
        </w:rPr>
      </w:r>
      <w:r>
        <w:rPr>
          <w:highlight w:val="none"/>
        </w:rP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r>
      <w:r>
        <w:rPr>
          <w:highlight w:val="none"/>
        </w:rPr>
      </w:r>
      <w:r>
        <w:rPr>
          <w:highlight w:val="none"/>
        </w:rPr>
      </w:r>
    </w:p>
    <w:p>
      <w:pPr>
        <w:ind w:firstLine="560"/>
        <w:jc w:val="center"/>
        <w:spacing w:line="400" w:lineRule="exact"/>
        <w:rPr>
          <w:rFonts w:hint="eastAsia" w:ascii="微软雅黑" w:hAnsi="微软雅黑" w:cs="微软雅黑"/>
          <w:color w:val="auto"/>
          <w:sz w:val="24"/>
          <w:szCs w:val="24"/>
          <w:highlight w:val="none"/>
        </w:rPr>
      </w:pPr>
      <w:r>
        <w:rPr>
          <w:rFonts w:hint="eastAsia" w:ascii="微软雅黑" w:hAnsi="微软雅黑" w:cs="微软雅黑"/>
          <w:b/>
          <w:bCs/>
          <w:color w:val="auto"/>
          <w:sz w:val="28"/>
          <w:szCs w:val="28"/>
          <w:highlight w:val="none"/>
          <w:lang w:val="zh-CN"/>
        </w:rPr>
        <w:t xml:space="preserve">评标细则</w:t>
      </w:r>
      <w:r>
        <w:rPr>
          <w:highlight w:val="none"/>
        </w:rPr>
      </w:r>
      <w:r>
        <w:rPr>
          <w:highlight w:val="none"/>
        </w:rPr>
      </w:r>
    </w:p>
    <w:p>
      <w:pPr>
        <w:spacing w:line="440" w:lineRule="exact"/>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（一）资格性审查</w:t>
      </w:r>
      <w:r>
        <w:rPr>
          <w:rFonts w:hint="eastAsia" w:ascii="微软雅黑" w:hAnsi="微软雅黑" w:cs="微软雅黑"/>
          <w:b/>
          <w:bCs/>
          <w:color w:val="auto"/>
          <w:highlight w:val="none"/>
          <w:lang w:val="zh-CN"/>
        </w:rPr>
        <w:t xml:space="preserve">（通过/未通过）</w:t>
      </w:r>
      <w:r>
        <w:rPr>
          <w:rFonts w:hint="eastAsia" w:ascii="微软雅黑" w:hAnsi="微软雅黑" w:cs="微软雅黑"/>
          <w:b/>
          <w:bCs/>
          <w:color w:val="auto"/>
          <w:highlight w:val="none"/>
        </w:rPr>
        <w:t xml:space="preserve">：</w:t>
      </w:r>
      <w:r>
        <w:rPr>
          <w:highlight w:val="none"/>
        </w:rPr>
      </w:r>
      <w:r>
        <w:rPr>
          <w:highlight w:val="none"/>
        </w:rPr>
      </w:r>
    </w:p>
    <w:tbl>
      <w:tblPr>
        <w:tblStyle w:val="913"/>
        <w:tblW w:w="8647" w:type="dxa"/>
        <w:jc w:val="center"/>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jc w:val="center"/>
              <w:spacing w:line="440" w:lineRule="exact"/>
              <w:rPr>
                <w:rFonts w:hint="eastAsia" w:ascii="微软雅黑" w:hAnsi="微软雅黑" w:cs="微软雅黑"/>
                <w:b/>
                <w:bCs/>
                <w:color w:val="auto"/>
                <w:highlight w:val="none"/>
              </w:rPr>
            </w:pPr>
            <w:r>
              <w:rPr>
                <w:rFonts w:hint="eastAsia" w:ascii="微软雅黑" w:hAnsi="微软雅黑" w:cs="微软雅黑"/>
                <w:b/>
                <w:bCs/>
                <w:color w:val="auto"/>
                <w:highlight w:val="none"/>
                <w:lang w:val="zh-CN"/>
              </w:rPr>
              <w:t xml:space="preserve">序号</w:t>
            </w:r>
            <w:r>
              <w:rPr>
                <w:highlight w:val="none"/>
              </w:rPr>
            </w:r>
            <w:r>
              <w:rPr>
                <w:highlight w:val="none"/>
              </w:rP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jc w:val="center"/>
              <w:spacing w:line="440" w:lineRule="exact"/>
              <w:rPr>
                <w:rFonts w:hint="eastAsia" w:ascii="微软雅黑" w:hAnsi="微软雅黑" w:cs="微软雅黑"/>
                <w:b/>
                <w:bCs/>
                <w:color w:val="auto"/>
                <w:highlight w:val="none"/>
              </w:rPr>
            </w:pPr>
            <w:r>
              <w:rPr>
                <w:rFonts w:hint="eastAsia" w:ascii="微软雅黑" w:hAnsi="微软雅黑" w:cs="微软雅黑"/>
                <w:b/>
                <w:bCs/>
                <w:color w:val="auto"/>
                <w:highlight w:val="none"/>
                <w:lang w:val="zh-CN"/>
              </w:rPr>
              <w:t xml:space="preserve">评定标准</w:t>
            </w:r>
            <w:r>
              <w:rPr>
                <w:highlight w:val="none"/>
              </w:rPr>
            </w:r>
            <w:r>
              <w:rPr>
                <w:highlight w:val="none"/>
              </w:rP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jc w:val="center"/>
              <w:spacing w:line="440" w:lineRule="exact"/>
              <w:rPr>
                <w:rFonts w:hint="eastAsia" w:ascii="微软雅黑" w:hAnsi="微软雅黑" w:cs="微软雅黑"/>
                <w:b/>
                <w:bCs/>
                <w:color w:val="auto"/>
                <w:highlight w:val="none"/>
              </w:rPr>
            </w:pPr>
            <w:r>
              <w:rPr>
                <w:rFonts w:hint="eastAsia" w:ascii="微软雅黑" w:hAnsi="微软雅黑" w:cs="微软雅黑"/>
                <w:b/>
                <w:bCs/>
                <w:color w:val="auto"/>
                <w:highlight w:val="none"/>
                <w:lang w:val="zh-CN"/>
              </w:rPr>
              <w:t xml:space="preserve">通过√</w:t>
            </w:r>
            <w:r>
              <w:rPr>
                <w:highlight w:val="none"/>
              </w:rPr>
            </w:r>
            <w:r>
              <w:rPr>
                <w:highlight w:val="none"/>
              </w:rP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jc w:val="center"/>
              <w:spacing w:line="440" w:lineRule="exact"/>
              <w:rPr>
                <w:rFonts w:hint="eastAsia" w:ascii="微软雅黑" w:hAnsi="微软雅黑" w:cs="微软雅黑"/>
                <w:b/>
                <w:bCs/>
                <w:color w:val="auto"/>
                <w:highlight w:val="none"/>
              </w:rPr>
            </w:pPr>
            <w:r>
              <w:rPr>
                <w:rFonts w:hint="eastAsia" w:ascii="微软雅黑" w:hAnsi="微软雅黑" w:cs="微软雅黑"/>
                <w:b/>
                <w:bCs/>
                <w:color w:val="auto"/>
                <w:highlight w:val="none"/>
                <w:lang w:val="zh-CN"/>
              </w:rPr>
              <w:t xml:space="preserve">未通过X</w:t>
            </w:r>
            <w:r>
              <w:rPr>
                <w:highlight w:val="none"/>
              </w:rPr>
            </w:r>
            <w:r>
              <w:rPr>
                <w:highlight w:val="none"/>
              </w:rP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jc w:val="cente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lang w:val="zh-CN"/>
              </w:rPr>
              <w:t xml:space="preserve">1</w:t>
            </w:r>
            <w:r>
              <w:rPr>
                <w:highlight w:val="none"/>
              </w:rPr>
            </w:r>
            <w:r>
              <w:rPr>
                <w:highlight w:val="none"/>
              </w:rP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lang w:val="zh-CN"/>
              </w:rPr>
              <w:t xml:space="preserve">资格证明文件</w:t>
            </w:r>
            <w:r>
              <w:rPr>
                <w:highlight w:val="none"/>
              </w:rPr>
            </w:r>
            <w:r>
              <w:rPr>
                <w:highlight w:val="none"/>
              </w:rP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lang w:val="zh-CN"/>
              </w:rPr>
            </w:r>
            <w:r>
              <w:rPr>
                <w:highlight w:val="none"/>
              </w:rPr>
            </w:r>
            <w:r>
              <w:rPr>
                <w:highlight w:val="none"/>
              </w:rP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lang w:val="zh-CN"/>
              </w:rPr>
            </w:r>
            <w:r>
              <w:rPr>
                <w:highlight w:val="none"/>
              </w:rPr>
            </w:r>
            <w:r>
              <w:rPr>
                <w:highlight w:val="none"/>
              </w:rP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jc w:val="cente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w:t>
            </w:r>
            <w:r>
              <w:rPr>
                <w:highlight w:val="none"/>
              </w:rPr>
            </w:r>
            <w:r>
              <w:rPr>
                <w:highlight w:val="none"/>
              </w:rP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lang w:val="zh-CN"/>
              </w:rPr>
              <w:t xml:space="preserve">法定代表人授权书盖章原件（法定代表人直接参与磋商的可不提供授权书）</w:t>
            </w:r>
            <w:r>
              <w:rPr>
                <w:highlight w:val="none"/>
              </w:rPr>
            </w:r>
            <w:r>
              <w:rPr>
                <w:highlight w:val="none"/>
              </w:rP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lang w:val="zh-CN"/>
              </w:rPr>
            </w:r>
            <w:r>
              <w:rPr>
                <w:highlight w:val="none"/>
              </w:rPr>
            </w:r>
            <w:r>
              <w:rPr>
                <w:highlight w:val="none"/>
              </w:rP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lang w:val="zh-CN"/>
              </w:rPr>
            </w:r>
            <w:r>
              <w:rPr>
                <w:highlight w:val="none"/>
              </w:rPr>
            </w:r>
            <w:r>
              <w:rPr>
                <w:highlight w:val="none"/>
              </w:rP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jc w:val="cente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w:t>
            </w:r>
            <w:r>
              <w:rPr>
                <w:highlight w:val="none"/>
              </w:rPr>
            </w:r>
            <w:r>
              <w:rPr>
                <w:highlight w:val="none"/>
              </w:rP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lang w:val="zh-CN"/>
              </w:rPr>
              <w:t xml:space="preserve">投标报价不得超过最高限价</w:t>
            </w:r>
            <w:r>
              <w:rPr>
                <w:highlight w:val="none"/>
              </w:rPr>
            </w:r>
            <w:r>
              <w:rPr>
                <w:highlight w:val="none"/>
              </w:rP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lang w:val="zh-CN"/>
              </w:rPr>
            </w:r>
            <w:r>
              <w:rPr>
                <w:highlight w:val="none"/>
              </w:rPr>
            </w:r>
            <w:r>
              <w:rPr>
                <w:highlight w:val="none"/>
              </w:rP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lang w:val="zh-CN"/>
              </w:rPr>
            </w:r>
            <w:r>
              <w:rPr>
                <w:highlight w:val="none"/>
              </w:rPr>
            </w:r>
            <w:r>
              <w:rPr>
                <w:highlight w:val="none"/>
              </w:rPr>
            </w:r>
          </w:p>
        </w:tc>
      </w:tr>
    </w:tbl>
    <w:p>
      <w:pPr>
        <w:spacing w:line="440" w:lineRule="exact"/>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（二）符合性审查</w:t>
      </w:r>
      <w:r>
        <w:rPr>
          <w:rFonts w:hint="eastAsia" w:ascii="微软雅黑" w:hAnsi="微软雅黑" w:cs="微软雅黑"/>
          <w:b/>
          <w:bCs/>
          <w:color w:val="auto"/>
          <w:highlight w:val="none"/>
          <w:lang w:val="zh-CN"/>
        </w:rPr>
        <w:t xml:space="preserve">（通过/未通过）</w:t>
      </w:r>
      <w:r>
        <w:rPr>
          <w:rFonts w:hint="eastAsia" w:ascii="微软雅黑" w:hAnsi="微软雅黑" w:cs="微软雅黑"/>
          <w:b/>
          <w:bCs/>
          <w:color w:val="auto"/>
          <w:highlight w:val="none"/>
        </w:rPr>
        <w:t xml:space="preserve">：</w:t>
      </w:r>
      <w:r>
        <w:rPr>
          <w:highlight w:val="none"/>
        </w:rPr>
      </w:r>
      <w:r>
        <w:rPr>
          <w:highlight w:val="none"/>
        </w:rPr>
      </w:r>
    </w:p>
    <w:tbl>
      <w:tblPr>
        <w:tblStyle w:val="913"/>
        <w:tblW w:w="0" w:type="auto"/>
        <w:jc w:val="center"/>
        <w:tblLayout w:type="fixed"/>
        <w:tblCellMar>
          <w:left w:w="108" w:type="dxa"/>
          <w:top w:w="0" w:type="dxa"/>
          <w:right w:w="108" w:type="dxa"/>
          <w:bottom w:w="0" w:type="dxa"/>
        </w:tblCellMar>
        <w:tblLook w:val="04A0" w:firstRow="1" w:lastRow="0" w:firstColumn="1" w:lastColumn="0" w:noHBand="0" w:noVBand="1"/>
      </w:tblPr>
      <w:tblGrid>
        <w:gridCol w:w="1312"/>
        <w:gridCol w:w="4445"/>
        <w:gridCol w:w="1447"/>
        <w:gridCol w:w="1443"/>
      </w:tblGrid>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jc w:val="center"/>
              <w:spacing w:line="440" w:lineRule="exact"/>
              <w:rPr>
                <w:rFonts w:hint="eastAsia" w:ascii="微软雅黑" w:hAnsi="微软雅黑" w:cs="微软雅黑"/>
                <w:b/>
                <w:bCs/>
                <w:color w:val="auto"/>
                <w:highlight w:val="none"/>
              </w:rPr>
            </w:pPr>
            <w:r>
              <w:rPr>
                <w:rFonts w:hint="eastAsia" w:ascii="微软雅黑" w:hAnsi="微软雅黑" w:cs="微软雅黑"/>
                <w:b/>
                <w:bCs/>
                <w:color w:val="auto"/>
                <w:highlight w:val="none"/>
                <w:lang w:val="zh-CN"/>
              </w:rPr>
              <w:t xml:space="preserve">序号</w:t>
            </w:r>
            <w:r>
              <w:rPr>
                <w:highlight w:val="none"/>
              </w:rPr>
            </w:r>
            <w:r>
              <w:rPr>
                <w:highlight w:val="none"/>
              </w:rPr>
            </w:r>
          </w:p>
        </w:tc>
        <w:tc>
          <w:tcPr>
            <w:shd w:val="clear" w:color="000000" w:fill="ffffff"/>
            <w:tcBorders>
              <w:top w:val="single" w:color="000000" w:sz="2" w:space="0"/>
              <w:left w:val="single" w:color="000000" w:sz="2" w:space="0"/>
              <w:bottom w:val="single" w:color="000000" w:sz="2" w:space="0"/>
              <w:right w:val="single" w:color="000000" w:sz="2" w:space="0"/>
            </w:tcBorders>
            <w:tcW w:w="4445" w:type="dxa"/>
            <w:vAlign w:val="top"/>
            <w:textDirection w:val="lrTb"/>
            <w:noWrap w:val="false"/>
          </w:tcPr>
          <w:p>
            <w:pPr>
              <w:jc w:val="center"/>
              <w:spacing w:line="440" w:lineRule="exact"/>
              <w:rPr>
                <w:rFonts w:hint="eastAsia" w:ascii="微软雅黑" w:hAnsi="微软雅黑" w:cs="微软雅黑"/>
                <w:b/>
                <w:bCs/>
                <w:color w:val="auto"/>
                <w:highlight w:val="none"/>
              </w:rPr>
            </w:pPr>
            <w:r>
              <w:rPr>
                <w:rFonts w:hint="eastAsia" w:ascii="微软雅黑" w:hAnsi="微软雅黑" w:cs="微软雅黑"/>
                <w:b/>
                <w:bCs/>
                <w:color w:val="auto"/>
                <w:highlight w:val="none"/>
                <w:lang w:val="zh-CN"/>
              </w:rPr>
              <w:t xml:space="preserve">评定标准</w:t>
            </w:r>
            <w:r>
              <w:rPr>
                <w:highlight w:val="none"/>
              </w:rPr>
            </w:r>
            <w:r>
              <w:rPr>
                <w:highlight w:val="none"/>
              </w:rPr>
            </w:r>
          </w:p>
        </w:tc>
        <w:tc>
          <w:tcPr>
            <w:shd w:val="clear" w:color="000000" w:fill="ffffff"/>
            <w:tcBorders>
              <w:top w:val="single" w:color="000000" w:sz="2" w:space="0"/>
              <w:left w:val="single" w:color="000000" w:sz="2" w:space="0"/>
              <w:bottom w:val="single" w:color="000000" w:sz="2" w:space="0"/>
              <w:right w:val="single" w:color="000000" w:sz="2" w:space="0"/>
            </w:tcBorders>
            <w:tcW w:w="1447" w:type="dxa"/>
            <w:vAlign w:val="top"/>
            <w:textDirection w:val="lrTb"/>
            <w:noWrap w:val="false"/>
          </w:tcPr>
          <w:p>
            <w:pPr>
              <w:jc w:val="center"/>
              <w:spacing w:line="440" w:lineRule="exact"/>
              <w:rPr>
                <w:rFonts w:hint="eastAsia" w:ascii="微软雅黑" w:hAnsi="微软雅黑" w:cs="微软雅黑"/>
                <w:b/>
                <w:bCs/>
                <w:color w:val="auto"/>
                <w:highlight w:val="none"/>
              </w:rPr>
            </w:pPr>
            <w:r>
              <w:rPr>
                <w:rFonts w:hint="eastAsia" w:ascii="微软雅黑" w:hAnsi="微软雅黑" w:cs="微软雅黑"/>
                <w:b/>
                <w:bCs/>
                <w:color w:val="auto"/>
                <w:highlight w:val="none"/>
                <w:lang w:val="zh-CN"/>
              </w:rPr>
              <w:t xml:space="preserve">通过√</w:t>
            </w:r>
            <w:r>
              <w:rPr>
                <w:highlight w:val="none"/>
              </w:rPr>
            </w:r>
            <w:r>
              <w:rPr>
                <w:highlight w:val="none"/>
              </w:rP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jc w:val="center"/>
              <w:spacing w:line="440" w:lineRule="exact"/>
              <w:rPr>
                <w:rFonts w:hint="eastAsia" w:ascii="微软雅黑" w:hAnsi="微软雅黑" w:cs="微软雅黑"/>
                <w:b/>
                <w:bCs/>
                <w:color w:val="auto"/>
                <w:highlight w:val="none"/>
              </w:rPr>
            </w:pPr>
            <w:r>
              <w:rPr>
                <w:rFonts w:hint="eastAsia" w:ascii="微软雅黑" w:hAnsi="微软雅黑" w:cs="微软雅黑"/>
                <w:b/>
                <w:bCs/>
                <w:color w:val="auto"/>
                <w:highlight w:val="none"/>
                <w:lang w:val="zh-CN"/>
              </w:rPr>
              <w:t xml:space="preserve">未通过X</w:t>
            </w:r>
            <w:r>
              <w:rPr>
                <w:highlight w:val="none"/>
              </w:rPr>
            </w:r>
            <w:r>
              <w:rPr>
                <w:highlight w:val="none"/>
              </w:rP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jc w:val="cente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lang w:val="zh-CN"/>
              </w:rPr>
              <w:t xml:space="preserve">1</w:t>
            </w:r>
            <w:r>
              <w:rPr>
                <w:highlight w:val="none"/>
              </w:rPr>
            </w:r>
            <w:r>
              <w:rPr>
                <w:highlight w:val="none"/>
              </w:rPr>
            </w:r>
          </w:p>
        </w:tc>
        <w:tc>
          <w:tcPr>
            <w:shd w:val="clear" w:color="000000" w:fill="ffffff"/>
            <w:tcBorders>
              <w:top w:val="single" w:color="000000" w:sz="2" w:space="0"/>
              <w:left w:val="single" w:color="000000" w:sz="2" w:space="0"/>
              <w:bottom w:val="single" w:color="000000" w:sz="2" w:space="0"/>
              <w:right w:val="single" w:color="000000" w:sz="2" w:space="0"/>
            </w:tcBorders>
            <w:tcW w:w="4445" w:type="dxa"/>
            <w:vAlign w:val="top"/>
            <w:textDirection w:val="lrTb"/>
            <w:noWrap w:val="false"/>
          </w:tcPr>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lang w:val="zh-CN"/>
              </w:rPr>
              <w:t xml:space="preserve">投标文件的有效性（</w:t>
            </w:r>
            <w:r>
              <w:rPr>
                <w:rFonts w:hint="eastAsia" w:ascii="微软雅黑" w:hAnsi="微软雅黑" w:cs="微软雅黑"/>
                <w:color w:val="auto"/>
                <w:highlight w:val="none"/>
              </w:rPr>
              <w:t xml:space="preserve">是否签字盖章）</w:t>
            </w:r>
            <w:r>
              <w:rPr>
                <w:highlight w:val="none"/>
              </w:rPr>
            </w:r>
            <w:r>
              <w:rPr>
                <w:highlight w:val="none"/>
              </w:rPr>
            </w:r>
          </w:p>
        </w:tc>
        <w:tc>
          <w:tcPr>
            <w:shd w:val="clear" w:color="000000" w:fill="ffffff"/>
            <w:tcBorders>
              <w:top w:val="single" w:color="000000" w:sz="2" w:space="0"/>
              <w:left w:val="single" w:color="000000" w:sz="2" w:space="0"/>
              <w:bottom w:val="single" w:color="000000" w:sz="2" w:space="0"/>
              <w:right w:val="single" w:color="000000" w:sz="2" w:space="0"/>
            </w:tcBorders>
            <w:tcW w:w="1447" w:type="dxa"/>
            <w:vAlign w:val="top"/>
            <w:textDirection w:val="lrTb"/>
            <w:noWrap w:val="false"/>
          </w:tcPr>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lang w:val="zh-CN"/>
              </w:rPr>
            </w:r>
            <w:r>
              <w:rPr>
                <w:highlight w:val="none"/>
              </w:rPr>
            </w:r>
            <w:r>
              <w:rPr>
                <w:highlight w:val="none"/>
              </w:rP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lang w:val="zh-CN"/>
              </w:rPr>
            </w:r>
            <w:r>
              <w:rPr>
                <w:highlight w:val="none"/>
              </w:rPr>
            </w:r>
            <w:r>
              <w:rPr>
                <w:highlight w:val="none"/>
              </w:rP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jc w:val="cente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lang w:val="en-US" w:eastAsia="zh-CN"/>
              </w:rPr>
              <w:t xml:space="preserve">2</w:t>
            </w:r>
            <w:r>
              <w:rPr>
                <w:highlight w:val="none"/>
              </w:rPr>
            </w:r>
            <w:r>
              <w:rPr>
                <w:highlight w:val="none"/>
              </w:rPr>
            </w:r>
          </w:p>
        </w:tc>
        <w:tc>
          <w:tcPr>
            <w:shd w:val="clear" w:color="000000" w:fill="ffffff"/>
            <w:tcBorders>
              <w:top w:val="single" w:color="000000" w:sz="2" w:space="0"/>
              <w:left w:val="single" w:color="000000" w:sz="2" w:space="0"/>
              <w:bottom w:val="single" w:color="000000" w:sz="2" w:space="0"/>
              <w:right w:val="single" w:color="000000" w:sz="2" w:space="0"/>
            </w:tcBorders>
            <w:tcW w:w="4445" w:type="dxa"/>
            <w:vAlign w:val="top"/>
            <w:textDirection w:val="lrTb"/>
            <w:noWrap w:val="false"/>
          </w:tcPr>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lang w:val="zh-CN"/>
              </w:rPr>
              <w:t xml:space="preserve">符合采购文件第六章格式中(一、1-</w:t>
            </w:r>
            <w:r>
              <w:rPr>
                <w:rFonts w:hint="eastAsia" w:ascii="微软雅黑" w:hAnsi="微软雅黑" w:cs="微软雅黑"/>
                <w:color w:val="auto"/>
                <w:highlight w:val="none"/>
              </w:rPr>
              <w:t xml:space="preserve">5</w:t>
            </w:r>
            <w:r>
              <w:rPr>
                <w:rFonts w:hint="eastAsia" w:ascii="微软雅黑" w:hAnsi="微软雅黑" w:cs="微软雅黑"/>
                <w:color w:val="auto"/>
                <w:highlight w:val="none"/>
                <w:lang w:val="zh-CN"/>
              </w:rPr>
              <w:t xml:space="preserve">)</w:t>
            </w:r>
            <w:r>
              <w:rPr>
                <w:highlight w:val="none"/>
              </w:rPr>
            </w:r>
            <w:r>
              <w:rPr>
                <w:highlight w:val="none"/>
              </w:rPr>
            </w:r>
          </w:p>
        </w:tc>
        <w:tc>
          <w:tcPr>
            <w:shd w:val="clear" w:color="000000" w:fill="ffffff"/>
            <w:tcBorders>
              <w:top w:val="single" w:color="000000" w:sz="2" w:space="0"/>
              <w:left w:val="single" w:color="000000" w:sz="2" w:space="0"/>
              <w:bottom w:val="single" w:color="000000" w:sz="2" w:space="0"/>
              <w:right w:val="single" w:color="000000" w:sz="2" w:space="0"/>
            </w:tcBorders>
            <w:tcW w:w="1447" w:type="dxa"/>
            <w:vAlign w:val="top"/>
            <w:textDirection w:val="lrTb"/>
            <w:noWrap w:val="false"/>
          </w:tcPr>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lang w:val="zh-CN"/>
              </w:rPr>
            </w:r>
            <w:r>
              <w:rPr>
                <w:highlight w:val="none"/>
              </w:rPr>
            </w:r>
            <w:r>
              <w:rPr>
                <w:highlight w:val="none"/>
              </w:rP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lang w:val="zh-CN"/>
              </w:rPr>
            </w:r>
            <w:r>
              <w:rPr>
                <w:highlight w:val="none"/>
              </w:rPr>
            </w:r>
            <w:r>
              <w:rPr>
                <w:highlight w:val="none"/>
              </w:rP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jc w:val="cente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lang w:val="en-US" w:eastAsia="zh-CN"/>
              </w:rPr>
              <w:t xml:space="preserve">3</w:t>
            </w:r>
            <w:r>
              <w:rPr>
                <w:highlight w:val="none"/>
              </w:rPr>
            </w:r>
            <w:r>
              <w:rPr>
                <w:highlight w:val="none"/>
              </w:rPr>
            </w:r>
          </w:p>
        </w:tc>
        <w:tc>
          <w:tcPr>
            <w:shd w:val="clear" w:color="000000" w:fill="ffffff"/>
            <w:tcBorders>
              <w:top w:val="single" w:color="000000" w:sz="2" w:space="0"/>
              <w:left w:val="single" w:color="000000" w:sz="2" w:space="0"/>
              <w:bottom w:val="single" w:color="000000" w:sz="2" w:space="0"/>
              <w:right w:val="single" w:color="000000" w:sz="2" w:space="0"/>
            </w:tcBorders>
            <w:tcW w:w="4445" w:type="dxa"/>
            <w:vAlign w:val="top"/>
            <w:textDirection w:val="lrTb"/>
            <w:noWrap w:val="false"/>
          </w:tcPr>
          <w:p>
            <w:pPr>
              <w:spacing w:line="440" w:lineRule="exact"/>
              <w:rPr>
                <w:rFonts w:hint="eastAsia" w:ascii="微软雅黑" w:hAnsi="微软雅黑" w:cs="微软雅黑"/>
                <w:color w:val="auto"/>
                <w:highlight w:val="none"/>
              </w:rPr>
            </w:pPr>
            <w:r>
              <w:rPr>
                <w:rFonts w:hint="eastAsia"/>
                <w:color w:val="auto"/>
                <w:highlight w:val="none"/>
                <w:lang w:val="en-US" w:eastAsia="zh-CN"/>
              </w:rPr>
              <w:t xml:space="preserve">无实质性响应偏离</w:t>
            </w:r>
            <w:r>
              <w:rPr>
                <w:highlight w:val="none"/>
              </w:rPr>
            </w:r>
            <w:r>
              <w:rPr>
                <w:highlight w:val="none"/>
              </w:rPr>
            </w:r>
          </w:p>
        </w:tc>
        <w:tc>
          <w:tcPr>
            <w:shd w:val="clear" w:color="000000" w:fill="ffffff"/>
            <w:tcBorders>
              <w:top w:val="single" w:color="000000" w:sz="2" w:space="0"/>
              <w:left w:val="single" w:color="000000" w:sz="2" w:space="0"/>
              <w:bottom w:val="single" w:color="000000" w:sz="2" w:space="0"/>
              <w:right w:val="single" w:color="000000" w:sz="2" w:space="0"/>
            </w:tcBorders>
            <w:tcW w:w="1447" w:type="dxa"/>
            <w:vAlign w:val="top"/>
            <w:textDirection w:val="lrTb"/>
            <w:noWrap w:val="false"/>
          </w:tcPr>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lang w:val="zh-CN"/>
              </w:rPr>
            </w:r>
            <w:r>
              <w:rPr>
                <w:highlight w:val="none"/>
              </w:rPr>
            </w:r>
            <w:r>
              <w:rPr>
                <w:highlight w:val="none"/>
              </w:rP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lang w:val="zh-CN"/>
              </w:rPr>
            </w:r>
            <w:r>
              <w:rPr>
                <w:highlight w:val="none"/>
              </w:rPr>
            </w:r>
            <w:r>
              <w:rPr>
                <w:highlight w:val="none"/>
              </w:rPr>
            </w:r>
          </w:p>
        </w:tc>
      </w:tr>
    </w:tbl>
    <w:p>
      <w:pPr>
        <w:rPr>
          <w:rFonts w:hint="eastAsia" w:eastAsia="微软雅黑"/>
          <w:color w:val="auto"/>
          <w:highlight w:val="none"/>
        </w:rPr>
      </w:pPr>
      <w:r>
        <w:rPr>
          <w:highlight w:val="none"/>
        </w:rPr>
      </w:r>
      <w:bookmarkStart w:id="229" w:name="_Hlk72848049"/>
      <w:r>
        <w:rPr>
          <w:rFonts w:hint="eastAsia" w:ascii="微软雅黑" w:hAnsi="微软雅黑" w:cs="微软雅黑"/>
          <w:b/>
          <w:bCs/>
          <w:color w:val="auto"/>
          <w:highlight w:val="none"/>
          <w:lang w:eastAsia="zh-CN"/>
        </w:rPr>
        <w:t xml:space="preserve">（</w:t>
      </w:r>
      <w:r>
        <w:rPr>
          <w:rFonts w:hint="eastAsia" w:ascii="微软雅黑" w:hAnsi="微软雅黑" w:cs="微软雅黑"/>
          <w:b/>
          <w:bCs/>
          <w:color w:val="auto"/>
          <w:highlight w:val="none"/>
          <w:lang w:val="en-US" w:eastAsia="zh-CN"/>
        </w:rPr>
        <w:t xml:space="preserve">三</w:t>
      </w:r>
      <w:r>
        <w:rPr>
          <w:rFonts w:hint="eastAsia" w:ascii="微软雅黑" w:hAnsi="微软雅黑" w:cs="微软雅黑"/>
          <w:b/>
          <w:bCs/>
          <w:color w:val="auto"/>
          <w:highlight w:val="none"/>
          <w:lang w:eastAsia="zh-CN"/>
        </w:rPr>
        <w:t xml:space="preserve">）</w:t>
      </w:r>
      <w:r>
        <w:rPr>
          <w:rFonts w:hint="eastAsia" w:ascii="微软雅黑" w:hAnsi="微软雅黑" w:cs="微软雅黑"/>
          <w:b/>
          <w:bCs/>
          <w:color w:val="auto"/>
          <w:highlight w:val="none"/>
        </w:rPr>
        <w:t xml:space="preserve">评分因素及分值</w:t>
      </w:r>
      <w:r>
        <w:rPr>
          <w:rFonts w:hint="eastAsia" w:ascii="微软雅黑" w:hAnsi="微软雅黑" w:cs="微软雅黑"/>
          <w:b/>
          <w:bCs/>
          <w:color w:val="auto"/>
          <w:highlight w:val="none"/>
          <w:lang w:eastAsia="zh-CN"/>
        </w:rPr>
        <w:t xml:space="preserve">：</w:t>
      </w:r>
      <w:r>
        <w:rPr>
          <w:highlight w:val="none"/>
        </w:rPr>
      </w:r>
      <w:r>
        <w:rPr>
          <w:highlight w:val="none"/>
        </w:rPr>
      </w:r>
    </w:p>
    <w:tbl>
      <w:tblPr>
        <w:tblStyle w:val="913"/>
        <w:tblW w:w="89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4"/>
        <w:gridCol w:w="7442"/>
      </w:tblGrid>
      <w:tr>
        <w:trPr>
          <w:jc w:val="center"/>
          <w:trHeight w:val="987"/>
        </w:trPr>
        <w:tc>
          <w:tcPr>
            <w:tcW w:w="1504" w:type="dxa"/>
            <w:vAlign w:val="center"/>
            <w:textDirection w:val="lrTb"/>
            <w:noWrap w:val="false"/>
          </w:tcPr>
          <w:p>
            <w:pPr>
              <w:jc w:val="center"/>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价格</w:t>
            </w:r>
            <w:r>
              <w:rPr>
                <w:highlight w:val="none"/>
              </w:rPr>
            </w:r>
            <w:r>
              <w:rPr>
                <w:highlight w:val="none"/>
              </w:rPr>
            </w:r>
          </w:p>
          <w:p>
            <w:pPr>
              <w:jc w:val="center"/>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w:t>
            </w:r>
            <w:r>
              <w:rPr>
                <w:rFonts w:hint="eastAsia" w:ascii="微软雅黑" w:hAnsi="微软雅黑" w:eastAsia="微软雅黑" w:cs="微软雅黑"/>
                <w:color w:val="auto"/>
                <w:sz w:val="21"/>
                <w:szCs w:val="21"/>
                <w:highlight w:val="none"/>
                <w:lang w:val="en-US" w:eastAsia="zh-CN"/>
              </w:rPr>
              <w:t xml:space="preserve">3</w:t>
            </w:r>
            <w:r>
              <w:rPr>
                <w:rFonts w:hint="eastAsia" w:ascii="微软雅黑" w:hAnsi="微软雅黑" w:eastAsia="微软雅黑" w:cs="微软雅黑"/>
                <w:color w:val="auto"/>
                <w:sz w:val="21"/>
                <w:szCs w:val="21"/>
                <w:highlight w:val="none"/>
              </w:rPr>
              <w:t xml:space="preserve">0分）</w:t>
            </w:r>
            <w:r>
              <w:rPr>
                <w:highlight w:val="none"/>
              </w:rPr>
            </w:r>
            <w:r>
              <w:rPr>
                <w:highlight w:val="none"/>
              </w:rPr>
            </w:r>
          </w:p>
        </w:tc>
        <w:tc>
          <w:tcPr>
            <w:tcW w:w="7442" w:type="dxa"/>
            <w:vAlign w:val="center"/>
            <w:textDirection w:val="lrTb"/>
            <w:noWrap w:val="false"/>
          </w:tcPr>
          <w:p>
            <w:pPr>
              <w:jc w:val="both"/>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采用低价优先法计算，即满足采购文件要求且评审价格最低的为评审基准价，其价格分为满分。其他供应商的价格分统一按照下列公式计算:报价得分=(评审基准价/其评审报价)×30（小数点保留两位）</w:t>
            </w:r>
            <w:r>
              <w:rPr>
                <w:highlight w:val="none"/>
              </w:rPr>
            </w:r>
            <w:r>
              <w:rPr>
                <w:highlight w:val="none"/>
              </w:rPr>
            </w:r>
          </w:p>
          <w:p>
            <w:pPr>
              <w:pStyle w:val="1104"/>
              <w:spacing w:line="340" w:lineRule="exact"/>
              <w:rPr>
                <w:rFonts w:hint="eastAsia" w:ascii="微软雅黑" w:hAnsi="微软雅黑" w:eastAsia="微软雅黑" w:cs="微软雅黑"/>
                <w:b/>
                <w:bCs/>
                <w:color w:val="auto"/>
                <w:sz w:val="21"/>
                <w:szCs w:val="21"/>
                <w:highlight w:val="none"/>
              </w:rPr>
            </w:pPr>
            <w:r>
              <w:rPr>
                <w:rFonts w:hint="eastAsia" w:ascii="微软雅黑" w:hAnsi="微软雅黑" w:eastAsia="微软雅黑" w:cs="微软雅黑"/>
                <w:b/>
                <w:bCs/>
                <w:color w:val="auto"/>
                <w:sz w:val="21"/>
                <w:szCs w:val="21"/>
                <w:highlight w:val="none"/>
                <w:lang w:val="en-US" w:eastAsia="zh-CN" w:bidi="ar-SA"/>
              </w:rPr>
              <w:t xml:space="preserve">备注：</w:t>
            </w:r>
            <w:r>
              <w:rPr>
                <w:highlight w:val="none"/>
              </w:rPr>
            </w:r>
            <w:r>
              <w:rPr>
                <w:highlight w:val="none"/>
              </w:rPr>
            </w:r>
          </w:p>
          <w:p>
            <w:pPr>
              <w:pStyle w:val="1104"/>
              <w:spacing w:line="340" w:lineRule="exact"/>
              <w:rPr>
                <w:rFonts w:hint="eastAsia" w:ascii="微软雅黑" w:hAnsi="微软雅黑" w:eastAsia="微软雅黑" w:cs="微软雅黑"/>
                <w:b/>
                <w:bCs/>
                <w:color w:val="auto"/>
                <w:sz w:val="21"/>
                <w:szCs w:val="21"/>
                <w:highlight w:val="none"/>
              </w:rPr>
            </w:pPr>
            <w:r>
              <w:rPr>
                <w:rFonts w:hint="eastAsia" w:ascii="微软雅黑" w:hAnsi="微软雅黑" w:eastAsia="微软雅黑" w:cs="微软雅黑"/>
                <w:b/>
                <w:bCs/>
                <w:color w:val="auto"/>
                <w:sz w:val="21"/>
                <w:szCs w:val="21"/>
                <w:highlight w:val="none"/>
                <w:lang w:val="en-US" w:eastAsia="zh-CN" w:bidi="ar-SA"/>
              </w:rPr>
              <w:t xml:space="preserve">1.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highlight w:val="none"/>
              </w:rPr>
            </w:r>
            <w:r>
              <w:rPr>
                <w:highlight w:val="none"/>
              </w:rPr>
            </w:r>
          </w:p>
          <w:p>
            <w:pPr>
              <w:pStyle w:val="1104"/>
              <w:spacing w:line="340" w:lineRule="exact"/>
              <w:rPr>
                <w:rFonts w:hint="eastAsia" w:ascii="微软雅黑" w:hAnsi="微软雅黑" w:eastAsia="微软雅黑" w:cs="微软雅黑"/>
                <w:b/>
                <w:bCs/>
                <w:color w:val="auto"/>
                <w:sz w:val="21"/>
                <w:szCs w:val="21"/>
                <w:highlight w:val="none"/>
              </w:rPr>
            </w:pPr>
            <w:r>
              <w:rPr>
                <w:rFonts w:hint="eastAsia" w:ascii="微软雅黑" w:hAnsi="微软雅黑" w:eastAsia="微软雅黑" w:cs="微软雅黑"/>
                <w:b/>
                <w:bCs/>
                <w:color w:val="auto"/>
                <w:sz w:val="21"/>
                <w:szCs w:val="21"/>
                <w:highlight w:val="none"/>
                <w:lang w:val="en-US" w:eastAsia="zh-CN" w:bidi="ar-SA"/>
              </w:rPr>
              <w:t xml:space="preserve">2.促进本国产品优惠政策：依法对本国产品给予价格评审优惠，对本国产品的报价给予20%的价格扣除，用扣除后的价格参与评审。</w:t>
            </w:r>
            <w:r>
              <w:rPr>
                <w:highlight w:val="none"/>
              </w:rPr>
            </w:r>
            <w:r>
              <w:rPr>
                <w:highlight w:val="none"/>
              </w:rPr>
            </w:r>
          </w:p>
          <w:p>
            <w:pPr>
              <w:pStyle w:val="1104"/>
              <w:spacing w:line="340" w:lineRule="exact"/>
              <w:rPr>
                <w:rFonts w:hint="eastAsia" w:ascii="微软雅黑" w:hAnsi="微软雅黑" w:eastAsia="微软雅黑" w:cs="微软雅黑"/>
                <w:b/>
                <w:bCs/>
                <w:color w:val="auto"/>
                <w:sz w:val="21"/>
                <w:szCs w:val="21"/>
                <w:highlight w:val="none"/>
              </w:rPr>
            </w:pPr>
            <w:r>
              <w:rPr>
                <w:rFonts w:hint="eastAsia" w:ascii="微软雅黑" w:hAnsi="微软雅黑" w:eastAsia="微软雅黑" w:cs="微软雅黑"/>
                <w:b/>
                <w:bCs/>
                <w:color w:val="auto"/>
                <w:sz w:val="21"/>
                <w:szCs w:val="21"/>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highlight w:val="none"/>
              </w:rPr>
            </w:r>
            <w:r>
              <w:rPr>
                <w:highlight w:val="none"/>
              </w:rPr>
            </w:r>
          </w:p>
          <w:p>
            <w:pPr>
              <w:pStyle w:val="1104"/>
              <w:spacing w:line="340" w:lineRule="exact"/>
              <w:rPr>
                <w:rFonts w:hint="eastAsia" w:ascii="微软雅黑" w:hAnsi="微软雅黑" w:eastAsia="微软雅黑" w:cs="微软雅黑"/>
                <w:b/>
                <w:bCs/>
                <w:color w:val="auto"/>
                <w:sz w:val="21"/>
                <w:szCs w:val="21"/>
                <w:highlight w:val="none"/>
              </w:rPr>
            </w:pPr>
            <w:r>
              <w:rPr>
                <w:rFonts w:hint="eastAsia" w:ascii="微软雅黑" w:hAnsi="微软雅黑" w:eastAsia="微软雅黑" w:cs="微软雅黑"/>
                <w:b/>
                <w:bCs/>
                <w:color w:val="auto"/>
                <w:sz w:val="21"/>
                <w:szCs w:val="21"/>
                <w:highlight w:val="none"/>
                <w:lang w:val="en-US" w:eastAsia="zh-CN" w:bidi="ar-SA"/>
              </w:rPr>
              <w:t xml:space="preserve">具体以《国务院办公厅关于在政府采购中实施本国产品标准及相关政策的通知》（国办发〔2025〕34号）规定为准。</w:t>
            </w:r>
            <w:r>
              <w:rPr>
                <w:highlight w:val="none"/>
              </w:rPr>
            </w:r>
            <w:r>
              <w:rPr>
                <w:highlight w:val="none"/>
              </w:rPr>
            </w:r>
          </w:p>
          <w:p>
            <w:pPr>
              <w:pStyle w:val="1104"/>
              <w:spacing w:line="340" w:lineRule="exact"/>
              <w:rPr>
                <w:rFonts w:hint="eastAsia" w:ascii="微软雅黑" w:hAnsi="微软雅黑" w:eastAsia="微软雅黑" w:cs="微软雅黑"/>
                <w:b/>
                <w:bCs/>
                <w:color w:val="auto"/>
                <w:sz w:val="21"/>
                <w:szCs w:val="21"/>
                <w:highlight w:val="none"/>
              </w:rPr>
            </w:pPr>
            <w:r>
              <w:rPr>
                <w:rFonts w:hint="eastAsia" w:ascii="微软雅黑" w:hAnsi="微软雅黑" w:eastAsia="微软雅黑" w:cs="微软雅黑"/>
                <w:b/>
                <w:bCs/>
                <w:color w:val="auto"/>
                <w:sz w:val="21"/>
                <w:szCs w:val="21"/>
                <w:highlight w:val="none"/>
                <w:lang w:val="en-US" w:eastAsia="zh-CN" w:bidi="ar-SA"/>
              </w:rPr>
              <w:t xml:space="preserve">3.上述1、2项评审优惠可同时享受，分别在供应商报价基础上予以扣除，用扣除后的价格参与评审，即该投标人的评审价格=《开标一览表》中的“总价”*（100%-30%）。</w:t>
            </w:r>
            <w:r>
              <w:rPr>
                <w:highlight w:val="none"/>
              </w:rPr>
            </w:r>
            <w:r>
              <w:rPr>
                <w:highlight w:val="none"/>
              </w:rPr>
            </w:r>
          </w:p>
          <w:p>
            <w:pPr>
              <w:jc w:val="both"/>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b/>
                <w:bCs/>
                <w:color w:val="auto"/>
                <w:sz w:val="21"/>
                <w:szCs w:val="21"/>
                <w:highlight w:val="none"/>
                <w:lang w:val="en-US" w:eastAsia="zh-CN" w:bidi="ar-SA"/>
              </w:rPr>
              <w:t xml:space="preserve">享受价格评审优惠不改变最终中标价格，政府采购合同仍按照中标供应商的报价签订。</w:t>
            </w:r>
            <w:r>
              <w:rPr>
                <w:highlight w:val="none"/>
              </w:rPr>
            </w:r>
            <w:r>
              <w:rPr>
                <w:highlight w:val="none"/>
              </w:rPr>
            </w:r>
          </w:p>
        </w:tc>
      </w:tr>
      <w:tr>
        <w:trPr>
          <w:jc w:val="center"/>
          <w:trHeight w:val="90"/>
        </w:trPr>
        <w:tc>
          <w:tcPr>
            <w:tcW w:w="1504" w:type="dxa"/>
            <w:vAlign w:val="center"/>
            <w:textDirection w:val="lrTb"/>
            <w:noWrap w:val="false"/>
          </w:tcPr>
          <w:p>
            <w:pPr>
              <w:jc w:val="center"/>
              <w:tabs>
                <w:tab w:val="left" w:pos="0" w:leader="none"/>
              </w:tabs>
              <w:rPr>
                <w:rFonts w:hint="eastAsia" w:ascii="微软雅黑" w:hAnsi="微软雅黑" w:eastAsia="微软雅黑" w:cs="微软雅黑"/>
                <w:bCs/>
                <w:color w:val="auto"/>
                <w:sz w:val="21"/>
                <w:szCs w:val="21"/>
                <w:highlight w:val="none"/>
              </w:rPr>
            </w:pPr>
            <w:r>
              <w:rPr>
                <w:rFonts w:hint="eastAsia" w:ascii="微软雅黑" w:hAnsi="微软雅黑" w:eastAsia="微软雅黑" w:cs="微软雅黑"/>
                <w:color w:val="auto"/>
                <w:sz w:val="21"/>
                <w:szCs w:val="21"/>
                <w:highlight w:val="none"/>
              </w:rPr>
              <w:t xml:space="preserve">技术规格（</w:t>
            </w:r>
            <w:r>
              <w:rPr>
                <w:rFonts w:hint="eastAsia" w:ascii="微软雅黑" w:hAnsi="微软雅黑" w:cs="微软雅黑"/>
                <w:color w:val="auto"/>
                <w:sz w:val="21"/>
                <w:szCs w:val="21"/>
                <w:highlight w:val="none"/>
                <w:lang w:val="en-US" w:eastAsia="zh-CN"/>
              </w:rPr>
              <w:t xml:space="preserve">2</w:t>
            </w:r>
            <w:r>
              <w:rPr>
                <w:rFonts w:hint="eastAsia" w:ascii="微软雅黑" w:hAnsi="微软雅黑" w:eastAsia="微软雅黑" w:cs="微软雅黑"/>
                <w:color w:val="auto"/>
                <w:sz w:val="21"/>
                <w:szCs w:val="21"/>
                <w:highlight w:val="none"/>
                <w:lang w:val="en-US" w:eastAsia="zh-CN"/>
              </w:rPr>
              <w:t xml:space="preserve">0</w:t>
            </w:r>
            <w:r>
              <w:rPr>
                <w:rFonts w:hint="eastAsia" w:ascii="微软雅黑" w:hAnsi="微软雅黑" w:eastAsia="微软雅黑" w:cs="微软雅黑"/>
                <w:color w:val="auto"/>
                <w:sz w:val="21"/>
                <w:szCs w:val="21"/>
                <w:highlight w:val="none"/>
              </w:rPr>
              <w:t xml:space="preserve">分）</w:t>
            </w:r>
            <w:r>
              <w:rPr>
                <w:highlight w:val="none"/>
              </w:rPr>
            </w:r>
            <w:r>
              <w:rPr>
                <w:highlight w:val="none"/>
              </w:rPr>
            </w:r>
          </w:p>
        </w:tc>
        <w:tc>
          <w:tcPr>
            <w:tcW w:w="7442" w:type="dxa"/>
            <w:vAlign w:val="center"/>
            <w:textDirection w:val="lrTb"/>
            <w:noWrap w:val="false"/>
          </w:tcPr>
          <w:p>
            <w:pPr>
              <w:spacing w:line="360" w:lineRule="atLeas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完全满足招标文件《项目采购需求》中总体要求的得</w:t>
            </w:r>
            <w:r>
              <w:rPr>
                <w:rFonts w:hint="eastAsia" w:ascii="微软雅黑" w:hAnsi="微软雅黑" w:cs="微软雅黑"/>
                <w:color w:val="auto"/>
                <w:sz w:val="21"/>
                <w:szCs w:val="21"/>
                <w:highlight w:val="none"/>
                <w:lang w:val="en-US" w:eastAsia="zh-CN" w:bidi="ar"/>
              </w:rPr>
              <w:t xml:space="preserve">2</w:t>
            </w:r>
            <w:r>
              <w:rPr>
                <w:rFonts w:hint="eastAsia" w:ascii="微软雅黑" w:hAnsi="微软雅黑" w:eastAsia="微软雅黑" w:cs="微软雅黑"/>
                <w:color w:val="auto"/>
                <w:sz w:val="21"/>
                <w:szCs w:val="21"/>
                <w:highlight w:val="none"/>
                <w:lang w:bidi="ar"/>
              </w:rPr>
              <w:t xml:space="preserve">0分。每一项不满足或负偏离减</w:t>
            </w:r>
            <w:r>
              <w:rPr>
                <w:rFonts w:hint="eastAsia" w:ascii="微软雅黑" w:hAnsi="微软雅黑" w:cs="微软雅黑"/>
                <w:color w:val="auto"/>
                <w:sz w:val="21"/>
                <w:szCs w:val="21"/>
                <w:highlight w:val="none"/>
                <w:lang w:val="en-US" w:eastAsia="zh-CN" w:bidi="ar"/>
              </w:rPr>
              <w:t xml:space="preserve">2</w:t>
            </w:r>
            <w:r>
              <w:rPr>
                <w:rFonts w:hint="eastAsia" w:ascii="微软雅黑" w:hAnsi="微软雅黑" w:eastAsia="微软雅黑" w:cs="微软雅黑"/>
                <w:color w:val="auto"/>
                <w:sz w:val="21"/>
                <w:szCs w:val="21"/>
                <w:highlight w:val="none"/>
                <w:lang w:bidi="ar"/>
              </w:rPr>
              <w:t xml:space="preserve">分，本项最低得0分。</w:t>
            </w:r>
            <w:r>
              <w:rPr>
                <w:highlight w:val="none"/>
              </w:rPr>
            </w:r>
            <w:r>
              <w:rPr>
                <w:highlight w:val="none"/>
              </w:rPr>
            </w:r>
          </w:p>
          <w:p>
            <w:pPr>
              <w:spacing w:line="360" w:lineRule="atLeas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根据投标人提供的偏离表，技术参数和相关要求响应情况需如实填写，不得虚假响应，否则视为提供虚假材料谋取中标。</w:t>
            </w:r>
            <w:r>
              <w:rPr>
                <w:highlight w:val="none"/>
              </w:rPr>
            </w:r>
            <w:r>
              <w:rPr>
                <w:highlight w:val="none"/>
              </w:rPr>
            </w:r>
          </w:p>
        </w:tc>
      </w:tr>
      <w:tr>
        <w:trPr>
          <w:jc w:val="center"/>
          <w:trHeight w:val="90"/>
        </w:trPr>
        <w:tc>
          <w:tcPr>
            <w:tcW w:w="1504" w:type="dxa"/>
            <w:vAlign w:val="center"/>
            <w:textDirection w:val="lrTb"/>
            <w:noWrap w:val="false"/>
          </w:tcPr>
          <w:p>
            <w:pPr>
              <w:jc w:val="cente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设计方案</w:t>
            </w:r>
            <w:r>
              <w:rPr>
                <w:highlight w:val="none"/>
              </w:rPr>
            </w:r>
            <w:r>
              <w:rPr>
                <w:highlight w:val="none"/>
              </w:rPr>
            </w:r>
          </w:p>
          <w:p>
            <w:pPr>
              <w:jc w:val="cente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w:t>
            </w:r>
            <w:r>
              <w:rPr>
                <w:rFonts w:hint="eastAsia" w:ascii="微软雅黑" w:hAnsi="微软雅黑" w:eastAsia="微软雅黑" w:cs="微软雅黑"/>
                <w:color w:val="auto"/>
                <w:sz w:val="21"/>
                <w:szCs w:val="21"/>
                <w:highlight w:val="none"/>
                <w:lang w:val="en-US" w:eastAsia="zh-CN"/>
              </w:rPr>
              <w:t xml:space="preserve">3</w:t>
            </w:r>
            <w:r>
              <w:rPr>
                <w:rFonts w:hint="eastAsia" w:ascii="微软雅黑" w:hAnsi="微软雅黑" w:eastAsia="微软雅黑" w:cs="微软雅黑"/>
                <w:color w:val="auto"/>
                <w:sz w:val="21"/>
                <w:szCs w:val="21"/>
                <w:highlight w:val="none"/>
              </w:rPr>
              <w:t xml:space="preserve">分）</w:t>
            </w:r>
            <w:r>
              <w:rPr>
                <w:highlight w:val="none"/>
              </w:rPr>
            </w:r>
            <w:r>
              <w:rPr>
                <w:highlight w:val="none"/>
              </w:rPr>
            </w:r>
          </w:p>
        </w:tc>
        <w:tc>
          <w:tcPr>
            <w:tcW w:w="7442" w:type="dxa"/>
            <w:vAlign w:val="center"/>
            <w:textDirection w:val="lrTb"/>
            <w:noWrap w:val="false"/>
          </w:tcPr>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根据投标人提供的</w:t>
            </w:r>
            <w:r>
              <w:rPr>
                <w:rFonts w:hint="eastAsia" w:ascii="微软雅黑" w:hAnsi="微软雅黑" w:eastAsia="微软雅黑" w:cs="微软雅黑"/>
                <w:color w:val="auto"/>
                <w:sz w:val="21"/>
                <w:szCs w:val="21"/>
                <w:highlight w:val="none"/>
              </w:rPr>
              <w:t xml:space="preserve">总体设计</w:t>
            </w:r>
            <w:r>
              <w:rPr>
                <w:rFonts w:hint="eastAsia" w:ascii="微软雅黑" w:hAnsi="微软雅黑" w:eastAsia="微软雅黑" w:cs="微软雅黑"/>
                <w:color w:val="auto"/>
                <w:sz w:val="21"/>
                <w:szCs w:val="21"/>
                <w:highlight w:val="none"/>
                <w:lang w:bidi="ar"/>
              </w:rPr>
              <w:t xml:space="preserve">方案，方案包含但不限于：三层及以上一体化架构、容器弹性扩展、多院区分布式、Web + 移动端、本地部署数据不出院、1000+并发支撑、等保 + 医疗数据安全体系、标准化院内集成接口方案。</w:t>
            </w:r>
            <w:r>
              <w:rPr>
                <w:highlight w:val="none"/>
              </w:rPr>
            </w:r>
            <w:r>
              <w:rPr>
                <w:highlight w:val="none"/>
              </w:rPr>
            </w:r>
          </w:p>
          <w:p>
            <w:pPr>
              <w:spacing w:line="360" w:lineRule="atLeas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架构完整，附拓扑图，完全匹配医院多院区、信创、安全、并发全部要求的得</w:t>
            </w:r>
            <w:r>
              <w:rPr>
                <w:rFonts w:hint="eastAsia" w:ascii="微软雅黑" w:hAnsi="微软雅黑" w:eastAsia="微软雅黑" w:cs="微软雅黑"/>
                <w:color w:val="auto"/>
                <w:sz w:val="21"/>
                <w:szCs w:val="21"/>
                <w:highlight w:val="none"/>
                <w:lang w:val="en-US" w:eastAsia="zh-CN" w:bidi="ar"/>
              </w:rPr>
              <w:t xml:space="preserve">3</w:t>
            </w:r>
            <w:r>
              <w:rPr>
                <w:rFonts w:hint="eastAsia" w:ascii="微软雅黑" w:hAnsi="微软雅黑" w:eastAsia="微软雅黑" w:cs="微软雅黑"/>
                <w:color w:val="auto"/>
                <w:sz w:val="21"/>
                <w:szCs w:val="21"/>
                <w:highlight w:val="none"/>
                <w:lang w:bidi="ar"/>
              </w:rPr>
              <w:t xml:space="preserve"> 分。</w:t>
            </w:r>
            <w:r>
              <w:rPr>
                <w:highlight w:val="none"/>
              </w:rPr>
            </w:r>
            <w:r>
              <w:rPr>
                <w:highlight w:val="none"/>
              </w:rPr>
            </w:r>
          </w:p>
          <w:p>
            <w:pPr>
              <w:spacing w:line="360" w:lineRule="atLeas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架构基本完整，少量细节缺失的得</w:t>
            </w:r>
            <w:r>
              <w:rPr>
                <w:rFonts w:hint="eastAsia" w:ascii="微软雅黑" w:hAnsi="微软雅黑" w:eastAsia="微软雅黑" w:cs="微软雅黑"/>
                <w:color w:val="auto"/>
                <w:sz w:val="21"/>
                <w:szCs w:val="21"/>
                <w:highlight w:val="none"/>
                <w:lang w:val="en-US" w:eastAsia="zh-CN" w:bidi="ar"/>
              </w:rPr>
              <w:t xml:space="preserve">2</w:t>
            </w:r>
            <w:r>
              <w:rPr>
                <w:rFonts w:hint="eastAsia" w:ascii="微软雅黑" w:hAnsi="微软雅黑" w:eastAsia="微软雅黑" w:cs="微软雅黑"/>
                <w:color w:val="auto"/>
                <w:sz w:val="21"/>
                <w:szCs w:val="21"/>
                <w:highlight w:val="none"/>
                <w:lang w:bidi="ar"/>
              </w:rPr>
              <w:t xml:space="preserve"> 分。</w:t>
            </w:r>
            <w:r>
              <w:rPr>
                <w:highlight w:val="none"/>
              </w:rPr>
            </w:r>
            <w:r>
              <w:rPr>
                <w:highlight w:val="none"/>
              </w:rPr>
            </w:r>
          </w:p>
          <w:p>
            <w:pPr>
              <w:spacing w:line="360" w:lineRule="atLeas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方案简略，缺失多院区、数据本地存储、并发设计的得</w:t>
            </w:r>
            <w:r>
              <w:rPr>
                <w:rFonts w:hint="eastAsia" w:ascii="微软雅黑" w:hAnsi="微软雅黑" w:eastAsia="微软雅黑" w:cs="微软雅黑"/>
                <w:color w:val="auto"/>
                <w:sz w:val="21"/>
                <w:szCs w:val="21"/>
                <w:highlight w:val="none"/>
                <w:lang w:val="en-US" w:eastAsia="zh-CN" w:bidi="ar"/>
              </w:rPr>
              <w:t xml:space="preserve">1</w:t>
            </w:r>
            <w:r>
              <w:rPr>
                <w:rFonts w:hint="eastAsia" w:ascii="微软雅黑" w:hAnsi="微软雅黑" w:eastAsia="微软雅黑" w:cs="微软雅黑"/>
                <w:color w:val="auto"/>
                <w:sz w:val="21"/>
                <w:szCs w:val="21"/>
                <w:highlight w:val="none"/>
                <w:lang w:bidi="ar"/>
              </w:rPr>
              <w:t xml:space="preserve"> 分。</w:t>
            </w:r>
            <w:r>
              <w:rPr>
                <w:highlight w:val="none"/>
              </w:rPr>
            </w:r>
            <w:r>
              <w:rPr>
                <w:highlight w:val="none"/>
              </w:rPr>
            </w:r>
          </w:p>
          <w:p>
            <w:pPr>
              <w:spacing w:line="360" w:lineRule="atLeas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未提供总体架构方案的得0 分。</w:t>
            </w:r>
            <w:r>
              <w:rPr>
                <w:highlight w:val="none"/>
              </w:rPr>
            </w:r>
            <w:r>
              <w:rPr>
                <w:highlight w:val="none"/>
              </w:rPr>
            </w:r>
          </w:p>
        </w:tc>
      </w:tr>
      <w:tr>
        <w:trPr>
          <w:jc w:val="center"/>
          <w:trHeight w:val="90"/>
        </w:trPr>
        <w:tc>
          <w:tcPr>
            <w:tcW w:w="1504" w:type="dxa"/>
            <w:vAlign w:val="center"/>
            <w:textDirection w:val="lrTb"/>
            <w:noWrap w:val="false"/>
          </w:tcPr>
          <w:p>
            <w:pPr>
              <w:jc w:val="cente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实施方案</w:t>
            </w:r>
            <w:r>
              <w:rPr>
                <w:highlight w:val="none"/>
              </w:rPr>
            </w:r>
            <w:r>
              <w:rPr>
                <w:highlight w:val="none"/>
              </w:rPr>
            </w:r>
          </w:p>
          <w:p>
            <w:pPr>
              <w:jc w:val="cente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w:t>
            </w:r>
            <w:r>
              <w:rPr>
                <w:rFonts w:hint="eastAsia" w:ascii="微软雅黑" w:hAnsi="微软雅黑" w:eastAsia="微软雅黑" w:cs="微软雅黑"/>
                <w:color w:val="auto"/>
                <w:sz w:val="21"/>
                <w:szCs w:val="21"/>
                <w:highlight w:val="none"/>
                <w:lang w:val="en-US" w:eastAsia="zh-CN"/>
              </w:rPr>
              <w:t xml:space="preserve">3</w:t>
            </w:r>
            <w:r>
              <w:rPr>
                <w:rFonts w:hint="eastAsia" w:ascii="微软雅黑" w:hAnsi="微软雅黑" w:eastAsia="微软雅黑" w:cs="微软雅黑"/>
                <w:color w:val="auto"/>
                <w:sz w:val="21"/>
                <w:szCs w:val="21"/>
                <w:highlight w:val="none"/>
              </w:rPr>
              <w:t xml:space="preserve">分）</w:t>
            </w:r>
            <w:r>
              <w:rPr>
                <w:highlight w:val="none"/>
              </w:rPr>
            </w:r>
            <w:r>
              <w:rPr>
                <w:highlight w:val="none"/>
              </w:rPr>
            </w:r>
          </w:p>
        </w:tc>
        <w:tc>
          <w:tcPr>
            <w:tcW w:w="7442" w:type="dxa"/>
            <w:vAlign w:val="center"/>
            <w:textDirection w:val="lrTb"/>
            <w:noWrap w:val="false"/>
          </w:tcPr>
          <w:p>
            <w:pPr>
              <w:spacing w:line="360" w:lineRule="atLeas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根据投标人提供的项目实施方案，方案包含但不限于：组织机构设置实施工期和进度计划；项目质量管理；项目安全管理；项目实施里程碑及阶段性成果；系统测试方案等。</w:t>
            </w:r>
            <w:r>
              <w:rPr>
                <w:highlight w:val="none"/>
              </w:rPr>
            </w:r>
            <w:r>
              <w:rPr>
                <w:highlight w:val="none"/>
              </w:rPr>
            </w:r>
          </w:p>
          <w:p>
            <w:pPr>
              <w:spacing w:line="360" w:lineRule="atLeas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全面性（</w:t>
            </w:r>
            <w:r>
              <w:rPr>
                <w:rFonts w:hint="eastAsia" w:ascii="微软雅黑" w:hAnsi="微软雅黑" w:eastAsia="微软雅黑" w:cs="微软雅黑"/>
                <w:color w:val="auto"/>
                <w:sz w:val="21"/>
                <w:szCs w:val="21"/>
                <w:highlight w:val="none"/>
                <w:lang w:val="en-US" w:eastAsia="zh-CN" w:bidi="ar"/>
              </w:rPr>
              <w:t xml:space="preserve">1</w:t>
            </w:r>
            <w:r>
              <w:rPr>
                <w:rFonts w:hint="eastAsia" w:ascii="微软雅黑" w:hAnsi="微软雅黑" w:eastAsia="微软雅黑" w:cs="微软雅黑"/>
                <w:color w:val="auto"/>
                <w:sz w:val="21"/>
                <w:szCs w:val="21"/>
                <w:highlight w:val="none"/>
                <w:lang w:bidi="ar"/>
              </w:rPr>
              <w:t xml:space="preserve">分）：全面具体详实得</w:t>
            </w:r>
            <w:r>
              <w:rPr>
                <w:rFonts w:hint="eastAsia" w:ascii="微软雅黑" w:hAnsi="微软雅黑" w:eastAsia="微软雅黑" w:cs="微软雅黑"/>
                <w:color w:val="auto"/>
                <w:sz w:val="21"/>
                <w:szCs w:val="21"/>
                <w:highlight w:val="none"/>
                <w:lang w:val="en-US" w:eastAsia="zh-CN" w:bidi="ar"/>
              </w:rPr>
              <w:t xml:space="preserve">1</w:t>
            </w:r>
            <w:r>
              <w:rPr>
                <w:rFonts w:hint="eastAsia" w:ascii="微软雅黑" w:hAnsi="微软雅黑" w:eastAsia="微软雅黑" w:cs="微软雅黑"/>
                <w:color w:val="auto"/>
                <w:sz w:val="21"/>
                <w:szCs w:val="21"/>
                <w:highlight w:val="none"/>
                <w:lang w:bidi="ar"/>
              </w:rPr>
              <w:t xml:space="preserve">分；较全面得</w:t>
            </w:r>
            <w:r>
              <w:rPr>
                <w:rFonts w:hint="eastAsia" w:ascii="微软雅黑" w:hAnsi="微软雅黑" w:eastAsia="微软雅黑" w:cs="微软雅黑"/>
                <w:color w:val="auto"/>
                <w:sz w:val="21"/>
                <w:szCs w:val="21"/>
                <w:highlight w:val="none"/>
                <w:lang w:val="en-US" w:eastAsia="zh-CN" w:bidi="ar"/>
              </w:rPr>
              <w:t xml:space="preserve">0.5</w:t>
            </w:r>
            <w:r>
              <w:rPr>
                <w:rFonts w:hint="eastAsia" w:ascii="微软雅黑" w:hAnsi="微软雅黑" w:eastAsia="微软雅黑" w:cs="微软雅黑"/>
                <w:color w:val="auto"/>
                <w:sz w:val="21"/>
                <w:szCs w:val="21"/>
                <w:highlight w:val="none"/>
                <w:lang w:bidi="ar"/>
              </w:rPr>
              <w:t xml:space="preserve">分；存在较大漏项或缺陷得0分。</w:t>
            </w:r>
            <w:r>
              <w:rPr>
                <w:highlight w:val="none"/>
              </w:rPr>
            </w:r>
            <w:r>
              <w:rPr>
                <w:highlight w:val="none"/>
              </w:rPr>
            </w:r>
          </w:p>
          <w:p>
            <w:pPr>
              <w:spacing w:line="360" w:lineRule="atLeas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可行性（</w:t>
            </w:r>
            <w:r>
              <w:rPr>
                <w:rFonts w:hint="eastAsia" w:ascii="微软雅黑" w:hAnsi="微软雅黑" w:eastAsia="微软雅黑" w:cs="微软雅黑"/>
                <w:color w:val="auto"/>
                <w:sz w:val="21"/>
                <w:szCs w:val="21"/>
                <w:highlight w:val="none"/>
                <w:lang w:val="en-US" w:eastAsia="zh-CN" w:bidi="ar"/>
              </w:rPr>
              <w:t xml:space="preserve">1</w:t>
            </w:r>
            <w:r>
              <w:rPr>
                <w:rFonts w:hint="eastAsia" w:ascii="微软雅黑" w:hAnsi="微软雅黑" w:eastAsia="微软雅黑" w:cs="微软雅黑"/>
                <w:color w:val="auto"/>
                <w:sz w:val="21"/>
                <w:szCs w:val="21"/>
                <w:highlight w:val="none"/>
                <w:lang w:bidi="ar"/>
              </w:rPr>
              <w:t xml:space="preserve">分）：切实可行得</w:t>
            </w:r>
            <w:r>
              <w:rPr>
                <w:rFonts w:hint="eastAsia" w:ascii="微软雅黑" w:hAnsi="微软雅黑" w:eastAsia="微软雅黑" w:cs="微软雅黑"/>
                <w:color w:val="auto"/>
                <w:sz w:val="21"/>
                <w:szCs w:val="21"/>
                <w:highlight w:val="none"/>
                <w:lang w:val="en-US" w:eastAsia="zh-CN" w:bidi="ar"/>
              </w:rPr>
              <w:t xml:space="preserve">1</w:t>
            </w:r>
            <w:r>
              <w:rPr>
                <w:rFonts w:hint="eastAsia" w:ascii="微软雅黑" w:hAnsi="微软雅黑" w:eastAsia="微软雅黑" w:cs="微软雅黑"/>
                <w:color w:val="auto"/>
                <w:sz w:val="21"/>
                <w:szCs w:val="21"/>
                <w:highlight w:val="none"/>
                <w:lang w:bidi="ar"/>
              </w:rPr>
              <w:t xml:space="preserve">分；较切实可行得</w:t>
            </w:r>
            <w:r>
              <w:rPr>
                <w:rFonts w:hint="eastAsia" w:ascii="微软雅黑" w:hAnsi="微软雅黑" w:eastAsia="微软雅黑" w:cs="微软雅黑"/>
                <w:color w:val="auto"/>
                <w:sz w:val="21"/>
                <w:szCs w:val="21"/>
                <w:highlight w:val="none"/>
                <w:lang w:val="en-US" w:eastAsia="zh-CN" w:bidi="ar"/>
              </w:rPr>
              <w:t xml:space="preserve">0.5</w:t>
            </w:r>
            <w:r>
              <w:rPr>
                <w:rFonts w:hint="eastAsia" w:ascii="微软雅黑" w:hAnsi="微软雅黑" w:eastAsia="微软雅黑" w:cs="微软雅黑"/>
                <w:color w:val="auto"/>
                <w:sz w:val="21"/>
                <w:szCs w:val="21"/>
                <w:highlight w:val="none"/>
                <w:lang w:bidi="ar"/>
              </w:rPr>
              <w:t xml:space="preserve">分；可行性欠缺得0分。</w:t>
            </w:r>
            <w:r>
              <w:rPr>
                <w:highlight w:val="none"/>
              </w:rPr>
            </w:r>
            <w:r>
              <w:rPr>
                <w:highlight w:val="none"/>
              </w:rPr>
            </w:r>
          </w:p>
          <w:p>
            <w:pPr>
              <w:spacing w:line="360" w:lineRule="atLeas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针对性（</w:t>
            </w:r>
            <w:r>
              <w:rPr>
                <w:rFonts w:hint="eastAsia" w:ascii="微软雅黑" w:hAnsi="微软雅黑" w:eastAsia="微软雅黑" w:cs="微软雅黑"/>
                <w:color w:val="auto"/>
                <w:sz w:val="21"/>
                <w:szCs w:val="21"/>
                <w:highlight w:val="none"/>
                <w:lang w:val="en-US" w:eastAsia="zh-CN" w:bidi="ar"/>
              </w:rPr>
              <w:t xml:space="preserve">1</w:t>
            </w:r>
            <w:r>
              <w:rPr>
                <w:rFonts w:hint="eastAsia" w:ascii="微软雅黑" w:hAnsi="微软雅黑" w:eastAsia="微软雅黑" w:cs="微软雅黑"/>
                <w:color w:val="auto"/>
                <w:sz w:val="21"/>
                <w:szCs w:val="21"/>
                <w:highlight w:val="none"/>
                <w:lang w:bidi="ar"/>
              </w:rPr>
              <w:t xml:space="preserve">分）：针对性强得</w:t>
            </w:r>
            <w:r>
              <w:rPr>
                <w:rFonts w:hint="eastAsia" w:ascii="微软雅黑" w:hAnsi="微软雅黑" w:eastAsia="微软雅黑" w:cs="微软雅黑"/>
                <w:color w:val="auto"/>
                <w:sz w:val="21"/>
                <w:szCs w:val="21"/>
                <w:highlight w:val="none"/>
                <w:lang w:val="en-US" w:eastAsia="zh-CN" w:bidi="ar"/>
              </w:rPr>
              <w:t xml:space="preserve">1</w:t>
            </w:r>
            <w:r>
              <w:rPr>
                <w:rFonts w:hint="eastAsia" w:ascii="微软雅黑" w:hAnsi="微软雅黑" w:eastAsia="微软雅黑" w:cs="微软雅黑"/>
                <w:color w:val="auto"/>
                <w:sz w:val="21"/>
                <w:szCs w:val="21"/>
                <w:highlight w:val="none"/>
                <w:lang w:bidi="ar"/>
              </w:rPr>
              <w:t xml:space="preserve">分；针对性较强得</w:t>
            </w:r>
            <w:r>
              <w:rPr>
                <w:rFonts w:hint="eastAsia" w:ascii="微软雅黑" w:hAnsi="微软雅黑" w:eastAsia="微软雅黑" w:cs="微软雅黑"/>
                <w:color w:val="auto"/>
                <w:sz w:val="21"/>
                <w:szCs w:val="21"/>
                <w:highlight w:val="none"/>
                <w:lang w:val="en-US" w:eastAsia="zh-CN" w:bidi="ar"/>
              </w:rPr>
              <w:t xml:space="preserve">0.5</w:t>
            </w:r>
            <w:r>
              <w:rPr>
                <w:rFonts w:hint="eastAsia" w:ascii="微软雅黑" w:hAnsi="微软雅黑" w:eastAsia="微软雅黑" w:cs="微软雅黑"/>
                <w:color w:val="auto"/>
                <w:sz w:val="21"/>
                <w:szCs w:val="21"/>
                <w:highlight w:val="none"/>
                <w:lang w:bidi="ar"/>
              </w:rPr>
              <w:t xml:space="preserve">分；针对性不强得</w:t>
            </w:r>
            <w:r>
              <w:rPr>
                <w:rFonts w:hint="eastAsia" w:ascii="微软雅黑" w:hAnsi="微软雅黑" w:eastAsia="微软雅黑" w:cs="微软雅黑"/>
                <w:color w:val="auto"/>
                <w:sz w:val="21"/>
                <w:szCs w:val="21"/>
                <w:highlight w:val="none"/>
                <w:lang w:val="en-US" w:eastAsia="zh-CN" w:bidi="ar"/>
              </w:rPr>
              <w:t xml:space="preserve">0</w:t>
            </w:r>
            <w:r>
              <w:rPr>
                <w:rFonts w:hint="eastAsia" w:ascii="微软雅黑" w:hAnsi="微软雅黑" w:eastAsia="微软雅黑" w:cs="微软雅黑"/>
                <w:color w:val="auto"/>
                <w:sz w:val="21"/>
                <w:szCs w:val="21"/>
                <w:highlight w:val="none"/>
                <w:lang w:bidi="ar"/>
              </w:rPr>
              <w:t xml:space="preserve">分。</w:t>
            </w:r>
            <w:r>
              <w:rPr>
                <w:highlight w:val="none"/>
              </w:rPr>
            </w:r>
            <w:r>
              <w:rPr>
                <w:highlight w:val="none"/>
              </w:rPr>
            </w:r>
          </w:p>
          <w:p>
            <w:pPr>
              <w:spacing w:line="360" w:lineRule="atLeas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未提供不得分。</w:t>
            </w:r>
            <w:r>
              <w:rPr>
                <w:highlight w:val="none"/>
              </w:rPr>
            </w:r>
            <w:r>
              <w:rPr>
                <w:highlight w:val="none"/>
              </w:rPr>
            </w:r>
          </w:p>
        </w:tc>
      </w:tr>
      <w:tr>
        <w:trPr>
          <w:jc w:val="center"/>
          <w:trHeight w:val="90"/>
        </w:trPr>
        <w:tc>
          <w:tcPr>
            <w:tcW w:w="1504" w:type="dxa"/>
            <w:vAlign w:val="center"/>
            <w:textDirection w:val="lrTb"/>
            <w:noWrap w:val="false"/>
          </w:tcPr>
          <w:p>
            <w:pPr>
              <w:jc w:val="cente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应急预案</w:t>
            </w:r>
            <w:r>
              <w:rPr>
                <w:highlight w:val="none"/>
              </w:rPr>
            </w:r>
            <w:r>
              <w:rPr>
                <w:highlight w:val="none"/>
              </w:rPr>
            </w:r>
          </w:p>
          <w:p>
            <w:pPr>
              <w:jc w:val="cente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w:t>
            </w:r>
            <w:r>
              <w:rPr>
                <w:rFonts w:hint="eastAsia" w:ascii="微软雅黑" w:hAnsi="微软雅黑" w:eastAsia="微软雅黑" w:cs="微软雅黑"/>
                <w:color w:val="auto"/>
                <w:sz w:val="21"/>
                <w:szCs w:val="21"/>
                <w:highlight w:val="none"/>
                <w:lang w:val="en-US" w:eastAsia="zh-CN"/>
              </w:rPr>
              <w:t xml:space="preserve">3</w:t>
            </w:r>
            <w:r>
              <w:rPr>
                <w:rFonts w:hint="eastAsia" w:ascii="微软雅黑" w:hAnsi="微软雅黑" w:eastAsia="微软雅黑" w:cs="微软雅黑"/>
                <w:color w:val="auto"/>
                <w:sz w:val="21"/>
                <w:szCs w:val="21"/>
                <w:highlight w:val="none"/>
              </w:rPr>
              <w:t xml:space="preserve">分）</w:t>
            </w:r>
            <w:r>
              <w:rPr>
                <w:highlight w:val="none"/>
              </w:rPr>
            </w:r>
            <w:r>
              <w:rPr>
                <w:highlight w:val="none"/>
              </w:rPr>
            </w:r>
          </w:p>
        </w:tc>
        <w:tc>
          <w:tcPr>
            <w:tcW w:w="7442" w:type="dxa"/>
            <w:vAlign w:val="center"/>
            <w:textDirection w:val="lrTb"/>
            <w:noWrap w:val="false"/>
          </w:tcPr>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根据投标人提供的</w:t>
            </w:r>
            <w:r>
              <w:rPr>
                <w:rFonts w:hint="eastAsia" w:ascii="微软雅黑" w:hAnsi="微软雅黑" w:eastAsia="微软雅黑" w:cs="微软雅黑"/>
                <w:color w:val="auto"/>
                <w:sz w:val="21"/>
                <w:szCs w:val="21"/>
                <w:highlight w:val="none"/>
              </w:rPr>
              <w:t xml:space="preserve">故障应急预案，方案包括但不限于：服务器宕机、AI 模型故障、HIS、EMR 接口中断、数据库异常、会诊流程卡顿、勒索病毒、并发过载等分级故障处置机制、7×24 响应、故障回滚、业务降级方案等。</w:t>
            </w:r>
            <w:r>
              <w:rPr>
                <w:highlight w:val="none"/>
              </w:rPr>
            </w:r>
            <w:r>
              <w:rPr>
                <w:highlight w:val="none"/>
              </w:rPr>
            </w:r>
          </w:p>
          <w:p>
            <w:pPr>
              <w:spacing w:line="360" w:lineRule="atLeas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全面性（</w:t>
            </w:r>
            <w:r>
              <w:rPr>
                <w:rFonts w:hint="eastAsia" w:ascii="微软雅黑" w:hAnsi="微软雅黑" w:eastAsia="微软雅黑" w:cs="微软雅黑"/>
                <w:color w:val="auto"/>
                <w:sz w:val="21"/>
                <w:szCs w:val="21"/>
                <w:highlight w:val="none"/>
                <w:lang w:val="en-US" w:eastAsia="zh-CN" w:bidi="ar"/>
              </w:rPr>
              <w:t xml:space="preserve">1</w:t>
            </w:r>
            <w:r>
              <w:rPr>
                <w:rFonts w:hint="eastAsia" w:ascii="微软雅黑" w:hAnsi="微软雅黑" w:eastAsia="微软雅黑" w:cs="微软雅黑"/>
                <w:color w:val="auto"/>
                <w:sz w:val="21"/>
                <w:szCs w:val="21"/>
                <w:highlight w:val="none"/>
                <w:lang w:bidi="ar"/>
              </w:rPr>
              <w:t xml:space="preserve">分）：全面具体详实得</w:t>
            </w:r>
            <w:r>
              <w:rPr>
                <w:rFonts w:hint="eastAsia" w:ascii="微软雅黑" w:hAnsi="微软雅黑" w:eastAsia="微软雅黑" w:cs="微软雅黑"/>
                <w:color w:val="auto"/>
                <w:sz w:val="21"/>
                <w:szCs w:val="21"/>
                <w:highlight w:val="none"/>
                <w:lang w:val="en-US" w:eastAsia="zh-CN" w:bidi="ar"/>
              </w:rPr>
              <w:t xml:space="preserve">1</w:t>
            </w:r>
            <w:r>
              <w:rPr>
                <w:rFonts w:hint="eastAsia" w:ascii="微软雅黑" w:hAnsi="微软雅黑" w:eastAsia="微软雅黑" w:cs="微软雅黑"/>
                <w:color w:val="auto"/>
                <w:sz w:val="21"/>
                <w:szCs w:val="21"/>
                <w:highlight w:val="none"/>
                <w:lang w:bidi="ar"/>
              </w:rPr>
              <w:t xml:space="preserve">分；较全面得</w:t>
            </w:r>
            <w:r>
              <w:rPr>
                <w:rFonts w:hint="eastAsia" w:ascii="微软雅黑" w:hAnsi="微软雅黑" w:eastAsia="微软雅黑" w:cs="微软雅黑"/>
                <w:color w:val="auto"/>
                <w:sz w:val="21"/>
                <w:szCs w:val="21"/>
                <w:highlight w:val="none"/>
                <w:lang w:val="en-US" w:eastAsia="zh-CN" w:bidi="ar"/>
              </w:rPr>
              <w:t xml:space="preserve">0.5</w:t>
            </w:r>
            <w:r>
              <w:rPr>
                <w:rFonts w:hint="eastAsia" w:ascii="微软雅黑" w:hAnsi="微软雅黑" w:eastAsia="微软雅黑" w:cs="微软雅黑"/>
                <w:color w:val="auto"/>
                <w:sz w:val="21"/>
                <w:szCs w:val="21"/>
                <w:highlight w:val="none"/>
                <w:lang w:bidi="ar"/>
              </w:rPr>
              <w:t xml:space="preserve">分；存在较大漏项或缺陷得0分。</w:t>
            </w:r>
            <w:r>
              <w:rPr>
                <w:highlight w:val="none"/>
              </w:rPr>
            </w:r>
            <w:r>
              <w:rPr>
                <w:highlight w:val="none"/>
              </w:rPr>
            </w:r>
          </w:p>
          <w:p>
            <w:pPr>
              <w:spacing w:line="360" w:lineRule="atLeas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可行性（</w:t>
            </w:r>
            <w:r>
              <w:rPr>
                <w:rFonts w:hint="eastAsia" w:ascii="微软雅黑" w:hAnsi="微软雅黑" w:eastAsia="微软雅黑" w:cs="微软雅黑"/>
                <w:color w:val="auto"/>
                <w:sz w:val="21"/>
                <w:szCs w:val="21"/>
                <w:highlight w:val="none"/>
                <w:lang w:val="en-US" w:eastAsia="zh-CN" w:bidi="ar"/>
              </w:rPr>
              <w:t xml:space="preserve">1</w:t>
            </w:r>
            <w:r>
              <w:rPr>
                <w:rFonts w:hint="eastAsia" w:ascii="微软雅黑" w:hAnsi="微软雅黑" w:eastAsia="微软雅黑" w:cs="微软雅黑"/>
                <w:color w:val="auto"/>
                <w:sz w:val="21"/>
                <w:szCs w:val="21"/>
                <w:highlight w:val="none"/>
                <w:lang w:bidi="ar"/>
              </w:rPr>
              <w:t xml:space="preserve">分）：切实可行得</w:t>
            </w:r>
            <w:r>
              <w:rPr>
                <w:rFonts w:hint="eastAsia" w:ascii="微软雅黑" w:hAnsi="微软雅黑" w:eastAsia="微软雅黑" w:cs="微软雅黑"/>
                <w:color w:val="auto"/>
                <w:sz w:val="21"/>
                <w:szCs w:val="21"/>
                <w:highlight w:val="none"/>
                <w:lang w:val="en-US" w:eastAsia="zh-CN" w:bidi="ar"/>
              </w:rPr>
              <w:t xml:space="preserve">1</w:t>
            </w:r>
            <w:r>
              <w:rPr>
                <w:rFonts w:hint="eastAsia" w:ascii="微软雅黑" w:hAnsi="微软雅黑" w:eastAsia="微软雅黑" w:cs="微软雅黑"/>
                <w:color w:val="auto"/>
                <w:sz w:val="21"/>
                <w:szCs w:val="21"/>
                <w:highlight w:val="none"/>
                <w:lang w:bidi="ar"/>
              </w:rPr>
              <w:t xml:space="preserve">分；较切实可行得</w:t>
            </w:r>
            <w:r>
              <w:rPr>
                <w:rFonts w:hint="eastAsia" w:ascii="微软雅黑" w:hAnsi="微软雅黑" w:eastAsia="微软雅黑" w:cs="微软雅黑"/>
                <w:color w:val="auto"/>
                <w:sz w:val="21"/>
                <w:szCs w:val="21"/>
                <w:highlight w:val="none"/>
                <w:lang w:val="en-US" w:eastAsia="zh-CN" w:bidi="ar"/>
              </w:rPr>
              <w:t xml:space="preserve">0.5</w:t>
            </w:r>
            <w:r>
              <w:rPr>
                <w:rFonts w:hint="eastAsia" w:ascii="微软雅黑" w:hAnsi="微软雅黑" w:eastAsia="微软雅黑" w:cs="微软雅黑"/>
                <w:color w:val="auto"/>
                <w:sz w:val="21"/>
                <w:szCs w:val="21"/>
                <w:highlight w:val="none"/>
                <w:lang w:bidi="ar"/>
              </w:rPr>
              <w:t xml:space="preserve">分；可行性欠缺得0分。</w:t>
            </w:r>
            <w:r>
              <w:rPr>
                <w:highlight w:val="none"/>
              </w:rPr>
            </w:r>
            <w:r>
              <w:rPr>
                <w:highlight w:val="none"/>
              </w:rPr>
            </w:r>
          </w:p>
          <w:p>
            <w:pPr>
              <w:pStyle w:val="1279"/>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针对性（</w:t>
            </w:r>
            <w:r>
              <w:rPr>
                <w:rFonts w:hint="eastAsia" w:ascii="微软雅黑" w:hAnsi="微软雅黑" w:eastAsia="微软雅黑" w:cs="微软雅黑"/>
                <w:color w:val="auto"/>
                <w:sz w:val="21"/>
                <w:szCs w:val="21"/>
                <w:highlight w:val="none"/>
                <w:lang w:val="en-US" w:eastAsia="zh-CN" w:bidi="ar"/>
              </w:rPr>
              <w:t xml:space="preserve">1</w:t>
            </w:r>
            <w:r>
              <w:rPr>
                <w:rFonts w:hint="eastAsia" w:ascii="微软雅黑" w:hAnsi="微软雅黑" w:eastAsia="微软雅黑" w:cs="微软雅黑"/>
                <w:color w:val="auto"/>
                <w:sz w:val="21"/>
                <w:szCs w:val="21"/>
                <w:highlight w:val="none"/>
                <w:lang w:bidi="ar"/>
              </w:rPr>
              <w:t xml:space="preserve">分）：针对性强得</w:t>
            </w:r>
            <w:r>
              <w:rPr>
                <w:rFonts w:hint="eastAsia" w:ascii="微软雅黑" w:hAnsi="微软雅黑" w:eastAsia="微软雅黑" w:cs="微软雅黑"/>
                <w:color w:val="auto"/>
                <w:sz w:val="21"/>
                <w:szCs w:val="21"/>
                <w:highlight w:val="none"/>
                <w:lang w:val="en-US" w:eastAsia="zh-CN" w:bidi="ar"/>
              </w:rPr>
              <w:t xml:space="preserve">1</w:t>
            </w:r>
            <w:r>
              <w:rPr>
                <w:rFonts w:hint="eastAsia" w:ascii="微软雅黑" w:hAnsi="微软雅黑" w:eastAsia="微软雅黑" w:cs="微软雅黑"/>
                <w:color w:val="auto"/>
                <w:sz w:val="21"/>
                <w:szCs w:val="21"/>
                <w:highlight w:val="none"/>
                <w:lang w:bidi="ar"/>
              </w:rPr>
              <w:t xml:space="preserve">分；针对性较强得</w:t>
            </w:r>
            <w:r>
              <w:rPr>
                <w:rFonts w:hint="eastAsia" w:ascii="微软雅黑" w:hAnsi="微软雅黑" w:eastAsia="微软雅黑" w:cs="微软雅黑"/>
                <w:color w:val="auto"/>
                <w:sz w:val="21"/>
                <w:szCs w:val="21"/>
                <w:highlight w:val="none"/>
                <w:lang w:val="en-US" w:eastAsia="zh-CN" w:bidi="ar"/>
              </w:rPr>
              <w:t xml:space="preserve">0.5</w:t>
            </w:r>
            <w:r>
              <w:rPr>
                <w:rFonts w:hint="eastAsia" w:ascii="微软雅黑" w:hAnsi="微软雅黑" w:eastAsia="微软雅黑" w:cs="微软雅黑"/>
                <w:color w:val="auto"/>
                <w:sz w:val="21"/>
                <w:szCs w:val="21"/>
                <w:highlight w:val="none"/>
                <w:lang w:bidi="ar"/>
              </w:rPr>
              <w:t xml:space="preserve">分；针对性不强得0分。</w:t>
            </w:r>
            <w:r>
              <w:rPr>
                <w:highlight w:val="none"/>
              </w:rPr>
            </w:r>
            <w:r>
              <w:rPr>
                <w:highlight w:val="none"/>
              </w:rPr>
            </w:r>
          </w:p>
          <w:p>
            <w:pPr>
              <w:pStyle w:val="1279"/>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未提供不得分。</w:t>
            </w:r>
            <w:r>
              <w:rPr>
                <w:highlight w:val="none"/>
              </w:rPr>
            </w:r>
            <w:r>
              <w:rPr>
                <w:highlight w:val="none"/>
              </w:rPr>
            </w:r>
          </w:p>
        </w:tc>
      </w:tr>
      <w:tr>
        <w:trPr>
          <w:jc w:val="center"/>
          <w:trHeight w:val="225"/>
        </w:trPr>
        <w:tc>
          <w:tcPr>
            <w:tcW w:w="1504" w:type="dxa"/>
            <w:vAlign w:val="center"/>
            <w:textDirection w:val="lrTb"/>
            <w:noWrap w:val="false"/>
          </w:tcPr>
          <w:p>
            <w:pPr>
              <w:jc w:val="center"/>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培训方案（</w:t>
            </w:r>
            <w:r>
              <w:rPr>
                <w:rFonts w:hint="eastAsia" w:ascii="微软雅黑" w:hAnsi="微软雅黑" w:eastAsia="微软雅黑" w:cs="微软雅黑"/>
                <w:color w:val="auto"/>
                <w:sz w:val="21"/>
                <w:szCs w:val="21"/>
                <w:highlight w:val="none"/>
                <w:lang w:val="en-US" w:eastAsia="zh-CN"/>
              </w:rPr>
              <w:t xml:space="preserve">3</w:t>
            </w:r>
            <w:r>
              <w:rPr>
                <w:rFonts w:hint="eastAsia" w:ascii="微软雅黑" w:hAnsi="微软雅黑" w:eastAsia="微软雅黑" w:cs="微软雅黑"/>
                <w:color w:val="auto"/>
                <w:sz w:val="21"/>
                <w:szCs w:val="21"/>
                <w:highlight w:val="none"/>
              </w:rPr>
              <w:t xml:space="preserve">分）</w:t>
            </w:r>
            <w:r>
              <w:rPr>
                <w:highlight w:val="none"/>
              </w:rPr>
            </w:r>
            <w:r>
              <w:rPr>
                <w:highlight w:val="none"/>
              </w:rPr>
            </w:r>
          </w:p>
        </w:tc>
        <w:tc>
          <w:tcPr>
            <w:tcW w:w="7442" w:type="dxa"/>
            <w:vAlign w:val="center"/>
            <w:textDirection w:val="lrTb"/>
            <w:noWrap w:val="false"/>
          </w:tcPr>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根据投标人提供的培训方案，方案包含但不限于：培训计划、培训对象、培训目标等。</w:t>
            </w:r>
            <w:r>
              <w:rPr>
                <w:highlight w:val="none"/>
              </w:rPr>
            </w:r>
            <w:r>
              <w:rPr>
                <w:highlight w:val="none"/>
              </w:rPr>
            </w:r>
          </w:p>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全面性（</w:t>
            </w:r>
            <w:r>
              <w:rPr>
                <w:rFonts w:hint="eastAsia" w:ascii="微软雅黑" w:hAnsi="微软雅黑" w:eastAsia="微软雅黑" w:cs="微软雅黑"/>
                <w:color w:val="auto"/>
                <w:sz w:val="21"/>
                <w:szCs w:val="21"/>
                <w:highlight w:val="none"/>
                <w:lang w:val="en-US" w:eastAsia="zh-CN" w:bidi="ar"/>
              </w:rPr>
              <w:t xml:space="preserve">1</w:t>
            </w:r>
            <w:r>
              <w:rPr>
                <w:rFonts w:hint="eastAsia" w:ascii="微软雅黑" w:hAnsi="微软雅黑" w:eastAsia="微软雅黑" w:cs="微软雅黑"/>
                <w:color w:val="auto"/>
                <w:sz w:val="21"/>
                <w:szCs w:val="21"/>
                <w:highlight w:val="none"/>
                <w:lang w:bidi="ar"/>
              </w:rPr>
              <w:t xml:space="preserve">分）：全面具体详实得</w:t>
            </w:r>
            <w:r>
              <w:rPr>
                <w:rFonts w:hint="eastAsia" w:ascii="微软雅黑" w:hAnsi="微软雅黑" w:eastAsia="微软雅黑" w:cs="微软雅黑"/>
                <w:color w:val="auto"/>
                <w:sz w:val="21"/>
                <w:szCs w:val="21"/>
                <w:highlight w:val="none"/>
                <w:lang w:val="en-US" w:eastAsia="zh-CN" w:bidi="ar"/>
              </w:rPr>
              <w:t xml:space="preserve">1</w:t>
            </w:r>
            <w:r>
              <w:rPr>
                <w:rFonts w:hint="eastAsia" w:ascii="微软雅黑" w:hAnsi="微软雅黑" w:eastAsia="微软雅黑" w:cs="微软雅黑"/>
                <w:color w:val="auto"/>
                <w:sz w:val="21"/>
                <w:szCs w:val="21"/>
                <w:highlight w:val="none"/>
                <w:lang w:bidi="ar"/>
              </w:rPr>
              <w:t xml:space="preserve">分；较全面得</w:t>
            </w:r>
            <w:r>
              <w:rPr>
                <w:rFonts w:hint="eastAsia" w:ascii="微软雅黑" w:hAnsi="微软雅黑" w:eastAsia="微软雅黑" w:cs="微软雅黑"/>
                <w:color w:val="auto"/>
                <w:sz w:val="21"/>
                <w:szCs w:val="21"/>
                <w:highlight w:val="none"/>
                <w:lang w:val="en-US" w:eastAsia="zh-CN" w:bidi="ar"/>
              </w:rPr>
              <w:t xml:space="preserve">0.5</w:t>
            </w:r>
            <w:r>
              <w:rPr>
                <w:rFonts w:hint="eastAsia" w:ascii="微软雅黑" w:hAnsi="微软雅黑" w:eastAsia="微软雅黑" w:cs="微软雅黑"/>
                <w:color w:val="auto"/>
                <w:sz w:val="21"/>
                <w:szCs w:val="21"/>
                <w:highlight w:val="none"/>
                <w:lang w:bidi="ar"/>
              </w:rPr>
              <w:t xml:space="preserve">分；存在较大漏项或缺陷得0分。</w:t>
            </w:r>
            <w:r>
              <w:rPr>
                <w:highlight w:val="none"/>
              </w:rPr>
            </w:r>
            <w:r>
              <w:rPr>
                <w:highlight w:val="none"/>
              </w:rPr>
            </w:r>
          </w:p>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可行性（</w:t>
            </w:r>
            <w:r>
              <w:rPr>
                <w:rFonts w:hint="eastAsia" w:ascii="微软雅黑" w:hAnsi="微软雅黑" w:eastAsia="微软雅黑" w:cs="微软雅黑"/>
                <w:color w:val="auto"/>
                <w:sz w:val="21"/>
                <w:szCs w:val="21"/>
                <w:highlight w:val="none"/>
                <w:lang w:val="en-US" w:eastAsia="zh-CN" w:bidi="ar"/>
              </w:rPr>
              <w:t xml:space="preserve">1</w:t>
            </w:r>
            <w:r>
              <w:rPr>
                <w:rFonts w:hint="eastAsia" w:ascii="微软雅黑" w:hAnsi="微软雅黑" w:eastAsia="微软雅黑" w:cs="微软雅黑"/>
                <w:color w:val="auto"/>
                <w:sz w:val="21"/>
                <w:szCs w:val="21"/>
                <w:highlight w:val="none"/>
                <w:lang w:bidi="ar"/>
              </w:rPr>
              <w:t xml:space="preserve">分）：切实可行得</w:t>
            </w:r>
            <w:r>
              <w:rPr>
                <w:rFonts w:hint="eastAsia" w:ascii="微软雅黑" w:hAnsi="微软雅黑" w:eastAsia="微软雅黑" w:cs="微软雅黑"/>
                <w:color w:val="auto"/>
                <w:sz w:val="21"/>
                <w:szCs w:val="21"/>
                <w:highlight w:val="none"/>
                <w:lang w:val="en-US" w:eastAsia="zh-CN" w:bidi="ar"/>
              </w:rPr>
              <w:t xml:space="preserve">1</w:t>
            </w:r>
            <w:r>
              <w:rPr>
                <w:rFonts w:hint="eastAsia" w:ascii="微软雅黑" w:hAnsi="微软雅黑" w:eastAsia="微软雅黑" w:cs="微软雅黑"/>
                <w:color w:val="auto"/>
                <w:sz w:val="21"/>
                <w:szCs w:val="21"/>
                <w:highlight w:val="none"/>
                <w:lang w:bidi="ar"/>
              </w:rPr>
              <w:t xml:space="preserve">分；较切实可行得</w:t>
            </w:r>
            <w:r>
              <w:rPr>
                <w:rFonts w:hint="eastAsia" w:ascii="微软雅黑" w:hAnsi="微软雅黑" w:eastAsia="微软雅黑" w:cs="微软雅黑"/>
                <w:color w:val="auto"/>
                <w:sz w:val="21"/>
                <w:szCs w:val="21"/>
                <w:highlight w:val="none"/>
                <w:lang w:val="en-US" w:eastAsia="zh-CN" w:bidi="ar"/>
              </w:rPr>
              <w:t xml:space="preserve">0.5</w:t>
            </w:r>
            <w:r>
              <w:rPr>
                <w:rFonts w:hint="eastAsia" w:ascii="微软雅黑" w:hAnsi="微软雅黑" w:eastAsia="微软雅黑" w:cs="微软雅黑"/>
                <w:color w:val="auto"/>
                <w:sz w:val="21"/>
                <w:szCs w:val="21"/>
                <w:highlight w:val="none"/>
                <w:lang w:bidi="ar"/>
              </w:rPr>
              <w:t xml:space="preserve">分；可行性欠缺得0分。</w:t>
            </w:r>
            <w:r>
              <w:rPr>
                <w:highlight w:val="none"/>
              </w:rPr>
            </w:r>
            <w:r>
              <w:rPr>
                <w:highlight w:val="none"/>
              </w:rPr>
            </w:r>
          </w:p>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针对性（</w:t>
            </w:r>
            <w:r>
              <w:rPr>
                <w:rFonts w:hint="eastAsia" w:ascii="微软雅黑" w:hAnsi="微软雅黑" w:eastAsia="微软雅黑" w:cs="微软雅黑"/>
                <w:color w:val="auto"/>
                <w:sz w:val="21"/>
                <w:szCs w:val="21"/>
                <w:highlight w:val="none"/>
                <w:lang w:val="en-US" w:eastAsia="zh-CN" w:bidi="ar"/>
              </w:rPr>
              <w:t xml:space="preserve">1</w:t>
            </w:r>
            <w:r>
              <w:rPr>
                <w:rFonts w:hint="eastAsia" w:ascii="微软雅黑" w:hAnsi="微软雅黑" w:eastAsia="微软雅黑" w:cs="微软雅黑"/>
                <w:color w:val="auto"/>
                <w:sz w:val="21"/>
                <w:szCs w:val="21"/>
                <w:highlight w:val="none"/>
                <w:lang w:bidi="ar"/>
              </w:rPr>
              <w:t xml:space="preserve">分）：针对性强得</w:t>
            </w:r>
            <w:r>
              <w:rPr>
                <w:rFonts w:hint="eastAsia" w:ascii="微软雅黑" w:hAnsi="微软雅黑" w:eastAsia="微软雅黑" w:cs="微软雅黑"/>
                <w:color w:val="auto"/>
                <w:sz w:val="21"/>
                <w:szCs w:val="21"/>
                <w:highlight w:val="none"/>
                <w:lang w:val="en-US" w:eastAsia="zh-CN" w:bidi="ar"/>
              </w:rPr>
              <w:t xml:space="preserve">1</w:t>
            </w:r>
            <w:r>
              <w:rPr>
                <w:rFonts w:hint="eastAsia" w:ascii="微软雅黑" w:hAnsi="微软雅黑" w:eastAsia="微软雅黑" w:cs="微软雅黑"/>
                <w:color w:val="auto"/>
                <w:sz w:val="21"/>
                <w:szCs w:val="21"/>
                <w:highlight w:val="none"/>
                <w:lang w:bidi="ar"/>
              </w:rPr>
              <w:t xml:space="preserve">分；针对性较强得</w:t>
            </w:r>
            <w:r>
              <w:rPr>
                <w:rFonts w:hint="eastAsia" w:ascii="微软雅黑" w:hAnsi="微软雅黑" w:eastAsia="微软雅黑" w:cs="微软雅黑"/>
                <w:color w:val="auto"/>
                <w:sz w:val="21"/>
                <w:szCs w:val="21"/>
                <w:highlight w:val="none"/>
                <w:lang w:val="en-US" w:eastAsia="zh-CN" w:bidi="ar"/>
              </w:rPr>
              <w:t xml:space="preserve">0.5</w:t>
            </w:r>
            <w:r>
              <w:rPr>
                <w:rFonts w:hint="eastAsia" w:ascii="微软雅黑" w:hAnsi="微软雅黑" w:eastAsia="微软雅黑" w:cs="微软雅黑"/>
                <w:color w:val="auto"/>
                <w:sz w:val="21"/>
                <w:szCs w:val="21"/>
                <w:highlight w:val="none"/>
                <w:lang w:bidi="ar"/>
              </w:rPr>
              <w:t xml:space="preserve">分；针对性不强得0分。</w:t>
            </w:r>
            <w:r>
              <w:rPr>
                <w:highlight w:val="none"/>
              </w:rPr>
            </w:r>
            <w:r>
              <w:rPr>
                <w:highlight w:val="none"/>
              </w:rPr>
            </w:r>
          </w:p>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未提供不得分。</w:t>
            </w:r>
            <w:r>
              <w:rPr>
                <w:highlight w:val="none"/>
              </w:rPr>
            </w:r>
            <w:r>
              <w:rPr>
                <w:highlight w:val="none"/>
              </w:rPr>
            </w:r>
          </w:p>
        </w:tc>
      </w:tr>
      <w:tr>
        <w:trPr>
          <w:jc w:val="center"/>
          <w:trHeight w:val="791"/>
        </w:trPr>
        <w:tc>
          <w:tcPr>
            <w:tcW w:w="1504" w:type="dxa"/>
            <w:vAlign w:val="center"/>
            <w:textDirection w:val="lrTb"/>
            <w:noWrap w:val="false"/>
          </w:tcPr>
          <w:p>
            <w:pPr>
              <w:jc w:val="center"/>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售后服务方案</w:t>
            </w:r>
            <w:r>
              <w:rPr>
                <w:highlight w:val="none"/>
              </w:rPr>
            </w:r>
            <w:r>
              <w:rPr>
                <w:highlight w:val="none"/>
              </w:rPr>
            </w:r>
          </w:p>
          <w:p>
            <w:pPr>
              <w:jc w:val="center"/>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w:t>
            </w:r>
            <w:r>
              <w:rPr>
                <w:rFonts w:hint="eastAsia" w:ascii="微软雅黑" w:hAnsi="微软雅黑" w:eastAsia="微软雅黑" w:cs="微软雅黑"/>
                <w:color w:val="auto"/>
                <w:sz w:val="21"/>
                <w:szCs w:val="21"/>
                <w:highlight w:val="none"/>
                <w:lang w:val="en-US" w:eastAsia="zh-CN"/>
              </w:rPr>
              <w:t xml:space="preserve">4</w:t>
            </w:r>
            <w:r>
              <w:rPr>
                <w:rFonts w:hint="eastAsia" w:ascii="微软雅黑" w:hAnsi="微软雅黑" w:eastAsia="微软雅黑" w:cs="微软雅黑"/>
                <w:color w:val="auto"/>
                <w:sz w:val="21"/>
                <w:szCs w:val="21"/>
                <w:highlight w:val="none"/>
              </w:rPr>
              <w:t xml:space="preserve">分）</w:t>
            </w:r>
            <w:r>
              <w:rPr>
                <w:highlight w:val="none"/>
              </w:rPr>
            </w:r>
            <w:r>
              <w:rPr>
                <w:highlight w:val="none"/>
              </w:rPr>
            </w:r>
          </w:p>
        </w:tc>
        <w:tc>
          <w:tcPr>
            <w:tcW w:w="7442" w:type="dxa"/>
            <w:vAlign w:val="center"/>
            <w:textDirection w:val="lrTb"/>
            <w:noWrap w:val="false"/>
          </w:tcPr>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根据投标人提供的售后服务方案，方案包含但不限于：①售后组织架构；②售后服务内容；③持续性服务保障措施等。</w:t>
            </w:r>
            <w:r>
              <w:rPr>
                <w:highlight w:val="none"/>
              </w:rPr>
            </w:r>
            <w:r>
              <w:rPr>
                <w:highlight w:val="none"/>
              </w:rPr>
            </w:r>
          </w:p>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全面性（</w:t>
            </w:r>
            <w:r>
              <w:rPr>
                <w:rFonts w:hint="eastAsia" w:ascii="微软雅黑" w:hAnsi="微软雅黑" w:eastAsia="微软雅黑" w:cs="微软雅黑"/>
                <w:color w:val="auto"/>
                <w:sz w:val="21"/>
                <w:szCs w:val="21"/>
                <w:highlight w:val="none"/>
                <w:lang w:val="en-US" w:eastAsia="zh-CN" w:bidi="ar"/>
              </w:rPr>
              <w:t xml:space="preserve">1</w:t>
            </w:r>
            <w:r>
              <w:rPr>
                <w:rFonts w:hint="eastAsia" w:ascii="微软雅黑" w:hAnsi="微软雅黑" w:eastAsia="微软雅黑" w:cs="微软雅黑"/>
                <w:color w:val="auto"/>
                <w:sz w:val="21"/>
                <w:szCs w:val="21"/>
                <w:highlight w:val="none"/>
                <w:lang w:bidi="ar"/>
              </w:rPr>
              <w:t xml:space="preserve">分）：全面具体详实得</w:t>
            </w:r>
            <w:r>
              <w:rPr>
                <w:rFonts w:hint="eastAsia" w:ascii="微软雅黑" w:hAnsi="微软雅黑" w:eastAsia="微软雅黑" w:cs="微软雅黑"/>
                <w:color w:val="auto"/>
                <w:sz w:val="21"/>
                <w:szCs w:val="21"/>
                <w:highlight w:val="none"/>
                <w:lang w:val="en-US" w:eastAsia="zh-CN" w:bidi="ar"/>
              </w:rPr>
              <w:t xml:space="preserve">1</w:t>
            </w:r>
            <w:r>
              <w:rPr>
                <w:rFonts w:hint="eastAsia" w:ascii="微软雅黑" w:hAnsi="微软雅黑" w:eastAsia="微软雅黑" w:cs="微软雅黑"/>
                <w:color w:val="auto"/>
                <w:sz w:val="21"/>
                <w:szCs w:val="21"/>
                <w:highlight w:val="none"/>
                <w:lang w:bidi="ar"/>
              </w:rPr>
              <w:t xml:space="preserve">分；较全面得</w:t>
            </w:r>
            <w:r>
              <w:rPr>
                <w:rFonts w:hint="eastAsia" w:ascii="微软雅黑" w:hAnsi="微软雅黑" w:eastAsia="微软雅黑" w:cs="微软雅黑"/>
                <w:color w:val="auto"/>
                <w:sz w:val="21"/>
                <w:szCs w:val="21"/>
                <w:highlight w:val="none"/>
                <w:lang w:val="en-US" w:eastAsia="zh-CN" w:bidi="ar"/>
              </w:rPr>
              <w:t xml:space="preserve">0.5</w:t>
            </w:r>
            <w:r>
              <w:rPr>
                <w:rFonts w:hint="eastAsia" w:ascii="微软雅黑" w:hAnsi="微软雅黑" w:eastAsia="微软雅黑" w:cs="微软雅黑"/>
                <w:color w:val="auto"/>
                <w:sz w:val="21"/>
                <w:szCs w:val="21"/>
                <w:highlight w:val="none"/>
                <w:lang w:bidi="ar"/>
              </w:rPr>
              <w:t xml:space="preserve">分；存在较大漏项或缺陷得0分。</w:t>
            </w:r>
            <w:r>
              <w:rPr>
                <w:highlight w:val="none"/>
              </w:rPr>
            </w:r>
            <w:r>
              <w:rPr>
                <w:highlight w:val="none"/>
              </w:rPr>
            </w:r>
          </w:p>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可行性（</w:t>
            </w:r>
            <w:r>
              <w:rPr>
                <w:rFonts w:hint="eastAsia" w:ascii="微软雅黑" w:hAnsi="微软雅黑" w:eastAsia="微软雅黑" w:cs="微软雅黑"/>
                <w:color w:val="auto"/>
                <w:sz w:val="21"/>
                <w:szCs w:val="21"/>
                <w:highlight w:val="none"/>
                <w:lang w:val="en-US" w:eastAsia="zh-CN" w:bidi="ar"/>
              </w:rPr>
              <w:t xml:space="preserve">1</w:t>
            </w:r>
            <w:r>
              <w:rPr>
                <w:rFonts w:hint="eastAsia" w:ascii="微软雅黑" w:hAnsi="微软雅黑" w:eastAsia="微软雅黑" w:cs="微软雅黑"/>
                <w:color w:val="auto"/>
                <w:sz w:val="21"/>
                <w:szCs w:val="21"/>
                <w:highlight w:val="none"/>
                <w:lang w:bidi="ar"/>
              </w:rPr>
              <w:t xml:space="preserve">分）：切实可行得</w:t>
            </w:r>
            <w:r>
              <w:rPr>
                <w:rFonts w:hint="eastAsia" w:ascii="微软雅黑" w:hAnsi="微软雅黑" w:eastAsia="微软雅黑" w:cs="微软雅黑"/>
                <w:color w:val="auto"/>
                <w:sz w:val="21"/>
                <w:szCs w:val="21"/>
                <w:highlight w:val="none"/>
                <w:lang w:val="en-US" w:eastAsia="zh-CN" w:bidi="ar"/>
              </w:rPr>
              <w:t xml:space="preserve">1</w:t>
            </w:r>
            <w:r>
              <w:rPr>
                <w:rFonts w:hint="eastAsia" w:ascii="微软雅黑" w:hAnsi="微软雅黑" w:eastAsia="微软雅黑" w:cs="微软雅黑"/>
                <w:color w:val="auto"/>
                <w:sz w:val="21"/>
                <w:szCs w:val="21"/>
                <w:highlight w:val="none"/>
                <w:lang w:bidi="ar"/>
              </w:rPr>
              <w:t xml:space="preserve">分；较切实可行得</w:t>
            </w:r>
            <w:r>
              <w:rPr>
                <w:rFonts w:hint="eastAsia" w:ascii="微软雅黑" w:hAnsi="微软雅黑" w:eastAsia="微软雅黑" w:cs="微软雅黑"/>
                <w:color w:val="auto"/>
                <w:sz w:val="21"/>
                <w:szCs w:val="21"/>
                <w:highlight w:val="none"/>
                <w:lang w:val="en-US" w:eastAsia="zh-CN" w:bidi="ar"/>
              </w:rPr>
              <w:t xml:space="preserve">0.5</w:t>
            </w:r>
            <w:r>
              <w:rPr>
                <w:rFonts w:hint="eastAsia" w:ascii="微软雅黑" w:hAnsi="微软雅黑" w:eastAsia="微软雅黑" w:cs="微软雅黑"/>
                <w:color w:val="auto"/>
                <w:sz w:val="21"/>
                <w:szCs w:val="21"/>
                <w:highlight w:val="none"/>
                <w:lang w:bidi="ar"/>
              </w:rPr>
              <w:t xml:space="preserve">分；可行性欠缺得0分。</w:t>
            </w:r>
            <w:r>
              <w:rPr>
                <w:highlight w:val="none"/>
              </w:rPr>
            </w:r>
            <w:r>
              <w:rPr>
                <w:highlight w:val="none"/>
              </w:rPr>
            </w:r>
          </w:p>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针对性（</w:t>
            </w:r>
            <w:r>
              <w:rPr>
                <w:rFonts w:hint="eastAsia" w:ascii="微软雅黑" w:hAnsi="微软雅黑" w:eastAsia="微软雅黑" w:cs="微软雅黑"/>
                <w:color w:val="auto"/>
                <w:sz w:val="21"/>
                <w:szCs w:val="21"/>
                <w:highlight w:val="none"/>
                <w:lang w:val="en-US" w:eastAsia="zh-CN" w:bidi="ar"/>
              </w:rPr>
              <w:t xml:space="preserve">1</w:t>
            </w:r>
            <w:r>
              <w:rPr>
                <w:rFonts w:hint="eastAsia" w:ascii="微软雅黑" w:hAnsi="微软雅黑" w:eastAsia="微软雅黑" w:cs="微软雅黑"/>
                <w:color w:val="auto"/>
                <w:sz w:val="21"/>
                <w:szCs w:val="21"/>
                <w:highlight w:val="none"/>
                <w:lang w:bidi="ar"/>
              </w:rPr>
              <w:t xml:space="preserve">分）：针对性强得</w:t>
            </w:r>
            <w:r>
              <w:rPr>
                <w:rFonts w:hint="eastAsia" w:ascii="微软雅黑" w:hAnsi="微软雅黑" w:eastAsia="微软雅黑" w:cs="微软雅黑"/>
                <w:color w:val="auto"/>
                <w:sz w:val="21"/>
                <w:szCs w:val="21"/>
                <w:highlight w:val="none"/>
                <w:lang w:val="en-US" w:eastAsia="zh-CN" w:bidi="ar"/>
              </w:rPr>
              <w:t xml:space="preserve">1</w:t>
            </w:r>
            <w:r>
              <w:rPr>
                <w:rFonts w:hint="eastAsia" w:ascii="微软雅黑" w:hAnsi="微软雅黑" w:eastAsia="微软雅黑" w:cs="微软雅黑"/>
                <w:color w:val="auto"/>
                <w:sz w:val="21"/>
                <w:szCs w:val="21"/>
                <w:highlight w:val="none"/>
                <w:lang w:bidi="ar"/>
              </w:rPr>
              <w:t xml:space="preserve">分；针对性较强得</w:t>
            </w:r>
            <w:r>
              <w:rPr>
                <w:rFonts w:hint="eastAsia" w:ascii="微软雅黑" w:hAnsi="微软雅黑" w:eastAsia="微软雅黑" w:cs="微软雅黑"/>
                <w:color w:val="auto"/>
                <w:sz w:val="21"/>
                <w:szCs w:val="21"/>
                <w:highlight w:val="none"/>
                <w:lang w:val="en-US" w:eastAsia="zh-CN" w:bidi="ar"/>
              </w:rPr>
              <w:t xml:space="preserve">0.5</w:t>
            </w:r>
            <w:r>
              <w:rPr>
                <w:rFonts w:hint="eastAsia" w:ascii="微软雅黑" w:hAnsi="微软雅黑" w:eastAsia="微软雅黑" w:cs="微软雅黑"/>
                <w:color w:val="auto"/>
                <w:sz w:val="21"/>
                <w:szCs w:val="21"/>
                <w:highlight w:val="none"/>
                <w:lang w:bidi="ar"/>
              </w:rPr>
              <w:t xml:space="preserve">分；针对性不强得</w:t>
            </w:r>
            <w:r>
              <w:rPr>
                <w:rFonts w:hint="eastAsia" w:ascii="微软雅黑" w:hAnsi="微软雅黑" w:eastAsia="微软雅黑" w:cs="微软雅黑"/>
                <w:color w:val="auto"/>
                <w:sz w:val="21"/>
                <w:szCs w:val="21"/>
                <w:highlight w:val="none"/>
                <w:lang w:val="en-US" w:eastAsia="zh-CN" w:bidi="ar"/>
              </w:rPr>
              <w:t xml:space="preserve">0</w:t>
            </w:r>
            <w:r>
              <w:rPr>
                <w:rFonts w:hint="eastAsia" w:ascii="微软雅黑" w:hAnsi="微软雅黑" w:eastAsia="微软雅黑" w:cs="微软雅黑"/>
                <w:color w:val="auto"/>
                <w:sz w:val="21"/>
                <w:szCs w:val="21"/>
                <w:highlight w:val="none"/>
                <w:lang w:bidi="ar"/>
              </w:rPr>
              <w:t xml:space="preserve">分。</w:t>
            </w:r>
            <w:r>
              <w:rPr>
                <w:highlight w:val="none"/>
              </w:rPr>
            </w:r>
            <w:r>
              <w:rPr>
                <w:highlight w:val="none"/>
              </w:rPr>
            </w:r>
          </w:p>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免费维保期结束后，项目整体（包含本项目涉及的所有软件系统、硬件设备和配件）维护费用为本次投标总价5%（含）以下的得</w:t>
            </w:r>
            <w:r>
              <w:rPr>
                <w:rFonts w:hint="eastAsia" w:ascii="微软雅黑" w:hAnsi="微软雅黑" w:eastAsia="微软雅黑" w:cs="微软雅黑"/>
                <w:color w:val="auto"/>
                <w:sz w:val="21"/>
                <w:szCs w:val="21"/>
                <w:highlight w:val="none"/>
                <w:lang w:val="en-US" w:eastAsia="zh-CN" w:bidi="ar"/>
              </w:rPr>
              <w:t xml:space="preserve">1</w:t>
            </w:r>
            <w:r>
              <w:rPr>
                <w:rFonts w:hint="eastAsia" w:ascii="微软雅黑" w:hAnsi="微软雅黑" w:eastAsia="微软雅黑" w:cs="微软雅黑"/>
                <w:color w:val="auto"/>
                <w:sz w:val="21"/>
                <w:szCs w:val="21"/>
                <w:highlight w:val="none"/>
                <w:lang w:bidi="ar"/>
              </w:rPr>
              <w:t xml:space="preserve">分，</w:t>
            </w:r>
            <w:r>
              <w:rPr>
                <w:rFonts w:hint="eastAsia" w:ascii="微软雅黑" w:hAnsi="微软雅黑" w:eastAsia="微软雅黑" w:cs="微软雅黑"/>
                <w:color w:val="auto"/>
                <w:sz w:val="21"/>
                <w:szCs w:val="21"/>
                <w:highlight w:val="none"/>
                <w:lang w:val="en-US" w:eastAsia="zh-CN" w:bidi="ar"/>
              </w:rPr>
              <w:t xml:space="preserve">5</w:t>
            </w:r>
            <w:r>
              <w:rPr>
                <w:rFonts w:hint="eastAsia" w:ascii="微软雅黑" w:hAnsi="微软雅黑" w:eastAsia="微软雅黑" w:cs="微软雅黑"/>
                <w:color w:val="auto"/>
                <w:sz w:val="21"/>
                <w:szCs w:val="21"/>
                <w:highlight w:val="none"/>
                <w:lang w:bidi="ar"/>
              </w:rPr>
              <w:t xml:space="preserve">%（不含）以上的不得分。未提供质保期满后每年维保报价的不得分</w:t>
            </w:r>
            <w:r>
              <w:rPr>
                <w:rFonts w:hint="eastAsia" w:ascii="微软雅黑" w:hAnsi="微软雅黑" w:eastAsia="微软雅黑" w:cs="微软雅黑"/>
                <w:color w:val="auto"/>
                <w:sz w:val="21"/>
                <w:szCs w:val="21"/>
                <w:highlight w:val="none"/>
              </w:rPr>
              <w:t xml:space="preserve">。</w:t>
            </w:r>
            <w:r>
              <w:rPr>
                <w:highlight w:val="none"/>
              </w:rPr>
            </w:r>
            <w:r>
              <w:rPr>
                <w:highlight w:val="none"/>
              </w:rPr>
            </w:r>
          </w:p>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val="en-US" w:eastAsia="zh-CN" w:bidi="ar"/>
              </w:rPr>
              <w:t xml:space="preserve">以上</w:t>
            </w:r>
            <w:r>
              <w:rPr>
                <w:rFonts w:hint="eastAsia" w:ascii="微软雅黑" w:hAnsi="微软雅黑" w:eastAsia="微软雅黑" w:cs="微软雅黑"/>
                <w:color w:val="auto"/>
                <w:sz w:val="21"/>
                <w:szCs w:val="21"/>
                <w:highlight w:val="none"/>
                <w:lang w:bidi="ar"/>
              </w:rPr>
              <w:t xml:space="preserve">未提供不得分。</w:t>
            </w:r>
            <w:r>
              <w:rPr>
                <w:highlight w:val="none"/>
              </w:rPr>
            </w:r>
            <w:r>
              <w:rPr>
                <w:highlight w:val="none"/>
              </w:rPr>
            </w:r>
          </w:p>
        </w:tc>
      </w:tr>
      <w:tr>
        <w:trPr>
          <w:jc w:val="center"/>
          <w:trHeight w:val="733"/>
        </w:trPr>
        <w:tc>
          <w:tcPr>
            <w:tcW w:w="1504" w:type="dxa"/>
            <w:vAlign w:val="center"/>
            <w:textDirection w:val="lrTb"/>
            <w:noWrap w:val="false"/>
          </w:tcPr>
          <w:p>
            <w:pPr>
              <w:jc w:val="center"/>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系统演示（15）</w:t>
            </w:r>
            <w:r>
              <w:rPr>
                <w:highlight w:val="none"/>
              </w:rPr>
            </w:r>
            <w:r>
              <w:rPr>
                <w:highlight w:val="none"/>
              </w:rPr>
            </w:r>
          </w:p>
        </w:tc>
        <w:tc>
          <w:tcPr>
            <w:tcW w:w="7442" w:type="dxa"/>
            <w:vAlign w:val="center"/>
            <w:textDirection w:val="lrTb"/>
            <w:noWrap w:val="false"/>
          </w:tcPr>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投标现场功能演示，投标人演示的总时长(含现场评委质询时间)须控制在15分钟以内，演示内容需包含以下内容：</w:t>
            </w:r>
            <w:r>
              <w:rPr>
                <w:highlight w:val="none"/>
              </w:rPr>
            </w:r>
            <w:r>
              <w:rPr>
                <w:highlight w:val="none"/>
              </w:rPr>
            </w:r>
          </w:p>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演示1：支持肝癌初筛规则配置，系统须内置初始AI肝癌初筛规则，基于患者院内诊疗数据进行智能分析，筛查依据包括：①ICD-10诊断编码含C22.x；②肿瘤标志物（AFP≥400ng/mL或AFP+AFP-L3+DCP异常）；③影像报告提示肝脏占位/肝脏肿瘤；④病理报告提示肝细胞癌/胆管细胞癌。初筛规则支持自定义配置，用户后期可根据实际临床要求，自行调整。支持将初筛结果分为三类：确诊肝癌、疑似肝癌（待复核）、排除非肝癌，每类结果须附带判断依据。</w:t>
            </w:r>
            <w:r>
              <w:rPr>
                <w:highlight w:val="none"/>
              </w:rPr>
            </w:r>
            <w:r>
              <w:rPr>
                <w:highlight w:val="none"/>
              </w:rPr>
            </w:r>
          </w:p>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演示2：系统支持基于规则的管控准入判断：①初诊初治ⅠA期患者纳入管控；②Ⅳ期患者直接排除；③已有MDT管控历史患者不重复纳入；④ⅠB期及以上患者纳入管控。管控准入规则引擎支持可视化配置和动态调整，用户后期可根据实际临床要求，自行调整。</w:t>
            </w:r>
            <w:r>
              <w:rPr>
                <w:highlight w:val="none"/>
              </w:rPr>
            </w:r>
            <w:r>
              <w:rPr>
                <w:highlight w:val="none"/>
              </w:rPr>
            </w:r>
          </w:p>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演示3：系统支持核心医嘱范围配置，系统需内置核心医嘱管控类型（靶向药、免疫治疗、消融、介入、手术切除、放射治疗）。支持对管控医嘱配置管控规则，如是否允许豁免，MDT会诊结果确认前是否拦截等。管控的核心治疗医嘱类型须在管理端支持动态配置，可新增、删除、修改管控医嘱项目，用户后期可根据实际临床要求，自行调整。</w:t>
            </w:r>
            <w:r>
              <w:rPr>
                <w:highlight w:val="none"/>
              </w:rPr>
            </w:r>
            <w:r>
              <w:rPr>
                <w:highlight w:val="none"/>
              </w:rPr>
            </w:r>
          </w:p>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演示4：系统支持管控豁免申请、审核、执行机制，对于进入到管控流程的患者，如果患者不同意进行MDT规范化诊疗管理流程，可通过手机端进行管控豁免申请，患者签署知情拒绝书后申请解除管控，须上传知情拒绝书附件，提交后，由系统管理员进行审批，审批通过后，该患者可解除管控，进入正常诊疗流程。豁免申请支持患者本人填写及患者家属进行填写。支持患者选择豁免类型并填写豁免理由。患者需线下签署知情拒绝书，并在豁免申请时拍照上传。支持患者在手机端查看豁免申请审核流程。</w:t>
            </w:r>
            <w:r>
              <w:rPr>
                <w:highlight w:val="none"/>
              </w:rPr>
            </w:r>
            <w:r>
              <w:rPr>
                <w:highlight w:val="none"/>
              </w:rPr>
            </w:r>
          </w:p>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演示5：系统支持MDT专业组设置，支持会诊专业组的新增、停用等设置。会诊专业组支持设置必须参与或者选择参与选项。</w:t>
            </w:r>
            <w:r>
              <w:rPr>
                <w:highlight w:val="none"/>
              </w:rPr>
            </w:r>
            <w:r>
              <w:rPr>
                <w:highlight w:val="none"/>
              </w:rPr>
            </w:r>
          </w:p>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演示6：系统支持会诊申请，MDT秘书发起MDT会诊申请，会诊申请单需包含患者基础信息，会诊目的与病情摘要、参与学科组、患者基础病情信息、资料上传等内容，满足会诊工作的开展。</w:t>
            </w:r>
            <w:r>
              <w:rPr>
                <w:highlight w:val="none"/>
              </w:rPr>
            </w:r>
            <w:r>
              <w:rPr>
                <w:highlight w:val="none"/>
              </w:rPr>
            </w:r>
          </w:p>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演示7：系统支持会诊资料自动汇总，须自动从LIS、PACS、EMR、病理等业务系统获取患者的诊疗数据，按时间倒序展示，异常值高亮标识。</w:t>
            </w:r>
            <w:r>
              <w:rPr>
                <w:highlight w:val="none"/>
              </w:rPr>
            </w:r>
            <w:r>
              <w:rPr>
                <w:highlight w:val="none"/>
              </w:rPr>
            </w:r>
          </w:p>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演示8：系统支持会诊流程时间轴展示 ，系统须以时间轴形式可视化展示会诊全流程节点（申请→资料汇总→人员确认→会诊执行→报告生成→意见执行→双周复核），每节点显示状态和完成时间。</w:t>
            </w:r>
            <w:r>
              <w:rPr>
                <w:highlight w:val="none"/>
              </w:rPr>
            </w:r>
            <w:r>
              <w:rPr>
                <w:highlight w:val="none"/>
              </w:rPr>
            </w:r>
          </w:p>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演示9：系统支持会诊报告模板管理，提供标准化MDT会诊报告模板，包括患者信息、诊断、分期、各专业组意见、综合治疗方案等模块，支持自定义模板。</w:t>
            </w:r>
            <w:r>
              <w:rPr>
                <w:highlight w:val="none"/>
              </w:rPr>
            </w:r>
            <w:r>
              <w:rPr>
                <w:highlight w:val="none"/>
              </w:rPr>
            </w:r>
          </w:p>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演示10：系统支持对接医院现有的360视图系统，整合展示患者全信息视图，包括：基本信息、诊断信息、检验结果、影像报告、病理报告、MDT会诊记录、治疗经过等信息。</w:t>
            </w:r>
            <w:r>
              <w:rPr>
                <w:highlight w:val="none"/>
              </w:rPr>
            </w:r>
            <w:r>
              <w:rPr>
                <w:highlight w:val="none"/>
              </w:rPr>
            </w:r>
          </w:p>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演示11：系统支持以时间轴形式展示患者完整诊疗经过，节点包括入院、检查、MDT会诊、治疗、评估、出院等，节点信息可展开详情。</w:t>
            </w:r>
            <w:r>
              <w:rPr>
                <w:highlight w:val="none"/>
              </w:rPr>
            </w:r>
            <w:r>
              <w:rPr>
                <w:highlight w:val="none"/>
              </w:rPr>
            </w:r>
          </w:p>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演示12：系统支持AI医生助手疑似肝癌分析，调用AI小助手后，系统须自动获取当前门诊患者的诊疗数据（门诊诊断、检验结果、影像报告、既往病史），无需医生手动录入。支持基于患者诊疗数据自动分析是否为疑似肝癌，从肿瘤标志物异常、影像学特征、诊断编码等多维度给出分析依据和判断结果。</w:t>
            </w:r>
            <w:r>
              <w:rPr>
                <w:highlight w:val="none"/>
              </w:rPr>
            </w:r>
            <w:r>
              <w:rPr>
                <w:highlight w:val="none"/>
              </w:rPr>
            </w:r>
          </w:p>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演示13：系统支持患者通过移动端进行院外诊疗资料的上传，支持患者通过手机端上传院外报告资料，资料上传后，系统需进行识别存储至该患者档案中。</w:t>
            </w:r>
            <w:r>
              <w:rPr>
                <w:highlight w:val="none"/>
              </w:rPr>
            </w:r>
            <w:r>
              <w:rPr>
                <w:highlight w:val="none"/>
              </w:rPr>
            </w:r>
          </w:p>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演示14：系统支持自动计算CNLC分期，基于肿瘤特征（大小、数目）+血管侵犯+肝功能+转移情况，展示每一步推理过程，可溯源到具体检查数据。</w:t>
            </w:r>
            <w:r>
              <w:rPr>
                <w:highlight w:val="none"/>
              </w:rPr>
            </w:r>
            <w:r>
              <w:rPr>
                <w:highlight w:val="none"/>
              </w:rPr>
            </w:r>
          </w:p>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演示15：系统支持预警规则配置，支持各类预警触发条件和通知方式的灵活配置。</w:t>
            </w:r>
            <w:r>
              <w:rPr>
                <w:highlight w:val="none"/>
              </w:rPr>
            </w:r>
            <w:r>
              <w:rPr>
                <w:highlight w:val="none"/>
              </w:rPr>
            </w:r>
          </w:p>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评委根据演示内容完整性打分，每缺失一项内容或某项内容未完整展示扣1分，扣完即止；若采用真实系统演示(远程连接)，所得原始分值即为最终得分，若未采用真实系统演示，仅使用视频、截图、PPT等形式演示，则得0分。</w:t>
            </w:r>
            <w:r>
              <w:rPr>
                <w:highlight w:val="none"/>
              </w:rPr>
            </w:r>
            <w:r>
              <w:rPr>
                <w:highlight w:val="none"/>
              </w:rPr>
            </w:r>
          </w:p>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本项最高得15分，最低得0分。</w:t>
            </w:r>
            <w:r>
              <w:rPr>
                <w:highlight w:val="none"/>
              </w:rPr>
            </w:r>
            <w:r>
              <w:rPr>
                <w:highlight w:val="none"/>
              </w:rPr>
            </w:r>
          </w:p>
        </w:tc>
      </w:tr>
      <w:tr>
        <w:trPr>
          <w:jc w:val="center"/>
          <w:trHeight w:val="682"/>
        </w:trPr>
        <w:tc>
          <w:tcPr>
            <w:tcW w:w="1504" w:type="dxa"/>
            <w:vAlign w:val="center"/>
            <w:textDirection w:val="lrTb"/>
            <w:noWrap w:val="false"/>
          </w:tcPr>
          <w:p>
            <w:pPr>
              <w:jc w:val="center"/>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人员配置（</w:t>
            </w:r>
            <w:r>
              <w:rPr>
                <w:rFonts w:hint="eastAsia" w:ascii="微软雅黑" w:hAnsi="微软雅黑" w:eastAsia="微软雅黑" w:cs="微软雅黑"/>
                <w:color w:val="auto"/>
                <w:sz w:val="21"/>
                <w:szCs w:val="21"/>
                <w:highlight w:val="none"/>
                <w:lang w:val="en-US" w:eastAsia="zh-CN"/>
              </w:rPr>
              <w:t xml:space="preserve">8</w:t>
            </w:r>
            <w:r>
              <w:rPr>
                <w:rFonts w:hint="eastAsia" w:ascii="微软雅黑" w:hAnsi="微软雅黑" w:eastAsia="微软雅黑" w:cs="微软雅黑"/>
                <w:color w:val="auto"/>
                <w:sz w:val="21"/>
                <w:szCs w:val="21"/>
                <w:highlight w:val="none"/>
              </w:rPr>
              <w:t xml:space="preserve">分）</w:t>
            </w:r>
            <w:r>
              <w:rPr>
                <w:highlight w:val="none"/>
              </w:rPr>
            </w:r>
            <w:r>
              <w:rPr>
                <w:highlight w:val="none"/>
              </w:rPr>
            </w:r>
          </w:p>
        </w:tc>
        <w:tc>
          <w:tcPr>
            <w:tcW w:w="7442" w:type="dxa"/>
            <w:vAlign w:val="center"/>
            <w:textDirection w:val="lrTb"/>
            <w:noWrap w:val="false"/>
          </w:tcPr>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投标人拟投入的项目经理、技术负责人均为自有人员（投标文件中提供投标人开标时间前六个月内任意1个月的社保证明材料），且符合下述条件：</w:t>
            </w:r>
            <w:r>
              <w:rPr>
                <w:highlight w:val="none"/>
              </w:rPr>
            </w:r>
            <w:r>
              <w:rPr>
                <w:highlight w:val="none"/>
              </w:rPr>
            </w:r>
          </w:p>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1、投标人拟派项目经理1名，具有高级工程师、高级信息系统项目管理师、注册信息安全专业人员、IT服务项目经理证书的。每提供一个证书扫描件得1分，不提供不得分，本项最高得4分，最低0分。</w:t>
            </w:r>
            <w:r>
              <w:rPr>
                <w:highlight w:val="none"/>
              </w:rPr>
            </w:r>
            <w:r>
              <w:rPr>
                <w:highlight w:val="none"/>
              </w:rPr>
            </w:r>
          </w:p>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2、投标人拟派技术负责人1名，具有高级软件工程师、高级系统架构设计师、高级系统规划与管理师、信息安全保障人员认证证书的。每提供一个证书扫描件的得1分，不提供不得分，本项最高得4分，最低0分。</w:t>
            </w:r>
            <w:r>
              <w:rPr>
                <w:highlight w:val="none"/>
              </w:rPr>
            </w:r>
            <w:r>
              <w:rPr>
                <w:highlight w:val="none"/>
              </w:rPr>
            </w:r>
          </w:p>
        </w:tc>
      </w:tr>
      <w:tr>
        <w:trPr>
          <w:jc w:val="center"/>
          <w:trHeight w:val="1760"/>
        </w:trPr>
        <w:tc>
          <w:tcPr>
            <w:tcW w:w="1504" w:type="dxa"/>
            <w:vAlign w:val="center"/>
            <w:textDirection w:val="lrTb"/>
            <w:noWrap w:val="false"/>
          </w:tcPr>
          <w:p>
            <w:pPr>
              <w:jc w:val="center"/>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val="en-US" w:eastAsia="zh-CN"/>
              </w:rPr>
              <w:t xml:space="preserve">资质</w:t>
            </w:r>
            <w:r>
              <w:rPr>
                <w:rFonts w:hint="eastAsia" w:ascii="微软雅黑" w:hAnsi="微软雅黑" w:eastAsia="微软雅黑" w:cs="微软雅黑"/>
                <w:color w:val="auto"/>
                <w:sz w:val="21"/>
                <w:szCs w:val="21"/>
                <w:highlight w:val="none"/>
              </w:rPr>
              <w:t xml:space="preserve">评价（</w:t>
            </w:r>
            <w:r>
              <w:rPr>
                <w:rFonts w:hint="eastAsia" w:ascii="微软雅黑" w:hAnsi="微软雅黑" w:cs="微软雅黑"/>
                <w:color w:val="auto"/>
                <w:sz w:val="21"/>
                <w:szCs w:val="21"/>
                <w:highlight w:val="none"/>
                <w:lang w:val="en-US" w:eastAsia="zh-CN"/>
              </w:rPr>
              <w:t xml:space="preserve">8</w:t>
            </w:r>
            <w:r>
              <w:rPr>
                <w:rFonts w:hint="eastAsia" w:ascii="微软雅黑" w:hAnsi="微软雅黑" w:eastAsia="微软雅黑" w:cs="微软雅黑"/>
                <w:color w:val="auto"/>
                <w:sz w:val="21"/>
                <w:szCs w:val="21"/>
                <w:highlight w:val="none"/>
              </w:rPr>
              <w:t xml:space="preserve">分）</w:t>
            </w:r>
            <w:r>
              <w:rPr>
                <w:highlight w:val="none"/>
              </w:rPr>
            </w:r>
            <w:r>
              <w:rPr>
                <w:highlight w:val="none"/>
              </w:rPr>
            </w:r>
          </w:p>
        </w:tc>
        <w:tc>
          <w:tcPr>
            <w:tcW w:w="7442" w:type="dxa"/>
            <w:vAlign w:val="center"/>
            <w:textDirection w:val="lrTb"/>
            <w:noWrap w:val="false"/>
          </w:tcPr>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1、投标人持有有效期内信息系统建设和服务能力等级证书，取得CS5杰出级得2分，取得 CS4 优秀级得1分，持有其他等级证书或未提供证书本项不得分。（须提供证书清晰扫描件并加单位公章，否则不得分）；</w:t>
            </w:r>
            <w:r>
              <w:rPr>
                <w:highlight w:val="none"/>
              </w:rPr>
            </w:r>
            <w:r>
              <w:rPr>
                <w:highlight w:val="none"/>
              </w:rPr>
            </w:r>
          </w:p>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bidi="ar"/>
              </w:rPr>
              <w:t xml:space="preserve">2、投标人持有有效期内 CMMI（软件成熟度模型）认证证书，CMMI5 级得2分；CMMI4 级得 </w:t>
            </w:r>
            <w:r>
              <w:rPr>
                <w:rFonts w:hint="eastAsia" w:ascii="微软雅黑" w:hAnsi="微软雅黑" w:cs="微软雅黑"/>
                <w:color w:val="auto"/>
                <w:sz w:val="21"/>
                <w:szCs w:val="21"/>
                <w:highlight w:val="none"/>
                <w:lang w:val="en-US" w:eastAsia="zh-CN" w:bidi="ar"/>
              </w:rPr>
              <w:t xml:space="preserve">2</w:t>
            </w:r>
            <w:r>
              <w:rPr>
                <w:rFonts w:hint="eastAsia" w:ascii="微软雅黑" w:hAnsi="微软雅黑" w:eastAsia="微软雅黑" w:cs="微软雅黑"/>
                <w:color w:val="auto"/>
                <w:sz w:val="21"/>
                <w:szCs w:val="21"/>
                <w:highlight w:val="none"/>
                <w:lang w:bidi="ar"/>
              </w:rPr>
              <w:t xml:space="preserve"> 分；持有其他等级证书或未提供证书本项不得分。（须提供证书清晰扫描件并加盖单位章，否则不得分）；</w:t>
            </w:r>
            <w:r>
              <w:rPr>
                <w:highlight w:val="none"/>
              </w:rPr>
            </w:r>
            <w:r>
              <w:rPr>
                <w:highlight w:val="none"/>
              </w:rPr>
            </w:r>
          </w:p>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cs="微软雅黑"/>
                <w:color w:val="auto"/>
                <w:sz w:val="21"/>
                <w:szCs w:val="21"/>
                <w:highlight w:val="none"/>
                <w:lang w:val="en-US" w:eastAsia="zh-CN" w:bidi="ar"/>
              </w:rPr>
              <w:t xml:space="preserve">3</w:t>
            </w:r>
            <w:r>
              <w:rPr>
                <w:rFonts w:hint="eastAsia" w:ascii="微软雅黑" w:hAnsi="微软雅黑" w:eastAsia="微软雅黑" w:cs="微软雅黑"/>
                <w:color w:val="auto"/>
                <w:sz w:val="21"/>
                <w:szCs w:val="21"/>
                <w:highlight w:val="none"/>
                <w:lang w:bidi="ar"/>
              </w:rPr>
              <w:t xml:space="preserve">、投标人持有有效期内 ISO27001 信息安全管理体系认证证书（认证业务范围需覆盖计算机信息系统集成及运维）得2分，未提供的不得分。(须提供证书清晰扫描件并加盖单位公章，否则不得分）；</w:t>
            </w:r>
            <w:r>
              <w:rPr>
                <w:highlight w:val="none"/>
              </w:rPr>
            </w:r>
            <w:r>
              <w:rPr>
                <w:highlight w:val="none"/>
              </w:rPr>
            </w:r>
          </w:p>
          <w:p>
            <w:pPr>
              <w:tabs>
                <w:tab w:val="left" w:pos="0" w:leader="none"/>
              </w:tabs>
              <w:rPr>
                <w:rFonts w:hint="eastAsia" w:ascii="微软雅黑" w:hAnsi="微软雅黑" w:eastAsia="微软雅黑" w:cs="微软雅黑"/>
                <w:color w:val="auto"/>
                <w:sz w:val="21"/>
                <w:szCs w:val="21"/>
                <w:highlight w:val="none"/>
              </w:rPr>
            </w:pPr>
            <w:r>
              <w:rPr>
                <w:rFonts w:hint="eastAsia" w:ascii="微软雅黑" w:hAnsi="微软雅黑" w:cs="微软雅黑"/>
                <w:color w:val="auto"/>
                <w:sz w:val="21"/>
                <w:szCs w:val="21"/>
                <w:highlight w:val="none"/>
                <w:lang w:val="en-US" w:eastAsia="zh-CN" w:bidi="ar"/>
              </w:rPr>
              <w:t xml:space="preserve">4</w:t>
            </w:r>
            <w:r>
              <w:rPr>
                <w:rFonts w:hint="eastAsia" w:ascii="微软雅黑" w:hAnsi="微软雅黑" w:eastAsia="微软雅黑" w:cs="微软雅黑"/>
                <w:color w:val="auto"/>
                <w:sz w:val="21"/>
                <w:szCs w:val="21"/>
                <w:highlight w:val="none"/>
                <w:lang w:bidi="ar"/>
              </w:rPr>
              <w:t xml:space="preserve">、投标人持有有效期内 GB/T36733服务质量服务认证证书得 </w:t>
            </w:r>
            <w:r>
              <w:rPr>
                <w:rFonts w:hint="eastAsia" w:ascii="微软雅黑" w:hAnsi="微软雅黑" w:cs="微软雅黑"/>
                <w:color w:val="auto"/>
                <w:sz w:val="21"/>
                <w:szCs w:val="21"/>
                <w:highlight w:val="none"/>
                <w:lang w:val="en-US" w:eastAsia="zh-CN" w:bidi="ar"/>
              </w:rPr>
              <w:t xml:space="preserve">2</w:t>
            </w:r>
            <w:r>
              <w:rPr>
                <w:rFonts w:hint="eastAsia" w:ascii="微软雅黑" w:hAnsi="微软雅黑" w:eastAsia="微软雅黑" w:cs="微软雅黑"/>
                <w:color w:val="auto"/>
                <w:sz w:val="21"/>
                <w:szCs w:val="21"/>
                <w:highlight w:val="none"/>
                <w:lang w:bidi="ar"/>
              </w:rPr>
              <w:t xml:space="preserve">分，未提供的不得分。（须提供证书清晰扫描件并加盖单位公章，否则不得分）；</w:t>
            </w:r>
            <w:r>
              <w:rPr>
                <w:highlight w:val="none"/>
              </w:rPr>
            </w:r>
            <w:r>
              <w:rPr>
                <w:highlight w:val="none"/>
              </w:rPr>
            </w:r>
          </w:p>
        </w:tc>
      </w:tr>
      <w:tr>
        <w:trPr>
          <w:jc w:val="center"/>
          <w:trHeight w:val="1383"/>
        </w:trPr>
        <w:tc>
          <w:tcPr>
            <w:tcW w:w="1504" w:type="dxa"/>
            <w:vAlign w:val="center"/>
            <w:textDirection w:val="lrTb"/>
            <w:noWrap w:val="false"/>
          </w:tcPr>
          <w:p>
            <w:pPr>
              <w:jc w:val="center"/>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投标人业绩（</w:t>
            </w:r>
            <w:r>
              <w:rPr>
                <w:rFonts w:hint="eastAsia" w:ascii="微软雅黑" w:hAnsi="微软雅黑" w:cs="微软雅黑"/>
                <w:color w:val="auto"/>
                <w:sz w:val="21"/>
                <w:szCs w:val="21"/>
                <w:highlight w:val="none"/>
                <w:lang w:val="en-US" w:eastAsia="zh-CN"/>
              </w:rPr>
              <w:t xml:space="preserve">3</w:t>
            </w:r>
            <w:r>
              <w:rPr>
                <w:rFonts w:hint="eastAsia" w:ascii="微软雅黑" w:hAnsi="微软雅黑" w:eastAsia="微软雅黑" w:cs="微软雅黑"/>
                <w:color w:val="auto"/>
                <w:sz w:val="21"/>
                <w:szCs w:val="21"/>
                <w:highlight w:val="none"/>
              </w:rPr>
              <w:t xml:space="preserve">分）</w:t>
            </w:r>
            <w:r>
              <w:rPr>
                <w:highlight w:val="none"/>
              </w:rPr>
            </w:r>
            <w:r>
              <w:rPr>
                <w:highlight w:val="none"/>
              </w:rPr>
            </w:r>
          </w:p>
        </w:tc>
        <w:tc>
          <w:tcPr>
            <w:tcW w:w="7442" w:type="dxa"/>
            <w:vAlign w:val="center"/>
            <w:textDirection w:val="lrTb"/>
            <w:noWrap w:val="false"/>
          </w:tcPr>
          <w:p>
            <w:pPr>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投标文件中提供投标人为卖方(乙方)，合同签订日期在2023年1月1日之后，合同内容与本项目相同或相似的合同扫描件，</w:t>
            </w:r>
            <w:r>
              <w:rPr>
                <w:rFonts w:hint="eastAsia" w:ascii="微软雅黑" w:hAnsi="微软雅黑" w:eastAsia="微软雅黑" w:cs="微软雅黑"/>
                <w:color w:val="auto"/>
                <w:sz w:val="21"/>
                <w:szCs w:val="21"/>
                <w:highlight w:val="none"/>
                <w:lang w:val="en-US" w:eastAsia="zh-CN"/>
              </w:rPr>
              <w:t xml:space="preserve">需包含“合理诊疗”或“MDT”等关键字，</w:t>
            </w:r>
            <w:r>
              <w:rPr>
                <w:rFonts w:hint="eastAsia" w:ascii="微软雅黑" w:hAnsi="微软雅黑" w:eastAsia="微软雅黑" w:cs="微软雅黑"/>
                <w:color w:val="auto"/>
                <w:sz w:val="21"/>
                <w:szCs w:val="21"/>
                <w:highlight w:val="none"/>
              </w:rPr>
              <w:t xml:space="preserve">每提供一份得1分。</w:t>
            </w:r>
            <w:r>
              <w:rPr>
                <w:highlight w:val="none"/>
              </w:rPr>
            </w:r>
            <w:r>
              <w:rPr>
                <w:highlight w:val="none"/>
              </w:rPr>
            </w:r>
          </w:p>
          <w:p>
            <w:pPr>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本项最高得</w:t>
            </w:r>
            <w:r>
              <w:rPr>
                <w:rFonts w:hint="eastAsia" w:ascii="微软雅黑" w:hAnsi="微软雅黑" w:cs="微软雅黑"/>
                <w:color w:val="auto"/>
                <w:sz w:val="21"/>
                <w:szCs w:val="21"/>
                <w:highlight w:val="none"/>
                <w:lang w:val="en-US" w:eastAsia="zh-CN"/>
              </w:rPr>
              <w:t xml:space="preserve">3</w:t>
            </w:r>
            <w:r>
              <w:rPr>
                <w:rFonts w:hint="eastAsia" w:ascii="微软雅黑" w:hAnsi="微软雅黑" w:eastAsia="微软雅黑" w:cs="微软雅黑"/>
                <w:color w:val="auto"/>
                <w:sz w:val="21"/>
                <w:szCs w:val="21"/>
                <w:highlight w:val="none"/>
              </w:rPr>
              <w:t xml:space="preserve">分,最低得0分。</w:t>
            </w:r>
            <w:r>
              <w:rPr>
                <w:highlight w:val="none"/>
              </w:rPr>
            </w:r>
            <w:r>
              <w:rPr>
                <w:highlight w:val="none"/>
              </w:rPr>
            </w:r>
          </w:p>
        </w:tc>
      </w:tr>
    </w:tbl>
    <w:p>
      <w:pPr>
        <w:pStyle w:val="1278"/>
        <w:rPr>
          <w:rFonts w:hint="eastAsia"/>
          <w:color w:val="auto"/>
          <w:highlight w:val="none"/>
        </w:rPr>
      </w:pPr>
      <w:r>
        <w:rPr>
          <w:rFonts w:hint="eastAsia"/>
          <w:color w:val="auto"/>
          <w:highlight w:val="none"/>
          <w:lang w:val="en-US" w:eastAsia="zh-CN"/>
        </w:rPr>
      </w:r>
      <w:bookmarkEnd w:id="229"/>
      <w:r>
        <w:rPr>
          <w:highlight w:val="none"/>
        </w:rPr>
      </w:r>
      <w:r>
        <w:rPr>
          <w:highlight w:val="none"/>
        </w:rPr>
      </w:r>
    </w:p>
    <w:p>
      <w:pPr>
        <w:spacing w:line="420" w:lineRule="exact"/>
        <w:rPr>
          <w:rFonts w:hint="eastAsia" w:ascii="微软雅黑" w:hAnsi="微软雅黑" w:cs="微软雅黑"/>
          <w:b/>
          <w:color w:val="auto"/>
          <w:sz w:val="24"/>
          <w:szCs w:val="24"/>
          <w:highlight w:val="none"/>
        </w:rPr>
      </w:pPr>
      <w:r>
        <w:rPr>
          <w:rFonts w:hint="eastAsia" w:ascii="微软雅黑" w:hAnsi="微软雅黑" w:cs="微软雅黑"/>
          <w:b/>
          <w:color w:val="auto"/>
          <w:sz w:val="24"/>
          <w:szCs w:val="24"/>
          <w:highlight w:val="none"/>
        </w:rPr>
        <w:t xml:space="preserve">备注：</w:t>
      </w:r>
      <w:r>
        <w:rPr>
          <w:highlight w:val="none"/>
        </w:rPr>
      </w:r>
      <w:r>
        <w:rPr>
          <w:highlight w:val="none"/>
        </w:rPr>
      </w:r>
    </w:p>
    <w:p>
      <w:pPr>
        <w:spacing w:line="40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一、政府采购政策功能落</w:t>
      </w:r>
      <w:r>
        <w:rPr>
          <w:highlight w:val="none"/>
        </w:rPr>
      </w:r>
      <w:r>
        <w:rPr>
          <w:highlight w:val="none"/>
        </w:rPr>
      </w:r>
    </w:p>
    <w:p>
      <w:pPr>
        <w:ind w:firstLine="420"/>
        <w:spacing w:line="40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1.小微型企业价格扣除</w:t>
      </w:r>
      <w:r>
        <w:rPr>
          <w:highlight w:val="none"/>
        </w:rPr>
      </w:r>
      <w:r>
        <w:rPr>
          <w:highlight w:val="none"/>
        </w:rPr>
      </w:r>
    </w:p>
    <w:p>
      <w:pPr>
        <w:numPr>
          <w:ilvl w:val="0"/>
          <w:numId w:val="5"/>
        </w:num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本项目对小型和微型企业产品给予10%的扣除价格，用扣除后的价格参与评审。</w:t>
      </w:r>
      <w:r>
        <w:rPr>
          <w:highlight w:val="none"/>
        </w:rPr>
      </w:r>
      <w:r>
        <w:rPr>
          <w:highlight w:val="none"/>
        </w:rPr>
      </w:r>
    </w:p>
    <w:p>
      <w:pPr>
        <w:numPr>
          <w:ilvl w:val="0"/>
          <w:numId w:val="5"/>
        </w:num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供应商需按照采购文件的要求提供相应的《企业声明函》。</w:t>
      </w:r>
      <w:r>
        <w:rPr>
          <w:highlight w:val="none"/>
        </w:rPr>
      </w:r>
      <w:r>
        <w:rPr>
          <w:highlight w:val="none"/>
        </w:rPr>
      </w:r>
    </w:p>
    <w:p>
      <w:pPr>
        <w:numPr>
          <w:ilvl w:val="0"/>
          <w:numId w:val="5"/>
        </w:num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企业标准请参照《关于印发中小企业划型标准规定的通知》（工信部联企业[2011]300号）文件规定自行填写。</w:t>
      </w:r>
      <w:r>
        <w:rPr>
          <w:highlight w:val="none"/>
        </w:rPr>
      </w:r>
      <w:r>
        <w:rPr>
          <w:highlight w:val="none"/>
        </w:rP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b/>
          <w:bCs/>
          <w:color w:val="auto"/>
          <w:szCs w:val="21"/>
          <w:highlight w:val="none"/>
        </w:rPr>
        <w:t xml:space="preserve">2.残疾人福利单位价格扣除</w:t>
      </w:r>
      <w:r>
        <w:rPr>
          <w:highlight w:val="none"/>
        </w:rPr>
      </w:r>
      <w:r>
        <w:rPr>
          <w:highlight w:val="none"/>
        </w:rPr>
      </w:r>
    </w:p>
    <w:p>
      <w:pPr>
        <w:numPr>
          <w:ilvl w:val="0"/>
          <w:numId w:val="0"/>
        </w:numPr>
        <w:ind w:left="425" w:hanging="425"/>
        <w:spacing w:line="400" w:lineRule="exact"/>
        <w:rPr>
          <w:rFonts w:hint="eastAsia" w:ascii="微软雅黑" w:hAnsi="微软雅黑" w:cs="微软雅黑"/>
          <w:color w:val="auto"/>
          <w:szCs w:val="21"/>
          <w:highlight w:val="none"/>
        </w:rPr>
      </w:pPr>
      <w:r>
        <w:rPr>
          <w:rFonts w:hint="eastAsia" w:ascii="微软雅黑" w:hAnsi="微软雅黑" w:eastAsia="微软雅黑" w:cs="微软雅黑"/>
          <w:color w:val="auto"/>
          <w:sz w:val="21"/>
          <w:szCs w:val="21"/>
          <w:highlight w:val="none"/>
          <w:lang w:val="en-US" w:eastAsia="zh-CN" w:bidi="ar-SA"/>
        </w:rPr>
        <w:t xml:space="preserve">(1)</w:t>
      </w:r>
      <w:r>
        <w:rPr>
          <w:rFonts w:hint="eastAsia" w:ascii="微软雅黑" w:hAnsi="微软雅黑" w:cs="微软雅黑"/>
          <w:color w:val="auto"/>
          <w:szCs w:val="21"/>
          <w:highlight w:val="none"/>
        </w:rPr>
        <w:t xml:space="preserve">本项目对残疾人福利性单位给予10%的价格扣除，用扣除后的价格参与评审。</w:t>
      </w:r>
      <w:r>
        <w:rPr>
          <w:highlight w:val="none"/>
        </w:rPr>
      </w:r>
      <w:r>
        <w:rPr>
          <w:highlight w:val="none"/>
        </w:rPr>
      </w:r>
    </w:p>
    <w:p>
      <w:pPr>
        <w:numPr>
          <w:ilvl w:val="0"/>
          <w:numId w:val="0"/>
        </w:numPr>
        <w:ind w:left="425" w:hanging="425"/>
        <w:spacing w:line="400" w:lineRule="exact"/>
        <w:rPr>
          <w:rFonts w:hint="eastAsia" w:ascii="微软雅黑" w:hAnsi="微软雅黑" w:cs="微软雅黑"/>
          <w:color w:val="auto"/>
          <w:szCs w:val="21"/>
          <w:highlight w:val="none"/>
        </w:rPr>
      </w:pPr>
      <w:r>
        <w:rPr>
          <w:rFonts w:hint="eastAsia" w:ascii="微软雅黑" w:hAnsi="微软雅黑" w:eastAsia="微软雅黑" w:cs="微软雅黑"/>
          <w:color w:val="auto"/>
          <w:sz w:val="21"/>
          <w:szCs w:val="21"/>
          <w:highlight w:val="none"/>
          <w:lang w:val="en-US" w:eastAsia="zh-CN" w:bidi="ar-SA"/>
        </w:rPr>
        <w:t xml:space="preserve">(2)</w:t>
      </w:r>
      <w:r>
        <w:rPr>
          <w:rFonts w:hint="eastAsia" w:ascii="微软雅黑" w:hAnsi="微软雅黑" w:cs="微软雅黑"/>
          <w:color w:val="auto"/>
          <w:szCs w:val="21"/>
          <w:highlight w:val="none"/>
        </w:rPr>
        <w:t xml:space="preserve">残疾人福利单位需按照采购文件的要求提供《残疾人福利性单位声明函》。</w:t>
      </w:r>
      <w:r>
        <w:rPr>
          <w:highlight w:val="none"/>
        </w:rPr>
      </w:r>
      <w:r>
        <w:rPr>
          <w:highlight w:val="none"/>
        </w:rPr>
      </w:r>
    </w:p>
    <w:p>
      <w:pPr>
        <w:numPr>
          <w:ilvl w:val="0"/>
          <w:numId w:val="0"/>
        </w:numPr>
        <w:ind w:left="425" w:hanging="425"/>
        <w:spacing w:line="400" w:lineRule="exact"/>
        <w:rPr>
          <w:rFonts w:hint="eastAsia" w:ascii="微软雅黑" w:hAnsi="微软雅黑" w:cs="微软雅黑"/>
          <w:color w:val="auto"/>
          <w:szCs w:val="21"/>
          <w:highlight w:val="none"/>
        </w:rPr>
      </w:pPr>
      <w:r>
        <w:rPr>
          <w:rFonts w:hint="eastAsia" w:ascii="微软雅黑" w:hAnsi="微软雅黑" w:eastAsia="微软雅黑" w:cs="微软雅黑"/>
          <w:color w:val="auto"/>
          <w:sz w:val="21"/>
          <w:szCs w:val="21"/>
          <w:highlight w:val="none"/>
          <w:lang w:val="en-US" w:eastAsia="zh-CN" w:bidi="ar-SA"/>
        </w:rPr>
        <w:t xml:space="preserve">(3)</w:t>
      </w:r>
      <w:r>
        <w:rPr>
          <w:rFonts w:hint="eastAsia" w:ascii="微软雅黑" w:hAnsi="微软雅黑" w:cs="微软雅黑"/>
          <w:color w:val="auto"/>
          <w:szCs w:val="21"/>
          <w:highlight w:val="none"/>
        </w:rPr>
        <w:t xml:space="preserve">残疾人福利单位标准请参照《关于促进残疾人就业政府采购政策的通知》（财库〔2017〕141号）。</w:t>
      </w:r>
      <w:r>
        <w:rPr>
          <w:highlight w:val="none"/>
        </w:rPr>
      </w:r>
      <w:r>
        <w:rPr>
          <w:highlight w:val="none"/>
        </w:rPr>
      </w:r>
    </w:p>
    <w:p>
      <w:pPr>
        <w:ind w:firstLine="420"/>
        <w:spacing w:line="40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3.监狱和戒毒企业价格扣除</w:t>
      </w:r>
      <w:r>
        <w:rPr>
          <w:highlight w:val="none"/>
        </w:rPr>
      </w:r>
      <w:r>
        <w:rPr>
          <w:highlight w:val="none"/>
        </w:rPr>
      </w:r>
    </w:p>
    <w:p>
      <w:pPr>
        <w:numPr>
          <w:ilvl w:val="0"/>
          <w:numId w:val="0"/>
        </w:numPr>
        <w:ind w:left="425" w:hanging="425"/>
        <w:spacing w:line="400" w:lineRule="exact"/>
        <w:rPr>
          <w:rFonts w:hint="eastAsia" w:ascii="微软雅黑" w:hAnsi="微软雅黑" w:cs="微软雅黑"/>
          <w:color w:val="auto"/>
          <w:szCs w:val="21"/>
          <w:highlight w:val="none"/>
        </w:rPr>
      </w:pPr>
      <w:r>
        <w:rPr>
          <w:rFonts w:hint="eastAsia" w:ascii="微软雅黑" w:hAnsi="微软雅黑" w:eastAsia="微软雅黑" w:cs="微软雅黑"/>
          <w:color w:val="auto"/>
          <w:sz w:val="21"/>
          <w:szCs w:val="21"/>
          <w:highlight w:val="none"/>
          <w:lang w:val="en-US" w:eastAsia="zh-CN" w:bidi="ar-SA"/>
        </w:rPr>
        <w:t xml:space="preserve">(1)</w:t>
      </w:r>
      <w:r>
        <w:rPr>
          <w:rFonts w:hint="eastAsia" w:ascii="微软雅黑" w:hAnsi="微软雅黑" w:cs="微软雅黑"/>
          <w:color w:val="auto"/>
          <w:szCs w:val="21"/>
          <w:highlight w:val="none"/>
        </w:rPr>
        <w:t xml:space="preserve">本项目对监狱和戒毒企业（简称监狱企业）给予10%的价格扣除，用扣除后的价格参与评审。</w:t>
      </w:r>
      <w:r>
        <w:rPr>
          <w:highlight w:val="none"/>
        </w:rPr>
      </w:r>
      <w:r>
        <w:rPr>
          <w:highlight w:val="none"/>
        </w:rPr>
      </w:r>
    </w:p>
    <w:p>
      <w:pPr>
        <w:numPr>
          <w:ilvl w:val="0"/>
          <w:numId w:val="0"/>
        </w:numPr>
        <w:ind w:left="425" w:hanging="425"/>
        <w:spacing w:line="400" w:lineRule="exact"/>
        <w:rPr>
          <w:rFonts w:hint="eastAsia" w:ascii="微软雅黑" w:hAnsi="微软雅黑" w:cs="微软雅黑"/>
          <w:color w:val="auto"/>
          <w:szCs w:val="21"/>
          <w:highlight w:val="none"/>
        </w:rPr>
      </w:pPr>
      <w:r>
        <w:rPr>
          <w:rFonts w:hint="eastAsia" w:ascii="微软雅黑" w:hAnsi="微软雅黑" w:eastAsia="微软雅黑" w:cs="微软雅黑"/>
          <w:color w:val="auto"/>
          <w:sz w:val="21"/>
          <w:szCs w:val="21"/>
          <w:highlight w:val="none"/>
          <w:lang w:val="en-US" w:eastAsia="zh-CN" w:bidi="ar-SA"/>
        </w:rPr>
        <w:t xml:space="preserve">(2)</w:t>
      </w:r>
      <w:r>
        <w:rPr>
          <w:rFonts w:hint="eastAsia" w:ascii="微软雅黑" w:hAnsi="微软雅黑" w:cs="微软雅黑"/>
          <w:color w:val="auto"/>
          <w:szCs w:val="21"/>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rPr>
          <w:highlight w:val="none"/>
        </w:rPr>
      </w:r>
      <w:r>
        <w:rPr>
          <w:highlight w:val="none"/>
        </w:rPr>
      </w:r>
    </w:p>
    <w:p>
      <w:pPr>
        <w:numPr>
          <w:ilvl w:val="0"/>
          <w:numId w:val="0"/>
        </w:numPr>
        <w:ind w:left="425" w:hanging="425"/>
        <w:spacing w:line="400" w:lineRule="exact"/>
        <w:rPr>
          <w:rFonts w:hint="eastAsia" w:ascii="微软雅黑" w:hAnsi="微软雅黑" w:cs="微软雅黑"/>
          <w:color w:val="auto"/>
          <w:szCs w:val="21"/>
          <w:highlight w:val="none"/>
        </w:rPr>
      </w:pPr>
      <w:r>
        <w:rPr>
          <w:rFonts w:hint="eastAsia" w:ascii="微软雅黑" w:hAnsi="微软雅黑" w:eastAsia="微软雅黑" w:cs="微软雅黑"/>
          <w:color w:val="auto"/>
          <w:sz w:val="21"/>
          <w:szCs w:val="21"/>
          <w:highlight w:val="none"/>
          <w:lang w:val="en-US" w:eastAsia="zh-CN" w:bidi="ar-SA"/>
        </w:rPr>
        <w:t xml:space="preserve">(3)</w:t>
      </w:r>
      <w:r>
        <w:rPr>
          <w:rFonts w:hint="eastAsia" w:ascii="微软雅黑" w:hAnsi="微软雅黑" w:cs="微软雅黑"/>
          <w:color w:val="auto"/>
          <w:szCs w:val="21"/>
          <w:highlight w:val="none"/>
        </w:rPr>
        <w:t xml:space="preserve">监狱企业标准请参照《关于政府采购支持监狱企业发展有关问题的通知》（财库[2014]68号）。</w:t>
      </w:r>
      <w:r>
        <w:rPr>
          <w:highlight w:val="none"/>
        </w:rPr>
      </w:r>
      <w:r>
        <w:rPr>
          <w:highlight w:val="none"/>
        </w:rP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b/>
          <w:bCs/>
          <w:color w:val="auto"/>
          <w:szCs w:val="21"/>
          <w:highlight w:val="none"/>
        </w:rPr>
        <w:t xml:space="preserve">4.残疾人福利单位、监狱企业属于小型、微型企业的，不重复享受政策。</w:t>
      </w:r>
      <w:r>
        <w:rPr>
          <w:highlight w:val="none"/>
        </w:rPr>
      </w:r>
      <w:r>
        <w:rPr>
          <w:highlight w:val="none"/>
        </w:rPr>
      </w:r>
    </w:p>
    <w:p>
      <w:pPr>
        <w:ind w:firstLine="420"/>
        <w:spacing w:line="40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lang w:val="en-US" w:eastAsia="zh-CN"/>
        </w:rPr>
        <w:t xml:space="preserve">5.</w:t>
      </w:r>
      <w:r>
        <w:rPr>
          <w:rFonts w:hint="eastAsia" w:ascii="微软雅黑" w:hAnsi="微软雅黑" w:cs="微软雅黑"/>
          <w:b/>
          <w:bCs/>
          <w:color w:val="auto"/>
          <w:szCs w:val="21"/>
          <w:highlight w:val="none"/>
        </w:rPr>
        <w:t xml:space="preserve">本国产品报价折扣证明：</w:t>
      </w:r>
      <w:r>
        <w:rPr>
          <w:highlight w:val="none"/>
        </w:rPr>
      </w:r>
      <w:r>
        <w:rPr>
          <w:highlight w:val="none"/>
        </w:rPr>
      </w:r>
    </w:p>
    <w:p>
      <w:pPr>
        <w:numPr>
          <w:ilvl w:val="0"/>
          <w:numId w:val="0"/>
        </w:numPr>
        <w:ind w:left="425" w:hanging="425"/>
        <w:spacing w:line="400" w:lineRule="exact"/>
        <w:rPr>
          <w:rFonts w:hint="eastAsia" w:ascii="微软雅黑" w:hAnsi="微软雅黑" w:cs="微软雅黑"/>
          <w:color w:val="auto"/>
          <w:szCs w:val="21"/>
          <w:highlight w:val="none"/>
        </w:rPr>
      </w:pPr>
      <w:r>
        <w:rPr>
          <w:rFonts w:hint="eastAsia" w:ascii="微软雅黑" w:hAnsi="微软雅黑" w:eastAsia="微软雅黑" w:cs="微软雅黑"/>
          <w:color w:val="auto"/>
          <w:sz w:val="21"/>
          <w:szCs w:val="21"/>
          <w:highlight w:val="none"/>
          <w:lang w:val="en-US" w:eastAsia="zh-CN" w:bidi="ar-SA"/>
        </w:rPr>
        <w:t xml:space="preserve">(</w:t>
      </w:r>
      <w:r>
        <w:rPr>
          <w:rFonts w:hint="eastAsia" w:ascii="微软雅黑" w:hAnsi="微软雅黑" w:cs="微软雅黑"/>
          <w:color w:val="auto"/>
          <w:sz w:val="21"/>
          <w:szCs w:val="21"/>
          <w:highlight w:val="none"/>
          <w:lang w:val="en-US" w:eastAsia="zh-CN" w:bidi="ar-SA"/>
        </w:rPr>
        <w:t xml:space="preserve">1</w:t>
      </w:r>
      <w:r>
        <w:rPr>
          <w:rFonts w:hint="eastAsia" w:ascii="微软雅黑" w:hAnsi="微软雅黑" w:eastAsia="微软雅黑" w:cs="微软雅黑"/>
          <w:color w:val="auto"/>
          <w:sz w:val="21"/>
          <w:szCs w:val="21"/>
          <w:highlight w:val="none"/>
          <w:lang w:val="en-US" w:eastAsia="zh-CN" w:bidi="ar-SA"/>
        </w:rPr>
        <w:t xml:space="preserve">)</w:t>
      </w:r>
      <w:r>
        <w:rPr>
          <w:rFonts w:hint="eastAsia" w:ascii="微软雅黑" w:hAnsi="微软雅黑" w:cs="微软雅黑"/>
          <w:color w:val="auto"/>
          <w:szCs w:val="21"/>
          <w:highlight w:val="none"/>
        </w:rPr>
        <w:t xml:space="preserve">本国产品报价折扣证明：提供的货物由符合政策要求的本国企业制造，提供《关于符合本国产品标准的声明函》（填写完整，加盖电子签章，格式见招标文件第七章《投标文件相关格式》。如不填写完整或未按要求填写的，视为无效）。出具符合要求的《声明函》或有关证明文件的，该产品视为本国产品。供应商提供虚假《声明函》、虚假证明文件谋取中标、成交的，依照《中华人民共和国政府采购法》等法律法规规定追究相应责任。</w:t>
      </w:r>
      <w:r>
        <w:rPr>
          <w:highlight w:val="none"/>
        </w:rPr>
      </w:r>
      <w:r>
        <w:rPr>
          <w:highlight w:val="none"/>
        </w:rPr>
      </w:r>
    </w:p>
    <w:p>
      <w:pPr>
        <w:numPr>
          <w:ilvl w:val="0"/>
          <w:numId w:val="0"/>
        </w:numPr>
        <w:ind w:left="425" w:hanging="425"/>
        <w:jc w:val="left"/>
        <w:spacing w:line="400" w:lineRule="exact"/>
        <w:rPr>
          <w:rFonts w:hint="eastAsia" w:ascii="微软雅黑" w:hAnsi="微软雅黑" w:cs="微软雅黑"/>
          <w:color w:val="auto"/>
          <w:szCs w:val="21"/>
          <w:highlight w:val="none"/>
        </w:rPr>
      </w:pPr>
      <w:r>
        <w:rPr>
          <w:rFonts w:hint="eastAsia" w:ascii="微软雅黑" w:hAnsi="微软雅黑" w:eastAsia="微软雅黑" w:cs="微软雅黑"/>
          <w:color w:val="auto"/>
          <w:sz w:val="21"/>
          <w:szCs w:val="32"/>
          <w:highlight w:val="none"/>
          <w:lang w:val="en-US" w:eastAsia="zh-CN" w:bidi="ar-SA"/>
        </w:rPr>
        <w:t xml:space="preserve">(</w:t>
      </w:r>
      <w:r>
        <w:rPr>
          <w:rFonts w:hint="eastAsia" w:ascii="微软雅黑" w:hAnsi="微软雅黑" w:cs="微软雅黑"/>
          <w:color w:val="auto"/>
          <w:sz w:val="21"/>
          <w:szCs w:val="32"/>
          <w:highlight w:val="none"/>
          <w:lang w:val="en-US" w:eastAsia="zh-CN" w:bidi="ar-SA"/>
        </w:rPr>
        <w:t xml:space="preserve">2</w:t>
      </w:r>
      <w:r>
        <w:rPr>
          <w:rFonts w:hint="eastAsia" w:ascii="微软雅黑" w:hAnsi="微软雅黑" w:eastAsia="微软雅黑" w:cs="微软雅黑"/>
          <w:color w:val="auto"/>
          <w:sz w:val="21"/>
          <w:szCs w:val="32"/>
          <w:highlight w:val="none"/>
          <w:lang w:val="en-US" w:eastAsia="zh-CN" w:bidi="ar-SA"/>
        </w:rPr>
        <w:t xml:space="preserve">)</w:t>
      </w:r>
      <w:r>
        <w:rPr>
          <w:rFonts w:hint="eastAsia" w:ascii="微软雅黑" w:hAnsi="微软雅黑" w:cs="微软雅黑"/>
          <w:color w:val="auto"/>
          <w:szCs w:val="21"/>
          <w:highlight w:val="none"/>
        </w:rPr>
        <w:t xml:space="preserve">具体以《国务院办公厅关于在政府采购中实施本国产品标准及相关政策的通知》（国办发〔2025〕34号）规定为准。</w:t>
      </w:r>
      <w:r>
        <w:rPr>
          <w:highlight w:val="none"/>
        </w:rPr>
      </w:r>
      <w:r>
        <w:rPr>
          <w:highlight w:val="none"/>
        </w:rPr>
      </w:r>
    </w:p>
    <w:p>
      <w:pPr>
        <w:numPr>
          <w:ilvl w:val="0"/>
          <w:numId w:val="0"/>
        </w:numPr>
        <w:ind w:left="425" w:hanging="425"/>
        <w:jc w:val="cente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p>
      <w:pPr>
        <w:pStyle w:val="1087"/>
        <w:rPr>
          <w:rFonts w:hint="eastAsia" w:ascii="微软雅黑" w:hAnsi="微软雅黑" w:cs="微软雅黑"/>
          <w:color w:val="auto"/>
          <w:highlight w:val="none"/>
        </w:rPr>
      </w:pPr>
      <w:r>
        <w:rPr>
          <w:rFonts w:hint="eastAsia" w:ascii="微软雅黑" w:hAnsi="微软雅黑" w:cs="微软雅黑"/>
          <w:color w:val="auto"/>
          <w:szCs w:val="21"/>
          <w:highlight w:val="none"/>
        </w:rPr>
        <w:br w:type="page" w:clear="all"/>
      </w:r>
      <w:bookmarkStart w:id="230" w:name="_Toc29101"/>
      <w:r>
        <w:rPr>
          <w:highlight w:val="none"/>
        </w:rPr>
      </w:r>
      <w:bookmarkStart w:id="231" w:name="_Toc21811"/>
      <w:r>
        <w:rPr>
          <w:highlight w:val="none"/>
        </w:rPr>
      </w:r>
      <w:bookmarkStart w:id="232" w:name="_Toc13620"/>
      <w:r>
        <w:rPr>
          <w:rFonts w:hint="eastAsia" w:ascii="微软雅黑" w:hAnsi="微软雅黑" w:cs="微软雅黑"/>
          <w:color w:val="auto"/>
          <w:highlight w:val="none"/>
        </w:rPr>
        <w:t xml:space="preserve">第四章 项目采购需求</w:t>
      </w:r>
      <w:bookmarkEnd w:id="230"/>
      <w:r>
        <w:rPr>
          <w:highlight w:val="none"/>
        </w:rPr>
      </w:r>
      <w:bookmarkEnd w:id="231"/>
      <w:r>
        <w:rPr>
          <w:highlight w:val="none"/>
        </w:rPr>
      </w:r>
      <w:bookmarkEnd w:id="232"/>
      <w:r>
        <w:rPr>
          <w:highlight w:val="none"/>
        </w:rPr>
      </w:r>
      <w:bookmarkStart w:id="233" w:name="_Toc13284"/>
      <w:r>
        <w:rPr>
          <w:highlight w:val="none"/>
        </w:rPr>
      </w:r>
      <w:bookmarkStart w:id="234" w:name="_Toc22289"/>
      <w:r>
        <w:rPr>
          <w:highlight w:val="none"/>
        </w:rPr>
      </w:r>
      <w:bookmarkStart w:id="235" w:name="_Toc533671560"/>
      <w:r>
        <w:rPr>
          <w:highlight w:val="none"/>
        </w:rPr>
      </w:r>
      <w:bookmarkStart w:id="236" w:name="_Toc522790135"/>
      <w:r>
        <w:rPr>
          <w:highlight w:val="none"/>
        </w:rPr>
      </w:r>
      <w:bookmarkStart w:id="237" w:name="_Toc13204"/>
      <w:r>
        <w:rPr>
          <w:highlight w:val="none"/>
        </w:rPr>
      </w:r>
      <w:bookmarkStart w:id="238" w:name="_Toc25617"/>
      <w:r>
        <w:rPr>
          <w:highlight w:val="none"/>
        </w:rPr>
      </w:r>
      <w:r>
        <w:rPr>
          <w:highlight w:val="none"/>
        </w:rPr>
      </w:r>
    </w:p>
    <w:p>
      <w:pPr>
        <w:ind w:firstLine="420"/>
        <w:spacing w:line="360" w:lineRule="auto"/>
        <w:rPr>
          <w:rFonts w:hint="eastAsia" w:ascii="微软雅黑" w:hAnsi="微软雅黑" w:eastAsia="微软雅黑" w:cs="微软雅黑"/>
          <w:b/>
          <w:bCs/>
          <w:color w:val="auto"/>
          <w:sz w:val="21"/>
          <w:szCs w:val="21"/>
          <w:highlight w:val="none"/>
        </w:rPr>
      </w:pPr>
      <w:r>
        <w:rPr>
          <w:rFonts w:hint="eastAsia" w:ascii="微软雅黑" w:hAnsi="微软雅黑" w:eastAsia="微软雅黑" w:cs="微软雅黑"/>
          <w:b/>
          <w:color w:val="auto"/>
          <w:sz w:val="21"/>
          <w:szCs w:val="21"/>
          <w:highlight w:val="none"/>
        </w:rPr>
        <w:t xml:space="preserve">一、本项目不接受超过人民币</w:t>
      </w:r>
      <w:r>
        <w:rPr>
          <w:rFonts w:hint="eastAsia" w:ascii="微软雅黑" w:hAnsi="微软雅黑" w:eastAsia="微软雅黑" w:cs="微软雅黑"/>
          <w:b/>
          <w:bCs/>
          <w:color w:val="auto"/>
          <w:sz w:val="21"/>
          <w:szCs w:val="21"/>
          <w:highlight w:val="none"/>
          <w:u w:val="single"/>
        </w:rPr>
        <w:t xml:space="preserve">100万</w:t>
      </w:r>
      <w:r>
        <w:rPr>
          <w:rFonts w:hint="eastAsia" w:ascii="微软雅黑" w:hAnsi="微软雅黑" w:eastAsia="微软雅黑" w:cs="微软雅黑"/>
          <w:b/>
          <w:bCs/>
          <w:color w:val="auto"/>
          <w:sz w:val="21"/>
          <w:szCs w:val="21"/>
          <w:highlight w:val="none"/>
        </w:rPr>
        <w:t xml:space="preserve">元</w:t>
      </w:r>
      <w:r>
        <w:rPr>
          <w:rFonts w:hint="eastAsia" w:ascii="微软雅黑" w:hAnsi="微软雅黑" w:eastAsia="微软雅黑" w:cs="微软雅黑"/>
          <w:b/>
          <w:color w:val="auto"/>
          <w:sz w:val="21"/>
          <w:szCs w:val="21"/>
          <w:highlight w:val="none"/>
        </w:rPr>
        <w:t xml:space="preserve">（项目预算金额）的投标报价</w:t>
      </w:r>
      <w:r>
        <w:rPr>
          <w:rFonts w:hint="eastAsia" w:ascii="微软雅黑" w:hAnsi="微软雅黑" w:eastAsia="微软雅黑" w:cs="微软雅黑"/>
          <w:b/>
          <w:bCs/>
          <w:color w:val="auto"/>
          <w:sz w:val="21"/>
          <w:szCs w:val="21"/>
          <w:highlight w:val="none"/>
        </w:rPr>
        <w:t xml:space="preserve">。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w:t>
      </w:r>
      <w:r>
        <w:rPr>
          <w:highlight w:val="none"/>
        </w:rPr>
      </w:r>
      <w:r>
        <w:rPr>
          <w:highlight w:val="none"/>
        </w:rPr>
      </w:r>
    </w:p>
    <w:p>
      <w:pPr>
        <w:ind w:firstLine="420"/>
        <w:spacing w:line="360" w:lineRule="auto"/>
        <w:rPr>
          <w:rFonts w:hint="eastAsia" w:ascii="微软雅黑" w:hAnsi="微软雅黑" w:eastAsia="微软雅黑" w:cs="微软雅黑"/>
          <w:b/>
          <w:color w:val="auto"/>
          <w:sz w:val="21"/>
          <w:szCs w:val="21"/>
          <w:highlight w:val="none"/>
        </w:rPr>
      </w:pPr>
      <w:r>
        <w:rPr>
          <w:rFonts w:hint="eastAsia" w:ascii="微软雅黑" w:hAnsi="微软雅黑" w:eastAsia="微软雅黑" w:cs="微软雅黑"/>
          <w:b/>
          <w:color w:val="auto"/>
          <w:sz w:val="21"/>
          <w:szCs w:val="21"/>
          <w:highlight w:val="none"/>
        </w:rPr>
        <w:t xml:space="preserve">二、项目内容</w:t>
      </w:r>
      <w:r>
        <w:rPr>
          <w:highlight w:val="none"/>
        </w:rPr>
      </w:r>
      <w:r>
        <w:rPr>
          <w:highlight w:val="none"/>
        </w:rPr>
      </w:r>
    </w:p>
    <w:tbl>
      <w:tblPr>
        <w:tblStyle w:val="9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1172"/>
        <w:gridCol w:w="4586"/>
        <w:gridCol w:w="661"/>
        <w:gridCol w:w="780"/>
        <w:gridCol w:w="746"/>
      </w:tblGrid>
      <w:tr>
        <w:trPr>
          <w:jc w:val="center"/>
          <w:trHeight w:val="637"/>
        </w:trPr>
        <w:tc>
          <w:tcPr>
            <w:tcW w:w="846" w:type="dxa"/>
            <w:vAlign w:val="center"/>
            <w:textDirection w:val="lrTb"/>
            <w:noWrap w:val="false"/>
          </w:tcPr>
          <w:p>
            <w:pPr>
              <w:jc w:val="center"/>
              <w:widowControl w:val="off"/>
              <w:rPr>
                <w:rFonts w:hint="eastAsia" w:ascii="微软雅黑" w:hAnsi="微软雅黑" w:eastAsia="微软雅黑" w:cs="微软雅黑"/>
                <w:b/>
                <w:bCs/>
                <w:color w:val="auto"/>
                <w:sz w:val="21"/>
                <w:szCs w:val="21"/>
                <w:highlight w:val="none"/>
              </w:rPr>
            </w:pPr>
            <w:r>
              <w:rPr>
                <w:rFonts w:hint="eastAsia" w:ascii="微软雅黑" w:hAnsi="微软雅黑" w:eastAsia="微软雅黑" w:cs="微软雅黑"/>
                <w:b/>
                <w:bCs/>
                <w:color w:val="auto"/>
                <w:sz w:val="21"/>
                <w:szCs w:val="21"/>
                <w:highlight w:val="none"/>
              </w:rPr>
              <w:t xml:space="preserve">序号</w:t>
            </w:r>
            <w:r>
              <w:rPr>
                <w:highlight w:val="none"/>
              </w:rPr>
            </w:r>
            <w:r>
              <w:rPr>
                <w:highlight w:val="none"/>
              </w:rPr>
            </w:r>
          </w:p>
        </w:tc>
        <w:tc>
          <w:tcPr>
            <w:tcW w:w="1276" w:type="dxa"/>
            <w:vAlign w:val="center"/>
            <w:textDirection w:val="lrTb"/>
            <w:noWrap w:val="false"/>
          </w:tcPr>
          <w:p>
            <w:pPr>
              <w:jc w:val="center"/>
              <w:widowControl w:val="off"/>
              <w:rPr>
                <w:rFonts w:hint="eastAsia" w:ascii="微软雅黑" w:hAnsi="微软雅黑" w:eastAsia="微软雅黑" w:cs="微软雅黑"/>
                <w:b/>
                <w:bCs/>
                <w:color w:val="auto"/>
                <w:sz w:val="21"/>
                <w:szCs w:val="21"/>
                <w:highlight w:val="none"/>
              </w:rPr>
            </w:pPr>
            <w:r>
              <w:rPr>
                <w:rFonts w:hint="eastAsia" w:ascii="微软雅黑" w:hAnsi="微软雅黑" w:eastAsia="微软雅黑" w:cs="微软雅黑"/>
                <w:b/>
                <w:bCs/>
                <w:color w:val="auto"/>
                <w:sz w:val="21"/>
                <w:szCs w:val="21"/>
                <w:highlight w:val="none"/>
              </w:rPr>
              <w:t xml:space="preserve">产品名称</w:t>
            </w:r>
            <w:r>
              <w:rPr>
                <w:highlight w:val="none"/>
              </w:rPr>
            </w:r>
            <w:r>
              <w:rPr>
                <w:highlight w:val="none"/>
              </w:rPr>
            </w:r>
          </w:p>
        </w:tc>
        <w:tc>
          <w:tcPr>
            <w:tcW w:w="5244" w:type="dxa"/>
            <w:vAlign w:val="center"/>
            <w:textDirection w:val="lrTb"/>
            <w:noWrap w:val="false"/>
          </w:tcPr>
          <w:p>
            <w:pPr>
              <w:jc w:val="center"/>
              <w:widowControl w:val="off"/>
              <w:rPr>
                <w:rFonts w:hint="eastAsia" w:ascii="微软雅黑" w:hAnsi="微软雅黑" w:eastAsia="微软雅黑" w:cs="微软雅黑"/>
                <w:b/>
                <w:bCs/>
                <w:color w:val="auto"/>
                <w:sz w:val="21"/>
                <w:szCs w:val="21"/>
                <w:highlight w:val="none"/>
              </w:rPr>
            </w:pPr>
            <w:r>
              <w:rPr>
                <w:rFonts w:hint="eastAsia" w:ascii="微软雅黑" w:hAnsi="微软雅黑" w:eastAsia="微软雅黑" w:cs="微软雅黑"/>
                <w:b/>
                <w:bCs/>
                <w:color w:val="auto"/>
                <w:sz w:val="21"/>
                <w:szCs w:val="21"/>
                <w:highlight w:val="none"/>
              </w:rPr>
              <w:t xml:space="preserve">说明</w:t>
            </w:r>
            <w:r>
              <w:rPr>
                <w:highlight w:val="none"/>
              </w:rPr>
            </w:r>
            <w:r>
              <w:rPr>
                <w:highlight w:val="none"/>
              </w:rPr>
            </w:r>
          </w:p>
        </w:tc>
        <w:tc>
          <w:tcPr>
            <w:tcW w:w="709" w:type="dxa"/>
            <w:vAlign w:val="center"/>
            <w:textDirection w:val="lrTb"/>
            <w:noWrap w:val="false"/>
          </w:tcPr>
          <w:p>
            <w:pPr>
              <w:jc w:val="center"/>
              <w:widowControl w:val="off"/>
              <w:rPr>
                <w:rFonts w:hint="eastAsia" w:ascii="微软雅黑" w:hAnsi="微软雅黑" w:eastAsia="微软雅黑" w:cs="微软雅黑"/>
                <w:b/>
                <w:bCs/>
                <w:color w:val="auto"/>
                <w:sz w:val="21"/>
                <w:szCs w:val="21"/>
                <w:highlight w:val="none"/>
              </w:rPr>
            </w:pPr>
            <w:r>
              <w:rPr>
                <w:rFonts w:hint="eastAsia" w:ascii="微软雅黑" w:hAnsi="微软雅黑" w:eastAsia="微软雅黑" w:cs="微软雅黑"/>
                <w:b/>
                <w:bCs/>
                <w:color w:val="auto"/>
                <w:sz w:val="21"/>
                <w:szCs w:val="21"/>
                <w:highlight w:val="none"/>
              </w:rPr>
              <w:t xml:space="preserve">数量</w:t>
            </w:r>
            <w:r>
              <w:rPr>
                <w:highlight w:val="none"/>
              </w:rPr>
            </w:r>
            <w:r>
              <w:rPr>
                <w:highlight w:val="none"/>
              </w:rPr>
            </w:r>
          </w:p>
        </w:tc>
        <w:tc>
          <w:tcPr>
            <w:tcW w:w="851" w:type="dxa"/>
            <w:vAlign w:val="center"/>
            <w:textDirection w:val="lrTb"/>
            <w:noWrap w:val="false"/>
          </w:tcPr>
          <w:p>
            <w:pPr>
              <w:jc w:val="center"/>
              <w:widowControl w:val="off"/>
              <w:rPr>
                <w:rFonts w:hint="eastAsia" w:ascii="微软雅黑" w:hAnsi="微软雅黑" w:eastAsia="微软雅黑" w:cs="微软雅黑"/>
                <w:b/>
                <w:bCs/>
                <w:color w:val="auto"/>
                <w:sz w:val="21"/>
                <w:szCs w:val="21"/>
                <w:highlight w:val="none"/>
              </w:rPr>
            </w:pPr>
            <w:r>
              <w:rPr>
                <w:rFonts w:hint="eastAsia" w:ascii="微软雅黑" w:hAnsi="微软雅黑" w:eastAsia="微软雅黑" w:cs="微软雅黑"/>
                <w:b/>
                <w:bCs/>
                <w:color w:val="auto"/>
                <w:sz w:val="21"/>
                <w:szCs w:val="21"/>
                <w:highlight w:val="none"/>
              </w:rPr>
              <w:t xml:space="preserve">单位</w:t>
            </w:r>
            <w:r>
              <w:rPr>
                <w:highlight w:val="none"/>
              </w:rPr>
            </w:r>
            <w:r>
              <w:rPr>
                <w:highlight w:val="none"/>
              </w:rPr>
            </w:r>
          </w:p>
        </w:tc>
        <w:tc>
          <w:tcPr>
            <w:tcW w:w="810" w:type="dxa"/>
            <w:vAlign w:val="center"/>
            <w:textDirection w:val="lrTb"/>
            <w:noWrap w:val="false"/>
          </w:tcPr>
          <w:p>
            <w:pPr>
              <w:jc w:val="center"/>
              <w:widowControl w:val="off"/>
              <w:rPr>
                <w:rFonts w:hint="eastAsia" w:ascii="微软雅黑" w:hAnsi="微软雅黑" w:eastAsia="微软雅黑" w:cs="微软雅黑"/>
                <w:b/>
                <w:bCs/>
                <w:color w:val="auto"/>
                <w:sz w:val="21"/>
                <w:szCs w:val="21"/>
                <w:highlight w:val="none"/>
              </w:rPr>
            </w:pPr>
            <w:r>
              <w:rPr>
                <w:rFonts w:hint="eastAsia" w:ascii="微软雅黑" w:hAnsi="微软雅黑" w:eastAsia="微软雅黑" w:cs="微软雅黑"/>
                <w:b/>
                <w:bCs/>
                <w:color w:val="auto"/>
                <w:sz w:val="21"/>
                <w:szCs w:val="21"/>
                <w:highlight w:val="none"/>
              </w:rPr>
              <w:t xml:space="preserve">备注</w:t>
            </w:r>
            <w:r>
              <w:rPr>
                <w:highlight w:val="none"/>
              </w:rPr>
            </w:r>
            <w:r>
              <w:rPr>
                <w:highlight w:val="none"/>
              </w:rPr>
            </w:r>
          </w:p>
        </w:tc>
      </w:tr>
      <w:tr>
        <w:trPr>
          <w:jc w:val="center"/>
        </w:trPr>
        <w:tc>
          <w:tcPr>
            <w:tcW w:w="846" w:type="dxa"/>
            <w:vAlign w:val="center"/>
            <w:textDirection w:val="lrTb"/>
            <w:noWrap w:val="false"/>
          </w:tcPr>
          <w:p>
            <w:pPr>
              <w:jc w:val="center"/>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w:t>
            </w:r>
            <w:r>
              <w:rPr>
                <w:highlight w:val="none"/>
              </w:rPr>
            </w:r>
            <w:r>
              <w:rPr>
                <w:highlight w:val="none"/>
              </w:rPr>
            </w:r>
          </w:p>
        </w:tc>
        <w:tc>
          <w:tcPr>
            <w:tcW w:w="1276" w:type="dxa"/>
            <w:vAlign w:val="center"/>
            <w:textDirection w:val="lrTb"/>
            <w:noWrap w:val="false"/>
          </w:tcPr>
          <w:p>
            <w:pPr>
              <w:jc w:val="center"/>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肝癌规范化诊疗系统</w:t>
            </w:r>
            <w:r>
              <w:rPr>
                <w:highlight w:val="none"/>
              </w:rPr>
            </w:r>
            <w:r>
              <w:rPr>
                <w:highlight w:val="none"/>
              </w:rPr>
            </w:r>
          </w:p>
        </w:tc>
        <w:tc>
          <w:tcPr>
            <w:tcW w:w="5244" w:type="dxa"/>
            <w:vAlign w:val="center"/>
            <w:textDirection w:val="lrTb"/>
            <w:noWrap w:val="false"/>
          </w:tcPr>
          <w:p>
            <w:pPr>
              <w:jc w:val="both"/>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面向肝癌专科的临床诊疗信息化系统，依据国家肝癌诊疗规范与临床指南构建，覆盖诊疗路径管控、MDT会诊、全流程质控、疗效评估等功能，助力医疗机构实现肝癌诊疗标准化、同质化与可追溯管理。</w:t>
            </w:r>
            <w:r>
              <w:rPr>
                <w:highlight w:val="none"/>
              </w:rPr>
            </w:r>
            <w:r>
              <w:rPr>
                <w:highlight w:val="none"/>
              </w:rPr>
            </w:r>
          </w:p>
        </w:tc>
        <w:tc>
          <w:tcPr>
            <w:tcW w:w="709" w:type="dxa"/>
            <w:vAlign w:val="center"/>
            <w:textDirection w:val="lrTb"/>
            <w:noWrap w:val="false"/>
          </w:tcPr>
          <w:p>
            <w:pPr>
              <w:jc w:val="center"/>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w:t>
            </w:r>
            <w:r>
              <w:rPr>
                <w:highlight w:val="none"/>
              </w:rPr>
            </w:r>
            <w:r>
              <w:rPr>
                <w:highlight w:val="none"/>
              </w:rPr>
            </w:r>
          </w:p>
        </w:tc>
        <w:tc>
          <w:tcPr>
            <w:tcW w:w="851" w:type="dxa"/>
            <w:vAlign w:val="center"/>
            <w:textDirection w:val="lrTb"/>
            <w:noWrap w:val="false"/>
          </w:tcPr>
          <w:p>
            <w:pPr>
              <w:jc w:val="center"/>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套</w:t>
            </w:r>
            <w:r>
              <w:rPr>
                <w:highlight w:val="none"/>
              </w:rPr>
            </w:r>
            <w:r>
              <w:rPr>
                <w:highlight w:val="none"/>
              </w:rPr>
            </w:r>
          </w:p>
        </w:tc>
        <w:tc>
          <w:tcPr>
            <w:tcW w:w="810" w:type="dxa"/>
            <w:vAlign w:val="center"/>
            <w:textDirection w:val="lrTb"/>
            <w:noWrap w:val="false"/>
          </w:tcPr>
          <w:p>
            <w:pPr>
              <w:jc w:val="center"/>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r>
            <w:r>
              <w:rPr>
                <w:highlight w:val="none"/>
              </w:rPr>
            </w:r>
            <w:r>
              <w:rPr>
                <w:highlight w:val="none"/>
              </w:rPr>
            </w:r>
          </w:p>
        </w:tc>
      </w:tr>
      <w:tr>
        <w:trPr>
          <w:jc w:val="center"/>
        </w:trPr>
        <w:tc>
          <w:tcPr>
            <w:tcW w:w="846" w:type="dxa"/>
            <w:vAlign w:val="center"/>
            <w:textDirection w:val="lrTb"/>
            <w:noWrap w:val="false"/>
          </w:tcPr>
          <w:p>
            <w:pPr>
              <w:jc w:val="center"/>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2</w:t>
            </w:r>
            <w:r>
              <w:rPr>
                <w:highlight w:val="none"/>
              </w:rPr>
            </w:r>
            <w:r>
              <w:rPr>
                <w:highlight w:val="none"/>
              </w:rPr>
            </w:r>
          </w:p>
        </w:tc>
        <w:tc>
          <w:tcPr>
            <w:tcW w:w="1276" w:type="dxa"/>
            <w:vAlign w:val="center"/>
            <w:textDirection w:val="lrTb"/>
            <w:noWrap w:val="false"/>
          </w:tcPr>
          <w:p>
            <w:pPr>
              <w:jc w:val="center"/>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GPU服务器</w:t>
            </w:r>
            <w:r>
              <w:rPr>
                <w:highlight w:val="none"/>
              </w:rPr>
            </w:r>
            <w:r>
              <w:rPr>
                <w:highlight w:val="none"/>
              </w:rPr>
            </w:r>
          </w:p>
        </w:tc>
        <w:tc>
          <w:tcPr>
            <w:tcW w:w="5244" w:type="dxa"/>
            <w:vAlign w:val="center"/>
            <w:textDirection w:val="lrTb"/>
            <w:noWrap w:val="false"/>
          </w:tcPr>
          <w:p>
            <w:pPr>
              <w:jc w:val="both"/>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1、品牌：国内知名品牌，2U机架式服务器；</w:t>
            </w:r>
            <w:r>
              <w:rPr>
                <w:highlight w:val="none"/>
              </w:rPr>
            </w:r>
            <w:r>
              <w:rPr>
                <w:highlight w:val="none"/>
              </w:rPr>
            </w:r>
          </w:p>
          <w:p>
            <w:pPr>
              <w:jc w:val="both"/>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2、处理器：配置≥2颗C86-4G处理器，每颗CPU核心数≥24核，每颗CPU主频≥2.5GHz，支持SM3/SM4国密指令，CPU 应当符合安全可靠测评Ⅱ级要求；</w:t>
            </w:r>
            <w:r>
              <w:rPr>
                <w:highlight w:val="none"/>
              </w:rPr>
            </w:r>
            <w:r>
              <w:rPr>
                <w:highlight w:val="none"/>
              </w:rPr>
            </w:r>
          </w:p>
          <w:p>
            <w:pPr>
              <w:jc w:val="both"/>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3、内存：配置≥256GB DDR5  RDIMM内存，支持≥16个内存插槽；</w:t>
            </w:r>
            <w:r>
              <w:rPr>
                <w:highlight w:val="none"/>
              </w:rPr>
            </w:r>
            <w:r>
              <w:rPr>
                <w:highlight w:val="none"/>
              </w:rPr>
            </w:r>
          </w:p>
          <w:p>
            <w:pPr>
              <w:jc w:val="both"/>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4、配置≥2块960GB NVME SSD*2，4TB SATA *1；</w:t>
            </w:r>
            <w:r>
              <w:rPr>
                <w:highlight w:val="none"/>
              </w:rPr>
            </w:r>
            <w:r>
              <w:rPr>
                <w:highlight w:val="none"/>
              </w:rPr>
            </w:r>
          </w:p>
          <w:p>
            <w:pPr>
              <w:jc w:val="both"/>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5、配置≥1块8通道2G缓存的Raid卡；</w:t>
            </w:r>
            <w:r>
              <w:rPr>
                <w:highlight w:val="none"/>
              </w:rPr>
            </w:r>
            <w:r>
              <w:rPr>
                <w:highlight w:val="none"/>
              </w:rPr>
            </w:r>
          </w:p>
          <w:p>
            <w:pPr>
              <w:jc w:val="both"/>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6、配置≥1块双端口 10G 光口网卡（含原厂光模块）；</w:t>
            </w:r>
            <w:r>
              <w:rPr>
                <w:highlight w:val="none"/>
              </w:rPr>
            </w:r>
            <w:r>
              <w:rPr>
                <w:highlight w:val="none"/>
              </w:rPr>
            </w:r>
          </w:p>
          <w:p>
            <w:pPr>
              <w:jc w:val="both"/>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7、配置≥2 块国产</w:t>
            </w:r>
            <w:r>
              <w:rPr>
                <w:rFonts w:hint="eastAsia" w:ascii="微软雅黑" w:hAnsi="微软雅黑" w:eastAsia="微软雅黑" w:cs="微软雅黑"/>
                <w:color w:val="auto"/>
                <w:sz w:val="21"/>
                <w:szCs w:val="21"/>
                <w:highlight w:val="none"/>
                <w:lang w:val="en-US" w:eastAsia="zh-CN"/>
              </w:rPr>
              <w:t xml:space="preserve">GPU</w:t>
            </w:r>
            <w:r>
              <w:rPr>
                <w:rFonts w:hint="eastAsia" w:ascii="微软雅黑" w:hAnsi="微软雅黑" w:eastAsia="微软雅黑" w:cs="微软雅黑"/>
                <w:color w:val="auto"/>
                <w:sz w:val="21"/>
                <w:szCs w:val="21"/>
                <w:highlight w:val="none"/>
              </w:rPr>
              <w:t xml:space="preserve">卡，单卡显存规格 64GB GDDR6，</w:t>
            </w:r>
            <w:r>
              <w:rPr>
                <w:rStyle w:val="935"/>
                <w:rFonts w:hint="eastAsia" w:ascii="微软雅黑" w:hAnsi="微软雅黑" w:eastAsia="微软雅黑" w:cs="微软雅黑"/>
                <w:color w:val="auto"/>
                <w:sz w:val="21"/>
                <w:szCs w:val="21"/>
                <w:highlight w:val="none"/>
              </w:rPr>
              <w:t xml:space="preserve">单卡显存带宽≥896GB/s</w:t>
            </w:r>
            <w:r>
              <w:rPr>
                <w:rFonts w:hint="eastAsia" w:ascii="微软雅黑" w:hAnsi="微软雅黑" w:eastAsia="微软雅黑" w:cs="微软雅黑"/>
                <w:color w:val="auto"/>
                <w:sz w:val="21"/>
                <w:szCs w:val="21"/>
                <w:highlight w:val="none"/>
              </w:rPr>
              <w:t xml:space="preserve">；硬件原生支持 FP32、TF32、BF16、FP16、INT8 主流 AI 计算精度；单卡理论峰值算力要求：FP32≥24.5 TFLOPS、TF32≥49 TFLOPS、BF16≥196 TFLOPS、FP16≥196 TFLOPS、INT8≥392 TOPS；</w:t>
            </w:r>
            <w:r>
              <w:rPr>
                <w:highlight w:val="none"/>
              </w:rPr>
            </w:r>
            <w:r>
              <w:rPr>
                <w:highlight w:val="none"/>
              </w:rPr>
            </w:r>
          </w:p>
          <w:p>
            <w:pPr>
              <w:jc w:val="both"/>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8、支持≥2个VGA接口，支持≥4个USB 接口，支持≥1 个RJ-45 管理接口；</w:t>
            </w:r>
            <w:r>
              <w:rPr>
                <w:highlight w:val="none"/>
              </w:rPr>
            </w:r>
            <w:r>
              <w:rPr>
                <w:highlight w:val="none"/>
              </w:rPr>
            </w:r>
          </w:p>
          <w:p>
            <w:pPr>
              <w:jc w:val="both"/>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9、配置≥6组热插拔风扇模块，支持N+1冗余；</w:t>
            </w:r>
            <w:r>
              <w:rPr>
                <w:highlight w:val="none"/>
              </w:rPr>
            </w:r>
            <w:r>
              <w:rPr>
                <w:highlight w:val="none"/>
              </w:rPr>
            </w:r>
          </w:p>
          <w:p>
            <w:pPr>
              <w:jc w:val="both"/>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10、配置≥2个1300W 电源，支持热插拔；</w:t>
            </w:r>
            <w:r>
              <w:rPr>
                <w:highlight w:val="none"/>
              </w:rPr>
            </w:r>
            <w:r>
              <w:rPr>
                <w:highlight w:val="none"/>
              </w:rPr>
            </w:r>
          </w:p>
          <w:p>
            <w:pPr>
              <w:jc w:val="both"/>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11、管理运维：产品应支持 BIOS、BMC等关键部件的固件在服务器运行状态下升级。</w:t>
            </w:r>
            <w:r>
              <w:rPr>
                <w:highlight w:val="none"/>
              </w:rPr>
            </w:r>
            <w:r>
              <w:rPr>
                <w:highlight w:val="none"/>
              </w:rPr>
            </w:r>
          </w:p>
        </w:tc>
        <w:tc>
          <w:tcPr>
            <w:tcW w:w="709" w:type="dxa"/>
            <w:vAlign w:val="center"/>
            <w:textDirection w:val="lrTb"/>
            <w:noWrap w:val="false"/>
          </w:tcPr>
          <w:p>
            <w:pPr>
              <w:jc w:val="center"/>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w:t>
            </w:r>
            <w:r>
              <w:rPr>
                <w:highlight w:val="none"/>
              </w:rPr>
            </w:r>
            <w:r>
              <w:rPr>
                <w:highlight w:val="none"/>
              </w:rPr>
            </w:r>
          </w:p>
        </w:tc>
        <w:tc>
          <w:tcPr>
            <w:tcW w:w="851" w:type="dxa"/>
            <w:vAlign w:val="center"/>
            <w:textDirection w:val="lrTb"/>
            <w:noWrap w:val="false"/>
          </w:tcPr>
          <w:p>
            <w:pPr>
              <w:jc w:val="center"/>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套</w:t>
            </w:r>
            <w:r>
              <w:rPr>
                <w:highlight w:val="none"/>
              </w:rPr>
            </w:r>
            <w:r>
              <w:rPr>
                <w:highlight w:val="none"/>
              </w:rPr>
            </w:r>
          </w:p>
        </w:tc>
        <w:tc>
          <w:tcPr>
            <w:tcW w:w="810" w:type="dxa"/>
            <w:vAlign w:val="center"/>
            <w:textDirection w:val="lrTb"/>
            <w:noWrap w:val="false"/>
          </w:tcPr>
          <w:p>
            <w:pPr>
              <w:jc w:val="center"/>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r>
            <w:r>
              <w:rPr>
                <w:highlight w:val="none"/>
              </w:rPr>
            </w:r>
            <w:r>
              <w:rPr>
                <w:highlight w:val="none"/>
              </w:rPr>
            </w:r>
          </w:p>
        </w:tc>
      </w:tr>
      <w:tr>
        <w:trPr>
          <w:jc w:val="center"/>
        </w:trPr>
        <w:tc>
          <w:tcPr>
            <w:tcW w:w="846" w:type="dxa"/>
            <w:vAlign w:val="center"/>
            <w:textDirection w:val="lrTb"/>
            <w:noWrap w:val="false"/>
          </w:tcPr>
          <w:p>
            <w:pPr>
              <w:jc w:val="center"/>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3</w:t>
            </w:r>
            <w:r>
              <w:rPr>
                <w:highlight w:val="none"/>
              </w:rPr>
            </w:r>
            <w:r>
              <w:rPr>
                <w:highlight w:val="none"/>
              </w:rPr>
            </w:r>
          </w:p>
        </w:tc>
        <w:tc>
          <w:tcPr>
            <w:tcW w:w="1276" w:type="dxa"/>
            <w:vAlign w:val="center"/>
            <w:textDirection w:val="lrTb"/>
            <w:noWrap w:val="false"/>
          </w:tcPr>
          <w:p>
            <w:pPr>
              <w:jc w:val="center"/>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国产操作系统授权</w:t>
            </w:r>
            <w:r>
              <w:rPr>
                <w:highlight w:val="none"/>
              </w:rPr>
            </w:r>
            <w:r>
              <w:rPr>
                <w:highlight w:val="none"/>
              </w:rPr>
            </w:r>
          </w:p>
        </w:tc>
        <w:tc>
          <w:tcPr>
            <w:tcW w:w="5244" w:type="dxa"/>
            <w:vAlign w:val="center"/>
            <w:textDirection w:val="lrTb"/>
            <w:noWrap w:val="false"/>
          </w:tcPr>
          <w:p>
            <w:pPr>
              <w:jc w:val="both"/>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国产自主可控操作系统的正版使用许可，为业务系统提供安全稳定的基础运行环境，符合信创合规要求，适配国产硬件与基础软件生态，保障信息系统底层自主安全。</w:t>
            </w:r>
            <w:r>
              <w:rPr>
                <w:highlight w:val="none"/>
              </w:rPr>
            </w:r>
            <w:r>
              <w:rPr>
                <w:highlight w:val="none"/>
              </w:rPr>
            </w:r>
          </w:p>
        </w:tc>
        <w:tc>
          <w:tcPr>
            <w:tcW w:w="709" w:type="dxa"/>
            <w:vAlign w:val="center"/>
            <w:textDirection w:val="lrTb"/>
            <w:noWrap w:val="false"/>
          </w:tcPr>
          <w:p>
            <w:pPr>
              <w:jc w:val="center"/>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w:t>
            </w:r>
            <w:r>
              <w:rPr>
                <w:highlight w:val="none"/>
              </w:rPr>
            </w:r>
            <w:r>
              <w:rPr>
                <w:highlight w:val="none"/>
              </w:rPr>
            </w:r>
          </w:p>
        </w:tc>
        <w:tc>
          <w:tcPr>
            <w:tcW w:w="851" w:type="dxa"/>
            <w:vAlign w:val="center"/>
            <w:textDirection w:val="lrTb"/>
            <w:noWrap w:val="false"/>
          </w:tcPr>
          <w:p>
            <w:pPr>
              <w:jc w:val="center"/>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套</w:t>
            </w:r>
            <w:r>
              <w:rPr>
                <w:highlight w:val="none"/>
              </w:rPr>
            </w:r>
            <w:r>
              <w:rPr>
                <w:highlight w:val="none"/>
              </w:rPr>
            </w:r>
          </w:p>
        </w:tc>
        <w:tc>
          <w:tcPr>
            <w:tcW w:w="810" w:type="dxa"/>
            <w:vAlign w:val="center"/>
            <w:textDirection w:val="lrTb"/>
            <w:noWrap w:val="false"/>
          </w:tcPr>
          <w:p>
            <w:pPr>
              <w:jc w:val="center"/>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r>
            <w:r>
              <w:rPr>
                <w:highlight w:val="none"/>
              </w:rPr>
            </w:r>
            <w:r>
              <w:rPr>
                <w:highlight w:val="none"/>
              </w:rPr>
            </w:r>
          </w:p>
        </w:tc>
      </w:tr>
      <w:tr>
        <w:trPr>
          <w:jc w:val="center"/>
        </w:trPr>
        <w:tc>
          <w:tcPr>
            <w:tcW w:w="846" w:type="dxa"/>
            <w:vAlign w:val="center"/>
            <w:textDirection w:val="lrTb"/>
            <w:noWrap w:val="false"/>
          </w:tcPr>
          <w:p>
            <w:pPr>
              <w:jc w:val="center"/>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4</w:t>
            </w:r>
            <w:r>
              <w:rPr>
                <w:highlight w:val="none"/>
              </w:rPr>
            </w:r>
            <w:r>
              <w:rPr>
                <w:highlight w:val="none"/>
              </w:rPr>
            </w:r>
          </w:p>
        </w:tc>
        <w:tc>
          <w:tcPr>
            <w:tcW w:w="1276" w:type="dxa"/>
            <w:vAlign w:val="center"/>
            <w:textDirection w:val="lrTb"/>
            <w:noWrap w:val="false"/>
          </w:tcPr>
          <w:p>
            <w:pPr>
              <w:jc w:val="center"/>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国产数据库授权</w:t>
            </w:r>
            <w:r>
              <w:rPr>
                <w:highlight w:val="none"/>
              </w:rPr>
            </w:r>
            <w:r>
              <w:rPr>
                <w:highlight w:val="none"/>
              </w:rPr>
            </w:r>
          </w:p>
        </w:tc>
        <w:tc>
          <w:tcPr>
            <w:tcW w:w="5244" w:type="dxa"/>
            <w:vAlign w:val="center"/>
            <w:textDirection w:val="lrTb"/>
            <w:noWrap w:val="false"/>
          </w:tcPr>
          <w:p>
            <w:pPr>
              <w:jc w:val="both"/>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国产自主研发数据库的正版使用授权，具备数据存储、查询、备份、安全管控等核心能力，支撑诊疗业务数据的统一管理与高效调用，满足信创适配与医疗数据安全可控要求。</w:t>
            </w:r>
            <w:r>
              <w:rPr>
                <w:highlight w:val="none"/>
              </w:rPr>
            </w:r>
            <w:r>
              <w:rPr>
                <w:highlight w:val="none"/>
              </w:rPr>
            </w:r>
          </w:p>
        </w:tc>
        <w:tc>
          <w:tcPr>
            <w:tcW w:w="709" w:type="dxa"/>
            <w:vAlign w:val="center"/>
            <w:textDirection w:val="lrTb"/>
            <w:noWrap w:val="false"/>
          </w:tcPr>
          <w:p>
            <w:pPr>
              <w:jc w:val="center"/>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w:t>
            </w:r>
            <w:r>
              <w:rPr>
                <w:highlight w:val="none"/>
              </w:rPr>
            </w:r>
            <w:r>
              <w:rPr>
                <w:highlight w:val="none"/>
              </w:rPr>
            </w:r>
          </w:p>
        </w:tc>
        <w:tc>
          <w:tcPr>
            <w:tcW w:w="851" w:type="dxa"/>
            <w:vAlign w:val="center"/>
            <w:textDirection w:val="lrTb"/>
            <w:noWrap w:val="false"/>
          </w:tcPr>
          <w:p>
            <w:pPr>
              <w:jc w:val="center"/>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套</w:t>
            </w:r>
            <w:r>
              <w:rPr>
                <w:highlight w:val="none"/>
              </w:rPr>
            </w:r>
            <w:r>
              <w:rPr>
                <w:highlight w:val="none"/>
              </w:rPr>
            </w:r>
          </w:p>
        </w:tc>
        <w:tc>
          <w:tcPr>
            <w:tcW w:w="810" w:type="dxa"/>
            <w:vAlign w:val="center"/>
            <w:textDirection w:val="lrTb"/>
            <w:noWrap w:val="false"/>
          </w:tcPr>
          <w:p>
            <w:pPr>
              <w:jc w:val="center"/>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r>
            <w:r>
              <w:rPr>
                <w:highlight w:val="none"/>
              </w:rPr>
            </w:r>
            <w:r>
              <w:rPr>
                <w:highlight w:val="none"/>
              </w:rPr>
            </w:r>
          </w:p>
        </w:tc>
      </w:tr>
      <w:tr>
        <w:trPr>
          <w:jc w:val="center"/>
        </w:trPr>
        <w:tc>
          <w:tcPr>
            <w:tcW w:w="846" w:type="dxa"/>
            <w:vAlign w:val="center"/>
            <w:textDirection w:val="lrTb"/>
            <w:noWrap w:val="false"/>
          </w:tcPr>
          <w:p>
            <w:pPr>
              <w:jc w:val="center"/>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5</w:t>
            </w:r>
            <w:r>
              <w:rPr>
                <w:highlight w:val="none"/>
              </w:rPr>
            </w:r>
            <w:r>
              <w:rPr>
                <w:highlight w:val="none"/>
              </w:rPr>
            </w:r>
          </w:p>
        </w:tc>
        <w:tc>
          <w:tcPr>
            <w:tcW w:w="1276" w:type="dxa"/>
            <w:vAlign w:val="center"/>
            <w:textDirection w:val="lrTb"/>
            <w:noWrap w:val="false"/>
          </w:tcPr>
          <w:p>
            <w:pPr>
              <w:jc w:val="center"/>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国产中间件授权</w:t>
            </w:r>
            <w:r>
              <w:rPr>
                <w:highlight w:val="none"/>
              </w:rPr>
            </w:r>
            <w:r>
              <w:rPr>
                <w:highlight w:val="none"/>
              </w:rPr>
            </w:r>
          </w:p>
        </w:tc>
        <w:tc>
          <w:tcPr>
            <w:tcW w:w="5244" w:type="dxa"/>
            <w:vAlign w:val="center"/>
            <w:textDirection w:val="lrTb"/>
            <w:noWrap w:val="false"/>
          </w:tcPr>
          <w:p>
            <w:pPr>
              <w:jc w:val="both"/>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国产自主中间件产品的正版使用许可，用于实现应用系统的部署运行、服务交互、数据传输与集成适配，衔接前端业务应用与底层数据库，保障分布式系统稳定高效运行，符合信创生态适配标准。</w:t>
            </w:r>
            <w:r>
              <w:rPr>
                <w:highlight w:val="none"/>
              </w:rPr>
            </w:r>
            <w:r>
              <w:rPr>
                <w:highlight w:val="none"/>
              </w:rPr>
            </w:r>
          </w:p>
        </w:tc>
        <w:tc>
          <w:tcPr>
            <w:tcW w:w="709" w:type="dxa"/>
            <w:vAlign w:val="center"/>
            <w:textDirection w:val="lrTb"/>
            <w:noWrap w:val="false"/>
          </w:tcPr>
          <w:p>
            <w:pPr>
              <w:jc w:val="center"/>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w:t>
            </w:r>
            <w:r>
              <w:rPr>
                <w:highlight w:val="none"/>
              </w:rPr>
            </w:r>
            <w:r>
              <w:rPr>
                <w:highlight w:val="none"/>
              </w:rPr>
            </w:r>
          </w:p>
        </w:tc>
        <w:tc>
          <w:tcPr>
            <w:tcW w:w="851" w:type="dxa"/>
            <w:vAlign w:val="center"/>
            <w:textDirection w:val="lrTb"/>
            <w:noWrap w:val="false"/>
          </w:tcPr>
          <w:p>
            <w:pPr>
              <w:jc w:val="center"/>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套</w:t>
            </w:r>
            <w:r>
              <w:rPr>
                <w:highlight w:val="none"/>
              </w:rPr>
            </w:r>
            <w:r>
              <w:rPr>
                <w:highlight w:val="none"/>
              </w:rPr>
            </w:r>
          </w:p>
        </w:tc>
        <w:tc>
          <w:tcPr>
            <w:tcW w:w="810" w:type="dxa"/>
            <w:vAlign w:val="center"/>
            <w:textDirection w:val="lrTb"/>
            <w:noWrap w:val="false"/>
          </w:tcPr>
          <w:p>
            <w:pPr>
              <w:jc w:val="center"/>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r>
            <w:r>
              <w:rPr>
                <w:highlight w:val="none"/>
              </w:rPr>
            </w:r>
            <w:r>
              <w:rPr>
                <w:highlight w:val="none"/>
              </w:rPr>
            </w:r>
          </w:p>
        </w:tc>
      </w:tr>
      <w:tr>
        <w:trPr>
          <w:jc w:val="center"/>
        </w:trPr>
        <w:tc>
          <w:tcPr>
            <w:tcW w:w="846" w:type="dxa"/>
            <w:vAlign w:val="center"/>
            <w:textDirection w:val="lrTb"/>
            <w:noWrap w:val="false"/>
          </w:tcPr>
          <w:p>
            <w:pPr>
              <w:jc w:val="center"/>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val="en-US" w:eastAsia="zh-CN"/>
              </w:rPr>
              <w:t xml:space="preserve">6</w:t>
            </w:r>
            <w:r>
              <w:rPr>
                <w:highlight w:val="none"/>
              </w:rPr>
            </w:r>
            <w:r>
              <w:rPr>
                <w:highlight w:val="none"/>
              </w:rPr>
            </w:r>
          </w:p>
        </w:tc>
        <w:tc>
          <w:tcPr>
            <w:tcW w:w="1276" w:type="dxa"/>
            <w:vAlign w:val="center"/>
            <w:textDirection w:val="lrTb"/>
            <w:noWrap w:val="false"/>
          </w:tcPr>
          <w:p>
            <w:pPr>
              <w:jc w:val="center"/>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val="en-US" w:eastAsia="zh-CN"/>
              </w:rPr>
              <w:t xml:space="preserve">安全测试</w:t>
            </w:r>
            <w:r>
              <w:rPr>
                <w:highlight w:val="none"/>
              </w:rPr>
            </w:r>
            <w:r>
              <w:rPr>
                <w:highlight w:val="none"/>
              </w:rPr>
            </w:r>
          </w:p>
        </w:tc>
        <w:tc>
          <w:tcPr>
            <w:tcW w:w="5244" w:type="dxa"/>
            <w:vAlign w:val="center"/>
            <w:textDirection w:val="lrTb"/>
            <w:noWrap w:val="false"/>
          </w:tcPr>
          <w:p>
            <w:pPr>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为严格落实国家网络安全法律法规、医疗卫生行业网络安全管理规范及甲方网络安全管控要求，保障项目上线运行后的网络与数据安全、规避安全风险，</w:t>
            </w:r>
            <w:r>
              <w:rPr>
                <w:rFonts w:hint="eastAsia" w:ascii="微软雅黑" w:hAnsi="微软雅黑" w:eastAsia="微软雅黑" w:cs="微软雅黑"/>
                <w:color w:val="auto"/>
                <w:sz w:val="21"/>
                <w:szCs w:val="21"/>
                <w:highlight w:val="none"/>
                <w:lang w:val="en-US" w:eastAsia="zh-CN"/>
              </w:rPr>
              <w:t xml:space="preserve">中标人</w:t>
            </w:r>
            <w:r>
              <w:rPr>
                <w:rFonts w:hint="eastAsia" w:ascii="微软雅黑" w:hAnsi="微软雅黑" w:eastAsia="微软雅黑" w:cs="微软雅黑"/>
                <w:color w:val="auto"/>
                <w:sz w:val="21"/>
                <w:szCs w:val="21"/>
                <w:highlight w:val="none"/>
              </w:rPr>
              <w:t xml:space="preserve">须在项目正式上线投入使用前，完成全覆盖的安全漏洞扫描及渗透测试工作。具体包含但不限于：Web应用安全测试、全流程业务逻辑安全测试、身份认证与权限控制安全测试、医疗业务数据安全测试、系统API接口安全测试等专项检测，全面排查系统存在的高危漏洞、逻辑缺陷、权限隐患、数据泄露风险、接口调用安全隐患等各类安全问题。</w:t>
            </w:r>
            <w:r>
              <w:rPr>
                <w:highlight w:val="none"/>
              </w:rPr>
            </w:r>
            <w:r>
              <w:rPr>
                <w:highlight w:val="none"/>
              </w:rPr>
            </w:r>
          </w:p>
        </w:tc>
        <w:tc>
          <w:tcPr>
            <w:tcW w:w="709" w:type="dxa"/>
            <w:vAlign w:val="center"/>
            <w:textDirection w:val="lrTb"/>
            <w:noWrap w:val="false"/>
          </w:tcPr>
          <w:p>
            <w:pPr>
              <w:jc w:val="center"/>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val="en-US" w:eastAsia="zh-CN"/>
              </w:rPr>
              <w:t xml:space="preserve">1</w:t>
            </w:r>
            <w:r>
              <w:rPr>
                <w:highlight w:val="none"/>
              </w:rPr>
            </w:r>
            <w:r>
              <w:rPr>
                <w:highlight w:val="none"/>
              </w:rPr>
            </w:r>
          </w:p>
        </w:tc>
        <w:tc>
          <w:tcPr>
            <w:tcW w:w="851" w:type="dxa"/>
            <w:vAlign w:val="center"/>
            <w:textDirection w:val="lrTb"/>
            <w:noWrap w:val="false"/>
          </w:tcPr>
          <w:p>
            <w:pPr>
              <w:jc w:val="center"/>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val="en-US" w:eastAsia="zh-CN"/>
              </w:rPr>
              <w:t xml:space="preserve">套</w:t>
            </w:r>
            <w:r>
              <w:rPr>
                <w:highlight w:val="none"/>
              </w:rPr>
            </w:r>
            <w:r>
              <w:rPr>
                <w:highlight w:val="none"/>
              </w:rPr>
            </w:r>
          </w:p>
        </w:tc>
        <w:tc>
          <w:tcPr>
            <w:tcW w:w="810" w:type="dxa"/>
            <w:vAlign w:val="center"/>
            <w:textDirection w:val="lrTb"/>
            <w:noWrap w:val="false"/>
          </w:tcPr>
          <w:p>
            <w:pPr>
              <w:jc w:val="center"/>
              <w:widowControl w:val="off"/>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r>
            <w:r>
              <w:rPr>
                <w:highlight w:val="none"/>
              </w:rPr>
            </w:r>
            <w:r>
              <w:rPr>
                <w:highlight w:val="none"/>
              </w:rPr>
            </w:r>
          </w:p>
        </w:tc>
      </w:tr>
    </w:tbl>
    <w:p>
      <w:pPr>
        <w:numPr>
          <w:ilvl w:val="0"/>
          <w:numId w:val="6"/>
        </w:numPr>
        <w:ind w:firstLine="420"/>
        <w:spacing w:line="360" w:lineRule="auto"/>
        <w:rPr>
          <w:rFonts w:hint="eastAsia" w:ascii="微软雅黑" w:hAnsi="微软雅黑" w:eastAsia="微软雅黑" w:cs="微软雅黑"/>
          <w:b/>
          <w:color w:val="auto"/>
          <w:sz w:val="21"/>
          <w:szCs w:val="21"/>
          <w:highlight w:val="none"/>
        </w:rPr>
      </w:pPr>
      <w:r>
        <w:rPr>
          <w:rFonts w:hint="eastAsia" w:ascii="微软雅黑" w:hAnsi="微软雅黑" w:eastAsia="微软雅黑" w:cs="微软雅黑"/>
          <w:b/>
          <w:color w:val="auto"/>
          <w:sz w:val="21"/>
          <w:szCs w:val="21"/>
          <w:highlight w:val="none"/>
        </w:rPr>
        <w:t xml:space="preserve">肝癌规范化诊疗系统总体要求</w:t>
      </w:r>
      <w:r>
        <w:rPr>
          <w:highlight w:val="none"/>
        </w:rPr>
      </w:r>
      <w:r>
        <w:rPr>
          <w:highlight w:val="none"/>
        </w:rPr>
      </w:r>
    </w:p>
    <w:tbl>
      <w:tblPr>
        <w:tblStyle w:val="9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4"/>
        <w:gridCol w:w="1340"/>
        <w:gridCol w:w="5404"/>
        <w:gridCol w:w="1282"/>
      </w:tblGrid>
      <w:tr>
        <w:trPr>
          <w:jc w:val="center"/>
        </w:trPr>
        <w:tc>
          <w:tcPr>
            <w:tcW w:w="709"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lang w:val="en-US" w:eastAsia="zh-CN"/>
              </w:rPr>
              <w:t xml:space="preserve">序号</w:t>
            </w:r>
            <w:r>
              <w:rPr>
                <w:highlight w:val="none"/>
              </w:rPr>
            </w:r>
            <w:r>
              <w:rPr>
                <w:highlight w:val="none"/>
              </w:rPr>
            </w:r>
          </w:p>
        </w:tc>
        <w:tc>
          <w:tcPr>
            <w:tcW w:w="1392"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lang w:val="en-US" w:eastAsia="zh-CN"/>
              </w:rPr>
              <w:t xml:space="preserve">模块</w:t>
            </w:r>
            <w:r>
              <w:rPr>
                <w:highlight w:val="none"/>
              </w:rPr>
            </w:r>
            <w:r>
              <w:rPr>
                <w:highlight w:val="none"/>
              </w:rPr>
            </w:r>
          </w:p>
        </w:tc>
        <w:tc>
          <w:tcPr>
            <w:tcW w:w="5664" w:type="dxa"/>
            <w:vAlign w:val="top"/>
            <w:textDirection w:val="lrTb"/>
            <w:noWrap w:val="false"/>
          </w:tcPr>
          <w:p>
            <w:pPr>
              <w:pStyle w:val="1278"/>
              <w:numPr>
                <w:ilvl w:val="0"/>
                <w:numId w:val="0"/>
              </w:num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lang w:val="en-US" w:eastAsia="zh-CN"/>
              </w:rPr>
              <w:t xml:space="preserve">要求</w:t>
            </w:r>
            <w:r>
              <w:rPr>
                <w:highlight w:val="none"/>
              </w:rPr>
            </w:r>
            <w:r>
              <w:rPr>
                <w:highlight w:val="none"/>
              </w:rPr>
            </w:r>
          </w:p>
        </w:tc>
        <w:tc>
          <w:tcPr>
            <w:tcW w:w="1331" w:type="dxa"/>
            <w:vAlign w:val="top"/>
            <w:textDirection w:val="lrTb"/>
            <w:noWrap w:val="false"/>
          </w:tcPr>
          <w:p>
            <w:pPr>
              <w:pStyle w:val="1278"/>
              <w:numPr>
                <w:ilvl w:val="0"/>
                <w:numId w:val="0"/>
              </w:num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lang w:val="en-US" w:eastAsia="zh-CN"/>
              </w:rPr>
              <w:t xml:space="preserve">备注</w:t>
            </w:r>
            <w:r>
              <w:rPr>
                <w:highlight w:val="none"/>
              </w:rPr>
            </w:r>
            <w:r>
              <w:rPr>
                <w:highlight w:val="none"/>
              </w:rPr>
            </w:r>
          </w:p>
        </w:tc>
      </w:tr>
      <w:tr>
        <w:trPr>
          <w:jc w:val="center"/>
        </w:trPr>
        <w:tc>
          <w:tcPr>
            <w:tcW w:w="709"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lang w:val="en-US" w:eastAsia="zh-CN"/>
              </w:rPr>
              <w:t xml:space="preserve">1</w:t>
            </w:r>
            <w:r>
              <w:rPr>
                <w:highlight w:val="none"/>
              </w:rPr>
            </w:r>
            <w:r>
              <w:rPr>
                <w:highlight w:val="none"/>
              </w:rPr>
            </w:r>
          </w:p>
        </w:tc>
        <w:tc>
          <w:tcPr>
            <w:tcW w:w="1392"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b/>
                <w:color w:val="auto"/>
                <w:sz w:val="21"/>
                <w:szCs w:val="21"/>
                <w:highlight w:val="none"/>
              </w:rPr>
              <w:t xml:space="preserve">设计要求</w:t>
            </w:r>
            <w:r>
              <w:rPr>
                <w:highlight w:val="none"/>
              </w:rPr>
            </w:r>
            <w:r>
              <w:rPr>
                <w:highlight w:val="none"/>
              </w:rPr>
            </w:r>
          </w:p>
        </w:tc>
        <w:tc>
          <w:tcPr>
            <w:tcW w:w="5664" w:type="dxa"/>
            <w:vAlign w:val="top"/>
            <w:textDirection w:val="lrTb"/>
            <w:noWrap w:val="false"/>
          </w:tcPr>
          <w:p>
            <w:pPr>
              <w:ind w:left="0" w:firstLine="0"/>
              <w:spacing w:before="60" w:after="60" w:line="36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rPr>
              <w:t xml:space="preserve">系统设计符合《医院信息系统功能基本规范》；系统需采用一体化设计，至少分应用层、服务层、数据层三层及以上；支持容器化部署与弹性扩展，适配多院区分布式管理；支持Web端、移动端等多平台访问，且支持多科室、多院区等多种复杂环境下稳定运行。系统需为原生一体化的平台，确保数据天然共享，流程无缝衔接，避免形成信息孤岛。系统应支持院内本地化部署，所有数据存储于医院内部服务器，做到数据不出院。采用高性能、高可靠的关系型数据库，确保在大并发访问和海量数据存储下的稳定运行与快速查询。</w:t>
            </w:r>
            <w:r>
              <w:rPr>
                <w:highlight w:val="none"/>
              </w:rPr>
            </w:r>
            <w:r>
              <w:rPr>
                <w:highlight w:val="none"/>
              </w:rPr>
            </w:r>
          </w:p>
        </w:tc>
        <w:tc>
          <w:tcPr>
            <w:tcW w:w="1331"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r>
            <w:r>
              <w:rPr>
                <w:highlight w:val="none"/>
              </w:rPr>
            </w:r>
            <w:r>
              <w:rPr>
                <w:highlight w:val="none"/>
              </w:rPr>
            </w:r>
          </w:p>
        </w:tc>
      </w:tr>
      <w:tr>
        <w:trPr>
          <w:jc w:val="center"/>
        </w:trPr>
        <w:tc>
          <w:tcPr>
            <w:tcW w:w="709"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lang w:val="en-US" w:eastAsia="zh-CN"/>
              </w:rPr>
              <w:t xml:space="preserve">2</w:t>
            </w:r>
            <w:r>
              <w:rPr>
                <w:highlight w:val="none"/>
              </w:rPr>
            </w:r>
            <w:r>
              <w:rPr>
                <w:highlight w:val="none"/>
              </w:rPr>
            </w:r>
          </w:p>
        </w:tc>
        <w:tc>
          <w:tcPr>
            <w:tcW w:w="1392"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b/>
                <w:color w:val="auto"/>
                <w:sz w:val="21"/>
                <w:szCs w:val="21"/>
                <w:highlight w:val="none"/>
              </w:rPr>
              <w:t xml:space="preserve">安全要求</w:t>
            </w:r>
            <w:r>
              <w:rPr>
                <w:highlight w:val="none"/>
              </w:rPr>
            </w:r>
            <w:r>
              <w:rPr>
                <w:highlight w:val="none"/>
              </w:rPr>
            </w:r>
          </w:p>
        </w:tc>
        <w:tc>
          <w:tcPr>
            <w:tcW w:w="5664"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val="en-US" w:eastAsia="zh-CN"/>
              </w:rPr>
              <w:t xml:space="preserve">1.</w:t>
            </w:r>
            <w:r>
              <w:rPr>
                <w:rFonts w:hint="eastAsia" w:ascii="微软雅黑" w:hAnsi="微软雅黑" w:eastAsia="微软雅黑" w:cs="微软雅黑"/>
                <w:color w:val="auto"/>
                <w:sz w:val="21"/>
                <w:szCs w:val="21"/>
                <w:highlight w:val="none"/>
              </w:rPr>
              <w:t xml:space="preserve">系统建设须严格遵循国家信息安全等级保护制度及医疗行业数据安全法规，满足医院信息系统安全要求，构建覆盖网络安全、数据安全、应用安全及终端安全体系。系统须支持与医院统一身份认证平台集成，实现单点登录；系统应支持强制密码策略（长度、复杂度、有效期、历史密码检查）；系统应实现用户角度的精细化权限管理。基于角色的访问控制，支持菜单级、数据级、操作级权限设置；支持电子签名配置，确保关键操作的合规性，确保数据防止越权访问，用户越权操作；</w:t>
            </w:r>
            <w:r>
              <w:rPr>
                <w:highlight w:val="none"/>
              </w:rPr>
            </w:r>
            <w:r>
              <w:rPr>
                <w:highlight w:val="none"/>
              </w:rPr>
            </w:r>
          </w:p>
          <w:p>
            <w:pPr>
              <w:pStyle w:val="1278"/>
              <w:numPr>
                <w:ilvl w:val="0"/>
                <w:numId w:val="0"/>
              </w:numP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lang w:val="en-US" w:eastAsia="zh-CN"/>
              </w:rPr>
              <w:t xml:space="preserve">2.</w:t>
            </w:r>
            <w:r>
              <w:rPr>
                <w:rFonts w:hint="eastAsia" w:ascii="微软雅黑" w:hAnsi="微软雅黑" w:eastAsia="微软雅黑" w:cs="微软雅黑"/>
                <w:color w:val="auto"/>
                <w:sz w:val="21"/>
                <w:szCs w:val="21"/>
                <w:highlight w:val="none"/>
              </w:rPr>
              <w:t xml:space="preserve">支持对患者敏感信息实现基于业务场景（如科研教学）的自动动态脱敏，对关键数据的网络传输采用强加密协议进行端到端加密，同时构建针对勒索病毒的主动防御机制，全面保障知识资源的数据完整性与存储高可靠性；内外网数据交互须对跨网数据交换行为实施严格安全过滤；所有操作行为须生成采用防篡改技术存储的完整审计日志。</w:t>
            </w:r>
            <w:r>
              <w:rPr>
                <w:highlight w:val="none"/>
              </w:rPr>
            </w:r>
            <w:r>
              <w:rPr>
                <w:highlight w:val="none"/>
              </w:rPr>
            </w:r>
          </w:p>
        </w:tc>
        <w:tc>
          <w:tcPr>
            <w:tcW w:w="1331"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r>
            <w:r>
              <w:rPr>
                <w:highlight w:val="none"/>
              </w:rPr>
            </w:r>
            <w:r>
              <w:rPr>
                <w:highlight w:val="none"/>
              </w:rPr>
            </w:r>
          </w:p>
        </w:tc>
      </w:tr>
      <w:tr>
        <w:trPr>
          <w:jc w:val="center"/>
        </w:trPr>
        <w:tc>
          <w:tcPr>
            <w:tcW w:w="709"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lang w:val="en-US" w:eastAsia="zh-CN"/>
              </w:rPr>
              <w:t xml:space="preserve">3</w:t>
            </w:r>
            <w:r>
              <w:rPr>
                <w:highlight w:val="none"/>
              </w:rPr>
            </w:r>
            <w:r>
              <w:rPr>
                <w:highlight w:val="none"/>
              </w:rPr>
            </w:r>
          </w:p>
        </w:tc>
        <w:tc>
          <w:tcPr>
            <w:tcW w:w="1392"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b/>
                <w:color w:val="auto"/>
                <w:sz w:val="21"/>
                <w:szCs w:val="21"/>
                <w:highlight w:val="none"/>
              </w:rPr>
              <w:t xml:space="preserve">信创要求</w:t>
            </w:r>
            <w:r>
              <w:rPr>
                <w:highlight w:val="none"/>
              </w:rPr>
            </w:r>
            <w:r>
              <w:rPr>
                <w:highlight w:val="none"/>
              </w:rPr>
            </w:r>
          </w:p>
        </w:tc>
        <w:tc>
          <w:tcPr>
            <w:tcW w:w="5664" w:type="dxa"/>
            <w:vAlign w:val="top"/>
            <w:textDirection w:val="lrTb"/>
            <w:noWrap w:val="false"/>
          </w:tcPr>
          <w:p>
            <w:pPr>
              <w:ind w:left="0" w:firstLine="0"/>
              <w:spacing w:before="60" w:after="60" w:line="36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rPr>
              <w:t xml:space="preserve">系统需进行全信息技术应用创新部署，拥有主流国产芯片、数据库、操作系统、中间件适配认证或兼容性认证经验，本系统采用全信创部署，并需要提供针对招标人的永久性授权。</w:t>
            </w:r>
            <w:r>
              <w:rPr>
                <w:highlight w:val="none"/>
              </w:rPr>
            </w:r>
            <w:r>
              <w:rPr>
                <w:highlight w:val="none"/>
              </w:rPr>
            </w:r>
          </w:p>
        </w:tc>
        <w:tc>
          <w:tcPr>
            <w:tcW w:w="1331"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r>
            <w:r>
              <w:rPr>
                <w:highlight w:val="none"/>
              </w:rPr>
            </w:r>
            <w:r>
              <w:rPr>
                <w:highlight w:val="none"/>
              </w:rPr>
            </w:r>
          </w:p>
        </w:tc>
      </w:tr>
      <w:tr>
        <w:trPr>
          <w:jc w:val="center"/>
        </w:trPr>
        <w:tc>
          <w:tcPr>
            <w:tcW w:w="709"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lang w:val="en-US" w:eastAsia="zh-CN"/>
              </w:rPr>
              <w:t xml:space="preserve">4</w:t>
            </w:r>
            <w:r>
              <w:rPr>
                <w:highlight w:val="none"/>
              </w:rPr>
            </w:r>
            <w:r>
              <w:rPr>
                <w:highlight w:val="none"/>
              </w:rPr>
            </w:r>
          </w:p>
        </w:tc>
        <w:tc>
          <w:tcPr>
            <w:tcW w:w="1392"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b/>
                <w:color w:val="auto"/>
                <w:sz w:val="21"/>
                <w:szCs w:val="21"/>
                <w:highlight w:val="none"/>
              </w:rPr>
              <w:t xml:space="preserve">接口要求</w:t>
            </w:r>
            <w:r>
              <w:rPr>
                <w:highlight w:val="none"/>
              </w:rPr>
            </w:r>
            <w:r>
              <w:rPr>
                <w:highlight w:val="none"/>
              </w:rPr>
            </w:r>
          </w:p>
        </w:tc>
        <w:tc>
          <w:tcPr>
            <w:tcW w:w="5664" w:type="dxa"/>
            <w:vAlign w:val="top"/>
            <w:textDirection w:val="lrTb"/>
            <w:noWrap w:val="false"/>
          </w:tcPr>
          <w:p>
            <w:pPr>
              <w:ind w:firstLine="0"/>
              <w:spacing w:before="60" w:after="60" w:line="36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rPr>
              <w:t xml:space="preserve">系统提供标准化接口，数据类接口应符合医院现有标准。支持与医院信息系统数据对接，获取/上传信息系统数据内容</w:t>
            </w:r>
            <w:r>
              <w:rPr>
                <w:rFonts w:hint="eastAsia" w:ascii="微软雅黑" w:hAnsi="微软雅黑" w:eastAsia="微软雅黑" w:cs="微软雅黑"/>
                <w:color w:val="auto"/>
                <w:sz w:val="21"/>
                <w:szCs w:val="21"/>
                <w:highlight w:val="none"/>
                <w:lang w:eastAsia="zh-CN"/>
              </w:rPr>
              <w:t xml:space="preserve">。</w:t>
            </w:r>
            <w:r>
              <w:rPr>
                <w:rFonts w:hint="eastAsia" w:ascii="微软雅黑" w:hAnsi="微软雅黑" w:eastAsia="微软雅黑" w:cs="微软雅黑"/>
                <w:color w:val="auto"/>
                <w:sz w:val="21"/>
                <w:szCs w:val="21"/>
                <w:highlight w:val="none"/>
                <w:lang w:val="en-US" w:eastAsia="zh-CN"/>
              </w:rPr>
              <w:t xml:space="preserve">招标人提供标准化的集成平台接口，如需其他第三方系统的改造和接口额外开发，则相关费用由中标人承担，招标人不额外支付费用。</w:t>
            </w:r>
            <w:r>
              <w:rPr>
                <w:highlight w:val="none"/>
              </w:rPr>
            </w:r>
            <w:r>
              <w:rPr>
                <w:highlight w:val="none"/>
              </w:rPr>
            </w:r>
          </w:p>
        </w:tc>
        <w:tc>
          <w:tcPr>
            <w:tcW w:w="1331"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r>
            <w:r>
              <w:rPr>
                <w:highlight w:val="none"/>
              </w:rPr>
            </w:r>
            <w:r>
              <w:rPr>
                <w:highlight w:val="none"/>
              </w:rPr>
            </w:r>
          </w:p>
        </w:tc>
      </w:tr>
      <w:tr>
        <w:trPr>
          <w:jc w:val="center"/>
        </w:trPr>
        <w:tc>
          <w:tcPr>
            <w:tcW w:w="709"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lang w:val="en-US" w:eastAsia="zh-CN"/>
              </w:rPr>
              <w:t xml:space="preserve">5</w:t>
            </w:r>
            <w:r>
              <w:rPr>
                <w:highlight w:val="none"/>
              </w:rPr>
            </w:r>
            <w:r>
              <w:rPr>
                <w:highlight w:val="none"/>
              </w:rPr>
            </w:r>
          </w:p>
        </w:tc>
        <w:tc>
          <w:tcPr>
            <w:tcW w:w="1392"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b/>
                <w:color w:val="auto"/>
                <w:sz w:val="21"/>
                <w:szCs w:val="21"/>
                <w:highlight w:val="none"/>
              </w:rPr>
              <w:t xml:space="preserve">数据标准化要求</w:t>
            </w:r>
            <w:r>
              <w:rPr>
                <w:highlight w:val="none"/>
              </w:rPr>
            </w:r>
            <w:r>
              <w:rPr>
                <w:highlight w:val="none"/>
              </w:rPr>
            </w:r>
          </w:p>
        </w:tc>
        <w:tc>
          <w:tcPr>
            <w:tcW w:w="5664" w:type="dxa"/>
            <w:vAlign w:val="top"/>
            <w:textDirection w:val="lrTb"/>
            <w:noWrap w:val="false"/>
          </w:tcPr>
          <w:p>
            <w:pPr>
              <w:ind w:firstLine="0"/>
              <w:spacing w:before="60" w:after="60" w:line="36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rPr>
              <w:t xml:space="preserve">数据录入需要满足国家规定和医院标准，实现数据的标准化、结构化和可共享。</w:t>
            </w:r>
            <w:r>
              <w:rPr>
                <w:highlight w:val="none"/>
              </w:rPr>
            </w:r>
            <w:r>
              <w:rPr>
                <w:highlight w:val="none"/>
              </w:rPr>
            </w:r>
          </w:p>
        </w:tc>
        <w:tc>
          <w:tcPr>
            <w:tcW w:w="1331"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r>
            <w:r>
              <w:rPr>
                <w:highlight w:val="none"/>
              </w:rPr>
            </w:r>
            <w:r>
              <w:rPr>
                <w:highlight w:val="none"/>
              </w:rPr>
            </w:r>
          </w:p>
        </w:tc>
      </w:tr>
      <w:tr>
        <w:trPr>
          <w:jc w:val="center"/>
        </w:trPr>
        <w:tc>
          <w:tcPr>
            <w:tcW w:w="709"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lang w:val="en-US" w:eastAsia="zh-CN"/>
              </w:rPr>
              <w:t xml:space="preserve">6</w:t>
            </w:r>
            <w:r>
              <w:rPr>
                <w:highlight w:val="none"/>
              </w:rPr>
            </w:r>
            <w:r>
              <w:rPr>
                <w:highlight w:val="none"/>
              </w:rPr>
            </w:r>
          </w:p>
        </w:tc>
        <w:tc>
          <w:tcPr>
            <w:tcW w:w="1392"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color w:val="auto"/>
                <w:sz w:val="21"/>
                <w:szCs w:val="21"/>
                <w:highlight w:val="none"/>
              </w:rPr>
            </w:pPr>
            <w:r>
              <w:rPr>
                <w:rFonts w:hint="eastAsia" w:ascii="微软雅黑" w:hAnsi="微软雅黑" w:eastAsia="微软雅黑" w:cs="微软雅黑"/>
                <w:b/>
                <w:color w:val="auto"/>
                <w:sz w:val="21"/>
                <w:szCs w:val="21"/>
                <w:highlight w:val="none"/>
              </w:rPr>
              <w:t xml:space="preserve">性能要求</w:t>
            </w:r>
            <w:r>
              <w:rPr>
                <w:highlight w:val="none"/>
              </w:rPr>
            </w:r>
            <w:r>
              <w:rPr>
                <w:highlight w:val="none"/>
              </w:rPr>
            </w:r>
          </w:p>
        </w:tc>
        <w:tc>
          <w:tcPr>
            <w:tcW w:w="5664" w:type="dxa"/>
            <w:vAlign w:val="top"/>
            <w:textDirection w:val="lrTb"/>
            <w:noWrap w:val="false"/>
          </w:tcPr>
          <w:p>
            <w:pPr>
              <w:ind w:firstLine="0"/>
              <w:spacing w:before="60" w:after="60" w:line="360" w:lineRule="auto"/>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满足医院全体职工使用，支持用户数量1000+并发使用，不出现卡顿、故障等问题。提供不同级别，不同故障情况下的应用系统的应急预案（指技术实现方案）。避免因计算机故障导致的医疗工作的延迟和医疗差错。</w:t>
            </w:r>
            <w:r>
              <w:rPr>
                <w:highlight w:val="none"/>
              </w:rPr>
            </w:r>
            <w:r>
              <w:rPr>
                <w:highlight w:val="none"/>
              </w:rPr>
            </w:r>
          </w:p>
        </w:tc>
        <w:tc>
          <w:tcPr>
            <w:tcW w:w="1331"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r>
            <w:r>
              <w:rPr>
                <w:highlight w:val="none"/>
              </w:rPr>
            </w:r>
            <w:r>
              <w:rPr>
                <w:highlight w:val="none"/>
              </w:rPr>
            </w:r>
          </w:p>
        </w:tc>
      </w:tr>
      <w:tr>
        <w:trPr>
          <w:jc w:val="center"/>
        </w:trPr>
        <w:tc>
          <w:tcPr>
            <w:tcW w:w="709"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lang w:val="en-US" w:eastAsia="zh-CN"/>
              </w:rPr>
              <w:t xml:space="preserve">7</w:t>
            </w:r>
            <w:r>
              <w:rPr>
                <w:highlight w:val="none"/>
              </w:rPr>
            </w:r>
            <w:r>
              <w:rPr>
                <w:highlight w:val="none"/>
              </w:rPr>
            </w:r>
          </w:p>
        </w:tc>
        <w:tc>
          <w:tcPr>
            <w:tcW w:w="1392"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color w:val="auto"/>
                <w:sz w:val="21"/>
                <w:szCs w:val="21"/>
                <w:highlight w:val="none"/>
              </w:rPr>
            </w:pPr>
            <w:r>
              <w:rPr>
                <w:rFonts w:hint="eastAsia" w:ascii="微软雅黑" w:hAnsi="微软雅黑" w:eastAsia="微软雅黑" w:cs="微软雅黑"/>
                <w:b/>
                <w:color w:val="auto"/>
                <w:sz w:val="21"/>
                <w:szCs w:val="21"/>
                <w:highlight w:val="none"/>
              </w:rPr>
              <w:t xml:space="preserve">终端用户操作性要求</w:t>
            </w:r>
            <w:r>
              <w:rPr>
                <w:highlight w:val="none"/>
              </w:rPr>
            </w:r>
            <w:r>
              <w:rPr>
                <w:highlight w:val="none"/>
              </w:rPr>
            </w:r>
          </w:p>
        </w:tc>
        <w:tc>
          <w:tcPr>
            <w:tcW w:w="5664" w:type="dxa"/>
            <w:vAlign w:val="top"/>
            <w:textDirection w:val="lrTb"/>
            <w:noWrap w:val="false"/>
          </w:tcPr>
          <w:p>
            <w:pPr>
              <w:ind w:firstLine="0"/>
              <w:spacing w:before="60" w:after="60" w:line="360" w:lineRule="auto"/>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软件系统要体现易于理解掌握、操作简单、提示清晰、逻辑性强，直观简洁、帮助信息丰富等特点，保证操作人员以最快速度和最少的击键次数完成工作。</w:t>
            </w:r>
            <w:r>
              <w:rPr>
                <w:highlight w:val="none"/>
              </w:rPr>
            </w:r>
            <w:r>
              <w:rPr>
                <w:highlight w:val="none"/>
              </w:rPr>
            </w:r>
          </w:p>
        </w:tc>
        <w:tc>
          <w:tcPr>
            <w:tcW w:w="1331"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r>
            <w:r>
              <w:rPr>
                <w:highlight w:val="none"/>
              </w:rPr>
            </w:r>
            <w:r>
              <w:rPr>
                <w:highlight w:val="none"/>
              </w:rPr>
            </w:r>
          </w:p>
        </w:tc>
      </w:tr>
      <w:tr>
        <w:trPr>
          <w:jc w:val="center"/>
          <w:trHeight w:val="2708"/>
        </w:trPr>
        <w:tc>
          <w:tcPr>
            <w:tcW w:w="709"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lang w:val="en-US" w:eastAsia="zh-CN"/>
              </w:rPr>
              <w:t xml:space="preserve">8</w:t>
            </w:r>
            <w:r>
              <w:rPr>
                <w:highlight w:val="none"/>
              </w:rPr>
            </w:r>
            <w:r>
              <w:rPr>
                <w:highlight w:val="none"/>
              </w:rPr>
            </w:r>
          </w:p>
        </w:tc>
        <w:tc>
          <w:tcPr>
            <w:tcW w:w="1392"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color w:val="auto"/>
                <w:sz w:val="21"/>
                <w:szCs w:val="21"/>
                <w:highlight w:val="none"/>
              </w:rPr>
            </w:pPr>
            <w:r>
              <w:rPr>
                <w:rFonts w:hint="eastAsia" w:ascii="微软雅黑" w:hAnsi="微软雅黑" w:eastAsia="微软雅黑" w:cs="微软雅黑"/>
                <w:b/>
                <w:color w:val="auto"/>
                <w:sz w:val="21"/>
                <w:szCs w:val="21"/>
                <w:highlight w:val="none"/>
              </w:rPr>
              <w:t xml:space="preserve">科研要求</w:t>
            </w:r>
            <w:r>
              <w:rPr>
                <w:highlight w:val="none"/>
              </w:rPr>
            </w:r>
            <w:r>
              <w:rPr>
                <w:highlight w:val="none"/>
              </w:rPr>
            </w:r>
          </w:p>
        </w:tc>
        <w:tc>
          <w:tcPr>
            <w:tcW w:w="5664" w:type="dxa"/>
            <w:vAlign w:val="top"/>
            <w:textDirection w:val="lrTb"/>
            <w:noWrap w:val="false"/>
          </w:tcPr>
          <w:p>
            <w:pPr>
              <w:ind w:firstLine="0"/>
              <w:spacing w:before="60" w:after="60" w:line="360" w:lineRule="auto"/>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承建方需协助医院进行相关的科研工作，为科研人员完成高质量学术期刊的论文发表提供支持；协助医院完成有关该项目技术创新相关的发明专利的申报工作；协助医院进行有关该项目的示范工程、创新奖项的申报工作。</w:t>
            </w:r>
            <w:r>
              <w:rPr>
                <w:highlight w:val="none"/>
              </w:rPr>
            </w:r>
            <w:r>
              <w:rPr>
                <w:highlight w:val="none"/>
              </w:rPr>
            </w:r>
          </w:p>
        </w:tc>
        <w:tc>
          <w:tcPr>
            <w:tcW w:w="1331"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r>
            <w:r>
              <w:rPr>
                <w:highlight w:val="none"/>
              </w:rPr>
            </w:r>
            <w:r>
              <w:rPr>
                <w:highlight w:val="none"/>
              </w:rPr>
            </w:r>
          </w:p>
        </w:tc>
      </w:tr>
    </w:tbl>
    <w:p>
      <w:pPr>
        <w:pStyle w:val="1278"/>
        <w:numPr>
          <w:ilvl w:val="0"/>
          <w:numId w:val="0"/>
        </w:numPr>
        <w:ind w:firstLine="0"/>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r>
      <w:r>
        <w:rPr>
          <w:highlight w:val="none"/>
        </w:rPr>
      </w:r>
      <w:r>
        <w:rPr>
          <w:highlight w:val="none"/>
        </w:rPr>
      </w:r>
    </w:p>
    <w:p>
      <w:pPr>
        <w:numPr>
          <w:ilvl w:val="0"/>
          <w:numId w:val="6"/>
        </w:numPr>
        <w:ind w:firstLine="420"/>
        <w:spacing w:line="360" w:lineRule="auto"/>
        <w:rPr>
          <w:rFonts w:hint="eastAsia" w:ascii="微软雅黑" w:hAnsi="微软雅黑" w:eastAsia="微软雅黑" w:cs="微软雅黑"/>
          <w:b/>
          <w:color w:val="auto"/>
          <w:sz w:val="21"/>
          <w:szCs w:val="21"/>
          <w:highlight w:val="none"/>
        </w:rPr>
      </w:pPr>
      <w:r>
        <w:rPr>
          <w:rFonts w:hint="eastAsia" w:ascii="微软雅黑" w:hAnsi="微软雅黑" w:eastAsia="微软雅黑" w:cs="微软雅黑"/>
          <w:b/>
          <w:color w:val="auto"/>
          <w:sz w:val="21"/>
          <w:szCs w:val="21"/>
          <w:highlight w:val="none"/>
        </w:rPr>
        <w:t xml:space="preserve">项目产品功能要求</w:t>
      </w:r>
      <w:r>
        <w:rPr>
          <w:highlight w:val="none"/>
        </w:rPr>
      </w:r>
      <w:r>
        <w:rPr>
          <w:highlight w:val="none"/>
        </w:rPr>
      </w:r>
    </w:p>
    <w:tbl>
      <w:tblPr>
        <w:tblStyle w:val="934"/>
        <w:tblW w:w="87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3"/>
        <w:gridCol w:w="1305"/>
        <w:gridCol w:w="1480"/>
        <w:gridCol w:w="4238"/>
        <w:gridCol w:w="987"/>
      </w:tblGrid>
      <w:tr>
        <w:trPr/>
        <w:tc>
          <w:tcPr>
            <w:tcW w:w="693"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lang w:val="en-US" w:eastAsia="zh-CN"/>
              </w:rPr>
              <w:t xml:space="preserve">序号</w:t>
            </w:r>
            <w:r>
              <w:rPr>
                <w:highlight w:val="none"/>
              </w:rPr>
            </w:r>
            <w:r>
              <w:rPr>
                <w:highlight w:val="none"/>
              </w:rPr>
            </w:r>
          </w:p>
        </w:tc>
        <w:tc>
          <w:tcPr>
            <w:tcW w:w="1305"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lang w:val="en-US" w:eastAsia="zh-CN"/>
              </w:rPr>
              <w:t xml:space="preserve">模块</w:t>
            </w:r>
            <w:r>
              <w:rPr>
                <w:highlight w:val="none"/>
              </w:rPr>
            </w:r>
            <w:r>
              <w:rPr>
                <w:highlight w:val="none"/>
              </w:rPr>
            </w:r>
          </w:p>
        </w:tc>
        <w:tc>
          <w:tcPr>
            <w:tcW w:w="1480"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lang w:val="en-US" w:eastAsia="zh-CN"/>
              </w:rPr>
              <w:t xml:space="preserve">子模块</w:t>
            </w:r>
            <w:r>
              <w:rPr>
                <w:highlight w:val="none"/>
              </w:rPr>
            </w:r>
            <w:r>
              <w:rPr>
                <w:highlight w:val="none"/>
              </w:rPr>
            </w:r>
          </w:p>
        </w:tc>
        <w:tc>
          <w:tcPr>
            <w:tcW w:w="4238"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lang w:val="en-US" w:eastAsia="zh-CN"/>
              </w:rPr>
              <w:t xml:space="preserve">功能</w:t>
            </w:r>
            <w:r>
              <w:rPr>
                <w:highlight w:val="none"/>
              </w:rPr>
            </w:r>
            <w:r>
              <w:rPr>
                <w:highlight w:val="none"/>
              </w:rPr>
            </w:r>
          </w:p>
        </w:tc>
        <w:tc>
          <w:tcPr>
            <w:tcW w:w="987" w:type="dxa"/>
            <w:vAlign w:val="top"/>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lang w:val="en-US" w:eastAsia="zh-CN"/>
              </w:rPr>
              <w:t xml:space="preserve">备注</w:t>
            </w:r>
            <w:r>
              <w:rPr>
                <w:highlight w:val="none"/>
              </w:rPr>
            </w:r>
            <w:r>
              <w:rPr>
                <w:highlight w:val="none"/>
              </w:rPr>
            </w:r>
          </w:p>
        </w:tc>
      </w:tr>
      <w:tr>
        <w:trPr>
          <w:trHeight w:val="11861"/>
        </w:trPr>
        <w:tc>
          <w:tcPr>
            <w:tcW w:w="693" w:type="dxa"/>
            <w:vAlign w:val="center"/>
            <w:vMerge w:val="restart"/>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lang w:val="en-US" w:eastAsia="zh-CN"/>
              </w:rPr>
              <w:t xml:space="preserve">1</w:t>
            </w:r>
            <w:r>
              <w:rPr>
                <w:highlight w:val="none"/>
              </w:rPr>
            </w:r>
            <w:r>
              <w:rPr>
                <w:highlight w:val="none"/>
              </w:rPr>
            </w:r>
          </w:p>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lang w:val="en-US" w:eastAsia="zh-CN"/>
              </w:rPr>
            </w:r>
            <w:r>
              <w:rPr>
                <w:highlight w:val="none"/>
              </w:rPr>
            </w:r>
            <w:r>
              <w:rPr>
                <w:highlight w:val="none"/>
              </w:rPr>
            </w:r>
          </w:p>
        </w:tc>
        <w:tc>
          <w:tcPr>
            <w:tcW w:w="1305" w:type="dxa"/>
            <w:vAlign w:val="center"/>
            <w:vMerge w:val="restart"/>
            <w:textDirection w:val="lrTb"/>
            <w:noWrap w:val="false"/>
          </w:tcPr>
          <w:p>
            <w:pPr>
              <w:ind w:firstLine="0"/>
              <w:jc w:val="center"/>
              <w:spacing w:after="0" w:line="36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AI智能筛查与管控模块</w:t>
            </w:r>
            <w:r>
              <w:rPr>
                <w:highlight w:val="none"/>
              </w:rPr>
            </w:r>
            <w:r>
              <w:rPr>
                <w:highlight w:val="none"/>
              </w:rPr>
            </w:r>
          </w:p>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c>
          <w:tcPr>
            <w:tcW w:w="1480"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lang w:val="en-US" w:eastAsia="zh-CN"/>
              </w:rPr>
              <w:t xml:space="preserve">总体要求</w:t>
            </w:r>
            <w:r>
              <w:rPr>
                <w:highlight w:val="none"/>
              </w:rPr>
            </w:r>
            <w:r>
              <w:rPr>
                <w:highlight w:val="none"/>
              </w:rPr>
            </w:r>
          </w:p>
        </w:tc>
        <w:tc>
          <w:tcPr>
            <w:tcW w:w="4238" w:type="dxa"/>
            <w:vAlign w:val="center"/>
            <w:textDirection w:val="lrTb"/>
            <w:noWrap w:val="false"/>
          </w:tcPr>
          <w:p>
            <w:pPr>
              <w:pStyle w:val="1280"/>
              <w:ind w:firstLine="0"/>
              <w:jc w:val="both"/>
              <w:spacing w:line="36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1、核心目标：对入院患者进行肝癌智能筛查，自动识别肝癌患者，判断是否进入MDT管控路径，并实施医嘱管控。</w:t>
            </w:r>
            <w:r>
              <w:rPr>
                <w:highlight w:val="none"/>
              </w:rPr>
            </w:r>
            <w:r>
              <w:rPr>
                <w:highlight w:val="none"/>
              </w:rPr>
            </w:r>
          </w:p>
          <w:p>
            <w:pPr>
              <w:pStyle w:val="1280"/>
              <w:ind w:firstLine="0"/>
              <w:jc w:val="both"/>
              <w:spacing w:line="36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2、功能描述：系统对接HIS系统，实时监听患者入院事件，对每一个新入院患者自动触发AI初筛流程，判断该患者是否为肝癌患者。</w:t>
            </w:r>
            <w:r>
              <w:rPr>
                <w:highlight w:val="none"/>
              </w:rPr>
            </w:r>
            <w:r>
              <w:rPr>
                <w:highlight w:val="none"/>
              </w:rPr>
            </w:r>
          </w:p>
          <w:p>
            <w:pPr>
              <w:ind w:firstLine="0"/>
              <w:jc w:val="both"/>
              <w:spacing w:after="0" w:line="36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3、入院患者肝癌初筛</w:t>
            </w:r>
            <w:r>
              <w:rPr>
                <w:highlight w:val="none"/>
              </w:rPr>
            </w:r>
            <w:r>
              <w:rPr>
                <w:highlight w:val="none"/>
              </w:rPr>
            </w:r>
          </w:p>
          <w:p>
            <w:pPr>
              <w:ind w:firstLine="0"/>
              <w:jc w:val="both"/>
              <w:spacing w:after="0" w:line="36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（1）功能描述：</w:t>
            </w:r>
            <w:r>
              <w:rPr>
                <w:highlight w:val="none"/>
              </w:rPr>
            </w:r>
            <w:r>
              <w:rPr>
                <w:highlight w:val="none"/>
              </w:rPr>
            </w:r>
          </w:p>
          <w:p>
            <w:pPr>
              <w:pStyle w:val="1280"/>
              <w:ind w:firstLine="0"/>
              <w:jc w:val="both"/>
              <w:spacing w:line="36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系统对接HIS系统，实时监听患者入院事件，对每一个新入院患者自动触发AI初筛流程，判断该患者是否为肝癌患者。（需要院方进行报告结构化改造，实现必要的数据查询筛查）。</w:t>
            </w:r>
            <w:r>
              <w:rPr>
                <w:highlight w:val="none"/>
              </w:rPr>
            </w:r>
            <w:r>
              <w:rPr>
                <w:highlight w:val="none"/>
              </w:rPr>
            </w:r>
          </w:p>
          <w:p>
            <w:pPr>
              <w:pStyle w:val="1280"/>
              <w:ind w:firstLine="0"/>
              <w:jc w:val="both"/>
              <w:spacing w:line="36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（2）业务规则：</w:t>
            </w:r>
            <w:r>
              <w:rPr>
                <w:highlight w:val="none"/>
              </w:rPr>
            </w:r>
            <w:r>
              <w:rPr>
                <w:highlight w:val="none"/>
              </w:rPr>
            </w:r>
          </w:p>
          <w:p>
            <w:pPr>
              <w:pStyle w:val="1280"/>
              <w:ind w:firstLine="0"/>
              <w:jc w:val="both"/>
              <w:spacing w:line="36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1）初筛范围：所有入院患者（不限于肝胆外科，包括内科、介入科、肿瘤科等）。</w:t>
            </w:r>
            <w:r>
              <w:rPr>
                <w:highlight w:val="none"/>
              </w:rPr>
            </w:r>
            <w:r>
              <w:rPr>
                <w:highlight w:val="none"/>
              </w:rPr>
            </w:r>
          </w:p>
          <w:p>
            <w:pPr>
              <w:pStyle w:val="1280"/>
              <w:ind w:firstLine="0"/>
              <w:jc w:val="both"/>
              <w:spacing w:line="36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2）初筛时效：入院后30分钟内完成AI初筛。</w:t>
            </w:r>
            <w:r>
              <w:rPr>
                <w:highlight w:val="none"/>
              </w:rPr>
            </w:r>
            <w:r>
              <w:rPr>
                <w:highlight w:val="none"/>
              </w:rPr>
            </w:r>
          </w:p>
          <w:p>
            <w:pPr>
              <w:pStyle w:val="1280"/>
              <w:ind w:firstLine="0"/>
              <w:jc w:val="both"/>
              <w:spacing w:line="36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3）初筛结果分类：确诊肝癌、疑似肝癌（待复核）、排除非肝癌。</w:t>
            </w:r>
            <w:r>
              <w:rPr>
                <w:highlight w:val="none"/>
              </w:rPr>
            </w:r>
            <w:r>
              <w:rPr>
                <w:highlight w:val="none"/>
              </w:rPr>
            </w:r>
          </w:p>
        </w:tc>
        <w:tc>
          <w:tcPr>
            <w:tcW w:w="987" w:type="dxa"/>
            <w:vAlign w:val="top"/>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rPr>
            </w:pPr>
            <w:r>
              <w:rPr>
                <w:rFonts w:hint="eastAsia" w:ascii="微软雅黑" w:hAnsi="微软雅黑" w:eastAsia="微软雅黑" w:cs="微软雅黑"/>
                <w:b w:val="0"/>
                <w:bCs w:val="0"/>
                <w:color w:val="auto"/>
                <w:sz w:val="21"/>
                <w:szCs w:val="21"/>
                <w:vertAlign w:val="baseline"/>
              </w:rPr>
            </w:r>
            <w:r/>
          </w:p>
        </w:tc>
        <w:tc>
          <w:tcPr>
            <w:tcW w:w="1480"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入院事件监听</w:t>
            </w:r>
            <w:r>
              <w:rPr>
                <w:highlight w:val="none"/>
              </w:rPr>
            </w:r>
            <w:r>
              <w:rPr>
                <w:highlight w:val="none"/>
              </w:rPr>
            </w:r>
          </w:p>
        </w:tc>
        <w:tc>
          <w:tcPr>
            <w:tcW w:w="4238" w:type="dxa"/>
            <w:vAlign w:val="center"/>
            <w:textDirection w:val="lrTb"/>
            <w:noWrap w:val="false"/>
          </w:tcPr>
          <w:p>
            <w:pPr>
              <w:pStyle w:val="1278"/>
              <w:numPr>
                <w:ilvl w:val="0"/>
                <w:numId w:val="0"/>
              </w:numPr>
              <w:jc w:val="both"/>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对接HIS系统，实时获取患者入院信息（住院号、科室、诊断等），触发初筛流程。</w:t>
            </w:r>
            <w:r>
              <w:rPr>
                <w:highlight w:val="none"/>
              </w:rPr>
            </w:r>
            <w:r>
              <w:rPr>
                <w:highlight w:val="none"/>
              </w:rPr>
            </w:r>
          </w:p>
        </w:tc>
        <w:tc>
          <w:tcPr>
            <w:tcW w:w="987"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rPr>
            </w:pPr>
            <w:r>
              <w:rPr>
                <w:rFonts w:hint="eastAsia" w:ascii="微软雅黑" w:hAnsi="微软雅黑" w:eastAsia="微软雅黑" w:cs="微软雅黑"/>
                <w:b w:val="0"/>
                <w:bCs w:val="0"/>
                <w:color w:val="auto"/>
                <w:sz w:val="21"/>
                <w:szCs w:val="21"/>
                <w:vertAlign w:val="baseline"/>
              </w:rPr>
            </w:r>
            <w:r/>
          </w:p>
        </w:tc>
        <w:tc>
          <w:tcPr>
            <w:tcW w:w="1480"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院内数据自动采集</w:t>
            </w:r>
            <w:r>
              <w:rPr>
                <w:highlight w:val="none"/>
              </w:rPr>
            </w:r>
            <w:r>
              <w:rPr>
                <w:highlight w:val="none"/>
              </w:rPr>
            </w:r>
          </w:p>
        </w:tc>
        <w:tc>
          <w:tcPr>
            <w:tcW w:w="4238" w:type="dxa"/>
            <w:vAlign w:val="center"/>
            <w:textDirection w:val="lrTb"/>
            <w:noWrap w:val="false"/>
          </w:tcPr>
          <w:p>
            <w:pPr>
              <w:pStyle w:val="1278"/>
              <w:numPr>
                <w:ilvl w:val="0"/>
                <w:numId w:val="0"/>
              </w:numPr>
              <w:jc w:val="both"/>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自动获取患者院内诊疗数据，包括：门诊诊断、住院诊断、检验结果、影像报告、病理报告等数据。</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rPr>
            </w:pPr>
            <w:r>
              <w:rPr>
                <w:rFonts w:hint="eastAsia" w:ascii="微软雅黑" w:hAnsi="微软雅黑" w:eastAsia="微软雅黑" w:cs="微软雅黑"/>
                <w:b w:val="0"/>
                <w:bCs w:val="0"/>
                <w:color w:val="auto"/>
                <w:sz w:val="21"/>
                <w:szCs w:val="21"/>
                <w:vertAlign w:val="baseline"/>
              </w:rPr>
            </w:r>
            <w:r/>
          </w:p>
        </w:tc>
        <w:tc>
          <w:tcPr>
            <w:tcW w:w="1480"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AI肝癌初筛模型</w:t>
            </w:r>
            <w:r>
              <w:rPr>
                <w:highlight w:val="none"/>
              </w:rPr>
            </w:r>
            <w:r>
              <w:rPr>
                <w:highlight w:val="none"/>
              </w:rPr>
            </w:r>
          </w:p>
        </w:tc>
        <w:tc>
          <w:tcPr>
            <w:tcW w:w="4238" w:type="dxa"/>
            <w:vAlign w:val="center"/>
            <w:textDirection w:val="lrTb"/>
            <w:noWrap w:val="false"/>
          </w:tcPr>
          <w:p>
            <w:pPr>
              <w:pStyle w:val="1278"/>
              <w:numPr>
                <w:ilvl w:val="0"/>
                <w:numId w:val="0"/>
              </w:numPr>
              <w:jc w:val="both"/>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基于患者院内诊疗数据，结合AI模型进行初筛，判断患者是否为肝癌或疑似肝癌患者。筛查依据包括：①ICD-10诊断编码含C22.x；②肿瘤标志物异常；③影像报告提示肝脏占位/肝脏肿瘤；④病理报告提示肝细胞癌/胆管细胞癌。</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rPr>
            </w:pPr>
            <w:r>
              <w:rPr>
                <w:rFonts w:hint="eastAsia" w:ascii="微软雅黑" w:hAnsi="微软雅黑" w:eastAsia="微软雅黑" w:cs="微软雅黑"/>
                <w:b w:val="0"/>
                <w:bCs w:val="0"/>
                <w:color w:val="auto"/>
                <w:sz w:val="21"/>
                <w:szCs w:val="21"/>
                <w:vertAlign w:val="baseline"/>
              </w:rPr>
            </w:r>
            <w:r/>
          </w:p>
        </w:tc>
        <w:tc>
          <w:tcPr>
            <w:tcW w:w="1480"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初筛结果通知</w:t>
            </w:r>
            <w:r>
              <w:rPr>
                <w:highlight w:val="none"/>
              </w:rPr>
            </w:r>
            <w:r>
              <w:rPr>
                <w:highlight w:val="none"/>
              </w:rPr>
            </w:r>
          </w:p>
        </w:tc>
        <w:tc>
          <w:tcPr>
            <w:tcW w:w="4238" w:type="dxa"/>
            <w:vAlign w:val="center"/>
            <w:textDirection w:val="lrTb"/>
            <w:noWrap w:val="false"/>
          </w:tcPr>
          <w:p>
            <w:pPr>
              <w:pStyle w:val="1278"/>
              <w:numPr>
                <w:ilvl w:val="0"/>
                <w:numId w:val="0"/>
              </w:numPr>
              <w:jc w:val="both"/>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初筛完成后，系统自动通知管床医生和MDT秘书：①确认是肝癌患者，进入下一步管控判断；②疑似肝癌患者，标记待人工复核；③排除非肝癌患者。</w:t>
            </w:r>
            <w:r>
              <w:rPr>
                <w:highlight w:val="none"/>
              </w:rPr>
            </w:r>
            <w:r>
              <w:rPr>
                <w:highlight w:val="none"/>
              </w:rPr>
            </w:r>
          </w:p>
        </w:tc>
        <w:tc>
          <w:tcPr>
            <w:tcW w:w="987" w:type="dxa"/>
            <w:vAlign w:val="top"/>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管控路径判断</w:t>
            </w:r>
            <w:r>
              <w:rPr>
                <w:highlight w:val="none"/>
              </w:rPr>
            </w:r>
            <w:r>
              <w:rPr>
                <w:highlight w:val="none"/>
              </w:rPr>
            </w:r>
          </w:p>
        </w:tc>
        <w:tc>
          <w:tcPr>
            <w:tcW w:w="4238" w:type="dxa"/>
            <w:vAlign w:val="center"/>
            <w:textDirection w:val="lrTb"/>
            <w:noWrap w:val="false"/>
          </w:tcPr>
          <w:p>
            <w:pPr>
              <w:pStyle w:val="1280"/>
              <w:ind w:left="0" w:firstLine="0"/>
              <w:jc w:val="both"/>
              <w:spacing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对确认/疑似是肝癌的患者，系统自动判断其是否需要进入MDT管控路径。根据患者分期、既往MDT历史等信息，自动执行管控准入规则。</w:t>
            </w:r>
            <w:r>
              <w:rPr>
                <w:highlight w:val="none"/>
              </w:rPr>
            </w:r>
            <w:r>
              <w:rPr>
                <w:highlight w:val="none"/>
              </w:rPr>
            </w:r>
          </w:p>
        </w:tc>
        <w:tc>
          <w:tcPr>
            <w:tcW w:w="987" w:type="dxa"/>
            <w:vAlign w:val="top"/>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患者分期自动判定</w:t>
            </w:r>
            <w:r>
              <w:rPr>
                <w:highlight w:val="none"/>
              </w:rPr>
            </w:r>
            <w:r>
              <w:rPr>
                <w:highlight w:val="none"/>
              </w:rPr>
            </w:r>
          </w:p>
        </w:tc>
        <w:tc>
          <w:tcPr>
            <w:tcW w:w="4238" w:type="dxa"/>
            <w:vAlign w:val="center"/>
            <w:textDirection w:val="lrTb"/>
            <w:noWrap w:val="false"/>
          </w:tcPr>
          <w:p>
            <w:pPr>
              <w:pStyle w:val="1278"/>
              <w:numPr>
                <w:ilvl w:val="0"/>
                <w:numId w:val="0"/>
              </w:numPr>
              <w:jc w:val="both"/>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对可能符合自动触发MDT的患者，系统自动进行CNLC分期计算。基于采集的检验、影像、病理数据，自动计算肿瘤特征、血管侵犯情况、肝功能Child-Pugh评分，给出CNLC分期结果。</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管控准入规则引擎</w:t>
            </w:r>
            <w:r>
              <w:rPr>
                <w:highlight w:val="none"/>
              </w:rPr>
            </w:r>
            <w:r>
              <w:rPr>
                <w:highlight w:val="none"/>
              </w:rPr>
            </w:r>
          </w:p>
        </w:tc>
        <w:tc>
          <w:tcPr>
            <w:tcW w:w="4238" w:type="dxa"/>
            <w:vAlign w:val="center"/>
            <w:textDirection w:val="lrTb"/>
            <w:noWrap w:val="false"/>
          </w:tcPr>
          <w:p>
            <w:pPr>
              <w:pStyle w:val="1278"/>
              <w:numPr>
                <w:ilvl w:val="0"/>
                <w:numId w:val="0"/>
              </w:numPr>
              <w:jc w:val="both"/>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根据以下规则自动判断患者是否需要进入管控路径：①初诊初治的ⅠA期患者，需要进入管控；②Ⅳ期患者直接排除，不进入管控路径；③已有MDT管控历史的患者，直接排除，不重复进入管控；④ⅠB期及以上、未排除分期患者，需进入管控。</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管控状态流转</w:t>
            </w:r>
            <w:r>
              <w:rPr>
                <w:highlight w:val="none"/>
              </w:rPr>
            </w:r>
            <w:r>
              <w:rPr>
                <w:highlight w:val="none"/>
              </w:rPr>
            </w:r>
          </w:p>
        </w:tc>
        <w:tc>
          <w:tcPr>
            <w:tcW w:w="4238" w:type="dxa"/>
            <w:vAlign w:val="center"/>
            <w:textDirection w:val="lrTb"/>
            <w:noWrap w:val="false"/>
          </w:tcPr>
          <w:p>
            <w:pPr>
              <w:pStyle w:val="1278"/>
              <w:numPr>
                <w:ilvl w:val="0"/>
                <w:numId w:val="0"/>
              </w:numPr>
              <w:jc w:val="both"/>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患者管控状态流转：待筛查 → 筛查中 → 待复核 → 已入管控 / 已排除 / 已豁免。每个状态变更记录操作人、操作时间、操作原因</w:t>
            </w:r>
            <w:r>
              <w:rPr>
                <w:highlight w:val="none"/>
              </w:rPr>
            </w:r>
            <w:r>
              <w:rPr>
                <w:highlight w:val="none"/>
              </w:rPr>
            </w:r>
          </w:p>
        </w:tc>
        <w:tc>
          <w:tcPr>
            <w:tcW w:w="987"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管控准入人工复核</w:t>
            </w:r>
            <w:r>
              <w:rPr>
                <w:highlight w:val="none"/>
              </w:rPr>
            </w:r>
            <w:r>
              <w:rPr>
                <w:highlight w:val="none"/>
              </w:rPr>
            </w:r>
          </w:p>
        </w:tc>
        <w:tc>
          <w:tcPr>
            <w:tcW w:w="4238" w:type="dxa"/>
            <w:vAlign w:val="center"/>
            <w:textDirection w:val="lrTb"/>
            <w:noWrap w:val="false"/>
          </w:tcPr>
          <w:p>
            <w:pPr>
              <w:pStyle w:val="1278"/>
              <w:numPr>
                <w:ilvl w:val="0"/>
                <w:numId w:val="0"/>
              </w:numPr>
              <w:jc w:val="both"/>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MDT秘书对AI自动判断的管控准入结果进行人工复核，可确认入管控、调整分期、或排除管控</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管控路径豁免</w:t>
            </w:r>
            <w:r>
              <w:rPr>
                <w:highlight w:val="none"/>
              </w:rPr>
            </w:r>
            <w:r>
              <w:rPr>
                <w:highlight w:val="none"/>
              </w:rPr>
            </w:r>
          </w:p>
        </w:tc>
        <w:tc>
          <w:tcPr>
            <w:tcW w:w="4238" w:type="dxa"/>
            <w:vAlign w:val="center"/>
            <w:textDirection w:val="lrTb"/>
            <w:noWrap w:val="false"/>
          </w:tcPr>
          <w:p>
            <w:pPr>
              <w:pStyle w:val="1278"/>
              <w:numPr>
                <w:ilvl w:val="0"/>
                <w:numId w:val="0"/>
              </w:numPr>
              <w:jc w:val="both"/>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对于特殊情况的肝癌患者（如仅进行姑息治疗、患者拒绝MDT等），支持人工豁免管控，需填写豁免原因，由MDT秘书审批</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核心医嘱管控</w:t>
            </w:r>
            <w:r>
              <w:rPr>
                <w:highlight w:val="none"/>
              </w:rPr>
            </w:r>
            <w:r>
              <w:rPr>
                <w:highlight w:val="none"/>
              </w:rPr>
            </w:r>
          </w:p>
        </w:tc>
        <w:tc>
          <w:tcPr>
            <w:tcW w:w="4238" w:type="dxa"/>
            <w:vAlign w:val="center"/>
            <w:textDirection w:val="lrTb"/>
            <w:noWrap w:val="false"/>
          </w:tcPr>
          <w:p>
            <w:pPr>
              <w:pStyle w:val="1280"/>
              <w:ind w:left="0" w:firstLine="0"/>
              <w:jc w:val="both"/>
              <w:spacing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对进入MDT管控路径的患者，在其MDT会诊结果确认之前，系统对其核心治疗医嘱进行管控，防止未经MDT讨论即开具核心治疗。</w:t>
            </w:r>
            <w:r>
              <w:rPr>
                <w:highlight w:val="none"/>
              </w:rPr>
            </w:r>
            <w:r>
              <w:rPr>
                <w:highlight w:val="none"/>
              </w:rPr>
            </w:r>
          </w:p>
        </w:tc>
        <w:tc>
          <w:tcPr>
            <w:tcW w:w="987" w:type="dxa"/>
            <w:vAlign w:val="top"/>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核心医嘱范围定义</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定义需要管控的核心治疗医嘱类型，包括：①靶向药治疗；②免疫治疗；③消融治疗；④介入治疗；⑤手术切除；⑥放射治疗等。支持在管理端动态配置管控范围。</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医嘱管控拦截</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对接HIS系统医嘱模块，当管床医生对管控中患者开具核心治疗医嘱时，系统自动拦截并提示："该患者正在MDT会诊流程中，核心治疗医嘱需待MDT会诊结果确认后方可开具"。拦截信息显示当前MDT会诊进度。</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医嘱管控解除</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MDT会诊结果确认后，系统自动解除医嘱管控，允许医生根据会诊结果开具核心治疗医嘱。系统自动推送会诊结果给管床医生，并提供一键开立会诊建议医嘱功能。</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患者拒绝管控豁免</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如果患者不同意会诊结果中的治疗方案，签署知情拒绝书后，医生可申请解除医嘱管控。需填写豁免原因，上传患者签署的知情拒绝书，由科室主任审批后解除。</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管控状态实时看板</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shd w:val="clear" w:color="auto" w:fill="auto"/>
              </w:rPr>
              <w:t xml:space="preserve">平台</w:t>
            </w:r>
            <w:r>
              <w:rPr>
                <w:rFonts w:hint="eastAsia" w:ascii="微软雅黑" w:hAnsi="微软雅黑" w:eastAsia="微软雅黑" w:cs="微软雅黑"/>
                <w:b w:val="0"/>
                <w:bCs w:val="0"/>
                <w:color w:val="auto"/>
                <w:sz w:val="21"/>
                <w:szCs w:val="21"/>
                <w:highlight w:val="none"/>
              </w:rPr>
              <w:t xml:space="preserve">展示当前科室所有管控中患者的实时状态，包括：患者姓名、住院号、管控开始时间、MDT会诊进度、管控状态等。</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自动分期与治疗建议</w:t>
            </w:r>
            <w:r>
              <w:rPr>
                <w:highlight w:val="none"/>
              </w:rPr>
            </w:r>
            <w:r>
              <w:rPr>
                <w:highlight w:val="none"/>
              </w:rPr>
            </w:r>
          </w:p>
        </w:tc>
        <w:tc>
          <w:tcPr>
            <w:tcW w:w="4238" w:type="dxa"/>
            <w:vAlign w:val="center"/>
            <w:textDirection w:val="lrTb"/>
            <w:noWrap w:val="false"/>
          </w:tcPr>
          <w:p>
            <w:pPr>
              <w:pStyle w:val="1280"/>
              <w:ind w:left="0" w:firstLine="0"/>
              <w:jc w:val="both"/>
              <w:spacing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对进入管控路径的患者，AI自动进行CNLC分期，并基于指南生成治疗建议，作为MDT会诊的参考依据。</w:t>
            </w:r>
            <w:r>
              <w:rPr>
                <w:highlight w:val="none"/>
              </w:rPr>
            </w:r>
            <w:r>
              <w:rPr>
                <w:highlight w:val="none"/>
              </w:rPr>
            </w:r>
          </w:p>
        </w:tc>
        <w:tc>
          <w:tcPr>
            <w:tcW w:w="987" w:type="dxa"/>
            <w:vAlign w:val="top"/>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CNLC分期自动计算</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基于采集的检验数据、影像数据、病理数据，自动计算CNLC分期。展示计算依据和推理过程。</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Child-Pugh评分计算</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自动计算Child-Pugh评分。</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治疗方案AI推荐</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基于CNLC分期+Child-Pugh评分+患者特征，依据《原发性肝癌诊疗指南》，AI生成治疗建议，包括：①首选方案及推荐理由；②备选方案；③证据等级标注；④预期疗效参考。</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分期与建议人工确认</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各肝癌MDT专科方向高年资医生对AI分期结果和治疗方案建议进行审核确认，可同意、修改或补充意见。</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组长最终确认</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MDT组长综合AI建议和高年资医生意见，最终确认分期结果和治疗建议，作为会诊讨论基础。</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restart"/>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lang w:val="en-US" w:eastAsia="zh-CN"/>
              </w:rPr>
              <w:t xml:space="preserve">2</w:t>
            </w:r>
            <w:r>
              <w:rPr>
                <w:highlight w:val="none"/>
              </w:rPr>
            </w:r>
            <w:r>
              <w:rPr>
                <w:highlight w:val="none"/>
              </w:rPr>
            </w:r>
          </w:p>
        </w:tc>
        <w:tc>
          <w:tcPr>
            <w:tcW w:w="1305" w:type="dxa"/>
            <w:vAlign w:val="center"/>
            <w:vMerge w:val="restart"/>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MDT会诊管理模块</w:t>
            </w:r>
            <w:r>
              <w:rPr>
                <w:highlight w:val="none"/>
              </w:rPr>
            </w:r>
            <w:r>
              <w:rPr>
                <w:highlight w:val="none"/>
              </w:rPr>
            </w:r>
          </w:p>
        </w:tc>
        <w:tc>
          <w:tcPr>
            <w:tcW w:w="1480"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lang w:val="en-US" w:eastAsia="zh-CN"/>
              </w:rPr>
              <w:t xml:space="preserve">总体目标</w:t>
            </w:r>
            <w:r>
              <w:rPr>
                <w:highlight w:val="none"/>
              </w:rPr>
            </w:r>
            <w:r>
              <w:rPr>
                <w:highlight w:val="none"/>
              </w:rPr>
            </w:r>
          </w:p>
        </w:tc>
        <w:tc>
          <w:tcPr>
            <w:tcW w:w="4238" w:type="dxa"/>
            <w:vAlign w:val="center"/>
            <w:textDirection w:val="lrTb"/>
            <w:noWrap w:val="false"/>
          </w:tcPr>
          <w:p>
            <w:pPr>
              <w:pStyle w:val="1280"/>
              <w:ind w:left="0" w:firstLine="0"/>
              <w:jc w:val="both"/>
              <w:spacing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实现MDT会诊的全流程数字化管理，包括会诊发起、资料准备、会诊执行、报告生成、意见执行追踪等。</w:t>
            </w:r>
            <w:r>
              <w:rPr>
                <w:highlight w:val="none"/>
              </w:rPr>
            </w:r>
            <w:r>
              <w:rPr>
                <w:highlight w:val="none"/>
              </w:rPr>
            </w:r>
          </w:p>
        </w:tc>
        <w:tc>
          <w:tcPr>
            <w:tcW w:w="987" w:type="dxa"/>
            <w:vAlign w:val="top"/>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jc w:val="center"/>
              <w:spacing w:after="0" w:line="36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MDT专业组管理</w:t>
            </w:r>
            <w:r>
              <w:rPr>
                <w:highlight w:val="none"/>
              </w:rPr>
            </w:r>
            <w:r>
              <w:rPr>
                <w:highlight w:val="none"/>
              </w:rPr>
            </w:r>
          </w:p>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c>
          <w:tcPr>
            <w:tcW w:w="4238" w:type="dxa"/>
            <w:vAlign w:val="center"/>
            <w:textDirection w:val="lrTb"/>
            <w:noWrap w:val="false"/>
          </w:tcPr>
          <w:p>
            <w:pPr>
              <w:pStyle w:val="1280"/>
              <w:ind w:left="0" w:firstLine="0"/>
              <w:jc w:val="both"/>
              <w:spacing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系统预先设置九个MDT专业组，其中五个为每次会诊必须参加的专业组，另外四个为可选参加的专业组。必须参加的专业组在每次会诊创建时自动纳入，可选参加的专业组由会诊发起人根据患者情况选择性加入。每个专业组内的医生设置优先级排序，作为会诊提醒的发送顺序依据。</w:t>
            </w:r>
            <w:r>
              <w:rPr>
                <w:highlight w:val="none"/>
              </w:rPr>
            </w:r>
            <w:r>
              <w:rPr>
                <w:highlight w:val="none"/>
              </w:rPr>
            </w:r>
          </w:p>
        </w:tc>
        <w:tc>
          <w:tcPr>
            <w:tcW w:w="987" w:type="dxa"/>
            <w:vAlign w:val="top"/>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专业组预设置</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系统预设置九个MDT专业组，包括：肝胆外科、介入科、肿瘤内科、影像科、病理科等。必参组标记为“必须参加”，可选组标记为“可选参加”</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专业组成员管理</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每个专业组可配置多名医生，每名医生设置优先级排序（数字越小优先级越高），作为会诊提醒发送顺序的依据。支持增加、删除、调整优先级操作</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专业组组长设置</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每个专业组设置一名组长，组长负责本专业组内的会诊协调工作，当本组所有医生均未响应会诊提醒时，系统向组长发送升级提醒</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必参组/可选组标识</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系统对九个专业组进行“必参”或“可选”标识。创建会诊时，五个必参组自动纳入，四个可选组由发起人勾选确定</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jc w:val="center"/>
              <w:spacing w:after="0" w:line="36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会诊申请与发起</w:t>
            </w:r>
            <w:r>
              <w:rPr>
                <w:highlight w:val="none"/>
              </w:rPr>
            </w:r>
            <w:r>
              <w:rPr>
                <w:highlight w:val="none"/>
              </w:rPr>
            </w:r>
          </w:p>
        </w:tc>
        <w:tc>
          <w:tcPr>
            <w:tcW w:w="4238" w:type="dxa"/>
            <w:vAlign w:val="center"/>
            <w:textDirection w:val="lrTb"/>
            <w:noWrap w:val="false"/>
          </w:tcPr>
          <w:p>
            <w:pPr>
              <w:pStyle w:val="1278"/>
              <w:numPr>
                <w:ilvl w:val="0"/>
                <w:numId w:val="0"/>
              </w:numPr>
              <w:jc w:val="both"/>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lang w:val="en-US" w:eastAsia="zh-CN"/>
              </w:rPr>
              <w:t xml:space="preserve">支持自动/手动发起MDT申请，制定参会人员，实现与院内MDT系统的集成对接。</w:t>
            </w:r>
            <w:r>
              <w:rPr>
                <w:highlight w:val="none"/>
              </w:rPr>
            </w:r>
            <w:r>
              <w:rPr>
                <w:highlight w:val="none"/>
              </w:rPr>
            </w:r>
          </w:p>
        </w:tc>
        <w:tc>
          <w:tcPr>
            <w:tcW w:w="987" w:type="dxa"/>
            <w:vAlign w:val="top"/>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自动触发MDT申请</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对进入管控路径的患者，系统自动生成MDT会诊申请单，包含：患者基本信息、AI分期结果、AI治疗建议、待讨论问题。</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手动发起MDT申请</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医生可手动为非管控路径的患者发起MDT会诊申请，填写申请原因、期望讨论的问题。</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会诊申请创建</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管床医生或MDT秘书发起MDT会诊申请，填写会诊目的、患者信息、选择参与的可选专业组（五个必参组自动纳入）。</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会诊参与人员推送</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创建会诊时，系统将九个专业组的全部医生信息通过接口推送至医院现有MDT系统，由MDT系统将全部医生拉进会诊组。最终哪名医生参与会诊，由后续参与人员依次提醒流程确定。</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MDT系统对接接口</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提供与医院现有MDT系统的对接接口，包括：①会诊创建接口（推送会诊信息及全部参会医生列表）；②会诊状态同步接口（接收MDT系统的会诊状态变更通知）；③会诊报告回传接口（接收MDT系统生成的会诊报告）。</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会诊申请单管理</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管理MDT会诊申请单，支持查看、编辑、撤回、催办等操作。</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24小时时效管控</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系统对MDT会诊全流程进行时效管控：①申请发起后，24小时内完成AI分期+高年资医生审核+组长确认；②超时未处理自动升级提醒；③时效达成率纳入质控指标。</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会诊类型选择</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支持选择会诊类型：①首次MDT会诊（新入管控患者）；②复查MDT会诊（治疗过程中需要重新评估）；③线上MDT会诊；④线下MDT会诊。</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参会专家配置</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配置本次会诊需要参与的专家，系统根据患者分期和治疗方向，支持手动调整。</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会诊资料自动汇总</w:t>
            </w:r>
            <w:r>
              <w:rPr>
                <w:highlight w:val="none"/>
              </w:rPr>
            </w:r>
            <w:r>
              <w:rPr>
                <w:highlight w:val="none"/>
              </w:rPr>
            </w:r>
          </w:p>
        </w:tc>
        <w:tc>
          <w:tcPr>
            <w:tcW w:w="4238" w:type="dxa"/>
            <w:vAlign w:val="center"/>
            <w:textDirection w:val="lrTb"/>
            <w:noWrap w:val="false"/>
          </w:tcPr>
          <w:p>
            <w:pPr>
              <w:pStyle w:val="1278"/>
              <w:numPr>
                <w:ilvl w:val="0"/>
                <w:numId w:val="0"/>
              </w:numPr>
              <w:jc w:val="both"/>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lang w:val="en-US" w:eastAsia="zh-CN"/>
              </w:rPr>
              <w:t xml:space="preserve">支持各类患者数据的自动化、快捷化获取。</w:t>
            </w:r>
            <w:r>
              <w:rPr>
                <w:highlight w:val="none"/>
              </w:rPr>
            </w:r>
            <w:r>
              <w:rPr>
                <w:highlight w:val="none"/>
              </w:rPr>
            </w:r>
          </w:p>
        </w:tc>
        <w:tc>
          <w:tcPr>
            <w:tcW w:w="987" w:type="dxa"/>
            <w:vAlign w:val="top"/>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院内检验数据自动获取</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自动从LIS系统获取患者检验报告，包括：肝功能、肿瘤标志物、血常规、肾功能、凝血功能等。按时间倒序展示，异常值高亮标识。</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院内影像数据自动获取</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自动从PACS系统获取患者影像报告，包括：CT报告、MRI报告、超声报告、PET-CT报告等。提取关键诊断描述，支持查看DICOM影像。</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院内病历数据自动获取</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自动从EMR系统获取患者病历信息，包括：入院记录、病程记录、手术记录、出院小结、既往住院记录等。</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院内病理数据自动获取</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自动获取病理报告，包括：穿刺活检病理、术后病理、免疫组化结果。</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患者院外资料上传（患者端）</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患者通过微信小程序，以拍照/选择图片的方式上传院外的诊疗报告（外院检查报告、外院手术记录、外院病理报告等），图片上传后自动同步至会诊系统，与会诊申请绑定。</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院外资料OCR识别</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对患者上传的院外报告图片，通过OCR技术进行文字识别，提取关键信息（检查项目、检查结果、检查日期、检查机构），结构化存储。</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AI诊疗数据智能摘要</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AI对患者大量院内诊疗数据进行智能总结，过滤与本次会诊无关的数据，提取与本次会诊直接相关的关键信息，自动写入会诊申请单的"患者诊疗数据摘要"区域，包括：①关键诊断信息；②核心检验指标趋势；③影像学关键发现；④既往治疗经过；⑤当前治疗状态。</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jc w:val="center"/>
              <w:spacing w:after="0" w:line="36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MDT流程监控</w:t>
            </w:r>
            <w:r>
              <w:rPr>
                <w:highlight w:val="none"/>
              </w:rPr>
            </w:r>
            <w:r>
              <w:rPr>
                <w:highlight w:val="none"/>
              </w:rPr>
            </w:r>
          </w:p>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c>
          <w:tcPr>
            <w:tcW w:w="4238" w:type="dxa"/>
            <w:vAlign w:val="center"/>
            <w:textDirection w:val="lrTb"/>
            <w:noWrap w:val="false"/>
          </w:tcPr>
          <w:p>
            <w:pPr>
              <w:pStyle w:val="1280"/>
              <w:ind w:left="0" w:firstLine="0"/>
              <w:jc w:val="both"/>
              <w:spacing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对MDT会诊执行到哪个阶段进行实时监控，通过时间轴可视化展示会诊进度，便于MDT秘书和管理人员掌握会诊执行情况。时间轴上的每个节点记录实际完成时间，支持超时预警。</w:t>
            </w:r>
            <w:r>
              <w:rPr>
                <w:highlight w:val="none"/>
              </w:rPr>
            </w:r>
            <w:r>
              <w:rPr>
                <w:highlight w:val="none"/>
              </w:rPr>
            </w:r>
          </w:p>
        </w:tc>
        <w:tc>
          <w:tcPr>
            <w:tcW w:w="987" w:type="dxa"/>
            <w:vAlign w:val="top"/>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会诊流程时间轴</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以时间轴形式展示MDT会诊全流程节点，包括：会诊申请→资料汇总→人员确认→会诊执行→报告生成→意见执行→双周复核。每个节点显示状态（已完成/进行中/未开始）和完成时间。</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流程节点状态同步</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通过与MDT系统的对接接口，实时同步MDT会诊的执行状态，更新时间轴上各节点的状态和时间戳。</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超时预警</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对各流程节点设置时效阈值，当某节点停留时间超过阈值时，系统自动发送预警通知给MDT秘书和会诊组长，提醒关注并推进流程。</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流程异常记录</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记录会诊流程中的异常情况，如人员未响应、流程中断、超时未完成等，便于后续分析和改进。</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参与人员依次提醒</w:t>
            </w:r>
            <w:r>
              <w:rPr>
                <w:highlight w:val="none"/>
              </w:rPr>
            </w:r>
            <w:r>
              <w:rPr>
                <w:highlight w:val="none"/>
              </w:rPr>
            </w:r>
          </w:p>
        </w:tc>
        <w:tc>
          <w:tcPr>
            <w:tcW w:w="4238" w:type="dxa"/>
            <w:vAlign w:val="center"/>
            <w:textDirection w:val="lrTb"/>
            <w:noWrap w:val="false"/>
          </w:tcPr>
          <w:p>
            <w:pPr>
              <w:pStyle w:val="1280"/>
              <w:ind w:left="0" w:firstLine="0"/>
              <w:jc w:val="both"/>
              <w:spacing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用于确定每个专业组最终由哪名医生参与会诊。系统按照专业组内医生的优先级排序，依次发送提醒消息，引导医生进入MDT系统参与会诊。同时，专业组内的每名医生均可在MDT系统中看到该MDT事件，但系统限制每个专业组只能有一人进入会诊并书写报告。</w:t>
            </w:r>
            <w:r>
              <w:rPr>
                <w:highlight w:val="none"/>
              </w:rPr>
            </w:r>
            <w:r>
              <w:rPr>
                <w:highlight w:val="none"/>
              </w:rPr>
            </w:r>
          </w:p>
        </w:tc>
        <w:tc>
          <w:tcPr>
            <w:tcW w:w="987" w:type="dxa"/>
            <w:vAlign w:val="top"/>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优先级提醒发送</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对每个专业组，系统首先向优先级最高的医生发送会诊参与提醒消息，引导其进入MDT系统参与会诊。提醒方式包括系统消息、短信、微信等多渠道。</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超时递进提醒</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如果优先级最高的医生在一个小时内未进入会诊，系统自动向优先级第二的医生发送提醒消息，以此类推，按优先级从高到低依次发送。每次发送间隔为一小时。</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升级协调提醒</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当一个专业组内所有医生均已发送提醒且均未进入会诊时，系统自动向该专业组组长发送升级提醒，要求组长线下协调安排本组医生参与会诊。</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全组可见机制</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在向专业组发送提醒消息的同时，该专业组下的每名医生进入MDT系统时均可看到该MDT事件，即使未收到提醒消息也可主动进入会诊。</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专业组单人进入限制</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系统限制每个专业组只能有一名医生进入MDT会诊并书写报告。当某专业组已有医生进入会诊后，该组其他医生无法再进入会诊或书写报告，确保每个专业组只有一个声音。</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提醒状态跟踪</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系统记录每次提醒的发送时间、接收人、响应状态（已进入/未响应），形成完整的提醒日志，便于后续查询和审计。</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提醒规则配置</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支持配置提醒间隔时间（默认1小时）、提醒渠道（系统消息/短信/微信）、升级规则（全组未响应后是否升级至组长）等参数。</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rHeight w:val="920"/>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jc w:val="center"/>
              <w:spacing w:after="0" w:line="36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lang w:val="en-US" w:eastAsia="zh-CN"/>
              </w:rPr>
              <w:t xml:space="preserve">MDT</w:t>
            </w:r>
            <w:r>
              <w:rPr>
                <w:rFonts w:hint="eastAsia" w:ascii="微软雅黑" w:hAnsi="微软雅黑" w:eastAsia="微软雅黑" w:cs="微软雅黑"/>
                <w:b w:val="0"/>
                <w:bCs w:val="0"/>
                <w:color w:val="auto"/>
                <w:sz w:val="21"/>
                <w:szCs w:val="21"/>
                <w:highlight w:val="none"/>
              </w:rPr>
              <w:t xml:space="preserve">报告生成与管理</w:t>
            </w:r>
            <w:r>
              <w:rPr>
                <w:highlight w:val="none"/>
              </w:rPr>
            </w:r>
            <w:r>
              <w:rPr>
                <w:highlight w:val="none"/>
              </w:rPr>
            </w:r>
          </w:p>
        </w:tc>
        <w:tc>
          <w:tcPr>
            <w:tcW w:w="4238" w:type="dxa"/>
            <w:vAlign w:val="center"/>
            <w:textDirection w:val="lrTb"/>
            <w:noWrap w:val="false"/>
          </w:tcPr>
          <w:p>
            <w:pPr>
              <w:pStyle w:val="1278"/>
              <w:numPr>
                <w:ilvl w:val="0"/>
                <w:numId w:val="0"/>
              </w:numPr>
              <w:jc w:val="both"/>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lang w:val="en-US" w:eastAsia="zh-CN"/>
              </w:rPr>
              <w:t xml:space="preserve">支持MDT报告的定义，报告辅助生成，报告审核，报告归档和查询。</w:t>
            </w:r>
            <w:r>
              <w:rPr>
                <w:highlight w:val="none"/>
              </w:rPr>
            </w:r>
            <w:r>
              <w:rPr>
                <w:highlight w:val="none"/>
              </w:rPr>
            </w:r>
          </w:p>
        </w:tc>
        <w:tc>
          <w:tcPr>
            <w:tcW w:w="987" w:type="dxa"/>
            <w:vAlign w:val="top"/>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报告模板管理</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提供标准化的MDT会诊报告模板，包括患者基本信息、诊断、分期、各专业组意见、综合治疗方案等模块，支持自定义模板。</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报告自动生成</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基于语音转文字+各专家意见，AI自动整理会诊报告草稿，各专业组参与医生在MDT系统中书写本组意见，系统汇总后生成完整报告。</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报告审核与确认</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会诊组长对生成的会诊报告进行审核确认，确认后报告生效，同步解除患者的核心医嘱管控。</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报告归档与查询</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会诊报告完成后自动归档，支持按患者、时间、专业组等多维度查询，报告可导出为PDF。</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jc w:val="center"/>
              <w:spacing w:after="0" w:line="36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会诊双周复核</w:t>
            </w:r>
            <w:r>
              <w:rPr>
                <w:highlight w:val="none"/>
              </w:rPr>
            </w:r>
            <w:r>
              <w:rPr>
                <w:highlight w:val="none"/>
              </w:rPr>
            </w:r>
          </w:p>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c>
          <w:tcPr>
            <w:tcW w:w="4238" w:type="dxa"/>
            <w:vAlign w:val="center"/>
            <w:textDirection w:val="lrTb"/>
            <w:noWrap w:val="false"/>
          </w:tcPr>
          <w:p>
            <w:pPr>
              <w:pStyle w:val="1278"/>
              <w:numPr>
                <w:ilvl w:val="0"/>
                <w:numId w:val="0"/>
              </w:numPr>
              <w:jc w:val="both"/>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lang w:val="en-US" w:eastAsia="zh-CN"/>
              </w:rPr>
              <w:t xml:space="preserve">支持复核提醒和复核资料准备和分析，复核结果记录。</w:t>
            </w:r>
            <w:r>
              <w:rPr>
                <w:highlight w:val="none"/>
              </w:rPr>
            </w:r>
            <w:r>
              <w:rPr>
                <w:highlight w:val="none"/>
              </w:rPr>
            </w:r>
          </w:p>
        </w:tc>
        <w:tc>
          <w:tcPr>
            <w:tcW w:w="987" w:type="dxa"/>
            <w:vAlign w:val="top"/>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双周复核提醒</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会诊报告确认后14天，系统自动提醒管床医生和MDT秘书进行双周复核，确定复核名单，核实治疗方案执行情况。</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复核结果记录</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记录复核结果：按方案执行/调整方案/未执行，调整或未执行需填写原因。</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jc w:val="center"/>
              <w:spacing w:after="0" w:line="36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会诊意见执行追踪</w:t>
            </w:r>
            <w:r>
              <w:rPr>
                <w:highlight w:val="none"/>
              </w:rPr>
            </w:r>
            <w:r>
              <w:rPr>
                <w:highlight w:val="none"/>
              </w:rPr>
            </w:r>
          </w:p>
        </w:tc>
        <w:tc>
          <w:tcPr>
            <w:tcW w:w="4238" w:type="dxa"/>
            <w:vAlign w:val="center"/>
            <w:textDirection w:val="lrTb"/>
            <w:noWrap w:val="false"/>
          </w:tcPr>
          <w:p>
            <w:pPr>
              <w:pStyle w:val="1278"/>
              <w:numPr>
                <w:ilvl w:val="0"/>
                <w:numId w:val="0"/>
              </w:numPr>
              <w:jc w:val="both"/>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lang w:val="en-US" w:eastAsia="zh-CN"/>
              </w:rPr>
              <w:t xml:space="preserve">支持会诊意见的最终，偏差预警，医嘱偏离分析与记录。</w:t>
            </w:r>
            <w:r>
              <w:rPr>
                <w:highlight w:val="none"/>
              </w:rPr>
            </w:r>
            <w:r>
              <w:rPr>
                <w:highlight w:val="none"/>
              </w:rPr>
            </w:r>
          </w:p>
        </w:tc>
        <w:tc>
          <w:tcPr>
            <w:tcW w:w="987" w:type="dxa"/>
            <w:vAlign w:val="top"/>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会诊意见执行状态跟踪</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跟踪每条会诊建议的执行状态：①待执行（会诊确认后，医嘱未开立）；②执行中（医嘱已开立，治疗进行中）；③已完成（治疗已完成）；④未执行（超过时效未执行）；⑤患者拒绝。</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执行偏差预警</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当出现以下情况时自动预警：①会诊建议3日内未开立医嘱；②开立医嘱与会诊建议不一致；③患者拒绝会诊方案。</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开立会诊建议医嘱</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会诊结果确认后，管床医生可根据会诊报告，开立会诊建议中的核心治疗医嘱。</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医嘱偏离记录</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如果医生开立的医嘱与会诊建议不一致，系统要求填写偏离原因，记录存档。</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restart"/>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lang w:val="en-US" w:eastAsia="zh-CN"/>
              </w:rPr>
              <w:t xml:space="preserve">3</w:t>
            </w:r>
            <w:r>
              <w:rPr>
                <w:highlight w:val="none"/>
              </w:rPr>
            </w:r>
            <w:r>
              <w:rPr>
                <w:highlight w:val="none"/>
              </w:rPr>
            </w:r>
          </w:p>
        </w:tc>
        <w:tc>
          <w:tcPr>
            <w:tcW w:w="1305" w:type="dxa"/>
            <w:vAlign w:val="center"/>
            <w:vMerge w:val="restart"/>
            <w:textDirection w:val="lrTb"/>
            <w:noWrap w:val="false"/>
          </w:tcPr>
          <w:p>
            <w:pPr>
              <w:jc w:val="center"/>
              <w:spacing w:after="0" w:line="36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患者管理模块</w:t>
            </w:r>
            <w:r>
              <w:rPr>
                <w:highlight w:val="none"/>
              </w:rPr>
            </w:r>
            <w:r>
              <w:rPr>
                <w:highlight w:val="none"/>
              </w:rPr>
            </w:r>
          </w:p>
        </w:tc>
        <w:tc>
          <w:tcPr>
            <w:tcW w:w="1480" w:type="dxa"/>
            <w:vAlign w:val="center"/>
            <w:textDirection w:val="lrTb"/>
            <w:noWrap w:val="false"/>
          </w:tcPr>
          <w:p>
            <w:pPr>
              <w:jc w:val="center"/>
              <w:spacing w:after="0" w:line="36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患者信息管理</w:t>
            </w:r>
            <w:r>
              <w:rPr>
                <w:highlight w:val="none"/>
              </w:rPr>
            </w:r>
            <w:r>
              <w:rPr>
                <w:highlight w:val="none"/>
              </w:rPr>
            </w:r>
          </w:p>
        </w:tc>
        <w:tc>
          <w:tcPr>
            <w:tcW w:w="4238" w:type="dxa"/>
            <w:vAlign w:val="center"/>
            <w:textDirection w:val="lrTb"/>
            <w:noWrap w:val="false"/>
          </w:tcPr>
          <w:p>
            <w:pPr>
              <w:pStyle w:val="1278"/>
              <w:numPr>
                <w:ilvl w:val="0"/>
                <w:numId w:val="0"/>
              </w:numPr>
              <w:jc w:val="both"/>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lang w:val="en-US" w:eastAsia="zh-CN"/>
              </w:rPr>
              <w:t xml:space="preserve">支持患者列表展示，患者搜索，患者360视图，患者标签，患者风险分级。</w:t>
            </w:r>
            <w:r>
              <w:rPr>
                <w:highlight w:val="none"/>
              </w:rPr>
            </w:r>
            <w:r>
              <w:rPr>
                <w:highlight w:val="none"/>
              </w:rPr>
            </w:r>
          </w:p>
        </w:tc>
        <w:tc>
          <w:tcPr>
            <w:tcW w:w="987"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患者列表</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展示医生负责/科室下的患者列表，支持多条件筛选（科室、住院状态、分期、管控状态等）。</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患者搜索</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支持住院号、姓名、身份证号等多条件搜索。</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患者360视图</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整合展示患者全信息：基本信息、诊断、检验、影像、病理、MDT记录、治疗经过、随访记录。</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患者标签</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支持为患者打标签分类（高危、重点关注、特殊病例等）。</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风险分级</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基于患者数据自动计算风险等级（高/中/低）。</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jc w:val="center"/>
              <w:spacing w:after="0" w:line="36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患者诊疗时间轴</w:t>
            </w:r>
            <w:r>
              <w:rPr>
                <w:highlight w:val="none"/>
              </w:rPr>
            </w:r>
            <w:r>
              <w:rPr>
                <w:highlight w:val="none"/>
              </w:rPr>
            </w:r>
          </w:p>
        </w:tc>
        <w:tc>
          <w:tcPr>
            <w:tcW w:w="4238" w:type="dxa"/>
            <w:vAlign w:val="center"/>
            <w:textDirection w:val="lrTb"/>
            <w:noWrap w:val="false"/>
          </w:tcPr>
          <w:p>
            <w:pPr>
              <w:pStyle w:val="1278"/>
              <w:numPr>
                <w:ilvl w:val="0"/>
                <w:numId w:val="0"/>
              </w:numPr>
              <w:jc w:val="both"/>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lang w:val="en-US" w:eastAsia="zh-CN"/>
              </w:rPr>
              <w:t xml:space="preserve">支持以时间轴形式展示和时间轴筛选。</w:t>
            </w:r>
            <w:r>
              <w:rPr>
                <w:highlight w:val="none"/>
              </w:rPr>
            </w:r>
            <w:r>
              <w:rPr>
                <w:highlight w:val="none"/>
              </w:rPr>
            </w:r>
          </w:p>
        </w:tc>
        <w:tc>
          <w:tcPr>
            <w:tcW w:w="987"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诊疗时间轴</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以时间轴形式展示患者从入院到当前的完整诊疗经过，包括：入院、检查、MDT会诊、治疗、评估、出院等节点。</w:t>
            </w:r>
            <w:r>
              <w:rPr>
                <w:highlight w:val="none"/>
              </w:rPr>
            </w:r>
            <w:r>
              <w:rPr>
                <w:highlight w:val="none"/>
              </w:rPr>
            </w:r>
          </w:p>
        </w:tc>
        <w:tc>
          <w:tcPr>
            <w:tcW w:w="987"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时间轴筛选</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支持按事件类型筛选时间轴节点。</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restart"/>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lang w:val="en-US" w:eastAsia="zh-CN"/>
              </w:rPr>
              <w:t xml:space="preserve">4</w:t>
            </w:r>
            <w:r>
              <w:rPr>
                <w:highlight w:val="none"/>
              </w:rPr>
            </w:r>
            <w:r>
              <w:rPr>
                <w:highlight w:val="none"/>
              </w:rPr>
            </w:r>
          </w:p>
        </w:tc>
        <w:tc>
          <w:tcPr>
            <w:tcW w:w="1305" w:type="dxa"/>
            <w:vAlign w:val="center"/>
            <w:vMerge w:val="restart"/>
            <w:textDirection w:val="lrTb"/>
            <w:noWrap w:val="false"/>
          </w:tcPr>
          <w:p>
            <w:pPr>
              <w:jc w:val="center"/>
              <w:spacing w:after="0" w:line="36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辅助决策模块</w:t>
            </w:r>
            <w:r>
              <w:rPr>
                <w:highlight w:val="none"/>
              </w:rPr>
            </w:r>
            <w:r>
              <w:rPr>
                <w:highlight w:val="none"/>
              </w:rPr>
            </w:r>
          </w:p>
          <w:p>
            <w:pPr>
              <w:jc w:val="center"/>
              <w:spacing w:after="0" w:line="36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r>
            <w:r>
              <w:rPr>
                <w:highlight w:val="none"/>
              </w:rPr>
            </w:r>
            <w:r>
              <w:rPr>
                <w:highlight w:val="none"/>
              </w:rPr>
            </w:r>
          </w:p>
        </w:tc>
        <w:tc>
          <w:tcPr>
            <w:tcW w:w="1480"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智能分期评估</w:t>
            </w:r>
            <w:r>
              <w:rPr>
                <w:highlight w:val="none"/>
              </w:rPr>
            </w:r>
            <w:r>
              <w:rPr>
                <w:highlight w:val="none"/>
              </w:rPr>
            </w:r>
          </w:p>
        </w:tc>
        <w:tc>
          <w:tcPr>
            <w:tcW w:w="4238" w:type="dxa"/>
            <w:vAlign w:val="center"/>
            <w:textDirection w:val="lrTb"/>
            <w:noWrap w:val="false"/>
          </w:tcPr>
          <w:p>
            <w:pPr>
              <w:pStyle w:val="1278"/>
              <w:numPr>
                <w:ilvl w:val="0"/>
                <w:numId w:val="0"/>
              </w:numPr>
              <w:jc w:val="both"/>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lang w:val="en-US" w:eastAsia="zh-CN"/>
              </w:rPr>
              <w:t xml:space="preserve">支持CNLC分期计算，</w:t>
            </w:r>
            <w:r>
              <w:rPr>
                <w:rFonts w:hint="eastAsia" w:ascii="微软雅黑" w:hAnsi="微软雅黑" w:eastAsia="微软雅黑" w:cs="微软雅黑"/>
                <w:b w:val="0"/>
                <w:bCs w:val="0"/>
                <w:color w:val="auto"/>
                <w:sz w:val="21"/>
                <w:szCs w:val="21"/>
                <w:highlight w:val="none"/>
              </w:rPr>
              <w:t xml:space="preserve">Child-Pugh评分</w:t>
            </w:r>
            <w:r>
              <w:rPr>
                <w:rFonts w:hint="eastAsia" w:ascii="微软雅黑" w:hAnsi="微软雅黑" w:eastAsia="微软雅黑" w:cs="微软雅黑"/>
                <w:b w:val="0"/>
                <w:bCs w:val="0"/>
                <w:color w:val="auto"/>
                <w:sz w:val="21"/>
                <w:szCs w:val="21"/>
                <w:highlight w:val="none"/>
                <w:lang w:eastAsia="zh-CN"/>
              </w:rPr>
              <w:t xml:space="preserve">，</w:t>
            </w:r>
            <w:r>
              <w:rPr>
                <w:rFonts w:hint="eastAsia" w:ascii="微软雅黑" w:hAnsi="微软雅黑" w:eastAsia="微软雅黑" w:cs="微软雅黑"/>
                <w:b w:val="0"/>
                <w:bCs w:val="0"/>
                <w:color w:val="auto"/>
                <w:sz w:val="21"/>
                <w:szCs w:val="21"/>
                <w:highlight w:val="none"/>
              </w:rPr>
              <w:t xml:space="preserve">BCLC分期对照</w:t>
            </w:r>
            <w:r>
              <w:rPr>
                <w:rFonts w:hint="eastAsia" w:ascii="微软雅黑" w:hAnsi="微软雅黑" w:eastAsia="微软雅黑" w:cs="微软雅黑"/>
                <w:b w:val="0"/>
                <w:bCs w:val="0"/>
                <w:color w:val="auto"/>
                <w:sz w:val="21"/>
                <w:szCs w:val="21"/>
                <w:highlight w:val="none"/>
                <w:lang w:eastAsia="zh-CN"/>
              </w:rPr>
              <w:t xml:space="preserve">，</w:t>
            </w:r>
            <w:r>
              <w:rPr>
                <w:rFonts w:hint="eastAsia" w:ascii="微软雅黑" w:hAnsi="微软雅黑" w:eastAsia="微软雅黑" w:cs="微软雅黑"/>
                <w:b w:val="0"/>
                <w:bCs w:val="0"/>
                <w:color w:val="auto"/>
                <w:sz w:val="21"/>
                <w:szCs w:val="21"/>
                <w:highlight w:val="none"/>
              </w:rPr>
              <w:t xml:space="preserve">TNM分期对照</w:t>
            </w:r>
            <w:r>
              <w:rPr>
                <w:rFonts w:hint="eastAsia" w:ascii="微软雅黑" w:hAnsi="微软雅黑" w:eastAsia="微软雅黑" w:cs="微软雅黑"/>
                <w:b w:val="0"/>
                <w:bCs w:val="0"/>
                <w:color w:val="auto"/>
                <w:sz w:val="21"/>
                <w:szCs w:val="21"/>
                <w:highlight w:val="none"/>
                <w:lang w:eastAsia="zh-CN"/>
              </w:rPr>
              <w:t xml:space="preserve">，</w:t>
            </w:r>
            <w:r>
              <w:rPr>
                <w:rFonts w:hint="eastAsia" w:ascii="微软雅黑" w:hAnsi="微软雅黑" w:eastAsia="微软雅黑" w:cs="微软雅黑"/>
                <w:b w:val="0"/>
                <w:bCs w:val="0"/>
                <w:color w:val="auto"/>
                <w:sz w:val="21"/>
                <w:szCs w:val="21"/>
                <w:highlight w:val="none"/>
              </w:rPr>
              <w:t xml:space="preserve">分期依据展示</w:t>
            </w:r>
            <w:r>
              <w:rPr>
                <w:rFonts w:hint="eastAsia" w:ascii="微软雅黑" w:hAnsi="微软雅黑" w:eastAsia="微软雅黑" w:cs="微软雅黑"/>
                <w:b w:val="0"/>
                <w:bCs w:val="0"/>
                <w:color w:val="auto"/>
                <w:sz w:val="21"/>
                <w:szCs w:val="21"/>
                <w:highlight w:val="none"/>
                <w:lang w:eastAsia="zh-CN"/>
              </w:rPr>
              <w:t xml:space="preserve">。</w:t>
            </w:r>
            <w:r>
              <w:rPr>
                <w:highlight w:val="none"/>
              </w:rPr>
            </w:r>
            <w:r>
              <w:rPr>
                <w:highlight w:val="none"/>
              </w:rPr>
            </w:r>
          </w:p>
        </w:tc>
        <w:tc>
          <w:tcPr>
            <w:tcW w:w="987"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CNLC分期计算</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基于肿瘤特征+血管侵犯+肝功能，自动计算CNLC分期，展示推理过程。</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Child-Pugh评分</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自动计算Child-Pugh评分，展示各维度得分。</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BCLC分期对照</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对照展示BCLC分期，供参考。</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TNM分期对照</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对照展示TNM分期，供参考。</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分期依据展示</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展示分期计算的每一步依据，可溯源到具体检查数据。</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治疗方案推荐</w:t>
            </w:r>
            <w:r>
              <w:rPr>
                <w:highlight w:val="none"/>
              </w:rPr>
            </w:r>
            <w:r>
              <w:rPr>
                <w:highlight w:val="none"/>
              </w:rPr>
            </w:r>
          </w:p>
        </w:tc>
        <w:tc>
          <w:tcPr>
            <w:tcW w:w="4238" w:type="dxa"/>
            <w:vAlign w:val="center"/>
            <w:textDirection w:val="lrTb"/>
            <w:noWrap w:val="false"/>
          </w:tcPr>
          <w:p>
            <w:pPr>
              <w:pStyle w:val="1278"/>
              <w:numPr>
                <w:ilvl w:val="0"/>
                <w:numId w:val="0"/>
              </w:numPr>
              <w:jc w:val="both"/>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lang w:val="en-US" w:eastAsia="zh-CN"/>
              </w:rPr>
              <w:t xml:space="preserve">支持方案推荐，证据等级标注，方案对比，方案推荐，AI医生助手，门/急快捷集成，病历分析，入科指导等。</w:t>
            </w:r>
            <w:r>
              <w:rPr>
                <w:highlight w:val="none"/>
              </w:rPr>
            </w:r>
            <w:r>
              <w:rPr>
                <w:highlight w:val="none"/>
              </w:rPr>
            </w:r>
          </w:p>
        </w:tc>
        <w:tc>
          <w:tcPr>
            <w:tcW w:w="987"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基于指南的方案推荐</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根据CNLC分期+Child-Pugh评分，推荐首选/备选治疗方案。</w:t>
            </w:r>
            <w:r>
              <w:rPr>
                <w:highlight w:val="none"/>
              </w:rPr>
            </w:r>
            <w:r>
              <w:rPr>
                <w:highlight w:val="none"/>
              </w:rPr>
            </w:r>
          </w:p>
        </w:tc>
        <w:tc>
          <w:tcPr>
            <w:tcW w:w="987"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证据等级标注</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每个推荐方案标注证据等级（1A/1B/2A/2B/3级）和指南出处。</w:t>
            </w:r>
            <w:r>
              <w:rPr>
                <w:highlight w:val="none"/>
              </w:rPr>
            </w:r>
            <w:r>
              <w:rPr>
                <w:highlight w:val="none"/>
              </w:rPr>
            </w:r>
          </w:p>
        </w:tc>
        <w:tc>
          <w:tcPr>
            <w:tcW w:w="987"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方案对比</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支持多个治疗方案的多维度对比（疗效、费用、风险、适用条件）。</w:t>
            </w:r>
            <w:r>
              <w:rPr>
                <w:highlight w:val="none"/>
              </w:rPr>
            </w:r>
            <w:r>
              <w:rPr>
                <w:highlight w:val="none"/>
              </w:rPr>
            </w:r>
          </w:p>
        </w:tc>
        <w:tc>
          <w:tcPr>
            <w:tcW w:w="987"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用药方案推荐</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推荐具体用药方案，包括：药品名称、剂量、用法、疗程、注意事项。</w:t>
            </w:r>
            <w:r>
              <w:rPr>
                <w:highlight w:val="none"/>
              </w:rPr>
            </w:r>
            <w:r>
              <w:rPr>
                <w:highlight w:val="none"/>
              </w:rPr>
            </w:r>
          </w:p>
        </w:tc>
        <w:tc>
          <w:tcPr>
            <w:tcW w:w="987"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jc w:val="center"/>
              <w:spacing w:after="0" w:line="36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AI医生助手模块</w:t>
            </w:r>
            <w:r>
              <w:rPr>
                <w:highlight w:val="none"/>
              </w:rPr>
            </w:r>
            <w:r>
              <w:rPr>
                <w:highlight w:val="none"/>
              </w:rPr>
            </w:r>
          </w:p>
          <w:p>
            <w:p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c>
          <w:tcPr>
            <w:tcW w:w="4238" w:type="dxa"/>
            <w:vAlign w:val="center"/>
            <w:textDirection w:val="lrTb"/>
            <w:noWrap w:val="false"/>
          </w:tcPr>
          <w:p>
            <w:pPr>
              <w:pStyle w:val="1280"/>
              <w:ind w:left="0" w:firstLine="0"/>
              <w:jc w:val="both"/>
              <w:spacing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嵌入门诊医生站，为门诊医生提供肝癌AI小助手功能。当医生在门诊接诊时发现疑似肝癌患者，可主动调用肝癌AI小助手，结合患者诊疗数据，辅助医生对患者下一步入院科室做出指导建议。该功能旨在将肝癌规范化诊疗的关口前移至门诊阶段，提高疑似肝癌患者的早期识别和规范化引导。</w:t>
            </w:r>
            <w:r>
              <w:rPr>
                <w:highlight w:val="none"/>
              </w:rPr>
            </w:r>
            <w:r>
              <w:rPr>
                <w:highlight w:val="none"/>
              </w:rPr>
            </w:r>
          </w:p>
        </w:tc>
        <w:tc>
          <w:tcPr>
            <w:tcW w:w="987"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门诊医生站嵌入组件</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在门诊医生工作站中嵌入肝癌AI小助手入口，医生可在门诊接诊过程中一键调用，无需切换系统。</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患者诊疗数据自动获取</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调用AI小助手后，系统自动获取当前门诊患者的诊疗数据，包括门诊诊断、检验结果、影像报告、既往病史等，无需医生手动录入。</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AI疑似肝癌分析</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基于患者诊疗数据，AI小助手自动分析患者是否为疑似肝癌，给出分析依据和判断结果，包括肿瘤标志物异常、影像学特征、诊断编码等多维度分析。</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入院科室指导建议</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根据AI分析结果，结合患者病情特点，为医生提供患者下一步入院科室的指导建议，如建议收入肝胆外科、介入科、肿瘤内科等，并给出建议理由。</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规范化诊疗引导</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对于确认或高度疑似肝癌的患者，AI小助手自动提示规范化诊疗路径，建议开具相关检查、提前规划MDT会诊等，将规范化诊疗关口前移。</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分析结果留痕</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每次AI小助手的分析结果和建议均留痕记录，包括调用时间、患者信息、分析依据、建议结果等，便于后续追溯和统计。</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lang w:val="en-US" w:eastAsia="zh-CN"/>
              </w:rPr>
              <w:t xml:space="preserve">5</w:t>
            </w:r>
            <w:r>
              <w:rPr>
                <w:highlight w:val="none"/>
              </w:rPr>
            </w:r>
            <w:r>
              <w:rPr>
                <w:highlight w:val="none"/>
              </w:rPr>
            </w:r>
          </w:p>
        </w:tc>
        <w:tc>
          <w:tcPr>
            <w:tcW w:w="1305" w:type="dxa"/>
            <w:vAlign w:val="top"/>
            <w:textDirection w:val="lrTb"/>
            <w:noWrap w:val="false"/>
          </w:tcPr>
          <w:p>
            <w:pPr>
              <w:jc w:val="center"/>
              <w:spacing w:after="0" w:line="36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随访管理模块</w:t>
            </w:r>
            <w:r>
              <w:rPr>
                <w:highlight w:val="none"/>
              </w:rPr>
            </w:r>
            <w:r>
              <w:rPr>
                <w:highlight w:val="none"/>
              </w:rPr>
            </w:r>
          </w:p>
        </w:tc>
        <w:tc>
          <w:tcPr>
            <w:tcW w:w="1480"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随访系统集成</w:t>
            </w:r>
            <w:r>
              <w:rPr>
                <w:highlight w:val="none"/>
              </w:rPr>
            </w:r>
            <w:r>
              <w:rPr>
                <w:highlight w:val="none"/>
              </w:rPr>
            </w:r>
          </w:p>
        </w:tc>
        <w:tc>
          <w:tcPr>
            <w:tcW w:w="4238" w:type="dxa"/>
            <w:vAlign w:val="center"/>
            <w:textDirection w:val="lrTb"/>
            <w:noWrap w:val="false"/>
          </w:tcPr>
          <w:p>
            <w:pPr>
              <w:pStyle w:val="1278"/>
              <w:numPr>
                <w:ilvl w:val="0"/>
                <w:numId w:val="0"/>
              </w:numPr>
              <w:jc w:val="both"/>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可以将相应数据提供给院内随访系统，供科室开展专科专病等个性化随访。</w:t>
            </w:r>
            <w:r>
              <w:rPr>
                <w:highlight w:val="none"/>
              </w:rPr>
            </w:r>
            <w:r>
              <w:rPr>
                <w:highlight w:val="none"/>
              </w:rPr>
            </w:r>
          </w:p>
        </w:tc>
        <w:tc>
          <w:tcPr>
            <w:tcW w:w="987"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restart"/>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lang w:val="en-US" w:eastAsia="zh-CN"/>
              </w:rPr>
              <w:t xml:space="preserve">6</w:t>
            </w:r>
            <w:r>
              <w:rPr>
                <w:highlight w:val="none"/>
              </w:rPr>
            </w:r>
            <w:r>
              <w:rPr>
                <w:highlight w:val="none"/>
              </w:rPr>
            </w:r>
          </w:p>
        </w:tc>
        <w:tc>
          <w:tcPr>
            <w:tcW w:w="1305" w:type="dxa"/>
            <w:vAlign w:val="center"/>
            <w:vMerge w:val="restart"/>
            <w:textDirection w:val="lrTb"/>
            <w:noWrap w:val="false"/>
          </w:tcPr>
          <w:p>
            <w:pPr>
              <w:jc w:val="center"/>
              <w:spacing w:after="0" w:line="36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数据分析与BI模块</w:t>
            </w:r>
            <w:r>
              <w:rPr>
                <w:highlight w:val="none"/>
              </w:rPr>
            </w:r>
            <w:r>
              <w:rPr>
                <w:highlight w:val="none"/>
              </w:rPr>
            </w:r>
          </w:p>
        </w:tc>
        <w:tc>
          <w:tcPr>
            <w:tcW w:w="1480"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BI驾驶舱</w:t>
            </w:r>
            <w:r>
              <w:rPr>
                <w:highlight w:val="none"/>
              </w:rPr>
            </w:r>
            <w:r>
              <w:rPr>
                <w:highlight w:val="none"/>
              </w:rPr>
            </w:r>
          </w:p>
        </w:tc>
        <w:tc>
          <w:tcPr>
            <w:tcW w:w="4238" w:type="dxa"/>
            <w:vAlign w:val="center"/>
            <w:textDirection w:val="lrTb"/>
            <w:noWrap w:val="false"/>
          </w:tcPr>
          <w:p>
            <w:pPr>
              <w:pStyle w:val="1278"/>
              <w:numPr>
                <w:ilvl w:val="0"/>
                <w:numId w:val="0"/>
              </w:numPr>
              <w:jc w:val="both"/>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lang w:val="en-US" w:eastAsia="zh-CN"/>
              </w:rPr>
              <w:t xml:space="preserve">支持核心指标卡片，实时监控，治疗方案分析，趋势分析，预警中心等。</w:t>
            </w:r>
            <w:r>
              <w:rPr>
                <w:highlight w:val="none"/>
              </w:rPr>
            </w:r>
            <w:r>
              <w:rPr>
                <w:highlight w:val="none"/>
              </w:rPr>
            </w:r>
          </w:p>
        </w:tc>
        <w:tc>
          <w:tcPr>
            <w:tcW w:w="987"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核心指标卡片</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展示累计患者数、MDT会诊数、诊疗规范率、平均住院日等核心指标。</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实时监控</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展示今日新增入院量、MDT会诊量、MDT会诊中、待处理预警等实时数据。</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治疗方案分布</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饼图展示各治疗方案占比。</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月度趋势分析</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折线/柱状图展示患者数量、MDT会诊、手术治疗月度趋势。</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质量指标监控</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环形图展示诊疗规范率、MDT执行率、随访完成率等达标情况。</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预警中心</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集中展示系统预警信息，按紧急/重要/一般分级。</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医生排行榜</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按病例数、MDT参与率、规范率综合排名。</w:t>
            </w:r>
            <w:r>
              <w:rPr>
                <w:highlight w:val="none"/>
              </w:rPr>
            </w:r>
            <w:r>
              <w:rPr>
                <w:highlight w:val="none"/>
              </w:rPr>
            </w:r>
          </w:p>
        </w:tc>
        <w:tc>
          <w:tcPr>
            <w:tcW w:w="987"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jc w:val="center"/>
              <w:spacing w:after="0" w:line="36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统计分析</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c>
          <w:tcPr>
            <w:tcW w:w="987"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患者统计</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多维度患者统计分析（科室、分期、治疗方案等）。</w:t>
            </w:r>
            <w:r>
              <w:rPr>
                <w:highlight w:val="none"/>
              </w:rPr>
            </w:r>
            <w:r>
              <w:rPr>
                <w:highlight w:val="none"/>
              </w:rPr>
            </w:r>
          </w:p>
        </w:tc>
        <w:tc>
          <w:tcPr>
            <w:tcW w:w="987"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MDT统计</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MDT会诊统计分析（数量、时效、执行率等）。</w:t>
            </w:r>
            <w:r>
              <w:rPr>
                <w:highlight w:val="none"/>
              </w:rPr>
            </w:r>
            <w:r>
              <w:rPr>
                <w:highlight w:val="none"/>
              </w:rPr>
            </w:r>
          </w:p>
        </w:tc>
        <w:tc>
          <w:tcPr>
            <w:tcW w:w="987"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治疗效果统计</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治疗效果统计（ORR、DCR、生存率等）。</w:t>
            </w:r>
            <w:r>
              <w:rPr>
                <w:highlight w:val="none"/>
              </w:rPr>
            </w:r>
            <w:r>
              <w:rPr>
                <w:highlight w:val="none"/>
              </w:rPr>
            </w:r>
          </w:p>
        </w:tc>
        <w:tc>
          <w:tcPr>
            <w:tcW w:w="987"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科室排名</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科室间横向对比排名。</w:t>
            </w:r>
            <w:r>
              <w:rPr>
                <w:highlight w:val="none"/>
              </w:rPr>
            </w:r>
            <w:r>
              <w:rPr>
                <w:highlight w:val="none"/>
              </w:rPr>
            </w:r>
          </w:p>
        </w:tc>
        <w:tc>
          <w:tcPr>
            <w:tcW w:w="987"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数据导出</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支持报表导出为Excel/PDF。</w:t>
            </w:r>
            <w:r>
              <w:rPr>
                <w:highlight w:val="none"/>
              </w:rPr>
            </w:r>
            <w:r>
              <w:rPr>
                <w:highlight w:val="none"/>
              </w:rPr>
            </w:r>
          </w:p>
        </w:tc>
        <w:tc>
          <w:tcPr>
            <w:tcW w:w="987"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restart"/>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lang w:val="en-US" w:eastAsia="zh-CN"/>
              </w:rPr>
              <w:t xml:space="preserve">7</w:t>
            </w:r>
            <w:r>
              <w:rPr>
                <w:highlight w:val="none"/>
              </w:rPr>
            </w:r>
            <w:r>
              <w:rPr>
                <w:highlight w:val="none"/>
              </w:rPr>
            </w:r>
          </w:p>
        </w:tc>
        <w:tc>
          <w:tcPr>
            <w:tcW w:w="1305" w:type="dxa"/>
            <w:vAlign w:val="center"/>
            <w:vMerge w:val="restart"/>
            <w:textDirection w:val="lrTb"/>
            <w:noWrap w:val="false"/>
          </w:tcPr>
          <w:p>
            <w:pPr>
              <w:jc w:val="center"/>
              <w:spacing w:after="0" w:line="36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系统管理模块</w:t>
            </w:r>
            <w:r>
              <w:rPr>
                <w:highlight w:val="none"/>
              </w:rPr>
            </w:r>
            <w:r>
              <w:rPr>
                <w:highlight w:val="none"/>
              </w:rPr>
            </w:r>
          </w:p>
        </w:tc>
        <w:tc>
          <w:tcPr>
            <w:tcW w:w="1480" w:type="dxa"/>
            <w:vAlign w:val="center"/>
            <w:textDirection w:val="lrTb"/>
            <w:noWrap w:val="false"/>
          </w:tcPr>
          <w:p>
            <w:pPr>
              <w:jc w:val="center"/>
              <w:spacing w:after="0" w:line="36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规则配置</w:t>
            </w:r>
            <w:r>
              <w:rPr>
                <w:highlight w:val="none"/>
              </w:rPr>
            </w:r>
            <w:r>
              <w:rPr>
                <w:highlight w:val="none"/>
              </w:rPr>
            </w:r>
          </w:p>
        </w:tc>
        <w:tc>
          <w:tcPr>
            <w:tcW w:w="4238" w:type="dxa"/>
            <w:vAlign w:val="center"/>
            <w:textDirection w:val="lrTb"/>
            <w:noWrap w:val="false"/>
          </w:tcPr>
          <w:p>
            <w:pPr>
              <w:pStyle w:val="1278"/>
              <w:numPr>
                <w:ilvl w:val="0"/>
                <w:numId w:val="0"/>
              </w:numPr>
              <w:jc w:val="both"/>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lang w:val="en-US" w:eastAsia="zh-CN"/>
              </w:rPr>
              <w:t xml:space="preserve">支持准入规则，核心医嘱范围，分期规则，预警规则配置。</w:t>
            </w:r>
            <w:r>
              <w:rPr>
                <w:highlight w:val="none"/>
              </w:rPr>
            </w:r>
            <w:r>
              <w:rPr>
                <w:highlight w:val="none"/>
              </w:rPr>
            </w:r>
          </w:p>
        </w:tc>
        <w:tc>
          <w:tcPr>
            <w:tcW w:w="987"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管控准入规则配置</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配置MDT管控准入规则（哪些分期需要管控、哪些排除）。</w:t>
            </w:r>
            <w:r>
              <w:rPr>
                <w:highlight w:val="none"/>
              </w:rPr>
            </w:r>
            <w:r>
              <w:rPr>
                <w:highlight w:val="none"/>
              </w:rPr>
            </w:r>
          </w:p>
        </w:tc>
        <w:tc>
          <w:tcPr>
            <w:tcW w:w="987"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核心医嘱范围配置</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配置需要管控的核心治疗医嘱类型和项目。</w:t>
            </w:r>
            <w:r>
              <w:rPr>
                <w:highlight w:val="none"/>
              </w:rPr>
            </w:r>
            <w:r>
              <w:rPr>
                <w:highlight w:val="none"/>
              </w:rPr>
            </w:r>
          </w:p>
        </w:tc>
        <w:tc>
          <w:tcPr>
            <w:tcW w:w="987"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分期规则配置</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配置CNLC分期计算规则和阈值。</w:t>
            </w:r>
            <w:r>
              <w:rPr>
                <w:highlight w:val="none"/>
              </w:rPr>
            </w:r>
            <w:r>
              <w:rPr>
                <w:highlight w:val="none"/>
              </w:rPr>
            </w:r>
          </w:p>
        </w:tc>
        <w:tc>
          <w:tcPr>
            <w:tcW w:w="987"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预警规则配置</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配置各类预警触发条件和通知方式。</w:t>
            </w:r>
            <w:r>
              <w:rPr>
                <w:highlight w:val="none"/>
              </w:rPr>
            </w:r>
            <w:r>
              <w:rPr>
                <w:highlight w:val="none"/>
              </w:rPr>
            </w:r>
          </w:p>
        </w:tc>
        <w:tc>
          <w:tcPr>
            <w:tcW w:w="987"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jc w:val="center"/>
              <w:spacing w:after="0" w:line="36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用户与权限</w:t>
            </w:r>
            <w:r>
              <w:rPr>
                <w:highlight w:val="none"/>
              </w:rPr>
            </w:r>
            <w:r>
              <w:rPr>
                <w:highlight w:val="none"/>
              </w:rPr>
            </w:r>
          </w:p>
        </w:tc>
        <w:tc>
          <w:tcPr>
            <w:tcW w:w="4238" w:type="dxa"/>
            <w:vAlign w:val="center"/>
            <w:textDirection w:val="lrTb"/>
            <w:noWrap w:val="false"/>
          </w:tcPr>
          <w:p>
            <w:pPr>
              <w:pStyle w:val="1278"/>
              <w:numPr>
                <w:ilvl w:val="0"/>
                <w:numId w:val="0"/>
              </w:numPr>
              <w:jc w:val="both"/>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lang w:val="en-US" w:eastAsia="zh-CN"/>
              </w:rPr>
              <w:t xml:space="preserve">支持个性化的用户和角色管理，科室同步管理，团队管理。</w:t>
            </w:r>
            <w:r>
              <w:rPr>
                <w:highlight w:val="none"/>
              </w:rPr>
            </w:r>
            <w:r>
              <w:rPr>
                <w:highlight w:val="none"/>
              </w:rPr>
            </w:r>
          </w:p>
        </w:tc>
        <w:tc>
          <w:tcPr>
            <w:tcW w:w="987"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用户管理</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管理系统用户（医生、管理员、MDT秘书等）。</w:t>
            </w:r>
            <w:r>
              <w:rPr>
                <w:highlight w:val="none"/>
              </w:rPr>
            </w:r>
            <w:r>
              <w:rPr>
                <w:highlight w:val="none"/>
              </w:rPr>
            </w:r>
          </w:p>
        </w:tc>
        <w:tc>
          <w:tcPr>
            <w:tcW w:w="987"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角色管理</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管理系统角色和权限（RBAC模型）。</w:t>
            </w:r>
            <w:r>
              <w:rPr>
                <w:highlight w:val="none"/>
              </w:rPr>
            </w:r>
            <w:r>
              <w:rPr>
                <w:highlight w:val="none"/>
              </w:rPr>
            </w:r>
          </w:p>
        </w:tc>
        <w:tc>
          <w:tcPr>
            <w:tcW w:w="987"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科室管理</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管理肝癌相关科室信息。</w:t>
            </w:r>
            <w:r>
              <w:rPr>
                <w:highlight w:val="none"/>
              </w:rPr>
            </w:r>
            <w:r>
              <w:rPr>
                <w:highlight w:val="none"/>
              </w:rPr>
            </w:r>
          </w:p>
        </w:tc>
        <w:tc>
          <w:tcPr>
            <w:tcW w:w="987"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81"/>
              <w:jc w:val="center"/>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MDT团队管理</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管理MDT会诊团队（组长、成员、秘书）。</w:t>
            </w:r>
            <w:r>
              <w:rPr>
                <w:highlight w:val="none"/>
              </w:rPr>
            </w:r>
            <w:r>
              <w:rPr>
                <w:highlight w:val="none"/>
              </w:rPr>
            </w:r>
          </w:p>
        </w:tc>
        <w:tc>
          <w:tcPr>
            <w:tcW w:w="987"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restart"/>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lang w:val="en-US" w:eastAsia="zh-CN"/>
              </w:rPr>
              <w:t xml:space="preserve">8</w:t>
            </w:r>
            <w:r>
              <w:rPr>
                <w:highlight w:val="none"/>
              </w:rPr>
            </w:r>
            <w:r>
              <w:rPr>
                <w:highlight w:val="none"/>
              </w:rPr>
            </w:r>
          </w:p>
        </w:tc>
        <w:tc>
          <w:tcPr>
            <w:tcW w:w="1305" w:type="dxa"/>
            <w:vAlign w:val="center"/>
            <w:vMerge w:val="restart"/>
            <w:textDirection w:val="lrTb"/>
            <w:noWrap w:val="false"/>
          </w:tcPr>
          <w:p>
            <w:pPr>
              <w:jc w:val="center"/>
              <w:spacing w:after="0" w:line="36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AI服务模块</w:t>
            </w:r>
            <w:r>
              <w:rPr>
                <w:highlight w:val="none"/>
              </w:rPr>
            </w:r>
            <w:r>
              <w:rPr>
                <w:highlight w:val="none"/>
              </w:rPr>
            </w:r>
          </w:p>
          <w:p>
            <w:pPr>
              <w:jc w:val="center"/>
              <w:spacing w:after="0" w:line="36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r>
            <w:r>
              <w:rPr>
                <w:highlight w:val="none"/>
              </w:rPr>
            </w:r>
            <w:r>
              <w:rPr>
                <w:highlight w:val="none"/>
              </w:rPr>
            </w:r>
          </w:p>
        </w:tc>
        <w:tc>
          <w:tcPr>
            <w:tcW w:w="1480"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智能筛查服务</w:t>
            </w:r>
            <w:r>
              <w:rPr>
                <w:highlight w:val="none"/>
              </w:rPr>
            </w:r>
            <w:r>
              <w:rPr>
                <w:highlight w:val="none"/>
              </w:rPr>
            </w:r>
          </w:p>
        </w:tc>
        <w:tc>
          <w:tcPr>
            <w:tcW w:w="4238" w:type="dxa"/>
            <w:vAlign w:val="center"/>
            <w:textDirection w:val="lrTb"/>
            <w:noWrap w:val="false"/>
          </w:tcPr>
          <w:p>
            <w:pPr>
              <w:pStyle w:val="1278"/>
              <w:numPr>
                <w:ilvl w:val="0"/>
                <w:numId w:val="0"/>
              </w:numPr>
              <w:jc w:val="both"/>
              <w:spacing w:after="0" w:line="24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肝癌初筛模型</w:t>
            </w:r>
            <w:r>
              <w:rPr>
                <w:rFonts w:hint="eastAsia" w:ascii="微软雅黑" w:hAnsi="微软雅黑" w:eastAsia="微软雅黑" w:cs="微软雅黑"/>
                <w:b w:val="0"/>
                <w:bCs w:val="0"/>
                <w:color w:val="auto"/>
                <w:sz w:val="21"/>
                <w:szCs w:val="21"/>
                <w:highlight w:val="none"/>
                <w:lang w:eastAsia="zh-CN"/>
              </w:rPr>
              <w:t xml:space="preserve">：</w:t>
            </w:r>
            <w:r>
              <w:rPr>
                <w:rFonts w:hint="eastAsia" w:ascii="微软雅黑" w:hAnsi="微软雅黑" w:eastAsia="微软雅黑" w:cs="微软雅黑"/>
                <w:b w:val="0"/>
                <w:bCs w:val="0"/>
                <w:color w:val="auto"/>
                <w:sz w:val="21"/>
                <w:szCs w:val="21"/>
                <w:highlight w:val="none"/>
              </w:rPr>
              <w:t xml:space="preserve">基于患者院内诊疗数据，判断是否为肝癌患者。</w:t>
            </w:r>
            <w:r>
              <w:rPr>
                <w:highlight w:val="none"/>
              </w:rPr>
            </w:r>
            <w:r>
              <w:rPr>
                <w:highlight w:val="none"/>
              </w:rPr>
            </w:r>
          </w:p>
          <w:p>
            <w:pPr>
              <w:jc w:val="both"/>
              <w:spacing w:after="0" w:line="24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管控准入判断</w:t>
            </w:r>
            <w:r>
              <w:rPr>
                <w:rFonts w:hint="eastAsia" w:ascii="微软雅黑" w:hAnsi="微软雅黑" w:eastAsia="微软雅黑" w:cs="微软雅黑"/>
                <w:b w:val="0"/>
                <w:bCs w:val="0"/>
                <w:color w:val="auto"/>
                <w:sz w:val="21"/>
                <w:szCs w:val="21"/>
                <w:highlight w:val="none"/>
                <w:lang w:eastAsia="zh-CN"/>
              </w:rPr>
              <w:t xml:space="preserve">：</w:t>
            </w:r>
            <w:r>
              <w:rPr>
                <w:rFonts w:hint="eastAsia" w:ascii="微软雅黑" w:hAnsi="微软雅黑" w:eastAsia="微软雅黑" w:cs="微软雅黑"/>
                <w:b w:val="0"/>
                <w:bCs w:val="0"/>
                <w:color w:val="auto"/>
                <w:sz w:val="21"/>
                <w:szCs w:val="21"/>
                <w:highlight w:val="none"/>
              </w:rPr>
              <w:t xml:space="preserve">基于规则引擎判断患者是否需要进入管控路径。</w:t>
            </w:r>
            <w:r>
              <w:rPr>
                <w:highlight w:val="none"/>
              </w:rPr>
            </w:r>
            <w:r>
              <w:rPr>
                <w:highlight w:val="none"/>
              </w:rPr>
            </w:r>
          </w:p>
        </w:tc>
        <w:tc>
          <w:tcPr>
            <w:tcW w:w="987"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分期与推荐服务</w:t>
            </w:r>
            <w:r>
              <w:rPr>
                <w:highlight w:val="none"/>
              </w:rPr>
            </w:r>
            <w:r>
              <w:rPr>
                <w:highlight w:val="none"/>
              </w:rPr>
            </w:r>
          </w:p>
        </w:tc>
        <w:tc>
          <w:tcPr>
            <w:tcW w:w="4238" w:type="dxa"/>
            <w:vAlign w:val="center"/>
            <w:textDirection w:val="lrTb"/>
            <w:noWrap w:val="false"/>
          </w:tcPr>
          <w:p>
            <w:pPr>
              <w:pStyle w:val="1278"/>
              <w:numPr>
                <w:ilvl w:val="0"/>
                <w:numId w:val="0"/>
              </w:numPr>
              <w:jc w:val="both"/>
              <w:spacing w:after="0" w:line="24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CNLC分期引擎</w:t>
            </w:r>
            <w:r>
              <w:rPr>
                <w:rFonts w:hint="eastAsia" w:ascii="微软雅黑" w:hAnsi="微软雅黑" w:eastAsia="微软雅黑" w:cs="微软雅黑"/>
                <w:b w:val="0"/>
                <w:bCs w:val="0"/>
                <w:color w:val="auto"/>
                <w:sz w:val="21"/>
                <w:szCs w:val="21"/>
                <w:highlight w:val="none"/>
                <w:lang w:eastAsia="zh-CN"/>
              </w:rPr>
              <w:t xml:space="preserve">：</w:t>
            </w:r>
            <w:r>
              <w:rPr>
                <w:rFonts w:hint="eastAsia" w:ascii="微软雅黑" w:hAnsi="微软雅黑" w:eastAsia="微软雅黑" w:cs="微软雅黑"/>
                <w:b w:val="0"/>
                <w:bCs w:val="0"/>
                <w:color w:val="auto"/>
                <w:sz w:val="21"/>
                <w:szCs w:val="21"/>
                <w:highlight w:val="none"/>
              </w:rPr>
              <w:t xml:space="preserve">自动计算CNLC分期，展示推理过程。</w:t>
            </w:r>
            <w:r>
              <w:rPr>
                <w:highlight w:val="none"/>
              </w:rPr>
            </w:r>
            <w:r>
              <w:rPr>
                <w:highlight w:val="none"/>
              </w:rPr>
            </w:r>
          </w:p>
          <w:p>
            <w:pPr>
              <w:jc w:val="both"/>
              <w:spacing w:after="0" w:line="24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治疗方案推荐</w:t>
            </w:r>
            <w:r>
              <w:rPr>
                <w:rFonts w:hint="eastAsia" w:ascii="微软雅黑" w:hAnsi="微软雅黑" w:eastAsia="微软雅黑" w:cs="微软雅黑"/>
                <w:b w:val="0"/>
                <w:bCs w:val="0"/>
                <w:color w:val="auto"/>
                <w:sz w:val="21"/>
                <w:szCs w:val="21"/>
                <w:highlight w:val="none"/>
                <w:lang w:eastAsia="zh-CN"/>
              </w:rPr>
              <w:t xml:space="preserve">：</w:t>
            </w:r>
            <w:r>
              <w:rPr>
                <w:rFonts w:hint="eastAsia" w:ascii="微软雅黑" w:hAnsi="微软雅黑" w:eastAsia="微软雅黑" w:cs="微软雅黑"/>
                <w:b w:val="0"/>
                <w:bCs w:val="0"/>
                <w:color w:val="auto"/>
                <w:sz w:val="21"/>
                <w:szCs w:val="21"/>
                <w:highlight w:val="none"/>
              </w:rPr>
              <w:t xml:space="preserve">基于分期+指南推荐治疗方案。</w:t>
            </w:r>
            <w:r>
              <w:rPr>
                <w:highlight w:val="none"/>
              </w:rPr>
            </w:r>
            <w:r>
              <w:rPr>
                <w:highlight w:val="none"/>
              </w:rPr>
            </w:r>
          </w:p>
        </w:tc>
        <w:tc>
          <w:tcPr>
            <w:tcW w:w="987"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vertAlign w:val="baseline"/>
                <w:lang w:val="en-US" w:eastAsia="zh-CN"/>
              </w:rPr>
            </w:pPr>
            <w:r>
              <w:rPr>
                <w:rFonts w:hint="eastAsia" w:ascii="微软雅黑" w:hAnsi="微软雅黑" w:eastAsia="微软雅黑" w:cs="微软雅黑"/>
                <w:b w:val="0"/>
                <w:bCs w:val="0"/>
                <w:color w:val="auto"/>
                <w:sz w:val="21"/>
                <w:szCs w:val="21"/>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r>
            <w:r/>
          </w:p>
        </w:tc>
        <w:tc>
          <w:tcPr>
            <w:tcW w:w="1480"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会诊智能服务</w:t>
            </w:r>
            <w:r>
              <w:rPr>
                <w:highlight w:val="none"/>
              </w:rPr>
            </w:r>
            <w:r>
              <w:rPr>
                <w:highlight w:val="none"/>
              </w:rPr>
            </w:r>
          </w:p>
        </w:tc>
        <w:tc>
          <w:tcPr>
            <w:tcW w:w="4238" w:type="dxa"/>
            <w:vAlign w:val="center"/>
            <w:textDirection w:val="lrTb"/>
            <w:noWrap w:val="false"/>
          </w:tcPr>
          <w:p>
            <w:pPr>
              <w:pStyle w:val="1281"/>
              <w:jc w:val="both"/>
              <w:spacing w:before="81" w:after="81" w:line="24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诊疗数据智能摘要</w:t>
            </w:r>
            <w:r>
              <w:rPr>
                <w:rFonts w:hint="eastAsia" w:ascii="微软雅黑" w:hAnsi="微软雅黑" w:eastAsia="微软雅黑" w:cs="微软雅黑"/>
                <w:b w:val="0"/>
                <w:bCs w:val="0"/>
                <w:color w:val="auto"/>
                <w:sz w:val="21"/>
                <w:szCs w:val="21"/>
                <w:highlight w:val="none"/>
                <w:lang w:eastAsia="zh-CN"/>
              </w:rPr>
              <w:t xml:space="preserve">：</w:t>
            </w:r>
            <w:r>
              <w:rPr>
                <w:rFonts w:hint="eastAsia" w:ascii="微软雅黑" w:hAnsi="微软雅黑" w:eastAsia="微软雅黑" w:cs="微软雅黑"/>
                <w:b w:val="0"/>
                <w:bCs w:val="0"/>
                <w:color w:val="auto"/>
                <w:sz w:val="21"/>
                <w:szCs w:val="21"/>
                <w:highlight w:val="none"/>
              </w:rPr>
              <w:t xml:space="preserve">对患者大量诊疗数据进行智能总结，提取与会诊相关的关键信息。</w:t>
            </w:r>
            <w:r>
              <w:rPr>
                <w:highlight w:val="none"/>
              </w:rPr>
            </w:r>
            <w:r>
              <w:rPr>
                <w:highlight w:val="none"/>
              </w:rPr>
            </w:r>
          </w:p>
          <w:p>
            <w:pPr>
              <w:pStyle w:val="1281"/>
              <w:jc w:val="both"/>
              <w:spacing w:before="81" w:after="81" w:line="24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会诊报告自动生成</w:t>
            </w:r>
            <w:r>
              <w:rPr>
                <w:rFonts w:hint="eastAsia" w:ascii="微软雅黑" w:hAnsi="微软雅黑" w:eastAsia="微软雅黑" w:cs="微软雅黑"/>
                <w:b w:val="0"/>
                <w:bCs w:val="0"/>
                <w:color w:val="auto"/>
                <w:sz w:val="21"/>
                <w:szCs w:val="21"/>
                <w:highlight w:val="none"/>
                <w:lang w:eastAsia="zh-CN"/>
              </w:rPr>
              <w:t xml:space="preserve">：</w:t>
            </w:r>
            <w:r>
              <w:rPr>
                <w:rFonts w:hint="eastAsia" w:ascii="微软雅黑" w:hAnsi="微软雅黑" w:eastAsia="微软雅黑" w:cs="微软雅黑"/>
                <w:b w:val="0"/>
                <w:bCs w:val="0"/>
                <w:color w:val="auto"/>
                <w:sz w:val="21"/>
                <w:szCs w:val="21"/>
                <w:highlight w:val="none"/>
              </w:rPr>
              <w:t xml:space="preserve">基于语音转文字+各专家意见，AI自动整理会诊报告草稿。</w:t>
            </w:r>
            <w:r>
              <w:rPr>
                <w:highlight w:val="none"/>
              </w:rPr>
            </w:r>
            <w:r>
              <w:rPr>
                <w:highlight w:val="none"/>
              </w:rPr>
            </w:r>
          </w:p>
          <w:p>
            <w:pPr>
              <w:pStyle w:val="1281"/>
              <w:jc w:val="both"/>
              <w:spacing w:before="81" w:after="81" w:line="24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语音转文字</w:t>
            </w:r>
            <w:r>
              <w:rPr>
                <w:rFonts w:hint="eastAsia" w:ascii="微软雅黑" w:hAnsi="微软雅黑" w:eastAsia="微软雅黑" w:cs="微软雅黑"/>
                <w:b w:val="0"/>
                <w:bCs w:val="0"/>
                <w:color w:val="auto"/>
                <w:sz w:val="21"/>
                <w:szCs w:val="21"/>
                <w:highlight w:val="none"/>
                <w:lang w:eastAsia="zh-CN"/>
              </w:rPr>
              <w:t xml:space="preserve">：</w:t>
            </w:r>
            <w:r>
              <w:rPr>
                <w:rFonts w:hint="eastAsia" w:ascii="微软雅黑" w:hAnsi="微软雅黑" w:eastAsia="微软雅黑" w:cs="微软雅黑"/>
                <w:b w:val="0"/>
                <w:bCs w:val="0"/>
                <w:color w:val="auto"/>
                <w:sz w:val="21"/>
                <w:szCs w:val="21"/>
                <w:highlight w:val="none"/>
              </w:rPr>
              <w:t xml:space="preserve">实时会诊语音识别转文字。</w:t>
            </w:r>
            <w:r>
              <w:rPr>
                <w:highlight w:val="none"/>
              </w:rPr>
            </w:r>
            <w:r>
              <w:rPr>
                <w:highlight w:val="none"/>
              </w:rPr>
            </w:r>
          </w:p>
        </w:tc>
        <w:tc>
          <w:tcPr>
            <w:tcW w:w="987"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lang w:val="en-US" w:eastAsia="zh-CN"/>
              </w:rPr>
            </w:pPr>
            <w:r>
              <w:rPr>
                <w:rFonts w:hint="eastAsia" w:ascii="微软雅黑" w:hAnsi="微软雅黑" w:eastAsia="微软雅黑" w:cs="微软雅黑"/>
                <w:b w:val="0"/>
                <w:bCs w:val="0"/>
                <w:color w:val="auto"/>
                <w:sz w:val="21"/>
                <w:szCs w:val="21"/>
                <w:highlight w:val="none"/>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r>
            <w:r/>
          </w:p>
        </w:tc>
        <w:tc>
          <w:tcPr>
            <w:tcW w:w="1480"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rPr>
              <w:t xml:space="preserve">NLP服务</w:t>
            </w:r>
            <w:r>
              <w:rPr>
                <w:highlight w:val="none"/>
              </w:rPr>
            </w:r>
            <w:r>
              <w:rPr>
                <w:highlight w:val="none"/>
              </w:rPr>
            </w:r>
          </w:p>
        </w:tc>
        <w:tc>
          <w:tcPr>
            <w:tcW w:w="4238" w:type="dxa"/>
            <w:vAlign w:val="center"/>
            <w:textDirection w:val="lrTb"/>
            <w:noWrap w:val="false"/>
          </w:tcPr>
          <w:p>
            <w:pPr>
              <w:pStyle w:val="1278"/>
              <w:numPr>
                <w:ilvl w:val="0"/>
                <w:numId w:val="0"/>
              </w:numPr>
              <w:jc w:val="both"/>
              <w:spacing w:after="0" w:line="24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影像报告解析</w:t>
            </w:r>
            <w:r>
              <w:rPr>
                <w:rFonts w:hint="eastAsia" w:ascii="微软雅黑" w:hAnsi="微软雅黑" w:eastAsia="微软雅黑" w:cs="微软雅黑"/>
                <w:b w:val="0"/>
                <w:bCs w:val="0"/>
                <w:color w:val="auto"/>
                <w:sz w:val="21"/>
                <w:szCs w:val="21"/>
                <w:highlight w:val="none"/>
                <w:lang w:eastAsia="zh-CN"/>
              </w:rPr>
              <w:t xml:space="preserve">：</w:t>
            </w:r>
            <w:r>
              <w:rPr>
                <w:rFonts w:hint="eastAsia" w:ascii="微软雅黑" w:hAnsi="微软雅黑" w:eastAsia="微软雅黑" w:cs="微软雅黑"/>
                <w:b w:val="0"/>
                <w:bCs w:val="0"/>
                <w:color w:val="auto"/>
                <w:sz w:val="21"/>
                <w:szCs w:val="21"/>
                <w:highlight w:val="none"/>
              </w:rPr>
              <w:t xml:space="preserve">NLP提取影像报告中的关键信息。</w:t>
            </w:r>
            <w:r>
              <w:rPr>
                <w:highlight w:val="none"/>
              </w:rPr>
            </w:r>
            <w:r>
              <w:rPr>
                <w:highlight w:val="none"/>
              </w:rPr>
            </w:r>
          </w:p>
          <w:p>
            <w:pPr>
              <w:jc w:val="both"/>
              <w:spacing w:after="0" w:line="24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病历信息提取</w:t>
            </w:r>
            <w:r>
              <w:rPr>
                <w:rFonts w:hint="eastAsia" w:ascii="微软雅黑" w:hAnsi="微软雅黑" w:eastAsia="微软雅黑" w:cs="微软雅黑"/>
                <w:b w:val="0"/>
                <w:bCs w:val="0"/>
                <w:color w:val="auto"/>
                <w:sz w:val="21"/>
                <w:szCs w:val="21"/>
                <w:highlight w:val="none"/>
                <w:lang w:eastAsia="zh-CN"/>
              </w:rPr>
              <w:t xml:space="preserve">：</w:t>
            </w:r>
            <w:r>
              <w:rPr>
                <w:rFonts w:hint="eastAsia" w:ascii="微软雅黑" w:hAnsi="微软雅黑" w:eastAsia="微软雅黑" w:cs="微软雅黑"/>
                <w:b w:val="0"/>
                <w:bCs w:val="0"/>
                <w:color w:val="auto"/>
                <w:sz w:val="21"/>
                <w:szCs w:val="21"/>
                <w:highlight w:val="none"/>
              </w:rPr>
              <w:t xml:space="preserve">NLP提取病历中的关键信息。</w:t>
            </w:r>
            <w:r>
              <w:rPr>
                <w:highlight w:val="none"/>
              </w:rPr>
            </w:r>
            <w:r>
              <w:rPr>
                <w:highlight w:val="none"/>
              </w:rPr>
            </w:r>
          </w:p>
          <w:p>
            <w:pPr>
              <w:pStyle w:val="1278"/>
              <w:ind w:left="0" w:firstLine="0"/>
              <w:jc w:val="both"/>
              <w:spacing w:after="0" w:line="24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院外报告OCR</w:t>
            </w:r>
            <w:r>
              <w:rPr>
                <w:rFonts w:hint="eastAsia" w:ascii="微软雅黑" w:hAnsi="微软雅黑" w:eastAsia="微软雅黑" w:cs="微软雅黑"/>
                <w:b w:val="0"/>
                <w:bCs w:val="0"/>
                <w:color w:val="auto"/>
                <w:sz w:val="21"/>
                <w:szCs w:val="21"/>
                <w:highlight w:val="none"/>
                <w:lang w:eastAsia="zh-CN"/>
              </w:rPr>
              <w:t xml:space="preserve">：</w:t>
            </w:r>
            <w:r>
              <w:rPr>
                <w:rFonts w:hint="eastAsia" w:ascii="微软雅黑" w:hAnsi="微软雅黑" w:eastAsia="微软雅黑" w:cs="微软雅黑"/>
                <w:b w:val="0"/>
                <w:bCs w:val="0"/>
                <w:color w:val="auto"/>
                <w:sz w:val="21"/>
                <w:szCs w:val="21"/>
                <w:highlight w:val="none"/>
              </w:rPr>
              <w:t xml:space="preserve">患者上传图片的OCR识别和关键信息提取。</w:t>
            </w:r>
            <w:r>
              <w:rPr>
                <w:highlight w:val="none"/>
              </w:rPr>
            </w:r>
            <w:r>
              <w:rPr>
                <w:highlight w:val="none"/>
              </w:rPr>
            </w:r>
          </w:p>
        </w:tc>
        <w:tc>
          <w:tcPr>
            <w:tcW w:w="987"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lang w:val="en-US" w:eastAsia="zh-CN"/>
              </w:rPr>
            </w:pPr>
            <w:r>
              <w:rPr>
                <w:rFonts w:hint="eastAsia" w:ascii="微软雅黑" w:hAnsi="微软雅黑" w:eastAsia="微软雅黑" w:cs="微软雅黑"/>
                <w:b w:val="0"/>
                <w:bCs w:val="0"/>
                <w:color w:val="auto"/>
                <w:sz w:val="21"/>
                <w:szCs w:val="21"/>
                <w:highlight w:val="none"/>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r>
            <w:r/>
          </w:p>
        </w:tc>
        <w:tc>
          <w:tcPr>
            <w:tcW w:w="1480"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lang w:val="en-US" w:eastAsia="zh-CN"/>
              </w:rPr>
              <w:t xml:space="preserve">GCP推荐</w:t>
            </w:r>
            <w:r>
              <w:rPr>
                <w:highlight w:val="none"/>
              </w:rPr>
            </w:r>
            <w:r>
              <w:rPr>
                <w:highlight w:val="none"/>
              </w:rPr>
            </w:r>
          </w:p>
        </w:tc>
        <w:tc>
          <w:tcPr>
            <w:tcW w:w="4238" w:type="dxa"/>
            <w:vAlign w:val="center"/>
            <w:textDirection w:val="lrTb"/>
            <w:noWrap w:val="false"/>
          </w:tcPr>
          <w:p>
            <w:pPr>
              <w:pStyle w:val="1278"/>
              <w:ind w:left="0" w:firstLine="0"/>
              <w:jc w:val="both"/>
              <w:spacing w:after="0" w:line="24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lang w:val="en-US" w:eastAsia="zh-CN"/>
              </w:rPr>
              <w:t xml:space="preserve">支持与招标人提供的GCP入组筛查系统对接，实现GCP方案的推荐。</w:t>
            </w:r>
            <w:r>
              <w:rPr>
                <w:highlight w:val="none"/>
              </w:rPr>
            </w:r>
            <w:r>
              <w:rPr>
                <w:highlight w:val="none"/>
              </w:rPr>
            </w:r>
          </w:p>
        </w:tc>
        <w:tc>
          <w:tcPr>
            <w:tcW w:w="987"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r>
        <w:trPr/>
        <w:tc>
          <w:tcPr>
            <w:tcW w:w="693" w:type="dxa"/>
            <w:vAlign w:val="center"/>
            <w:vMerge w:val="continue"/>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vertAlign w:val="baseline"/>
                <w:lang w:val="en-US" w:eastAsia="zh-CN"/>
              </w:rPr>
            </w:pPr>
            <w:r>
              <w:rPr>
                <w:rFonts w:hint="eastAsia" w:ascii="微软雅黑" w:hAnsi="微软雅黑" w:eastAsia="微软雅黑" w:cs="微软雅黑"/>
                <w:b w:val="0"/>
                <w:bCs w:val="0"/>
                <w:color w:val="auto"/>
                <w:sz w:val="21"/>
                <w:szCs w:val="21"/>
                <w:highlight w:val="none"/>
                <w:vertAlign w:val="baseline"/>
                <w:lang w:val="en-US" w:eastAsia="zh-CN"/>
              </w:rPr>
            </w:r>
            <w:r/>
          </w:p>
        </w:tc>
        <w:tc>
          <w:tcPr>
            <w:tcW w:w="1305" w:type="dxa"/>
            <w:vAlign w:val="top"/>
            <w:vMerge w:val="continue"/>
            <w:textDirection w:val="lrTb"/>
            <w:noWrap w:val="false"/>
          </w:tcPr>
          <w:p>
            <w:pPr>
              <w:jc w:val="center"/>
              <w:spacing w:after="0" w:line="36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r>
            <w:r/>
          </w:p>
        </w:tc>
        <w:tc>
          <w:tcPr>
            <w:tcW w:w="1480" w:type="dxa"/>
            <w:vAlign w:val="center"/>
            <w:textDirection w:val="lrTb"/>
            <w:noWrap w:val="false"/>
          </w:tcPr>
          <w:p>
            <w:pPr>
              <w:pStyle w:val="1278"/>
              <w:numPr>
                <w:ilvl w:val="0"/>
                <w:numId w:val="0"/>
              </w:numPr>
              <w:jc w:val="center"/>
              <w:spacing w:after="0" w:line="24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lang w:val="en-US" w:eastAsia="zh-CN"/>
              </w:rPr>
              <w:t xml:space="preserve">AI复盘</w:t>
            </w:r>
            <w:r>
              <w:rPr>
                <w:highlight w:val="none"/>
              </w:rPr>
            </w:r>
            <w:r>
              <w:rPr>
                <w:highlight w:val="none"/>
              </w:rPr>
            </w:r>
          </w:p>
        </w:tc>
        <w:tc>
          <w:tcPr>
            <w:tcW w:w="4238" w:type="dxa"/>
            <w:vAlign w:val="center"/>
            <w:textDirection w:val="lrTb"/>
            <w:noWrap w:val="false"/>
          </w:tcPr>
          <w:p>
            <w:pPr>
              <w:pStyle w:val="1278"/>
              <w:ind w:left="0" w:firstLine="0"/>
              <w:jc w:val="both"/>
              <w:spacing w:after="0" w:line="24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lang w:val="en-US" w:eastAsia="zh-CN"/>
              </w:rPr>
              <w:t xml:space="preserve">支持利用AI能力进行复盘病历筛选，复盘资料准备，复盘分析等。</w:t>
            </w:r>
            <w:r>
              <w:rPr>
                <w:highlight w:val="none"/>
              </w:rPr>
            </w:r>
            <w:r>
              <w:rPr>
                <w:highlight w:val="none"/>
              </w:rPr>
            </w:r>
          </w:p>
        </w:tc>
        <w:tc>
          <w:tcPr>
            <w:tcW w:w="987" w:type="dxa"/>
            <w:vAlign w:val="top"/>
            <w:textDirection w:val="lrTb"/>
            <w:noWrap w:val="false"/>
          </w:tcPr>
          <w:p>
            <w:pPr>
              <w:pStyle w:val="1278"/>
              <w:numPr>
                <w:ilvl w:val="0"/>
                <w:numId w:val="0"/>
              </w:numPr>
              <w:spacing w:after="0" w:line="240" w:lineRule="auto"/>
              <w:rPr>
                <w:rFonts w:hint="eastAsia" w:ascii="微软雅黑" w:hAnsi="微软雅黑" w:eastAsia="微软雅黑" w:cs="微软雅黑"/>
                <w:b w:val="0"/>
                <w:bCs w:val="0"/>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rPr>
            </w:r>
            <w:r>
              <w:rPr>
                <w:highlight w:val="none"/>
              </w:rPr>
            </w:r>
            <w:r>
              <w:rPr>
                <w:highlight w:val="none"/>
              </w:rPr>
            </w:r>
          </w:p>
        </w:tc>
      </w:tr>
    </w:tbl>
    <w:p>
      <w:pPr>
        <w:tabs>
          <w:tab w:val="left" w:pos="6855" w:leader="none"/>
        </w:tabs>
        <w:rPr>
          <w:rFonts w:hint="eastAsia" w:ascii="微软雅黑" w:hAnsi="微软雅黑" w:eastAsia="微软雅黑" w:cs="微软雅黑"/>
          <w:b/>
          <w:bCs/>
          <w:color w:val="auto"/>
          <w:sz w:val="21"/>
          <w:szCs w:val="21"/>
          <w:highlight w:val="none"/>
        </w:rPr>
      </w:pPr>
      <w:r>
        <w:rPr>
          <w:rFonts w:hint="eastAsia" w:ascii="微软雅黑" w:hAnsi="微软雅黑" w:eastAsia="微软雅黑" w:cs="微软雅黑"/>
          <w:b/>
          <w:bCs/>
          <w:color w:val="auto"/>
          <w:sz w:val="21"/>
          <w:szCs w:val="21"/>
          <w:highlight w:val="none"/>
        </w:rPr>
      </w:r>
      <w:r>
        <w:rPr>
          <w:highlight w:val="none"/>
        </w:rPr>
      </w:r>
      <w:r>
        <w:rPr>
          <w:highlight w:val="none"/>
        </w:rPr>
      </w:r>
    </w:p>
    <w:p>
      <w:pPr>
        <w:ind w:firstLine="420"/>
        <w:tabs>
          <w:tab w:val="left" w:pos="6855" w:leader="none"/>
        </w:tabs>
        <w:rPr>
          <w:rFonts w:hint="eastAsia" w:ascii="微软雅黑" w:hAnsi="微软雅黑" w:eastAsia="微软雅黑" w:cs="微软雅黑"/>
          <w:b/>
          <w:bCs/>
          <w:color w:val="auto"/>
          <w:sz w:val="21"/>
          <w:szCs w:val="21"/>
          <w:highlight w:val="none"/>
        </w:rPr>
      </w:pPr>
      <w:r>
        <w:rPr>
          <w:rFonts w:hint="eastAsia" w:ascii="微软雅黑" w:hAnsi="微软雅黑" w:eastAsia="微软雅黑" w:cs="微软雅黑"/>
          <w:b/>
          <w:bCs/>
          <w:color w:val="auto"/>
          <w:sz w:val="21"/>
          <w:szCs w:val="21"/>
          <w:highlight w:val="none"/>
        </w:rPr>
        <w:t xml:space="preserve">五、项目实施要求</w:t>
      </w:r>
      <w:r>
        <w:rPr>
          <w:highlight w:val="none"/>
        </w:rPr>
      </w:r>
      <w:r>
        <w:rPr>
          <w:highlight w:val="none"/>
        </w:rPr>
      </w:r>
    </w:p>
    <w:p>
      <w:pPr>
        <w:ind w:firstLine="420"/>
        <w:tabs>
          <w:tab w:val="left" w:pos="6855"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1、项目实施时间要求</w:t>
      </w:r>
      <w:r>
        <w:rPr>
          <w:highlight w:val="none"/>
        </w:rPr>
      </w:r>
      <w:r>
        <w:rPr>
          <w:highlight w:val="none"/>
        </w:rPr>
      </w:r>
    </w:p>
    <w:p>
      <w:pPr>
        <w:ind w:firstLine="420"/>
        <w:tabs>
          <w:tab w:val="left" w:pos="6855"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自合同签订生效之日起，经甲方完成需求确认、提供全部必要业务资料后，乙方于</w:t>
      </w:r>
      <w:r>
        <w:rPr>
          <w:rFonts w:hint="eastAsia" w:ascii="微软雅黑" w:hAnsi="微软雅黑" w:eastAsia="微软雅黑" w:cs="微软雅黑"/>
          <w:color w:val="auto"/>
          <w:sz w:val="21"/>
          <w:szCs w:val="21"/>
          <w:highlight w:val="none"/>
          <w:lang w:val="en-US" w:eastAsia="zh-CN"/>
        </w:rPr>
        <w:t xml:space="preserve">90</w:t>
      </w:r>
      <w:r>
        <w:rPr>
          <w:rFonts w:hint="eastAsia" w:ascii="微软雅黑" w:hAnsi="微软雅黑" w:eastAsia="微软雅黑" w:cs="微软雅黑"/>
          <w:color w:val="auto"/>
          <w:sz w:val="21"/>
          <w:szCs w:val="21"/>
          <w:highlight w:val="none"/>
        </w:rPr>
        <w:t xml:space="preserve">日内完成需求调研、程序开发、内部测试、部署实施、联调测试，并提交甲方组织竣工验收。</w:t>
      </w:r>
      <w:r>
        <w:rPr>
          <w:highlight w:val="none"/>
        </w:rPr>
      </w:r>
      <w:r>
        <w:rPr>
          <w:highlight w:val="none"/>
        </w:rPr>
      </w:r>
    </w:p>
    <w:p>
      <w:pPr>
        <w:ind w:firstLine="420"/>
        <w:tabs>
          <w:tab w:val="left" w:pos="6855"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说明：本“1.项目实施时间要求”为不允许偏离的实质性要求和条件，如有偏离，在符合性审查时按照投标无效处理。</w:t>
      </w:r>
      <w:r>
        <w:rPr>
          <w:highlight w:val="none"/>
        </w:rPr>
      </w:r>
      <w:r>
        <w:rPr>
          <w:highlight w:val="none"/>
        </w:rPr>
      </w:r>
    </w:p>
    <w:p>
      <w:pPr>
        <w:ind w:firstLine="420"/>
        <w:tabs>
          <w:tab w:val="left" w:pos="6855"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2、项目实施具体要求</w:t>
      </w:r>
      <w:r>
        <w:rPr>
          <w:highlight w:val="none"/>
        </w:rPr>
      </w:r>
      <w:r>
        <w:rPr>
          <w:highlight w:val="none"/>
        </w:rPr>
      </w:r>
    </w:p>
    <w:p>
      <w:pPr>
        <w:ind w:firstLine="420"/>
        <w:tabs>
          <w:tab w:val="left" w:pos="6855"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（1）完成软件系统的部署实施、环境搭建、联调测试、上线启动全流程工作，提供系统全生命周期的运行、运维技术指导，保障系统稳定、安全、高效运行。</w:t>
      </w:r>
      <w:r>
        <w:rPr>
          <w:highlight w:val="none"/>
        </w:rPr>
      </w:r>
      <w:r>
        <w:rPr>
          <w:highlight w:val="none"/>
        </w:rPr>
      </w:r>
    </w:p>
    <w:p>
      <w:pPr>
        <w:ind w:firstLine="420"/>
        <w:tabs>
          <w:tab w:val="left" w:pos="6855"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（2）提供系统部署、日常运维、故障排查、二次开发所需的全套工具、环境镜像、依赖组件包及合法合规的授权许可，保障采购人可正常开展系统管理、运维及二次开发相关工作。</w:t>
      </w:r>
      <w:r>
        <w:rPr>
          <w:highlight w:val="none"/>
        </w:rPr>
      </w:r>
      <w:r>
        <w:rPr>
          <w:highlight w:val="none"/>
        </w:rPr>
      </w:r>
    </w:p>
    <w:p>
      <w:pPr>
        <w:ind w:firstLine="420"/>
        <w:tabs>
          <w:tab w:val="left" w:pos="6855"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3）为系统各功能模块及全套系统，提供完整、准确、规范的全量交付文档，包括但不限于需求规格说明书、系统设计说明书、数据库设计文档、用户操作手册、部署运维手册、接口开发文档、安全合规手册、应急处置预案等，文档须符合采购人管理与档案归档规范。</w:t>
      </w:r>
      <w:r>
        <w:rPr>
          <w:highlight w:val="none"/>
        </w:rPr>
      </w:r>
      <w:r>
        <w:rPr>
          <w:highlight w:val="none"/>
        </w:rPr>
      </w:r>
    </w:p>
    <w:p>
      <w:pPr>
        <w:ind w:firstLine="420"/>
        <w:tabs>
          <w:tab w:val="left" w:pos="6855"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（4）维保期内应为软件系统提供持续的运行维护、BUG 修复、安全加固、性能优化服务，保障系统持续适配业务场景、运行环境及合规要求。</w:t>
      </w:r>
      <w:r>
        <w:rPr>
          <w:highlight w:val="none"/>
        </w:rPr>
      </w:r>
      <w:r>
        <w:rPr>
          <w:highlight w:val="none"/>
        </w:rPr>
      </w:r>
    </w:p>
    <w:p>
      <w:pPr>
        <w:ind w:firstLine="420"/>
        <w:tabs>
          <w:tab w:val="left" w:pos="6855"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（5）如系统出现功能缺陷、性能不达标、安全漏洞等因开发质量导致的问题，须无条件免费进行修复、优化与升级，直至完全满足相应的技术与业务要求。</w:t>
      </w:r>
      <w:r>
        <w:rPr>
          <w:highlight w:val="none"/>
        </w:rPr>
      </w:r>
      <w:r>
        <w:rPr>
          <w:highlight w:val="none"/>
        </w:rPr>
      </w:r>
    </w:p>
    <w:p>
      <w:pPr>
        <w:ind w:firstLine="420"/>
        <w:tabs>
          <w:tab w:val="left" w:pos="6855" w:leader="none"/>
        </w:tabs>
        <w:rPr>
          <w:rFonts w:hint="eastAsia" w:ascii="微软雅黑" w:hAnsi="微软雅黑" w:eastAsia="微软雅黑" w:cs="微软雅黑"/>
          <w:b/>
          <w:bCs/>
          <w:color w:val="auto"/>
          <w:sz w:val="21"/>
          <w:szCs w:val="21"/>
          <w:highlight w:val="none"/>
        </w:rPr>
      </w:pPr>
      <w:r>
        <w:rPr>
          <w:rFonts w:hint="eastAsia" w:ascii="微软雅黑" w:hAnsi="微软雅黑" w:eastAsia="微软雅黑" w:cs="微软雅黑"/>
          <w:b/>
          <w:bCs/>
          <w:color w:val="auto"/>
          <w:sz w:val="21"/>
          <w:szCs w:val="21"/>
          <w:highlight w:val="none"/>
        </w:rPr>
        <w:t xml:space="preserve">六、培训要求</w:t>
      </w:r>
      <w:r>
        <w:rPr>
          <w:highlight w:val="none"/>
        </w:rPr>
      </w:r>
      <w:r>
        <w:rPr>
          <w:highlight w:val="none"/>
        </w:rPr>
      </w:r>
    </w:p>
    <w:p>
      <w:pPr>
        <w:ind w:firstLine="420"/>
        <w:tabs>
          <w:tab w:val="left" w:pos="6855"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1、培训具体要求</w:t>
      </w:r>
      <w:r>
        <w:rPr>
          <w:highlight w:val="none"/>
        </w:rPr>
      </w:r>
      <w:r>
        <w:rPr>
          <w:highlight w:val="none"/>
        </w:rPr>
      </w:r>
    </w:p>
    <w:p>
      <w:pPr>
        <w:ind w:firstLine="420"/>
        <w:tabs>
          <w:tab w:val="left" w:pos="6855"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（1）应具有完整的培训计划及内容。</w:t>
      </w:r>
      <w:r>
        <w:rPr>
          <w:highlight w:val="none"/>
        </w:rPr>
      </w:r>
      <w:r>
        <w:rPr>
          <w:highlight w:val="none"/>
        </w:rPr>
      </w:r>
    </w:p>
    <w:p>
      <w:pPr>
        <w:ind w:firstLine="420"/>
        <w:tabs>
          <w:tab w:val="left" w:pos="6855"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2）提供对采购人的基本免费培训，制定专项培训方案，使采购人使用过程能够正常操作，包含但不限于参数设置、常见故障排除等，提供现场或远程相结合的系统化培训，直至采购人使用人员能够独立、熟练完成对应操作与管理工作。</w:t>
      </w:r>
      <w:r>
        <w:rPr>
          <w:highlight w:val="none"/>
        </w:rPr>
      </w:r>
      <w:r>
        <w:rPr>
          <w:highlight w:val="none"/>
        </w:rPr>
      </w:r>
    </w:p>
    <w:p>
      <w:pPr>
        <w:ind w:firstLine="420"/>
        <w:tabs>
          <w:tab w:val="left" w:pos="6855"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（3）培训计划（培训时间安排，课程内容安排）由采购人和中标人协商确定后实施。</w:t>
      </w:r>
      <w:r>
        <w:rPr>
          <w:highlight w:val="none"/>
        </w:rPr>
      </w:r>
      <w:r>
        <w:rPr>
          <w:highlight w:val="none"/>
        </w:rPr>
      </w:r>
    </w:p>
    <w:p>
      <w:pPr>
        <w:ind w:firstLine="420"/>
        <w:tabs>
          <w:tab w:val="left" w:pos="6855"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（4）培训应有电子文档或纸质材料交由采购人留存。</w:t>
      </w:r>
      <w:r>
        <w:rPr>
          <w:highlight w:val="none"/>
        </w:rPr>
      </w:r>
      <w:r>
        <w:rPr>
          <w:highlight w:val="none"/>
        </w:rPr>
      </w:r>
    </w:p>
    <w:p>
      <w:pPr>
        <w:ind w:firstLine="420"/>
        <w:tabs>
          <w:tab w:val="left" w:pos="6855" w:leader="none"/>
        </w:tabs>
        <w:rPr>
          <w:rFonts w:hint="eastAsia" w:ascii="微软雅黑" w:hAnsi="微软雅黑" w:eastAsia="微软雅黑" w:cs="微软雅黑"/>
          <w:b/>
          <w:bCs/>
          <w:color w:val="auto"/>
          <w:sz w:val="21"/>
          <w:szCs w:val="21"/>
          <w:highlight w:val="none"/>
        </w:rPr>
      </w:pPr>
      <w:r>
        <w:rPr>
          <w:rFonts w:hint="eastAsia" w:ascii="微软雅黑" w:hAnsi="微软雅黑" w:eastAsia="微软雅黑" w:cs="微软雅黑"/>
          <w:b/>
          <w:bCs/>
          <w:color w:val="auto"/>
          <w:sz w:val="21"/>
          <w:szCs w:val="21"/>
          <w:highlight w:val="none"/>
        </w:rPr>
        <w:t xml:space="preserve">七、售后服务要求</w:t>
      </w:r>
      <w:r>
        <w:rPr>
          <w:highlight w:val="none"/>
        </w:rPr>
      </w:r>
      <w:r>
        <w:rPr>
          <w:highlight w:val="none"/>
        </w:rPr>
      </w:r>
    </w:p>
    <w:p>
      <w:pPr>
        <w:ind w:firstLine="420"/>
        <w:tabs>
          <w:tab w:val="left" w:pos="6855"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1、免费维保期要求：要求中标人为本项目提供</w:t>
      </w:r>
      <w:r>
        <w:rPr>
          <w:rFonts w:hint="eastAsia" w:ascii="微软雅黑" w:hAnsi="微软雅黑" w:eastAsia="微软雅黑" w:cs="微软雅黑"/>
          <w:b/>
          <w:bCs/>
          <w:color w:val="auto"/>
          <w:sz w:val="21"/>
          <w:szCs w:val="21"/>
          <w:highlight w:val="none"/>
        </w:rPr>
        <w:t xml:space="preserve">3年</w:t>
      </w:r>
      <w:r>
        <w:rPr>
          <w:rFonts w:hint="eastAsia" w:ascii="微软雅黑" w:hAnsi="微软雅黑" w:eastAsia="微软雅黑" w:cs="微软雅黑"/>
          <w:color w:val="auto"/>
          <w:sz w:val="21"/>
          <w:szCs w:val="21"/>
          <w:highlight w:val="none"/>
        </w:rPr>
        <w:t xml:space="preserve">的软</w:t>
      </w:r>
      <w:r>
        <w:rPr>
          <w:rFonts w:hint="eastAsia" w:ascii="微软雅黑" w:hAnsi="微软雅黑" w:eastAsia="微软雅黑" w:cs="微软雅黑"/>
          <w:bCs/>
          <w:color w:val="auto"/>
          <w:sz w:val="21"/>
          <w:szCs w:val="21"/>
          <w:highlight w:val="none"/>
          <w:lang w:val="en-US" w:eastAsia="zh-CN"/>
        </w:rPr>
        <w:t xml:space="preserve">硬</w:t>
      </w:r>
      <w:r>
        <w:rPr>
          <w:rFonts w:hint="eastAsia" w:ascii="微软雅黑" w:hAnsi="微软雅黑" w:eastAsia="微软雅黑" w:cs="微软雅黑"/>
          <w:color w:val="auto"/>
          <w:sz w:val="21"/>
          <w:szCs w:val="21"/>
          <w:highlight w:val="none"/>
        </w:rPr>
        <w:t xml:space="preserve">件产品维护升级等免费质保服务。</w:t>
      </w:r>
      <w:r>
        <w:rPr>
          <w:highlight w:val="none"/>
        </w:rPr>
      </w:r>
      <w:r>
        <w:rPr>
          <w:highlight w:val="none"/>
        </w:rPr>
      </w:r>
    </w:p>
    <w:p>
      <w:pPr>
        <w:ind w:firstLine="420"/>
        <w:tabs>
          <w:tab w:val="left" w:pos="6855"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2、售后服务具体要求</w:t>
      </w:r>
      <w:r>
        <w:rPr>
          <w:highlight w:val="none"/>
        </w:rPr>
      </w:r>
      <w:r>
        <w:rPr>
          <w:highlight w:val="none"/>
        </w:rPr>
      </w:r>
    </w:p>
    <w:p>
      <w:pPr>
        <w:ind w:firstLine="420"/>
        <w:tabs>
          <w:tab w:val="left" w:pos="6855"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（1）维保期内为采购人提供以下技术支持和服务：</w:t>
      </w:r>
      <w:r>
        <w:rPr>
          <w:highlight w:val="none"/>
        </w:rPr>
      </w:r>
      <w:r>
        <w:rPr>
          <w:highlight w:val="none"/>
        </w:rPr>
      </w:r>
    </w:p>
    <w:p>
      <w:pPr>
        <w:ind w:firstLine="420"/>
        <w:tabs>
          <w:tab w:val="left" w:pos="6855"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1）电话咨询：为采购人提供技术援助电话，解答采购人在使用中遇到的问题，及时为采购人提出解决问题的建议。</w:t>
      </w:r>
      <w:r>
        <w:rPr>
          <w:highlight w:val="none"/>
        </w:rPr>
      </w:r>
      <w:r>
        <w:rPr>
          <w:highlight w:val="none"/>
        </w:rPr>
      </w:r>
    </w:p>
    <w:p>
      <w:pPr>
        <w:ind w:firstLine="420"/>
        <w:tabs>
          <w:tab w:val="left" w:pos="6855"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2）售后服务响应：系统出现故障、业务中断或异常问题时，中标人须在接到采购人通知后 30 分钟内启动应急响应，提供远程技术支持处置；远程无法解决的，须在 24 小时内指派专业技术人员到达现场处置；一般功能性故障须在 24 小时内修复，导致业务中断的重大故障须在 72 小时内完全修复、恢复系统正常运行，同时向采购人提交完整的故障分析报告与长效整改方案，应提供备用产品，使采购人能够正常使用。</w:t>
      </w:r>
      <w:r>
        <w:rPr>
          <w:highlight w:val="none"/>
        </w:rPr>
      </w:r>
      <w:r>
        <w:rPr>
          <w:highlight w:val="none"/>
        </w:rPr>
      </w:r>
    </w:p>
    <w:p>
      <w:pPr>
        <w:ind w:firstLine="420"/>
        <w:tabs>
          <w:tab w:val="left" w:pos="6855"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（2）技术升级</w:t>
      </w:r>
      <w:r>
        <w:rPr>
          <w:highlight w:val="none"/>
        </w:rPr>
      </w:r>
      <w:r>
        <w:rPr>
          <w:highlight w:val="none"/>
        </w:rPr>
      </w:r>
    </w:p>
    <w:p>
      <w:pPr>
        <w:ind w:firstLine="420"/>
        <w:tabs>
          <w:tab w:val="left" w:pos="6855" w:leader="none"/>
        </w:tabs>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在质保期内，如遇产品技术升级，应及时通知采购人，如采购人有相应要求，应对采购人购买的产品进行升级服务。</w:t>
      </w:r>
      <w:r>
        <w:rPr>
          <w:highlight w:val="none"/>
        </w:rPr>
      </w:r>
      <w:r>
        <w:rPr>
          <w:highlight w:val="none"/>
        </w:rPr>
      </w:r>
    </w:p>
    <w:p>
      <w:pPr>
        <w:ind w:left="0" w:right="0" w:firstLine="420"/>
        <w:jc w:val="both"/>
        <w:spacing w:before="0" w:after="0" w:line="85" w:lineRule="atLeast"/>
        <w:tabs>
          <w:tab w:val="left" w:pos="6855" w:leader="none"/>
        </w:tabs>
        <w:rPr>
          <w:highlight w:val="none"/>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1"/>
          <w:highlight w:val="none"/>
        </w:rPr>
        <w:t xml:space="preserve">八、现场演示等候地点：</w:t>
      </w:r>
      <w:r>
        <w:rPr>
          <w:rFonts w:ascii="Microsoft YaHei" w:hAnsi="Microsoft YaHei" w:eastAsia="Microsoft YaHei" w:cs="Microsoft YaHei"/>
          <w:color w:val="000000"/>
          <w:sz w:val="21"/>
          <w:highlight w:val="none"/>
        </w:rPr>
        <w:t xml:space="preserve">若投标人需进行现场演示，请于</w:t>
      </w:r>
      <w:r>
        <w:rPr>
          <w:rFonts w:ascii="SimSun" w:hAnsi="SimSun" w:eastAsia="SimSun" w:cs="SimSun"/>
          <w:color w:val="000000"/>
          <w:sz w:val="21"/>
          <w:highlight w:val="none"/>
        </w:rPr>
        <w:t xml:space="preserve">2026 </w:t>
      </w:r>
      <w:r>
        <w:rPr>
          <w:rFonts w:ascii="Microsoft YaHei" w:hAnsi="Microsoft YaHei" w:eastAsia="Microsoft YaHei" w:cs="Microsoft YaHei"/>
          <w:color w:val="000000"/>
          <w:sz w:val="21"/>
          <w:highlight w:val="none"/>
        </w:rPr>
        <w:t xml:space="preserve">年 </w:t>
      </w:r>
      <w:r>
        <w:rPr>
          <w:rFonts w:ascii="SimSun" w:hAnsi="SimSun" w:eastAsia="SimSun" w:cs="SimSun"/>
          <w:color w:val="000000"/>
          <w:sz w:val="21"/>
          <w:highlight w:val="none"/>
        </w:rPr>
        <w:t xml:space="preserve">10 </w:t>
      </w:r>
      <w:r>
        <w:rPr>
          <w:rFonts w:ascii="Microsoft YaHei" w:hAnsi="Microsoft YaHei" w:eastAsia="Microsoft YaHei" w:cs="Microsoft YaHei"/>
          <w:color w:val="000000"/>
          <w:sz w:val="21"/>
          <w:highlight w:val="none"/>
        </w:rPr>
        <w:t xml:space="preserve">月 </w:t>
      </w:r>
      <w:r>
        <w:rPr>
          <w:rFonts w:ascii="SimSun" w:hAnsi="SimSun" w:eastAsia="SimSun" w:cs="SimSun"/>
          <w:color w:val="000000"/>
          <w:sz w:val="21"/>
          <w:highlight w:val="none"/>
        </w:rPr>
        <w:t xml:space="preserve">20 </w:t>
      </w:r>
      <w:r>
        <w:rPr>
          <w:rFonts w:ascii="Microsoft YaHei" w:hAnsi="Microsoft YaHei" w:eastAsia="Microsoft YaHei" w:cs="Microsoft YaHei"/>
          <w:color w:val="000000"/>
          <w:sz w:val="21"/>
          <w:highlight w:val="none"/>
        </w:rPr>
        <w:t xml:space="preserve">日 </w:t>
      </w:r>
      <w:r>
        <w:rPr>
          <w:rFonts w:ascii="SimSun" w:hAnsi="SimSun" w:eastAsia="SimSun" w:cs="SimSun"/>
          <w:color w:val="000000"/>
          <w:sz w:val="21"/>
          <w:highlight w:val="none"/>
        </w:rPr>
        <w:t xml:space="preserve">14:00</w:t>
      </w:r>
      <w:r>
        <w:rPr>
          <w:rFonts w:ascii="Microsoft YaHei" w:hAnsi="Microsoft YaHei" w:eastAsia="Microsoft YaHei" w:cs="Microsoft YaHei"/>
          <w:color w:val="000000"/>
          <w:sz w:val="21"/>
          <w:highlight w:val="none"/>
        </w:rPr>
        <w:t xml:space="preserve">—</w:t>
      </w:r>
      <w:r>
        <w:rPr>
          <w:rFonts w:ascii="SimSun" w:hAnsi="SimSun" w:eastAsia="SimSun" w:cs="SimSun"/>
          <w:color w:val="000000"/>
          <w:sz w:val="21"/>
          <w:highlight w:val="none"/>
        </w:rPr>
        <w:t xml:space="preserve">14:30</w:t>
      </w:r>
      <w:r>
        <w:rPr>
          <w:rFonts w:ascii="Microsoft YaHei" w:hAnsi="Microsoft YaHei" w:eastAsia="Microsoft YaHei" w:cs="Microsoft YaHei"/>
          <w:color w:val="000000"/>
          <w:sz w:val="21"/>
          <w:highlight w:val="none"/>
        </w:rPr>
        <w:t xml:space="preserve">，前往徐州市云龙区汉风街道绿地商务城领海 </w:t>
      </w:r>
      <w:r>
        <w:rPr>
          <w:rFonts w:ascii="SimSun" w:hAnsi="SimSun" w:eastAsia="SimSun" w:cs="SimSun"/>
          <w:color w:val="000000"/>
          <w:sz w:val="21"/>
          <w:highlight w:val="none"/>
        </w:rPr>
        <w:t xml:space="preserve">LOFT5 </w:t>
      </w:r>
      <w:r>
        <w:rPr>
          <w:rFonts w:ascii="Microsoft YaHei" w:hAnsi="Microsoft YaHei" w:eastAsia="Microsoft YaHei" w:cs="Microsoft YaHei"/>
          <w:color w:val="000000"/>
          <w:sz w:val="21"/>
          <w:highlight w:val="none"/>
        </w:rPr>
        <w:t xml:space="preserve">号楼 </w:t>
      </w:r>
      <w:r>
        <w:rPr>
          <w:rFonts w:ascii="SimSun" w:hAnsi="SimSun" w:eastAsia="SimSun" w:cs="SimSun"/>
          <w:color w:val="000000"/>
          <w:sz w:val="21"/>
          <w:highlight w:val="none"/>
        </w:rPr>
        <w:t xml:space="preserve">1916 </w:t>
      </w:r>
      <w:r>
        <w:rPr>
          <w:rFonts w:ascii="Microsoft YaHei" w:hAnsi="Microsoft YaHei" w:eastAsia="Microsoft YaHei" w:cs="Microsoft YaHei"/>
          <w:color w:val="000000"/>
          <w:sz w:val="21"/>
          <w:highlight w:val="none"/>
        </w:rPr>
        <w:t xml:space="preserve">室等候。演示所需全部设备由投标人自行准备。未在规定时间抵达指定地点的投标人，演示将被拒绝。</w:t>
      </w:r>
      <w:r>
        <w:rPr>
          <w:highlight w:val="none"/>
        </w:rPr>
      </w:r>
      <w:r>
        <w:rPr>
          <w:highlight w:val="none"/>
        </w:rPr>
      </w:r>
    </w:p>
    <w:p>
      <w:pPr>
        <w:ind w:firstLine="420"/>
        <w:spacing w:line="360" w:lineRule="auto"/>
        <w:tabs>
          <w:tab w:val="left" w:pos="6855" w:leader="none"/>
        </w:tabs>
        <w:rPr>
          <w:rFonts w:hint="eastAsia" w:ascii="宋体" w:hAnsi="宋体" w:cs="宋体"/>
          <w:b/>
          <w:bCs/>
          <w:color w:val="auto"/>
          <w:highlight w:val="none"/>
        </w:rPr>
      </w:pPr>
      <w:r>
        <w:rPr>
          <w:rFonts w:ascii="Microsoft YaHei" w:hAnsi="Microsoft YaHei" w:eastAsia="Microsoft YaHei" w:cs="Microsoft YaHei"/>
          <w:b/>
          <w:color w:val="000000"/>
          <w:sz w:val="21"/>
          <w:highlight w:val="none"/>
        </w:rPr>
        <w:t xml:space="preserve">九、其他要求见《拟签订的合同主要条款》。</w:t>
      </w:r>
      <w:r>
        <w:rPr>
          <w:highlight w:val="none"/>
        </w:rPr>
      </w:r>
      <w:r>
        <w:rPr>
          <w:highlight w:val="none"/>
        </w:rPr>
      </w:r>
    </w:p>
    <w:p>
      <w:pPr>
        <w:pStyle w:val="1097"/>
        <w:rPr>
          <w:rFonts w:hint="eastAsia"/>
          <w:color w:val="auto"/>
          <w:highlight w:val="none"/>
        </w:rPr>
      </w:pPr>
      <w:r>
        <w:rPr>
          <w:rFonts w:hint="eastAsia"/>
          <w:color w:val="auto"/>
          <w:highlight w:val="none"/>
          <w:lang w:eastAsia="zh-CN"/>
        </w:rPr>
      </w:r>
      <w:r>
        <w:rPr>
          <w:highlight w:val="none"/>
        </w:rPr>
      </w:r>
      <w:r>
        <w:rPr>
          <w:highlight w:val="none"/>
        </w:rPr>
      </w:r>
    </w:p>
    <w:p>
      <w:pPr>
        <w:pStyle w:val="1097"/>
        <w:rPr>
          <w:rFonts w:hint="eastAsia"/>
          <w:color w:val="auto"/>
          <w:highlight w:val="none"/>
        </w:rPr>
      </w:pPr>
      <w:r>
        <w:rPr>
          <w:rFonts w:hint="eastAsia"/>
          <w:color w:val="auto"/>
          <w:highlight w:val="none"/>
          <w:lang w:eastAsia="zh-CN"/>
        </w:rPr>
      </w:r>
      <w:r>
        <w:rPr>
          <w:highlight w:val="none"/>
        </w:rPr>
      </w:r>
      <w:r>
        <w:rPr>
          <w:highlight w:val="none"/>
        </w:rPr>
      </w:r>
    </w:p>
    <w:p>
      <w:pPr>
        <w:pStyle w:val="1097"/>
        <w:rPr>
          <w:rFonts w:hint="eastAsia"/>
          <w:color w:val="auto"/>
          <w:highlight w:val="none"/>
        </w:rPr>
      </w:pPr>
      <w:r>
        <w:rPr>
          <w:rFonts w:hint="eastAsia"/>
          <w:color w:val="auto"/>
          <w:highlight w:val="none"/>
          <w:lang w:eastAsia="zh-CN"/>
        </w:rPr>
      </w:r>
      <w:r>
        <w:rPr>
          <w:highlight w:val="none"/>
        </w:rPr>
      </w:r>
      <w:r>
        <w:rPr>
          <w:highlight w:val="none"/>
        </w:rPr>
      </w:r>
    </w:p>
    <w:p>
      <w:pPr>
        <w:pStyle w:val="1097"/>
        <w:rPr>
          <w:rFonts w:hint="eastAsia"/>
          <w:color w:val="auto"/>
          <w:highlight w:val="none"/>
        </w:rPr>
      </w:pPr>
      <w:r>
        <w:rPr>
          <w:rFonts w:hint="eastAsia"/>
          <w:color w:val="auto"/>
          <w:highlight w:val="none"/>
          <w:lang w:eastAsia="zh-CN"/>
        </w:rPr>
      </w:r>
      <w:r>
        <w:rPr>
          <w:highlight w:val="none"/>
        </w:rPr>
      </w:r>
      <w:r>
        <w:rPr>
          <w:highlight w:val="none"/>
        </w:rPr>
      </w:r>
    </w:p>
    <w:p>
      <w:pPr>
        <w:shd w:val="nil" w:color="auto"/>
        <w:rPr>
          <w:rStyle w:val="1108"/>
          <w:b w:val="0"/>
          <w:bCs w:val="0"/>
          <w:color w:val="auto"/>
          <w:highlight w:val="none"/>
        </w:rPr>
      </w:pPr>
      <w:r>
        <w:rPr>
          <w:highlight w:val="none"/>
        </w:rPr>
        <w:br w:type="page" w:clear="all"/>
      </w:r>
      <w:r>
        <w:rPr>
          <w:highlight w:val="none"/>
        </w:rPr>
      </w:r>
      <w:r>
        <w:rPr>
          <w:highlight w:val="none"/>
        </w:rPr>
      </w:r>
    </w:p>
    <w:p>
      <w:pPr>
        <w:pStyle w:val="1087"/>
        <w:rPr>
          <w:highlight w:val="none"/>
        </w:rPr>
      </w:pPr>
      <w:r>
        <w:rPr>
          <w:highlight w:val="none"/>
        </w:rPr>
      </w:r>
      <w:bookmarkStart w:id="239" w:name="_Toc9251"/>
      <w:r>
        <w:rPr>
          <w:rFonts w:hint="eastAsia"/>
          <w:color w:val="auto"/>
          <w:highlight w:val="none"/>
        </w:rPr>
        <w:t xml:space="preserve">第五章 </w:t>
      </w:r>
      <w:bookmarkEnd w:id="233"/>
      <w:r>
        <w:rPr>
          <w:highlight w:val="none"/>
        </w:rPr>
      </w:r>
      <w:bookmarkEnd w:id="234"/>
      <w:r>
        <w:rPr>
          <w:highlight w:val="none"/>
        </w:rPr>
      </w:r>
      <w:bookmarkStart w:id="240" w:name="purchase_relation_name"/>
      <w:r>
        <w:rPr>
          <w:highlight w:val="none"/>
        </w:rPr>
      </w:r>
      <w:bookmarkEnd w:id="240"/>
      <w:r>
        <w:rPr>
          <w:highlight w:val="none"/>
        </w:rPr>
      </w:r>
      <w:bookmarkStart w:id="241" w:name="suppliers_name"/>
      <w:r>
        <w:rPr>
          <w:highlight w:val="none"/>
        </w:rPr>
      </w:r>
      <w:bookmarkEnd w:id="241"/>
      <w:r>
        <w:rPr>
          <w:highlight w:val="none"/>
        </w:rPr>
      </w:r>
      <w:bookmarkStart w:id="242" w:name="supplier_relation_tel"/>
      <w:r>
        <w:rPr>
          <w:highlight w:val="none"/>
        </w:rPr>
      </w:r>
      <w:bookmarkEnd w:id="242"/>
      <w:r>
        <w:rPr>
          <w:highlight w:val="none"/>
        </w:rPr>
      </w:r>
      <w:bookmarkStart w:id="243" w:name="purchase_relation_tel"/>
      <w:r>
        <w:rPr>
          <w:highlight w:val="none"/>
        </w:rPr>
      </w:r>
      <w:bookmarkEnd w:id="243"/>
      <w:r>
        <w:rPr>
          <w:highlight w:val="none"/>
        </w:rPr>
      </w:r>
      <w:bookmarkStart w:id="244" w:name="suppliers_name_one"/>
      <w:r>
        <w:rPr>
          <w:highlight w:val="none"/>
        </w:rPr>
      </w:r>
      <w:bookmarkEnd w:id="244"/>
      <w:r>
        <w:rPr>
          <w:highlight w:val="none"/>
        </w:rPr>
      </w:r>
      <w:bookmarkStart w:id="245" w:name="purchase_one_start"/>
      <w:r>
        <w:rPr>
          <w:highlight w:val="none"/>
        </w:rPr>
      </w:r>
      <w:bookmarkEnd w:id="245"/>
      <w:r>
        <w:rPr>
          <w:highlight w:val="none"/>
        </w:rPr>
      </w:r>
      <w:bookmarkStart w:id="246" w:name="purchase_name_one"/>
      <w:r>
        <w:rPr>
          <w:highlight w:val="none"/>
        </w:rPr>
      </w:r>
      <w:bookmarkEnd w:id="246"/>
      <w:r>
        <w:rPr>
          <w:highlight w:val="none"/>
        </w:rPr>
      </w:r>
      <w:bookmarkStart w:id="247" w:name="supplier_relation_name"/>
      <w:r>
        <w:rPr>
          <w:highlight w:val="none"/>
        </w:rPr>
      </w:r>
      <w:bookmarkEnd w:id="247"/>
      <w:r>
        <w:rPr>
          <w:rFonts w:hint="eastAsia"/>
          <w:color w:val="auto"/>
          <w:highlight w:val="none"/>
        </w:rPr>
        <w:t xml:space="preserve">拟签订的</w:t>
      </w:r>
      <w:r>
        <w:rPr>
          <w:color w:val="auto"/>
          <w:highlight w:val="none"/>
        </w:rPr>
        <w:t xml:space="preserve">合同主要条款</w:t>
      </w:r>
      <w:bookmarkEnd w:id="239"/>
      <w:r>
        <w:rPr>
          <w:highlight w:val="none"/>
        </w:rPr>
      </w:r>
      <w:r>
        <w:rPr>
          <w:highlight w:val="none"/>
        </w:rPr>
      </w:r>
    </w:p>
    <w:p>
      <w:pPr>
        <w:jc w:val="center"/>
        <w:spacing w:before="312" w:after="312" w:line="360" w:lineRule="auto"/>
        <w:rPr>
          <w:rFonts w:hint="eastAsia" w:ascii="???" w:hAnsi="???" w:cs="宋体"/>
          <w:b/>
          <w:color w:val="auto"/>
          <w:sz w:val="36"/>
          <w:szCs w:val="36"/>
          <w:highlight w:val="none"/>
        </w:rPr>
      </w:pPr>
      <w:r>
        <w:rPr>
          <w:rFonts w:hint="eastAsia" w:ascii="黑体" w:hAnsi="黑体" w:eastAsia="黑体"/>
          <w:b/>
          <w:bCs/>
          <w:color w:val="auto"/>
          <w:sz w:val="28"/>
          <w:szCs w:val="28"/>
          <w:highlight w:val="none"/>
        </w:rPr>
        <w:t xml:space="preserve">（</w:t>
      </w:r>
      <w:r>
        <w:rPr>
          <w:rFonts w:hint="eastAsia" w:eastAsia="黑体"/>
          <w:b/>
          <w:color w:val="auto"/>
          <w:sz w:val="28"/>
          <w:szCs w:val="28"/>
          <w:highlight w:val="none"/>
        </w:rPr>
        <w:t xml:space="preserve">下述内容为</w:t>
      </w:r>
      <w:r>
        <w:rPr>
          <w:rFonts w:hint="eastAsia" w:eastAsia="黑体"/>
          <w:b/>
          <w:color w:val="auto"/>
          <w:sz w:val="28"/>
          <w:szCs w:val="28"/>
          <w:highlight w:val="none"/>
          <w:lang w:eastAsia="zh-CN"/>
        </w:rPr>
        <w:t xml:space="preserve">徐州医科大学附属医院</w:t>
      </w:r>
      <w:r>
        <w:rPr>
          <w:rFonts w:hint="eastAsia" w:eastAsia="黑体"/>
          <w:b/>
          <w:color w:val="auto"/>
          <w:sz w:val="28"/>
          <w:szCs w:val="28"/>
          <w:highlight w:val="none"/>
        </w:rPr>
        <w:t xml:space="preserve">与成交人签署合同/协议的主要条款，最终合同/协议与本合同/协议主要条款有不完全一致之处的，以最终合同/协议为准。</w:t>
      </w:r>
      <w:r>
        <w:rPr>
          <w:rFonts w:hint="eastAsia" w:ascii="黑体" w:hAnsi="黑体" w:eastAsia="黑体"/>
          <w:b/>
          <w:bCs/>
          <w:color w:val="auto"/>
          <w:sz w:val="28"/>
          <w:szCs w:val="28"/>
          <w:highlight w:val="none"/>
        </w:rPr>
        <w:t xml:space="preserve">）</w:t>
      </w:r>
      <w:bookmarkEnd w:id="235"/>
      <w:r>
        <w:rPr>
          <w:highlight w:val="none"/>
        </w:rPr>
      </w:r>
      <w:bookmarkEnd w:id="236"/>
      <w:r>
        <w:rPr>
          <w:highlight w:val="none"/>
        </w:rPr>
      </w:r>
      <w:r>
        <w:rPr>
          <w:highlight w:val="none"/>
        </w:rPr>
      </w:r>
    </w:p>
    <w:p>
      <w:pPr>
        <w:rPr>
          <w:rFonts w:hint="eastAsia" w:ascii="微软雅黑" w:hAnsi="微软雅黑" w:eastAsia="微软雅黑" w:cs="微软雅黑"/>
          <w:color w:val="auto"/>
          <w:sz w:val="72"/>
          <w:szCs w:val="72"/>
          <w:highlight w:val="none"/>
        </w:rPr>
      </w:pPr>
      <w:r>
        <w:rPr>
          <w:rFonts w:hint="eastAsia" w:ascii="微软雅黑" w:hAnsi="微软雅黑" w:eastAsia="微软雅黑" w:cs="微软雅黑"/>
          <w:color w:val="auto"/>
          <w:sz w:val="72"/>
          <w:szCs w:val="72"/>
          <w:highlight w:val="none"/>
        </w:rPr>
        <w:br w:type="page" w:clear="all"/>
      </w:r>
      <w:r>
        <w:rPr>
          <w:highlight w:val="none"/>
        </w:rPr>
      </w:r>
      <w:r>
        <w:rPr>
          <w:highlight w:val="none"/>
        </w:rPr>
      </w:r>
    </w:p>
    <w:p>
      <w:pPr>
        <w:pStyle w:val="917"/>
        <w:jc w:val="center"/>
        <w:rPr>
          <w:rFonts w:hint="eastAsia" w:ascii="微软雅黑" w:hAnsi="微软雅黑" w:eastAsia="微软雅黑" w:cs="微软雅黑"/>
          <w:color w:val="auto"/>
          <w:sz w:val="72"/>
          <w:szCs w:val="72"/>
          <w:highlight w:val="none"/>
        </w:rPr>
      </w:pPr>
      <w:r>
        <w:rPr>
          <w:rFonts w:hint="eastAsia" w:ascii="微软雅黑" w:hAnsi="微软雅黑" w:eastAsia="微软雅黑" w:cs="微软雅黑"/>
          <w:color w:val="auto"/>
          <w:sz w:val="72"/>
          <w:szCs w:val="72"/>
          <w:highlight w:val="none"/>
        </w:rPr>
      </w:r>
      <w:r>
        <w:rPr>
          <w:highlight w:val="none"/>
        </w:rPr>
      </w:r>
      <w:r>
        <w:rPr>
          <w:highlight w:val="none"/>
        </w:rPr>
      </w:r>
    </w:p>
    <w:p>
      <w:pPr>
        <w:pStyle w:val="917"/>
        <w:jc w:val="center"/>
        <w:rPr>
          <w:rFonts w:hint="eastAsia" w:ascii="微软雅黑" w:hAnsi="微软雅黑" w:eastAsia="微软雅黑" w:cs="微软雅黑"/>
          <w:color w:val="auto"/>
          <w:sz w:val="72"/>
          <w:szCs w:val="72"/>
          <w:highlight w:val="none"/>
        </w:rPr>
      </w:pPr>
      <w:r>
        <w:rPr>
          <w:rFonts w:hint="eastAsia" w:ascii="微软雅黑" w:hAnsi="微软雅黑" w:eastAsia="微软雅黑" w:cs="微软雅黑"/>
          <w:color w:val="auto"/>
          <w:sz w:val="72"/>
          <w:szCs w:val="72"/>
          <w:highlight w:val="none"/>
        </w:rPr>
      </w:r>
      <w:r>
        <w:rPr>
          <w:highlight w:val="none"/>
        </w:rPr>
      </w:r>
      <w:r>
        <w:rPr>
          <w:highlight w:val="none"/>
        </w:rPr>
      </w:r>
    </w:p>
    <w:p>
      <w:pPr>
        <w:pStyle w:val="917"/>
        <w:jc w:val="center"/>
        <w:rPr>
          <w:rFonts w:hint="eastAsia" w:ascii="微软雅黑" w:hAnsi="微软雅黑" w:eastAsia="微软雅黑" w:cs="微软雅黑"/>
          <w:color w:val="auto"/>
          <w:sz w:val="72"/>
          <w:szCs w:val="72"/>
          <w:highlight w:val="none"/>
        </w:rPr>
      </w:pPr>
      <w:r>
        <w:rPr>
          <w:rFonts w:hint="eastAsia" w:ascii="微软雅黑" w:hAnsi="微软雅黑" w:eastAsia="微软雅黑" w:cs="微软雅黑"/>
          <w:color w:val="auto"/>
          <w:sz w:val="72"/>
          <w:szCs w:val="72"/>
          <w:highlight w:val="none"/>
        </w:rPr>
        <w:t xml:space="preserve">软</w:t>
      </w:r>
      <w:r>
        <w:rPr>
          <w:highlight w:val="none"/>
        </w:rPr>
      </w:r>
      <w:r>
        <w:rPr>
          <w:highlight w:val="none"/>
        </w:rPr>
      </w:r>
    </w:p>
    <w:p>
      <w:pPr>
        <w:pStyle w:val="917"/>
        <w:jc w:val="center"/>
        <w:rPr>
          <w:rFonts w:hint="eastAsia" w:ascii="微软雅黑" w:hAnsi="微软雅黑" w:eastAsia="微软雅黑" w:cs="微软雅黑"/>
          <w:color w:val="auto"/>
          <w:sz w:val="72"/>
          <w:szCs w:val="72"/>
          <w:highlight w:val="none"/>
        </w:rPr>
      </w:pPr>
      <w:r>
        <w:rPr>
          <w:rFonts w:hint="eastAsia" w:ascii="微软雅黑" w:hAnsi="微软雅黑" w:eastAsia="微软雅黑" w:cs="微软雅黑"/>
          <w:color w:val="auto"/>
          <w:sz w:val="72"/>
          <w:szCs w:val="72"/>
          <w:highlight w:val="none"/>
        </w:rPr>
        <w:t xml:space="preserve">件</w:t>
      </w:r>
      <w:r>
        <w:rPr>
          <w:highlight w:val="none"/>
        </w:rPr>
      </w:r>
      <w:r>
        <w:rPr>
          <w:highlight w:val="none"/>
        </w:rPr>
      </w:r>
    </w:p>
    <w:p>
      <w:pPr>
        <w:pStyle w:val="917"/>
        <w:jc w:val="center"/>
        <w:rPr>
          <w:rFonts w:hint="eastAsia" w:ascii="微软雅黑" w:hAnsi="微软雅黑" w:eastAsia="微软雅黑" w:cs="微软雅黑"/>
          <w:color w:val="auto"/>
          <w:sz w:val="72"/>
          <w:szCs w:val="72"/>
          <w:highlight w:val="none"/>
        </w:rPr>
      </w:pPr>
      <w:r>
        <w:rPr>
          <w:rFonts w:hint="eastAsia" w:ascii="微软雅黑" w:hAnsi="微软雅黑" w:eastAsia="微软雅黑" w:cs="微软雅黑"/>
          <w:color w:val="auto"/>
          <w:sz w:val="72"/>
          <w:szCs w:val="72"/>
          <w:highlight w:val="none"/>
        </w:rPr>
        <w:t xml:space="preserve">采</w:t>
      </w:r>
      <w:r>
        <w:rPr>
          <w:highlight w:val="none"/>
        </w:rPr>
      </w:r>
      <w:r>
        <w:rPr>
          <w:highlight w:val="none"/>
        </w:rPr>
      </w:r>
    </w:p>
    <w:p>
      <w:pPr>
        <w:pStyle w:val="917"/>
        <w:jc w:val="center"/>
        <w:rPr>
          <w:rFonts w:hint="eastAsia" w:ascii="微软雅黑" w:hAnsi="微软雅黑" w:eastAsia="微软雅黑" w:cs="微软雅黑"/>
          <w:color w:val="auto"/>
          <w:sz w:val="72"/>
          <w:szCs w:val="72"/>
          <w:highlight w:val="none"/>
        </w:rPr>
      </w:pPr>
      <w:r>
        <w:rPr>
          <w:rFonts w:hint="eastAsia" w:ascii="微软雅黑" w:hAnsi="微软雅黑" w:eastAsia="微软雅黑" w:cs="微软雅黑"/>
          <w:color w:val="auto"/>
          <w:sz w:val="72"/>
          <w:szCs w:val="72"/>
          <w:highlight w:val="none"/>
        </w:rPr>
        <w:t xml:space="preserve">购</w:t>
      </w:r>
      <w:r>
        <w:rPr>
          <w:highlight w:val="none"/>
        </w:rPr>
      </w:r>
      <w:r>
        <w:rPr>
          <w:highlight w:val="none"/>
        </w:rPr>
      </w:r>
    </w:p>
    <w:p>
      <w:pPr>
        <w:pStyle w:val="917"/>
        <w:jc w:val="center"/>
        <w:rPr>
          <w:rFonts w:hint="eastAsia" w:ascii="微软雅黑" w:hAnsi="微软雅黑" w:eastAsia="微软雅黑" w:cs="微软雅黑"/>
          <w:color w:val="auto"/>
          <w:sz w:val="72"/>
          <w:szCs w:val="72"/>
          <w:highlight w:val="none"/>
        </w:rPr>
      </w:pPr>
      <w:r>
        <w:rPr>
          <w:rFonts w:hint="eastAsia" w:ascii="微软雅黑" w:hAnsi="微软雅黑" w:eastAsia="微软雅黑" w:cs="微软雅黑"/>
          <w:color w:val="auto"/>
          <w:sz w:val="72"/>
          <w:szCs w:val="72"/>
          <w:highlight w:val="none"/>
        </w:rPr>
        <w:t xml:space="preserve">合</w:t>
      </w:r>
      <w:r>
        <w:rPr>
          <w:highlight w:val="none"/>
        </w:rPr>
      </w:r>
      <w:r>
        <w:rPr>
          <w:highlight w:val="none"/>
        </w:rPr>
      </w:r>
    </w:p>
    <w:p>
      <w:pPr>
        <w:pStyle w:val="917"/>
        <w:jc w:val="center"/>
        <w:rPr>
          <w:rFonts w:hint="eastAsia" w:ascii="微软雅黑" w:hAnsi="微软雅黑" w:eastAsia="微软雅黑" w:cs="微软雅黑"/>
          <w:color w:val="auto"/>
          <w:highlight w:val="none"/>
        </w:rPr>
      </w:pPr>
      <w:r>
        <w:rPr>
          <w:rFonts w:hint="eastAsia" w:ascii="微软雅黑" w:hAnsi="微软雅黑" w:eastAsia="微软雅黑" w:cs="微软雅黑"/>
          <w:color w:val="auto"/>
          <w:sz w:val="72"/>
          <w:szCs w:val="72"/>
          <w:highlight w:val="none"/>
        </w:rPr>
        <w:t xml:space="preserve">同</w:t>
      </w:r>
      <w:r>
        <w:rPr>
          <w:highlight w:val="none"/>
        </w:rPr>
      </w:r>
      <w:r>
        <w:rPr>
          <w:highlight w:val="none"/>
        </w:rPr>
      </w:r>
    </w:p>
    <w:p>
      <w:pPr>
        <w:ind w:firstLine="360"/>
        <w:spacing w:line="360" w:lineRule="auto"/>
        <w:widowControl/>
        <w:rPr>
          <w:rFonts w:hint="eastAsia" w:ascii="微软雅黑" w:hAnsi="微软雅黑" w:eastAsia="微软雅黑" w:cs="微软雅黑"/>
          <w:color w:val="auto"/>
          <w:sz w:val="24"/>
          <w:highlight w:val="none"/>
        </w:rPr>
      </w:pPr>
      <w:r>
        <w:rPr>
          <w:rFonts w:hint="eastAsia" w:ascii="微软雅黑" w:hAnsi="微软雅黑" w:eastAsia="微软雅黑" w:cs="微软雅黑"/>
          <w:color w:val="auto"/>
          <w:sz w:val="24"/>
          <w:highlight w:val="none"/>
        </w:rPr>
      </w:r>
      <w:r>
        <w:rPr>
          <w:highlight w:val="none"/>
        </w:rPr>
      </w:r>
      <w:r>
        <w:rPr>
          <w:highlight w:val="none"/>
        </w:rPr>
      </w:r>
    </w:p>
    <w:p>
      <w:pPr>
        <w:pStyle w:val="1282"/>
        <w:rPr>
          <w:rFonts w:hint="eastAsia" w:ascii="微软雅黑" w:hAnsi="微软雅黑" w:eastAsia="微软雅黑" w:cs="微软雅黑"/>
          <w:color w:val="auto"/>
          <w:sz w:val="24"/>
          <w:highlight w:val="none"/>
        </w:rPr>
      </w:pPr>
      <w:r>
        <w:rPr>
          <w:rFonts w:hint="eastAsia" w:ascii="微软雅黑" w:hAnsi="微软雅黑" w:eastAsia="微软雅黑" w:cs="微软雅黑"/>
          <w:color w:val="auto"/>
          <w:sz w:val="24"/>
          <w:highlight w:val="none"/>
        </w:rPr>
      </w:r>
      <w:r>
        <w:rPr>
          <w:highlight w:val="none"/>
        </w:rPr>
      </w:r>
      <w:r>
        <w:rPr>
          <w:highlight w:val="none"/>
        </w:rPr>
      </w:r>
    </w:p>
    <w:p>
      <w:pPr>
        <w:pStyle w:val="1282"/>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rPr>
      </w:r>
      <w:r>
        <w:rPr>
          <w:highlight w:val="none"/>
        </w:rPr>
      </w:r>
      <w:r>
        <w:rPr>
          <w:highlight w:val="none"/>
        </w:rPr>
      </w:r>
    </w:p>
    <w:p>
      <w:pPr>
        <w:ind w:firstLine="1320"/>
        <w:spacing w:line="360" w:lineRule="auto"/>
        <w:widowControl/>
        <w:rPr>
          <w:rFonts w:hint="eastAsia" w:ascii="微软雅黑" w:hAnsi="微软雅黑" w:eastAsia="微软雅黑" w:cs="微软雅黑"/>
          <w:color w:val="auto"/>
          <w:sz w:val="24"/>
          <w:highlight w:val="none"/>
        </w:rPr>
      </w:pPr>
      <w:r>
        <w:rPr>
          <w:rFonts w:hint="eastAsia" w:ascii="微软雅黑" w:hAnsi="微软雅黑" w:eastAsia="微软雅黑" w:cs="微软雅黑"/>
          <w:color w:val="auto"/>
          <w:sz w:val="24"/>
          <w:highlight w:val="none"/>
        </w:rPr>
        <w:t xml:space="preserve">采  购  人：徐州医科大学附属医院</w:t>
      </w:r>
      <w:r>
        <w:rPr>
          <w:highlight w:val="none"/>
        </w:rPr>
      </w:r>
      <w:r>
        <w:rPr>
          <w:highlight w:val="none"/>
        </w:rPr>
      </w:r>
    </w:p>
    <w:p>
      <w:pPr>
        <w:ind w:firstLine="1320"/>
        <w:spacing w:line="360" w:lineRule="auto"/>
        <w:widowControl/>
        <w:rPr>
          <w:rFonts w:hint="eastAsia" w:ascii="微软雅黑" w:hAnsi="微软雅黑" w:eastAsia="微软雅黑" w:cs="微软雅黑"/>
          <w:color w:val="auto"/>
          <w:sz w:val="24"/>
          <w:highlight w:val="none"/>
        </w:rPr>
      </w:pPr>
      <w:r>
        <w:rPr>
          <w:rFonts w:hint="eastAsia" w:ascii="微软雅黑" w:hAnsi="微软雅黑" w:eastAsia="微软雅黑" w:cs="微软雅黑"/>
          <w:color w:val="auto"/>
          <w:sz w:val="24"/>
          <w:highlight w:val="none"/>
        </w:rPr>
        <w:t xml:space="preserve">供  应  商：</w:t>
      </w:r>
      <w:r>
        <w:rPr>
          <w:highlight w:val="none"/>
        </w:rPr>
      </w:r>
      <w:r>
        <w:rPr>
          <w:highlight w:val="none"/>
        </w:rPr>
      </w:r>
    </w:p>
    <w:p>
      <w:pPr>
        <w:ind w:firstLine="1320"/>
        <w:spacing w:line="360" w:lineRule="auto"/>
        <w:widowControl/>
        <w:rPr>
          <w:rFonts w:hint="eastAsia" w:ascii="微软雅黑" w:hAnsi="微软雅黑" w:eastAsia="微软雅黑" w:cs="微软雅黑"/>
          <w:color w:val="auto"/>
          <w:sz w:val="24"/>
          <w:highlight w:val="none"/>
        </w:rPr>
      </w:pPr>
      <w:r>
        <w:rPr>
          <w:rFonts w:hint="eastAsia" w:ascii="微软雅黑" w:hAnsi="微软雅黑" w:eastAsia="微软雅黑" w:cs="微软雅黑"/>
          <w:color w:val="auto"/>
          <w:sz w:val="24"/>
          <w:highlight w:val="none"/>
        </w:rPr>
        <w:t xml:space="preserve">合同签订日期：     年     月     日</w:t>
      </w:r>
      <w:r>
        <w:rPr>
          <w:highlight w:val="none"/>
        </w:rPr>
      </w:r>
      <w:r>
        <w:rPr>
          <w:highlight w:val="none"/>
        </w:rPr>
      </w:r>
    </w:p>
    <w:p>
      <w:pPr>
        <w:pStyle w:val="932"/>
        <w:jc w:val="left"/>
        <w:spacing w:beforeAutospacing="0" w:afterAutospacing="0" w:line="480" w:lineRule="auto"/>
        <w:rPr>
          <w:rFonts w:hint="eastAsia" w:ascii="微软雅黑" w:hAnsi="微软雅黑" w:eastAsia="微软雅黑" w:cs="微软雅黑"/>
          <w:b/>
          <w:color w:val="auto"/>
          <w:highlight w:val="none"/>
          <w:u w:val="single"/>
        </w:rPr>
      </w:pPr>
      <w:r>
        <w:rPr>
          <w:rFonts w:hint="eastAsia" w:ascii="微软雅黑" w:hAnsi="微软雅黑" w:eastAsia="微软雅黑" w:cs="微软雅黑"/>
          <w:b/>
          <w:color w:val="auto"/>
          <w:sz w:val="28"/>
          <w:highlight w:val="none"/>
        </w:rPr>
        <w:t xml:space="preserve"> </w:t>
      </w:r>
      <w:r>
        <w:rPr>
          <w:rFonts w:hint="eastAsia" w:ascii="微软雅黑" w:hAnsi="微软雅黑" w:eastAsia="微软雅黑" w:cs="微软雅黑"/>
          <w:b/>
          <w:color w:val="auto"/>
          <w:highlight w:val="none"/>
        </w:rPr>
        <w:t xml:space="preserve">                                       </w:t>
      </w:r>
      <w:r>
        <w:rPr>
          <w:rFonts w:hint="eastAsia" w:ascii="微软雅黑" w:hAnsi="微软雅黑" w:eastAsia="微软雅黑" w:cs="微软雅黑"/>
          <w:b/>
          <w:color w:val="auto"/>
          <w:sz w:val="22"/>
          <w:szCs w:val="22"/>
          <w:highlight w:val="none"/>
        </w:rPr>
        <w:t xml:space="preserve"> </w:t>
      </w:r>
      <w:r>
        <w:rPr>
          <w:rFonts w:hint="eastAsia" w:ascii="微软雅黑" w:hAnsi="微软雅黑" w:eastAsia="微软雅黑" w:cs="微软雅黑"/>
          <w:b/>
          <w:color w:val="auto"/>
          <w:highlight w:val="none"/>
        </w:rPr>
        <w:t xml:space="preserve">合同编号：</w:t>
      </w:r>
      <w:r>
        <w:rPr>
          <w:rFonts w:hint="eastAsia" w:ascii="微软雅黑" w:hAnsi="微软雅黑" w:eastAsia="微软雅黑" w:cs="微软雅黑"/>
          <w:b/>
          <w:color w:val="auto"/>
          <w:sz w:val="22"/>
          <w:szCs w:val="22"/>
          <w:highlight w:val="none"/>
          <w:u w:val="single"/>
        </w:rPr>
        <w:t xml:space="preserve">            </w:t>
      </w:r>
      <w:r>
        <w:rPr>
          <w:highlight w:val="none"/>
        </w:rPr>
      </w:r>
      <w:r>
        <w:rPr>
          <w:highlight w:val="none"/>
        </w:rPr>
      </w:r>
    </w:p>
    <w:p>
      <w:pPr>
        <w:spacing w:line="360" w:lineRule="auto"/>
        <w:rPr>
          <w:rFonts w:hint="eastAsia" w:ascii="微软雅黑" w:hAnsi="微软雅黑" w:eastAsia="微软雅黑" w:cs="微软雅黑"/>
          <w:bCs/>
          <w:color w:val="auto"/>
          <w:sz w:val="24"/>
          <w:highlight w:val="none"/>
          <w:u w:val="single"/>
        </w:rPr>
      </w:pPr>
      <w:r>
        <w:rPr>
          <w:rFonts w:hint="eastAsia" w:ascii="微软雅黑" w:hAnsi="微软雅黑" w:eastAsia="微软雅黑" w:cs="微软雅黑"/>
          <w:bCs/>
          <w:color w:val="auto"/>
          <w:sz w:val="24"/>
          <w:highlight w:val="none"/>
        </w:rPr>
        <w:t xml:space="preserve">买方（甲方）：</w:t>
      </w:r>
      <w:r>
        <w:rPr>
          <w:rFonts w:hint="eastAsia" w:ascii="微软雅黑" w:hAnsi="微软雅黑" w:eastAsia="微软雅黑" w:cs="微软雅黑"/>
          <w:bCs/>
          <w:color w:val="auto"/>
          <w:sz w:val="24"/>
          <w:highlight w:val="none"/>
          <w:u w:val="single"/>
        </w:rPr>
        <w:t xml:space="preserve">徐州医科大学附属医院</w:t>
      </w:r>
      <w:r>
        <w:rPr>
          <w:highlight w:val="none"/>
        </w:rPr>
      </w:r>
      <w:r>
        <w:rPr>
          <w:highlight w:val="none"/>
        </w:rPr>
      </w:r>
    </w:p>
    <w:p>
      <w:pPr>
        <w:spacing w:line="360" w:lineRule="auto"/>
        <w:tabs>
          <w:tab w:val="center" w:pos="4512" w:leader="none"/>
        </w:tabs>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卖方（乙方）：</w:t>
      </w:r>
      <w:r>
        <w:rPr>
          <w:rFonts w:hint="eastAsia" w:ascii="微软雅黑" w:hAnsi="微软雅黑" w:eastAsia="微软雅黑" w:cs="微软雅黑"/>
          <w:bCs/>
          <w:color w:val="auto"/>
          <w:sz w:val="24"/>
          <w:highlight w:val="none"/>
          <w:u w:val="single"/>
        </w:rPr>
        <w:t xml:space="preserve">                    </w:t>
      </w:r>
      <w:r>
        <w:rPr>
          <w:highlight w:val="none"/>
        </w:rPr>
      </w:r>
      <w:r>
        <w:rPr>
          <w:highlight w:val="none"/>
        </w:rPr>
      </w:r>
    </w:p>
    <w:p>
      <w:pPr>
        <w:pStyle w:val="1099"/>
        <w:spacing w:after="0" w:line="360" w:lineRule="auto"/>
        <w:rPr>
          <w:rFonts w:hint="eastAsia" w:ascii="微软雅黑" w:hAnsi="微软雅黑" w:eastAsia="微软雅黑" w:cs="微软雅黑"/>
          <w:color w:val="auto"/>
          <w:sz w:val="24"/>
          <w:highlight w:val="none"/>
        </w:rPr>
      </w:pPr>
      <w:r>
        <w:rPr>
          <w:rFonts w:hint="eastAsia" w:ascii="微软雅黑" w:hAnsi="微软雅黑" w:eastAsia="微软雅黑" w:cs="微软雅黑"/>
          <w:color w:val="auto"/>
          <w:sz w:val="24"/>
          <w:highlight w:val="none"/>
        </w:rPr>
      </w:r>
      <w:r>
        <w:rPr>
          <w:highlight w:val="none"/>
        </w:rPr>
      </w:r>
      <w:r>
        <w:rPr>
          <w:highlight w:val="none"/>
        </w:rPr>
      </w:r>
    </w:p>
    <w:p>
      <w:pPr>
        <w:ind w:firstLine="48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依据《中华人民共和国民法典》和有关法律、法规，甲乙双方本着诚实信用、平等互利的原则，并通过友好协商，就_______________采购事宜，签订本合同。</w:t>
      </w:r>
      <w:r>
        <w:rPr>
          <w:highlight w:val="none"/>
        </w:rPr>
      </w:r>
      <w:r>
        <w:rPr>
          <w:highlight w:val="none"/>
        </w:rPr>
      </w:r>
    </w:p>
    <w:p>
      <w:pPr>
        <w:pStyle w:val="926"/>
        <w:numPr>
          <w:ilvl w:val="0"/>
          <w:numId w:val="7"/>
        </w:numPr>
        <w:spacing w:before="0" w:after="0" w:line="360" w:lineRule="auto"/>
        <w:rPr>
          <w:rFonts w:hint="eastAsia" w:ascii="微软雅黑" w:hAnsi="微软雅黑" w:eastAsia="微软雅黑" w:cs="微软雅黑"/>
          <w:b/>
          <w:color w:val="auto"/>
          <w:highlight w:val="none"/>
        </w:rPr>
        <w:outlineLvl w:val="1"/>
      </w:pPr>
      <w:r>
        <w:rPr>
          <w:rFonts w:hint="eastAsia" w:ascii="微软雅黑" w:hAnsi="微软雅黑" w:eastAsia="微软雅黑" w:cs="微软雅黑"/>
          <w:b/>
          <w:color w:val="auto"/>
          <w:highlight w:val="none"/>
        </w:rPr>
        <w:t xml:space="preserve">合同标的</w:t>
      </w:r>
      <w:r>
        <w:rPr>
          <w:highlight w:val="none"/>
        </w:rPr>
      </w:r>
      <w:r>
        <w:rPr>
          <w:highlight w:val="none"/>
        </w:rPr>
      </w:r>
    </w:p>
    <w:p>
      <w:pPr>
        <w:ind w:firstLine="480"/>
        <w:spacing w:line="360" w:lineRule="auto"/>
        <w:rPr>
          <w:rFonts w:hint="eastAsia" w:ascii="微软雅黑" w:hAnsi="微软雅黑" w:eastAsia="微软雅黑" w:cs="微软雅黑"/>
          <w:color w:val="auto"/>
          <w:highlight w:val="none"/>
        </w:rPr>
        <w:outlineLvl w:val="2"/>
      </w:pPr>
      <w:r>
        <w:rPr>
          <w:rFonts w:hint="eastAsia" w:ascii="微软雅黑" w:hAnsi="微软雅黑" w:eastAsia="微软雅黑" w:cs="微软雅黑"/>
          <w:bCs/>
          <w:color w:val="auto"/>
          <w:sz w:val="24"/>
          <w:highlight w:val="none"/>
        </w:rPr>
        <w:t xml:space="preserve">1.1本合同的标的为甲方向乙方采购，如下清单中的服务：</w:t>
      </w:r>
      <w:r>
        <w:rPr>
          <w:highlight w:val="none"/>
        </w:rPr>
      </w:r>
      <w:r>
        <w:rPr>
          <w:highlight w:val="none"/>
        </w:rPr>
      </w:r>
    </w:p>
    <w:tbl>
      <w:tblPr>
        <w:tblStyle w:val="913"/>
        <w:tblW w:w="4995" w:type="pct"/>
        <w:jc w:val="right"/>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85"/>
        <w:gridCol w:w="1047"/>
        <w:gridCol w:w="1783"/>
        <w:gridCol w:w="1223"/>
        <w:gridCol w:w="467"/>
        <w:gridCol w:w="649"/>
        <w:gridCol w:w="1088"/>
        <w:gridCol w:w="1073"/>
      </w:tblGrid>
      <w:tr>
        <w:trPr>
          <w:jc w:val="right"/>
          <w:tblCellSpacing w:w="0" w:type="dxa"/>
          <w:trHeight w:val="1085"/>
        </w:trPr>
        <w:tc>
          <w:tcPr>
            <w:tcW w:w="696" w:type="pct"/>
            <w:vAlign w:val="center"/>
            <w:textDirection w:val="lrTb"/>
            <w:noWrap w:val="false"/>
          </w:tcPr>
          <w:p>
            <w:pPr>
              <w:jc w:val="center"/>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产品名称</w:t>
            </w:r>
            <w:r>
              <w:rPr>
                <w:highlight w:val="none"/>
              </w:rPr>
            </w:r>
            <w:r>
              <w:rPr>
                <w:highlight w:val="none"/>
              </w:rPr>
            </w:r>
          </w:p>
        </w:tc>
        <w:tc>
          <w:tcPr>
            <w:tcW w:w="615" w:type="pct"/>
            <w:vAlign w:val="center"/>
            <w:textDirection w:val="lrTb"/>
            <w:noWrap w:val="false"/>
          </w:tcPr>
          <w:p>
            <w:pPr>
              <w:jc w:val="center"/>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品牌名称</w:t>
            </w:r>
            <w:r>
              <w:rPr>
                <w:highlight w:val="none"/>
              </w:rPr>
            </w:r>
            <w:r>
              <w:rPr>
                <w:highlight w:val="none"/>
              </w:rPr>
            </w:r>
          </w:p>
        </w:tc>
        <w:tc>
          <w:tcPr>
            <w:tcW w:w="1047" w:type="pct"/>
            <w:vAlign w:val="center"/>
            <w:textDirection w:val="lrTb"/>
            <w:noWrap w:val="false"/>
          </w:tcPr>
          <w:p>
            <w:pPr>
              <w:jc w:val="center"/>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规格/型号</w:t>
            </w:r>
            <w:r>
              <w:rPr>
                <w:highlight w:val="none"/>
              </w:rPr>
            </w:r>
            <w:r>
              <w:rPr>
                <w:highlight w:val="none"/>
              </w:rPr>
            </w:r>
          </w:p>
        </w:tc>
        <w:tc>
          <w:tcPr>
            <w:tcW w:w="718" w:type="pct"/>
            <w:vAlign w:val="center"/>
            <w:textDirection w:val="lrTb"/>
            <w:noWrap w:val="false"/>
          </w:tcPr>
          <w:p>
            <w:pPr>
              <w:jc w:val="center"/>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生产厂家</w:t>
            </w:r>
            <w:r>
              <w:rPr>
                <w:highlight w:val="none"/>
              </w:rPr>
            </w:r>
            <w:r>
              <w:rPr>
                <w:highlight w:val="none"/>
              </w:rPr>
            </w:r>
          </w:p>
        </w:tc>
        <w:tc>
          <w:tcPr>
            <w:tcW w:w="274" w:type="pct"/>
            <w:vAlign w:val="center"/>
            <w:textDirection w:val="lrTb"/>
            <w:noWrap w:val="false"/>
          </w:tcPr>
          <w:p>
            <w:pPr>
              <w:jc w:val="center"/>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单位</w:t>
            </w:r>
            <w:r>
              <w:rPr>
                <w:highlight w:val="none"/>
              </w:rPr>
            </w:r>
            <w:r>
              <w:rPr>
                <w:highlight w:val="none"/>
              </w:rPr>
            </w:r>
          </w:p>
        </w:tc>
        <w:tc>
          <w:tcPr>
            <w:tcW w:w="381" w:type="pct"/>
            <w:vAlign w:val="center"/>
            <w:textDirection w:val="lrTb"/>
            <w:noWrap w:val="false"/>
          </w:tcPr>
          <w:p>
            <w:pPr>
              <w:jc w:val="center"/>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数量</w:t>
            </w:r>
            <w:r>
              <w:rPr>
                <w:highlight w:val="none"/>
              </w:rPr>
            </w:r>
            <w:r>
              <w:rPr>
                <w:highlight w:val="none"/>
              </w:rPr>
            </w:r>
          </w:p>
        </w:tc>
        <w:tc>
          <w:tcPr>
            <w:tcW w:w="636" w:type="pct"/>
            <w:vAlign w:val="center"/>
            <w:textDirection w:val="lrTb"/>
            <w:noWrap w:val="false"/>
          </w:tcPr>
          <w:p>
            <w:pPr>
              <w:jc w:val="center"/>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单价</w:t>
            </w:r>
            <w:r>
              <w:rPr>
                <w:highlight w:val="none"/>
              </w:rPr>
            </w:r>
            <w:r>
              <w:rPr>
                <w:highlight w:val="none"/>
              </w:rPr>
            </w:r>
          </w:p>
          <w:p>
            <w:pPr>
              <w:jc w:val="center"/>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(元)</w:t>
            </w:r>
            <w:r>
              <w:rPr>
                <w:highlight w:val="none"/>
              </w:rPr>
            </w:r>
            <w:r>
              <w:rPr>
                <w:highlight w:val="none"/>
              </w:rPr>
            </w:r>
          </w:p>
        </w:tc>
        <w:tc>
          <w:tcPr>
            <w:tcW w:w="629" w:type="pct"/>
            <w:vAlign w:val="center"/>
            <w:textDirection w:val="lrTb"/>
            <w:noWrap w:val="false"/>
          </w:tcPr>
          <w:p>
            <w:pPr>
              <w:jc w:val="center"/>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小计(￥元)</w:t>
            </w:r>
            <w:r>
              <w:rPr>
                <w:highlight w:val="none"/>
              </w:rPr>
            </w:r>
            <w:r>
              <w:rPr>
                <w:highlight w:val="none"/>
              </w:rPr>
            </w:r>
          </w:p>
        </w:tc>
      </w:tr>
      <w:tr>
        <w:trPr>
          <w:jc w:val="right"/>
          <w:tblCellSpacing w:w="0" w:type="dxa"/>
          <w:trHeight w:val="618"/>
        </w:trPr>
        <w:tc>
          <w:tcPr>
            <w:tcW w:w="696" w:type="pct"/>
            <w:vAlign w:val="center"/>
            <w:textDirection w:val="lrTb"/>
            <w:noWrap w:val="false"/>
          </w:tcPr>
          <w:p>
            <w:pPr>
              <w:spacing w:line="360" w:lineRule="auto"/>
              <w:rPr>
                <w:rFonts w:hint="eastAsia" w:ascii="微软雅黑" w:hAnsi="微软雅黑" w:eastAsia="微软雅黑" w:cs="微软雅黑"/>
                <w:bCs/>
                <w:i/>
                <w:iCs/>
                <w:color w:val="auto"/>
                <w:sz w:val="24"/>
                <w:highlight w:val="none"/>
              </w:rPr>
            </w:pPr>
            <w:r>
              <w:rPr>
                <w:rFonts w:hint="eastAsia" w:ascii="微软雅黑" w:hAnsi="微软雅黑" w:eastAsia="微软雅黑" w:cs="微软雅黑"/>
                <w:bCs/>
                <w:i/>
                <w:iCs/>
                <w:color w:val="auto"/>
                <w:sz w:val="24"/>
                <w:highlight w:val="none"/>
              </w:rPr>
              <w:t xml:space="preserve">   </w:t>
            </w:r>
            <w:r>
              <w:rPr>
                <w:highlight w:val="none"/>
              </w:rPr>
            </w:r>
            <w:r>
              <w:rPr>
                <w:highlight w:val="none"/>
              </w:rPr>
            </w:r>
          </w:p>
        </w:tc>
        <w:tc>
          <w:tcPr>
            <w:tcW w:w="615" w:type="pct"/>
            <w:vAlign w:val="center"/>
            <w:textDirection w:val="lrTb"/>
            <w:noWrap w:val="false"/>
          </w:tcPr>
          <w:p>
            <w:pPr>
              <w:ind w:left="480" w:hanging="480"/>
              <w:spacing w:line="360" w:lineRule="auto"/>
              <w:rPr>
                <w:rFonts w:hint="eastAsia" w:ascii="微软雅黑" w:hAnsi="微软雅黑" w:eastAsia="微软雅黑" w:cs="微软雅黑"/>
                <w:bCs/>
                <w:i/>
                <w:iCs/>
                <w:color w:val="auto"/>
                <w:sz w:val="24"/>
                <w:highlight w:val="none"/>
              </w:rPr>
            </w:pPr>
            <w:r>
              <w:rPr>
                <w:rFonts w:hint="eastAsia" w:ascii="微软雅黑" w:hAnsi="微软雅黑" w:eastAsia="微软雅黑" w:cs="微软雅黑"/>
                <w:bCs/>
                <w:i/>
                <w:iCs/>
                <w:color w:val="auto"/>
                <w:sz w:val="24"/>
                <w:highlight w:val="none"/>
              </w:rPr>
              <w:t xml:space="preserve"> </w:t>
            </w:r>
            <w:r>
              <w:rPr>
                <w:highlight w:val="none"/>
              </w:rPr>
            </w:r>
            <w:r>
              <w:rPr>
                <w:highlight w:val="none"/>
              </w:rPr>
            </w:r>
          </w:p>
        </w:tc>
        <w:tc>
          <w:tcPr>
            <w:tcW w:w="1047" w:type="pct"/>
            <w:vAlign w:val="center"/>
            <w:textDirection w:val="lrTb"/>
            <w:noWrap w:val="false"/>
          </w:tcPr>
          <w:p>
            <w:pPr>
              <w:ind w:left="480" w:hanging="480"/>
              <w:spacing w:line="360" w:lineRule="auto"/>
              <w:rPr>
                <w:rFonts w:hint="eastAsia" w:ascii="微软雅黑" w:hAnsi="微软雅黑" w:eastAsia="微软雅黑" w:cs="微软雅黑"/>
                <w:bCs/>
                <w:i/>
                <w:iCs/>
                <w:color w:val="auto"/>
                <w:sz w:val="24"/>
                <w:highlight w:val="none"/>
              </w:rPr>
            </w:pPr>
            <w:r>
              <w:rPr>
                <w:rFonts w:hint="eastAsia" w:ascii="微软雅黑" w:hAnsi="微软雅黑" w:eastAsia="微软雅黑" w:cs="微软雅黑"/>
                <w:bCs/>
                <w:i/>
                <w:iCs/>
                <w:color w:val="auto"/>
                <w:sz w:val="24"/>
                <w:highlight w:val="none"/>
              </w:rPr>
            </w:r>
            <w:r>
              <w:rPr>
                <w:highlight w:val="none"/>
              </w:rPr>
            </w:r>
            <w:r>
              <w:rPr>
                <w:highlight w:val="none"/>
              </w:rPr>
            </w:r>
          </w:p>
        </w:tc>
        <w:tc>
          <w:tcPr>
            <w:tcW w:w="718" w:type="pct"/>
            <w:vAlign w:val="center"/>
            <w:textDirection w:val="lrTb"/>
            <w:noWrap w:val="false"/>
          </w:tcPr>
          <w:p>
            <w:pPr>
              <w:spacing w:line="360" w:lineRule="auto"/>
              <w:rPr>
                <w:rFonts w:hint="eastAsia" w:ascii="微软雅黑" w:hAnsi="微软雅黑" w:eastAsia="微软雅黑" w:cs="微软雅黑"/>
                <w:bCs/>
                <w:i/>
                <w:iCs/>
                <w:color w:val="auto"/>
                <w:sz w:val="24"/>
                <w:highlight w:val="none"/>
              </w:rPr>
            </w:pPr>
            <w:r>
              <w:rPr>
                <w:rFonts w:hint="eastAsia" w:ascii="微软雅黑" w:hAnsi="微软雅黑" w:eastAsia="微软雅黑" w:cs="微软雅黑"/>
                <w:bCs/>
                <w:i/>
                <w:iCs/>
                <w:color w:val="auto"/>
                <w:sz w:val="24"/>
                <w:highlight w:val="none"/>
              </w:rPr>
            </w:r>
            <w:r>
              <w:rPr>
                <w:highlight w:val="none"/>
              </w:rPr>
            </w:r>
            <w:r>
              <w:rPr>
                <w:highlight w:val="none"/>
              </w:rPr>
            </w:r>
          </w:p>
        </w:tc>
        <w:tc>
          <w:tcPr>
            <w:tcW w:w="274" w:type="pct"/>
            <w:vAlign w:val="center"/>
            <w:textDirection w:val="lrTb"/>
            <w:noWrap w:val="false"/>
          </w:tcPr>
          <w:p>
            <w:pPr>
              <w:ind w:left="480" w:hanging="480"/>
              <w:jc w:val="center"/>
              <w:spacing w:line="360" w:lineRule="auto"/>
              <w:rPr>
                <w:rFonts w:hint="eastAsia" w:ascii="微软雅黑" w:hAnsi="微软雅黑" w:eastAsia="微软雅黑" w:cs="微软雅黑"/>
                <w:bCs/>
                <w:i/>
                <w:iCs/>
                <w:color w:val="auto"/>
                <w:sz w:val="24"/>
                <w:highlight w:val="none"/>
              </w:rPr>
            </w:pPr>
            <w:r>
              <w:rPr>
                <w:rFonts w:hint="eastAsia" w:ascii="微软雅黑" w:hAnsi="微软雅黑" w:eastAsia="微软雅黑" w:cs="微软雅黑"/>
                <w:bCs/>
                <w:i/>
                <w:iCs/>
                <w:color w:val="auto"/>
                <w:sz w:val="24"/>
                <w:highlight w:val="none"/>
              </w:rPr>
            </w:r>
            <w:r>
              <w:rPr>
                <w:highlight w:val="none"/>
              </w:rPr>
            </w:r>
            <w:r>
              <w:rPr>
                <w:highlight w:val="none"/>
              </w:rPr>
            </w:r>
          </w:p>
        </w:tc>
        <w:tc>
          <w:tcPr>
            <w:tcW w:w="381" w:type="pct"/>
            <w:vAlign w:val="center"/>
            <w:textDirection w:val="lrTb"/>
            <w:noWrap w:val="false"/>
          </w:tcPr>
          <w:p>
            <w:pPr>
              <w:ind w:left="480" w:hanging="480"/>
              <w:jc w:val="center"/>
              <w:spacing w:line="360" w:lineRule="auto"/>
              <w:rPr>
                <w:rFonts w:hint="eastAsia" w:ascii="微软雅黑" w:hAnsi="微软雅黑" w:eastAsia="微软雅黑" w:cs="微软雅黑"/>
                <w:bCs/>
                <w:i/>
                <w:iCs/>
                <w:color w:val="auto"/>
                <w:sz w:val="24"/>
                <w:highlight w:val="none"/>
              </w:rPr>
            </w:pPr>
            <w:r>
              <w:rPr>
                <w:rFonts w:hint="eastAsia" w:ascii="微软雅黑" w:hAnsi="微软雅黑" w:eastAsia="微软雅黑" w:cs="微软雅黑"/>
                <w:bCs/>
                <w:i/>
                <w:iCs/>
                <w:color w:val="auto"/>
                <w:sz w:val="24"/>
                <w:highlight w:val="none"/>
              </w:rPr>
            </w:r>
            <w:r>
              <w:rPr>
                <w:highlight w:val="none"/>
              </w:rPr>
            </w:r>
            <w:r>
              <w:rPr>
                <w:highlight w:val="none"/>
              </w:rPr>
            </w:r>
          </w:p>
        </w:tc>
        <w:tc>
          <w:tcPr>
            <w:tcW w:w="636" w:type="pct"/>
            <w:vAlign w:val="center"/>
            <w:textDirection w:val="lrTb"/>
            <w:noWrap w:val="false"/>
          </w:tcPr>
          <w:p>
            <w:pPr>
              <w:ind w:left="480" w:hanging="480"/>
              <w:jc w:val="center"/>
              <w:spacing w:line="360" w:lineRule="auto"/>
              <w:rPr>
                <w:rFonts w:hint="eastAsia" w:ascii="微软雅黑" w:hAnsi="微软雅黑" w:eastAsia="微软雅黑" w:cs="微软雅黑"/>
                <w:bCs/>
                <w:i/>
                <w:iCs/>
                <w:color w:val="auto"/>
                <w:sz w:val="24"/>
                <w:highlight w:val="none"/>
              </w:rPr>
            </w:pPr>
            <w:r>
              <w:rPr>
                <w:rFonts w:hint="eastAsia" w:ascii="微软雅黑" w:hAnsi="微软雅黑" w:eastAsia="微软雅黑" w:cs="微软雅黑"/>
                <w:bCs/>
                <w:i/>
                <w:iCs/>
                <w:color w:val="auto"/>
                <w:sz w:val="24"/>
                <w:highlight w:val="none"/>
              </w:rPr>
            </w:r>
            <w:r>
              <w:rPr>
                <w:highlight w:val="none"/>
              </w:rPr>
            </w:r>
            <w:r>
              <w:rPr>
                <w:highlight w:val="none"/>
              </w:rPr>
            </w:r>
          </w:p>
        </w:tc>
        <w:tc>
          <w:tcPr>
            <w:tcW w:w="629" w:type="pct"/>
            <w:vAlign w:val="center"/>
            <w:textDirection w:val="lrTb"/>
            <w:noWrap w:val="false"/>
          </w:tcPr>
          <w:p>
            <w:pPr>
              <w:ind w:left="480" w:hanging="480"/>
              <w:spacing w:line="360" w:lineRule="auto"/>
              <w:rPr>
                <w:rFonts w:hint="eastAsia" w:ascii="微软雅黑" w:hAnsi="微软雅黑" w:eastAsia="微软雅黑" w:cs="微软雅黑"/>
                <w:bCs/>
                <w:i/>
                <w:iCs/>
                <w:color w:val="auto"/>
                <w:sz w:val="24"/>
                <w:highlight w:val="none"/>
              </w:rPr>
            </w:pPr>
            <w:r>
              <w:rPr>
                <w:rFonts w:hint="eastAsia" w:ascii="微软雅黑" w:hAnsi="微软雅黑" w:eastAsia="微软雅黑" w:cs="微软雅黑"/>
                <w:bCs/>
                <w:i/>
                <w:iCs/>
                <w:color w:val="auto"/>
                <w:sz w:val="24"/>
                <w:highlight w:val="none"/>
              </w:rPr>
            </w:r>
            <w:r>
              <w:rPr>
                <w:highlight w:val="none"/>
              </w:rPr>
            </w:r>
            <w:r>
              <w:rPr>
                <w:highlight w:val="none"/>
              </w:rPr>
            </w:r>
          </w:p>
        </w:tc>
      </w:tr>
      <w:tr>
        <w:trPr>
          <w:jc w:val="right"/>
          <w:tblCellSpacing w:w="0" w:type="dxa"/>
          <w:trHeight w:val="641"/>
        </w:trPr>
        <w:tc>
          <w:tcPr>
            <w:tcW w:w="696" w:type="pct"/>
            <w:vAlign w:val="center"/>
            <w:textDirection w:val="lrTb"/>
            <w:noWrap w:val="false"/>
          </w:tcPr>
          <w:p>
            <w:pPr>
              <w:jc w:val="center"/>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r>
            <w:r>
              <w:rPr>
                <w:highlight w:val="none"/>
              </w:rPr>
            </w:r>
            <w:r>
              <w:rPr>
                <w:highlight w:val="none"/>
              </w:rPr>
            </w:r>
          </w:p>
        </w:tc>
        <w:tc>
          <w:tcPr>
            <w:tcW w:w="615" w:type="pct"/>
            <w:vAlign w:val="center"/>
            <w:textDirection w:val="lrTb"/>
            <w:noWrap w:val="false"/>
          </w:tcPr>
          <w:p>
            <w:pPr>
              <w:ind w:left="480" w:hanging="480"/>
              <w:jc w:val="center"/>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r>
            <w:r>
              <w:rPr>
                <w:highlight w:val="none"/>
              </w:rPr>
            </w:r>
            <w:r>
              <w:rPr>
                <w:highlight w:val="none"/>
              </w:rPr>
            </w:r>
          </w:p>
        </w:tc>
        <w:tc>
          <w:tcPr>
            <w:tcW w:w="1047" w:type="pct"/>
            <w:vAlign w:val="center"/>
            <w:textDirection w:val="lrTb"/>
            <w:noWrap w:val="false"/>
          </w:tcPr>
          <w:p>
            <w:pPr>
              <w:ind w:left="480" w:hanging="480"/>
              <w:jc w:val="center"/>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r>
            <w:r>
              <w:rPr>
                <w:highlight w:val="none"/>
              </w:rPr>
            </w:r>
            <w:r>
              <w:rPr>
                <w:highlight w:val="none"/>
              </w:rPr>
            </w:r>
          </w:p>
        </w:tc>
        <w:tc>
          <w:tcPr>
            <w:tcW w:w="718" w:type="pct"/>
            <w:vAlign w:val="center"/>
            <w:textDirection w:val="lrTb"/>
            <w:noWrap w:val="false"/>
          </w:tcPr>
          <w:p>
            <w:pPr>
              <w:jc w:val="center"/>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r>
            <w:r>
              <w:rPr>
                <w:highlight w:val="none"/>
              </w:rPr>
            </w:r>
            <w:r>
              <w:rPr>
                <w:highlight w:val="none"/>
              </w:rPr>
            </w:r>
          </w:p>
        </w:tc>
        <w:tc>
          <w:tcPr>
            <w:tcW w:w="274" w:type="pct"/>
            <w:vAlign w:val="center"/>
            <w:textDirection w:val="lrTb"/>
            <w:noWrap w:val="false"/>
          </w:tcPr>
          <w:p>
            <w:pPr>
              <w:ind w:left="480" w:hanging="480"/>
              <w:jc w:val="center"/>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r>
            <w:r>
              <w:rPr>
                <w:highlight w:val="none"/>
              </w:rPr>
            </w:r>
            <w:r>
              <w:rPr>
                <w:highlight w:val="none"/>
              </w:rPr>
            </w:r>
          </w:p>
        </w:tc>
        <w:tc>
          <w:tcPr>
            <w:tcW w:w="381" w:type="pct"/>
            <w:vAlign w:val="center"/>
            <w:textDirection w:val="lrTb"/>
            <w:noWrap w:val="false"/>
          </w:tcPr>
          <w:p>
            <w:pPr>
              <w:ind w:left="480" w:hanging="480"/>
              <w:jc w:val="center"/>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r>
            <w:r>
              <w:rPr>
                <w:highlight w:val="none"/>
              </w:rPr>
            </w:r>
            <w:r>
              <w:rPr>
                <w:highlight w:val="none"/>
              </w:rPr>
            </w:r>
          </w:p>
        </w:tc>
        <w:tc>
          <w:tcPr>
            <w:tcW w:w="636" w:type="pct"/>
            <w:vAlign w:val="center"/>
            <w:textDirection w:val="lrTb"/>
            <w:noWrap w:val="false"/>
          </w:tcPr>
          <w:p>
            <w:pPr>
              <w:ind w:left="480" w:hanging="480"/>
              <w:jc w:val="center"/>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r>
            <w:r>
              <w:rPr>
                <w:highlight w:val="none"/>
              </w:rPr>
            </w:r>
            <w:r>
              <w:rPr>
                <w:highlight w:val="none"/>
              </w:rPr>
            </w:r>
          </w:p>
        </w:tc>
        <w:tc>
          <w:tcPr>
            <w:tcW w:w="629" w:type="pct"/>
            <w:vAlign w:val="center"/>
            <w:textDirection w:val="lrTb"/>
            <w:noWrap w:val="false"/>
          </w:tcPr>
          <w:p>
            <w:pPr>
              <w:ind w:left="480" w:hanging="480"/>
              <w:jc w:val="center"/>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r>
            <w:r>
              <w:rPr>
                <w:highlight w:val="none"/>
              </w:rPr>
            </w:r>
            <w:r>
              <w:rPr>
                <w:highlight w:val="none"/>
              </w:rPr>
            </w:r>
          </w:p>
        </w:tc>
      </w:tr>
      <w:tr>
        <w:trPr>
          <w:jc w:val="right"/>
          <w:tblCellSpacing w:w="0" w:type="dxa"/>
          <w:trHeight w:val="680"/>
        </w:trPr>
        <w:tc>
          <w:tcPr>
            <w:gridSpan w:val="7"/>
            <w:tcW w:w="4370" w:type="pct"/>
            <w:vAlign w:val="center"/>
            <w:textDirection w:val="lrTb"/>
            <w:noWrap w:val="false"/>
          </w:tcPr>
          <w:p>
            <w:pPr>
              <w:ind w:left="480" w:hanging="480"/>
              <w:jc w:val="center"/>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合计（小写）</w:t>
            </w:r>
            <w:r>
              <w:rPr>
                <w:highlight w:val="none"/>
              </w:rPr>
            </w:r>
            <w:r>
              <w:rPr>
                <w:highlight w:val="none"/>
              </w:rPr>
            </w:r>
          </w:p>
        </w:tc>
        <w:tc>
          <w:tcPr>
            <w:tcW w:w="629" w:type="pct"/>
            <w:vAlign w:val="center"/>
            <w:textDirection w:val="lrTb"/>
            <w:noWrap w:val="false"/>
          </w:tcPr>
          <w:p>
            <w:pPr>
              <w:ind w:left="480" w:hanging="480"/>
              <w:jc w:val="center"/>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r>
            <w:r>
              <w:rPr>
                <w:highlight w:val="none"/>
              </w:rPr>
            </w:r>
            <w:r>
              <w:rPr>
                <w:highlight w:val="none"/>
              </w:rPr>
            </w:r>
          </w:p>
        </w:tc>
      </w:tr>
      <w:tr>
        <w:trPr>
          <w:jc w:val="right"/>
          <w:tblCellSpacing w:w="0" w:type="dxa"/>
          <w:trHeight w:val="690"/>
        </w:trPr>
        <w:tc>
          <w:tcPr>
            <w:gridSpan w:val="8"/>
            <w:tcW w:w="5000" w:type="pct"/>
            <w:vAlign w:val="center"/>
            <w:textDirection w:val="lrTb"/>
            <w:noWrap w:val="false"/>
          </w:tcPr>
          <w:p>
            <w:pPr>
              <w:ind w:left="480" w:hanging="48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总计人民币金额（大写）：人民币</w:t>
            </w:r>
            <w:r>
              <w:rPr>
                <w:rFonts w:hint="eastAsia" w:ascii="微软雅黑" w:hAnsi="微软雅黑" w:eastAsia="微软雅黑" w:cs="微软雅黑"/>
                <w:bCs/>
                <w:color w:val="auto"/>
                <w:sz w:val="24"/>
                <w:highlight w:val="none"/>
                <w:u w:val="single"/>
              </w:rPr>
              <w:t xml:space="preserve">           </w:t>
            </w:r>
            <w:r>
              <w:rPr>
                <w:rFonts w:hint="eastAsia" w:ascii="微软雅黑" w:hAnsi="微软雅黑" w:eastAsia="微软雅黑" w:cs="微软雅黑"/>
                <w:bCs/>
                <w:color w:val="auto"/>
                <w:sz w:val="24"/>
                <w:highlight w:val="none"/>
              </w:rPr>
              <w:t xml:space="preserve">元整</w:t>
            </w:r>
            <w:r>
              <w:rPr>
                <w:highlight w:val="none"/>
              </w:rPr>
            </w:r>
            <w:r>
              <w:rPr>
                <w:highlight w:val="none"/>
              </w:rPr>
            </w:r>
          </w:p>
        </w:tc>
      </w:tr>
      <w:tr>
        <w:trPr>
          <w:jc w:val="right"/>
          <w:tblCellSpacing w:w="0" w:type="dxa"/>
          <w:trHeight w:val="700"/>
        </w:trPr>
        <w:tc>
          <w:tcPr>
            <w:gridSpan w:val="8"/>
            <w:tcW w:w="5000" w:type="pct"/>
            <w:vAlign w:val="center"/>
            <w:textDirection w:val="lrTb"/>
            <w:noWrap w:val="false"/>
          </w:tcPr>
          <w:p>
            <w:pPr>
              <w:ind w:left="480" w:hanging="48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产品详细配置清单等见附件，附件与本合同有同等法律效力。</w:t>
            </w:r>
            <w:r>
              <w:rPr>
                <w:highlight w:val="none"/>
              </w:rPr>
            </w:r>
            <w:r>
              <w:rPr>
                <w:highlight w:val="none"/>
              </w:rPr>
            </w:r>
          </w:p>
        </w:tc>
      </w:tr>
    </w:tbl>
    <w:p>
      <w:pPr>
        <w:spacing w:line="360" w:lineRule="auto"/>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rPr>
      </w:r>
      <w:r>
        <w:rPr>
          <w:highlight w:val="none"/>
        </w:rPr>
      </w:r>
      <w:r>
        <w:rPr>
          <w:highlight w:val="none"/>
        </w:rPr>
      </w:r>
    </w:p>
    <w:p>
      <w:pPr>
        <w:pStyle w:val="926"/>
        <w:spacing w:before="0" w:after="0" w:line="360" w:lineRule="auto"/>
        <w:rPr>
          <w:rFonts w:hint="eastAsia" w:ascii="微软雅黑" w:hAnsi="微软雅黑" w:eastAsia="微软雅黑" w:cs="微软雅黑"/>
          <w:b/>
          <w:color w:val="auto"/>
          <w:highlight w:val="none"/>
        </w:rPr>
        <w:outlineLvl w:val="1"/>
      </w:pPr>
      <w:r>
        <w:rPr>
          <w:rFonts w:hint="eastAsia" w:ascii="微软雅黑" w:hAnsi="微软雅黑" w:eastAsia="微软雅黑" w:cs="微软雅黑"/>
          <w:b/>
          <w:color w:val="auto"/>
          <w:highlight w:val="none"/>
        </w:rPr>
        <w:t xml:space="preserve">第二条 合同价格</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2.1本合同总金额为人民币</w:t>
      </w:r>
      <w:r>
        <w:rPr>
          <w:rFonts w:hint="eastAsia" w:ascii="微软雅黑" w:hAnsi="微软雅黑" w:eastAsia="微软雅黑" w:cs="微软雅黑"/>
          <w:bCs/>
          <w:color w:val="auto"/>
          <w:sz w:val="24"/>
          <w:highlight w:val="none"/>
          <w:u w:val="single"/>
        </w:rPr>
        <w:t xml:space="preserve">     </w:t>
      </w:r>
      <w:r>
        <w:rPr>
          <w:rFonts w:hint="eastAsia" w:ascii="微软雅黑" w:hAnsi="微软雅黑" w:eastAsia="微软雅黑" w:cs="微软雅黑"/>
          <w:bCs/>
          <w:color w:val="auto"/>
          <w:sz w:val="24"/>
          <w:highlight w:val="none"/>
        </w:rPr>
        <w:t xml:space="preserve">元（大写：</w:t>
      </w:r>
      <w:r>
        <w:rPr>
          <w:rFonts w:hint="eastAsia" w:ascii="微软雅黑" w:hAnsi="微软雅黑" w:eastAsia="微软雅黑" w:cs="微软雅黑"/>
          <w:bCs/>
          <w:color w:val="auto"/>
          <w:sz w:val="24"/>
          <w:highlight w:val="none"/>
          <w:u w:val="single"/>
        </w:rPr>
        <w:t xml:space="preserve">     </w:t>
      </w:r>
      <w:r>
        <w:rPr>
          <w:rFonts w:hint="eastAsia" w:ascii="微软雅黑" w:hAnsi="微软雅黑" w:eastAsia="微软雅黑" w:cs="微软雅黑"/>
          <w:bCs/>
          <w:color w:val="auto"/>
          <w:sz w:val="24"/>
          <w:highlight w:val="none"/>
        </w:rPr>
        <w:t xml:space="preserve">元整）。</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2.2本合同价格包括技术支持与培训费、售后服务及相关劳务支出、提供符合甲方财务要求的正规发票等工作所发生的全部费用以及供应商企业利润、税金和政策性文件规定及合同包含的所有风险、责任等各项应有费用。用户不再支付报价以外的任何费用。</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2.3合同价格形式：</w:t>
      </w:r>
      <w:r>
        <w:rPr>
          <w:rFonts w:hint="eastAsia" w:ascii="微软雅黑" w:hAnsi="微软雅黑" w:eastAsia="微软雅黑" w:cs="微软雅黑"/>
          <w:bCs/>
          <w:color w:val="auto"/>
          <w:sz w:val="24"/>
          <w:highlight w:val="none"/>
          <w:u w:val="single"/>
        </w:rPr>
        <w:t xml:space="preserve"> 固定总价  </w:t>
      </w:r>
      <w:r>
        <w:rPr>
          <w:rFonts w:hint="eastAsia" w:ascii="微软雅黑" w:hAnsi="微软雅黑" w:eastAsia="微软雅黑" w:cs="微软雅黑"/>
          <w:bCs/>
          <w:color w:val="auto"/>
          <w:sz w:val="24"/>
          <w:highlight w:val="none"/>
        </w:rPr>
        <w:t xml:space="preserve">，合同期内单价不作调整，以实际交付量结算。</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rPr>
        <w:outlineLvl w:val="2"/>
      </w:pPr>
      <w:r>
        <w:rPr>
          <w:rFonts w:hint="eastAsia" w:ascii="微软雅黑" w:hAnsi="微软雅黑" w:eastAsia="微软雅黑" w:cs="微软雅黑"/>
          <w:bCs/>
          <w:color w:val="auto"/>
          <w:sz w:val="24"/>
          <w:highlight w:val="none"/>
        </w:rPr>
        <w:t xml:space="preserve">2.4 产品安装地点：</w:t>
      </w:r>
      <w:r>
        <w:rPr>
          <w:rFonts w:hint="eastAsia" w:ascii="微软雅黑" w:hAnsi="微软雅黑" w:eastAsia="微软雅黑" w:cs="微软雅黑"/>
          <w:bCs/>
          <w:color w:val="auto"/>
          <w:sz w:val="24"/>
          <w:highlight w:val="none"/>
          <w:u w:val="single"/>
        </w:rPr>
        <w:t xml:space="preserve">        </w:t>
      </w:r>
      <w:r>
        <w:rPr>
          <w:rFonts w:hint="eastAsia" w:ascii="微软雅黑" w:hAnsi="微软雅黑" w:eastAsia="微软雅黑" w:cs="微软雅黑"/>
          <w:bCs/>
          <w:color w:val="auto"/>
          <w:sz w:val="24"/>
          <w:highlight w:val="none"/>
        </w:rPr>
        <w:t xml:space="preserve">。</w:t>
      </w:r>
      <w:r>
        <w:rPr>
          <w:highlight w:val="none"/>
        </w:rPr>
      </w:r>
      <w:r>
        <w:rPr>
          <w:highlight w:val="none"/>
        </w:rPr>
      </w:r>
    </w:p>
    <w:p>
      <w:pPr>
        <w:pStyle w:val="926"/>
        <w:spacing w:before="0" w:after="0" w:line="360" w:lineRule="auto"/>
        <w:rPr>
          <w:rFonts w:hint="eastAsia" w:ascii="微软雅黑" w:hAnsi="微软雅黑" w:eastAsia="微软雅黑" w:cs="微软雅黑"/>
          <w:b/>
          <w:color w:val="auto"/>
          <w:highlight w:val="none"/>
        </w:rPr>
        <w:outlineLvl w:val="1"/>
      </w:pPr>
      <w:r>
        <w:rPr>
          <w:rFonts w:hint="eastAsia" w:ascii="微软雅黑" w:hAnsi="微软雅黑" w:eastAsia="微软雅黑" w:cs="微软雅黑"/>
          <w:b/>
          <w:color w:val="auto"/>
          <w:highlight w:val="none"/>
        </w:rPr>
        <w:t xml:space="preserve">第三条 付款方式和付款比例</w:t>
      </w:r>
      <w:r>
        <w:rPr>
          <w:highlight w:val="none"/>
        </w:rPr>
      </w:r>
      <w:r>
        <w:rPr>
          <w:highlight w:val="none"/>
        </w:rPr>
      </w:r>
    </w:p>
    <w:p>
      <w:pPr>
        <w:ind w:firstLine="484"/>
        <w:spacing w:line="360" w:lineRule="auto"/>
        <w:rPr>
          <w:rFonts w:hint="eastAsia" w:ascii="微软雅黑" w:hAnsi="微软雅黑" w:eastAsia="微软雅黑" w:cs="微软雅黑"/>
          <w:color w:val="auto"/>
          <w:highlight w:val="none"/>
        </w:rPr>
        <w:outlineLvl w:val="2"/>
      </w:pPr>
      <w:r>
        <w:rPr>
          <w:rFonts w:hint="eastAsia" w:ascii="微软雅黑" w:hAnsi="微软雅黑" w:eastAsia="微软雅黑" w:cs="微软雅黑"/>
          <w:bCs/>
          <w:color w:val="auto"/>
          <w:sz w:val="24"/>
          <w:highlight w:val="none"/>
        </w:rPr>
        <w:t xml:space="preserve">3.1付款方式：</w:t>
      </w:r>
      <w:r>
        <w:rPr>
          <w:highlight w:val="none"/>
        </w:rPr>
      </w:r>
      <w:r>
        <w:rPr>
          <w:highlight w:val="none"/>
        </w:rPr>
      </w:r>
    </w:p>
    <w:p>
      <w:pPr>
        <w:ind w:firstLine="484"/>
        <w:spacing w:line="360" w:lineRule="auto"/>
        <w:rPr>
          <w:rFonts w:hint="eastAsia" w:ascii="微软雅黑" w:hAnsi="微软雅黑" w:eastAsia="微软雅黑" w:cs="微软雅黑"/>
          <w:color w:val="auto"/>
          <w:highlight w:val="none"/>
        </w:rPr>
      </w:pPr>
      <w:r>
        <w:rPr>
          <w:rFonts w:hint="eastAsia" w:ascii="微软雅黑" w:hAnsi="微软雅黑" w:eastAsia="微软雅黑" w:cs="微软雅黑"/>
          <w:bCs/>
          <w:color w:val="auto"/>
          <w:sz w:val="24"/>
          <w:highlight w:val="none"/>
        </w:rPr>
        <w:t xml:space="preserve">合同付款方式：按项目实施进度节点进行付款。</w:t>
      </w:r>
      <w:r>
        <w:rPr>
          <w:highlight w:val="none"/>
        </w:rPr>
      </w:r>
      <w:r>
        <w:rPr>
          <w:highlight w:val="none"/>
        </w:rPr>
      </w:r>
    </w:p>
    <w:p>
      <w:pPr>
        <w:ind w:firstLine="48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（1）合同签定完成后30日内支付合同总价的30%；</w:t>
      </w:r>
      <w:r>
        <w:rPr>
          <w:highlight w:val="none"/>
        </w:rPr>
      </w:r>
      <w:r>
        <w:rPr>
          <w:highlight w:val="none"/>
        </w:rPr>
      </w:r>
    </w:p>
    <w:p>
      <w:pPr>
        <w:ind w:firstLine="48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（2）项目实施验收后，乙方按要求提供发票，甲方查验合格后30日内支付合同总价的60%；</w:t>
      </w:r>
      <w:r>
        <w:rPr>
          <w:highlight w:val="none"/>
        </w:rPr>
      </w:r>
      <w:r>
        <w:rPr>
          <w:highlight w:val="none"/>
        </w:rPr>
      </w:r>
    </w:p>
    <w:p>
      <w:pPr>
        <w:ind w:firstLine="48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（3）其余10％部分作为项目尾款，项目验收合格后，按免费维保期的年数平均进行支付。</w:t>
      </w:r>
      <w:r>
        <w:rPr>
          <w:highlight w:val="none"/>
        </w:rPr>
      </w:r>
      <w:r>
        <w:rPr>
          <w:highlight w:val="none"/>
        </w:rPr>
      </w:r>
    </w:p>
    <w:p>
      <w:pPr>
        <w:ind w:firstLine="48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3.2乙方提供的发票、产品、系统功能、规格等内容必须与合同完全一致，乙方未提供合规发票前，甲方有权拒绝付款，并不视为违约。</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rPr>
        <w:outlineLvl w:val="2"/>
      </w:pPr>
      <w:r>
        <w:rPr>
          <w:rFonts w:hint="eastAsia" w:ascii="微软雅黑" w:hAnsi="微软雅黑" w:eastAsia="微软雅黑" w:cs="微软雅黑"/>
          <w:bCs/>
          <w:color w:val="auto"/>
          <w:sz w:val="24"/>
          <w:highlight w:val="none"/>
        </w:rPr>
        <w:t xml:space="preserve">3.3 甲方开票信息：</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名  称：</w:t>
      </w:r>
      <w:r>
        <w:rPr>
          <w:rFonts w:hint="eastAsia" w:ascii="微软雅黑" w:hAnsi="微软雅黑" w:eastAsia="微软雅黑" w:cs="微软雅黑"/>
          <w:bCs/>
          <w:color w:val="auto"/>
          <w:sz w:val="24"/>
          <w:highlight w:val="none"/>
          <w:u w:val="single"/>
        </w:rPr>
        <w:t xml:space="preserve">徐州医科大学附属医院 </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u w:val="single"/>
        </w:rPr>
      </w:pPr>
      <w:r>
        <w:rPr>
          <w:rFonts w:hint="eastAsia" w:ascii="微软雅黑" w:hAnsi="微软雅黑" w:eastAsia="微软雅黑" w:cs="微软雅黑"/>
          <w:bCs/>
          <w:color w:val="auto"/>
          <w:sz w:val="24"/>
          <w:highlight w:val="none"/>
        </w:rPr>
        <w:t xml:space="preserve">税  号：12320000466002657F</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u w:val="single"/>
        </w:rPr>
      </w:pPr>
      <w:r>
        <w:rPr>
          <w:rFonts w:hint="eastAsia" w:ascii="微软雅黑" w:hAnsi="微软雅黑" w:eastAsia="微软雅黑" w:cs="微软雅黑"/>
          <w:bCs/>
          <w:color w:val="auto"/>
          <w:sz w:val="24"/>
          <w:highlight w:val="none"/>
        </w:rPr>
        <w:t xml:space="preserve">开户行：中国农业银行徐州淮海路支行</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账  号：10230101040002600 </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u w:val="single"/>
        </w:rPr>
      </w:pPr>
      <w:r>
        <w:rPr>
          <w:rFonts w:hint="eastAsia" w:ascii="微软雅黑" w:hAnsi="微软雅黑" w:eastAsia="微软雅黑" w:cs="微软雅黑"/>
          <w:bCs/>
          <w:color w:val="auto"/>
          <w:sz w:val="24"/>
          <w:highlight w:val="none"/>
        </w:rPr>
        <w:t xml:space="preserve">电  话：0516-85802338、85802011(传真) </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地  址：江苏省徐州市淮海西路99号</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rPr>
        <w:outlineLvl w:val="2"/>
      </w:pPr>
      <w:r>
        <w:rPr>
          <w:rFonts w:hint="eastAsia" w:ascii="微软雅黑" w:hAnsi="微软雅黑" w:eastAsia="微软雅黑" w:cs="微软雅黑"/>
          <w:bCs/>
          <w:color w:val="auto"/>
          <w:sz w:val="24"/>
          <w:highlight w:val="none"/>
        </w:rPr>
        <w:t xml:space="preserve">3.4乙方收付款信息：</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u w:val="single"/>
        </w:rPr>
      </w:pPr>
      <w:r>
        <w:rPr>
          <w:rFonts w:hint="eastAsia" w:ascii="微软雅黑" w:hAnsi="微软雅黑" w:eastAsia="微软雅黑" w:cs="微软雅黑"/>
          <w:bCs/>
          <w:color w:val="auto"/>
          <w:sz w:val="24"/>
          <w:highlight w:val="none"/>
        </w:rPr>
        <w:t xml:space="preserve">名  称： </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u w:val="single"/>
        </w:rPr>
      </w:pPr>
      <w:r>
        <w:rPr>
          <w:rFonts w:hint="eastAsia" w:ascii="微软雅黑" w:hAnsi="微软雅黑" w:eastAsia="微软雅黑" w:cs="微软雅黑"/>
          <w:bCs/>
          <w:color w:val="auto"/>
          <w:sz w:val="24"/>
          <w:highlight w:val="none"/>
        </w:rPr>
        <w:t xml:space="preserve">税  号：</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u w:val="single"/>
        </w:rPr>
      </w:pPr>
      <w:r>
        <w:rPr>
          <w:rFonts w:hint="eastAsia" w:ascii="微软雅黑" w:hAnsi="微软雅黑" w:eastAsia="微软雅黑" w:cs="微软雅黑"/>
          <w:bCs/>
          <w:color w:val="auto"/>
          <w:sz w:val="24"/>
          <w:highlight w:val="none"/>
        </w:rPr>
        <w:t xml:space="preserve">开户行：</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u w:val="single"/>
        </w:rPr>
      </w:pPr>
      <w:r>
        <w:rPr>
          <w:rFonts w:hint="eastAsia" w:ascii="微软雅黑" w:hAnsi="微软雅黑" w:eastAsia="微软雅黑" w:cs="微软雅黑"/>
          <w:bCs/>
          <w:color w:val="auto"/>
          <w:sz w:val="24"/>
          <w:highlight w:val="none"/>
        </w:rPr>
        <w:t xml:space="preserve">账  号：</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u w:val="single"/>
        </w:rPr>
      </w:pPr>
      <w:r>
        <w:rPr>
          <w:rFonts w:hint="eastAsia" w:ascii="微软雅黑" w:hAnsi="微软雅黑" w:eastAsia="微软雅黑" w:cs="微软雅黑"/>
          <w:bCs/>
          <w:color w:val="auto"/>
          <w:sz w:val="24"/>
          <w:highlight w:val="none"/>
        </w:rPr>
        <w:t xml:space="preserve">联行号：</w:t>
      </w:r>
      <w:r>
        <w:rPr>
          <w:highlight w:val="none"/>
        </w:rPr>
      </w:r>
      <w:r>
        <w:rPr>
          <w:highlight w:val="none"/>
        </w:rPr>
      </w:r>
    </w:p>
    <w:p>
      <w:pPr>
        <w:pStyle w:val="926"/>
        <w:spacing w:before="0" w:after="0" w:line="360" w:lineRule="auto"/>
        <w:rPr>
          <w:rFonts w:hint="eastAsia" w:ascii="微软雅黑" w:hAnsi="微软雅黑" w:eastAsia="微软雅黑" w:cs="微软雅黑"/>
          <w:b/>
          <w:color w:val="auto"/>
          <w:highlight w:val="none"/>
        </w:rPr>
        <w:outlineLvl w:val="1"/>
      </w:pPr>
      <w:r>
        <w:rPr>
          <w:rFonts w:hint="eastAsia" w:ascii="微软雅黑" w:hAnsi="微软雅黑" w:eastAsia="微软雅黑" w:cs="微软雅黑"/>
          <w:b/>
          <w:color w:val="auto"/>
          <w:highlight w:val="none"/>
        </w:rPr>
        <w:t xml:space="preserve">第四条 产品交付</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4.1 产品交付期：乙方</w:t>
      </w:r>
      <w:r>
        <w:rPr>
          <w:rFonts w:hint="eastAsia" w:ascii="微软雅黑" w:hAnsi="微软雅黑" w:eastAsia="微软雅黑" w:cs="微软雅黑"/>
          <w:bCs/>
          <w:color w:val="auto"/>
          <w:sz w:val="24"/>
          <w:highlight w:val="none"/>
          <w:lang w:eastAsia="zh-Hans"/>
        </w:rPr>
        <w:t xml:space="preserve">应</w:t>
      </w:r>
      <w:r>
        <w:rPr>
          <w:rFonts w:hint="eastAsia" w:ascii="微软雅黑" w:hAnsi="微软雅黑" w:eastAsia="微软雅黑" w:cs="微软雅黑"/>
          <w:bCs/>
          <w:color w:val="auto"/>
          <w:sz w:val="24"/>
          <w:highlight w:val="none"/>
        </w:rPr>
        <w:t xml:space="preserve">于</w:t>
      </w:r>
      <w:r>
        <w:rPr>
          <w:rFonts w:hint="eastAsia" w:ascii="微软雅黑" w:hAnsi="微软雅黑" w:eastAsia="微软雅黑" w:cs="微软雅黑"/>
          <w:bCs/>
          <w:color w:val="auto"/>
          <w:sz w:val="24"/>
          <w:highlight w:val="none"/>
          <w:lang w:val="en-US" w:eastAsia="zh-CN"/>
        </w:rPr>
        <w:t xml:space="preserve">合同签署后</w:t>
      </w:r>
      <w:r>
        <w:rPr>
          <w:rFonts w:hint="eastAsia" w:ascii="微软雅黑" w:hAnsi="微软雅黑" w:eastAsia="微软雅黑" w:cs="微软雅黑"/>
          <w:bCs/>
          <w:color w:val="auto"/>
          <w:sz w:val="24"/>
          <w:highlight w:val="none"/>
          <w:u w:val="single"/>
        </w:rPr>
        <w:t xml:space="preserve">  </w:t>
      </w:r>
      <w:r>
        <w:rPr>
          <w:rFonts w:hint="eastAsia" w:ascii="微软雅黑" w:hAnsi="微软雅黑" w:eastAsia="微软雅黑" w:cs="微软雅黑"/>
          <w:bCs/>
          <w:color w:val="auto"/>
          <w:sz w:val="24"/>
          <w:highlight w:val="none"/>
          <w:u w:val="single"/>
          <w:lang w:val="en-US" w:eastAsia="zh-CN"/>
        </w:rPr>
        <w:t xml:space="preserve">90</w:t>
      </w:r>
      <w:r>
        <w:rPr>
          <w:rFonts w:hint="eastAsia" w:ascii="微软雅黑" w:hAnsi="微软雅黑" w:eastAsia="微软雅黑" w:cs="微软雅黑"/>
          <w:bCs/>
          <w:color w:val="auto"/>
          <w:sz w:val="24"/>
          <w:highlight w:val="none"/>
          <w:u w:val="single"/>
        </w:rPr>
        <w:t xml:space="preserve"> </w:t>
      </w:r>
      <w:r>
        <w:rPr>
          <w:rFonts w:hint="eastAsia" w:ascii="微软雅黑" w:hAnsi="微软雅黑" w:eastAsia="微软雅黑" w:cs="微软雅黑"/>
          <w:bCs/>
          <w:color w:val="auto"/>
          <w:sz w:val="24"/>
          <w:highlight w:val="none"/>
        </w:rPr>
        <w:t xml:space="preserve"> 日</w:t>
      </w:r>
      <w:r>
        <w:rPr>
          <w:rFonts w:hint="eastAsia" w:ascii="微软雅黑" w:hAnsi="微软雅黑" w:eastAsia="微软雅黑" w:cs="微软雅黑"/>
          <w:bCs/>
          <w:color w:val="auto"/>
          <w:sz w:val="24"/>
          <w:highlight w:val="none"/>
          <w:lang w:val="en-US" w:eastAsia="zh-CN"/>
        </w:rPr>
        <w:t xml:space="preserve">内</w:t>
      </w:r>
      <w:r>
        <w:rPr>
          <w:rFonts w:hint="eastAsia" w:ascii="微软雅黑" w:hAnsi="微软雅黑" w:eastAsia="微软雅黑" w:cs="微软雅黑"/>
          <w:bCs/>
          <w:color w:val="auto"/>
          <w:sz w:val="24"/>
          <w:highlight w:val="none"/>
        </w:rPr>
        <w:t xml:space="preserve">向甲方交付产品。</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u w:val="single"/>
        </w:rPr>
      </w:pPr>
      <w:r>
        <w:rPr>
          <w:rFonts w:hint="eastAsia" w:ascii="微软雅黑" w:hAnsi="微软雅黑" w:eastAsia="微软雅黑" w:cs="微软雅黑"/>
          <w:bCs/>
          <w:color w:val="auto"/>
          <w:sz w:val="24"/>
          <w:highlight w:val="none"/>
        </w:rPr>
        <w:t xml:space="preserve">4.2 产品交付单位及地点: </w:t>
      </w:r>
      <w:r>
        <w:rPr>
          <w:rFonts w:hint="eastAsia" w:ascii="微软雅黑" w:hAnsi="微软雅黑" w:eastAsia="微软雅黑" w:cs="微软雅黑"/>
          <w:bCs/>
          <w:color w:val="auto"/>
          <w:sz w:val="24"/>
          <w:highlight w:val="none"/>
          <w:u w:val="single"/>
        </w:rPr>
        <w:t xml:space="preserve">                                      </w:t>
      </w:r>
      <w:r>
        <w:rPr>
          <w:highlight w:val="none"/>
        </w:rPr>
      </w:r>
      <w:r>
        <w:rPr>
          <w:highlight w:val="none"/>
        </w:rPr>
      </w:r>
    </w:p>
    <w:p>
      <w:pPr>
        <w:pStyle w:val="1099"/>
        <w:ind w:firstLine="480"/>
        <w:spacing w:after="0"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4.3 交付的产品须符合卫生主管部门对于网络安全三同步要求，符合网络安全等级保护3级测评要求。</w:t>
      </w:r>
      <w:r>
        <w:rPr>
          <w:highlight w:val="none"/>
        </w:rPr>
      </w:r>
      <w:r>
        <w:rPr>
          <w:highlight w:val="none"/>
        </w:rPr>
      </w:r>
    </w:p>
    <w:p>
      <w:pPr>
        <w:ind w:firstLine="480"/>
        <w:spacing w:line="360" w:lineRule="auto"/>
        <w:rPr>
          <w:rFonts w:hint="eastAsia" w:ascii="微软雅黑" w:hAnsi="微软雅黑" w:eastAsia="微软雅黑" w:cs="微软雅黑"/>
          <w:bCs/>
          <w:color w:val="auto"/>
          <w:sz w:val="24"/>
          <w:highlight w:val="none"/>
        </w:rPr>
        <w:outlineLvl w:val="9"/>
      </w:pPr>
      <w:r>
        <w:rPr>
          <w:rFonts w:hint="eastAsia" w:ascii="微软雅黑" w:hAnsi="微软雅黑" w:eastAsia="微软雅黑" w:cs="微软雅黑"/>
          <w:bCs/>
          <w:color w:val="auto"/>
          <w:sz w:val="24"/>
          <w:highlight w:val="none"/>
        </w:rPr>
        <w:t xml:space="preserve">4.4 交付产品应支持全信创化部署安装。</w:t>
      </w:r>
      <w:r>
        <w:rPr>
          <w:highlight w:val="none"/>
        </w:rPr>
      </w:r>
      <w:r>
        <w:rPr>
          <w:highlight w:val="none"/>
        </w:rPr>
      </w:r>
    </w:p>
    <w:p>
      <w:pPr>
        <w:ind w:firstLine="48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4.5 乙方产品对接院内信息系统应首选通过集成平台对接，如因乙方原因无法通过集成平台对接，需要通过应用系统厂家进行对接服务的，相关费用由乙方承担。</w:t>
      </w:r>
      <w:r>
        <w:rPr>
          <w:highlight w:val="none"/>
        </w:rPr>
      </w:r>
      <w:r>
        <w:rPr>
          <w:highlight w:val="none"/>
        </w:rPr>
      </w:r>
    </w:p>
    <w:p>
      <w:pPr>
        <w:ind w:firstLine="48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4.6乙方应派身体、心理健康、有经验和能力、具有相应资质的技术人员，负责产品的调试和安装。乙方人员应充分评估工作所具备的可能危害性，甲方不承担因工作造成的任何乙方技术人员意外伤害。</w:t>
      </w:r>
      <w:r>
        <w:rPr>
          <w:highlight w:val="none"/>
        </w:rPr>
      </w:r>
      <w:r>
        <w:rPr>
          <w:highlight w:val="none"/>
        </w:rPr>
      </w:r>
    </w:p>
    <w:p>
      <w:pPr>
        <w:ind w:firstLine="48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4.7 乙方技术人员要严格遵守甲方相关网络安全，施工规范要求，如</w:t>
      </w:r>
      <w:r>
        <w:rPr>
          <w:rFonts w:hint="eastAsia" w:ascii="微软雅黑" w:hAnsi="微软雅黑" w:cs="微软雅黑"/>
          <w:bCs/>
          <w:color w:val="auto"/>
          <w:sz w:val="24"/>
          <w:highlight w:val="none"/>
          <w:lang w:eastAsia="zh-CN"/>
        </w:rPr>
        <w:t xml:space="preserve">因此</w:t>
      </w:r>
      <w:r>
        <w:rPr>
          <w:rFonts w:hint="eastAsia" w:ascii="微软雅黑" w:hAnsi="微软雅黑" w:eastAsia="微软雅黑" w:cs="微软雅黑"/>
          <w:bCs/>
          <w:color w:val="auto"/>
          <w:sz w:val="24"/>
          <w:highlight w:val="none"/>
        </w:rPr>
        <w:t xml:space="preserve">而造成的甲方损失，均由乙方承担，且甲方有权解除合同、追回预付款且不承担任何责任。</w:t>
      </w:r>
      <w:r>
        <w:rPr>
          <w:highlight w:val="none"/>
        </w:rPr>
      </w:r>
      <w:r>
        <w:rPr>
          <w:highlight w:val="none"/>
        </w:rPr>
      </w:r>
    </w:p>
    <w:p>
      <w:pPr>
        <w:ind w:firstLine="48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lang w:val="en-US" w:eastAsia="zh-CN"/>
        </w:rPr>
        <w:t xml:space="preserve">4.8乙方需提供本项目信息技术应用创新部署所需的所有软件（包括但不限于操作系统、数据库、中间件、应用软件等）的终身永久授权及其终身技术支持服务。（认证费用和授权费用包含在投标报价中，需由投标人承担，被授权单位为甲方。</w:t>
      </w:r>
      <w:r>
        <w:rPr>
          <w:highlight w:val="none"/>
        </w:rPr>
      </w:r>
      <w:r>
        <w:rPr>
          <w:highlight w:val="none"/>
        </w:rPr>
      </w:r>
    </w:p>
    <w:p>
      <w:pPr>
        <w:pStyle w:val="1278"/>
        <w:rPr>
          <w:rFonts w:hint="eastAsia" w:ascii="微软雅黑" w:hAnsi="微软雅黑" w:eastAsia="微软雅黑" w:cs="微软雅黑"/>
          <w:bCs/>
          <w:color w:val="auto"/>
          <w:sz w:val="24"/>
          <w:szCs w:val="22"/>
          <w:highlight w:val="none"/>
        </w:rPr>
      </w:pPr>
      <w:r>
        <w:rPr>
          <w:rFonts w:hint="eastAsia" w:ascii="微软雅黑" w:hAnsi="微软雅黑" w:eastAsia="微软雅黑" w:cs="微软雅黑"/>
          <w:bCs/>
          <w:color w:val="auto"/>
          <w:sz w:val="24"/>
          <w:szCs w:val="22"/>
          <w:highlight w:val="none"/>
          <w:lang w:val="en-US" w:eastAsia="zh-CN" w:bidi="ar-SA"/>
        </w:rPr>
        <w:t xml:space="preserve">4.9 乙方须在项目正式上线投入使用前，完成全覆盖的安全漏洞扫描及渗透测试工作，并提交合规的检测报告。具体包含但不限于：Web应用安全测试、全流程业务逻辑安全测试、身份认证与权限控制安全测试、医疗业务数据安全测试、系统API接口安全测试等专项检测，全面排查系统存在的高危漏洞、逻辑缺陷、权限隐患、数据泄露风险、接口调用安全隐患等各类安全问题。</w:t>
      </w:r>
      <w:r>
        <w:rPr>
          <w:highlight w:val="none"/>
        </w:rPr>
      </w:r>
      <w:r>
        <w:rPr>
          <w:highlight w:val="none"/>
        </w:rPr>
      </w:r>
    </w:p>
    <w:p>
      <w:pPr>
        <w:pStyle w:val="1283"/>
        <w:ind w:left="0"/>
        <w:spacing w:after="0" w:line="360" w:lineRule="auto"/>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rPr>
      </w:r>
      <w:r>
        <w:rPr>
          <w:highlight w:val="none"/>
        </w:rPr>
      </w:r>
      <w:r>
        <w:rPr>
          <w:highlight w:val="none"/>
        </w:rPr>
      </w:r>
    </w:p>
    <w:p>
      <w:pPr>
        <w:pStyle w:val="926"/>
        <w:spacing w:before="0" w:after="0" w:line="360" w:lineRule="auto"/>
        <w:rPr>
          <w:rFonts w:hint="eastAsia" w:ascii="微软雅黑" w:hAnsi="微软雅黑" w:eastAsia="微软雅黑" w:cs="微软雅黑"/>
          <w:b/>
          <w:color w:val="auto"/>
          <w:highlight w:val="none"/>
        </w:rPr>
        <w:outlineLvl w:val="1"/>
      </w:pPr>
      <w:r>
        <w:rPr>
          <w:rFonts w:hint="eastAsia" w:ascii="微软雅黑" w:hAnsi="微软雅黑" w:eastAsia="微软雅黑" w:cs="微软雅黑"/>
          <w:b/>
          <w:color w:val="auto"/>
          <w:highlight w:val="none"/>
        </w:rPr>
        <w:t xml:space="preserve">第五条 技术、质量要求</w:t>
      </w:r>
      <w:r>
        <w:rPr>
          <w:highlight w:val="none"/>
        </w:rPr>
      </w:r>
      <w:r>
        <w:rPr>
          <w:highlight w:val="none"/>
        </w:rPr>
      </w:r>
    </w:p>
    <w:p>
      <w:pPr>
        <w:ind w:firstLine="48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5</w:t>
      </w:r>
      <w:r>
        <w:rPr>
          <w:rFonts w:hint="eastAsia" w:ascii="微软雅黑" w:hAnsi="微软雅黑" w:eastAsia="微软雅黑" w:cs="微软雅黑"/>
          <w:bCs/>
          <w:color w:val="auto"/>
          <w:sz w:val="24"/>
          <w:highlight w:val="none"/>
          <w:lang w:eastAsia="zh-Hans"/>
        </w:rPr>
        <w:t xml:space="preserve">.</w:t>
      </w:r>
      <w:r>
        <w:rPr>
          <w:rFonts w:hint="eastAsia" w:ascii="微软雅黑" w:hAnsi="微软雅黑" w:eastAsia="微软雅黑" w:cs="微软雅黑"/>
          <w:bCs/>
          <w:color w:val="auto"/>
          <w:sz w:val="24"/>
          <w:highlight w:val="none"/>
        </w:rPr>
        <w:t xml:space="preserve">1</w:t>
      </w:r>
      <w:r>
        <w:rPr>
          <w:rFonts w:hint="eastAsia" w:ascii="微软雅黑" w:hAnsi="微软雅黑" w:eastAsia="微软雅黑" w:cs="微软雅黑"/>
          <w:bCs/>
          <w:color w:val="auto"/>
          <w:sz w:val="24"/>
          <w:highlight w:val="none"/>
          <w:lang w:eastAsia="zh-Hans"/>
        </w:rPr>
        <w:t xml:space="preserve">产品的</w:t>
      </w:r>
      <w:r>
        <w:rPr>
          <w:rFonts w:hint="eastAsia" w:ascii="微软雅黑" w:hAnsi="微软雅黑" w:eastAsia="微软雅黑" w:cs="微软雅黑"/>
          <w:bCs/>
          <w:color w:val="auto"/>
          <w:sz w:val="24"/>
          <w:highlight w:val="none"/>
        </w:rPr>
        <w:t xml:space="preserve">维保期</w:t>
      </w:r>
      <w:r>
        <w:rPr>
          <w:rFonts w:hint="eastAsia" w:ascii="微软雅黑" w:hAnsi="微软雅黑" w:eastAsia="微软雅黑" w:cs="微软雅黑"/>
          <w:bCs/>
          <w:color w:val="auto"/>
          <w:sz w:val="24"/>
          <w:highlight w:val="none"/>
          <w:lang w:eastAsia="zh-Hans"/>
        </w:rPr>
        <w:t xml:space="preserve">（以验收合格日算起）</w:t>
      </w:r>
      <w:r>
        <w:rPr>
          <w:rFonts w:hint="eastAsia" w:ascii="微软雅黑" w:hAnsi="微软雅黑" w:eastAsia="微软雅黑" w:cs="微软雅黑"/>
          <w:bCs/>
          <w:color w:val="auto"/>
          <w:sz w:val="24"/>
          <w:highlight w:val="none"/>
          <w:u w:val="single"/>
        </w:rPr>
        <w:t xml:space="preserve">     </w:t>
      </w:r>
      <w:r>
        <w:rPr>
          <w:rFonts w:hint="eastAsia" w:ascii="微软雅黑" w:hAnsi="微软雅黑" w:eastAsia="微软雅黑" w:cs="微软雅黑"/>
          <w:bCs/>
          <w:color w:val="auto"/>
          <w:sz w:val="24"/>
          <w:highlight w:val="none"/>
          <w:lang w:eastAsia="zh-Hans"/>
        </w:rPr>
        <w:t xml:space="preserve"> 年，维保期内免费</w:t>
      </w:r>
      <w:r>
        <w:rPr>
          <w:rFonts w:hint="eastAsia" w:ascii="微软雅黑" w:hAnsi="微软雅黑" w:eastAsia="微软雅黑" w:cs="微软雅黑"/>
          <w:bCs/>
          <w:color w:val="auto"/>
          <w:sz w:val="24"/>
          <w:highlight w:val="none"/>
        </w:rPr>
        <w:t xml:space="preserve">维护</w:t>
      </w:r>
      <w:r>
        <w:rPr>
          <w:rFonts w:hint="eastAsia" w:ascii="微软雅黑" w:hAnsi="微软雅黑" w:eastAsia="微软雅黑" w:cs="微软雅黑"/>
          <w:bCs/>
          <w:color w:val="auto"/>
          <w:sz w:val="24"/>
          <w:highlight w:val="none"/>
          <w:lang w:eastAsia="zh-Hans"/>
        </w:rPr>
        <w:t xml:space="preserve">。</w:t>
      </w:r>
      <w:r>
        <w:rPr>
          <w:highlight w:val="none"/>
        </w:rPr>
      </w:r>
      <w:r>
        <w:rPr>
          <w:highlight w:val="none"/>
        </w:rPr>
      </w:r>
    </w:p>
    <w:p>
      <w:pPr>
        <w:ind w:firstLine="480"/>
        <w:spacing w:line="360" w:lineRule="auto"/>
        <w:rPr>
          <w:rFonts w:hint="eastAsia" w:ascii="微软雅黑" w:hAnsi="微软雅黑" w:eastAsia="微软雅黑" w:cs="微软雅黑"/>
          <w:bCs/>
          <w:color w:val="auto"/>
          <w:sz w:val="24"/>
          <w:highlight w:val="none"/>
        </w:rPr>
        <w:outlineLvl w:val="2"/>
      </w:pPr>
      <w:r>
        <w:rPr>
          <w:rFonts w:hint="eastAsia" w:ascii="微软雅黑" w:hAnsi="微软雅黑" w:eastAsia="微软雅黑" w:cs="微软雅黑"/>
          <w:bCs/>
          <w:color w:val="auto"/>
          <w:sz w:val="24"/>
          <w:highlight w:val="none"/>
          <w:lang w:eastAsia="zh-Hans"/>
        </w:rPr>
        <w:t xml:space="preserve">5.</w:t>
      </w:r>
      <w:r>
        <w:rPr>
          <w:rFonts w:hint="eastAsia" w:ascii="微软雅黑" w:hAnsi="微软雅黑" w:eastAsia="微软雅黑" w:cs="微软雅黑"/>
          <w:bCs/>
          <w:color w:val="auto"/>
          <w:sz w:val="24"/>
          <w:highlight w:val="none"/>
        </w:rPr>
        <w:t xml:space="preserve">2</w:t>
      </w:r>
      <w:r>
        <w:rPr>
          <w:rFonts w:hint="eastAsia" w:ascii="微软雅黑" w:hAnsi="微软雅黑" w:eastAsia="微软雅黑" w:cs="微软雅黑"/>
          <w:bCs/>
          <w:color w:val="auto"/>
          <w:sz w:val="24"/>
          <w:highlight w:val="none"/>
          <w:lang w:eastAsia="zh-Hans"/>
        </w:rPr>
        <w:t xml:space="preserve">服务响应时间：</w:t>
      </w:r>
      <w:r>
        <w:rPr>
          <w:rFonts w:hint="eastAsia" w:ascii="微软雅黑" w:hAnsi="微软雅黑" w:eastAsia="微软雅黑" w:cs="微软雅黑"/>
          <w:bCs/>
          <w:color w:val="auto"/>
          <w:sz w:val="24"/>
          <w:highlight w:val="none"/>
          <w:u w:val="single"/>
        </w:rPr>
        <w:t xml:space="preserve">    </w:t>
      </w:r>
      <w:r>
        <w:rPr>
          <w:rFonts w:hint="eastAsia" w:ascii="微软雅黑" w:hAnsi="微软雅黑" w:eastAsia="微软雅黑" w:cs="微软雅黑"/>
          <w:bCs/>
          <w:color w:val="auto"/>
          <w:sz w:val="24"/>
          <w:highlight w:val="none"/>
          <w:lang w:eastAsia="zh-Hans"/>
        </w:rPr>
        <w:t xml:space="preserve">小时</w:t>
      </w:r>
      <w:r>
        <w:rPr>
          <w:highlight w:val="none"/>
        </w:rPr>
      </w:r>
      <w:r>
        <w:rPr>
          <w:highlight w:val="none"/>
        </w:rPr>
      </w:r>
    </w:p>
    <w:p>
      <w:pPr>
        <w:ind w:firstLine="480"/>
        <w:spacing w:line="360" w:lineRule="auto"/>
        <w:rPr>
          <w:rFonts w:hint="eastAsia" w:ascii="微软雅黑" w:hAnsi="微软雅黑" w:eastAsia="微软雅黑" w:cs="微软雅黑"/>
          <w:i/>
          <w:iCs/>
          <w:color w:val="auto"/>
          <w:sz w:val="24"/>
          <w:highlight w:val="none"/>
        </w:rPr>
      </w:pPr>
      <w:r>
        <w:rPr>
          <w:rFonts w:hint="eastAsia" w:ascii="微软雅黑" w:hAnsi="微软雅黑" w:eastAsia="微软雅黑" w:cs="微软雅黑"/>
          <w:bCs/>
          <w:color w:val="auto"/>
          <w:sz w:val="24"/>
          <w:highlight w:val="none"/>
        </w:rPr>
        <w:t xml:space="preserve">5.3项目实施期间，乙方应派驻资深（在本公司3年以上）项目经理1名，且有三甲医院独立现场实施经验；软件开发工程师不少于</w:t>
      </w:r>
      <w:r>
        <w:rPr>
          <w:rFonts w:hint="eastAsia" w:ascii="微软雅黑" w:hAnsi="微软雅黑" w:eastAsia="微软雅黑" w:cs="微软雅黑"/>
          <w:bCs/>
          <w:color w:val="auto"/>
          <w:sz w:val="24"/>
          <w:highlight w:val="none"/>
          <w:u w:val="single"/>
        </w:rPr>
        <w:t xml:space="preserve">   </w:t>
      </w:r>
      <w:r>
        <w:rPr>
          <w:rFonts w:hint="eastAsia" w:ascii="微软雅黑" w:hAnsi="微软雅黑" w:eastAsia="微软雅黑" w:cs="微软雅黑"/>
          <w:bCs/>
          <w:color w:val="auto"/>
          <w:sz w:val="24"/>
          <w:highlight w:val="none"/>
        </w:rPr>
        <w:t xml:space="preserve">名驻场工程师。</w:t>
      </w:r>
      <w:r>
        <w:rPr>
          <w:highlight w:val="none"/>
        </w:rPr>
      </w:r>
      <w:r>
        <w:rPr>
          <w:highlight w:val="none"/>
        </w:rPr>
      </w:r>
    </w:p>
    <w:p>
      <w:pPr>
        <w:pStyle w:val="1099"/>
        <w:ind w:firstLine="480"/>
        <w:spacing w:after="0"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5.4免费维护期结束后，每年的维护费用为本合同总额的</w:t>
      </w:r>
      <w:r>
        <w:rPr>
          <w:rFonts w:hint="eastAsia" w:ascii="微软雅黑" w:hAnsi="微软雅黑" w:eastAsia="微软雅黑" w:cs="微软雅黑"/>
          <w:bCs/>
          <w:color w:val="auto"/>
          <w:sz w:val="24"/>
          <w:highlight w:val="none"/>
          <w:u w:val="single"/>
        </w:rPr>
        <w:t xml:space="preserve">      </w:t>
      </w:r>
      <w:r>
        <w:rPr>
          <w:rFonts w:hint="eastAsia" w:ascii="微软雅黑" w:hAnsi="微软雅黑" w:eastAsia="微软雅黑" w:cs="微软雅黑"/>
          <w:bCs/>
          <w:color w:val="auto"/>
          <w:sz w:val="24"/>
          <w:highlight w:val="none"/>
        </w:rPr>
        <w:t xml:space="preserve">%。</w:t>
      </w:r>
      <w:r>
        <w:rPr>
          <w:highlight w:val="none"/>
        </w:rPr>
      </w:r>
      <w:r>
        <w:rPr>
          <w:highlight w:val="none"/>
        </w:rPr>
      </w:r>
    </w:p>
    <w:p>
      <w:pPr>
        <w:pStyle w:val="926"/>
        <w:spacing w:before="0" w:after="0" w:line="360" w:lineRule="auto"/>
        <w:rPr>
          <w:rFonts w:hint="eastAsia" w:ascii="微软雅黑" w:hAnsi="微软雅黑" w:eastAsia="微软雅黑" w:cs="微软雅黑"/>
          <w:b/>
          <w:color w:val="auto"/>
          <w:highlight w:val="none"/>
        </w:rPr>
        <w:outlineLvl w:val="1"/>
      </w:pPr>
      <w:r>
        <w:rPr>
          <w:rFonts w:hint="eastAsia" w:ascii="微软雅黑" w:hAnsi="微软雅黑" w:eastAsia="微软雅黑" w:cs="微软雅黑"/>
          <w:b/>
          <w:color w:val="auto"/>
          <w:highlight w:val="none"/>
        </w:rPr>
        <w:t xml:space="preserve">第六条 实施、验收及技术文档</w:t>
      </w:r>
      <w:r>
        <w:rPr>
          <w:highlight w:val="none"/>
        </w:rPr>
      </w:r>
      <w:r>
        <w:rPr>
          <w:highlight w:val="none"/>
        </w:rPr>
      </w:r>
    </w:p>
    <w:p>
      <w:pPr>
        <w:pStyle w:val="916"/>
        <w:ind w:firstLine="48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6.1</w:t>
      </w:r>
      <w:bookmarkStart w:id="248" w:name="OLE_LINK10"/>
      <w:r>
        <w:rPr>
          <w:rFonts w:hint="eastAsia" w:ascii="微软雅黑" w:hAnsi="微软雅黑" w:eastAsia="微软雅黑" w:cs="微软雅黑"/>
          <w:bCs/>
          <w:color w:val="auto"/>
          <w:sz w:val="24"/>
          <w:highlight w:val="none"/>
        </w:rPr>
        <w:t xml:space="preserve">在项目安装、调试、上线、客户化修改等</w:t>
      </w:r>
      <w:bookmarkStart w:id="249" w:name="OLE_LINK6"/>
      <w:r>
        <w:rPr>
          <w:rFonts w:hint="eastAsia" w:ascii="微软雅黑" w:hAnsi="微软雅黑" w:eastAsia="微软雅黑" w:cs="微软雅黑"/>
          <w:bCs/>
          <w:color w:val="auto"/>
          <w:sz w:val="24"/>
          <w:highlight w:val="none"/>
        </w:rPr>
        <w:t xml:space="preserve">实施</w:t>
      </w:r>
      <w:bookmarkEnd w:id="249"/>
      <w:r>
        <w:rPr>
          <w:rFonts w:hint="eastAsia" w:ascii="微软雅黑" w:hAnsi="微软雅黑" w:eastAsia="微软雅黑" w:cs="微软雅黑"/>
          <w:bCs/>
          <w:color w:val="auto"/>
          <w:sz w:val="24"/>
          <w:highlight w:val="none"/>
        </w:rPr>
        <w:t xml:space="preserve">结束后，甲乙双方确认系</w:t>
      </w:r>
      <w:bookmarkStart w:id="250" w:name="OLE_LINK15"/>
      <w:r>
        <w:rPr>
          <w:rFonts w:hint="eastAsia" w:ascii="微软雅黑" w:hAnsi="微软雅黑" w:eastAsia="微软雅黑" w:cs="微软雅黑"/>
          <w:bCs/>
          <w:color w:val="auto"/>
          <w:sz w:val="24"/>
          <w:highlight w:val="none"/>
        </w:rPr>
        <w:t xml:space="preserve">统运行</w:t>
      </w:r>
      <w:bookmarkEnd w:id="250"/>
      <w:r>
        <w:rPr>
          <w:rFonts w:hint="eastAsia" w:ascii="微软雅黑" w:hAnsi="微软雅黑" w:eastAsia="微软雅黑" w:cs="微软雅黑"/>
          <w:bCs/>
          <w:color w:val="auto"/>
          <w:sz w:val="24"/>
          <w:highlight w:val="none"/>
        </w:rPr>
        <w:t xml:space="preserve">正常并完成各功能要</w:t>
      </w:r>
      <w:bookmarkEnd w:id="248"/>
      <w:r>
        <w:rPr>
          <w:rFonts w:hint="eastAsia" w:ascii="微软雅黑" w:hAnsi="微软雅黑" w:eastAsia="微软雅黑" w:cs="微软雅黑"/>
          <w:bCs/>
          <w:color w:val="auto"/>
          <w:sz w:val="24"/>
          <w:highlight w:val="none"/>
        </w:rPr>
        <w:t xml:space="preserve">求后，由乙方提出申请，甲方的归口管理部门组织相关科室部门与乙方进行交付验收，并出具验收报告。</w:t>
      </w:r>
      <w:bookmarkStart w:id="251" w:name="OLE_LINK1"/>
      <w:r>
        <w:rPr>
          <w:rFonts w:hint="eastAsia" w:ascii="微软雅黑" w:hAnsi="微软雅黑" w:eastAsia="微软雅黑" w:cs="微软雅黑"/>
          <w:bCs/>
          <w:color w:val="auto"/>
          <w:sz w:val="24"/>
          <w:highlight w:val="none"/>
        </w:rPr>
        <w:t xml:space="preserve">需要安装的平台，由乙方负责安装和调试工作</w:t>
      </w:r>
      <w:bookmarkEnd w:id="251"/>
      <w:r>
        <w:rPr>
          <w:rFonts w:hint="eastAsia" w:ascii="微软雅黑" w:hAnsi="微软雅黑" w:eastAsia="微软雅黑" w:cs="微软雅黑"/>
          <w:bCs/>
          <w:color w:val="auto"/>
          <w:sz w:val="24"/>
          <w:highlight w:val="none"/>
        </w:rPr>
        <w:t xml:space="preserve">。</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6.2验收标准：（1）乙方应根据甲方验收部门的要求提供必要的技术资料：包括但不限于《数据库表结构说明文档》、《软件功能技术文档》、《软件功能操作手册》、《数据交换接口技术文档》、《数据库服务器地址配置清单及密码》等文档资料。（2）系统正常运行后由甲方归口管理部门组织相关科室、部门会同乙方共同验收。</w:t>
      </w:r>
      <w:r>
        <w:rPr>
          <w:highlight w:val="none"/>
        </w:rPr>
      </w:r>
      <w:r>
        <w:rPr>
          <w:highlight w:val="none"/>
        </w:rPr>
      </w:r>
    </w:p>
    <w:p>
      <w:pPr>
        <w:pStyle w:val="916"/>
        <w:spacing w:line="360" w:lineRule="auto"/>
        <w:rPr>
          <w:rFonts w:hint="eastAsia" w:ascii="微软雅黑" w:hAnsi="微软雅黑" w:eastAsia="微软雅黑" w:cs="微软雅黑"/>
          <w:b/>
          <w:color w:val="auto"/>
          <w:sz w:val="24"/>
          <w:highlight w:val="none"/>
        </w:rPr>
        <w:outlineLvl w:val="1"/>
      </w:pPr>
      <w:r>
        <w:rPr>
          <w:rFonts w:hint="eastAsia" w:ascii="微软雅黑" w:hAnsi="微软雅黑" w:eastAsia="微软雅黑" w:cs="微软雅黑"/>
          <w:b/>
          <w:color w:val="auto"/>
          <w:sz w:val="24"/>
          <w:highlight w:val="none"/>
        </w:rPr>
        <w:t xml:space="preserve">第七条 售后服务</w:t>
      </w:r>
      <w:r>
        <w:rPr>
          <w:highlight w:val="none"/>
        </w:rPr>
      </w:r>
      <w:r>
        <w:rPr>
          <w:highlight w:val="none"/>
        </w:rPr>
      </w:r>
    </w:p>
    <w:p>
      <w:pPr>
        <w:pStyle w:val="916"/>
        <w:spacing w:line="360" w:lineRule="auto"/>
        <w:rPr>
          <w:rFonts w:hint="eastAsia" w:ascii="微软雅黑" w:hAnsi="微软雅黑" w:eastAsia="微软雅黑" w:cs="微软雅黑"/>
          <w:color w:val="auto"/>
          <w:sz w:val="24"/>
          <w:highlight w:val="none"/>
        </w:rPr>
      </w:pPr>
      <w:r>
        <w:rPr>
          <w:rFonts w:hint="eastAsia" w:ascii="微软雅黑" w:hAnsi="微软雅黑" w:eastAsia="微软雅黑" w:cs="微软雅黑"/>
          <w:bCs/>
          <w:i/>
          <w:iCs/>
          <w:color w:val="auto"/>
          <w:sz w:val="24"/>
          <w:highlight w:val="none"/>
        </w:rPr>
        <w:t xml:space="preserve"> </w:t>
      </w:r>
      <w:r>
        <w:rPr>
          <w:rFonts w:hint="eastAsia" w:ascii="微软雅黑" w:hAnsi="微软雅黑" w:eastAsia="微软雅黑" w:cs="微软雅黑"/>
          <w:bCs/>
          <w:color w:val="auto"/>
          <w:sz w:val="24"/>
          <w:highlight w:val="none"/>
        </w:rPr>
        <w:t xml:space="preserve">   7.1 乙方</w:t>
      </w:r>
      <w:r>
        <w:rPr>
          <w:rFonts w:hint="eastAsia" w:ascii="微软雅黑" w:hAnsi="微软雅黑" w:eastAsia="微软雅黑" w:cs="微软雅黑"/>
          <w:color w:val="auto"/>
          <w:sz w:val="24"/>
          <w:highlight w:val="none"/>
        </w:rPr>
        <w:t xml:space="preserve">应提供自验收合格后不少于</w:t>
      </w:r>
      <w:r>
        <w:rPr>
          <w:rFonts w:hint="eastAsia" w:ascii="微软雅黑" w:hAnsi="微软雅黑" w:eastAsia="微软雅黑" w:cs="微软雅黑"/>
          <w:color w:val="auto"/>
          <w:sz w:val="24"/>
          <w:highlight w:val="none"/>
          <w:u w:val="single"/>
        </w:rPr>
        <w:t xml:space="preserve">    </w:t>
      </w:r>
      <w:r>
        <w:rPr>
          <w:rFonts w:hint="eastAsia" w:ascii="微软雅黑" w:hAnsi="微软雅黑" w:eastAsia="微软雅黑" w:cs="微软雅黑"/>
          <w:color w:val="auto"/>
          <w:sz w:val="24"/>
          <w:highlight w:val="none"/>
        </w:rPr>
        <w:t xml:space="preserve">年免费维护,所有软件产品的免费维保期自本项目终验合格书签订之日起开始计算。免费维保期内应定期对系统进行巡检，保证系统在最优化的状态下稳定运行。</w:t>
      </w:r>
      <w:r>
        <w:rPr>
          <w:highlight w:val="none"/>
        </w:rPr>
      </w:r>
      <w:r>
        <w:rPr>
          <w:highlight w:val="none"/>
        </w:rPr>
      </w:r>
    </w:p>
    <w:p>
      <w:pPr>
        <w:pStyle w:val="1239"/>
        <w:contextualSpacing/>
        <w:ind w:left="0" w:firstLine="480"/>
        <w:jc w:val="left"/>
        <w:spacing w:line="360" w:lineRule="auto"/>
        <w:widowControl/>
        <w:rPr>
          <w:rFonts w:hint="eastAsia" w:ascii="微软雅黑" w:hAnsi="微软雅黑" w:eastAsia="微软雅黑" w:cs="微软雅黑"/>
          <w:color w:val="auto"/>
          <w:sz w:val="24"/>
          <w:highlight w:val="none"/>
        </w:rPr>
      </w:pPr>
      <w:r>
        <w:rPr>
          <w:rFonts w:hint="eastAsia" w:ascii="微软雅黑" w:hAnsi="微软雅黑" w:eastAsia="微软雅黑" w:cs="微软雅黑"/>
          <w:color w:val="auto"/>
          <w:sz w:val="24"/>
          <w:highlight w:val="none"/>
        </w:rPr>
        <w:t xml:space="preserve">7.2 售后服务期间的所有软件维护、软件升级等所产生的费用均由乙方承担。</w:t>
      </w:r>
      <w:r>
        <w:rPr>
          <w:highlight w:val="none"/>
        </w:rPr>
      </w:r>
      <w:r>
        <w:rPr>
          <w:highlight w:val="none"/>
        </w:rPr>
      </w:r>
    </w:p>
    <w:p>
      <w:pPr>
        <w:pStyle w:val="916"/>
        <w:ind w:firstLine="480"/>
        <w:spacing w:line="360" w:lineRule="auto"/>
        <w:rPr>
          <w:rFonts w:hint="eastAsia" w:ascii="微软雅黑" w:hAnsi="微软雅黑" w:eastAsia="微软雅黑" w:cs="微软雅黑"/>
          <w:color w:val="auto"/>
          <w:sz w:val="24"/>
          <w:highlight w:val="none"/>
        </w:rPr>
      </w:pPr>
      <w:r>
        <w:rPr>
          <w:rFonts w:hint="eastAsia" w:ascii="微软雅黑" w:hAnsi="微软雅黑" w:eastAsia="微软雅黑" w:cs="微软雅黑"/>
          <w:color w:val="auto"/>
          <w:sz w:val="24"/>
          <w:highlight w:val="none"/>
        </w:rPr>
        <w:t xml:space="preserve">7.3 因卫生主管部门管理要求，原有政策的文书格式、内容、要求变动的，乙方应及时安排技术力量进行系统升级调整，保障我院系统及时完成调整。</w:t>
      </w:r>
      <w:r>
        <w:rPr>
          <w:highlight w:val="none"/>
        </w:rPr>
      </w:r>
      <w:r>
        <w:rPr>
          <w:highlight w:val="none"/>
        </w:rPr>
      </w:r>
    </w:p>
    <w:p>
      <w:pPr>
        <w:ind w:firstLine="420"/>
        <w:spacing w:line="360" w:lineRule="auto"/>
        <w:rPr>
          <w:rFonts w:hint="eastAsia" w:ascii="微软雅黑" w:hAnsi="微软雅黑" w:eastAsia="微软雅黑" w:cs="微软雅黑"/>
          <w:color w:val="auto"/>
          <w:sz w:val="24"/>
          <w:highlight w:val="none"/>
        </w:rPr>
        <w:outlineLvl w:val="2"/>
      </w:pPr>
      <w:r>
        <w:rPr>
          <w:rFonts w:hint="eastAsia" w:ascii="微软雅黑" w:hAnsi="微软雅黑" w:eastAsia="微软雅黑" w:cs="微软雅黑"/>
          <w:color w:val="auto"/>
          <w:sz w:val="24"/>
          <w:highlight w:val="none"/>
        </w:rPr>
        <w:t xml:space="preserve">7.4 售后质量考核</w:t>
      </w:r>
      <w:r>
        <w:rPr>
          <w:highlight w:val="none"/>
        </w:rPr>
      </w:r>
      <w:r>
        <w:rPr>
          <w:highlight w:val="none"/>
        </w:rPr>
      </w:r>
    </w:p>
    <w:p>
      <w:pPr>
        <w:ind w:firstLine="720"/>
        <w:spacing w:line="360" w:lineRule="auto"/>
        <w:rPr>
          <w:rFonts w:hint="eastAsia" w:ascii="微软雅黑" w:hAnsi="微软雅黑" w:eastAsia="微软雅黑" w:cs="微软雅黑"/>
          <w:color w:val="auto"/>
          <w:sz w:val="24"/>
          <w:highlight w:val="none"/>
        </w:rPr>
      </w:pPr>
      <w:r>
        <w:rPr>
          <w:rFonts w:hint="eastAsia" w:ascii="微软雅黑" w:hAnsi="微软雅黑" w:eastAsia="微软雅黑" w:cs="微软雅黑"/>
          <w:color w:val="auto"/>
          <w:sz w:val="24"/>
          <w:highlight w:val="none"/>
        </w:rPr>
        <w:t xml:space="preserve">7.4.1 甲方反馈问题后，乙方超过2小时未响应则扣项目尾款500元；</w:t>
      </w:r>
      <w:r>
        <w:rPr>
          <w:highlight w:val="none"/>
        </w:rPr>
      </w:r>
      <w:r>
        <w:rPr>
          <w:highlight w:val="none"/>
        </w:rPr>
      </w:r>
    </w:p>
    <w:p>
      <w:pPr>
        <w:ind w:firstLine="720"/>
        <w:spacing w:line="360" w:lineRule="auto"/>
        <w:rPr>
          <w:rFonts w:hint="eastAsia" w:ascii="微软雅黑" w:hAnsi="微软雅黑" w:eastAsia="微软雅黑" w:cs="微软雅黑"/>
          <w:color w:val="auto"/>
          <w:sz w:val="24"/>
          <w:highlight w:val="none"/>
        </w:rPr>
      </w:pPr>
      <w:r>
        <w:rPr>
          <w:rFonts w:hint="eastAsia" w:ascii="微软雅黑" w:hAnsi="微软雅黑" w:eastAsia="微软雅黑" w:cs="微软雅黑"/>
          <w:color w:val="auto"/>
          <w:sz w:val="24"/>
          <w:highlight w:val="none"/>
        </w:rPr>
        <w:t xml:space="preserve">7.4.2 针对全院级故障（非网络、服务器、存储），乙方在接到甲方通知后超过1小时未解决的扣尾款5000 元；</w:t>
      </w:r>
      <w:r>
        <w:rPr>
          <w:highlight w:val="none"/>
        </w:rPr>
      </w:r>
      <w:r>
        <w:rPr>
          <w:highlight w:val="none"/>
        </w:rPr>
      </w:r>
    </w:p>
    <w:p>
      <w:pPr>
        <w:ind w:firstLine="720"/>
        <w:spacing w:line="360" w:lineRule="auto"/>
        <w:rPr>
          <w:rFonts w:hint="eastAsia" w:ascii="微软雅黑" w:hAnsi="微软雅黑" w:eastAsia="微软雅黑" w:cs="微软雅黑"/>
          <w:color w:val="auto"/>
          <w:sz w:val="24"/>
          <w:highlight w:val="none"/>
        </w:rPr>
      </w:pPr>
      <w:r>
        <w:rPr>
          <w:rFonts w:hint="eastAsia" w:ascii="微软雅黑" w:hAnsi="微软雅黑" w:eastAsia="微软雅黑" w:cs="微软雅黑"/>
          <w:color w:val="auto"/>
          <w:sz w:val="24"/>
          <w:highlight w:val="none"/>
        </w:rPr>
        <w:t xml:space="preserve">7.4.3 针对部门级故障（非网络、服务器、存储），乙方在接到甲方通知后超过1小时未解决扣尾款500元。</w:t>
      </w:r>
      <w:r>
        <w:rPr>
          <w:highlight w:val="none"/>
        </w:rPr>
      </w:r>
      <w:r>
        <w:rPr>
          <w:highlight w:val="none"/>
        </w:rPr>
      </w:r>
    </w:p>
    <w:p>
      <w:pPr>
        <w:ind w:firstLine="720"/>
        <w:spacing w:line="360" w:lineRule="auto"/>
        <w:rPr>
          <w:rFonts w:hint="eastAsia" w:ascii="微软雅黑" w:hAnsi="微软雅黑" w:eastAsia="微软雅黑" w:cs="微软雅黑"/>
          <w:color w:val="auto"/>
          <w:sz w:val="24"/>
          <w:highlight w:val="none"/>
        </w:rPr>
      </w:pPr>
      <w:r>
        <w:rPr>
          <w:rFonts w:hint="eastAsia" w:ascii="微软雅黑" w:hAnsi="微软雅黑" w:eastAsia="微软雅黑" w:cs="微软雅黑"/>
          <w:color w:val="auto"/>
          <w:sz w:val="24"/>
          <w:highlight w:val="none"/>
        </w:rPr>
        <w:t xml:space="preserve">7.4.4乙方在接到甲方提出的软件完善需求后，应积极主动配合甲方进行需求确认与需求实现。如果需求是按照主管部门要求提出的，并且限时整改，必须在截止日期前实现需求，超期一次扣尾款5000元。常规甲方提出的完善需求应在接到通知后7个工作日内完成，超期一次扣尾款1000元。</w:t>
      </w:r>
      <w:r>
        <w:rPr>
          <w:highlight w:val="none"/>
        </w:rPr>
      </w:r>
      <w:r>
        <w:rPr>
          <w:highlight w:val="none"/>
        </w:rPr>
      </w:r>
    </w:p>
    <w:p>
      <w:pPr>
        <w:pStyle w:val="1099"/>
        <w:spacing w:after="0" w:line="360" w:lineRule="auto"/>
        <w:rPr>
          <w:rFonts w:hint="eastAsia" w:ascii="微软雅黑" w:hAnsi="微软雅黑" w:eastAsia="微软雅黑" w:cs="微软雅黑"/>
          <w:color w:val="auto"/>
          <w:sz w:val="24"/>
          <w:highlight w:val="none"/>
        </w:rPr>
      </w:pPr>
      <w:r>
        <w:rPr>
          <w:rFonts w:hint="eastAsia" w:ascii="微软雅黑" w:hAnsi="微软雅黑" w:eastAsia="微软雅黑" w:cs="微软雅黑"/>
          <w:color w:val="auto"/>
          <w:sz w:val="24"/>
          <w:highlight w:val="none"/>
        </w:rPr>
        <w:t xml:space="preserve">      7.4.5 乙方驻场售后服务人员应按照甲方作息时间开展工作，迟到、早退1次扣尾款500元，无故缺席1次扣尾款1000元。</w:t>
      </w:r>
      <w:r>
        <w:rPr>
          <w:highlight w:val="none"/>
        </w:rPr>
      </w:r>
      <w:r>
        <w:rPr>
          <w:highlight w:val="none"/>
        </w:rPr>
      </w:r>
    </w:p>
    <w:p>
      <w:pPr>
        <w:ind w:firstLine="480"/>
        <w:spacing w:line="360" w:lineRule="auto"/>
        <w:rPr>
          <w:rFonts w:hint="eastAsia" w:ascii="微软雅黑" w:hAnsi="微软雅黑" w:eastAsia="微软雅黑" w:cs="微软雅黑"/>
          <w:bCs/>
          <w:color w:val="auto"/>
          <w:sz w:val="24"/>
          <w:szCs w:val="20"/>
          <w:highlight w:val="none"/>
        </w:rPr>
      </w:pPr>
      <w:r>
        <w:rPr>
          <w:rFonts w:hint="eastAsia" w:ascii="微软雅黑" w:hAnsi="微软雅黑" w:eastAsia="微软雅黑" w:cs="微软雅黑"/>
          <w:color w:val="auto"/>
          <w:sz w:val="24"/>
          <w:highlight w:val="none"/>
          <w:lang w:val="en-US" w:eastAsia="zh-CN"/>
        </w:rPr>
        <w:t xml:space="preserve">  </w:t>
      </w:r>
      <w:r>
        <w:rPr>
          <w:rFonts w:hint="eastAsia" w:ascii="微软雅黑" w:hAnsi="微软雅黑" w:eastAsia="微软雅黑" w:cs="微软雅黑"/>
          <w:bCs/>
          <w:color w:val="auto"/>
          <w:sz w:val="24"/>
          <w:szCs w:val="20"/>
          <w:highlight w:val="none"/>
          <w:lang w:val="en-US" w:eastAsia="zh-CN"/>
        </w:rPr>
        <w:t xml:space="preserve">7.4.6  乙方应做好安全补丁和防渗透攻击工作，因乙方原因造成当前系统被上级网络安全主管部门通报，每发生一次扣款1000元，如未能按期完成通报内容整改，超期一次扣款5000元。</w:t>
      </w:r>
      <w:r>
        <w:rPr>
          <w:highlight w:val="none"/>
        </w:rPr>
      </w:r>
      <w:r>
        <w:rPr>
          <w:highlight w:val="none"/>
        </w:rPr>
      </w:r>
    </w:p>
    <w:p>
      <w:pPr>
        <w:ind w:firstLine="420"/>
        <w:spacing w:line="360" w:lineRule="auto"/>
        <w:rPr>
          <w:rFonts w:hint="eastAsia" w:ascii="微软雅黑" w:hAnsi="微软雅黑" w:eastAsia="微软雅黑" w:cs="微软雅黑"/>
          <w:color w:val="auto"/>
          <w:sz w:val="24"/>
          <w:highlight w:val="none"/>
        </w:rPr>
      </w:pPr>
      <w:r>
        <w:rPr>
          <w:rFonts w:hint="eastAsia" w:ascii="微软雅黑" w:hAnsi="微软雅黑" w:eastAsia="微软雅黑" w:cs="微软雅黑"/>
          <w:color w:val="auto"/>
          <w:sz w:val="24"/>
          <w:highlight w:val="none"/>
        </w:rPr>
        <w:t xml:space="preserve">以上均按问题发生次数计算，尾款扣完为止。</w:t>
      </w:r>
      <w:r>
        <w:rPr>
          <w:highlight w:val="none"/>
        </w:rPr>
      </w:r>
      <w:r>
        <w:rPr>
          <w:highlight w:val="none"/>
        </w:rPr>
      </w:r>
    </w:p>
    <w:p>
      <w:pPr>
        <w:pStyle w:val="926"/>
        <w:spacing w:before="0" w:after="0" w:line="360" w:lineRule="auto"/>
        <w:rPr>
          <w:rFonts w:hint="eastAsia" w:ascii="微软雅黑" w:hAnsi="微软雅黑" w:eastAsia="微软雅黑" w:cs="微软雅黑"/>
          <w:b/>
          <w:color w:val="auto"/>
          <w:highlight w:val="none"/>
        </w:rPr>
        <w:outlineLvl w:val="1"/>
      </w:pPr>
      <w:r>
        <w:rPr>
          <w:rFonts w:hint="eastAsia" w:ascii="微软雅黑" w:hAnsi="微软雅黑" w:eastAsia="微软雅黑" w:cs="微软雅黑"/>
          <w:b/>
          <w:color w:val="auto"/>
          <w:highlight w:val="none"/>
        </w:rPr>
        <w:t xml:space="preserve">第八条 权利和义务</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rPr>
        <w:outlineLvl w:val="2"/>
      </w:pPr>
      <w:r>
        <w:rPr>
          <w:rFonts w:hint="eastAsia" w:ascii="微软雅黑" w:hAnsi="微软雅黑" w:eastAsia="微软雅黑" w:cs="微软雅黑"/>
          <w:bCs/>
          <w:color w:val="auto"/>
          <w:sz w:val="24"/>
          <w:highlight w:val="none"/>
        </w:rPr>
        <w:t xml:space="preserve">8.1甲方权利义务</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8.1.1甲方有按照本合同约定按时支付给乙方服务费的义务。</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8.1.2甲方有义务协调组织系统的验收。</w:t>
      </w:r>
      <w:r>
        <w:rPr>
          <w:highlight w:val="none"/>
        </w:rPr>
      </w:r>
      <w:r>
        <w:rPr>
          <w:highlight w:val="none"/>
        </w:rPr>
      </w:r>
    </w:p>
    <w:p>
      <w:pPr>
        <w:pStyle w:val="1282"/>
        <w:spacing w:line="360" w:lineRule="auto"/>
        <w:rPr>
          <w:rFonts w:hint="eastAsia" w:ascii="微软雅黑" w:hAnsi="微软雅黑" w:eastAsia="微软雅黑" w:cs="微软雅黑"/>
          <w:color w:val="auto"/>
          <w:highlight w:val="none"/>
        </w:rPr>
      </w:pPr>
      <w:r>
        <w:rPr>
          <w:rFonts w:hint="eastAsia" w:ascii="微软雅黑" w:hAnsi="微软雅黑" w:eastAsia="微软雅黑" w:cs="微软雅黑"/>
          <w:bCs/>
          <w:color w:val="auto"/>
          <w:sz w:val="24"/>
          <w:highlight w:val="none"/>
        </w:rPr>
        <w:t xml:space="preserve">    8.1.3 在本项目验收前，甲方有</w:t>
      </w:r>
      <w:r>
        <w:rPr>
          <w:rFonts w:hint="eastAsia" w:ascii="微软雅黑" w:hAnsi="微软雅黑" w:cs="微软雅黑"/>
          <w:bCs/>
          <w:color w:val="auto"/>
          <w:sz w:val="24"/>
          <w:highlight w:val="none"/>
          <w:lang w:eastAsia="zh-CN"/>
        </w:rPr>
        <w:t xml:space="preserve">权利</w:t>
      </w:r>
      <w:r>
        <w:rPr>
          <w:rFonts w:hint="eastAsia" w:ascii="微软雅黑" w:hAnsi="微软雅黑" w:eastAsia="微软雅黑" w:cs="微软雅黑"/>
          <w:bCs/>
          <w:color w:val="auto"/>
          <w:sz w:val="24"/>
          <w:highlight w:val="none"/>
        </w:rPr>
        <w:t xml:space="preserve">按照合同协议内容要求乙方进行全部功能、技术、服务的提供，如核查发现乙方无法提供协议约定的内容，可以通过书面的形式通知乙方；如乙方在收到通知后30个工作日仍无法满足，则甲方有权利终止合同，并要求乙方返还全部预付款。</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rPr>
        <w:outlineLvl w:val="2"/>
      </w:pPr>
      <w:r>
        <w:rPr>
          <w:rFonts w:hint="eastAsia" w:ascii="微软雅黑" w:hAnsi="微软雅黑" w:eastAsia="微软雅黑" w:cs="微软雅黑"/>
          <w:bCs/>
          <w:color w:val="auto"/>
          <w:sz w:val="24"/>
          <w:highlight w:val="none"/>
        </w:rPr>
        <w:t xml:space="preserve">8.2 乙方权利义务</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8.2.1乙方应按甲方提出的交付期限要求，根据国家标准和有关规定，组织开发，做到保质保量，不得无故拖延。</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8.2.2乙方交付的产品应符合国家相关规定等法律法规，产品质量合格，无任何知识产权争议问题，人员进入现场后，应服从甲方指定人员合理的统一指挥调度，积极配合甲方，提供优质服务。</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8.2.3因服务质量问题或未在规定时间内实现产品上线运行导致</w:t>
      </w:r>
      <w:r>
        <w:rPr>
          <w:rFonts w:hint="eastAsia" w:ascii="微软雅黑" w:hAnsi="微软雅黑" w:eastAsia="微软雅黑" w:cs="微软雅黑"/>
          <w:bCs/>
          <w:color w:val="auto"/>
          <w:sz w:val="24"/>
          <w:highlight w:val="none"/>
          <w:lang w:eastAsia="zh-Hans"/>
        </w:rPr>
        <w:t xml:space="preserve">甲方遭受</w:t>
      </w:r>
      <w:r>
        <w:rPr>
          <w:rFonts w:hint="eastAsia" w:ascii="微软雅黑" w:hAnsi="微软雅黑" w:eastAsia="微软雅黑" w:cs="微软雅黑"/>
          <w:bCs/>
          <w:color w:val="auto"/>
          <w:sz w:val="24"/>
          <w:highlight w:val="none"/>
        </w:rPr>
        <w:t xml:space="preserve">的损失应按实赔偿给甲方。</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8.2.4乙方因不能提供合规发票给甲方带来税务风险时，乙方应承担由此带来的补缴税款、滞纳金等赔偿责任。</w:t>
      </w:r>
      <w:r>
        <w:rPr>
          <w:highlight w:val="none"/>
        </w:rPr>
      </w:r>
      <w:r>
        <w:rPr>
          <w:highlight w:val="none"/>
        </w:rPr>
      </w:r>
    </w:p>
    <w:p>
      <w:pPr>
        <w:pStyle w:val="926"/>
        <w:spacing w:before="0" w:after="0" w:line="360" w:lineRule="auto"/>
        <w:rPr>
          <w:rFonts w:hint="eastAsia" w:ascii="微软雅黑" w:hAnsi="微软雅黑" w:eastAsia="微软雅黑" w:cs="微软雅黑"/>
          <w:b/>
          <w:color w:val="auto"/>
          <w:highlight w:val="none"/>
        </w:rPr>
        <w:outlineLvl w:val="1"/>
      </w:pPr>
      <w:r>
        <w:rPr>
          <w:rFonts w:hint="eastAsia" w:ascii="微软雅黑" w:hAnsi="微软雅黑" w:eastAsia="微软雅黑" w:cs="微软雅黑"/>
          <w:b/>
          <w:color w:val="auto"/>
          <w:highlight w:val="none"/>
        </w:rPr>
        <w:t xml:space="preserve">第九条 合同解除</w:t>
      </w:r>
      <w:r>
        <w:rPr>
          <w:highlight w:val="none"/>
        </w:rPr>
      </w:r>
      <w:r>
        <w:rPr>
          <w:highlight w:val="none"/>
        </w:rPr>
      </w:r>
    </w:p>
    <w:p>
      <w:pPr>
        <w:ind w:firstLine="480"/>
        <w:spacing w:line="360" w:lineRule="auto"/>
        <w:rPr>
          <w:rFonts w:hint="eastAsia" w:ascii="微软雅黑" w:hAnsi="微软雅黑" w:eastAsia="微软雅黑" w:cs="微软雅黑"/>
          <w:bCs/>
          <w:color w:val="auto"/>
          <w:sz w:val="24"/>
          <w:highlight w:val="none"/>
        </w:rPr>
        <w:outlineLvl w:val="2"/>
      </w:pPr>
      <w:r>
        <w:rPr>
          <w:rFonts w:hint="eastAsia" w:ascii="微软雅黑" w:hAnsi="微软雅黑" w:eastAsia="微软雅黑" w:cs="微软雅黑"/>
          <w:bCs/>
          <w:color w:val="auto"/>
          <w:sz w:val="24"/>
          <w:highlight w:val="none"/>
        </w:rPr>
        <w:t xml:space="preserve">9</w:t>
      </w:r>
      <w:r>
        <w:rPr>
          <w:rFonts w:hint="eastAsia" w:ascii="微软雅黑" w:hAnsi="微软雅黑" w:eastAsia="微软雅黑" w:cs="微软雅黑"/>
          <w:bCs/>
          <w:color w:val="auto"/>
          <w:sz w:val="24"/>
          <w:highlight w:val="none"/>
          <w:lang w:eastAsia="zh-Hans"/>
        </w:rPr>
        <w:t xml:space="preserve">.</w:t>
      </w:r>
      <w:r>
        <w:rPr>
          <w:rFonts w:hint="eastAsia" w:ascii="微软雅黑" w:hAnsi="微软雅黑" w:eastAsia="微软雅黑" w:cs="微软雅黑"/>
          <w:bCs/>
          <w:color w:val="auto"/>
          <w:sz w:val="24"/>
          <w:highlight w:val="none"/>
        </w:rPr>
        <w:t xml:space="preserve">1合同有效期间，可通过书面协议解除本合同；</w:t>
      </w:r>
      <w:r>
        <w:rPr>
          <w:highlight w:val="none"/>
        </w:rPr>
      </w:r>
      <w:r>
        <w:rPr>
          <w:highlight w:val="none"/>
        </w:rPr>
      </w:r>
    </w:p>
    <w:p>
      <w:pPr>
        <w:ind w:firstLine="48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9.2乙方违约解除合同：在乙方违反本合同条款、债务或保证的情况下，甲方有权直接向乙方发出书面违约的通知书，提出解除部分或全部合同，通知到达乙方时发生解除的效力。同时，乙方应继续履行合同中未解除的部分；</w:t>
      </w:r>
      <w:r>
        <w:rPr>
          <w:highlight w:val="none"/>
        </w:rPr>
      </w:r>
      <w:r>
        <w:rPr>
          <w:highlight w:val="none"/>
        </w:rPr>
      </w:r>
    </w:p>
    <w:p>
      <w:pPr>
        <w:ind w:firstLine="48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9.3甲方违约解除合同：在甲方违反本合同条款、债务或保证的情况下，乙方有权直接向甲方发出书面违约的通知书，提出解除部分或全部合同，通知到达甲方时发生解除的效力。同时，甲方应继续履行合同中未解除的部分；</w:t>
      </w:r>
      <w:r>
        <w:rPr>
          <w:highlight w:val="none"/>
        </w:rPr>
      </w:r>
      <w:r>
        <w:rPr>
          <w:highlight w:val="none"/>
        </w:rPr>
      </w:r>
    </w:p>
    <w:p>
      <w:pPr>
        <w:ind w:firstLine="48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9.4一方丧失或可能丧失履行能力解除合同：如果一方进入或者可能进入清算程序、一方经营状况严重恶化、无清偿能力、歇业、破产、转移财产、抽逃资金、逃避债务、发生罢工、被提起重大诉讼等的，另一方可在任何时候以书面方式通知一方，提出解除合同。该解除合同将不损害或影响甲方已采取或将要采取的任何行动或补救措施的权利； </w:t>
      </w:r>
      <w:r>
        <w:rPr>
          <w:highlight w:val="none"/>
        </w:rPr>
      </w:r>
      <w:r>
        <w:rPr>
          <w:highlight w:val="none"/>
        </w:rPr>
      </w:r>
    </w:p>
    <w:p>
      <w:pPr>
        <w:ind w:firstLine="48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9.5不可抗力解除合同：如发生不可抗力事故的，任何一方有权解除合同。</w:t>
      </w:r>
      <w:r>
        <w:rPr>
          <w:highlight w:val="none"/>
        </w:rPr>
      </w:r>
      <w:r>
        <w:rPr>
          <w:highlight w:val="none"/>
        </w:rPr>
      </w:r>
    </w:p>
    <w:p>
      <w:pPr>
        <w:ind w:firstLine="48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9.6如甲方根据法律法规的规定及本合同的约定解除合同的，相关的产品由乙方自费回收，所需要的费用乙方自行承担。若乙方未在甲方发出通知后30日历天内回收，则甲方可自行处理该合同产品，乙方应承担因此产生的所有费用与损失。</w:t>
      </w:r>
      <w:r>
        <w:rPr>
          <w:highlight w:val="none"/>
        </w:rPr>
      </w:r>
      <w:r>
        <w:rPr>
          <w:highlight w:val="none"/>
        </w:rPr>
      </w:r>
    </w:p>
    <w:p>
      <w:pPr>
        <w:pStyle w:val="926"/>
        <w:spacing w:before="0" w:after="0" w:line="360" w:lineRule="auto"/>
        <w:rPr>
          <w:rFonts w:hint="eastAsia" w:ascii="微软雅黑" w:hAnsi="微软雅黑" w:eastAsia="微软雅黑" w:cs="微软雅黑"/>
          <w:b/>
          <w:color w:val="auto"/>
          <w:highlight w:val="none"/>
        </w:rPr>
        <w:outlineLvl w:val="1"/>
      </w:pPr>
      <w:r>
        <w:rPr>
          <w:rFonts w:hint="eastAsia" w:ascii="微软雅黑" w:hAnsi="微软雅黑" w:eastAsia="微软雅黑" w:cs="微软雅黑"/>
          <w:b/>
          <w:color w:val="auto"/>
          <w:highlight w:val="none"/>
        </w:rPr>
        <w:t xml:space="preserve">第十条 不可抗力</w:t>
      </w:r>
      <w:r>
        <w:rPr>
          <w:highlight w:val="none"/>
        </w:rPr>
      </w:r>
      <w:r>
        <w:rPr>
          <w:highlight w:val="none"/>
        </w:rPr>
      </w:r>
    </w:p>
    <w:p>
      <w:pPr>
        <w:ind w:firstLine="48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因发生不可抗力事件，导致甲方认为履行本合同已无意义或者无法履行的，甲方可解除本合同。当事人一方因不可抗力的原因不能履行合同时，应当及时通知对方，并在合理期限内提供有关机构出具的证明，可以全部或部分免除该方当事人的违约责任。 </w:t>
      </w:r>
      <w:r>
        <w:rPr>
          <w:highlight w:val="none"/>
        </w:rPr>
      </w:r>
      <w:r>
        <w:rPr>
          <w:highlight w:val="none"/>
        </w:rPr>
      </w:r>
    </w:p>
    <w:p>
      <w:pPr>
        <w:pStyle w:val="926"/>
        <w:spacing w:before="0" w:after="0" w:line="360" w:lineRule="auto"/>
        <w:rPr>
          <w:rFonts w:hint="eastAsia" w:ascii="微软雅黑" w:hAnsi="微软雅黑" w:eastAsia="微软雅黑" w:cs="微软雅黑"/>
          <w:b/>
          <w:color w:val="auto"/>
          <w:highlight w:val="none"/>
        </w:rPr>
        <w:outlineLvl w:val="1"/>
      </w:pPr>
      <w:r>
        <w:rPr>
          <w:rFonts w:hint="eastAsia" w:ascii="微软雅黑" w:hAnsi="微软雅黑" w:eastAsia="微软雅黑" w:cs="微软雅黑"/>
          <w:b/>
          <w:color w:val="auto"/>
          <w:highlight w:val="none"/>
        </w:rPr>
        <w:t xml:space="preserve">第十一条 违约责任</w:t>
      </w:r>
      <w:r>
        <w:rPr>
          <w:highlight w:val="none"/>
        </w:rPr>
      </w:r>
      <w:r>
        <w:rPr>
          <w:highlight w:val="none"/>
        </w:rPr>
      </w:r>
    </w:p>
    <w:p>
      <w:pPr>
        <w:ind w:firstLine="48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11.1.如乙方逾期交付产品，每逾期1日历天，乙方按合同价款的万分之三向甲方支付违约金，并承担甲方因此所受的直接损失。逾期超过30天，甲方有权解除合同并要求乙方支付合同价款10%的违约金。</w:t>
      </w:r>
      <w:r>
        <w:rPr>
          <w:highlight w:val="none"/>
        </w:rPr>
      </w:r>
      <w:r>
        <w:rPr>
          <w:highlight w:val="none"/>
        </w:rPr>
      </w:r>
    </w:p>
    <w:p>
      <w:pPr>
        <w:pStyle w:val="917"/>
        <w:ind w:firstLine="480"/>
        <w:spacing w:after="0" w:line="360" w:lineRule="auto"/>
        <w:rPr>
          <w:rFonts w:hint="eastAsia" w:ascii="微软雅黑" w:hAnsi="微软雅黑" w:eastAsia="微软雅黑" w:cs="微软雅黑"/>
          <w:color w:val="auto"/>
          <w:sz w:val="24"/>
          <w:highlight w:val="none"/>
        </w:rPr>
      </w:pPr>
      <w:r>
        <w:rPr>
          <w:rFonts w:hint="eastAsia" w:ascii="微软雅黑" w:hAnsi="微软雅黑" w:eastAsia="微软雅黑" w:cs="微软雅黑"/>
          <w:bCs/>
          <w:color w:val="auto"/>
          <w:position w:val="-10"/>
          <w:sz w:val="24"/>
          <w:highlight w:val="none"/>
        </w:rPr>
        <w:t xml:space="preserve">11.2.甲方应当按照合同约定的期限付款，每逾期1日历天，应当向乙方支付应付合同价款万分之三的违约金。逾期超过30天，乙方有权解除合同并要求甲方支付合同价款10%的违约金。因甲方迟延支付合同款，乙方有权中止服务，由此导致的延期交付，乙方不承担迟延交付的违约责任。</w:t>
      </w:r>
      <w:r>
        <w:rPr>
          <w:highlight w:val="none"/>
        </w:rPr>
      </w:r>
      <w:r>
        <w:rPr>
          <w:highlight w:val="none"/>
        </w:rPr>
      </w:r>
    </w:p>
    <w:p>
      <w:pPr>
        <w:ind w:firstLine="48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11</w:t>
      </w:r>
      <w:r>
        <w:rPr>
          <w:rFonts w:hint="eastAsia" w:ascii="微软雅黑" w:hAnsi="微软雅黑" w:eastAsia="微软雅黑" w:cs="微软雅黑"/>
          <w:bCs/>
          <w:color w:val="auto"/>
          <w:sz w:val="24"/>
          <w:highlight w:val="none"/>
          <w:lang w:eastAsia="zh-Hans"/>
        </w:rPr>
        <w:t xml:space="preserve">.</w:t>
      </w:r>
      <w:r>
        <w:rPr>
          <w:rFonts w:hint="eastAsia" w:ascii="微软雅黑" w:hAnsi="微软雅黑" w:eastAsia="微软雅黑" w:cs="微软雅黑"/>
          <w:bCs/>
          <w:color w:val="auto"/>
          <w:sz w:val="24"/>
          <w:highlight w:val="none"/>
        </w:rPr>
        <w:t xml:space="preserve">3.</w:t>
      </w:r>
      <w:r>
        <w:rPr>
          <w:rFonts w:hint="eastAsia" w:ascii="微软雅黑" w:hAnsi="微软雅黑" w:eastAsia="微软雅黑" w:cs="微软雅黑"/>
          <w:bCs/>
          <w:color w:val="auto"/>
          <w:sz w:val="24"/>
          <w:highlight w:val="none"/>
          <w:lang w:eastAsia="zh-Hans"/>
        </w:rPr>
        <w:t xml:space="preserve">乙方所提供产品必须满足第5条技术和质量条款的要求，否则由此引起的一切责任由乙方负责。</w:t>
      </w:r>
      <w:r>
        <w:rPr>
          <w:highlight w:val="none"/>
        </w:rPr>
      </w:r>
      <w:r>
        <w:rPr>
          <w:highlight w:val="none"/>
        </w:rPr>
      </w:r>
    </w:p>
    <w:p>
      <w:pPr>
        <w:ind w:firstLine="48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11</w:t>
      </w:r>
      <w:r>
        <w:rPr>
          <w:rFonts w:hint="eastAsia" w:ascii="微软雅黑" w:hAnsi="微软雅黑" w:eastAsia="微软雅黑" w:cs="微软雅黑"/>
          <w:bCs/>
          <w:color w:val="auto"/>
          <w:sz w:val="24"/>
          <w:highlight w:val="none"/>
          <w:lang w:eastAsia="zh-Hans"/>
        </w:rPr>
        <w:t xml:space="preserve">.</w:t>
      </w:r>
      <w:r>
        <w:rPr>
          <w:rFonts w:hint="eastAsia" w:ascii="微软雅黑" w:hAnsi="微软雅黑" w:eastAsia="微软雅黑" w:cs="微软雅黑"/>
          <w:bCs/>
          <w:color w:val="auto"/>
          <w:sz w:val="24"/>
          <w:highlight w:val="none"/>
        </w:rPr>
        <w:t xml:space="preserve">4.甲方未按合同规定的时间和要求提供相应的场地技术资料等，产品交付日期经双方协商可相应顺延。</w:t>
      </w:r>
      <w:r>
        <w:rPr>
          <w:highlight w:val="none"/>
        </w:rPr>
      </w:r>
      <w:r>
        <w:rPr>
          <w:highlight w:val="none"/>
        </w:rPr>
      </w:r>
    </w:p>
    <w:p>
      <w:pPr>
        <w:ind w:firstLine="48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11</w:t>
      </w:r>
      <w:r>
        <w:rPr>
          <w:rFonts w:hint="eastAsia" w:ascii="微软雅黑" w:hAnsi="微软雅黑" w:eastAsia="微软雅黑" w:cs="微软雅黑"/>
          <w:bCs/>
          <w:color w:val="auto"/>
          <w:sz w:val="24"/>
          <w:highlight w:val="none"/>
          <w:lang w:eastAsia="zh-Hans"/>
        </w:rPr>
        <w:t xml:space="preserve">.</w:t>
      </w:r>
      <w:r>
        <w:rPr>
          <w:rFonts w:hint="eastAsia" w:ascii="微软雅黑" w:hAnsi="微软雅黑" w:eastAsia="微软雅黑" w:cs="微软雅黑"/>
          <w:bCs/>
          <w:color w:val="auto"/>
          <w:sz w:val="24"/>
          <w:highlight w:val="none"/>
        </w:rPr>
        <w:t xml:space="preserve">5.乙方所交产品由于系统功能、规格、质量或其他问题不符合合同规定、验收不合格的，乙方应根据验收结论及甲方要求在限期内及时整改，因此所发生的一切费用损失，由乙方负责。</w:t>
      </w:r>
      <w:r>
        <w:rPr>
          <w:highlight w:val="none"/>
        </w:rPr>
      </w:r>
      <w:r>
        <w:rPr>
          <w:highlight w:val="none"/>
        </w:rPr>
      </w:r>
    </w:p>
    <w:p>
      <w:pPr>
        <w:ind w:firstLine="480"/>
        <w:spacing w:line="360" w:lineRule="auto"/>
        <w:rPr>
          <w:rFonts w:hint="eastAsia" w:ascii="微软雅黑" w:hAnsi="微软雅黑" w:eastAsia="微软雅黑" w:cs="微软雅黑"/>
          <w:color w:val="auto"/>
          <w:highlight w:val="none"/>
        </w:rPr>
      </w:pPr>
      <w:r>
        <w:rPr>
          <w:rFonts w:hint="eastAsia" w:ascii="微软雅黑" w:hAnsi="微软雅黑" w:eastAsia="微软雅黑" w:cs="微软雅黑"/>
          <w:bCs/>
          <w:color w:val="auto"/>
          <w:sz w:val="24"/>
          <w:highlight w:val="none"/>
        </w:rPr>
        <w:t xml:space="preserve">11</w:t>
      </w:r>
      <w:r>
        <w:rPr>
          <w:rFonts w:hint="eastAsia" w:ascii="微软雅黑" w:hAnsi="微软雅黑" w:eastAsia="微软雅黑" w:cs="微软雅黑"/>
          <w:bCs/>
          <w:color w:val="auto"/>
          <w:sz w:val="24"/>
          <w:highlight w:val="none"/>
          <w:lang w:eastAsia="zh-Hans"/>
        </w:rPr>
        <w:t xml:space="preserve">.</w:t>
      </w:r>
      <w:r>
        <w:rPr>
          <w:rFonts w:hint="eastAsia" w:ascii="微软雅黑" w:hAnsi="微软雅黑" w:eastAsia="微软雅黑" w:cs="微软雅黑"/>
          <w:bCs/>
          <w:color w:val="auto"/>
          <w:sz w:val="24"/>
          <w:highlight w:val="none"/>
        </w:rPr>
        <w:t xml:space="preserve">6.如因一方违反本合同约定给守约方造成损失的，应当依法赔偿，赔偿的金额应包括但不限于守约方因维权需要所支付的律师费、鉴定费、诉讼费、诉讼担保费、交通费等。</w:t>
      </w:r>
      <w:r>
        <w:rPr>
          <w:highlight w:val="none"/>
        </w:rPr>
      </w:r>
      <w:r>
        <w:rPr>
          <w:highlight w:val="none"/>
        </w:rPr>
      </w:r>
    </w:p>
    <w:p>
      <w:pPr>
        <w:pStyle w:val="926"/>
        <w:spacing w:before="0" w:after="0" w:line="360" w:lineRule="auto"/>
        <w:rPr>
          <w:rFonts w:hint="eastAsia" w:ascii="微软雅黑" w:hAnsi="微软雅黑" w:eastAsia="微软雅黑" w:cs="微软雅黑"/>
          <w:b/>
          <w:color w:val="auto"/>
          <w:highlight w:val="none"/>
        </w:rPr>
        <w:outlineLvl w:val="1"/>
      </w:pPr>
      <w:r>
        <w:rPr>
          <w:rFonts w:hint="eastAsia" w:ascii="微软雅黑" w:hAnsi="微软雅黑" w:eastAsia="微软雅黑" w:cs="微软雅黑"/>
          <w:b/>
          <w:color w:val="auto"/>
          <w:highlight w:val="none"/>
        </w:rPr>
        <w:t xml:space="preserve">第十二条 通知和送达</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rPr>
        <w:outlineLvl w:val="2"/>
      </w:pPr>
      <w:r>
        <w:rPr>
          <w:rFonts w:hint="eastAsia" w:ascii="微软雅黑" w:hAnsi="微软雅黑" w:eastAsia="微软雅黑" w:cs="微软雅黑"/>
          <w:bCs/>
          <w:color w:val="auto"/>
          <w:sz w:val="24"/>
          <w:highlight w:val="none"/>
        </w:rPr>
        <w:t xml:space="preserve">12</w:t>
      </w:r>
      <w:r>
        <w:rPr>
          <w:rFonts w:hint="eastAsia" w:ascii="微软雅黑" w:hAnsi="微软雅黑" w:eastAsia="微软雅黑" w:cs="微软雅黑"/>
          <w:bCs/>
          <w:color w:val="auto"/>
          <w:sz w:val="24"/>
          <w:highlight w:val="none"/>
          <w:lang w:eastAsia="zh-Hans"/>
        </w:rPr>
        <w:t xml:space="preserve">.</w:t>
      </w:r>
      <w:r>
        <w:rPr>
          <w:rFonts w:hint="eastAsia" w:ascii="微软雅黑" w:hAnsi="微软雅黑" w:eastAsia="微软雅黑" w:cs="微软雅黑"/>
          <w:bCs/>
          <w:color w:val="auto"/>
          <w:sz w:val="24"/>
          <w:highlight w:val="none"/>
        </w:rPr>
        <w:t xml:space="preserve">1双方收件人、通讯（送达）地址、联系方式</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rPr>
      </w:pPr>
      <w:r>
        <w:rPr>
          <w:highlight w:val="none"/>
        </w:rPr>
      </w:r>
      <w:bookmarkStart w:id="252" w:name="_Hlk83559552"/>
      <w:r>
        <w:rPr>
          <w:rFonts w:hint="eastAsia" w:ascii="微软雅黑" w:hAnsi="微软雅黑" w:eastAsia="微软雅黑" w:cs="微软雅黑"/>
          <w:bCs/>
          <w:color w:val="auto"/>
          <w:sz w:val="24"/>
          <w:highlight w:val="none"/>
        </w:rPr>
        <w:t xml:space="preserve">甲方项目负责人：</w:t>
      </w:r>
      <w:r>
        <w:rPr>
          <w:rFonts w:hint="eastAsia" w:ascii="微软雅黑" w:hAnsi="微软雅黑" w:eastAsia="微软雅黑" w:cs="微软雅黑"/>
          <w:bCs/>
          <w:color w:val="auto"/>
          <w:sz w:val="24"/>
          <w:highlight w:val="none"/>
          <w:u w:val="single"/>
        </w:rPr>
        <w:t xml:space="preserve">        </w:t>
      </w:r>
      <w:r>
        <w:rPr>
          <w:rFonts w:hint="eastAsia" w:ascii="微软雅黑" w:hAnsi="微软雅黑" w:eastAsia="微软雅黑" w:cs="微软雅黑"/>
          <w:bCs/>
          <w:color w:val="auto"/>
          <w:sz w:val="24"/>
          <w:highlight w:val="none"/>
        </w:rPr>
        <w:t xml:space="preserve">，联系电话：</w:t>
      </w:r>
      <w:r>
        <w:rPr>
          <w:rFonts w:hint="eastAsia" w:ascii="微软雅黑" w:hAnsi="微软雅黑" w:eastAsia="微软雅黑" w:cs="微软雅黑"/>
          <w:bCs/>
          <w:color w:val="auto"/>
          <w:sz w:val="24"/>
          <w:highlight w:val="none"/>
          <w:u w:val="single"/>
        </w:rPr>
        <w:t xml:space="preserve">         </w:t>
      </w:r>
      <w:r>
        <w:rPr>
          <w:rFonts w:hint="eastAsia" w:ascii="微软雅黑" w:hAnsi="微软雅黑" w:eastAsia="微软雅黑" w:cs="微软雅黑"/>
          <w:bCs/>
          <w:color w:val="auto"/>
          <w:sz w:val="24"/>
          <w:highlight w:val="none"/>
        </w:rPr>
        <w:t xml:space="preserve">，</w:t>
      </w:r>
      <w:bookmarkEnd w:id="252"/>
      <w:r>
        <w:rPr>
          <w:rFonts w:hint="eastAsia" w:ascii="微软雅黑" w:hAnsi="微软雅黑" w:eastAsia="微软雅黑" w:cs="微软雅黑"/>
          <w:bCs/>
          <w:color w:val="auto"/>
          <w:sz w:val="24"/>
          <w:highlight w:val="none"/>
        </w:rPr>
        <w:t xml:space="preserve">通讯地址：</w:t>
      </w:r>
      <w:r>
        <w:rPr>
          <w:rFonts w:hint="eastAsia" w:ascii="微软雅黑" w:hAnsi="微软雅黑" w:eastAsia="微软雅黑" w:cs="微软雅黑"/>
          <w:bCs/>
          <w:color w:val="auto"/>
          <w:sz w:val="24"/>
          <w:highlight w:val="none"/>
          <w:u w:val="single"/>
        </w:rPr>
        <w:t xml:space="preserve">       </w:t>
      </w:r>
      <w:r>
        <w:rPr>
          <w:rFonts w:hint="eastAsia" w:ascii="微软雅黑" w:hAnsi="微软雅黑" w:eastAsia="微软雅黑" w:cs="微软雅黑"/>
          <w:bCs/>
          <w:color w:val="auto"/>
          <w:sz w:val="24"/>
          <w:highlight w:val="none"/>
        </w:rPr>
        <w:t xml:space="preserve">。</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u w:val="single"/>
        </w:rPr>
      </w:pPr>
      <w:r>
        <w:rPr>
          <w:rFonts w:hint="eastAsia" w:ascii="微软雅黑" w:hAnsi="微软雅黑" w:eastAsia="微软雅黑" w:cs="微软雅黑"/>
          <w:bCs/>
          <w:color w:val="auto"/>
          <w:sz w:val="24"/>
          <w:highlight w:val="none"/>
        </w:rPr>
        <w:t xml:space="preserve">乙方项目负责人：</w:t>
      </w:r>
      <w:r>
        <w:rPr>
          <w:rFonts w:hint="eastAsia" w:ascii="微软雅黑" w:hAnsi="微软雅黑" w:eastAsia="微软雅黑" w:cs="微软雅黑"/>
          <w:bCs/>
          <w:color w:val="auto"/>
          <w:sz w:val="24"/>
          <w:highlight w:val="none"/>
          <w:u w:val="single"/>
        </w:rPr>
        <w:t xml:space="preserve">        </w:t>
      </w:r>
      <w:r>
        <w:rPr>
          <w:rFonts w:hint="eastAsia" w:ascii="微软雅黑" w:hAnsi="微软雅黑" w:eastAsia="微软雅黑" w:cs="微软雅黑"/>
          <w:bCs/>
          <w:color w:val="auto"/>
          <w:sz w:val="24"/>
          <w:highlight w:val="none"/>
        </w:rPr>
        <w:t xml:space="preserve">，联系电话：</w:t>
      </w:r>
      <w:r>
        <w:rPr>
          <w:rFonts w:hint="eastAsia" w:ascii="微软雅黑" w:hAnsi="微软雅黑" w:eastAsia="微软雅黑" w:cs="微软雅黑"/>
          <w:bCs/>
          <w:color w:val="auto"/>
          <w:sz w:val="24"/>
          <w:highlight w:val="none"/>
          <w:u w:val="single"/>
        </w:rPr>
        <w:t xml:space="preserve">         </w:t>
      </w:r>
      <w:r>
        <w:rPr>
          <w:rFonts w:hint="eastAsia" w:ascii="微软雅黑" w:hAnsi="微软雅黑" w:eastAsia="微软雅黑" w:cs="微软雅黑"/>
          <w:bCs/>
          <w:color w:val="auto"/>
          <w:sz w:val="24"/>
          <w:highlight w:val="none"/>
        </w:rPr>
        <w:t xml:space="preserve">，通讯地址：</w:t>
      </w:r>
      <w:r>
        <w:rPr>
          <w:rFonts w:hint="eastAsia" w:ascii="微软雅黑" w:hAnsi="微软雅黑" w:eastAsia="微软雅黑" w:cs="微软雅黑"/>
          <w:bCs/>
          <w:color w:val="auto"/>
          <w:sz w:val="24"/>
          <w:highlight w:val="none"/>
          <w:u w:val="single"/>
        </w:rPr>
        <w:t xml:space="preserve">       </w:t>
      </w:r>
      <w:r>
        <w:rPr>
          <w:rFonts w:hint="eastAsia" w:ascii="微软雅黑" w:hAnsi="微软雅黑" w:eastAsia="微软雅黑" w:cs="微软雅黑"/>
          <w:bCs/>
          <w:color w:val="auto"/>
          <w:sz w:val="24"/>
          <w:highlight w:val="none"/>
        </w:rPr>
        <w:t xml:space="preserve">。</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双方的通讯地址、收件人和联系方式以本合同约定为准。双方一致确认上述通讯地址和联系方式为双方履行合同、解决合同争议时接收其他方商业文件或司法机关诉讼文书、仲裁机构仲裁文书真实有效的地址和联系方式。</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12</w:t>
      </w:r>
      <w:r>
        <w:rPr>
          <w:rFonts w:hint="eastAsia" w:ascii="微软雅黑" w:hAnsi="微软雅黑" w:eastAsia="微软雅黑" w:cs="微软雅黑"/>
          <w:bCs/>
          <w:color w:val="auto"/>
          <w:sz w:val="24"/>
          <w:highlight w:val="none"/>
          <w:lang w:eastAsia="zh-Hans"/>
        </w:rPr>
        <w:t xml:space="preserve">.</w:t>
      </w:r>
      <w:r>
        <w:rPr>
          <w:rFonts w:hint="eastAsia" w:ascii="微软雅黑" w:hAnsi="微软雅黑" w:eastAsia="微软雅黑" w:cs="微软雅黑"/>
          <w:bCs/>
          <w:color w:val="auto"/>
          <w:sz w:val="24"/>
          <w:highlight w:val="none"/>
        </w:rPr>
        <w:t xml:space="preserve">2双方根据本合同发出的或与本合同履行有关的通知应采取书面形式，并采用面呈，挂号信或特快专递方式送达被通知人，不论以何种方式传递，均自通知送达被通知人起生效，除非本合同另有约定，通知送达按如下原则确定：</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12.2.1采用面呈传递时，被通知人(含其法定代表人、约定收件人、雇员或代理人，下同)签收视为送达。若被通知人拒绝签收的，通知留置被通知人通讯地址处视为送达。</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12</w:t>
      </w:r>
      <w:r>
        <w:rPr>
          <w:rFonts w:hint="eastAsia" w:ascii="微软雅黑" w:hAnsi="微软雅黑" w:eastAsia="微软雅黑" w:cs="微软雅黑"/>
          <w:bCs/>
          <w:color w:val="auto"/>
          <w:sz w:val="24"/>
          <w:highlight w:val="none"/>
          <w:lang w:eastAsia="zh-Hans"/>
        </w:rPr>
        <w:t xml:space="preserve">.</w:t>
      </w:r>
      <w:r>
        <w:rPr>
          <w:rFonts w:hint="eastAsia" w:ascii="微软雅黑" w:hAnsi="微软雅黑" w:eastAsia="微软雅黑" w:cs="微软雅黑"/>
          <w:bCs/>
          <w:color w:val="auto"/>
          <w:sz w:val="24"/>
          <w:highlight w:val="none"/>
        </w:rPr>
        <w:t xml:space="preserve">2.2采用挂号信或特快专递传递时，以被通知人收件日期为送达日期。被通知人拒绝签收或被通知人在约定通讯地址处无人收件，导致通知未能被被通知人实际接收的，挂号信或特快专递退回之日视为送达之日。</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12</w:t>
      </w:r>
      <w:r>
        <w:rPr>
          <w:rFonts w:hint="eastAsia" w:ascii="微软雅黑" w:hAnsi="微软雅黑" w:eastAsia="微软雅黑" w:cs="微软雅黑"/>
          <w:bCs/>
          <w:color w:val="auto"/>
          <w:sz w:val="24"/>
          <w:highlight w:val="none"/>
          <w:lang w:eastAsia="zh-Hans"/>
        </w:rPr>
        <w:t xml:space="preserve">.</w:t>
      </w:r>
      <w:r>
        <w:rPr>
          <w:rFonts w:hint="eastAsia" w:ascii="微软雅黑" w:hAnsi="微软雅黑" w:eastAsia="微软雅黑" w:cs="微软雅黑"/>
          <w:bCs/>
          <w:color w:val="auto"/>
          <w:sz w:val="24"/>
          <w:highlight w:val="none"/>
        </w:rPr>
        <w:t xml:space="preserve">3上述通讯地址和联系方式适用至本合同履行完毕或争议经过一审、二审至案件执行终结时止，除非双方依下款告知变更。</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12.4任何一方通讯地址、收件人或联系电话需要变更的，应提前5 个工作日向合同其他方和司法机关送交书面变更告知书。否则，因此而导致的通知迟延或不能送达的后果，均由变更方承担。因一方在本合同中载明的或书面通知变更后的通讯地址、收件人或联系方式不详，导致通知迟延或不能送达的后果，由该方自行承担。</w:t>
      </w:r>
      <w:r>
        <w:rPr>
          <w:highlight w:val="none"/>
        </w:rPr>
      </w:r>
      <w:r>
        <w:rPr>
          <w:highlight w:val="none"/>
        </w:rPr>
      </w:r>
    </w:p>
    <w:p>
      <w:pPr>
        <w:ind w:firstLine="480"/>
        <w:jc w:val="left"/>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12.5双方均明知：因双方提供或者确认的送达地址和联系方式不准确、或者送达地址变更后未及时依程序告知对方和司法机关、或者当事人和指定签收人拒绝签收等原因，导致诉讼文书未能被当事人实际接收，邮寄送达的，以文书退回之日视为送达之日；直接送达的，送达人当场在送达回证上记明情况之日视为送达之日。</w:t>
      </w:r>
      <w:r>
        <w:rPr>
          <w:highlight w:val="none"/>
        </w:rPr>
      </w:r>
      <w:r>
        <w:rPr>
          <w:highlight w:val="none"/>
        </w:rPr>
      </w:r>
    </w:p>
    <w:p>
      <w:pPr>
        <w:spacing w:line="360" w:lineRule="auto"/>
        <w:rPr>
          <w:rFonts w:hint="eastAsia" w:ascii="微软雅黑" w:hAnsi="微软雅黑" w:eastAsia="微软雅黑" w:cs="微软雅黑"/>
          <w:b/>
          <w:bCs/>
          <w:color w:val="auto"/>
          <w:sz w:val="24"/>
          <w:highlight w:val="none"/>
        </w:rPr>
        <w:outlineLvl w:val="1"/>
      </w:pPr>
      <w:r>
        <w:rPr>
          <w:rFonts w:hint="eastAsia" w:ascii="微软雅黑" w:hAnsi="微软雅黑" w:eastAsia="微软雅黑" w:cs="微软雅黑"/>
          <w:b/>
          <w:bCs/>
          <w:color w:val="auto"/>
          <w:sz w:val="24"/>
          <w:highlight w:val="none"/>
        </w:rPr>
        <w:t xml:space="preserve">第十三条 保密义务与权利</w:t>
      </w:r>
      <w:r>
        <w:rPr>
          <w:highlight w:val="none"/>
        </w:rPr>
      </w:r>
      <w:r>
        <w:rPr>
          <w:highlight w:val="none"/>
        </w:rPr>
      </w:r>
    </w:p>
    <w:p>
      <w:pPr>
        <w:ind w:firstLine="48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13.1 保密信息内容：保密信息包括但不限于以下内容甲方提供的OA、HIS、LIS、PACS、EMR、HRP、SPD、综合绩效和集成平台与数据中心等系统提供给乙方的所有数据，注册到软件中的甲方用户信息，组织架构及人员任命信息，涉及到甲方各个平台技术信息和网络拓扑信息，合作协议信息。上述保密信息可以以数据、文字及记载上述内容的文档、光盘、软件、图书等有形介质体现，也可通过口头等视听方式传递。</w:t>
      </w:r>
      <w:r>
        <w:rPr>
          <w:highlight w:val="none"/>
        </w:rPr>
      </w:r>
      <w:r>
        <w:rPr>
          <w:highlight w:val="none"/>
        </w:rPr>
      </w:r>
    </w:p>
    <w:p>
      <w:pPr>
        <w:ind w:firstLine="48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13.2保密义务与权利：（1）乙方保证该保密信息仅用于与项目有关的用途。乙方不得将保密信息用于项目以外的任何用途，除为执行项目目的外，乙方不得将保密信息保存到乙方的服务器上，不得在任何时候任何场合自行或允许第三方以任何方式使用该保密信息，不能向任何第三方透露该保密信息。未经甲方书面同意，乙方也不得利用保密信息进行新的研究或开发。（2）乙方保证对保密信息予以妥善保管，并对保密信息在乙方期间发生的因乙方员工导致的以下事项承担全部责任：</w:t>
      </w:r>
      <w:r>
        <w:rPr>
          <w:highlight w:val="none"/>
        </w:rPr>
      </w:r>
      <w:r>
        <w:rPr>
          <w:highlight w:val="none"/>
        </w:rPr>
      </w:r>
    </w:p>
    <w:p>
      <w:pPr>
        <w:ind w:firstLine="72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①保密信息被盗、泄露，或者其他方式的泄露及/或毁损、灭失。</w:t>
      </w:r>
      <w:r>
        <w:rPr>
          <w:highlight w:val="none"/>
        </w:rPr>
      </w:r>
      <w:r>
        <w:rPr>
          <w:highlight w:val="none"/>
        </w:rPr>
      </w:r>
    </w:p>
    <w:p>
      <w:pPr>
        <w:ind w:firstLine="72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②任何根据本协议有权从乙方获得保密信息的雇员（包括但不限于现有雇员及从前雇员）、股东、顾问和/或咨询人员等对保密信息未经授权的披露。</w:t>
      </w:r>
      <w:r>
        <w:rPr>
          <w:highlight w:val="none"/>
        </w:rPr>
      </w:r>
      <w:r>
        <w:rPr>
          <w:highlight w:val="none"/>
        </w:rPr>
      </w:r>
    </w:p>
    <w:p>
      <w:pPr>
        <w:ind w:firstLine="72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③乙方对保密信息不正当披露对甲方造成损失的，乙方将负责赔偿，赔偿金额以实际造成的损失为准。</w:t>
      </w:r>
      <w:r>
        <w:rPr>
          <w:highlight w:val="none"/>
        </w:rPr>
      </w:r>
      <w:r>
        <w:rPr>
          <w:highlight w:val="none"/>
        </w:rPr>
      </w:r>
    </w:p>
    <w:p>
      <w:pPr>
        <w:ind w:firstLine="72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④乙方对保密信息不正当披露对甲方造成负面影响的，应该及时积极处理并挽回甲方名誉，期间因为处理事件和挽回甲方名誉而发生的任何费用由乙方承担。</w:t>
      </w:r>
      <w:r>
        <w:rPr>
          <w:highlight w:val="none"/>
        </w:rPr>
      </w:r>
      <w:r>
        <w:rPr>
          <w:highlight w:val="none"/>
        </w:rPr>
      </w:r>
    </w:p>
    <w:p>
      <w:pPr>
        <w:ind w:firstLine="72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⑤乙方保证仅为执行项目的目的向确有知悉必要的雇员、股东、董事、顾问和/或咨询人员披露保密信息，需要对保密信息的披露及利用符合甲方的利益。乙方如发现保密信息泄露，应采取有效措施防止泄密进一步扩大，并及时告知甲方。</w:t>
      </w:r>
      <w:r>
        <w:rPr>
          <w:highlight w:val="none"/>
        </w:rPr>
      </w:r>
      <w:r>
        <w:rPr>
          <w:highlight w:val="none"/>
        </w:rPr>
      </w:r>
    </w:p>
    <w:p>
      <w:pPr>
        <w:ind w:firstLine="72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⑥项目终止后，乙方应及时将承载保密信息的介质原件及复制件全部返还甲方，最迟不得超过医院发出交还通知之日起30个自然日。</w:t>
      </w:r>
      <w:r>
        <w:rPr>
          <w:highlight w:val="none"/>
        </w:rPr>
      </w:r>
      <w:r>
        <w:rPr>
          <w:highlight w:val="none"/>
        </w:rPr>
      </w:r>
    </w:p>
    <w:p>
      <w:pPr>
        <w:pStyle w:val="926"/>
        <w:spacing w:before="0" w:after="0" w:line="360" w:lineRule="auto"/>
        <w:rPr>
          <w:rFonts w:hint="eastAsia" w:ascii="微软雅黑" w:hAnsi="微软雅黑" w:eastAsia="微软雅黑" w:cs="微软雅黑"/>
          <w:b/>
          <w:color w:val="auto"/>
          <w:highlight w:val="none"/>
        </w:rPr>
        <w:outlineLvl w:val="1"/>
      </w:pPr>
      <w:r>
        <w:rPr>
          <w:rFonts w:hint="eastAsia" w:ascii="微软雅黑" w:hAnsi="微软雅黑" w:eastAsia="微软雅黑" w:cs="微软雅黑"/>
          <w:b/>
          <w:color w:val="auto"/>
          <w:highlight w:val="none"/>
        </w:rPr>
        <w:t xml:space="preserve">第十四条 解决争议方式</w:t>
      </w:r>
      <w:r>
        <w:rPr>
          <w:highlight w:val="none"/>
        </w:rPr>
      </w:r>
      <w:r>
        <w:rPr>
          <w:highlight w:val="none"/>
        </w:rPr>
      </w:r>
    </w:p>
    <w:p>
      <w:pPr>
        <w:ind w:firstLine="48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如果本合同发生纠纷，协商解决。不愿协商或通过协商仍未能解决的，则任何一方可向</w:t>
      </w:r>
      <w:r>
        <w:rPr>
          <w:rFonts w:hint="eastAsia" w:ascii="微软雅黑" w:hAnsi="微软雅黑" w:eastAsia="微软雅黑" w:cs="微软雅黑"/>
          <w:bCs/>
          <w:color w:val="auto"/>
          <w:sz w:val="24"/>
          <w:highlight w:val="none"/>
          <w:lang w:eastAsia="zh-Hans"/>
        </w:rPr>
        <w:t xml:space="preserve">甲方所在地</w:t>
      </w:r>
      <w:r>
        <w:rPr>
          <w:rFonts w:hint="eastAsia" w:ascii="微软雅黑" w:hAnsi="微软雅黑" w:eastAsia="微软雅黑" w:cs="微软雅黑"/>
          <w:bCs/>
          <w:color w:val="auto"/>
          <w:sz w:val="24"/>
          <w:highlight w:val="none"/>
        </w:rPr>
        <w:t xml:space="preserve">人民法院提起诉讼。</w:t>
      </w:r>
      <w:r>
        <w:rPr>
          <w:highlight w:val="none"/>
        </w:rPr>
      </w:r>
      <w:r>
        <w:rPr>
          <w:highlight w:val="none"/>
        </w:rPr>
      </w:r>
    </w:p>
    <w:p>
      <w:pPr>
        <w:pStyle w:val="926"/>
        <w:spacing w:before="0" w:after="0" w:line="360" w:lineRule="auto"/>
        <w:rPr>
          <w:rFonts w:hint="eastAsia" w:ascii="微软雅黑" w:hAnsi="微软雅黑" w:eastAsia="微软雅黑" w:cs="微软雅黑"/>
          <w:b/>
          <w:color w:val="auto"/>
          <w:highlight w:val="none"/>
        </w:rPr>
        <w:outlineLvl w:val="1"/>
      </w:pPr>
      <w:r>
        <w:rPr>
          <w:rFonts w:hint="eastAsia" w:ascii="微软雅黑" w:hAnsi="微软雅黑" w:eastAsia="微软雅黑" w:cs="微软雅黑"/>
          <w:b/>
          <w:color w:val="auto"/>
          <w:highlight w:val="none"/>
        </w:rPr>
        <w:t xml:space="preserve">第十四条 其他</w:t>
      </w:r>
      <w:r>
        <w:rPr>
          <w:highlight w:val="none"/>
        </w:rPr>
      </w:r>
      <w:r>
        <w:rPr>
          <w:highlight w:val="none"/>
        </w:rPr>
      </w:r>
    </w:p>
    <w:p>
      <w:pPr>
        <w:ind w:firstLine="48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14</w:t>
      </w:r>
      <w:r>
        <w:rPr>
          <w:rFonts w:hint="eastAsia" w:ascii="微软雅黑" w:hAnsi="微软雅黑" w:eastAsia="微软雅黑" w:cs="微软雅黑"/>
          <w:bCs/>
          <w:color w:val="auto"/>
          <w:sz w:val="24"/>
          <w:highlight w:val="none"/>
          <w:lang w:eastAsia="zh-Hans"/>
        </w:rPr>
        <w:t xml:space="preserve">.</w:t>
      </w:r>
      <w:r>
        <w:rPr>
          <w:rFonts w:hint="eastAsia" w:ascii="微软雅黑" w:hAnsi="微软雅黑" w:eastAsia="微软雅黑" w:cs="微软雅黑"/>
          <w:bCs/>
          <w:color w:val="auto"/>
          <w:sz w:val="24"/>
          <w:highlight w:val="none"/>
        </w:rPr>
        <w:t xml:space="preserve">1本合同一式陆份，甲方肆份、乙方贰份，每份均具同等法律效力。</w:t>
      </w:r>
      <w:r>
        <w:rPr>
          <w:highlight w:val="none"/>
        </w:rPr>
      </w:r>
      <w:r>
        <w:rPr>
          <w:highlight w:val="none"/>
        </w:rPr>
      </w:r>
    </w:p>
    <w:p>
      <w:pPr>
        <w:ind w:firstLine="48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14.2本合同经双方法定代表人或授权代表签字盖章（公章或合同专用章）后即行生效，至双方合同权利义务履行完成后终止。</w:t>
      </w:r>
      <w:r>
        <w:rPr>
          <w:highlight w:val="none"/>
        </w:rPr>
      </w:r>
      <w:r>
        <w:rPr>
          <w:highlight w:val="none"/>
        </w:rPr>
      </w:r>
    </w:p>
    <w:p>
      <w:pPr>
        <w:pStyle w:val="1099"/>
        <w:ind w:firstLine="480"/>
        <w:spacing w:after="0" w:line="360" w:lineRule="auto"/>
        <w:rPr>
          <w:rFonts w:hint="eastAsia" w:ascii="微软雅黑" w:hAnsi="微软雅黑" w:eastAsia="微软雅黑" w:cs="微软雅黑"/>
          <w:color w:val="auto"/>
          <w:highlight w:val="none"/>
        </w:rPr>
      </w:pPr>
      <w:r>
        <w:rPr>
          <w:rFonts w:hint="eastAsia" w:ascii="微软雅黑" w:hAnsi="微软雅黑" w:eastAsia="微软雅黑" w:cs="微软雅黑"/>
          <w:bCs/>
          <w:color w:val="auto"/>
          <w:sz w:val="24"/>
          <w:highlight w:val="none"/>
        </w:rPr>
        <w:t xml:space="preserve">14.3 投标文书与本合同同样具备法律效力，约定内容不一致的以本合同为准；本合同未尽事宜，但投标文书有承诺的，以投标文书为准。</w:t>
      </w:r>
      <w:r>
        <w:rPr>
          <w:highlight w:val="none"/>
        </w:rPr>
      </w:r>
      <w:r>
        <w:rPr>
          <w:highlight w:val="none"/>
        </w:rPr>
      </w:r>
    </w:p>
    <w:p>
      <w:pPr>
        <w:ind w:firstLine="480"/>
        <w:spacing w:line="360" w:lineRule="auto"/>
        <w:rPr>
          <w:rFonts w:hint="eastAsia" w:ascii="微软雅黑" w:hAnsi="微软雅黑" w:eastAsia="微软雅黑" w:cs="微软雅黑"/>
          <w:bCs/>
          <w:color w:val="auto"/>
          <w:sz w:val="24"/>
          <w:highlight w:val="none"/>
        </w:rPr>
      </w:pPr>
      <w:r>
        <w:rPr>
          <w:rFonts w:hint="eastAsia" w:ascii="微软雅黑" w:hAnsi="微软雅黑" w:eastAsia="微软雅黑" w:cs="微软雅黑"/>
          <w:bCs/>
          <w:color w:val="auto"/>
          <w:sz w:val="24"/>
          <w:highlight w:val="none"/>
        </w:rPr>
        <w:t xml:space="preserve">14.3本合同未尽事宜，经双方共同协商后可作出补充说明，补充说明与本合同有同等法律效力。</w:t>
      </w:r>
      <w:r>
        <w:rPr>
          <w:highlight w:val="none"/>
        </w:rPr>
      </w:r>
      <w:r>
        <w:rPr>
          <w:highlight w:val="none"/>
        </w:rPr>
      </w:r>
    </w:p>
    <w:p>
      <w:pPr>
        <w:spacing w:line="360" w:lineRule="auto"/>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rPr>
      </w:r>
      <w:r>
        <w:rPr>
          <w:highlight w:val="none"/>
        </w:rPr>
      </w:r>
      <w:r>
        <w:rPr>
          <w:highlight w:val="none"/>
        </w:rPr>
      </w:r>
    </w:p>
    <w:p>
      <w:pPr>
        <w:jc w:val="left"/>
        <w:spacing w:line="500" w:lineRule="exact"/>
        <w:rPr>
          <w:rFonts w:hint="eastAsia" w:ascii="微软雅黑" w:hAnsi="微软雅黑" w:eastAsia="微软雅黑" w:cs="微软雅黑"/>
          <w:b/>
          <w:color w:val="auto"/>
          <w:sz w:val="24"/>
          <w:highlight w:val="none"/>
        </w:rPr>
        <w:outlineLvl w:val="2"/>
      </w:pPr>
      <w:r>
        <w:rPr>
          <w:rFonts w:hint="eastAsia" w:ascii="微软雅黑" w:hAnsi="微软雅黑" w:eastAsia="微软雅黑" w:cs="微软雅黑"/>
          <w:b/>
          <w:color w:val="auto"/>
          <w:sz w:val="24"/>
          <w:highlight w:val="none"/>
        </w:rPr>
        <w:t xml:space="preserve">甲方：</w:t>
      </w:r>
      <w:r>
        <w:rPr>
          <w:rFonts w:hint="eastAsia" w:ascii="微软雅黑" w:hAnsi="微软雅黑" w:eastAsia="微软雅黑" w:cs="微软雅黑"/>
          <w:b/>
          <w:color w:val="auto"/>
          <w:sz w:val="24"/>
          <w:highlight w:val="none"/>
          <w:u w:val="single"/>
        </w:rPr>
        <w:t xml:space="preserve"> 徐州医科大学附属医院 </w:t>
      </w:r>
      <w:r>
        <w:rPr>
          <w:rFonts w:hint="eastAsia" w:ascii="微软雅黑" w:hAnsi="微软雅黑" w:eastAsia="微软雅黑" w:cs="微软雅黑"/>
          <w:b/>
          <w:color w:val="auto"/>
          <w:sz w:val="24"/>
          <w:highlight w:val="none"/>
        </w:rPr>
        <w:t xml:space="preserve">（盖章） 乙方：</w:t>
      </w:r>
      <w:r>
        <w:rPr>
          <w:rFonts w:hint="eastAsia" w:ascii="微软雅黑" w:hAnsi="微软雅黑" w:eastAsia="微软雅黑" w:cs="微软雅黑"/>
          <w:b/>
          <w:color w:val="auto"/>
          <w:sz w:val="24"/>
          <w:highlight w:val="none"/>
          <w:u w:val="single"/>
        </w:rPr>
        <w:t xml:space="preserve">          </w:t>
      </w:r>
      <w:r>
        <w:rPr>
          <w:rFonts w:hint="eastAsia" w:ascii="微软雅黑" w:hAnsi="微软雅黑" w:eastAsia="微软雅黑" w:cs="微软雅黑"/>
          <w:b/>
          <w:color w:val="auto"/>
          <w:sz w:val="24"/>
          <w:highlight w:val="none"/>
        </w:rPr>
        <w:t xml:space="preserve">（盖章）</w:t>
      </w:r>
      <w:r>
        <w:rPr>
          <w:highlight w:val="none"/>
        </w:rPr>
      </w:r>
      <w:r>
        <w:rPr>
          <w:highlight w:val="none"/>
        </w:rPr>
      </w:r>
    </w:p>
    <w:p>
      <w:pPr>
        <w:spacing w:line="500" w:lineRule="exact"/>
        <w:rPr>
          <w:rFonts w:hint="eastAsia" w:ascii="微软雅黑" w:hAnsi="微软雅黑" w:eastAsia="微软雅黑" w:cs="微软雅黑"/>
          <w:color w:val="auto"/>
          <w:sz w:val="24"/>
          <w:highlight w:val="none"/>
        </w:rPr>
      </w:pPr>
      <w:r>
        <w:rPr>
          <w:rFonts w:hint="eastAsia" w:ascii="微软雅黑" w:hAnsi="微软雅黑" w:eastAsia="微软雅黑" w:cs="微软雅黑"/>
          <w:b/>
          <w:color w:val="auto"/>
          <w:sz w:val="24"/>
          <w:highlight w:val="none"/>
        </w:rPr>
        <w:t xml:space="preserve">法定代表人</w:t>
      </w:r>
      <w:r>
        <w:rPr>
          <w:rFonts w:hint="eastAsia" w:ascii="微软雅黑" w:hAnsi="微软雅黑" w:eastAsia="微软雅黑" w:cs="微软雅黑"/>
          <w:color w:val="auto"/>
          <w:sz w:val="24"/>
          <w:highlight w:val="none"/>
        </w:rPr>
        <w:t xml:space="preserve">：</w:t>
      </w:r>
      <w:r>
        <w:rPr>
          <w:rFonts w:hint="eastAsia" w:ascii="微软雅黑" w:hAnsi="微软雅黑" w:eastAsia="微软雅黑" w:cs="微软雅黑"/>
          <w:color w:val="auto"/>
          <w:sz w:val="24"/>
          <w:highlight w:val="none"/>
          <w:u w:val="single"/>
        </w:rPr>
        <w:t xml:space="preserve">                     </w:t>
      </w:r>
      <w:r>
        <w:rPr>
          <w:rFonts w:hint="eastAsia" w:ascii="微软雅黑" w:hAnsi="微软雅黑" w:cs="微软雅黑"/>
          <w:color w:val="auto"/>
          <w:sz w:val="24"/>
          <w:highlight w:val="none"/>
          <w:u w:val="none"/>
          <w:lang w:val="en-US" w:eastAsia="zh-CN"/>
        </w:rPr>
        <w:t xml:space="preserve">    </w:t>
      </w:r>
      <w:r>
        <w:rPr>
          <w:rFonts w:hint="eastAsia" w:ascii="微软雅黑" w:hAnsi="微软雅黑" w:eastAsia="微软雅黑" w:cs="微软雅黑"/>
          <w:b/>
          <w:color w:val="auto"/>
          <w:sz w:val="24"/>
          <w:highlight w:val="none"/>
        </w:rPr>
        <w:t xml:space="preserve">法定代表人</w:t>
      </w:r>
      <w:r>
        <w:rPr>
          <w:rFonts w:hint="eastAsia" w:ascii="微软雅黑" w:hAnsi="微软雅黑" w:eastAsia="微软雅黑" w:cs="微软雅黑"/>
          <w:color w:val="auto"/>
          <w:sz w:val="24"/>
          <w:highlight w:val="none"/>
        </w:rPr>
        <w:t xml:space="preserve">：</w:t>
      </w:r>
      <w:r>
        <w:rPr>
          <w:rFonts w:hint="eastAsia" w:ascii="微软雅黑" w:hAnsi="微软雅黑" w:eastAsia="微软雅黑" w:cs="微软雅黑"/>
          <w:color w:val="auto"/>
          <w:sz w:val="24"/>
          <w:highlight w:val="none"/>
          <w:u w:val="single"/>
        </w:rPr>
        <w:t xml:space="preserve">                                                                  </w:t>
      </w:r>
      <w:r>
        <w:rPr>
          <w:highlight w:val="none"/>
        </w:rPr>
      </w:r>
      <w:r>
        <w:rPr>
          <w:highlight w:val="none"/>
        </w:rPr>
      </w:r>
    </w:p>
    <w:p>
      <w:pPr>
        <w:spacing w:line="500" w:lineRule="exact"/>
        <w:rPr>
          <w:rFonts w:hint="eastAsia" w:ascii="微软雅黑" w:hAnsi="微软雅黑" w:eastAsia="微软雅黑" w:cs="微软雅黑"/>
          <w:color w:val="auto"/>
          <w:sz w:val="24"/>
          <w:highlight w:val="none"/>
        </w:rPr>
      </w:pPr>
      <w:r>
        <w:rPr>
          <w:rFonts w:hint="eastAsia" w:ascii="微软雅黑" w:hAnsi="微软雅黑" w:eastAsia="微软雅黑" w:cs="微软雅黑"/>
          <w:b/>
          <w:color w:val="auto"/>
          <w:sz w:val="24"/>
          <w:highlight w:val="none"/>
        </w:rPr>
        <w:t xml:space="preserve">委托代表人</w:t>
      </w:r>
      <w:r>
        <w:rPr>
          <w:rFonts w:hint="eastAsia" w:ascii="微软雅黑" w:hAnsi="微软雅黑" w:eastAsia="微软雅黑" w:cs="微软雅黑"/>
          <w:color w:val="auto"/>
          <w:sz w:val="24"/>
          <w:highlight w:val="none"/>
        </w:rPr>
        <w:t xml:space="preserve">：</w:t>
      </w:r>
      <w:r>
        <w:rPr>
          <w:rFonts w:hint="eastAsia" w:ascii="微软雅黑" w:hAnsi="微软雅黑" w:eastAsia="微软雅黑" w:cs="微软雅黑"/>
          <w:color w:val="auto"/>
          <w:sz w:val="24"/>
          <w:highlight w:val="none"/>
          <w:u w:val="single"/>
        </w:rPr>
        <w:t xml:space="preserve">                     </w:t>
      </w:r>
      <w:r>
        <w:rPr>
          <w:rFonts w:hint="eastAsia" w:ascii="微软雅黑" w:hAnsi="微软雅黑" w:cs="微软雅黑"/>
          <w:color w:val="auto"/>
          <w:sz w:val="24"/>
          <w:highlight w:val="none"/>
          <w:u w:val="none"/>
          <w:lang w:val="en-US" w:eastAsia="zh-CN"/>
        </w:rPr>
        <w:t xml:space="preserve">   </w:t>
      </w:r>
      <w:r>
        <w:rPr>
          <w:rFonts w:hint="eastAsia" w:ascii="微软雅黑" w:hAnsi="微软雅黑" w:eastAsia="微软雅黑" w:cs="微软雅黑"/>
          <w:b/>
          <w:color w:val="auto"/>
          <w:sz w:val="24"/>
          <w:highlight w:val="none"/>
        </w:rPr>
        <w:t xml:space="preserve">委托代表人</w:t>
      </w:r>
      <w:r>
        <w:rPr>
          <w:rFonts w:hint="eastAsia" w:ascii="微软雅黑" w:hAnsi="微软雅黑" w:eastAsia="微软雅黑" w:cs="微软雅黑"/>
          <w:color w:val="auto"/>
          <w:sz w:val="24"/>
          <w:highlight w:val="none"/>
        </w:rPr>
        <w:t xml:space="preserve">：</w:t>
      </w:r>
      <w:r>
        <w:rPr>
          <w:rFonts w:hint="eastAsia" w:ascii="微软雅黑" w:hAnsi="微软雅黑" w:eastAsia="微软雅黑" w:cs="微软雅黑"/>
          <w:color w:val="auto"/>
          <w:sz w:val="24"/>
          <w:highlight w:val="none"/>
          <w:u w:val="single"/>
        </w:rPr>
        <w:t xml:space="preserve">                                                             </w:t>
      </w:r>
      <w:r>
        <w:rPr>
          <w:highlight w:val="none"/>
        </w:rPr>
      </w:r>
      <w:r>
        <w:rPr>
          <w:highlight w:val="none"/>
        </w:rPr>
      </w:r>
    </w:p>
    <w:p>
      <w:pPr>
        <w:spacing w:line="500" w:lineRule="exact"/>
        <w:rPr>
          <w:rFonts w:hint="eastAsia" w:ascii="微软雅黑" w:hAnsi="微软雅黑" w:eastAsia="微软雅黑" w:cs="微软雅黑"/>
          <w:color w:val="auto"/>
          <w:sz w:val="24"/>
          <w:highlight w:val="none"/>
        </w:rPr>
      </w:pPr>
      <w:r>
        <w:rPr>
          <w:rFonts w:hint="eastAsia" w:ascii="微软雅黑" w:hAnsi="微软雅黑" w:eastAsia="微软雅黑" w:cs="微软雅黑"/>
          <w:b/>
          <w:color w:val="auto"/>
          <w:sz w:val="24"/>
          <w:highlight w:val="none"/>
        </w:rPr>
        <w:t xml:space="preserve">开户银行</w:t>
      </w:r>
      <w:r>
        <w:rPr>
          <w:rFonts w:hint="eastAsia" w:ascii="微软雅黑" w:hAnsi="微软雅黑" w:eastAsia="微软雅黑" w:cs="微软雅黑"/>
          <w:color w:val="auto"/>
          <w:sz w:val="24"/>
          <w:highlight w:val="none"/>
        </w:rPr>
        <w:t xml:space="preserve">：</w:t>
      </w:r>
      <w:r>
        <w:rPr>
          <w:rFonts w:hint="eastAsia" w:ascii="微软雅黑" w:hAnsi="微软雅黑" w:eastAsia="微软雅黑" w:cs="微软雅黑"/>
          <w:b/>
          <w:bCs/>
          <w:color w:val="auto"/>
          <w:sz w:val="24"/>
          <w:highlight w:val="none"/>
          <w:u w:val="single"/>
        </w:rPr>
        <w:t xml:space="preserve">  </w:t>
      </w:r>
      <w:r>
        <w:rPr>
          <w:rFonts w:hint="eastAsia" w:ascii="微软雅黑" w:hAnsi="微软雅黑" w:eastAsia="微软雅黑" w:cs="微软雅黑"/>
          <w:color w:val="auto"/>
          <w:sz w:val="24"/>
          <w:highlight w:val="none"/>
          <w:u w:val="single"/>
        </w:rPr>
        <w:t xml:space="preserve">                   </w:t>
      </w:r>
      <w:r>
        <w:rPr>
          <w:rFonts w:hint="eastAsia" w:ascii="微软雅黑" w:hAnsi="微软雅黑" w:cs="微软雅黑"/>
          <w:color w:val="auto"/>
          <w:sz w:val="24"/>
          <w:highlight w:val="none"/>
          <w:u w:val="single"/>
          <w:lang w:val="en-US" w:eastAsia="zh-CN"/>
        </w:rPr>
        <w:t xml:space="preserve">  </w:t>
      </w:r>
      <w:r>
        <w:rPr>
          <w:rFonts w:hint="eastAsia" w:ascii="微软雅黑" w:hAnsi="微软雅黑" w:cs="微软雅黑"/>
          <w:color w:val="auto"/>
          <w:sz w:val="24"/>
          <w:highlight w:val="none"/>
          <w:u w:val="none"/>
          <w:lang w:val="en-US" w:eastAsia="zh-CN"/>
        </w:rPr>
        <w:t xml:space="preserve">    </w:t>
      </w:r>
      <w:r>
        <w:rPr>
          <w:rFonts w:hint="eastAsia" w:ascii="微软雅黑" w:hAnsi="微软雅黑" w:eastAsia="微软雅黑" w:cs="微软雅黑"/>
          <w:b/>
          <w:color w:val="auto"/>
          <w:sz w:val="24"/>
          <w:highlight w:val="none"/>
        </w:rPr>
        <w:t xml:space="preserve">开户银行</w:t>
      </w:r>
      <w:r>
        <w:rPr>
          <w:rFonts w:hint="eastAsia" w:ascii="微软雅黑" w:hAnsi="微软雅黑" w:eastAsia="微软雅黑" w:cs="微软雅黑"/>
          <w:color w:val="auto"/>
          <w:sz w:val="24"/>
          <w:highlight w:val="none"/>
        </w:rPr>
        <w:t xml:space="preserve">：</w:t>
      </w:r>
      <w:r>
        <w:rPr>
          <w:rFonts w:hint="eastAsia" w:ascii="微软雅黑" w:hAnsi="微软雅黑" w:eastAsia="微软雅黑" w:cs="微软雅黑"/>
          <w:b/>
          <w:bCs/>
          <w:color w:val="auto"/>
          <w:sz w:val="16"/>
          <w:szCs w:val="16"/>
          <w:highlight w:val="none"/>
          <w:u w:val="single"/>
        </w:rPr>
        <w:t xml:space="preserve"> </w:t>
      </w:r>
      <w:r>
        <w:rPr>
          <w:rFonts w:hint="eastAsia" w:ascii="微软雅黑" w:hAnsi="微软雅黑" w:eastAsia="微软雅黑" w:cs="微软雅黑"/>
          <w:color w:val="auto"/>
          <w:sz w:val="24"/>
          <w:highlight w:val="none"/>
          <w:u w:val="single"/>
        </w:rPr>
        <w:t xml:space="preserve">                </w:t>
      </w:r>
      <w:r>
        <w:rPr>
          <w:rFonts w:hint="eastAsia" w:ascii="微软雅黑" w:hAnsi="微软雅黑" w:eastAsia="微软雅黑" w:cs="微软雅黑"/>
          <w:b/>
          <w:bCs/>
          <w:color w:val="auto"/>
          <w:sz w:val="16"/>
          <w:szCs w:val="16"/>
          <w:highlight w:val="none"/>
          <w:u w:val="single"/>
        </w:rPr>
        <w:t xml:space="preserve">                       </w:t>
      </w:r>
      <w:r>
        <w:rPr>
          <w:rFonts w:hint="eastAsia" w:ascii="微软雅黑" w:hAnsi="微软雅黑" w:eastAsia="微软雅黑" w:cs="微软雅黑"/>
          <w:color w:val="auto"/>
          <w:sz w:val="16"/>
          <w:szCs w:val="16"/>
          <w:highlight w:val="none"/>
          <w:u w:val="single"/>
        </w:rPr>
        <w:t xml:space="preserve"> </w:t>
      </w:r>
      <w:r>
        <w:rPr>
          <w:rFonts w:hint="eastAsia" w:ascii="微软雅黑" w:hAnsi="微软雅黑" w:eastAsia="微软雅黑" w:cs="微软雅黑"/>
          <w:color w:val="auto"/>
          <w:sz w:val="24"/>
          <w:highlight w:val="none"/>
          <w:u w:val="single"/>
        </w:rPr>
        <w:t xml:space="preserve">          </w:t>
      </w:r>
      <w:r>
        <w:rPr>
          <w:highlight w:val="none"/>
        </w:rPr>
      </w:r>
      <w:r>
        <w:rPr>
          <w:highlight w:val="none"/>
        </w:rPr>
      </w:r>
    </w:p>
    <w:p>
      <w:pPr>
        <w:spacing w:line="500" w:lineRule="exact"/>
        <w:rPr>
          <w:rFonts w:hint="eastAsia" w:ascii="微软雅黑" w:hAnsi="微软雅黑" w:eastAsia="微软雅黑" w:cs="微软雅黑"/>
          <w:b/>
          <w:bCs w:val="0"/>
          <w:color w:val="auto"/>
          <w:sz w:val="24"/>
          <w:highlight w:val="none"/>
        </w:rPr>
      </w:pPr>
      <w:r>
        <w:rPr>
          <w:rFonts w:hint="eastAsia" w:ascii="微软雅黑" w:hAnsi="微软雅黑" w:cs="微软雅黑"/>
          <w:b/>
          <w:bCs w:val="0"/>
          <w:color w:val="auto"/>
          <w:sz w:val="24"/>
          <w:highlight w:val="none"/>
          <w:lang w:eastAsia="zh-CN"/>
        </w:rPr>
        <w:t xml:space="preserve">账</w:t>
      </w:r>
      <w:r>
        <w:rPr>
          <w:rFonts w:hint="eastAsia" w:ascii="微软雅黑" w:hAnsi="微软雅黑" w:eastAsia="微软雅黑" w:cs="微软雅黑"/>
          <w:b/>
          <w:bCs w:val="0"/>
          <w:color w:val="auto"/>
          <w:sz w:val="24"/>
          <w:highlight w:val="none"/>
        </w:rPr>
        <w:t xml:space="preserve">    号：</w:t>
      </w:r>
      <w:r>
        <w:rPr>
          <w:rFonts w:hint="eastAsia" w:ascii="微软雅黑" w:hAnsi="微软雅黑" w:eastAsia="微软雅黑" w:cs="微软雅黑"/>
          <w:b/>
          <w:bCs w:val="0"/>
          <w:color w:val="auto"/>
          <w:sz w:val="24"/>
          <w:highlight w:val="none"/>
          <w:u w:val="single"/>
        </w:rPr>
        <w:t xml:space="preserve">                       </w:t>
      </w:r>
      <w:r>
        <w:rPr>
          <w:rFonts w:hint="eastAsia" w:ascii="微软雅黑" w:hAnsi="微软雅黑" w:cs="微软雅黑"/>
          <w:b/>
          <w:bCs w:val="0"/>
          <w:color w:val="auto"/>
          <w:sz w:val="24"/>
          <w:highlight w:val="none"/>
          <w:lang w:val="en-US" w:eastAsia="zh-CN"/>
        </w:rPr>
        <w:t xml:space="preserve">   账    号：</w:t>
      </w:r>
      <w:r>
        <w:rPr>
          <w:rFonts w:hint="eastAsia" w:ascii="微软雅黑" w:hAnsi="微软雅黑" w:eastAsia="微软雅黑" w:cs="微软雅黑"/>
          <w:b/>
          <w:bCs w:val="0"/>
          <w:color w:val="auto"/>
          <w:sz w:val="24"/>
          <w:highlight w:val="none"/>
          <w:u w:val="single"/>
        </w:rPr>
        <w:t xml:space="preserve">                                          </w:t>
      </w:r>
      <w:r>
        <w:rPr>
          <w:highlight w:val="none"/>
        </w:rPr>
      </w:r>
      <w:r>
        <w:rPr>
          <w:highlight w:val="none"/>
        </w:rPr>
      </w:r>
    </w:p>
    <w:p>
      <w:pPr>
        <w:spacing w:line="500" w:lineRule="exact"/>
        <w:rPr>
          <w:rFonts w:hint="eastAsia" w:ascii="微软雅黑" w:hAnsi="微软雅黑" w:eastAsia="微软雅黑" w:cs="微软雅黑"/>
          <w:color w:val="auto"/>
          <w:sz w:val="24"/>
          <w:highlight w:val="none"/>
        </w:rPr>
      </w:pPr>
      <w:r>
        <w:rPr>
          <w:rFonts w:hint="eastAsia" w:ascii="微软雅黑" w:hAnsi="微软雅黑" w:eastAsia="微软雅黑" w:cs="微软雅黑"/>
          <w:b/>
          <w:color w:val="auto"/>
          <w:sz w:val="24"/>
          <w:highlight w:val="none"/>
        </w:rPr>
        <w:t xml:space="preserve">日    期</w:t>
      </w:r>
      <w:r>
        <w:rPr>
          <w:rFonts w:hint="eastAsia" w:ascii="微软雅黑" w:hAnsi="微软雅黑" w:eastAsia="微软雅黑" w:cs="微软雅黑"/>
          <w:color w:val="auto"/>
          <w:sz w:val="24"/>
          <w:highlight w:val="none"/>
        </w:rPr>
        <w:t xml:space="preserve">：</w:t>
      </w:r>
      <w:r>
        <w:rPr>
          <w:rFonts w:hint="eastAsia" w:ascii="微软雅黑" w:hAnsi="微软雅黑" w:eastAsia="微软雅黑" w:cs="微软雅黑"/>
          <w:color w:val="auto"/>
          <w:sz w:val="24"/>
          <w:highlight w:val="none"/>
          <w:u w:val="single"/>
        </w:rPr>
        <w:t xml:space="preserve">    </w:t>
      </w:r>
      <w:r>
        <w:rPr>
          <w:rFonts w:hint="eastAsia" w:ascii="微软雅黑" w:hAnsi="微软雅黑" w:eastAsia="微软雅黑" w:cs="微软雅黑"/>
          <w:color w:val="auto"/>
          <w:sz w:val="24"/>
          <w:highlight w:val="none"/>
        </w:rPr>
        <w:t xml:space="preserve">年</w:t>
      </w:r>
      <w:r>
        <w:rPr>
          <w:rFonts w:hint="eastAsia" w:ascii="微软雅黑" w:hAnsi="微软雅黑" w:eastAsia="微软雅黑" w:cs="微软雅黑"/>
          <w:color w:val="auto"/>
          <w:sz w:val="24"/>
          <w:highlight w:val="none"/>
          <w:u w:val="single"/>
        </w:rPr>
        <w:t xml:space="preserve">   </w:t>
      </w:r>
      <w:r>
        <w:rPr>
          <w:rFonts w:hint="eastAsia" w:ascii="微软雅黑" w:hAnsi="微软雅黑" w:eastAsia="微软雅黑" w:cs="微软雅黑"/>
          <w:color w:val="auto"/>
          <w:sz w:val="24"/>
          <w:highlight w:val="none"/>
        </w:rPr>
        <w:t xml:space="preserve">月</w:t>
      </w:r>
      <w:r>
        <w:rPr>
          <w:rFonts w:hint="eastAsia" w:ascii="微软雅黑" w:hAnsi="微软雅黑" w:eastAsia="微软雅黑" w:cs="微软雅黑"/>
          <w:color w:val="auto"/>
          <w:sz w:val="24"/>
          <w:highlight w:val="none"/>
          <w:u w:val="single"/>
        </w:rPr>
        <w:t xml:space="preserve">   </w:t>
      </w:r>
      <w:r>
        <w:rPr>
          <w:rFonts w:hint="eastAsia" w:ascii="微软雅黑" w:hAnsi="微软雅黑" w:eastAsia="微软雅黑" w:cs="微软雅黑"/>
          <w:color w:val="auto"/>
          <w:sz w:val="24"/>
          <w:highlight w:val="none"/>
        </w:rPr>
        <w:t xml:space="preserve">日         </w:t>
      </w:r>
      <w:r>
        <w:rPr>
          <w:rFonts w:hint="eastAsia" w:ascii="微软雅黑" w:hAnsi="微软雅黑" w:cs="微软雅黑"/>
          <w:color w:val="auto"/>
          <w:sz w:val="24"/>
          <w:highlight w:val="none"/>
          <w:lang w:val="en-US" w:eastAsia="zh-CN"/>
        </w:rPr>
        <w:t xml:space="preserve"> </w:t>
      </w:r>
      <w:r>
        <w:rPr>
          <w:rFonts w:hint="eastAsia" w:ascii="微软雅黑" w:hAnsi="微软雅黑" w:eastAsia="微软雅黑" w:cs="微软雅黑"/>
          <w:b/>
          <w:color w:val="auto"/>
          <w:sz w:val="24"/>
          <w:highlight w:val="none"/>
        </w:rPr>
        <w:t xml:space="preserve">日    期</w:t>
      </w:r>
      <w:r>
        <w:rPr>
          <w:rFonts w:hint="eastAsia" w:ascii="微软雅黑" w:hAnsi="微软雅黑" w:eastAsia="微软雅黑" w:cs="微软雅黑"/>
          <w:color w:val="auto"/>
          <w:sz w:val="24"/>
          <w:highlight w:val="none"/>
        </w:rPr>
        <w:t xml:space="preserve">：</w:t>
      </w:r>
      <w:r>
        <w:rPr>
          <w:rFonts w:hint="eastAsia" w:ascii="微软雅黑" w:hAnsi="微软雅黑" w:eastAsia="微软雅黑" w:cs="微软雅黑"/>
          <w:color w:val="auto"/>
          <w:sz w:val="24"/>
          <w:highlight w:val="none"/>
          <w:u w:val="single"/>
        </w:rPr>
        <w:t xml:space="preserve">    </w:t>
      </w:r>
      <w:r>
        <w:rPr>
          <w:rFonts w:hint="eastAsia" w:ascii="微软雅黑" w:hAnsi="微软雅黑" w:eastAsia="微软雅黑" w:cs="微软雅黑"/>
          <w:color w:val="auto"/>
          <w:sz w:val="24"/>
          <w:highlight w:val="none"/>
        </w:rPr>
        <w:t xml:space="preserve">年</w:t>
      </w:r>
      <w:r>
        <w:rPr>
          <w:rFonts w:hint="eastAsia" w:ascii="微软雅黑" w:hAnsi="微软雅黑" w:eastAsia="微软雅黑" w:cs="微软雅黑"/>
          <w:color w:val="auto"/>
          <w:sz w:val="24"/>
          <w:highlight w:val="none"/>
          <w:u w:val="single"/>
        </w:rPr>
        <w:t xml:space="preserve">   </w:t>
      </w:r>
      <w:r>
        <w:rPr>
          <w:rFonts w:hint="eastAsia" w:ascii="微软雅黑" w:hAnsi="微软雅黑" w:eastAsia="微软雅黑" w:cs="微软雅黑"/>
          <w:color w:val="auto"/>
          <w:sz w:val="24"/>
          <w:highlight w:val="none"/>
        </w:rPr>
        <w:t xml:space="preserve">月</w:t>
      </w:r>
      <w:r>
        <w:rPr>
          <w:rFonts w:hint="eastAsia" w:ascii="微软雅黑" w:hAnsi="微软雅黑" w:eastAsia="微软雅黑" w:cs="微软雅黑"/>
          <w:color w:val="auto"/>
          <w:sz w:val="24"/>
          <w:highlight w:val="none"/>
          <w:u w:val="single"/>
        </w:rPr>
        <w:t xml:space="preserve">   </w:t>
      </w:r>
      <w:r>
        <w:rPr>
          <w:rFonts w:hint="eastAsia" w:ascii="微软雅黑" w:hAnsi="微软雅黑" w:eastAsia="微软雅黑" w:cs="微软雅黑"/>
          <w:color w:val="auto"/>
          <w:sz w:val="24"/>
          <w:highlight w:val="none"/>
        </w:rPr>
        <w:t xml:space="preserve">日</w:t>
      </w:r>
      <w:r>
        <w:rPr>
          <w:highlight w:val="none"/>
        </w:rPr>
      </w:r>
      <w:r>
        <w:rPr>
          <w:highlight w:val="none"/>
        </w:rPr>
      </w:r>
    </w:p>
    <w:p>
      <w:pPr>
        <w:pStyle w:val="924"/>
        <w:spacing w:line="360" w:lineRule="auto"/>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rPr>
      </w:r>
      <w:r>
        <w:rPr>
          <w:highlight w:val="none"/>
        </w:rPr>
      </w:r>
      <w:r>
        <w:rPr>
          <w:highlight w:val="none"/>
        </w:rPr>
      </w:r>
    </w:p>
    <w:p>
      <w:pPr>
        <w:rPr>
          <w:rFonts w:hint="eastAsia" w:ascii="微软雅黑" w:hAnsi="微软雅黑" w:eastAsia="微软雅黑" w:cs="微软雅黑"/>
          <w:b/>
          <w:color w:val="auto"/>
          <w:sz w:val="24"/>
          <w:highlight w:val="none"/>
          <w:u w:val="single"/>
        </w:rPr>
      </w:pPr>
      <w:r>
        <w:rPr>
          <w:rFonts w:hint="eastAsia" w:ascii="微软雅黑" w:hAnsi="微软雅黑" w:eastAsia="微软雅黑" w:cs="微软雅黑"/>
          <w:b/>
          <w:color w:val="auto"/>
          <w:sz w:val="24"/>
          <w:highlight w:val="none"/>
        </w:rPr>
        <w:t xml:space="preserve">合同签署地点：</w:t>
      </w:r>
      <w:r>
        <w:rPr>
          <w:rFonts w:hint="eastAsia" w:ascii="微软雅黑" w:hAnsi="微软雅黑" w:eastAsia="微软雅黑" w:cs="微软雅黑"/>
          <w:b/>
          <w:color w:val="auto"/>
          <w:sz w:val="24"/>
          <w:highlight w:val="none"/>
          <w:u w:val="single"/>
        </w:rPr>
        <w:t xml:space="preserve">江苏省徐州市泉山区 </w:t>
      </w:r>
      <w:r>
        <w:rPr>
          <w:highlight w:val="none"/>
        </w:rPr>
      </w:r>
      <w:r>
        <w:rPr>
          <w:highlight w:val="none"/>
        </w:rPr>
      </w:r>
    </w:p>
    <w:p>
      <w:pPr>
        <w:rPr>
          <w:rFonts w:hint="eastAsia" w:ascii="微软雅黑" w:hAnsi="微软雅黑" w:eastAsia="微软雅黑" w:cs="微软雅黑"/>
          <w:color w:val="auto"/>
          <w:sz w:val="24"/>
          <w:highlight w:val="none"/>
        </w:rPr>
      </w:pPr>
      <w:r>
        <w:rPr>
          <w:rFonts w:hint="eastAsia" w:ascii="微软雅黑" w:hAnsi="微软雅黑" w:eastAsia="微软雅黑" w:cs="微软雅黑"/>
          <w:color w:val="auto"/>
          <w:sz w:val="24"/>
          <w:highlight w:val="none"/>
        </w:rPr>
      </w:r>
      <w:r>
        <w:rPr>
          <w:highlight w:val="none"/>
        </w:rPr>
      </w:r>
      <w:r>
        <w:rPr>
          <w:highlight w:val="none"/>
        </w:rPr>
      </w:r>
    </w:p>
    <w:p>
      <w:pPr>
        <w:spacing w:line="360" w:lineRule="auto"/>
        <w:rPr>
          <w:rFonts w:hint="eastAsia" w:ascii="微软雅黑" w:hAnsi="微软雅黑" w:eastAsia="微软雅黑" w:cs="微软雅黑"/>
          <w:b/>
          <w:color w:val="auto"/>
          <w:sz w:val="28"/>
          <w:szCs w:val="28"/>
          <w:highlight w:val="none"/>
        </w:rPr>
      </w:pPr>
      <w:r>
        <w:rPr>
          <w:rFonts w:hint="eastAsia" w:ascii="微软雅黑" w:hAnsi="微软雅黑" w:eastAsia="微软雅黑" w:cs="微软雅黑"/>
          <w:color w:val="auto"/>
          <w:szCs w:val="21"/>
          <w:highlight w:val="none"/>
          <w:u w:val="single"/>
        </w:rPr>
        <w:br w:type="page" w:clear="all"/>
      </w:r>
      <w:r>
        <w:rPr>
          <w:rFonts w:hint="eastAsia" w:ascii="微软雅黑" w:hAnsi="微软雅黑" w:eastAsia="微软雅黑" w:cs="微软雅黑"/>
          <w:b/>
          <w:color w:val="auto"/>
          <w:sz w:val="28"/>
          <w:szCs w:val="28"/>
          <w:highlight w:val="none"/>
        </w:rPr>
        <w:t xml:space="preserve">合同附件3：</w:t>
      </w:r>
      <w:r>
        <w:rPr>
          <w:highlight w:val="none"/>
        </w:rPr>
      </w:r>
      <w:r>
        <w:rPr>
          <w:highlight w:val="none"/>
        </w:rPr>
      </w:r>
    </w:p>
    <w:p>
      <w:pPr>
        <w:pStyle w:val="932"/>
        <w:jc w:val="center"/>
        <w:spacing w:beforeAutospacing="0" w:afterAutospacing="0"/>
        <w:rPr>
          <w:rFonts w:hint="eastAsia" w:ascii="微软雅黑" w:hAnsi="微软雅黑" w:eastAsia="微软雅黑" w:cs="微软雅黑"/>
          <w:b/>
          <w:bCs/>
          <w:color w:val="auto"/>
          <w:sz w:val="44"/>
          <w:szCs w:val="44"/>
          <w:highlight w:val="none"/>
        </w:rPr>
      </w:pPr>
      <w:r>
        <w:rPr>
          <w:rFonts w:hint="eastAsia" w:ascii="微软雅黑" w:hAnsi="微软雅黑" w:eastAsia="微软雅黑" w:cs="微软雅黑"/>
          <w:b/>
          <w:bCs/>
          <w:color w:val="auto"/>
          <w:sz w:val="44"/>
          <w:szCs w:val="44"/>
          <w:highlight w:val="none"/>
        </w:rPr>
        <w:t xml:space="preserve">医疗卫生机构廉洁购销合同</w:t>
      </w:r>
      <w:r>
        <w:rPr>
          <w:rStyle w:val="1284"/>
          <w:rFonts w:hint="eastAsia" w:ascii="微软雅黑" w:hAnsi="微软雅黑" w:eastAsia="微软雅黑" w:cs="微软雅黑"/>
          <w:b/>
          <w:color w:val="auto"/>
          <w:highlight w:val="none"/>
        </w:rPr>
        <w:t xml:space="preserve">：</w:t>
      </w:r>
      <w:r>
        <w:rPr>
          <w:highlight w:val="none"/>
        </w:rPr>
      </w:r>
      <w:r>
        <w:rPr>
          <w:highlight w:val="none"/>
        </w:rPr>
      </w:r>
    </w:p>
    <w:p>
      <w:pPr>
        <w:pStyle w:val="932"/>
        <w:ind w:firstLine="482"/>
        <w:spacing w:beforeAutospacing="0" w:afterAutospacing="0" w:line="360" w:lineRule="auto"/>
        <w:rPr>
          <w:rFonts w:hint="eastAsia" w:ascii="微软雅黑" w:hAnsi="微软雅黑" w:eastAsia="微软雅黑" w:cs="微软雅黑"/>
          <w:color w:val="auto"/>
          <w:highlight w:val="none"/>
        </w:rPr>
      </w:pPr>
      <w:r>
        <w:rPr>
          <w:rFonts w:hint="eastAsia" w:ascii="微软雅黑" w:hAnsi="微软雅黑" w:eastAsia="微软雅黑" w:cs="微软雅黑"/>
          <w:b/>
          <w:color w:val="auto"/>
          <w:highlight w:val="none"/>
        </w:rPr>
        <w:t xml:space="preserve">购货单位</w:t>
      </w:r>
      <w:r>
        <w:rPr>
          <w:rFonts w:hint="eastAsia" w:ascii="微软雅黑" w:hAnsi="微软雅黑" w:eastAsia="微软雅黑" w:cs="微软雅黑"/>
          <w:color w:val="auto"/>
          <w:highlight w:val="none"/>
        </w:rPr>
        <w:t xml:space="preserve">：</w:t>
      </w:r>
      <w:r>
        <w:rPr>
          <w:rFonts w:hint="eastAsia" w:ascii="微软雅黑" w:hAnsi="微软雅黑" w:eastAsia="微软雅黑" w:cs="微软雅黑"/>
          <w:color w:val="auto"/>
          <w:highlight w:val="none"/>
          <w:u w:val="single"/>
        </w:rPr>
        <w:t xml:space="preserve">  徐州医科大学附属医院  </w:t>
      </w:r>
      <w:r>
        <w:rPr>
          <w:rFonts w:hint="eastAsia" w:ascii="微软雅黑" w:hAnsi="微软雅黑" w:eastAsia="微软雅黑" w:cs="微软雅黑"/>
          <w:color w:val="auto"/>
          <w:highlight w:val="none"/>
        </w:rPr>
        <w:t xml:space="preserve">（以下简称甲方） </w:t>
      </w:r>
      <w:r>
        <w:rPr>
          <w:highlight w:val="none"/>
        </w:rPr>
      </w:r>
      <w:r>
        <w:rPr>
          <w:highlight w:val="none"/>
        </w:rPr>
      </w:r>
    </w:p>
    <w:p>
      <w:pPr>
        <w:pStyle w:val="932"/>
        <w:ind w:firstLine="482"/>
        <w:spacing w:beforeAutospacing="0" w:afterAutospacing="0" w:line="360" w:lineRule="auto"/>
        <w:rPr>
          <w:rFonts w:hint="eastAsia" w:ascii="微软雅黑" w:hAnsi="微软雅黑" w:eastAsia="微软雅黑" w:cs="微软雅黑"/>
          <w:color w:val="auto"/>
          <w:highlight w:val="none"/>
        </w:rPr>
      </w:pPr>
      <w:r>
        <w:rPr>
          <w:rFonts w:hint="eastAsia" w:ascii="微软雅黑" w:hAnsi="微软雅黑" w:eastAsia="微软雅黑" w:cs="微软雅黑"/>
          <w:b/>
          <w:color w:val="auto"/>
          <w:highlight w:val="none"/>
        </w:rPr>
        <w:t xml:space="preserve">供货单位</w:t>
      </w:r>
      <w:r>
        <w:rPr>
          <w:rFonts w:hint="eastAsia" w:ascii="微软雅黑" w:hAnsi="微软雅黑" w:eastAsia="微软雅黑" w:cs="微软雅黑"/>
          <w:color w:val="auto"/>
          <w:highlight w:val="none"/>
        </w:rPr>
        <w:t xml:space="preserve">：</w:t>
      </w:r>
      <w:r>
        <w:rPr>
          <w:rFonts w:hint="eastAsia" w:ascii="微软雅黑" w:hAnsi="微软雅黑" w:eastAsia="微软雅黑" w:cs="微软雅黑"/>
          <w:color w:val="auto"/>
          <w:highlight w:val="none"/>
          <w:u w:val="single"/>
        </w:rPr>
        <w:t xml:space="preserve">                        </w:t>
      </w:r>
      <w:r>
        <w:rPr>
          <w:rFonts w:hint="eastAsia" w:ascii="微软雅黑" w:hAnsi="微软雅黑" w:eastAsia="微软雅黑" w:cs="微软雅黑"/>
          <w:color w:val="auto"/>
          <w:highlight w:val="none"/>
        </w:rPr>
        <w:t xml:space="preserve">（以下简称乙方） </w:t>
      </w:r>
      <w:r>
        <w:rPr>
          <w:highlight w:val="none"/>
        </w:rPr>
      </w:r>
      <w:r>
        <w:rPr>
          <w:highlight w:val="none"/>
        </w:rPr>
      </w:r>
    </w:p>
    <w:p>
      <w:pPr>
        <w:pStyle w:val="932"/>
        <w:ind w:firstLine="482"/>
        <w:spacing w:beforeAutospacing="0" w:afterAutospacing="0" w:line="360" w:lineRule="auto"/>
        <w:rPr>
          <w:rFonts w:hint="eastAsia" w:ascii="微软雅黑" w:hAnsi="微软雅黑" w:eastAsia="微软雅黑" w:cs="微软雅黑"/>
          <w:b/>
          <w:color w:val="auto"/>
          <w:highlight w:val="none"/>
        </w:rPr>
      </w:pPr>
      <w:r>
        <w:rPr>
          <w:rFonts w:hint="eastAsia" w:ascii="微软雅黑" w:hAnsi="微软雅黑" w:eastAsia="微软雅黑" w:cs="微软雅黑"/>
          <w:b/>
          <w:color w:val="auto"/>
          <w:highlight w:val="none"/>
        </w:rPr>
        <w:t xml:space="preserve">合同签署地点：</w:t>
      </w:r>
      <w:r>
        <w:rPr>
          <w:rFonts w:hint="eastAsia" w:ascii="微软雅黑" w:hAnsi="微软雅黑" w:eastAsia="微软雅黑" w:cs="微软雅黑"/>
          <w:color w:val="auto"/>
          <w:highlight w:val="none"/>
        </w:rPr>
        <w:t xml:space="preserve">江苏省徐州市</w:t>
      </w:r>
      <w:r>
        <w:rPr>
          <w:highlight w:val="none"/>
        </w:rPr>
      </w:r>
      <w:r>
        <w:rPr>
          <w:highlight w:val="none"/>
        </w:rPr>
      </w:r>
    </w:p>
    <w:p>
      <w:pPr>
        <w:ind w:firstLine="420"/>
        <w:spacing w:line="320" w:lineRule="exact"/>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rPr>
        <w:t xml:space="preserve">为进一步加强医疗卫生行风建设，规范医疗卫生机构医药购销行为，有效防范商业贿赂行为，营造公平交易、诚实守信的购销环境，经甲、乙双方协商，同意签订本合同，并共同遵守：</w:t>
      </w:r>
      <w:r>
        <w:rPr>
          <w:highlight w:val="none"/>
        </w:rPr>
      </w:r>
      <w:r>
        <w:rPr>
          <w:highlight w:val="none"/>
        </w:rPr>
      </w:r>
    </w:p>
    <w:p>
      <w:pPr>
        <w:ind w:firstLine="420"/>
        <w:spacing w:line="320" w:lineRule="exact"/>
        <w:rPr>
          <w:rFonts w:hint="eastAsia" w:ascii="微软雅黑" w:hAnsi="微软雅黑" w:eastAsia="微软雅黑" w:cs="微软雅黑"/>
          <w:color w:val="auto"/>
          <w:highlight w:val="none"/>
        </w:rPr>
      </w:pPr>
      <w:r>
        <w:rPr>
          <w:rFonts w:hint="eastAsia" w:ascii="微软雅黑" w:hAnsi="微软雅黑" w:eastAsia="微软雅黑" w:cs="微软雅黑"/>
          <w:b/>
          <w:color w:val="auto"/>
          <w:highlight w:val="none"/>
        </w:rPr>
        <w:t xml:space="preserve">一、</w:t>
      </w:r>
      <w:r>
        <w:rPr>
          <w:rFonts w:hint="eastAsia" w:ascii="微软雅黑" w:hAnsi="微软雅黑" w:eastAsia="微软雅黑" w:cs="微软雅黑"/>
          <w:color w:val="auto"/>
          <w:highlight w:val="none"/>
        </w:rPr>
        <w:t xml:space="preserve">甲乙双方按照《</w:t>
      </w:r>
      <w:r>
        <w:rPr>
          <w:rFonts w:hint="eastAsia" w:ascii="微软雅黑" w:hAnsi="微软雅黑" w:cs="微软雅黑"/>
          <w:color w:val="auto"/>
          <w:highlight w:val="none"/>
          <w:lang w:eastAsia="zh-CN"/>
        </w:rPr>
        <w:t xml:space="preserve">中华人民共和国民法典</w:t>
      </w:r>
      <w:r>
        <w:rPr>
          <w:rFonts w:hint="eastAsia" w:ascii="微软雅黑" w:hAnsi="微软雅黑" w:eastAsia="微软雅黑" w:cs="微软雅黑"/>
          <w:color w:val="auto"/>
          <w:highlight w:val="none"/>
        </w:rPr>
        <w:t xml:space="preserve">》及购销合同约定购销药品、医用设备、医用耗材、检验检测试剂等货物、服务、工程类项目。</w:t>
      </w:r>
      <w:r>
        <w:rPr>
          <w:highlight w:val="none"/>
        </w:rPr>
      </w:r>
      <w:r>
        <w:rPr>
          <w:highlight w:val="none"/>
        </w:rPr>
      </w:r>
    </w:p>
    <w:p>
      <w:pPr>
        <w:ind w:firstLine="420"/>
        <w:spacing w:line="320" w:lineRule="exact"/>
        <w:rPr>
          <w:rFonts w:hint="eastAsia" w:ascii="微软雅黑" w:hAnsi="微软雅黑" w:eastAsia="微软雅黑" w:cs="微软雅黑"/>
          <w:color w:val="auto"/>
          <w:highlight w:val="none"/>
        </w:rPr>
      </w:pPr>
      <w:r>
        <w:rPr>
          <w:rFonts w:hint="eastAsia" w:ascii="微软雅黑" w:hAnsi="微软雅黑" w:eastAsia="微软雅黑" w:cs="微软雅黑"/>
          <w:b/>
          <w:color w:val="auto"/>
          <w:highlight w:val="none"/>
        </w:rPr>
        <w:t xml:space="preserve">二、</w:t>
      </w:r>
      <w:r>
        <w:rPr>
          <w:rFonts w:hint="eastAsia" w:ascii="微软雅黑" w:hAnsi="微软雅黑" w:eastAsia="微软雅黑" w:cs="微软雅黑"/>
          <w:color w:val="auto"/>
          <w:highlight w:val="none"/>
        </w:rPr>
        <w:t xml:space="preserve">甲方应当严格执行购销合同验收、入库制度，对采购项目及发票进行查验，不得违反有关规定合同外采购、违价采购或从非规定渠道采购。</w:t>
      </w:r>
      <w:r>
        <w:rPr>
          <w:highlight w:val="none"/>
        </w:rPr>
      </w:r>
      <w:r>
        <w:rPr>
          <w:highlight w:val="none"/>
        </w:rPr>
      </w:r>
    </w:p>
    <w:p>
      <w:pPr>
        <w:ind w:firstLine="420"/>
        <w:spacing w:line="320" w:lineRule="exact"/>
        <w:rPr>
          <w:rFonts w:hint="eastAsia" w:ascii="微软雅黑" w:hAnsi="微软雅黑" w:eastAsia="微软雅黑" w:cs="微软雅黑"/>
          <w:color w:val="auto"/>
          <w:highlight w:val="none"/>
        </w:rPr>
      </w:pPr>
      <w:r>
        <w:rPr>
          <w:rFonts w:hint="eastAsia" w:ascii="微软雅黑" w:hAnsi="微软雅黑" w:eastAsia="微软雅黑" w:cs="微软雅黑"/>
          <w:b/>
          <w:color w:val="auto"/>
          <w:highlight w:val="none"/>
        </w:rPr>
        <w:t xml:space="preserve">三、</w:t>
      </w:r>
      <w:r>
        <w:rPr>
          <w:rFonts w:hint="eastAsia" w:ascii="微软雅黑" w:hAnsi="微软雅黑" w:eastAsia="微软雅黑" w:cs="微软雅黑"/>
          <w:color w:val="auto"/>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w:t>
      </w:r>
      <w:r>
        <w:rPr>
          <w:rFonts w:hint="eastAsia" w:ascii="微软雅黑" w:hAnsi="微软雅黑" w:cs="微软雅黑"/>
          <w:color w:val="auto"/>
          <w:highlight w:val="none"/>
          <w:lang w:eastAsia="zh-CN"/>
        </w:rPr>
        <w:t xml:space="preserve">给予</w:t>
      </w:r>
      <w:r>
        <w:rPr>
          <w:rFonts w:hint="eastAsia" w:ascii="微软雅黑" w:hAnsi="微软雅黑" w:eastAsia="微软雅黑" w:cs="微软雅黑"/>
          <w:color w:val="auto"/>
          <w:highlight w:val="none"/>
        </w:rPr>
        <w:t xml:space="preserve">的钱物应予退还，无法退还的，有责任如实向有关纪检监察部门反映情</w:t>
      </w:r>
      <w:r>
        <w:rPr>
          <w:rFonts w:hint="eastAsia" w:ascii="微软雅黑" w:hAnsi="微软雅黑" w:cs="微软雅黑"/>
          <w:color w:val="auto"/>
          <w:highlight w:val="none"/>
          <w:lang w:eastAsia="zh-CN"/>
        </w:rPr>
        <w:t xml:space="preserve">况</w:t>
      </w:r>
      <w:r>
        <w:rPr>
          <w:rFonts w:hint="eastAsia" w:ascii="微软雅黑" w:hAnsi="微软雅黑" w:eastAsia="微软雅黑" w:cs="微软雅黑"/>
          <w:color w:val="auto"/>
          <w:highlight w:val="none"/>
        </w:rPr>
        <w:t xml:space="preserve">。</w:t>
      </w:r>
      <w:r>
        <w:rPr>
          <w:highlight w:val="none"/>
        </w:rPr>
      </w:r>
      <w:r>
        <w:rPr>
          <w:highlight w:val="none"/>
        </w:rPr>
      </w:r>
    </w:p>
    <w:p>
      <w:pPr>
        <w:ind w:firstLine="420"/>
        <w:spacing w:line="320" w:lineRule="exact"/>
        <w:rPr>
          <w:rFonts w:hint="eastAsia" w:ascii="微软雅黑" w:hAnsi="微软雅黑" w:eastAsia="微软雅黑" w:cs="微软雅黑"/>
          <w:color w:val="auto"/>
          <w:highlight w:val="none"/>
        </w:rPr>
      </w:pPr>
      <w:r>
        <w:rPr>
          <w:rFonts w:hint="eastAsia" w:ascii="微软雅黑" w:hAnsi="微软雅黑" w:eastAsia="微软雅黑" w:cs="微软雅黑"/>
          <w:b/>
          <w:color w:val="auto"/>
          <w:highlight w:val="none"/>
        </w:rPr>
        <w:t xml:space="preserve">四、</w:t>
      </w:r>
      <w:r>
        <w:rPr>
          <w:rFonts w:hint="eastAsia" w:ascii="微软雅黑" w:hAnsi="微软雅黑" w:eastAsia="微软雅黑" w:cs="微软雅黑"/>
          <w:color w:val="auto"/>
          <w:highlight w:val="none"/>
        </w:rPr>
        <w:t xml:space="preserve">严禁甲方工作人员利用任何途径和方式，为乙方统计医师个人及临床科室有关医药产品用量信息，或为乙方统计提供便利。</w:t>
      </w:r>
      <w:r>
        <w:rPr>
          <w:highlight w:val="none"/>
        </w:rPr>
      </w:r>
      <w:r>
        <w:rPr>
          <w:highlight w:val="none"/>
        </w:rPr>
      </w:r>
    </w:p>
    <w:p>
      <w:pPr>
        <w:ind w:firstLine="420"/>
        <w:spacing w:line="320" w:lineRule="exact"/>
        <w:rPr>
          <w:rFonts w:hint="eastAsia" w:ascii="微软雅黑" w:hAnsi="微软雅黑" w:eastAsia="微软雅黑" w:cs="微软雅黑"/>
          <w:color w:val="auto"/>
          <w:highlight w:val="none"/>
        </w:rPr>
      </w:pPr>
      <w:r>
        <w:rPr>
          <w:rFonts w:hint="eastAsia" w:ascii="微软雅黑" w:hAnsi="微软雅黑" w:eastAsia="微软雅黑" w:cs="微软雅黑"/>
          <w:b/>
          <w:color w:val="auto"/>
          <w:highlight w:val="none"/>
        </w:rPr>
        <w:t xml:space="preserve">五、</w:t>
      </w:r>
      <w:r>
        <w:rPr>
          <w:rFonts w:hint="eastAsia" w:ascii="微软雅黑" w:hAnsi="微软雅黑" w:eastAsia="微软雅黑" w:cs="微软雅黑"/>
          <w:color w:val="auto"/>
          <w:highlight w:val="none"/>
        </w:rPr>
        <w:t xml:space="preserve">乙方不得以回扣、宴请等方式影响甲方工作人员采购或使用医药产品的选择权，不得在学术活动中提供旅游、超标准支付食宿费用。</w:t>
      </w:r>
      <w:r>
        <w:rPr>
          <w:highlight w:val="none"/>
        </w:rPr>
      </w:r>
      <w:r>
        <w:rPr>
          <w:highlight w:val="none"/>
        </w:rPr>
      </w:r>
    </w:p>
    <w:p>
      <w:pPr>
        <w:ind w:firstLine="420"/>
        <w:spacing w:line="320" w:lineRule="exact"/>
        <w:rPr>
          <w:rFonts w:hint="eastAsia" w:ascii="微软雅黑" w:hAnsi="微软雅黑" w:eastAsia="微软雅黑" w:cs="微软雅黑"/>
          <w:color w:val="auto"/>
          <w:highlight w:val="none"/>
        </w:rPr>
      </w:pPr>
      <w:r>
        <w:rPr>
          <w:rFonts w:hint="eastAsia" w:ascii="微软雅黑" w:hAnsi="微软雅黑" w:eastAsia="微软雅黑" w:cs="微软雅黑"/>
          <w:b/>
          <w:color w:val="auto"/>
          <w:highlight w:val="none"/>
        </w:rPr>
        <w:t xml:space="preserve">六、</w:t>
      </w:r>
      <w:r>
        <w:rPr>
          <w:rFonts w:hint="eastAsia" w:ascii="微软雅黑" w:hAnsi="微软雅黑" w:eastAsia="微软雅黑" w:cs="微软雅黑"/>
          <w:color w:val="auto"/>
          <w:highlight w:val="none"/>
        </w:rPr>
        <w:t xml:space="preserve">乙方指定</w:t>
      </w:r>
      <w:r>
        <w:rPr>
          <w:rFonts w:hint="eastAsia" w:ascii="微软雅黑" w:hAnsi="微软雅黑" w:eastAsia="微软雅黑" w:cs="微软雅黑"/>
          <w:color w:val="auto"/>
          <w:highlight w:val="none"/>
          <w:u w:val="single"/>
        </w:rPr>
        <w:t xml:space="preserve">          </w:t>
      </w:r>
      <w:r>
        <w:rPr>
          <w:rFonts w:hint="eastAsia" w:ascii="微软雅黑" w:hAnsi="微软雅黑" w:eastAsia="微软雅黑" w:cs="微软雅黑"/>
          <w:color w:val="auto"/>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rPr>
          <w:highlight w:val="none"/>
        </w:rPr>
      </w:r>
      <w:r>
        <w:rPr>
          <w:highlight w:val="none"/>
        </w:rPr>
      </w:r>
    </w:p>
    <w:p>
      <w:pPr>
        <w:ind w:firstLine="420"/>
        <w:spacing w:line="320" w:lineRule="exact"/>
        <w:rPr>
          <w:rFonts w:hint="eastAsia" w:ascii="微软雅黑" w:hAnsi="微软雅黑" w:eastAsia="微软雅黑" w:cs="微软雅黑"/>
          <w:color w:val="auto"/>
          <w:highlight w:val="none"/>
        </w:rPr>
      </w:pPr>
      <w:r>
        <w:rPr>
          <w:rFonts w:hint="eastAsia" w:ascii="微软雅黑" w:hAnsi="微软雅黑" w:eastAsia="微软雅黑" w:cs="微软雅黑"/>
          <w:b/>
          <w:color w:val="auto"/>
          <w:highlight w:val="none"/>
        </w:rPr>
        <w:t xml:space="preserve">七、</w:t>
      </w:r>
      <w:r>
        <w:rPr>
          <w:rFonts w:hint="eastAsia" w:ascii="微软雅黑" w:hAnsi="微软雅黑" w:eastAsia="微软雅黑" w:cs="微软雅黑"/>
          <w:color w:val="auto"/>
          <w:highlight w:val="none"/>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rPr>
          <w:highlight w:val="none"/>
        </w:rPr>
      </w:r>
      <w:r>
        <w:rPr>
          <w:highlight w:val="none"/>
        </w:rPr>
      </w:r>
    </w:p>
    <w:p>
      <w:pPr>
        <w:ind w:firstLine="420"/>
        <w:spacing w:line="320" w:lineRule="exact"/>
        <w:rPr>
          <w:rFonts w:hint="eastAsia" w:ascii="微软雅黑" w:hAnsi="微软雅黑" w:eastAsia="微软雅黑" w:cs="微软雅黑"/>
          <w:color w:val="auto"/>
          <w:highlight w:val="none"/>
        </w:rPr>
      </w:pPr>
      <w:r>
        <w:rPr>
          <w:rFonts w:hint="eastAsia" w:ascii="微软雅黑" w:hAnsi="微软雅黑" w:eastAsia="微软雅黑" w:cs="微软雅黑"/>
          <w:b/>
          <w:color w:val="auto"/>
          <w:highlight w:val="none"/>
        </w:rPr>
        <w:t xml:space="preserve">八、</w:t>
      </w:r>
      <w:r>
        <w:rPr>
          <w:rFonts w:hint="eastAsia" w:ascii="微软雅黑" w:hAnsi="微软雅黑" w:eastAsia="微软雅黑" w:cs="微软雅黑"/>
          <w:color w:val="auto"/>
          <w:highlight w:val="none"/>
        </w:rPr>
        <w:t xml:space="preserve">本合同作为医药产品购销合同的重要组成部分，与购销合同一并执行，具有同等的法律效力。</w:t>
      </w:r>
      <w:r>
        <w:rPr>
          <w:highlight w:val="none"/>
        </w:rPr>
      </w:r>
      <w:r>
        <w:rPr>
          <w:highlight w:val="none"/>
        </w:rPr>
      </w:r>
    </w:p>
    <w:p>
      <w:pPr>
        <w:ind w:firstLine="420"/>
        <w:spacing w:after="120" w:line="360" w:lineRule="exact"/>
        <w:rPr>
          <w:rFonts w:hint="eastAsia" w:ascii="微软雅黑" w:hAnsi="微软雅黑" w:eastAsia="微软雅黑" w:cs="微软雅黑"/>
          <w:color w:val="auto"/>
          <w:highlight w:val="none"/>
        </w:rPr>
      </w:pPr>
      <w:r>
        <w:rPr>
          <w:rFonts w:hint="eastAsia" w:ascii="微软雅黑" w:hAnsi="微软雅黑" w:eastAsia="微软雅黑" w:cs="微软雅黑"/>
          <w:b/>
          <w:color w:val="auto"/>
          <w:highlight w:val="none"/>
        </w:rPr>
        <w:t xml:space="preserve">九、</w:t>
      </w:r>
      <w:r>
        <w:rPr>
          <w:rFonts w:hint="eastAsia" w:ascii="微软雅黑" w:hAnsi="微软雅黑" w:eastAsia="微软雅黑" w:cs="微软雅黑"/>
          <w:color w:val="auto"/>
          <w:highlight w:val="none"/>
        </w:rPr>
        <w:t xml:space="preserve">本合同一式肆份，甲方叁份，乙方壹份，并从签订之日起生效。</w:t>
      </w:r>
      <w:r>
        <w:rPr>
          <w:highlight w:val="none"/>
        </w:rPr>
      </w:r>
      <w:r>
        <w:rPr>
          <w:highlight w:val="none"/>
        </w:rPr>
      </w:r>
    </w:p>
    <w:p>
      <w:pPr>
        <w:spacing w:after="120" w:line="360" w:lineRule="exact"/>
        <w:rPr>
          <w:rFonts w:hint="eastAsia" w:ascii="微软雅黑" w:hAnsi="微软雅黑" w:eastAsia="微软雅黑" w:cs="微软雅黑"/>
          <w:b/>
          <w:color w:val="auto"/>
          <w:highlight w:val="none"/>
        </w:rPr>
      </w:pPr>
      <w:r>
        <w:rPr>
          <w:rFonts w:hint="eastAsia" w:ascii="微软雅黑" w:hAnsi="微软雅黑" w:eastAsia="微软雅黑" w:cs="微软雅黑"/>
          <w:b/>
          <w:color w:val="auto"/>
          <w:highlight w:val="none"/>
        </w:rPr>
      </w:r>
      <w:r>
        <w:rPr>
          <w:highlight w:val="none"/>
        </w:rPr>
      </w:r>
      <w:r>
        <w:rPr>
          <w:highlight w:val="none"/>
        </w:rPr>
      </w:r>
    </w:p>
    <w:p>
      <w:pPr>
        <w:spacing w:after="120" w:line="360" w:lineRule="exact"/>
        <w:rPr>
          <w:rFonts w:hint="eastAsia" w:ascii="微软雅黑" w:hAnsi="微软雅黑" w:eastAsia="微软雅黑" w:cs="微软雅黑"/>
          <w:b/>
          <w:color w:val="auto"/>
          <w:highlight w:val="none"/>
        </w:rPr>
      </w:pPr>
      <w:r>
        <w:rPr>
          <w:rFonts w:hint="eastAsia" w:ascii="微软雅黑" w:hAnsi="微软雅黑" w:eastAsia="微软雅黑" w:cs="微软雅黑"/>
          <w:b/>
          <w:color w:val="auto"/>
          <w:highlight w:val="none"/>
        </w:rPr>
        <w:t xml:space="preserve">甲方：</w:t>
      </w:r>
      <w:r>
        <w:rPr>
          <w:rFonts w:hint="eastAsia" w:ascii="微软雅黑" w:hAnsi="微软雅黑" w:eastAsia="微软雅黑" w:cs="微软雅黑"/>
          <w:b/>
          <w:color w:val="auto"/>
          <w:highlight w:val="none"/>
          <w:u w:val="single"/>
        </w:rPr>
        <w:t xml:space="preserve"> 徐州医科大学附属医院 </w:t>
      </w:r>
      <w:r>
        <w:rPr>
          <w:rFonts w:hint="eastAsia" w:ascii="微软雅黑" w:hAnsi="微软雅黑" w:eastAsia="微软雅黑" w:cs="微软雅黑"/>
          <w:b/>
          <w:color w:val="auto"/>
          <w:highlight w:val="none"/>
        </w:rPr>
        <w:t xml:space="preserve">（盖章）  乙方：</w:t>
      </w:r>
      <w:r>
        <w:rPr>
          <w:rFonts w:hint="eastAsia" w:ascii="微软雅黑" w:hAnsi="微软雅黑" w:eastAsia="微软雅黑" w:cs="微软雅黑"/>
          <w:b/>
          <w:color w:val="auto"/>
          <w:highlight w:val="none"/>
          <w:u w:val="single"/>
        </w:rPr>
        <w:t xml:space="preserve">                     </w:t>
      </w:r>
      <w:r>
        <w:rPr>
          <w:rFonts w:hint="eastAsia" w:ascii="微软雅黑" w:hAnsi="微软雅黑" w:eastAsia="微软雅黑" w:cs="微软雅黑"/>
          <w:b/>
          <w:color w:val="auto"/>
          <w:highlight w:val="none"/>
        </w:rPr>
        <w:t xml:space="preserve">（盖章）</w:t>
      </w:r>
      <w:r>
        <w:rPr>
          <w:highlight w:val="none"/>
        </w:rPr>
      </w:r>
      <w:r>
        <w:rPr>
          <w:highlight w:val="none"/>
        </w:rPr>
      </w:r>
    </w:p>
    <w:p>
      <w:pPr>
        <w:rPr>
          <w:rFonts w:hint="eastAsia" w:ascii="微软雅黑" w:hAnsi="微软雅黑" w:eastAsia="微软雅黑" w:cs="微软雅黑"/>
          <w:color w:val="auto"/>
          <w:sz w:val="10"/>
          <w:szCs w:val="10"/>
          <w:highlight w:val="none"/>
        </w:rPr>
      </w:pPr>
      <w:r>
        <w:rPr>
          <w:rFonts w:hint="eastAsia" w:ascii="微软雅黑" w:hAnsi="微软雅黑" w:eastAsia="微软雅黑" w:cs="微软雅黑"/>
          <w:color w:val="auto"/>
          <w:sz w:val="10"/>
          <w:szCs w:val="10"/>
          <w:highlight w:val="none"/>
        </w:rPr>
      </w:r>
      <w:r>
        <w:rPr>
          <w:highlight w:val="none"/>
        </w:rPr>
      </w:r>
      <w:r>
        <w:rPr>
          <w:highlight w:val="none"/>
        </w:rPr>
      </w:r>
    </w:p>
    <w:p>
      <w:pPr>
        <w:spacing w:line="360" w:lineRule="auto"/>
        <w:rPr>
          <w:rFonts w:hint="eastAsia" w:ascii="微软雅黑" w:hAnsi="微软雅黑" w:eastAsia="微软雅黑" w:cs="微软雅黑"/>
          <w:color w:val="auto"/>
          <w:szCs w:val="21"/>
          <w:highlight w:val="none"/>
          <w:u w:val="single"/>
        </w:rPr>
      </w:pPr>
      <w:r>
        <w:rPr>
          <w:rFonts w:hint="eastAsia" w:ascii="微软雅黑" w:hAnsi="微软雅黑" w:eastAsia="微软雅黑" w:cs="微软雅黑"/>
          <w:b/>
          <w:color w:val="auto"/>
          <w:szCs w:val="21"/>
          <w:highlight w:val="none"/>
        </w:rPr>
        <w:t xml:space="preserve">法定代表人</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u w:val="single"/>
        </w:rPr>
        <w:t xml:space="preserve">                       </w:t>
      </w:r>
      <w:r>
        <w:rPr>
          <w:rFonts w:hint="eastAsia" w:ascii="微软雅黑" w:hAnsi="微软雅黑" w:eastAsia="微软雅黑" w:cs="微软雅黑"/>
          <w:color w:val="auto"/>
          <w:szCs w:val="21"/>
          <w:highlight w:val="none"/>
        </w:rPr>
        <w:t xml:space="preserve">   </w:t>
      </w:r>
      <w:r>
        <w:rPr>
          <w:rFonts w:hint="eastAsia" w:ascii="微软雅黑" w:hAnsi="微软雅黑" w:eastAsia="微软雅黑" w:cs="微软雅黑"/>
          <w:b/>
          <w:color w:val="auto"/>
          <w:szCs w:val="21"/>
          <w:highlight w:val="none"/>
        </w:rPr>
        <w:t xml:space="preserve">法定代表人</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u w:val="single"/>
        </w:rPr>
        <w:t xml:space="preserve">                      </w:t>
      </w:r>
      <w:r>
        <w:rPr>
          <w:highlight w:val="none"/>
        </w:rPr>
      </w:r>
      <w:r>
        <w:rPr>
          <w:highlight w:val="none"/>
        </w:rPr>
      </w:r>
    </w:p>
    <w:p>
      <w:pPr>
        <w:rPr>
          <w:rFonts w:hint="eastAsia" w:ascii="微软雅黑" w:hAnsi="微软雅黑" w:eastAsia="微软雅黑" w:cs="微软雅黑"/>
          <w:color w:val="auto"/>
          <w:sz w:val="10"/>
          <w:szCs w:val="10"/>
          <w:highlight w:val="none"/>
        </w:rPr>
      </w:pPr>
      <w:r>
        <w:rPr>
          <w:rFonts w:hint="eastAsia" w:ascii="微软雅黑" w:hAnsi="微软雅黑" w:eastAsia="微软雅黑" w:cs="微软雅黑"/>
          <w:color w:val="auto"/>
          <w:sz w:val="10"/>
          <w:szCs w:val="10"/>
          <w:highlight w:val="none"/>
        </w:rPr>
      </w:r>
      <w:r>
        <w:rPr>
          <w:highlight w:val="none"/>
        </w:rPr>
      </w:r>
      <w:r>
        <w:rPr>
          <w:highlight w:val="none"/>
        </w:rPr>
      </w:r>
    </w:p>
    <w:p>
      <w:pPr>
        <w:spacing w:line="360" w:lineRule="auto"/>
        <w:rPr>
          <w:rFonts w:hint="eastAsia" w:ascii="微软雅黑" w:hAnsi="微软雅黑" w:eastAsia="微软雅黑" w:cs="微软雅黑"/>
          <w:color w:val="auto"/>
          <w:szCs w:val="21"/>
          <w:highlight w:val="none"/>
          <w:u w:val="single"/>
        </w:rPr>
      </w:pPr>
      <w:r>
        <w:rPr>
          <w:rFonts w:hint="eastAsia" w:ascii="微软雅黑" w:hAnsi="微软雅黑" w:eastAsia="微软雅黑" w:cs="微软雅黑"/>
          <w:b/>
          <w:color w:val="auto"/>
          <w:szCs w:val="21"/>
          <w:highlight w:val="none"/>
        </w:rPr>
        <w:t xml:space="preserve">委托代表人</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u w:val="single"/>
        </w:rPr>
        <w:t xml:space="preserve">                       </w:t>
      </w:r>
      <w:r>
        <w:rPr>
          <w:rFonts w:hint="eastAsia" w:ascii="微软雅黑" w:hAnsi="微软雅黑" w:eastAsia="微软雅黑" w:cs="微软雅黑"/>
          <w:color w:val="auto"/>
          <w:szCs w:val="21"/>
          <w:highlight w:val="none"/>
        </w:rPr>
        <w:t xml:space="preserve">   </w:t>
      </w:r>
      <w:r>
        <w:rPr>
          <w:rFonts w:hint="eastAsia" w:ascii="微软雅黑" w:hAnsi="微软雅黑" w:eastAsia="微软雅黑" w:cs="微软雅黑"/>
          <w:b/>
          <w:color w:val="auto"/>
          <w:szCs w:val="21"/>
          <w:highlight w:val="none"/>
        </w:rPr>
        <w:t xml:space="preserve">委托代表人</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u w:val="single"/>
        </w:rPr>
        <w:t xml:space="preserve">                      </w:t>
      </w:r>
      <w:r>
        <w:rPr>
          <w:highlight w:val="none"/>
        </w:rPr>
      </w:r>
      <w:r>
        <w:rPr>
          <w:highlight w:val="none"/>
        </w:rPr>
      </w:r>
    </w:p>
    <w:p>
      <w:pPr>
        <w:rPr>
          <w:rFonts w:hint="eastAsia" w:ascii="宋体" w:hAnsi="宋体" w:cs="宋体"/>
          <w:b/>
          <w:color w:val="auto"/>
          <w:sz w:val="10"/>
          <w:szCs w:val="10"/>
          <w:highlight w:val="none"/>
        </w:rPr>
      </w:pPr>
      <w:r>
        <w:rPr>
          <w:rFonts w:hint="eastAsia" w:ascii="宋体" w:hAnsi="宋体" w:cs="宋体"/>
          <w:b/>
          <w:color w:val="auto"/>
          <w:sz w:val="10"/>
          <w:szCs w:val="10"/>
          <w:highlight w:val="none"/>
        </w:rPr>
      </w:r>
      <w:r>
        <w:rPr>
          <w:highlight w:val="none"/>
        </w:rPr>
      </w:r>
      <w:r>
        <w:rPr>
          <w:highlight w:val="none"/>
        </w:rPr>
      </w:r>
    </w:p>
    <w:p>
      <w:pPr>
        <w:rPr>
          <w:rFonts w:hint="eastAsia" w:ascii="宋体" w:hAnsi="宋体" w:cs="宋体"/>
          <w:color w:val="auto"/>
          <w:szCs w:val="21"/>
          <w:highlight w:val="none"/>
        </w:rPr>
      </w:pPr>
      <w:r>
        <w:rPr>
          <w:rFonts w:hint="eastAsia" w:ascii="宋体" w:hAnsi="宋体" w:cs="宋体"/>
          <w:b/>
          <w:color w:val="auto"/>
          <w:szCs w:val="21"/>
          <w:highlight w:val="none"/>
        </w:rPr>
        <w:t xml:space="preserve">日    期</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      </w:t>
      </w:r>
      <w:r>
        <w:rPr>
          <w:rFonts w:hint="eastAsia" w:ascii="宋体" w:hAnsi="宋体" w:cs="宋体"/>
          <w:b/>
          <w:color w:val="auto"/>
          <w:szCs w:val="21"/>
          <w:highlight w:val="none"/>
        </w:rPr>
        <w:t xml:space="preserve">日    期</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rPr>
          <w:highlight w:val="none"/>
        </w:rPr>
      </w:r>
      <w:r>
        <w:rPr>
          <w:highlight w:val="none"/>
        </w:rPr>
      </w:r>
    </w:p>
    <w:p>
      <w:pPr>
        <w:pStyle w:val="1097"/>
        <w:rPr>
          <w:rFonts w:hint="eastAsia"/>
          <w:color w:val="auto"/>
          <w:highlight w:val="none"/>
        </w:rPr>
      </w:pPr>
      <w:r>
        <w:rPr>
          <w:rFonts w:hint="eastAsia"/>
          <w:color w:val="auto"/>
          <w:highlight w:val="none"/>
          <w:lang w:val="en-US" w:eastAsia="zh-CN"/>
        </w:rPr>
      </w:r>
      <w:r>
        <w:rPr>
          <w:highlight w:val="none"/>
        </w:rPr>
      </w:r>
      <w:r>
        <w:rPr>
          <w:highlight w:val="none"/>
        </w:rPr>
      </w:r>
    </w:p>
    <w:p>
      <w:pPr>
        <w:numPr>
          <w:ilvl w:val="0"/>
          <w:numId w:val="0"/>
        </w:numPr>
        <w:jc w:val="left"/>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r>
      <w:r>
        <w:rPr>
          <w:highlight w:val="none"/>
        </w:rPr>
      </w:r>
      <w:r>
        <w:rPr>
          <w:highlight w:val="none"/>
        </w:rPr>
      </w:r>
    </w:p>
    <w:p>
      <w:pPr>
        <w:rPr>
          <w:rFonts w:hint="eastAsia"/>
          <w:color w:val="auto"/>
          <w:highlight w:val="none"/>
        </w:rPr>
      </w:pPr>
      <w:r>
        <w:rPr>
          <w:rFonts w:hint="eastAsia"/>
          <w:color w:val="auto"/>
          <w:highlight w:val="none"/>
        </w:rPr>
      </w:r>
      <w:r>
        <w:rPr>
          <w:highlight w:val="none"/>
        </w:rPr>
      </w:r>
      <w:r>
        <w:rPr>
          <w:highlight w:val="none"/>
        </w:rPr>
      </w:r>
    </w:p>
    <w:p>
      <w:pPr>
        <w:pStyle w:val="1087"/>
        <w:rPr>
          <w:rFonts w:hint="eastAsia" w:ascii="微软雅黑" w:hAnsi="微软雅黑" w:cs="微软雅黑"/>
          <w:color w:val="auto"/>
          <w:szCs w:val="32"/>
          <w:highlight w:val="none"/>
        </w:rPr>
      </w:pPr>
      <w:r>
        <w:rPr>
          <w:rFonts w:hint="eastAsia" w:ascii="微软雅黑" w:hAnsi="微软雅黑" w:cs="微软雅黑"/>
          <w:color w:val="auto"/>
          <w:highlight w:val="none"/>
        </w:rPr>
        <w:br w:type="page" w:clear="all"/>
      </w:r>
      <w:bookmarkStart w:id="253" w:name="_Toc7532"/>
      <w:r>
        <w:rPr>
          <w:rFonts w:hint="eastAsia" w:ascii="微软雅黑" w:hAnsi="微软雅黑" w:cs="微软雅黑"/>
          <w:color w:val="auto"/>
          <w:highlight w:val="none"/>
        </w:rPr>
        <w:t xml:space="preserve">第六章 投标文件格式</w:t>
      </w:r>
      <w:bookmarkEnd w:id="237"/>
      <w:r>
        <w:rPr>
          <w:rFonts w:hint="eastAsia" w:ascii="微软雅黑" w:hAnsi="微软雅黑" w:cs="微软雅黑"/>
          <w:color w:val="auto"/>
          <w:highlight w:val="none"/>
        </w:rPr>
        <w:t xml:space="preserve">及附件</w:t>
      </w:r>
      <w:bookmarkEnd w:id="238"/>
      <w:r>
        <w:rPr>
          <w:highlight w:val="none"/>
        </w:rPr>
      </w:r>
      <w:bookmarkEnd w:id="253"/>
      <w:r>
        <w:rPr>
          <w:highlight w:val="none"/>
        </w:rPr>
      </w:r>
      <w:r>
        <w:rPr>
          <w:highlight w:val="none"/>
        </w:rPr>
      </w:r>
    </w:p>
    <w:p>
      <w:pPr>
        <w:jc w:val="left"/>
        <w:spacing w:line="420" w:lineRule="exact"/>
        <w:widowControl/>
        <w:rPr>
          <w:rFonts w:hint="eastAsia" w:ascii="微软雅黑" w:hAnsi="微软雅黑" w:cs="微软雅黑"/>
          <w:b/>
          <w:bCs/>
          <w:color w:val="auto"/>
          <w:sz w:val="24"/>
          <w:szCs w:val="24"/>
          <w:highlight w:val="none"/>
        </w:rPr>
      </w:pPr>
      <w:r>
        <w:rPr>
          <w:rFonts w:hint="eastAsia" w:ascii="微软雅黑" w:hAnsi="微软雅黑" w:cs="微软雅黑"/>
          <w:b/>
          <w:bCs/>
          <w:color w:val="auto"/>
          <w:sz w:val="28"/>
          <w:szCs w:val="28"/>
          <w:highlight w:val="none"/>
        </w:rPr>
        <w:t xml:space="preserve"> </w:t>
      </w:r>
      <w:r>
        <w:rPr>
          <w:rFonts w:hint="eastAsia" w:ascii="微软雅黑" w:hAnsi="微软雅黑" w:cs="微软雅黑"/>
          <w:b/>
          <w:bCs/>
          <w:color w:val="auto"/>
          <w:sz w:val="24"/>
          <w:szCs w:val="24"/>
          <w:highlight w:val="none"/>
        </w:rPr>
        <w:t xml:space="preserve"> 注：</w:t>
      </w:r>
      <w:r>
        <w:rPr>
          <w:highlight w:val="none"/>
        </w:rPr>
      </w:r>
      <w:r>
        <w:rPr>
          <w:highlight w:val="none"/>
        </w:rPr>
      </w:r>
    </w:p>
    <w:p>
      <w:pPr>
        <w:numPr>
          <w:ilvl w:val="0"/>
          <w:numId w:val="8"/>
        </w:numPr>
        <w:ind w:hanging="205"/>
        <w:jc w:val="left"/>
        <w:spacing w:line="400" w:lineRule="exact"/>
        <w:widowControl/>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本部分内容仅供格式参考。</w:t>
      </w:r>
      <w:r>
        <w:rPr>
          <w:highlight w:val="none"/>
        </w:rPr>
      </w:r>
      <w:r>
        <w:rPr>
          <w:highlight w:val="none"/>
        </w:rPr>
      </w:r>
    </w:p>
    <w:p>
      <w:pPr>
        <w:pStyle w:val="1124"/>
        <w:numPr>
          <w:ilvl w:val="0"/>
          <w:numId w:val="8"/>
        </w:numPr>
        <w:ind w:hanging="205"/>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请投标供应商按照以下文件的要求格式、内容，顺序制作投标文件，并请编制目录及页码，否则可能将影响对投标文件的评价。</w:t>
      </w:r>
      <w:r>
        <w:rPr>
          <w:highlight w:val="none"/>
        </w:rPr>
      </w:r>
      <w:r>
        <w:rPr>
          <w:highlight w:val="none"/>
        </w:rPr>
      </w:r>
    </w:p>
    <w:p>
      <w:pPr>
        <w:numPr>
          <w:ilvl w:val="0"/>
          <w:numId w:val="8"/>
        </w:numPr>
        <w:ind w:hanging="205"/>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供应商提交的材料不予退还。</w:t>
      </w:r>
      <w:r>
        <w:rPr>
          <w:highlight w:val="none"/>
        </w:rPr>
      </w:r>
      <w:r>
        <w:rPr>
          <w:highlight w:val="none"/>
        </w:rPr>
      </w:r>
    </w:p>
    <w:p>
      <w:pPr>
        <w:pStyle w:val="1124"/>
        <w:ind w:left="1260"/>
        <w:rPr>
          <w:rFonts w:hint="eastAsia" w:ascii="微软雅黑" w:hAnsi="微软雅黑" w:cs="微软雅黑"/>
          <w:color w:val="auto"/>
          <w:highlight w:val="none"/>
        </w:rPr>
      </w:pPr>
      <w:r>
        <w:rPr>
          <w:rFonts w:hint="eastAsia" w:ascii="微软雅黑" w:hAnsi="微软雅黑" w:cs="微软雅黑"/>
          <w:color w:val="auto"/>
          <w:highlight w:val="none"/>
        </w:rPr>
      </w:r>
      <w:r>
        <w:rPr>
          <w:highlight w:val="none"/>
        </w:rPr>
      </w:r>
      <w:r>
        <w:rPr>
          <w:highlight w:val="none"/>
        </w:rPr>
      </w:r>
    </w:p>
    <w:p>
      <w:pPr>
        <w:jc w:val="cente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br w:type="page" w:clear="all"/>
      </w:r>
      <w:r>
        <w:rPr>
          <w:highlight w:val="none"/>
        </w:rPr>
      </w:r>
      <w:r>
        <w:rPr>
          <w:highlight w:val="none"/>
        </w:rPr>
      </w:r>
    </w:p>
    <w:p>
      <w:pPr>
        <w:jc w:val="center"/>
        <w:spacing w:line="360" w:lineRule="auto"/>
        <w:rPr>
          <w:rFonts w:hint="eastAsia" w:ascii="微软雅黑" w:hAnsi="微软雅黑" w:cs="微软雅黑"/>
          <w:color w:val="auto"/>
          <w:highlight w:val="none"/>
        </w:rPr>
      </w:pPr>
      <w:r>
        <w:rPr>
          <w:rFonts w:hint="eastAsia" w:ascii="微软雅黑" w:hAnsi="微软雅黑" w:cs="微软雅黑"/>
          <w:color w:val="auto"/>
          <w:highlight w:val="none"/>
        </w:rPr>
      </w:r>
      <w:r>
        <w:rPr>
          <w:highlight w:val="none"/>
        </w:rPr>
      </w:r>
      <w:r>
        <w:rPr>
          <w:highlight w:val="none"/>
        </w:rPr>
      </w:r>
    </w:p>
    <w:p>
      <w:pPr>
        <w:jc w:val="center"/>
        <w:spacing w:line="360" w:lineRule="auto"/>
        <w:rPr>
          <w:rFonts w:hint="eastAsia" w:ascii="微软雅黑" w:hAnsi="微软雅黑" w:cs="微软雅黑"/>
          <w:color w:val="auto"/>
          <w:sz w:val="56"/>
          <w:szCs w:val="56"/>
          <w:highlight w:val="none"/>
        </w:rPr>
      </w:pPr>
      <w:r>
        <w:rPr>
          <w:rFonts w:hint="eastAsia" w:ascii="微软雅黑" w:hAnsi="微软雅黑" w:cs="微软雅黑"/>
          <w:color w:val="auto"/>
          <w:sz w:val="56"/>
          <w:szCs w:val="56"/>
          <w:highlight w:val="none"/>
        </w:rPr>
        <w:t xml:space="preserve">投标文件</w:t>
      </w:r>
      <w:r>
        <w:rPr>
          <w:highlight w:val="none"/>
        </w:rPr>
      </w:r>
      <w:r>
        <w:rPr>
          <w:highlight w:val="none"/>
        </w:rPr>
      </w:r>
    </w:p>
    <w:p>
      <w:pPr>
        <w:jc w:val="center"/>
        <w:spacing w:line="420" w:lineRule="exact"/>
        <w:rPr>
          <w:rFonts w:hint="eastAsia" w:ascii="微软雅黑" w:hAnsi="微软雅黑" w:cs="微软雅黑"/>
          <w:color w:val="auto"/>
          <w:sz w:val="48"/>
          <w:szCs w:val="48"/>
          <w:highlight w:val="none"/>
        </w:rPr>
      </w:pPr>
      <w:r>
        <w:rPr>
          <w:rFonts w:hint="eastAsia" w:ascii="微软雅黑" w:hAnsi="微软雅黑" w:cs="微软雅黑"/>
          <w:color w:val="auto"/>
          <w:sz w:val="48"/>
          <w:szCs w:val="48"/>
          <w:highlight w:val="none"/>
        </w:rPr>
      </w:r>
      <w:r>
        <w:rPr>
          <w:highlight w:val="none"/>
        </w:rPr>
      </w:r>
      <w:r>
        <w:rPr>
          <w:highlight w:val="none"/>
        </w:rPr>
      </w:r>
    </w:p>
    <w:p>
      <w:pPr>
        <w:jc w:val="center"/>
        <w:spacing w:line="420" w:lineRule="exact"/>
        <w:rPr>
          <w:rFonts w:hint="eastAsia" w:ascii="微软雅黑" w:hAnsi="微软雅黑" w:cs="微软雅黑"/>
          <w:color w:val="auto"/>
          <w:sz w:val="40"/>
          <w:szCs w:val="40"/>
          <w:highlight w:val="none"/>
        </w:rPr>
      </w:pPr>
      <w:r>
        <w:rPr>
          <w:rFonts w:hint="eastAsia" w:ascii="微软雅黑" w:hAnsi="微软雅黑" w:cs="微软雅黑"/>
          <w:color w:val="auto"/>
          <w:sz w:val="40"/>
          <w:szCs w:val="40"/>
          <w:highlight w:val="none"/>
        </w:rPr>
        <w:t xml:space="preserve">【正/副本】</w:t>
      </w:r>
      <w:r>
        <w:rPr>
          <w:highlight w:val="none"/>
        </w:rPr>
      </w:r>
      <w:r>
        <w:rPr>
          <w:highlight w:val="none"/>
        </w:rPr>
      </w:r>
    </w:p>
    <w:p>
      <w:pPr>
        <w:jc w:val="center"/>
        <w:spacing w:line="420" w:lineRule="exact"/>
        <w:rPr>
          <w:rFonts w:hint="eastAsia" w:ascii="微软雅黑" w:hAnsi="微软雅黑" w:cs="微软雅黑"/>
          <w:color w:val="auto"/>
          <w:sz w:val="44"/>
          <w:szCs w:val="44"/>
          <w:highlight w:val="none"/>
        </w:rPr>
      </w:pPr>
      <w:r>
        <w:rPr>
          <w:rFonts w:hint="eastAsia" w:ascii="微软雅黑" w:hAnsi="微软雅黑" w:cs="微软雅黑"/>
          <w:color w:val="auto"/>
          <w:sz w:val="44"/>
          <w:szCs w:val="44"/>
          <w:highlight w:val="none"/>
        </w:rPr>
      </w:r>
      <w:r>
        <w:rPr>
          <w:highlight w:val="none"/>
        </w:rPr>
      </w:r>
      <w:r>
        <w:rPr>
          <w:highlight w:val="none"/>
        </w:rPr>
      </w:r>
    </w:p>
    <w:p>
      <w:pPr>
        <w:jc w:val="center"/>
        <w:spacing w:line="420" w:lineRule="exact"/>
        <w:rPr>
          <w:rFonts w:hint="eastAsia" w:ascii="微软雅黑" w:hAnsi="微软雅黑" w:cs="微软雅黑"/>
          <w:color w:val="auto"/>
          <w:sz w:val="44"/>
          <w:szCs w:val="44"/>
          <w:highlight w:val="none"/>
        </w:rPr>
      </w:pPr>
      <w:r>
        <w:rPr>
          <w:rFonts w:hint="eastAsia" w:ascii="微软雅黑" w:hAnsi="微软雅黑" w:cs="微软雅黑"/>
          <w:color w:val="auto"/>
          <w:sz w:val="44"/>
          <w:szCs w:val="44"/>
          <w:highlight w:val="none"/>
        </w:rPr>
      </w:r>
      <w:r>
        <w:rPr>
          <w:highlight w:val="none"/>
        </w:rPr>
      </w:r>
      <w:r>
        <w:rPr>
          <w:highlight w:val="none"/>
        </w:rPr>
      </w:r>
    </w:p>
    <w:p>
      <w:pPr>
        <w:jc w:val="center"/>
        <w:spacing w:line="420" w:lineRule="exact"/>
        <w:rPr>
          <w:rFonts w:hint="eastAsia" w:ascii="微软雅黑" w:hAnsi="微软雅黑" w:cs="微软雅黑"/>
          <w:color w:val="auto"/>
          <w:sz w:val="44"/>
          <w:szCs w:val="44"/>
          <w:highlight w:val="none"/>
        </w:rPr>
      </w:pPr>
      <w:r>
        <w:rPr>
          <w:rFonts w:hint="eastAsia" w:ascii="微软雅黑" w:hAnsi="微软雅黑" w:cs="微软雅黑"/>
          <w:color w:val="auto"/>
          <w:sz w:val="44"/>
          <w:szCs w:val="44"/>
          <w:highlight w:val="none"/>
        </w:rPr>
      </w:r>
      <w:r>
        <w:rPr>
          <w:highlight w:val="none"/>
        </w:rPr>
      </w:r>
      <w:r>
        <w:rPr>
          <w:highlight w:val="none"/>
        </w:rPr>
      </w:r>
    </w:p>
    <w:p>
      <w:pPr>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44"/>
          <w:szCs w:val="44"/>
          <w:highlight w:val="none"/>
        </w:rPr>
        <w:t xml:space="preserve">   </w:t>
      </w:r>
      <w:r>
        <w:rPr>
          <w:rFonts w:hint="eastAsia" w:ascii="微软雅黑" w:hAnsi="微软雅黑" w:cs="微软雅黑"/>
          <w:color w:val="auto"/>
          <w:sz w:val="32"/>
          <w:szCs w:val="32"/>
          <w:highlight w:val="none"/>
        </w:rPr>
        <w:t xml:space="preserve"> 项目编号：</w:t>
      </w:r>
      <w:r>
        <w:rPr>
          <w:highlight w:val="none"/>
        </w:rPr>
      </w:r>
      <w:r>
        <w:rPr>
          <w:highlight w:val="none"/>
        </w:rPr>
      </w:r>
    </w:p>
    <w:p>
      <w:pPr>
        <w:ind w:firstLine="800"/>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t xml:space="preserve">项目名称：</w:t>
      </w:r>
      <w:r>
        <w:rPr>
          <w:highlight w:val="none"/>
        </w:rPr>
      </w:r>
      <w:r>
        <w:rPr>
          <w:highlight w:val="none"/>
        </w:rPr>
      </w:r>
    </w:p>
    <w:p>
      <w:pPr>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t xml:space="preserve">    </w:t>
      </w:r>
      <w:r>
        <w:rPr>
          <w:highlight w:val="none"/>
        </w:rPr>
      </w:r>
      <w:r>
        <w:rPr>
          <w:highlight w:val="none"/>
        </w:rPr>
      </w:r>
    </w:p>
    <w:p>
      <w:pPr>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r>
      <w:r>
        <w:rPr>
          <w:highlight w:val="none"/>
        </w:rPr>
      </w:r>
      <w:r>
        <w:rPr>
          <w:highlight w:val="none"/>
        </w:rPr>
      </w:r>
    </w:p>
    <w:p>
      <w:pPr>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r>
      <w:r>
        <w:rPr>
          <w:highlight w:val="none"/>
        </w:rPr>
      </w:r>
      <w:r>
        <w:rPr>
          <w:highlight w:val="none"/>
        </w:rPr>
      </w:r>
    </w:p>
    <w:p>
      <w:pPr>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r>
      <w:r>
        <w:rPr>
          <w:highlight w:val="none"/>
        </w:rPr>
      </w:r>
      <w:r>
        <w:rPr>
          <w:highlight w:val="none"/>
        </w:rPr>
      </w:r>
    </w:p>
    <w:p>
      <w:pPr>
        <w:ind w:firstLine="1600"/>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t xml:space="preserve">投标单位（全称）：</w:t>
      </w:r>
      <w:r>
        <w:rPr>
          <w:highlight w:val="none"/>
        </w:rPr>
      </w:r>
      <w:r>
        <w:rPr>
          <w:highlight w:val="none"/>
        </w:rPr>
      </w:r>
    </w:p>
    <w:p>
      <w:pPr>
        <w:ind w:firstLine="1600"/>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t xml:space="preserve">授权代表：</w:t>
      </w:r>
      <w:r>
        <w:rPr>
          <w:highlight w:val="none"/>
        </w:rPr>
      </w:r>
      <w:r>
        <w:rPr>
          <w:highlight w:val="none"/>
        </w:rPr>
      </w:r>
    </w:p>
    <w:p>
      <w:pPr>
        <w:ind w:firstLine="1600"/>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t xml:space="preserve">联系电话：</w:t>
      </w:r>
      <w:r>
        <w:rPr>
          <w:highlight w:val="none"/>
        </w:rPr>
      </w:r>
      <w:r>
        <w:rPr>
          <w:highlight w:val="none"/>
        </w:rPr>
      </w:r>
    </w:p>
    <w:p>
      <w:pPr>
        <w:ind w:firstLine="1600"/>
        <w:spacing w:line="360" w:lineRule="auto"/>
        <w:rPr>
          <w:rFonts w:hint="eastAsia" w:ascii="微软雅黑" w:hAnsi="微软雅黑" w:cs="微软雅黑"/>
          <w:color w:val="auto"/>
          <w:sz w:val="36"/>
          <w:szCs w:val="36"/>
          <w:highlight w:val="none"/>
        </w:rPr>
      </w:pPr>
      <w:r>
        <w:rPr>
          <w:rFonts w:hint="eastAsia" w:ascii="微软雅黑" w:hAnsi="微软雅黑" w:cs="微软雅黑"/>
          <w:color w:val="auto"/>
          <w:sz w:val="32"/>
          <w:szCs w:val="32"/>
          <w:highlight w:val="none"/>
        </w:rPr>
        <w:t xml:space="preserve">日    期：</w:t>
      </w:r>
      <w:r>
        <w:rPr>
          <w:highlight w:val="none"/>
        </w:rPr>
      </w:r>
      <w:r>
        <w:rPr>
          <w:highlight w:val="none"/>
        </w:rPr>
      </w:r>
    </w:p>
    <w:p>
      <w:pPr>
        <w:spacing w:line="420" w:lineRule="exact"/>
        <w:widowControl/>
        <w:rPr>
          <w:rFonts w:hint="eastAsia" w:ascii="微软雅黑" w:hAnsi="微软雅黑" w:cs="微软雅黑"/>
          <w:color w:val="auto"/>
          <w:highlight w:val="none"/>
        </w:rPr>
      </w:pPr>
      <w:r>
        <w:rPr>
          <w:rFonts w:hint="eastAsia" w:ascii="微软雅黑" w:hAnsi="微软雅黑" w:cs="微软雅黑"/>
          <w:color w:val="auto"/>
          <w:highlight w:val="none"/>
        </w:rPr>
        <w:br w:type="page" w:clear="all"/>
      </w:r>
      <w:r>
        <w:rPr>
          <w:highlight w:val="none"/>
        </w:rPr>
      </w:r>
      <w:r>
        <w:rPr>
          <w:highlight w:val="none"/>
        </w:rPr>
      </w:r>
    </w:p>
    <w:p>
      <w:pPr>
        <w:jc w:val="center"/>
        <w:spacing w:line="420" w:lineRule="exact"/>
        <w:rPr>
          <w:rFonts w:hint="eastAsia" w:ascii="微软雅黑" w:hAnsi="微软雅黑" w:cs="微软雅黑"/>
          <w:b/>
          <w:bCs/>
          <w:color w:val="auto"/>
          <w:sz w:val="36"/>
          <w:szCs w:val="36"/>
          <w:highlight w:val="none"/>
        </w:rPr>
      </w:pPr>
      <w:r>
        <w:rPr>
          <w:rFonts w:hint="eastAsia" w:ascii="微软雅黑" w:hAnsi="微软雅黑" w:cs="微软雅黑"/>
          <w:b/>
          <w:bCs/>
          <w:color w:val="auto"/>
          <w:sz w:val="36"/>
          <w:szCs w:val="36"/>
          <w:highlight w:val="none"/>
        </w:rPr>
        <w:t xml:space="preserve">目 录</w:t>
      </w:r>
      <w:r>
        <w:rPr>
          <w:highlight w:val="none"/>
        </w:rPr>
      </w:r>
      <w:r>
        <w:rPr>
          <w:highlight w:val="none"/>
        </w:rPr>
      </w:r>
    </w:p>
    <w:p>
      <w:pPr>
        <w:ind w:firstLine="120"/>
        <w:spacing w:line="420" w:lineRule="exact"/>
        <w:rPr>
          <w:rFonts w:hint="eastAsia" w:ascii="微软雅黑" w:hAnsi="微软雅黑" w:cs="微软雅黑"/>
          <w:b/>
          <w:bCs/>
          <w:color w:val="auto"/>
          <w:sz w:val="24"/>
          <w:szCs w:val="21"/>
          <w:highlight w:val="none"/>
        </w:rPr>
      </w:pPr>
      <w:r>
        <w:rPr>
          <w:rFonts w:hint="eastAsia" w:ascii="微软雅黑" w:hAnsi="微软雅黑" w:cs="微软雅黑"/>
          <w:b/>
          <w:bCs/>
          <w:color w:val="auto"/>
          <w:sz w:val="24"/>
          <w:szCs w:val="21"/>
          <w:highlight w:val="none"/>
        </w:rPr>
      </w:r>
      <w:r>
        <w:rPr>
          <w:highlight w:val="none"/>
        </w:rPr>
      </w:r>
      <w:r>
        <w:rPr>
          <w:highlight w:val="none"/>
        </w:rPr>
      </w:r>
    </w:p>
    <w:p>
      <w:pPr>
        <w:ind w:firstLine="120"/>
        <w:jc w:val="center"/>
        <w:spacing w:line="420" w:lineRule="exact"/>
        <w:rPr>
          <w:rFonts w:hint="eastAsia" w:ascii="微软雅黑" w:hAnsi="微软雅黑" w:cs="微软雅黑"/>
          <w:color w:val="auto"/>
          <w:sz w:val="24"/>
          <w:szCs w:val="21"/>
          <w:highlight w:val="none"/>
        </w:rPr>
      </w:pPr>
      <w:r>
        <w:rPr>
          <w:rFonts w:hint="eastAsia" w:ascii="微软雅黑" w:hAnsi="微软雅黑" w:cs="微软雅黑"/>
          <w:b/>
          <w:bCs/>
          <w:color w:val="auto"/>
          <w:sz w:val="24"/>
          <w:szCs w:val="21"/>
          <w:highlight w:val="none"/>
        </w:rPr>
        <w:t xml:space="preserve">请投标单位编制目录及页码，否则可能将影响对投标文件的评价。</w:t>
      </w:r>
      <w:r>
        <w:rPr>
          <w:highlight w:val="none"/>
        </w:rPr>
      </w:r>
      <w:r>
        <w:rPr>
          <w:highlight w:val="none"/>
        </w:rPr>
      </w:r>
    </w:p>
    <w:p>
      <w:pPr>
        <w:pStyle w:val="1124"/>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rPr>
          <w:highlight w:val="none"/>
        </w:rPr>
      </w:r>
      <w:r>
        <w:rPr>
          <w:highlight w:val="none"/>
        </w:rP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rPr>
          <w:highlight w:val="none"/>
        </w:rPr>
      </w:r>
      <w:r>
        <w:rPr>
          <w:highlight w:val="none"/>
        </w:rPr>
      </w:r>
    </w:p>
    <w:p>
      <w:pPr>
        <w:pStyle w:val="1124"/>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rPr>
          <w:highlight w:val="none"/>
        </w:rPr>
      </w:r>
      <w:r>
        <w:rPr>
          <w:highlight w:val="none"/>
        </w:rP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rPr>
          <w:highlight w:val="none"/>
        </w:rPr>
      </w:r>
      <w:r>
        <w:rPr>
          <w:highlight w:val="none"/>
        </w:rPr>
      </w:r>
    </w:p>
    <w:p>
      <w:pPr>
        <w:pStyle w:val="1124"/>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rPr>
          <w:highlight w:val="none"/>
        </w:rPr>
      </w:r>
      <w:r>
        <w:rPr>
          <w:highlight w:val="none"/>
        </w:rP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rPr>
          <w:highlight w:val="none"/>
        </w:rPr>
      </w:r>
      <w:r>
        <w:rPr>
          <w:highlight w:val="none"/>
        </w:rPr>
      </w:r>
    </w:p>
    <w:p>
      <w:pPr>
        <w:pStyle w:val="1124"/>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rPr>
          <w:highlight w:val="none"/>
        </w:rPr>
      </w:r>
      <w:r>
        <w:rPr>
          <w:highlight w:val="none"/>
        </w:rP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rPr>
          <w:highlight w:val="none"/>
        </w:rPr>
      </w:r>
      <w:r>
        <w:rPr>
          <w:highlight w:val="none"/>
        </w:rPr>
      </w:r>
    </w:p>
    <w:p>
      <w:pPr>
        <w:pStyle w:val="1124"/>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rPr>
          <w:highlight w:val="none"/>
        </w:rPr>
      </w:r>
      <w:r>
        <w:rPr>
          <w:highlight w:val="none"/>
        </w:rP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rPr>
          <w:highlight w:val="none"/>
        </w:rPr>
      </w:r>
      <w:r>
        <w:rPr>
          <w:highlight w:val="none"/>
        </w:rPr>
      </w:r>
    </w:p>
    <w:p>
      <w:pPr>
        <w:pStyle w:val="1124"/>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rPr>
          <w:highlight w:val="none"/>
        </w:rPr>
      </w:r>
      <w:r>
        <w:rPr>
          <w:highlight w:val="none"/>
        </w:rP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rPr>
          <w:highlight w:val="none"/>
        </w:rPr>
      </w:r>
      <w:r>
        <w:rPr>
          <w:highlight w:val="none"/>
        </w:rPr>
      </w:r>
    </w:p>
    <w:p>
      <w:pPr>
        <w:pStyle w:val="1124"/>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rPr>
          <w:highlight w:val="none"/>
        </w:rPr>
      </w:r>
      <w:r>
        <w:rPr>
          <w:highlight w:val="none"/>
        </w:rP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rPr>
          <w:highlight w:val="none"/>
        </w:rPr>
      </w:r>
      <w:r>
        <w:rPr>
          <w:highlight w:val="none"/>
        </w:rPr>
      </w:r>
    </w:p>
    <w:p>
      <w:pPr>
        <w:pStyle w:val="1124"/>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rPr>
          <w:highlight w:val="none"/>
        </w:rPr>
      </w:r>
      <w:r>
        <w:rPr>
          <w:highlight w:val="none"/>
        </w:rP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rPr>
          <w:highlight w:val="none"/>
        </w:rPr>
      </w:r>
      <w:r>
        <w:rPr>
          <w:highlight w:val="none"/>
        </w:rPr>
      </w:r>
    </w:p>
    <w:p>
      <w:pPr>
        <w:pStyle w:val="1124"/>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rPr>
          <w:highlight w:val="none"/>
        </w:rPr>
      </w:r>
      <w:r>
        <w:rPr>
          <w:highlight w:val="none"/>
        </w:rP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rPr>
          <w:highlight w:val="none"/>
        </w:rPr>
      </w:r>
      <w:r>
        <w:rPr>
          <w:highlight w:val="none"/>
        </w:rPr>
      </w:r>
    </w:p>
    <w:p>
      <w:pPr>
        <w:pStyle w:val="1124"/>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rPr>
          <w:highlight w:val="none"/>
        </w:rPr>
      </w:r>
      <w:r>
        <w:rPr>
          <w:highlight w:val="none"/>
        </w:rP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rPr>
          <w:highlight w:val="none"/>
        </w:rPr>
      </w:r>
      <w:r>
        <w:rPr>
          <w:highlight w:val="none"/>
        </w:rPr>
      </w:r>
    </w:p>
    <w:p>
      <w:pPr>
        <w:rPr>
          <w:rFonts w:hint="eastAsia" w:ascii="微软雅黑" w:hAnsi="微软雅黑" w:cs="微软雅黑"/>
          <w:b/>
          <w:bCs/>
          <w:color w:val="auto"/>
          <w:sz w:val="28"/>
          <w:szCs w:val="28"/>
          <w:highlight w:val="none"/>
        </w:rPr>
      </w:pPr>
      <w:r>
        <w:rPr>
          <w:rFonts w:hint="eastAsia" w:ascii="微软雅黑" w:hAnsi="微软雅黑" w:cs="微软雅黑"/>
          <w:b/>
          <w:bCs/>
          <w:color w:val="auto"/>
          <w:sz w:val="28"/>
          <w:szCs w:val="28"/>
          <w:highlight w:val="none"/>
        </w:rPr>
        <w:br w:type="page" w:clear="all"/>
      </w:r>
      <w:r>
        <w:rPr>
          <w:highlight w:val="none"/>
        </w:rPr>
      </w:r>
      <w:r>
        <w:rPr>
          <w:highlight w:val="none"/>
        </w:rPr>
      </w:r>
    </w:p>
    <w:p>
      <w:pPr>
        <w:pStyle w:val="1124"/>
        <w:ind w:left="0"/>
        <w:jc w:val="center"/>
        <w:rPr>
          <w:rFonts w:hint="eastAsia" w:ascii="微软雅黑" w:hAnsi="微软雅黑" w:cs="微软雅黑"/>
          <w:b/>
          <w:bCs/>
          <w:color w:val="auto"/>
          <w:sz w:val="28"/>
          <w:szCs w:val="28"/>
          <w:highlight w:val="none"/>
        </w:rPr>
      </w:pPr>
      <w:r>
        <w:rPr>
          <w:rFonts w:hint="eastAsia" w:ascii="微软雅黑" w:hAnsi="微软雅黑" w:cs="微软雅黑"/>
          <w:b/>
          <w:bCs/>
          <w:color w:val="auto"/>
          <w:sz w:val="28"/>
          <w:szCs w:val="28"/>
          <w:highlight w:val="none"/>
        </w:rPr>
        <w:t xml:space="preserve">资格审查索引表</w:t>
      </w:r>
      <w:r>
        <w:rPr>
          <w:highlight w:val="none"/>
        </w:rPr>
      </w:r>
      <w:r>
        <w:rPr>
          <w:highlight w:val="none"/>
        </w:rPr>
      </w:r>
    </w:p>
    <w:p>
      <w:pPr>
        <w:jc w:val="center"/>
        <w:rPr>
          <w:rFonts w:hint="eastAsia" w:ascii="微软雅黑" w:hAnsi="微软雅黑" w:cs="微软雅黑"/>
          <w:b/>
          <w:bCs/>
          <w:color w:val="auto"/>
          <w:sz w:val="24"/>
          <w:szCs w:val="24"/>
          <w:highlight w:val="none"/>
        </w:rPr>
      </w:pPr>
      <w:r>
        <w:rPr>
          <w:rFonts w:hint="eastAsia" w:ascii="微软雅黑" w:hAnsi="微软雅黑" w:cs="微软雅黑"/>
          <w:b/>
          <w:bCs/>
          <w:color w:val="auto"/>
          <w:sz w:val="24"/>
          <w:szCs w:val="24"/>
          <w:highlight w:val="none"/>
        </w:rPr>
        <w:t xml:space="preserve">（具体详见第一章投标邀请申请人的资格要求）</w:t>
      </w:r>
      <w:r>
        <w:rPr>
          <w:highlight w:val="none"/>
        </w:rPr>
      </w:r>
      <w:r>
        <w:rPr>
          <w:highlight w:val="none"/>
        </w:rPr>
      </w:r>
    </w:p>
    <w:tbl>
      <w:tblPr>
        <w:tblStyle w:val="913"/>
        <w:tblW w:w="8466"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jc w:val="center"/>
              <w:spacing w:line="35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序号</w:t>
            </w:r>
            <w:r>
              <w:rPr>
                <w:highlight w:val="none"/>
              </w:rPr>
            </w:r>
            <w:r>
              <w:rPr>
                <w:highlight w:val="none"/>
              </w:rPr>
            </w:r>
          </w:p>
        </w:tc>
        <w:tc>
          <w:tcPr>
            <w:tcW w:w="6566" w:type="dxa"/>
            <w:vAlign w:val="center"/>
            <w:textDirection w:val="lrTb"/>
            <w:noWrap w:val="false"/>
          </w:tcPr>
          <w:p>
            <w:pPr>
              <w:jc w:val="center"/>
              <w:spacing w:line="35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资格要求</w:t>
            </w:r>
            <w:r>
              <w:rPr>
                <w:highlight w:val="none"/>
              </w:rPr>
            </w:r>
            <w:r>
              <w:rPr>
                <w:highlight w:val="none"/>
              </w:rPr>
            </w:r>
          </w:p>
        </w:tc>
        <w:tc>
          <w:tcPr>
            <w:tcW w:w="1238" w:type="dxa"/>
            <w:vAlign w:val="center"/>
            <w:textDirection w:val="lrTb"/>
            <w:noWrap w:val="false"/>
          </w:tcPr>
          <w:p>
            <w:pPr>
              <w:jc w:val="center"/>
              <w:spacing w:line="35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投标文件所在页码</w:t>
            </w:r>
            <w:r>
              <w:rPr>
                <w:highlight w:val="none"/>
              </w:rPr>
            </w:r>
            <w:r>
              <w:rPr>
                <w:highlight w:val="none"/>
              </w:rPr>
            </w:r>
          </w:p>
        </w:tc>
      </w:tr>
      <w:tr>
        <w:trPr>
          <w:trHeight w:val="703"/>
        </w:trPr>
        <w:tc>
          <w:tcPr>
            <w:tcW w:w="662" w:type="dxa"/>
            <w:vAlign w:val="top"/>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6566"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1238"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r>
      <w:tr>
        <w:trPr>
          <w:trHeight w:val="703"/>
        </w:trPr>
        <w:tc>
          <w:tcPr>
            <w:tcW w:w="662" w:type="dxa"/>
            <w:vAlign w:val="top"/>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6566"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1238"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r>
      <w:tr>
        <w:trPr>
          <w:trHeight w:val="703"/>
        </w:trPr>
        <w:tc>
          <w:tcPr>
            <w:tcW w:w="662" w:type="dxa"/>
            <w:vAlign w:val="top"/>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6566"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1238"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r>
      <w:tr>
        <w:trPr>
          <w:trHeight w:val="703"/>
        </w:trPr>
        <w:tc>
          <w:tcPr>
            <w:tcW w:w="662" w:type="dxa"/>
            <w:vAlign w:val="top"/>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6566"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1238"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r>
      <w:tr>
        <w:trPr>
          <w:trHeight w:val="703"/>
        </w:trPr>
        <w:tc>
          <w:tcPr>
            <w:tcW w:w="662" w:type="dxa"/>
            <w:vAlign w:val="top"/>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6566"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1238"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r>
      <w:tr>
        <w:trPr>
          <w:trHeight w:val="703"/>
        </w:trPr>
        <w:tc>
          <w:tcPr>
            <w:tcW w:w="662" w:type="dxa"/>
            <w:vAlign w:val="top"/>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6566"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1238"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r>
      <w:tr>
        <w:trPr>
          <w:trHeight w:val="703"/>
        </w:trPr>
        <w:tc>
          <w:tcPr>
            <w:tcW w:w="662" w:type="dxa"/>
            <w:vAlign w:val="top"/>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6566"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1238"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r>
      <w:tr>
        <w:trPr>
          <w:trHeight w:val="703"/>
        </w:trPr>
        <w:tc>
          <w:tcPr>
            <w:tcW w:w="662" w:type="dxa"/>
            <w:vAlign w:val="top"/>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6566"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1238"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r>
      <w:tr>
        <w:trPr>
          <w:trHeight w:val="703"/>
        </w:trPr>
        <w:tc>
          <w:tcPr>
            <w:tcW w:w="662" w:type="dxa"/>
            <w:vAlign w:val="top"/>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6566"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1238"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r>
      <w:tr>
        <w:trPr>
          <w:trHeight w:val="703"/>
        </w:trPr>
        <w:tc>
          <w:tcPr>
            <w:tcW w:w="662" w:type="dxa"/>
            <w:vAlign w:val="top"/>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6566"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1238"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r>
      <w:tr>
        <w:trPr>
          <w:trHeight w:val="703"/>
        </w:trPr>
        <w:tc>
          <w:tcPr>
            <w:tcW w:w="662" w:type="dxa"/>
            <w:vAlign w:val="top"/>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6566"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1238"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r>
      <w:tr>
        <w:trPr>
          <w:trHeight w:val="703"/>
        </w:trPr>
        <w:tc>
          <w:tcPr>
            <w:tcW w:w="662" w:type="dxa"/>
            <w:vAlign w:val="top"/>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6566"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1238"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r>
    </w:tbl>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r>
      <w:r>
        <w:rPr>
          <w:highlight w:val="none"/>
        </w:rPr>
      </w:r>
      <w:r>
        <w:rPr>
          <w:highlight w:val="none"/>
        </w:rP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rPr>
          <w:highlight w:val="none"/>
        </w:rPr>
      </w:r>
      <w:r>
        <w:rPr>
          <w:highlight w:val="none"/>
        </w:rPr>
      </w:r>
    </w:p>
    <w:p>
      <w:pPr>
        <w:pStyle w:val="1124"/>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rPr>
          <w:highlight w:val="none"/>
        </w:rPr>
      </w:r>
      <w:r>
        <w:rPr>
          <w:highlight w:val="none"/>
        </w:rP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rPr>
          <w:highlight w:val="none"/>
        </w:rPr>
      </w:r>
      <w:r>
        <w:rPr>
          <w:highlight w:val="none"/>
        </w:rPr>
      </w:r>
    </w:p>
    <w:p>
      <w:pPr>
        <w:pStyle w:val="1124"/>
        <w:ind w:left="1260"/>
        <w:rPr>
          <w:rFonts w:hint="eastAsia" w:ascii="微软雅黑" w:hAnsi="微软雅黑" w:cs="微软雅黑"/>
          <w:color w:val="auto"/>
          <w:highlight w:val="none"/>
        </w:rPr>
      </w:pPr>
      <w:r>
        <w:rPr>
          <w:rFonts w:hint="eastAsia" w:ascii="微软雅黑" w:hAnsi="微软雅黑" w:cs="微软雅黑"/>
          <w:color w:val="auto"/>
          <w:highlight w:val="none"/>
        </w:rPr>
      </w:r>
      <w:r>
        <w:rPr>
          <w:highlight w:val="none"/>
        </w:rPr>
      </w:r>
      <w:r>
        <w:rPr>
          <w:highlight w:val="none"/>
        </w:rPr>
      </w:r>
    </w:p>
    <w:p>
      <w:pPr>
        <w:rPr>
          <w:rFonts w:hint="eastAsia" w:ascii="微软雅黑" w:hAnsi="微软雅黑" w:cs="微软雅黑"/>
          <w:b/>
          <w:bCs/>
          <w:color w:val="auto"/>
          <w:sz w:val="28"/>
          <w:szCs w:val="28"/>
          <w:highlight w:val="none"/>
        </w:rPr>
      </w:pPr>
      <w:r>
        <w:rPr>
          <w:rFonts w:hint="eastAsia" w:ascii="微软雅黑" w:hAnsi="微软雅黑" w:cs="微软雅黑"/>
          <w:b/>
          <w:bCs/>
          <w:color w:val="auto"/>
          <w:sz w:val="28"/>
          <w:szCs w:val="28"/>
          <w:highlight w:val="none"/>
        </w:rPr>
        <w:br w:type="page" w:clear="all"/>
      </w:r>
      <w:r>
        <w:rPr>
          <w:highlight w:val="none"/>
        </w:rPr>
      </w:r>
      <w:r>
        <w:rPr>
          <w:highlight w:val="none"/>
        </w:rPr>
      </w:r>
    </w:p>
    <w:p>
      <w:pPr>
        <w:pStyle w:val="1124"/>
        <w:ind w:left="0"/>
        <w:jc w:val="center"/>
        <w:rPr>
          <w:rFonts w:hint="eastAsia" w:ascii="微软雅黑" w:hAnsi="微软雅黑" w:cs="微软雅黑"/>
          <w:b/>
          <w:bCs/>
          <w:color w:val="auto"/>
          <w:sz w:val="28"/>
          <w:szCs w:val="28"/>
          <w:highlight w:val="none"/>
        </w:rPr>
      </w:pPr>
      <w:r>
        <w:rPr>
          <w:rFonts w:hint="eastAsia" w:ascii="微软雅黑" w:hAnsi="微软雅黑" w:cs="微软雅黑"/>
          <w:b/>
          <w:bCs/>
          <w:color w:val="auto"/>
          <w:sz w:val="28"/>
          <w:szCs w:val="28"/>
          <w:highlight w:val="none"/>
        </w:rPr>
        <w:t xml:space="preserve">评分索引表</w:t>
      </w:r>
      <w:r>
        <w:rPr>
          <w:highlight w:val="none"/>
        </w:rPr>
      </w:r>
      <w:r>
        <w:rPr>
          <w:highlight w:val="none"/>
        </w:rPr>
      </w:r>
    </w:p>
    <w:p>
      <w:pPr>
        <w:jc w:val="center"/>
        <w:rPr>
          <w:rFonts w:hint="eastAsia" w:ascii="微软雅黑" w:hAnsi="微软雅黑" w:cs="微软雅黑"/>
          <w:b/>
          <w:bCs/>
          <w:color w:val="auto"/>
          <w:sz w:val="24"/>
          <w:szCs w:val="24"/>
          <w:highlight w:val="none"/>
        </w:rPr>
      </w:pPr>
      <w:r>
        <w:rPr>
          <w:rFonts w:hint="eastAsia" w:ascii="微软雅黑" w:hAnsi="微软雅黑" w:cs="微软雅黑"/>
          <w:b/>
          <w:bCs/>
          <w:color w:val="auto"/>
          <w:sz w:val="24"/>
          <w:szCs w:val="24"/>
          <w:highlight w:val="none"/>
        </w:rPr>
        <w:t xml:space="preserve">（具体详见第三章评标办法和定标原则）</w:t>
      </w:r>
      <w:r>
        <w:rPr>
          <w:highlight w:val="none"/>
        </w:rPr>
      </w:r>
      <w:r>
        <w:rPr>
          <w:highlight w:val="none"/>
        </w:rPr>
      </w:r>
    </w:p>
    <w:tbl>
      <w:tblPr>
        <w:tblStyle w:val="913"/>
        <w:tblW w:w="8466"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jc w:val="center"/>
              <w:spacing w:line="35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序号</w:t>
            </w:r>
            <w:r>
              <w:rPr>
                <w:highlight w:val="none"/>
              </w:rPr>
            </w:r>
            <w:r>
              <w:rPr>
                <w:highlight w:val="none"/>
              </w:rPr>
            </w:r>
          </w:p>
        </w:tc>
        <w:tc>
          <w:tcPr>
            <w:tcW w:w="6566" w:type="dxa"/>
            <w:vAlign w:val="center"/>
            <w:textDirection w:val="lrTb"/>
            <w:noWrap w:val="false"/>
          </w:tcPr>
          <w:p>
            <w:pPr>
              <w:jc w:val="center"/>
              <w:spacing w:line="35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评分标准</w:t>
            </w:r>
            <w:r>
              <w:rPr>
                <w:highlight w:val="none"/>
              </w:rPr>
            </w:r>
            <w:r>
              <w:rPr>
                <w:highlight w:val="none"/>
              </w:rPr>
            </w:r>
          </w:p>
        </w:tc>
        <w:tc>
          <w:tcPr>
            <w:tcW w:w="1238" w:type="dxa"/>
            <w:vAlign w:val="center"/>
            <w:textDirection w:val="lrTb"/>
            <w:noWrap w:val="false"/>
          </w:tcPr>
          <w:p>
            <w:pPr>
              <w:jc w:val="center"/>
              <w:spacing w:line="35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投标文件所在页码</w:t>
            </w:r>
            <w:r>
              <w:rPr>
                <w:highlight w:val="none"/>
              </w:rPr>
            </w:r>
            <w:r>
              <w:rPr>
                <w:highlight w:val="none"/>
              </w:rPr>
            </w:r>
          </w:p>
        </w:tc>
      </w:tr>
      <w:tr>
        <w:trPr>
          <w:trHeight w:val="703"/>
        </w:trPr>
        <w:tc>
          <w:tcPr>
            <w:tcW w:w="662" w:type="dxa"/>
            <w:vAlign w:val="top"/>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6566"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1238"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r>
      <w:tr>
        <w:trPr>
          <w:trHeight w:val="703"/>
        </w:trPr>
        <w:tc>
          <w:tcPr>
            <w:tcW w:w="662" w:type="dxa"/>
            <w:vAlign w:val="top"/>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6566"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1238"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r>
      <w:tr>
        <w:trPr>
          <w:trHeight w:val="703"/>
        </w:trPr>
        <w:tc>
          <w:tcPr>
            <w:tcW w:w="662" w:type="dxa"/>
            <w:vAlign w:val="top"/>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6566"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1238"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r>
      <w:tr>
        <w:trPr>
          <w:trHeight w:val="703"/>
        </w:trPr>
        <w:tc>
          <w:tcPr>
            <w:tcW w:w="662" w:type="dxa"/>
            <w:vAlign w:val="top"/>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6566"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1238"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r>
      <w:tr>
        <w:trPr>
          <w:trHeight w:val="703"/>
        </w:trPr>
        <w:tc>
          <w:tcPr>
            <w:tcW w:w="662" w:type="dxa"/>
            <w:vAlign w:val="top"/>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6566"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1238"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r>
      <w:tr>
        <w:trPr>
          <w:trHeight w:val="703"/>
        </w:trPr>
        <w:tc>
          <w:tcPr>
            <w:tcW w:w="662" w:type="dxa"/>
            <w:vAlign w:val="top"/>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6566"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1238"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r>
      <w:tr>
        <w:trPr>
          <w:trHeight w:val="703"/>
        </w:trPr>
        <w:tc>
          <w:tcPr>
            <w:tcW w:w="662" w:type="dxa"/>
            <w:vAlign w:val="top"/>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6566"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1238"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r>
      <w:tr>
        <w:trPr>
          <w:trHeight w:val="703"/>
        </w:trPr>
        <w:tc>
          <w:tcPr>
            <w:tcW w:w="662" w:type="dxa"/>
            <w:vAlign w:val="top"/>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6566"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1238"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r>
      <w:tr>
        <w:trPr>
          <w:trHeight w:val="703"/>
        </w:trPr>
        <w:tc>
          <w:tcPr>
            <w:tcW w:w="662" w:type="dxa"/>
            <w:vAlign w:val="top"/>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6566"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1238"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r>
      <w:tr>
        <w:trPr>
          <w:trHeight w:val="703"/>
        </w:trPr>
        <w:tc>
          <w:tcPr>
            <w:tcW w:w="662" w:type="dxa"/>
            <w:vAlign w:val="top"/>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6566"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1238"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r>
      <w:tr>
        <w:trPr>
          <w:trHeight w:val="703"/>
        </w:trPr>
        <w:tc>
          <w:tcPr>
            <w:tcW w:w="662" w:type="dxa"/>
            <w:vAlign w:val="top"/>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6566"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1238"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r>
      <w:tr>
        <w:trPr>
          <w:trHeight w:val="703"/>
        </w:trPr>
        <w:tc>
          <w:tcPr>
            <w:tcW w:w="662" w:type="dxa"/>
            <w:vAlign w:val="top"/>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6566"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1238" w:type="dxa"/>
            <w:vAlign w:val="top"/>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r>
    </w:tbl>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r>
      <w:r>
        <w:rPr>
          <w:highlight w:val="none"/>
        </w:rPr>
      </w:r>
      <w:r>
        <w:rPr>
          <w:highlight w:val="none"/>
        </w:rP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r>
      <w:r>
        <w:rPr>
          <w:highlight w:val="none"/>
        </w:rPr>
      </w:r>
      <w:r>
        <w:rPr>
          <w:highlight w:val="none"/>
        </w:rPr>
      </w:r>
    </w:p>
    <w:p>
      <w:pPr>
        <w:pStyle w:val="1088"/>
        <w:rPr>
          <w:rFonts w:hint="eastAsia" w:ascii="微软雅黑" w:hAnsi="微软雅黑" w:cs="微软雅黑"/>
          <w:color w:val="auto"/>
          <w:szCs w:val="30"/>
          <w:highlight w:val="none"/>
        </w:rPr>
      </w:pPr>
      <w:r>
        <w:rPr>
          <w:rFonts w:hint="eastAsia" w:ascii="微软雅黑" w:hAnsi="微软雅黑" w:cs="微软雅黑"/>
          <w:color w:val="auto"/>
          <w:highlight w:val="none"/>
        </w:rPr>
        <w:br w:type="page" w:clear="all"/>
      </w:r>
      <w:bookmarkStart w:id="254" w:name="_Toc20642"/>
      <w:r>
        <w:rPr>
          <w:highlight w:val="none"/>
        </w:rPr>
      </w:r>
      <w:bookmarkStart w:id="255" w:name="_Toc24615"/>
      <w:r>
        <w:rPr>
          <w:highlight w:val="none"/>
        </w:rPr>
      </w:r>
      <w:bookmarkStart w:id="256" w:name="_Toc26277"/>
      <w:r>
        <w:rPr>
          <w:rFonts w:hint="eastAsia" w:ascii="微软雅黑" w:hAnsi="微软雅黑" w:cs="微软雅黑"/>
          <w:color w:val="auto"/>
          <w:highlight w:val="none"/>
        </w:rPr>
        <w:t xml:space="preserve">一、投标函、投标报价及项目相关文件</w:t>
      </w:r>
      <w:bookmarkEnd w:id="254"/>
      <w:r>
        <w:rPr>
          <w:highlight w:val="none"/>
        </w:rPr>
      </w:r>
      <w:bookmarkEnd w:id="255"/>
      <w:r>
        <w:rPr>
          <w:highlight w:val="none"/>
        </w:rPr>
      </w:r>
      <w:bookmarkEnd w:id="256"/>
      <w:r>
        <w:rPr>
          <w:highlight w:val="none"/>
        </w:rPr>
      </w:r>
      <w:r>
        <w:rPr>
          <w:highlight w:val="none"/>
        </w:rPr>
      </w:r>
    </w:p>
    <w:p>
      <w:pPr>
        <w:pStyle w:val="1090"/>
        <w:rPr>
          <w:rFonts w:hint="eastAsia" w:ascii="微软雅黑" w:hAnsi="微软雅黑" w:cs="微软雅黑"/>
          <w:b/>
          <w:bCs w:val="0"/>
          <w:color w:val="auto"/>
          <w:sz w:val="24"/>
          <w:szCs w:val="24"/>
          <w:highlight w:val="none"/>
        </w:rPr>
      </w:pPr>
      <w:r>
        <w:rPr>
          <w:highlight w:val="none"/>
        </w:rPr>
      </w:r>
      <w:bookmarkStart w:id="257" w:name="_Toc24683"/>
      <w:r>
        <w:rPr>
          <w:highlight w:val="none"/>
        </w:rPr>
      </w:r>
      <w:bookmarkStart w:id="258" w:name="_Toc22366"/>
      <w:r>
        <w:rPr>
          <w:highlight w:val="none"/>
        </w:rPr>
      </w:r>
      <w:bookmarkStart w:id="259" w:name="_Toc8176"/>
      <w:r>
        <w:rPr>
          <w:rFonts w:hint="eastAsia" w:ascii="微软雅黑" w:hAnsi="微软雅黑" w:cs="微软雅黑"/>
          <w:b/>
          <w:bCs w:val="0"/>
          <w:color w:val="auto"/>
          <w:sz w:val="24"/>
          <w:szCs w:val="24"/>
          <w:highlight w:val="none"/>
        </w:rPr>
        <w:t xml:space="preserve">1.投标函</w:t>
      </w:r>
      <w:bookmarkEnd w:id="257"/>
      <w:r>
        <w:rPr>
          <w:highlight w:val="none"/>
        </w:rPr>
      </w:r>
      <w:bookmarkEnd w:id="258"/>
      <w:r>
        <w:rPr>
          <w:highlight w:val="none"/>
        </w:rPr>
      </w:r>
      <w:bookmarkEnd w:id="259"/>
      <w:r>
        <w:rPr>
          <w:highlight w:val="none"/>
        </w:rPr>
      </w:r>
      <w:r>
        <w:rPr>
          <w:highlight w:val="none"/>
        </w:rP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lang w:eastAsia="zh-CN"/>
        </w:rPr>
        <w:t xml:space="preserve">江苏中际招标代理有限公司</w:t>
      </w:r>
      <w:r>
        <w:rPr>
          <w:rFonts w:hint="eastAsia" w:ascii="微软雅黑" w:hAnsi="微软雅黑" w:cs="微软雅黑"/>
          <w:color w:val="auto"/>
          <w:highlight w:val="none"/>
        </w:rPr>
        <w:t xml:space="preserve">：</w:t>
      </w:r>
      <w:r>
        <w:rPr>
          <w:highlight w:val="none"/>
        </w:rPr>
      </w:r>
      <w:r>
        <w:rPr>
          <w:highlight w:val="none"/>
        </w:rP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你们项目名称：</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（项目编号为：</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）招标文件（包括更正公告，如果有的话）收悉，我们经详细审阅和研究，现决定参加投标。</w:t>
      </w:r>
      <w:r>
        <w:rPr>
          <w:highlight w:val="none"/>
        </w:rPr>
      </w:r>
      <w:r>
        <w:rPr>
          <w:highlight w:val="none"/>
        </w:rP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1、我们郑重承诺：我们是符合采购文件中规定的供应商，并严格遵守采购文件中的规定，本投标文件中提供的所有材料均是真实有效的。</w:t>
      </w:r>
      <w:r>
        <w:rPr>
          <w:highlight w:val="none"/>
        </w:rPr>
      </w:r>
      <w:r>
        <w:rPr>
          <w:highlight w:val="none"/>
        </w:rP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2、我们已详细审核全部采购文件及其有效补充文件，我们接受采购文件的所有的条款和规定。我们放弃对采购文件任何误解的权利，提交投标文件后，</w:t>
      </w:r>
      <w:r>
        <w:rPr>
          <w:rFonts w:hint="eastAsia" w:ascii="微软雅黑" w:hAnsi="微软雅黑" w:cs="微软雅黑"/>
          <w:b/>
          <w:bCs/>
          <w:color w:val="auto"/>
          <w:highlight w:val="none"/>
        </w:rPr>
        <w:t xml:space="preserve">不对采购文件本身提出质疑。</w:t>
      </w:r>
      <w:r>
        <w:rPr>
          <w:rFonts w:hint="eastAsia" w:ascii="微软雅黑" w:hAnsi="微软雅黑" w:cs="微软雅黑"/>
          <w:color w:val="auto"/>
          <w:highlight w:val="none"/>
        </w:rPr>
        <w:t xml:space="preserve">否则，属于不诚信和故意扰乱采购活动行为，我们将无条件接受处罚。 </w:t>
      </w:r>
      <w:r>
        <w:rPr>
          <w:highlight w:val="none"/>
        </w:rPr>
      </w:r>
      <w:r>
        <w:rPr>
          <w:highlight w:val="none"/>
        </w:rP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我们同意按照本采购文件第二章“供应商须知”第3.6条的规定，本投标文件的有效期为从开标之日起计算的九十天，在此期间，本投标文件将始终对我们具有约束力，并可随时被接受。如果我们中标，本投标文件在此期间之后将继续保持有效。</w:t>
      </w:r>
      <w:r>
        <w:rPr>
          <w:highlight w:val="none"/>
        </w:rPr>
      </w:r>
      <w:r>
        <w:rPr>
          <w:highlight w:val="none"/>
        </w:rP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4、我们同意提供采购代理机构要求的有关本次采购的所有资料。</w:t>
      </w:r>
      <w:r>
        <w:rPr>
          <w:highlight w:val="none"/>
        </w:rPr>
      </w:r>
      <w:r>
        <w:rPr>
          <w:highlight w:val="none"/>
        </w:rP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5、我们理解，你们无义务必须接受投标报价最低的投标，并有权拒绝所有的投标。同时也理解你们不承担我们本次投标的费用。</w:t>
      </w:r>
      <w:r>
        <w:rPr>
          <w:highlight w:val="none"/>
        </w:rPr>
      </w:r>
      <w:r>
        <w:rPr>
          <w:highlight w:val="none"/>
        </w:rP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6、如果我们中标，为执行合同，我们将按供应商须知有关要求提供必要的履约保证。</w:t>
      </w:r>
      <w:r>
        <w:rPr>
          <w:highlight w:val="none"/>
        </w:rPr>
      </w:r>
      <w:r>
        <w:rPr>
          <w:highlight w:val="none"/>
        </w:rP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r>
      <w:r>
        <w:rPr>
          <w:highlight w:val="none"/>
        </w:rPr>
      </w:r>
      <w:r>
        <w:rPr>
          <w:highlight w:val="none"/>
        </w:rPr>
      </w:r>
    </w:p>
    <w:p>
      <w:pPr>
        <w:pStyle w:val="1124"/>
        <w:ind w:left="1260"/>
        <w:rPr>
          <w:rFonts w:hint="eastAsia" w:ascii="微软雅黑" w:hAnsi="微软雅黑" w:cs="微软雅黑"/>
          <w:color w:val="auto"/>
          <w:highlight w:val="none"/>
        </w:rPr>
      </w:pPr>
      <w:r>
        <w:rPr>
          <w:rFonts w:hint="eastAsia" w:ascii="微软雅黑" w:hAnsi="微软雅黑" w:cs="微软雅黑"/>
          <w:color w:val="auto"/>
          <w:highlight w:val="none"/>
        </w:rPr>
      </w:r>
      <w:r>
        <w:rPr>
          <w:highlight w:val="none"/>
        </w:rPr>
      </w:r>
      <w:r>
        <w:rPr>
          <w:highlight w:val="none"/>
        </w:rPr>
      </w:r>
    </w:p>
    <w:p>
      <w:pPr>
        <w:rPr>
          <w:rFonts w:hint="eastAsia" w:ascii="微软雅黑" w:hAnsi="微软雅黑" w:cs="微软雅黑"/>
          <w:color w:val="auto"/>
          <w:highlight w:val="none"/>
        </w:rPr>
      </w:pPr>
      <w:r>
        <w:rPr>
          <w:rFonts w:hint="eastAsia" w:ascii="微软雅黑" w:hAnsi="微软雅黑" w:cs="微软雅黑"/>
          <w:color w:val="auto"/>
          <w:highlight w:val="none"/>
        </w:rPr>
      </w:r>
      <w:r>
        <w:rPr>
          <w:highlight w:val="none"/>
        </w:rPr>
      </w:r>
      <w:r>
        <w:rPr>
          <w:highlight w:val="none"/>
        </w:rPr>
      </w:r>
    </w:p>
    <w:p>
      <w:pPr>
        <w:pStyle w:val="1124"/>
        <w:ind w:left="1260"/>
        <w:rPr>
          <w:rFonts w:hint="eastAsia" w:ascii="微软雅黑" w:hAnsi="微软雅黑" w:cs="微软雅黑"/>
          <w:color w:val="auto"/>
          <w:highlight w:val="none"/>
        </w:rPr>
      </w:pPr>
      <w:r>
        <w:rPr>
          <w:rFonts w:hint="eastAsia" w:ascii="微软雅黑" w:hAnsi="微软雅黑" w:cs="微软雅黑"/>
          <w:color w:val="auto"/>
          <w:highlight w:val="none"/>
        </w:rPr>
      </w:r>
      <w:r>
        <w:rPr>
          <w:highlight w:val="none"/>
        </w:rPr>
      </w:r>
      <w:r>
        <w:rPr>
          <w:highlight w:val="none"/>
        </w:rPr>
      </w:r>
    </w:p>
    <w:p>
      <w:pPr>
        <w:ind w:firstLine="25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供应商全称（公章）：                </w:t>
      </w:r>
      <w:r>
        <w:rPr>
          <w:highlight w:val="none"/>
        </w:rPr>
      </w:r>
      <w:r>
        <w:rPr>
          <w:highlight w:val="none"/>
        </w:rP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                        地址：                 </w:t>
      </w:r>
      <w:r>
        <w:rPr>
          <w:highlight w:val="none"/>
        </w:rPr>
      </w:r>
      <w:r>
        <w:rPr>
          <w:highlight w:val="none"/>
        </w:rP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                        电话：          传真 ：          </w:t>
      </w:r>
      <w:r>
        <w:rPr>
          <w:highlight w:val="none"/>
        </w:rPr>
      </w:r>
      <w:r>
        <w:rPr>
          <w:highlight w:val="none"/>
        </w:rP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                        法定代表人（授权代表）（签字/盖章）：                   </w:t>
      </w:r>
      <w:r>
        <w:rPr>
          <w:highlight w:val="none"/>
        </w:rPr>
      </w:r>
      <w:r>
        <w:rPr>
          <w:highlight w:val="none"/>
        </w:rP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                        职务：                  </w:t>
      </w:r>
      <w:r>
        <w:rPr>
          <w:highlight w:val="none"/>
        </w:rPr>
      </w:r>
      <w:r>
        <w:rPr>
          <w:highlight w:val="none"/>
        </w:rP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                        日期：       </w:t>
      </w:r>
      <w:r>
        <w:rPr>
          <w:highlight w:val="none"/>
        </w:rPr>
      </w:r>
      <w:r>
        <w:rPr>
          <w:highlight w:val="none"/>
        </w:rPr>
      </w:r>
    </w:p>
    <w:p>
      <w:pPr>
        <w:pStyle w:val="1090"/>
        <w:rPr>
          <w:rFonts w:hint="eastAsia" w:ascii="微软雅黑" w:hAnsi="微软雅黑" w:cs="微软雅黑"/>
          <w:b/>
          <w:bCs w:val="0"/>
          <w:color w:val="auto"/>
          <w:sz w:val="24"/>
          <w:szCs w:val="24"/>
          <w:highlight w:val="none"/>
        </w:rPr>
      </w:pPr>
      <w:r>
        <w:rPr>
          <w:highlight w:val="none"/>
        </w:rPr>
      </w:r>
      <w:bookmarkStart w:id="260" w:name="_Toc28250"/>
      <w:r>
        <w:rPr>
          <w:highlight w:val="none"/>
        </w:rPr>
      </w:r>
      <w:bookmarkStart w:id="261" w:name="_Toc17675"/>
      <w:r>
        <w:rPr>
          <w:highlight w:val="none"/>
        </w:rPr>
      </w:r>
      <w:bookmarkStart w:id="262" w:name="_Toc21691"/>
      <w:r>
        <w:rPr>
          <w:rFonts w:hint="eastAsia" w:ascii="微软雅黑" w:hAnsi="微软雅黑" w:cs="微软雅黑"/>
          <w:b/>
          <w:bCs w:val="0"/>
          <w:color w:val="auto"/>
          <w:sz w:val="24"/>
          <w:szCs w:val="24"/>
          <w:highlight w:val="none"/>
        </w:rPr>
        <w:t xml:space="preserve">2.开标一览表</w:t>
      </w:r>
      <w:bookmarkEnd w:id="260"/>
      <w:r>
        <w:rPr>
          <w:highlight w:val="none"/>
        </w:rPr>
      </w:r>
      <w:bookmarkEnd w:id="261"/>
      <w:r>
        <w:rPr>
          <w:highlight w:val="none"/>
        </w:rPr>
      </w:r>
      <w:bookmarkEnd w:id="262"/>
      <w:r>
        <w:rPr>
          <w:highlight w:val="none"/>
        </w:rPr>
      </w:r>
      <w:r>
        <w:rPr>
          <w:highlight w:val="none"/>
        </w:rPr>
      </w:r>
    </w:p>
    <w:tbl>
      <w:tblPr>
        <w:tblStyle w:val="9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1"/>
        <w:gridCol w:w="1861"/>
        <w:gridCol w:w="5607"/>
      </w:tblGrid>
      <w:tr>
        <w:trPr>
          <w:cantSplit/>
          <w:trHeight w:val="860"/>
        </w:trPr>
        <w:tc>
          <w:tcPr>
            <w:tcW w:w="631"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1</w:t>
            </w:r>
            <w:r>
              <w:rPr>
                <w:highlight w:val="none"/>
              </w:rPr>
            </w:r>
            <w:r>
              <w:rPr>
                <w:highlight w:val="none"/>
              </w:rPr>
            </w:r>
          </w:p>
        </w:tc>
        <w:tc>
          <w:tcPr>
            <w:tcW w:w="1861"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项目名称</w:t>
            </w:r>
            <w:r>
              <w:rPr>
                <w:highlight w:val="none"/>
              </w:rPr>
            </w:r>
            <w:r>
              <w:rPr>
                <w:highlight w:val="none"/>
              </w:rPr>
            </w:r>
          </w:p>
        </w:tc>
        <w:tc>
          <w:tcPr>
            <w:tcW w:w="5607"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徐医附院肝癌诊疗系统项目</w:t>
            </w:r>
            <w:r>
              <w:rPr>
                <w:highlight w:val="none"/>
              </w:rPr>
            </w:r>
            <w:r>
              <w:rPr>
                <w:highlight w:val="none"/>
              </w:rPr>
            </w:r>
          </w:p>
        </w:tc>
      </w:tr>
      <w:tr>
        <w:trPr>
          <w:cantSplit/>
          <w:trHeight w:val="870"/>
        </w:trPr>
        <w:tc>
          <w:tcPr>
            <w:tcW w:w="631"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2</w:t>
            </w:r>
            <w:r>
              <w:rPr>
                <w:highlight w:val="none"/>
              </w:rPr>
            </w:r>
            <w:r>
              <w:rPr>
                <w:highlight w:val="none"/>
              </w:rPr>
            </w:r>
          </w:p>
        </w:tc>
        <w:tc>
          <w:tcPr>
            <w:tcW w:w="1861"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项目编号</w:t>
            </w:r>
            <w:r>
              <w:rPr>
                <w:highlight w:val="none"/>
              </w:rPr>
            </w:r>
            <w:r>
              <w:rPr>
                <w:highlight w:val="none"/>
              </w:rPr>
            </w:r>
          </w:p>
        </w:tc>
        <w:tc>
          <w:tcPr>
            <w:tcW w:w="5607" w:type="dxa"/>
            <w:vAlign w:val="center"/>
            <w:textDirection w:val="lrTb"/>
            <w:noWrap w:val="false"/>
          </w:tcPr>
          <w:p>
            <w:pPr>
              <w:rPr>
                <w:rFonts w:hint="eastAsia" w:ascii="微软雅黑" w:hAnsi="微软雅黑" w:eastAsia="微软雅黑" w:cs="微软雅黑"/>
                <w:color w:val="auto"/>
                <w:highlight w:val="none"/>
              </w:rPr>
            </w:pPr>
            <w:r>
              <w:rPr>
                <w:rFonts w:hint="eastAsia" w:ascii="微软雅黑" w:hAnsi="微软雅黑" w:cs="微软雅黑"/>
                <w:color w:val="auto"/>
                <w:highlight w:val="none"/>
                <w:lang w:eastAsia="zh-CN"/>
              </w:rPr>
              <w:t xml:space="preserve">JSZC-320000-ZJZB-G2026-0129</w:t>
            </w:r>
            <w:r>
              <w:rPr>
                <w:highlight w:val="none"/>
              </w:rPr>
            </w:r>
            <w:r>
              <w:rPr>
                <w:highlight w:val="none"/>
              </w:rPr>
            </w:r>
          </w:p>
        </w:tc>
      </w:tr>
      <w:tr>
        <w:trPr>
          <w:cantSplit/>
          <w:trHeight w:val="1452"/>
        </w:trPr>
        <w:tc>
          <w:tcPr>
            <w:tcW w:w="631"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3</w:t>
            </w:r>
            <w:r>
              <w:rPr>
                <w:highlight w:val="none"/>
              </w:rPr>
            </w:r>
            <w:r>
              <w:rPr>
                <w:highlight w:val="none"/>
              </w:rPr>
            </w:r>
          </w:p>
        </w:tc>
        <w:tc>
          <w:tcPr>
            <w:tcW w:w="1861" w:type="dxa"/>
            <w:vAlign w:val="center"/>
            <w:textDirection w:val="lrTb"/>
            <w:noWrap w:val="false"/>
          </w:tcPr>
          <w:p>
            <w:pPr>
              <w:jc w:val="center"/>
              <w:rPr>
                <w:rFonts w:hint="eastAsia" w:ascii="微软雅黑" w:hAnsi="微软雅黑" w:eastAsia="微软雅黑" w:cs="微软雅黑"/>
                <w:color w:val="auto"/>
                <w:highlight w:val="none"/>
              </w:rPr>
            </w:pPr>
            <w:r>
              <w:rPr>
                <w:rFonts w:hint="eastAsia" w:ascii="微软雅黑" w:hAnsi="微软雅黑" w:cs="微软雅黑"/>
                <w:color w:val="auto"/>
                <w:highlight w:val="none"/>
              </w:rPr>
              <w:t xml:space="preserve">投标报价</w:t>
            </w:r>
            <w:r>
              <w:rPr>
                <w:highlight w:val="none"/>
              </w:rPr>
            </w:r>
            <w:r>
              <w:rPr>
                <w:highlight w:val="none"/>
              </w:rPr>
            </w:r>
          </w:p>
        </w:tc>
        <w:tc>
          <w:tcPr>
            <w:tcW w:w="5607" w:type="dxa"/>
            <w:vAlign w:val="center"/>
            <w:textDirection w:val="lrTb"/>
            <w:noWrap w:val="false"/>
          </w:tcPr>
          <w:p>
            <w:pPr>
              <w:rPr>
                <w:rFonts w:hint="eastAsia" w:eastAsia="微软雅黑"/>
                <w:color w:val="auto"/>
                <w:highlight w:val="none"/>
                <w:u w:val="single"/>
              </w:rPr>
            </w:pPr>
            <w:r>
              <w:rPr>
                <w:rFonts w:hint="eastAsia"/>
                <w:color w:val="auto"/>
                <w:highlight w:val="none"/>
              </w:rPr>
              <w:t xml:space="preserve">人民币 (大写)</w:t>
            </w:r>
            <w:r>
              <w:rPr>
                <w:rFonts w:hint="eastAsia"/>
                <w:color w:val="auto"/>
                <w:highlight w:val="none"/>
                <w:u w:val="single"/>
              </w:rPr>
              <w:t xml:space="preserve">                        元</w:t>
            </w:r>
            <w:r>
              <w:rPr>
                <w:highlight w:val="none"/>
              </w:rPr>
            </w:r>
            <w:r>
              <w:rPr>
                <w:highlight w:val="none"/>
              </w:rPr>
            </w:r>
          </w:p>
          <w:p>
            <w:pPr>
              <w:pStyle w:val="1124"/>
              <w:ind w:left="0"/>
              <w:rPr>
                <w:rFonts w:hint="eastAsia" w:ascii="微软雅黑" w:hAnsi="微软雅黑" w:cs="微软雅黑"/>
                <w:color w:val="auto"/>
                <w:highlight w:val="none"/>
                <w:u w:val="single"/>
              </w:rPr>
            </w:pPr>
            <w:r>
              <w:rPr>
                <w:rFonts w:hint="eastAsia"/>
                <w:color w:val="auto"/>
                <w:highlight w:val="none"/>
              </w:rPr>
              <w:t xml:space="preserve">￥:(</w:t>
            </w:r>
            <w:r>
              <w:rPr>
                <w:rFonts w:hint="eastAsia"/>
                <w:color w:val="auto"/>
                <w:highlight w:val="none"/>
                <w:lang w:val="en-US" w:eastAsia="zh-CN"/>
              </w:rPr>
              <w:t xml:space="preserve">小</w:t>
            </w:r>
            <w:r>
              <w:rPr>
                <w:rFonts w:hint="eastAsia"/>
                <w:color w:val="auto"/>
                <w:highlight w:val="none"/>
              </w:rPr>
              <w:t xml:space="preserve">写)</w:t>
            </w:r>
            <w:r>
              <w:rPr>
                <w:rFonts w:hint="eastAsia"/>
                <w:color w:val="auto"/>
                <w:highlight w:val="none"/>
                <w:u w:val="single"/>
              </w:rPr>
              <w:t xml:space="preserve">                            元</w:t>
            </w:r>
            <w:r>
              <w:rPr>
                <w:highlight w:val="none"/>
              </w:rPr>
            </w:r>
            <w:r>
              <w:rPr>
                <w:highlight w:val="none"/>
              </w:rPr>
            </w:r>
          </w:p>
        </w:tc>
      </w:tr>
    </w:tbl>
    <w:p>
      <w:pPr>
        <w:spacing w:before="4" w:line="420" w:lineRule="exact"/>
        <w:widowControl/>
        <w:rPr>
          <w:rFonts w:hint="eastAsia" w:ascii="微软雅黑" w:hAnsi="微软雅黑" w:cs="微软雅黑"/>
          <w:color w:val="auto"/>
          <w:sz w:val="24"/>
          <w:szCs w:val="24"/>
          <w:highlight w:val="none"/>
        </w:rPr>
      </w:pPr>
      <w:r>
        <w:rPr>
          <w:rFonts w:hint="eastAsia" w:ascii="微软雅黑" w:hAnsi="微软雅黑" w:cs="微软雅黑"/>
          <w:color w:val="auto"/>
          <w:sz w:val="24"/>
          <w:szCs w:val="24"/>
          <w:highlight w:val="none"/>
        </w:rPr>
      </w:r>
      <w:r>
        <w:rPr>
          <w:highlight w:val="none"/>
        </w:rPr>
      </w:r>
      <w:r>
        <w:rPr>
          <w:highlight w:val="none"/>
        </w:rPr>
      </w:r>
    </w:p>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供应商全称（公章）：        </w:t>
      </w:r>
      <w:r>
        <w:rPr>
          <w:highlight w:val="none"/>
        </w:rPr>
      </w:r>
      <w:r>
        <w:rPr>
          <w:highlight w:val="none"/>
        </w:rPr>
      </w:r>
    </w:p>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法定代表人（授权代表）（签字/盖章）：    </w:t>
      </w:r>
      <w:r>
        <w:rPr>
          <w:highlight w:val="none"/>
        </w:rPr>
      </w:r>
      <w:r>
        <w:rPr>
          <w:highlight w:val="none"/>
        </w:rPr>
      </w:r>
    </w:p>
    <w:p>
      <w:pPr>
        <w:pStyle w:val="1124"/>
        <w:ind w:left="0"/>
        <w:rPr>
          <w:rFonts w:hint="eastAsia" w:ascii="微软雅黑" w:hAnsi="微软雅黑" w:cs="微软雅黑"/>
          <w:color w:val="auto"/>
          <w:highlight w:val="none"/>
        </w:rPr>
      </w:pPr>
      <w:r>
        <w:rPr>
          <w:rFonts w:hint="eastAsia" w:ascii="微软雅黑" w:hAnsi="微软雅黑" w:cs="微软雅黑"/>
          <w:color w:val="auto"/>
          <w:highlight w:val="none"/>
        </w:rPr>
        <w:t xml:space="preserve">日期：</w:t>
      </w:r>
      <w:r>
        <w:rPr>
          <w:highlight w:val="none"/>
        </w:rPr>
      </w:r>
      <w:r>
        <w:rPr>
          <w:highlight w:val="none"/>
        </w:rPr>
      </w:r>
    </w:p>
    <w:p>
      <w:pPr>
        <w:ind w:firstLine="270"/>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rPr>
          <w:highlight w:val="none"/>
        </w:rPr>
      </w:r>
      <w:r>
        <w:rPr>
          <w:highlight w:val="none"/>
        </w:rPr>
      </w:r>
    </w:p>
    <w:p>
      <w:pPr>
        <w:ind w:firstLine="270"/>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注意:</w:t>
      </w:r>
      <w:r>
        <w:rPr>
          <w:highlight w:val="none"/>
        </w:rPr>
      </w:r>
      <w:r>
        <w:rPr>
          <w:highlight w:val="none"/>
        </w:rPr>
      </w:r>
    </w:p>
    <w:p>
      <w:pPr>
        <w:ind w:firstLine="360"/>
        <w:spacing w:line="36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（1）投标报价应包括采购文件所规定的招标范围的全部内容</w:t>
      </w:r>
      <w:r>
        <w:rPr>
          <w:rFonts w:hint="eastAsia" w:ascii="微软雅黑" w:hAnsi="微软雅黑" w:cs="微软雅黑"/>
          <w:b/>
          <w:bCs/>
          <w:color w:val="auto"/>
          <w:sz w:val="18"/>
          <w:szCs w:val="18"/>
          <w:highlight w:val="none"/>
        </w:rPr>
        <w:t xml:space="preserve">。</w:t>
      </w:r>
      <w:r>
        <w:rPr>
          <w:highlight w:val="none"/>
        </w:rPr>
      </w:r>
      <w:r>
        <w:rPr>
          <w:highlight w:val="none"/>
        </w:rPr>
      </w:r>
    </w:p>
    <w:p>
      <w:pPr>
        <w:ind w:firstLine="360"/>
        <w:spacing w:line="36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（2）供应商不得实质性改动开标一览表格式及内容。</w:t>
      </w:r>
      <w:r>
        <w:rPr>
          <w:highlight w:val="none"/>
        </w:rPr>
      </w:r>
      <w:r>
        <w:rPr>
          <w:highlight w:val="none"/>
        </w:rPr>
      </w:r>
    </w:p>
    <w:p>
      <w:pPr>
        <w:pStyle w:val="1124"/>
        <w:ind w:left="0" w:firstLine="360"/>
        <w:spacing w:line="360" w:lineRule="exact"/>
        <w:rPr>
          <w:rFonts w:hint="eastAsia" w:ascii="微软雅黑" w:hAnsi="微软雅黑" w:cs="微软雅黑"/>
          <w:b/>
          <w:bCs/>
          <w:color w:val="auto"/>
          <w:sz w:val="18"/>
          <w:szCs w:val="18"/>
          <w:highlight w:val="none"/>
        </w:rPr>
      </w:pPr>
      <w:r>
        <w:rPr>
          <w:rFonts w:hint="eastAsia" w:ascii="微软雅黑" w:hAnsi="微软雅黑" w:cs="微软雅黑"/>
          <w:b/>
          <w:bCs/>
          <w:color w:val="auto"/>
          <w:sz w:val="18"/>
          <w:szCs w:val="18"/>
          <w:highlight w:val="none"/>
        </w:rPr>
        <w:t xml:space="preserve">（3）开标一览表除了装订在投标文件中以外，还需要提供一份单独密封的开标一览表，单独密封的开标一览表仅是为方便唱标所用，如未提供，不构成投标文件的完整性偏离。</w:t>
      </w:r>
      <w:bookmarkStart w:id="263" w:name="_Toc28866"/>
      <w:r>
        <w:rPr>
          <w:highlight w:val="none"/>
        </w:rPr>
      </w:r>
      <w:bookmarkStart w:id="264" w:name="_Toc214"/>
      <w:r>
        <w:rPr>
          <w:highlight w:val="none"/>
        </w:rPr>
      </w:r>
      <w:bookmarkStart w:id="265" w:name="_Toc17991"/>
      <w:r>
        <w:rPr>
          <w:highlight w:val="none"/>
        </w:rPr>
      </w:r>
      <w:bookmarkStart w:id="266" w:name="_Toc365968480"/>
      <w:r>
        <w:rPr>
          <w:highlight w:val="none"/>
        </w:rPr>
      </w:r>
      <w:bookmarkStart w:id="267" w:name="_Toc365968484"/>
      <w:r>
        <w:rPr>
          <w:highlight w:val="none"/>
        </w:rPr>
      </w:r>
      <w:bookmarkStart w:id="268" w:name="_Toc351733249"/>
      <w:r>
        <w:rPr>
          <w:highlight w:val="none"/>
        </w:rPr>
      </w:r>
      <w:r>
        <w:rPr>
          <w:highlight w:val="none"/>
        </w:rPr>
      </w:r>
    </w:p>
    <w:p>
      <w:pPr>
        <w:pStyle w:val="1090"/>
        <w:spacing w:before="0" w:after="0"/>
        <w:rPr>
          <w:rFonts w:hint="eastAsia" w:eastAsia="微软雅黑"/>
          <w:color w:val="auto"/>
          <w:highlight w:val="none"/>
        </w:rPr>
      </w:pPr>
      <w:r>
        <w:rPr>
          <w:rFonts w:hint="eastAsia"/>
          <w:color w:val="auto"/>
          <w:highlight w:val="none"/>
        </w:rPr>
        <w:br w:type="page" w:clear="all"/>
      </w:r>
      <w:bookmarkStart w:id="269" w:name="_Toc11823"/>
      <w:r>
        <w:rPr>
          <w:highlight w:val="none"/>
        </w:rPr>
      </w:r>
      <w:bookmarkStart w:id="270" w:name="_Toc27927"/>
      <w:r>
        <w:rPr>
          <w:highlight w:val="none"/>
        </w:rPr>
      </w:r>
      <w:bookmarkStart w:id="271" w:name="_Toc16082"/>
      <w:r>
        <w:rPr>
          <w:highlight w:val="none"/>
        </w:rPr>
      </w:r>
      <w:bookmarkStart w:id="272" w:name="_Toc32619"/>
      <w:r>
        <w:rPr>
          <w:rFonts w:hint="eastAsia" w:ascii="微软雅黑" w:hAnsi="微软雅黑" w:cs="微软雅黑"/>
          <w:b/>
          <w:bCs w:val="0"/>
          <w:color w:val="auto"/>
          <w:sz w:val="24"/>
          <w:szCs w:val="24"/>
          <w:highlight w:val="none"/>
        </w:rPr>
        <w:t xml:space="preserve">3.</w:t>
      </w:r>
      <w:bookmarkStart w:id="273" w:name="_Toc30601"/>
      <w:r>
        <w:rPr>
          <w:rFonts w:hint="eastAsia"/>
          <w:color w:val="auto"/>
          <w:highlight w:val="none"/>
          <w:lang w:eastAsia="zh-CN"/>
        </w:rPr>
        <w:t xml:space="preserve">投标</w:t>
      </w:r>
      <w:r>
        <w:rPr>
          <w:rFonts w:hint="eastAsia"/>
          <w:color w:val="auto"/>
          <w:highlight w:val="none"/>
        </w:rPr>
        <w:t xml:space="preserve">报价明细表</w:t>
      </w:r>
      <w:bookmarkEnd w:id="269"/>
      <w:r>
        <w:rPr>
          <w:highlight w:val="none"/>
        </w:rPr>
      </w:r>
      <w:bookmarkEnd w:id="270"/>
      <w:r>
        <w:rPr>
          <w:highlight w:val="none"/>
        </w:rPr>
      </w:r>
      <w:bookmarkEnd w:id="271"/>
      <w:r>
        <w:rPr>
          <w:highlight w:val="none"/>
        </w:rPr>
      </w:r>
      <w:bookmarkEnd w:id="272"/>
      <w:r>
        <w:rPr>
          <w:highlight w:val="none"/>
        </w:rPr>
      </w:r>
      <w:bookmarkEnd w:id="273"/>
      <w:r>
        <w:rPr>
          <w:highlight w:val="none"/>
        </w:rPr>
      </w:r>
      <w:r>
        <w:rPr>
          <w:highlight w:val="none"/>
        </w:rPr>
      </w:r>
    </w:p>
    <w:tbl>
      <w:tblPr>
        <w:tblStyle w:val="913"/>
        <w:tblW w:w="8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54"/>
        <w:gridCol w:w="1814"/>
        <w:gridCol w:w="491"/>
        <w:gridCol w:w="709"/>
        <w:gridCol w:w="627"/>
        <w:gridCol w:w="546"/>
        <w:gridCol w:w="573"/>
        <w:gridCol w:w="545"/>
        <w:gridCol w:w="573"/>
        <w:gridCol w:w="559"/>
        <w:gridCol w:w="327"/>
        <w:gridCol w:w="545"/>
        <w:gridCol w:w="396"/>
      </w:tblGrid>
      <w:tr>
        <w:trPr>
          <w:cantSplit/>
          <w:jc w:val="center"/>
          <w:trHeight w:val="787"/>
          <w:tblHeader/>
        </w:trPr>
        <w:tc>
          <w:tcPr>
            <w:tcW w:w="654"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序号</w:t>
            </w:r>
            <w:r>
              <w:rPr>
                <w:highlight w:val="none"/>
              </w:rPr>
            </w:r>
            <w:r>
              <w:rPr>
                <w:highlight w:val="none"/>
              </w:rPr>
            </w:r>
          </w:p>
        </w:tc>
        <w:tc>
          <w:tcPr>
            <w:tcMar>
              <w:left w:w="15" w:type="dxa"/>
              <w:top w:w="15" w:type="dxa"/>
              <w:right w:w="15" w:type="dxa"/>
              <w:bottom w:w="0" w:type="dxa"/>
            </w:tcMar>
            <w:tcW w:w="1814"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物品名称</w:t>
            </w:r>
            <w:r>
              <w:rPr>
                <w:highlight w:val="none"/>
              </w:rPr>
            </w:r>
            <w:r>
              <w:rPr>
                <w:highlight w:val="none"/>
              </w:rPr>
            </w:r>
          </w:p>
        </w:tc>
        <w:tc>
          <w:tcPr>
            <w:tcMar>
              <w:left w:w="15" w:type="dxa"/>
              <w:top w:w="15" w:type="dxa"/>
              <w:right w:w="15" w:type="dxa"/>
              <w:bottom w:w="0" w:type="dxa"/>
            </w:tcMar>
            <w:tcW w:w="491"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详细部件名称</w:t>
            </w:r>
            <w:r>
              <w:rPr>
                <w:highlight w:val="none"/>
              </w:rPr>
            </w:r>
            <w:r>
              <w:rPr>
                <w:highlight w:val="none"/>
              </w:rPr>
            </w:r>
          </w:p>
        </w:tc>
        <w:tc>
          <w:tcPr>
            <w:tcMar>
              <w:left w:w="15" w:type="dxa"/>
              <w:top w:w="15" w:type="dxa"/>
              <w:right w:w="15" w:type="dxa"/>
              <w:bottom w:w="0" w:type="dxa"/>
            </w:tcMar>
            <w:tcW w:w="709"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规格</w:t>
            </w:r>
            <w:r>
              <w:rPr>
                <w:highlight w:val="none"/>
              </w:rPr>
            </w:r>
            <w:r>
              <w:rPr>
                <w:highlight w:val="none"/>
              </w:rPr>
            </w:r>
          </w:p>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型号</w:t>
            </w:r>
            <w:r>
              <w:rPr>
                <w:highlight w:val="none"/>
              </w:rPr>
            </w:r>
            <w:r>
              <w:rPr>
                <w:highlight w:val="none"/>
              </w:rPr>
            </w:r>
          </w:p>
        </w:tc>
        <w:tc>
          <w:tcPr>
            <w:tcMar>
              <w:left w:w="15" w:type="dxa"/>
              <w:top w:w="15" w:type="dxa"/>
              <w:right w:w="15" w:type="dxa"/>
              <w:bottom w:w="0" w:type="dxa"/>
            </w:tcMar>
            <w:tcW w:w="627"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数量</w:t>
            </w:r>
            <w:r>
              <w:rPr>
                <w:highlight w:val="none"/>
              </w:rPr>
            </w:r>
            <w:r>
              <w:rPr>
                <w:highlight w:val="none"/>
              </w:rPr>
            </w:r>
          </w:p>
        </w:tc>
        <w:tc>
          <w:tcPr>
            <w:tcMar>
              <w:left w:w="15" w:type="dxa"/>
              <w:top w:w="15" w:type="dxa"/>
              <w:right w:w="15" w:type="dxa"/>
              <w:bottom w:w="0" w:type="dxa"/>
            </w:tcMar>
            <w:tcW w:w="546"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单位</w:t>
            </w:r>
            <w:r>
              <w:rPr>
                <w:highlight w:val="none"/>
              </w:rPr>
            </w:r>
            <w:r>
              <w:rPr>
                <w:highlight w:val="none"/>
              </w:rPr>
            </w:r>
          </w:p>
        </w:tc>
        <w:tc>
          <w:tcPr>
            <w:tcMar>
              <w:left w:w="15" w:type="dxa"/>
              <w:top w:w="15" w:type="dxa"/>
              <w:right w:w="15" w:type="dxa"/>
              <w:bottom w:w="0" w:type="dxa"/>
            </w:tcMar>
            <w:tcW w:w="573"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品牌</w:t>
            </w:r>
            <w:r>
              <w:rPr>
                <w:highlight w:val="none"/>
              </w:rPr>
            </w:r>
            <w:r>
              <w:rPr>
                <w:highlight w:val="none"/>
              </w:rPr>
            </w:r>
          </w:p>
        </w:tc>
        <w:tc>
          <w:tcPr>
            <w:tcMar>
              <w:left w:w="15" w:type="dxa"/>
              <w:top w:w="15" w:type="dxa"/>
              <w:right w:w="15" w:type="dxa"/>
              <w:bottom w:w="0" w:type="dxa"/>
            </w:tcMar>
            <w:tcW w:w="545"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单价</w:t>
            </w:r>
            <w:r>
              <w:rPr>
                <w:highlight w:val="none"/>
              </w:rPr>
            </w:r>
            <w:r>
              <w:rPr>
                <w:highlight w:val="none"/>
              </w:rPr>
            </w:r>
          </w:p>
        </w:tc>
        <w:tc>
          <w:tcPr>
            <w:tcMar>
              <w:left w:w="15" w:type="dxa"/>
              <w:top w:w="15" w:type="dxa"/>
              <w:right w:w="15" w:type="dxa"/>
              <w:bottom w:w="0" w:type="dxa"/>
            </w:tcMar>
            <w:tcW w:w="573"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总价</w:t>
            </w:r>
            <w:r>
              <w:rPr>
                <w:highlight w:val="none"/>
              </w:rPr>
            </w:r>
            <w:r>
              <w:rPr>
                <w:highlight w:val="none"/>
              </w:rPr>
            </w:r>
          </w:p>
        </w:tc>
        <w:tc>
          <w:tcPr>
            <w:tcMar>
              <w:left w:w="15" w:type="dxa"/>
              <w:top w:w="15" w:type="dxa"/>
              <w:right w:w="15" w:type="dxa"/>
              <w:bottom w:w="0" w:type="dxa"/>
            </w:tcMar>
            <w:tcW w:w="559"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生产厂商</w:t>
            </w:r>
            <w:r>
              <w:rPr>
                <w:highlight w:val="none"/>
              </w:rPr>
            </w:r>
            <w:r>
              <w:rPr>
                <w:highlight w:val="none"/>
              </w:rPr>
            </w:r>
          </w:p>
        </w:tc>
        <w:tc>
          <w:tcPr>
            <w:tcMar>
              <w:left w:w="15" w:type="dxa"/>
              <w:top w:w="15" w:type="dxa"/>
              <w:right w:w="15" w:type="dxa"/>
              <w:bottom w:w="0" w:type="dxa"/>
            </w:tcMar>
            <w:tcW w:w="327"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产地</w:t>
            </w:r>
            <w:r>
              <w:rPr>
                <w:highlight w:val="none"/>
              </w:rPr>
            </w:r>
            <w:r>
              <w:rPr>
                <w:highlight w:val="none"/>
              </w:rPr>
            </w:r>
          </w:p>
        </w:tc>
        <w:tc>
          <w:tcPr>
            <w:tcW w:w="545"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质保期</w:t>
            </w:r>
            <w:r>
              <w:rPr>
                <w:highlight w:val="none"/>
              </w:rPr>
            </w:r>
            <w:r>
              <w:rPr>
                <w:highlight w:val="none"/>
              </w:rPr>
            </w:r>
          </w:p>
        </w:tc>
        <w:tc>
          <w:tcPr>
            <w:tcMar>
              <w:left w:w="15" w:type="dxa"/>
              <w:top w:w="15" w:type="dxa"/>
              <w:right w:w="15" w:type="dxa"/>
              <w:bottom w:w="0" w:type="dxa"/>
            </w:tcMar>
            <w:tcW w:w="396" w:type="dxa"/>
            <w:vAlign w:val="top"/>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属性</w:t>
            </w:r>
            <w:r>
              <w:rPr>
                <w:highlight w:val="none"/>
              </w:rPr>
            </w:r>
            <w:r>
              <w:rPr>
                <w:highlight w:val="none"/>
              </w:rPr>
            </w:r>
          </w:p>
        </w:tc>
      </w:tr>
      <w:tr>
        <w:trPr>
          <w:cantSplit/>
          <w:jc w:val="center"/>
          <w:trHeight w:val="590"/>
        </w:trPr>
        <w:tc>
          <w:tcPr>
            <w:tcW w:w="654"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w:t>
            </w:r>
            <w:r>
              <w:rPr>
                <w:highlight w:val="none"/>
              </w:rPr>
            </w:r>
            <w:r>
              <w:rPr>
                <w:highlight w:val="none"/>
              </w:rPr>
            </w:r>
          </w:p>
        </w:tc>
        <w:tc>
          <w:tcPr>
            <w:tcMar>
              <w:left w:w="15" w:type="dxa"/>
              <w:top w:w="15" w:type="dxa"/>
              <w:right w:w="15" w:type="dxa"/>
              <w:bottom w:w="0" w:type="dxa"/>
            </w:tcMar>
            <w:tcW w:w="1814" w:type="dxa"/>
            <w:vAlign w:val="top"/>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Mar>
              <w:left w:w="15" w:type="dxa"/>
              <w:top w:w="15" w:type="dxa"/>
              <w:right w:w="15" w:type="dxa"/>
              <w:bottom w:w="0" w:type="dxa"/>
            </w:tcMar>
            <w:tcW w:w="491" w:type="dxa"/>
            <w:vAlign w:val="top"/>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Mar>
              <w:left w:w="15" w:type="dxa"/>
              <w:top w:w="15" w:type="dxa"/>
              <w:right w:w="15" w:type="dxa"/>
              <w:bottom w:w="0" w:type="dxa"/>
            </w:tcMar>
            <w:tcW w:w="709" w:type="dxa"/>
            <w:vAlign w:val="top"/>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627" w:type="dxa"/>
            <w:vAlign w:val="top"/>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rPr>
                <w:highlight w:val="none"/>
              </w:rPr>
            </w:r>
            <w:r>
              <w:rPr>
                <w:highlight w:val="none"/>
              </w:rPr>
            </w:r>
          </w:p>
        </w:tc>
        <w:tc>
          <w:tcPr>
            <w:tcW w:w="546" w:type="dxa"/>
            <w:vAlign w:val="top"/>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rPr>
                <w:highlight w:val="none"/>
              </w:rPr>
            </w:r>
            <w:r>
              <w:rPr>
                <w:highlight w:val="none"/>
              </w:rPr>
            </w:r>
          </w:p>
        </w:tc>
        <w:tc>
          <w:tcPr>
            <w:tcW w:w="573" w:type="dxa"/>
            <w:vAlign w:val="top"/>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rPr>
                <w:highlight w:val="none"/>
              </w:rPr>
            </w:r>
            <w:r>
              <w:rPr>
                <w:highlight w:val="none"/>
              </w:rPr>
            </w:r>
          </w:p>
        </w:tc>
        <w:tc>
          <w:tcPr>
            <w:tcW w:w="545" w:type="dxa"/>
            <w:vAlign w:val="top"/>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rPr>
                <w:highlight w:val="none"/>
              </w:rPr>
            </w:r>
            <w:r>
              <w:rPr>
                <w:highlight w:val="none"/>
              </w:rPr>
            </w:r>
          </w:p>
        </w:tc>
        <w:tc>
          <w:tcPr>
            <w:tcW w:w="573" w:type="dxa"/>
            <w:vAlign w:val="top"/>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rPr>
                <w:highlight w:val="none"/>
              </w:rPr>
            </w:r>
            <w:r>
              <w:rPr>
                <w:highlight w:val="none"/>
              </w:rPr>
            </w:r>
          </w:p>
        </w:tc>
        <w:tc>
          <w:tcPr>
            <w:tcW w:w="559" w:type="dxa"/>
            <w:vAlign w:val="top"/>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rPr>
                <w:highlight w:val="none"/>
              </w:rPr>
            </w:r>
            <w:r>
              <w:rPr>
                <w:highlight w:val="none"/>
              </w:rPr>
            </w:r>
          </w:p>
        </w:tc>
        <w:tc>
          <w:tcPr>
            <w:tcW w:w="327" w:type="dxa"/>
            <w:vAlign w:val="top"/>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rPr>
                <w:highlight w:val="none"/>
              </w:rPr>
            </w:r>
            <w:r>
              <w:rPr>
                <w:highlight w:val="none"/>
              </w:rPr>
            </w:r>
          </w:p>
        </w:tc>
        <w:tc>
          <w:tcPr>
            <w:tcW w:w="545" w:type="dxa"/>
            <w:vAlign w:val="top"/>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rPr>
                <w:highlight w:val="none"/>
              </w:rPr>
            </w:r>
            <w:r>
              <w:rPr>
                <w:highlight w:val="none"/>
              </w:rPr>
            </w:r>
          </w:p>
        </w:tc>
        <w:tc>
          <w:tcPr>
            <w:tcW w:w="396" w:type="dxa"/>
            <w:vAlign w:val="top"/>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rPr>
                <w:highlight w:val="none"/>
              </w:rPr>
            </w:r>
            <w:r>
              <w:rPr>
                <w:highlight w:val="none"/>
              </w:rPr>
            </w:r>
          </w:p>
        </w:tc>
      </w:tr>
      <w:tr>
        <w:trPr>
          <w:cantSplit/>
          <w:jc w:val="center"/>
          <w:trHeight w:val="430"/>
        </w:trPr>
        <w:tc>
          <w:tcPr>
            <w:tcW w:w="654"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w:t>
            </w:r>
            <w:r>
              <w:rPr>
                <w:highlight w:val="none"/>
              </w:rPr>
            </w:r>
            <w:r>
              <w:rPr>
                <w:highlight w:val="none"/>
              </w:rPr>
            </w:r>
          </w:p>
        </w:tc>
        <w:tc>
          <w:tcPr>
            <w:tcMar>
              <w:left w:w="15" w:type="dxa"/>
              <w:top w:w="15" w:type="dxa"/>
              <w:right w:w="15" w:type="dxa"/>
              <w:bottom w:w="0" w:type="dxa"/>
            </w:tcMar>
            <w:tcW w:w="1814"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Mar>
              <w:left w:w="15" w:type="dxa"/>
              <w:top w:w="15" w:type="dxa"/>
              <w:right w:w="15" w:type="dxa"/>
              <w:bottom w:w="0" w:type="dxa"/>
            </w:tcMar>
            <w:tcW w:w="491"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Mar>
              <w:left w:w="15" w:type="dxa"/>
              <w:top w:w="15" w:type="dxa"/>
              <w:right w:w="15" w:type="dxa"/>
              <w:bottom w:w="0" w:type="dxa"/>
            </w:tcMar>
            <w:tcW w:w="709"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627"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546"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573"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545"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573"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559"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327"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545" w:type="dxa"/>
            <w:vAlign w:val="top"/>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396"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r>
      <w:tr>
        <w:trPr>
          <w:cantSplit/>
          <w:jc w:val="center"/>
          <w:trHeight w:val="430"/>
        </w:trPr>
        <w:tc>
          <w:tcPr>
            <w:tcW w:w="654"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w:t>
            </w:r>
            <w:r>
              <w:rPr>
                <w:highlight w:val="none"/>
              </w:rPr>
            </w:r>
            <w:r>
              <w:rPr>
                <w:highlight w:val="none"/>
              </w:rPr>
            </w:r>
          </w:p>
        </w:tc>
        <w:tc>
          <w:tcPr>
            <w:tcMar>
              <w:left w:w="15" w:type="dxa"/>
              <w:top w:w="15" w:type="dxa"/>
              <w:right w:w="15" w:type="dxa"/>
              <w:bottom w:w="0" w:type="dxa"/>
            </w:tcMar>
            <w:tcW w:w="1814"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Mar>
              <w:left w:w="15" w:type="dxa"/>
              <w:top w:w="15" w:type="dxa"/>
              <w:right w:w="15" w:type="dxa"/>
              <w:bottom w:w="0" w:type="dxa"/>
            </w:tcMar>
            <w:tcW w:w="491" w:type="dxa"/>
            <w:vAlign w:val="top"/>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Mar>
              <w:left w:w="15" w:type="dxa"/>
              <w:top w:w="15" w:type="dxa"/>
              <w:right w:w="15" w:type="dxa"/>
              <w:bottom w:w="0" w:type="dxa"/>
            </w:tcMar>
            <w:tcW w:w="709" w:type="dxa"/>
            <w:vAlign w:val="top"/>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627" w:type="dxa"/>
            <w:vAlign w:val="top"/>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546" w:type="dxa"/>
            <w:vAlign w:val="top"/>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573" w:type="dxa"/>
            <w:vAlign w:val="top"/>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545" w:type="dxa"/>
            <w:vAlign w:val="top"/>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573" w:type="dxa"/>
            <w:vAlign w:val="top"/>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559" w:type="dxa"/>
            <w:vAlign w:val="top"/>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327" w:type="dxa"/>
            <w:vAlign w:val="top"/>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545" w:type="dxa"/>
            <w:vAlign w:val="top"/>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396" w:type="dxa"/>
            <w:vAlign w:val="top"/>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r>
      <w:tr>
        <w:trPr>
          <w:cantSplit/>
          <w:jc w:val="center"/>
          <w:trHeight w:val="430"/>
        </w:trPr>
        <w:tc>
          <w:tcPr>
            <w:tcW w:w="654"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ascii="微软雅黑" w:hAnsi="微软雅黑" w:cs="微软雅黑"/>
                <w:color w:val="auto"/>
                <w:szCs w:val="21"/>
                <w:highlight w:val="none"/>
              </w:rPr>
              <w:t xml:space="preserve">4</w:t>
            </w:r>
            <w:r>
              <w:rPr>
                <w:highlight w:val="none"/>
              </w:rPr>
            </w:r>
            <w:r>
              <w:rPr>
                <w:highlight w:val="none"/>
              </w:rPr>
            </w:r>
          </w:p>
        </w:tc>
        <w:tc>
          <w:tcPr>
            <w:tcMar>
              <w:left w:w="15" w:type="dxa"/>
              <w:top w:w="15" w:type="dxa"/>
              <w:right w:w="15" w:type="dxa"/>
              <w:bottom w:w="0" w:type="dxa"/>
            </w:tcMar>
            <w:tcW w:w="1814"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Mar>
              <w:left w:w="15" w:type="dxa"/>
              <w:top w:w="15" w:type="dxa"/>
              <w:right w:w="15" w:type="dxa"/>
              <w:bottom w:w="0" w:type="dxa"/>
            </w:tcMar>
            <w:tcW w:w="491" w:type="dxa"/>
            <w:vAlign w:val="top"/>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Mar>
              <w:left w:w="15" w:type="dxa"/>
              <w:top w:w="15" w:type="dxa"/>
              <w:right w:w="15" w:type="dxa"/>
              <w:bottom w:w="0" w:type="dxa"/>
            </w:tcMar>
            <w:tcW w:w="709" w:type="dxa"/>
            <w:vAlign w:val="top"/>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627" w:type="dxa"/>
            <w:vAlign w:val="top"/>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546" w:type="dxa"/>
            <w:vAlign w:val="top"/>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573" w:type="dxa"/>
            <w:vAlign w:val="top"/>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545" w:type="dxa"/>
            <w:vAlign w:val="top"/>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573" w:type="dxa"/>
            <w:vAlign w:val="top"/>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559" w:type="dxa"/>
            <w:vAlign w:val="top"/>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327" w:type="dxa"/>
            <w:vAlign w:val="top"/>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545" w:type="dxa"/>
            <w:vAlign w:val="top"/>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c>
          <w:tcPr>
            <w:tcW w:w="396" w:type="dxa"/>
            <w:vAlign w:val="top"/>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tc>
      </w:tr>
      <w:tr>
        <w:trPr>
          <w:cantSplit/>
          <w:jc w:val="center"/>
          <w:trHeight w:val="1010"/>
        </w:trPr>
        <w:tc>
          <w:tcPr>
            <w:gridSpan w:val="3"/>
            <w:tcW w:w="2959"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投标报价总计</w:t>
            </w:r>
            <w:r>
              <w:rPr>
                <w:highlight w:val="none"/>
              </w:rPr>
            </w:r>
            <w:r>
              <w:rPr>
                <w:highlight w:val="none"/>
              </w:rPr>
            </w:r>
          </w:p>
        </w:tc>
        <w:tc>
          <w:tcPr>
            <w:gridSpan w:val="10"/>
            <w:tcMar>
              <w:left w:w="15" w:type="dxa"/>
              <w:top w:w="15" w:type="dxa"/>
              <w:right w:w="15" w:type="dxa"/>
              <w:bottom w:w="0" w:type="dxa"/>
            </w:tcMar>
            <w:tcW w:w="5400" w:type="dxa"/>
            <w:vAlign w:val="top"/>
            <w:textDirection w:val="lrTb"/>
            <w:noWrap w:val="false"/>
          </w:tcPr>
          <w:p>
            <w:pPr>
              <w:jc w:val="lef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大写：</w:t>
            </w:r>
            <w:r>
              <w:rPr>
                <w:rFonts w:hint="eastAsia" w:ascii="微软雅黑" w:hAnsi="微软雅黑" w:cs="微软雅黑"/>
                <w:color w:val="auto"/>
                <w:szCs w:val="21"/>
                <w:highlight w:val="none"/>
                <w:u w:val="single"/>
              </w:rPr>
              <w:t xml:space="preserve">人民币      元整；  </w:t>
            </w:r>
            <w:r>
              <w:rPr>
                <w:rFonts w:hint="eastAsia" w:ascii="微软雅黑" w:hAnsi="微软雅黑" w:cs="微软雅黑"/>
                <w:color w:val="auto"/>
                <w:szCs w:val="21"/>
                <w:highlight w:val="none"/>
              </w:rPr>
              <w:t xml:space="preserve">  </w:t>
            </w:r>
            <w:r>
              <w:rPr>
                <w:highlight w:val="none"/>
              </w:rPr>
            </w:r>
            <w:r>
              <w:rPr>
                <w:highlight w:val="none"/>
              </w:rPr>
            </w:r>
          </w:p>
          <w:p>
            <w:pPr>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小写：</w:t>
            </w:r>
            <w:r>
              <w:rPr>
                <w:rFonts w:hint="eastAsia" w:ascii="微软雅黑" w:hAnsi="微软雅黑" w:cs="微软雅黑"/>
                <w:color w:val="auto"/>
                <w:szCs w:val="21"/>
                <w:highlight w:val="none"/>
                <w:u w:val="single"/>
              </w:rPr>
              <w:t xml:space="preserve">￥              </w:t>
            </w:r>
            <w:r>
              <w:rPr>
                <w:highlight w:val="none"/>
              </w:rPr>
            </w:r>
            <w:r>
              <w:rPr>
                <w:highlight w:val="none"/>
              </w:rPr>
            </w:r>
          </w:p>
        </w:tc>
      </w:tr>
      <w:tr>
        <w:trPr>
          <w:cantSplit/>
          <w:jc w:val="center"/>
          <w:trHeight w:val="1010"/>
        </w:trPr>
        <w:tc>
          <w:tcPr>
            <w:gridSpan w:val="3"/>
            <w:shd w:val="clear" w:color="auto" w:fill="auto"/>
            <w:tcW w:w="2959"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上述货物中，符合本国产品标准的各项产品成本合计，占全部产品成本合计的比例，是否达到80%</w:t>
            </w:r>
            <w:r>
              <w:rPr>
                <w:rFonts w:hint="eastAsia" w:ascii="微软雅黑" w:hAnsi="微软雅黑" w:cs="微软雅黑"/>
                <w:b/>
                <w:color w:val="auto"/>
                <w:szCs w:val="21"/>
                <w:highlight w:val="none"/>
                <w:lang w:eastAsia="zh-CN"/>
              </w:rPr>
              <w:t xml:space="preserve">。</w:t>
            </w:r>
            <w:r>
              <w:rPr>
                <w:highlight w:val="none"/>
              </w:rPr>
            </w:r>
            <w:r>
              <w:rPr>
                <w:highlight w:val="none"/>
              </w:rPr>
            </w:r>
          </w:p>
        </w:tc>
        <w:tc>
          <w:tcPr>
            <w:gridSpan w:val="10"/>
            <w:shd w:val="clear" w:color="auto" w:fill="auto"/>
            <w:tcMar>
              <w:left w:w="15" w:type="dxa"/>
              <w:top w:w="15" w:type="dxa"/>
              <w:right w:w="15" w:type="dxa"/>
              <w:bottom w:w="0" w:type="dxa"/>
            </w:tcMar>
            <w:tcW w:w="5400"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rPr>
                <w:highlight w:val="none"/>
              </w:rPr>
            </w:r>
            <w:r>
              <w:rPr>
                <w:highlight w:val="none"/>
              </w:rPr>
            </w:r>
          </w:p>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lang w:val="en-US" w:eastAsia="zh-CN"/>
              </w:rPr>
              <w:t xml:space="preserve">           </w:t>
            </w:r>
            <w:r>
              <w:rPr>
                <w:rFonts w:hint="eastAsia" w:ascii="微软雅黑" w:hAnsi="微软雅黑" w:cs="微软雅黑"/>
                <w:b/>
                <w:color w:val="auto"/>
                <w:szCs w:val="21"/>
                <w:highlight w:val="none"/>
                <w:u w:val="single"/>
                <w:lang w:val="en-US" w:eastAsia="zh-CN"/>
              </w:rPr>
              <w:t xml:space="preserve">      </w:t>
            </w:r>
            <w:r>
              <w:rPr>
                <w:rFonts w:hint="eastAsia" w:ascii="微软雅黑" w:hAnsi="微软雅黑" w:cs="微软雅黑"/>
                <w:b/>
                <w:color w:val="auto"/>
                <w:szCs w:val="21"/>
                <w:highlight w:val="none"/>
                <w:lang w:val="en-US" w:eastAsia="zh-CN"/>
              </w:rPr>
              <w:t xml:space="preserve">（</w:t>
            </w:r>
            <w:r>
              <w:rPr>
                <w:rFonts w:hint="eastAsia" w:ascii="微软雅黑" w:hAnsi="微软雅黑" w:cs="微软雅黑"/>
                <w:b/>
                <w:color w:val="auto"/>
                <w:szCs w:val="21"/>
                <w:highlight w:val="none"/>
              </w:rPr>
              <w:t xml:space="preserve">请填写“是”或“否”，如未填写则视为“否”</w:t>
            </w:r>
            <w:r>
              <w:rPr>
                <w:rFonts w:hint="eastAsia" w:ascii="微软雅黑" w:hAnsi="微软雅黑" w:cs="微软雅黑"/>
                <w:b/>
                <w:color w:val="auto"/>
                <w:szCs w:val="21"/>
                <w:highlight w:val="none"/>
                <w:lang w:eastAsia="zh-CN"/>
              </w:rPr>
              <w:t xml:space="preserve">）</w:t>
            </w:r>
            <w:r>
              <w:rPr>
                <w:highlight w:val="none"/>
              </w:rPr>
            </w:r>
            <w:r>
              <w:rPr>
                <w:highlight w:val="none"/>
              </w:rPr>
            </w:r>
          </w:p>
        </w:tc>
      </w:tr>
    </w:tbl>
    <w:p>
      <w:pP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供应商全称（公章）：        </w:t>
      </w:r>
      <w:r>
        <w:rPr>
          <w:highlight w:val="none"/>
        </w:rPr>
      </w:r>
      <w:r>
        <w:rPr>
          <w:highlight w:val="none"/>
        </w:rPr>
      </w:r>
    </w:p>
    <w:p>
      <w:pP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法定代表人（授权代表）（签字/盖章）：   </w:t>
      </w:r>
      <w:r>
        <w:rPr>
          <w:highlight w:val="none"/>
        </w:rPr>
      </w:r>
      <w:r>
        <w:rPr>
          <w:highlight w:val="none"/>
        </w:rPr>
      </w:r>
    </w:p>
    <w:p>
      <w:pP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日期：          </w:t>
      </w:r>
      <w:r>
        <w:rPr>
          <w:highlight w:val="none"/>
        </w:rPr>
      </w:r>
      <w:r>
        <w:rPr>
          <w:highlight w:val="none"/>
        </w:rPr>
      </w:r>
    </w:p>
    <w:p>
      <w:pPr>
        <w:jc w:val="left"/>
        <w:spacing w:line="280" w:lineRule="exact"/>
        <w:tabs>
          <w:tab w:val="left" w:pos="220" w:leader="none"/>
        </w:tabs>
        <w:rPr>
          <w:rFonts w:ascii="微软雅黑" w:hAnsi="微软雅黑" w:cs="微软雅黑"/>
          <w:color w:val="auto"/>
          <w:sz w:val="18"/>
          <w:szCs w:val="18"/>
          <w:highlight w:val="none"/>
        </w:rPr>
      </w:pPr>
      <w:r>
        <w:rPr>
          <w:rFonts w:ascii="微软雅黑" w:hAnsi="微软雅黑" w:cs="微软雅黑"/>
          <w:color w:val="auto"/>
          <w:sz w:val="18"/>
          <w:szCs w:val="18"/>
          <w:highlight w:val="none"/>
        </w:rPr>
      </w:r>
      <w:r>
        <w:rPr>
          <w:highlight w:val="none"/>
        </w:rPr>
      </w:r>
      <w:r>
        <w:rPr>
          <w:highlight w:val="none"/>
        </w:rPr>
      </w:r>
    </w:p>
    <w:p>
      <w:pPr>
        <w:pStyle w:val="1124"/>
        <w:ind w:left="1260"/>
        <w:rPr>
          <w:color w:val="auto"/>
          <w:highlight w:val="none"/>
        </w:rPr>
      </w:pPr>
      <w:r>
        <w:rPr>
          <w:color w:val="auto"/>
          <w:highlight w:val="none"/>
        </w:rPr>
      </w:r>
      <w:r>
        <w:rPr>
          <w:highlight w:val="none"/>
        </w:rPr>
      </w:r>
      <w:r>
        <w:rPr>
          <w:highlight w:val="none"/>
        </w:rPr>
      </w:r>
    </w:p>
    <w:p>
      <w:pPr>
        <w:jc w:val="left"/>
        <w:spacing w:line="280" w:lineRule="exact"/>
        <w:tabs>
          <w:tab w:val="left" w:pos="220" w:leader="none"/>
        </w:tabs>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注：</w:t>
      </w:r>
      <w:r>
        <w:rPr>
          <w:highlight w:val="none"/>
        </w:rPr>
      </w:r>
      <w:r>
        <w:rPr>
          <w:highlight w:val="none"/>
        </w:rPr>
      </w:r>
    </w:p>
    <w:p>
      <w:pPr>
        <w:jc w:val="left"/>
        <w:spacing w:line="280" w:lineRule="exact"/>
        <w:tabs>
          <w:tab w:val="left" w:pos="220" w:leader="none"/>
        </w:tabs>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（1）此表为表样，行数可自行添加，但表式不变。</w:t>
      </w:r>
      <w:r>
        <w:rPr>
          <w:highlight w:val="none"/>
        </w:rPr>
      </w:r>
      <w:r>
        <w:rPr>
          <w:highlight w:val="none"/>
        </w:rPr>
      </w:r>
    </w:p>
    <w:p>
      <w:pPr>
        <w:jc w:val="left"/>
        <w:spacing w:line="280" w:lineRule="exact"/>
        <w:tabs>
          <w:tab w:val="left" w:pos="220" w:leader="none"/>
        </w:tabs>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（2）相关安装调试费用、质保及人员培训、后续服务及其他所有费用由供应商自行计算填列。</w:t>
      </w:r>
      <w:r>
        <w:rPr>
          <w:highlight w:val="none"/>
        </w:rPr>
      </w:r>
      <w:r>
        <w:rPr>
          <w:highlight w:val="none"/>
        </w:rPr>
      </w:r>
    </w:p>
    <w:p>
      <w:pPr>
        <w:jc w:val="left"/>
        <w:spacing w:line="280" w:lineRule="exact"/>
        <w:tabs>
          <w:tab w:val="left" w:pos="220" w:leader="none"/>
        </w:tabs>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（3）总价=单价*数量，数量由供应商自行计算并填列。</w:t>
      </w:r>
      <w:r>
        <w:rPr>
          <w:highlight w:val="none"/>
        </w:rPr>
      </w:r>
      <w:r>
        <w:rPr>
          <w:highlight w:val="none"/>
        </w:rPr>
      </w:r>
    </w:p>
    <w:p>
      <w:pPr>
        <w:jc w:val="left"/>
        <w:spacing w:line="280" w:lineRule="exact"/>
        <w:tabs>
          <w:tab w:val="left" w:pos="220" w:leader="none"/>
        </w:tabs>
        <w:rPr>
          <w:rFonts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（4）上表中的“投标报价总计”应当等于“开标一览表”中“投标总报价”数。</w:t>
      </w:r>
      <w:r>
        <w:rPr>
          <w:highlight w:val="none"/>
        </w:rPr>
      </w:r>
      <w:r>
        <w:rPr>
          <w:highlight w:val="none"/>
        </w:rPr>
      </w:r>
    </w:p>
    <w:p>
      <w:pPr>
        <w:jc w:val="left"/>
        <w:spacing w:line="280" w:lineRule="exact"/>
        <w:tabs>
          <w:tab w:val="left" w:pos="220" w:leader="none"/>
        </w:tabs>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r>
        <w:rPr>
          <w:highlight w:val="none"/>
        </w:rPr>
      </w:r>
      <w:r>
        <w:rPr>
          <w:highlight w:val="none"/>
        </w:rPr>
      </w:r>
    </w:p>
    <w:p>
      <w:pPr>
        <w:numPr>
          <w:ilvl w:val="0"/>
          <w:numId w:val="9"/>
        </w:numPr>
        <w:jc w:val="left"/>
        <w:spacing w:line="280" w:lineRule="exact"/>
        <w:tabs>
          <w:tab w:val="left" w:pos="220" w:leader="none"/>
        </w:tabs>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属性一栏填环境标志产品或节能环保产品或小微企业产品，如不属于以上三种分类，可不填。</w:t>
      </w:r>
      <w:r>
        <w:rPr>
          <w:highlight w:val="none"/>
        </w:rPr>
      </w:r>
      <w:r>
        <w:rPr>
          <w:highlight w:val="none"/>
        </w:rPr>
      </w:r>
    </w:p>
    <w:p>
      <w:pPr>
        <w:numPr>
          <w:ilvl w:val="0"/>
          <w:numId w:val="9"/>
        </w:numPr>
        <w:jc w:val="left"/>
        <w:spacing w:line="280" w:lineRule="exact"/>
        <w:tabs>
          <w:tab w:val="left" w:pos="220" w:leader="none"/>
        </w:tabs>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报价明细表中不得有零元报价或免费赠送产品。</w:t>
      </w:r>
      <w:r>
        <w:rPr>
          <w:highlight w:val="none"/>
        </w:rPr>
      </w:r>
      <w:r>
        <w:rPr>
          <w:highlight w:val="none"/>
        </w:rPr>
      </w:r>
    </w:p>
    <w:p>
      <w:pPr>
        <w:numPr>
          <w:ilvl w:val="0"/>
          <w:numId w:val="0"/>
        </w:numPr>
        <w:ind w:left="425" w:hanging="425"/>
        <w:jc w:val="left"/>
        <w:spacing w:line="360" w:lineRule="exact"/>
        <w:tabs>
          <w:tab w:val="left" w:pos="220" w:leader="none"/>
        </w:tabs>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br w:type="page" w:clear="all"/>
      </w:r>
      <w:r>
        <w:rPr>
          <w:highlight w:val="none"/>
        </w:rPr>
      </w:r>
      <w:r>
        <w:rPr>
          <w:highlight w:val="none"/>
        </w:rPr>
      </w:r>
    </w:p>
    <w:p>
      <w:pPr>
        <w:pStyle w:val="1090"/>
        <w:rPr>
          <w:rFonts w:hint="eastAsia"/>
          <w:color w:val="auto"/>
          <w:highlight w:val="none"/>
        </w:rPr>
      </w:pPr>
      <w:r>
        <w:rPr>
          <w:highlight w:val="none"/>
        </w:rPr>
      </w:r>
      <w:bookmarkStart w:id="274" w:name="_Toc13705"/>
      <w:r>
        <w:rPr>
          <w:rFonts w:hint="eastAsia" w:ascii="微软雅黑" w:hAnsi="微软雅黑" w:cs="微软雅黑"/>
          <w:b/>
          <w:bCs w:val="0"/>
          <w:color w:val="auto"/>
          <w:sz w:val="24"/>
          <w:szCs w:val="28"/>
          <w:highlight w:val="none"/>
          <w:lang w:val="en-US" w:eastAsia="zh-CN"/>
        </w:rPr>
        <w:t xml:space="preserve">4</w:t>
      </w:r>
      <w:r>
        <w:rPr>
          <w:rFonts w:hint="eastAsia" w:ascii="微软雅黑" w:hAnsi="微软雅黑" w:cs="微软雅黑"/>
          <w:b/>
          <w:bCs w:val="0"/>
          <w:color w:val="auto"/>
          <w:sz w:val="24"/>
          <w:szCs w:val="28"/>
          <w:highlight w:val="none"/>
        </w:rPr>
        <w:t xml:space="preserve">.服务要求响应表</w:t>
      </w:r>
      <w:bookmarkEnd w:id="263"/>
      <w:r>
        <w:rPr>
          <w:highlight w:val="none"/>
        </w:rPr>
      </w:r>
      <w:bookmarkEnd w:id="264"/>
      <w:r>
        <w:rPr>
          <w:highlight w:val="none"/>
        </w:rPr>
      </w:r>
      <w:bookmarkEnd w:id="265"/>
      <w:r>
        <w:rPr>
          <w:highlight w:val="none"/>
        </w:rPr>
      </w:r>
      <w:bookmarkEnd w:id="266"/>
      <w:r>
        <w:rPr>
          <w:highlight w:val="none"/>
        </w:rPr>
      </w:r>
      <w:bookmarkEnd w:id="274"/>
      <w:r>
        <w:rPr>
          <w:highlight w:val="none"/>
        </w:rPr>
      </w:r>
      <w:r>
        <w:rPr>
          <w:highlight w:val="none"/>
        </w:rPr>
      </w:r>
    </w:p>
    <w:tbl>
      <w:tblPr>
        <w:tblStyle w:val="913"/>
        <w:tblW w:w="80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9"/>
        <w:gridCol w:w="2655"/>
        <w:gridCol w:w="2406"/>
        <w:gridCol w:w="1877"/>
      </w:tblGrid>
      <w:tr>
        <w:trPr>
          <w:trHeight w:val="1081"/>
          <w:tblHeader/>
        </w:trPr>
        <w:tc>
          <w:tcPr>
            <w:tcW w:w="1079" w:type="dxa"/>
            <w:vAlign w:val="top"/>
            <w:textDirection w:val="lrTb"/>
            <w:noWrap w:val="false"/>
          </w:tcPr>
          <w:p>
            <w:pPr>
              <w:jc w:val="center"/>
              <w:spacing w:line="440" w:lineRule="exact"/>
              <w:rPr>
                <w:rFonts w:ascii="微软雅黑" w:hAnsi="微软雅黑"/>
                <w:color w:val="auto"/>
                <w:highlight w:val="none"/>
              </w:rPr>
            </w:pPr>
            <w:r>
              <w:rPr>
                <w:rFonts w:hint="eastAsia" w:ascii="微软雅黑" w:hAnsi="微软雅黑"/>
                <w:color w:val="auto"/>
                <w:highlight w:val="none"/>
              </w:rPr>
              <w:t xml:space="preserve">序号</w:t>
            </w:r>
            <w:r>
              <w:rPr>
                <w:highlight w:val="none"/>
              </w:rPr>
            </w:r>
            <w:r>
              <w:rPr>
                <w:highlight w:val="none"/>
              </w:rPr>
            </w:r>
          </w:p>
        </w:tc>
        <w:tc>
          <w:tcPr>
            <w:tcW w:w="2655" w:type="dxa"/>
            <w:vAlign w:val="top"/>
            <w:textDirection w:val="lrTb"/>
            <w:noWrap w:val="false"/>
          </w:tcPr>
          <w:p>
            <w:pPr>
              <w:jc w:val="center"/>
              <w:spacing w:line="440" w:lineRule="exact"/>
              <w:rPr>
                <w:rFonts w:ascii="微软雅黑" w:hAnsi="微软雅黑"/>
                <w:color w:val="auto"/>
                <w:highlight w:val="none"/>
              </w:rPr>
            </w:pPr>
            <w:r>
              <w:rPr>
                <w:rFonts w:hint="eastAsia" w:ascii="微软雅黑" w:hAnsi="微软雅黑"/>
                <w:color w:val="auto"/>
                <w:highlight w:val="none"/>
              </w:rPr>
              <w:t xml:space="preserve">原</w:t>
            </w:r>
            <w:r>
              <w:rPr>
                <w:rFonts w:hint="eastAsia" w:ascii="微软雅黑" w:hAnsi="微软雅黑"/>
                <w:color w:val="auto"/>
                <w:highlight w:val="none"/>
                <w:lang w:eastAsia="zh-CN"/>
              </w:rPr>
              <w:t xml:space="preserve">服务要求</w:t>
            </w:r>
            <w:r>
              <w:rPr>
                <w:rFonts w:hint="eastAsia" w:ascii="微软雅黑" w:hAnsi="微软雅黑"/>
                <w:color w:val="auto"/>
                <w:highlight w:val="none"/>
              </w:rPr>
              <w:t xml:space="preserve">主要条款描述</w:t>
            </w:r>
            <w:r>
              <w:rPr>
                <w:highlight w:val="none"/>
              </w:rPr>
            </w:r>
            <w:r>
              <w:rPr>
                <w:highlight w:val="none"/>
              </w:rPr>
            </w:r>
          </w:p>
        </w:tc>
        <w:tc>
          <w:tcPr>
            <w:tcW w:w="2406" w:type="dxa"/>
            <w:vAlign w:val="top"/>
            <w:textDirection w:val="lrTb"/>
            <w:noWrap w:val="false"/>
          </w:tcPr>
          <w:p>
            <w:pPr>
              <w:jc w:val="center"/>
              <w:spacing w:line="440" w:lineRule="exact"/>
              <w:rPr>
                <w:rFonts w:ascii="微软雅黑" w:hAnsi="微软雅黑"/>
                <w:color w:val="auto"/>
                <w:highlight w:val="none"/>
              </w:rPr>
            </w:pPr>
            <w:r>
              <w:rPr>
                <w:rFonts w:hint="eastAsia" w:ascii="微软雅黑" w:hAnsi="微软雅黑"/>
                <w:color w:val="auto"/>
                <w:highlight w:val="none"/>
              </w:rPr>
              <w:t xml:space="preserve">投标人</w:t>
            </w:r>
            <w:r>
              <w:rPr>
                <w:rFonts w:hint="eastAsia" w:ascii="微软雅黑" w:hAnsi="微软雅黑"/>
                <w:color w:val="auto"/>
                <w:highlight w:val="none"/>
                <w:lang w:eastAsia="zh-CN"/>
              </w:rPr>
              <w:t xml:space="preserve">服务要求</w:t>
            </w:r>
            <w:r>
              <w:rPr>
                <w:rFonts w:hint="eastAsia" w:ascii="微软雅黑" w:hAnsi="微软雅黑"/>
                <w:color w:val="auto"/>
                <w:highlight w:val="none"/>
              </w:rPr>
              <w:t xml:space="preserve">描述</w:t>
            </w:r>
            <w:r>
              <w:rPr>
                <w:highlight w:val="none"/>
              </w:rPr>
            </w:r>
            <w:r>
              <w:rPr>
                <w:highlight w:val="none"/>
              </w:rPr>
            </w:r>
          </w:p>
        </w:tc>
        <w:tc>
          <w:tcPr>
            <w:tcW w:w="1877" w:type="dxa"/>
            <w:vAlign w:val="top"/>
            <w:textDirection w:val="lrTb"/>
            <w:noWrap w:val="false"/>
          </w:tcPr>
          <w:p>
            <w:pPr>
              <w:jc w:val="center"/>
              <w:spacing w:line="440" w:lineRule="exact"/>
              <w:rPr>
                <w:rFonts w:ascii="微软雅黑" w:hAnsi="微软雅黑"/>
                <w:color w:val="auto"/>
                <w:highlight w:val="none"/>
              </w:rPr>
            </w:pPr>
            <w:r>
              <w:rPr>
                <w:rFonts w:hint="eastAsia" w:ascii="微软雅黑" w:hAnsi="微软雅黑"/>
                <w:color w:val="auto"/>
                <w:highlight w:val="none"/>
              </w:rPr>
              <w:t xml:space="preserve">偏离情况（+/-/=）</w:t>
            </w:r>
            <w:r>
              <w:rPr>
                <w:highlight w:val="none"/>
              </w:rPr>
            </w:r>
            <w:r>
              <w:rPr>
                <w:highlight w:val="none"/>
              </w:rPr>
            </w:r>
          </w:p>
        </w:tc>
      </w:tr>
      <w:tr>
        <w:trPr>
          <w:trHeight w:val="619"/>
          <w:tblHeader/>
        </w:trPr>
        <w:tc>
          <w:tcPr>
            <w:tcW w:w="1079" w:type="dxa"/>
            <w:vAlign w:val="top"/>
            <w:textDirection w:val="lrTb"/>
            <w:noWrap w:val="false"/>
          </w:tcPr>
          <w:p>
            <w:pPr>
              <w:jc w:val="center"/>
              <w:spacing w:line="440" w:lineRule="exact"/>
              <w:rPr>
                <w:rFonts w:ascii="微软雅黑" w:hAnsi="微软雅黑"/>
                <w:color w:val="auto"/>
                <w:highlight w:val="none"/>
              </w:rPr>
            </w:pPr>
            <w:r>
              <w:rPr>
                <w:rFonts w:hint="eastAsia" w:ascii="微软雅黑" w:hAnsi="微软雅黑"/>
                <w:color w:val="auto"/>
                <w:highlight w:val="none"/>
              </w:rPr>
              <w:t xml:space="preserve">1</w:t>
            </w:r>
            <w:r>
              <w:rPr>
                <w:highlight w:val="none"/>
              </w:rPr>
            </w:r>
            <w:r>
              <w:rPr>
                <w:highlight w:val="none"/>
              </w:rPr>
            </w:r>
          </w:p>
        </w:tc>
        <w:tc>
          <w:tcPr>
            <w:tcW w:w="2655" w:type="dxa"/>
            <w:vAlign w:val="top"/>
            <w:textDirection w:val="lrTb"/>
            <w:noWrap w:val="false"/>
          </w:tcPr>
          <w:p>
            <w:pPr>
              <w:jc w:val="cente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c>
          <w:tcPr>
            <w:tcW w:w="2406" w:type="dxa"/>
            <w:vAlign w:val="top"/>
            <w:textDirection w:val="lrTb"/>
            <w:noWrap w:val="false"/>
          </w:tcPr>
          <w:p>
            <w:pPr>
              <w:jc w:val="cente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c>
          <w:tcPr>
            <w:tcW w:w="1877" w:type="dxa"/>
            <w:vAlign w:val="top"/>
            <w:textDirection w:val="lrTb"/>
            <w:noWrap w:val="false"/>
          </w:tcPr>
          <w:p>
            <w:pPr>
              <w:jc w:val="cente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r>
      <w:tr>
        <w:trPr>
          <w:trHeight w:val="605"/>
          <w:tblHeader/>
        </w:trPr>
        <w:tc>
          <w:tcPr>
            <w:tcW w:w="1079" w:type="dxa"/>
            <w:vAlign w:val="top"/>
            <w:textDirection w:val="lrTb"/>
            <w:noWrap w:val="false"/>
          </w:tcPr>
          <w:p>
            <w:pPr>
              <w:jc w:val="center"/>
              <w:spacing w:line="440" w:lineRule="exact"/>
              <w:rPr>
                <w:rFonts w:ascii="微软雅黑" w:hAnsi="微软雅黑"/>
                <w:color w:val="auto"/>
                <w:highlight w:val="none"/>
              </w:rPr>
            </w:pPr>
            <w:r>
              <w:rPr>
                <w:rFonts w:hint="eastAsia" w:ascii="微软雅黑" w:hAnsi="微软雅黑"/>
                <w:color w:val="auto"/>
                <w:highlight w:val="none"/>
              </w:rPr>
              <w:t xml:space="preserve">2</w:t>
            </w:r>
            <w:r>
              <w:rPr>
                <w:highlight w:val="none"/>
              </w:rPr>
            </w:r>
            <w:r>
              <w:rPr>
                <w:highlight w:val="none"/>
              </w:rPr>
            </w:r>
          </w:p>
        </w:tc>
        <w:tc>
          <w:tcPr>
            <w:tcW w:w="2655" w:type="dxa"/>
            <w:vAlign w:val="top"/>
            <w:textDirection w:val="lrTb"/>
            <w:noWrap w:val="false"/>
          </w:tcPr>
          <w:p>
            <w:pPr>
              <w:jc w:val="cente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c>
          <w:tcPr>
            <w:tcW w:w="2406" w:type="dxa"/>
            <w:vAlign w:val="top"/>
            <w:textDirection w:val="lrTb"/>
            <w:noWrap w:val="false"/>
          </w:tcPr>
          <w:p>
            <w:pPr>
              <w:jc w:val="cente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c>
          <w:tcPr>
            <w:tcW w:w="1877" w:type="dxa"/>
            <w:vAlign w:val="top"/>
            <w:textDirection w:val="lrTb"/>
            <w:noWrap w:val="false"/>
          </w:tcPr>
          <w:p>
            <w:pPr>
              <w:jc w:val="cente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r>
      <w:tr>
        <w:trPr>
          <w:trHeight w:val="618"/>
          <w:tblHeader/>
        </w:trPr>
        <w:tc>
          <w:tcPr>
            <w:tcW w:w="1079" w:type="dxa"/>
            <w:vAlign w:val="top"/>
            <w:textDirection w:val="lrTb"/>
            <w:noWrap w:val="false"/>
          </w:tcPr>
          <w:p>
            <w:pPr>
              <w:jc w:val="center"/>
              <w:spacing w:line="440" w:lineRule="exact"/>
              <w:rPr>
                <w:rFonts w:ascii="微软雅黑" w:hAnsi="微软雅黑"/>
                <w:color w:val="auto"/>
                <w:highlight w:val="none"/>
              </w:rPr>
            </w:pPr>
            <w:r>
              <w:rPr>
                <w:rFonts w:hint="eastAsia" w:ascii="微软雅黑" w:hAnsi="微软雅黑"/>
                <w:color w:val="auto"/>
                <w:highlight w:val="none"/>
              </w:rPr>
              <w:t xml:space="preserve">3</w:t>
            </w:r>
            <w:r>
              <w:rPr>
                <w:highlight w:val="none"/>
              </w:rPr>
            </w:r>
            <w:r>
              <w:rPr>
                <w:highlight w:val="none"/>
              </w:rPr>
            </w:r>
          </w:p>
        </w:tc>
        <w:tc>
          <w:tcPr>
            <w:tcW w:w="2655" w:type="dxa"/>
            <w:vAlign w:val="top"/>
            <w:textDirection w:val="lrTb"/>
            <w:noWrap w:val="false"/>
          </w:tcPr>
          <w:p>
            <w:pPr>
              <w:jc w:val="cente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c>
          <w:tcPr>
            <w:tcW w:w="2406" w:type="dxa"/>
            <w:vAlign w:val="top"/>
            <w:textDirection w:val="lrTb"/>
            <w:noWrap w:val="false"/>
          </w:tcPr>
          <w:p>
            <w:pPr>
              <w:jc w:val="cente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c>
          <w:tcPr>
            <w:tcW w:w="1877" w:type="dxa"/>
            <w:vAlign w:val="top"/>
            <w:textDirection w:val="lrTb"/>
            <w:noWrap w:val="false"/>
          </w:tcPr>
          <w:p>
            <w:pPr>
              <w:jc w:val="cente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r>
    </w:tbl>
    <w:p>
      <w:pPr>
        <w:spacing w:line="440" w:lineRule="exact"/>
        <w:rPr>
          <w:rFonts w:ascii="微软雅黑" w:hAnsi="微软雅黑" w:cs="微软雅黑"/>
          <w:color w:val="auto"/>
          <w:sz w:val="28"/>
          <w:highlight w:val="none"/>
        </w:rPr>
      </w:pPr>
      <w:r>
        <w:rPr>
          <w:rFonts w:ascii="微软雅黑" w:hAnsi="微软雅黑" w:cs="微软雅黑"/>
          <w:color w:val="auto"/>
          <w:sz w:val="28"/>
          <w:highlight w:val="none"/>
        </w:rPr>
      </w:r>
      <w:r>
        <w:rPr>
          <w:highlight w:val="none"/>
        </w:rPr>
      </w:r>
      <w:r>
        <w:rPr>
          <w:highlight w:val="none"/>
        </w:rPr>
      </w:r>
    </w:p>
    <w:p>
      <w:pPr>
        <w:spacing w:line="440" w:lineRule="exact"/>
        <w:rPr>
          <w:rFonts w:ascii="微软雅黑" w:hAnsi="微软雅黑" w:cs="微软雅黑"/>
          <w:color w:val="auto"/>
          <w:highlight w:val="none"/>
        </w:rPr>
      </w:pPr>
      <w:r>
        <w:rPr>
          <w:rFonts w:hint="eastAsia" w:ascii="微软雅黑" w:hAnsi="微软雅黑" w:cs="微软雅黑"/>
          <w:color w:val="auto"/>
          <w:highlight w:val="none"/>
        </w:rPr>
        <w:t xml:space="preserve">供应商全称（公章）：        </w:t>
      </w:r>
      <w:r>
        <w:rPr>
          <w:highlight w:val="none"/>
        </w:rPr>
      </w:r>
      <w:r>
        <w:rPr>
          <w:highlight w:val="none"/>
        </w:rPr>
      </w:r>
    </w:p>
    <w:p>
      <w:pPr>
        <w:spacing w:line="440" w:lineRule="exact"/>
        <w:rPr>
          <w:rFonts w:ascii="微软雅黑" w:hAnsi="微软雅黑" w:cs="微软雅黑"/>
          <w:color w:val="auto"/>
          <w:highlight w:val="none"/>
        </w:rPr>
      </w:pPr>
      <w:r>
        <w:rPr>
          <w:rFonts w:hint="eastAsia" w:ascii="微软雅黑" w:hAnsi="微软雅黑" w:cs="微软雅黑"/>
          <w:color w:val="auto"/>
          <w:highlight w:val="none"/>
        </w:rPr>
        <w:t xml:space="preserve">法定代表人（授权代表）（签字/盖章）：   </w:t>
      </w:r>
      <w:r>
        <w:rPr>
          <w:highlight w:val="none"/>
        </w:rPr>
      </w:r>
      <w:r>
        <w:rPr>
          <w:highlight w:val="none"/>
        </w:rPr>
      </w:r>
    </w:p>
    <w:p>
      <w:pPr>
        <w:pStyle w:val="1124"/>
        <w:ind w:left="0"/>
        <w:spacing w:line="440" w:lineRule="exact"/>
        <w:rPr>
          <w:rFonts w:ascii="微软雅黑" w:hAnsi="微软雅黑" w:cs="微软雅黑"/>
          <w:color w:val="auto"/>
          <w:highlight w:val="none"/>
        </w:rPr>
      </w:pPr>
      <w:r>
        <w:rPr>
          <w:rFonts w:hint="eastAsia" w:ascii="微软雅黑" w:hAnsi="微软雅黑" w:cs="微软雅黑"/>
          <w:color w:val="auto"/>
          <w:highlight w:val="none"/>
        </w:rPr>
        <w:t xml:space="preserve">日期：</w:t>
      </w:r>
      <w:r>
        <w:rPr>
          <w:highlight w:val="none"/>
        </w:rPr>
      </w:r>
      <w:r>
        <w:rPr>
          <w:highlight w:val="none"/>
        </w:rPr>
      </w:r>
    </w:p>
    <w:p>
      <w:pPr>
        <w:ind w:firstLine="140"/>
        <w:spacing w:line="440" w:lineRule="exact"/>
        <w:rPr>
          <w:rFonts w:ascii="微软雅黑" w:hAnsi="微软雅黑" w:cs="微软雅黑"/>
          <w:color w:val="auto"/>
          <w:sz w:val="28"/>
          <w:highlight w:val="none"/>
        </w:rPr>
      </w:pPr>
      <w:r>
        <w:rPr>
          <w:rFonts w:ascii="微软雅黑" w:hAnsi="微软雅黑" w:cs="微软雅黑"/>
          <w:color w:val="auto"/>
          <w:sz w:val="28"/>
          <w:highlight w:val="none"/>
        </w:rPr>
      </w:r>
      <w:r>
        <w:rPr>
          <w:highlight w:val="none"/>
        </w:rPr>
      </w:r>
      <w:r>
        <w:rPr>
          <w:highlight w:val="none"/>
        </w:rPr>
      </w:r>
    </w:p>
    <w:p>
      <w:pPr>
        <w:ind w:firstLine="90"/>
        <w:spacing w:line="440" w:lineRule="exact"/>
        <w:rPr>
          <w:rFonts w:ascii="微软雅黑" w:hAnsi="微软雅黑" w:cs="黑体"/>
          <w:color w:val="auto"/>
          <w:sz w:val="18"/>
          <w:szCs w:val="18"/>
          <w:highlight w:val="none"/>
        </w:rPr>
      </w:pPr>
      <w:r>
        <w:rPr>
          <w:rFonts w:hint="eastAsia" w:ascii="微软雅黑" w:hAnsi="微软雅黑" w:cs="黑体"/>
          <w:color w:val="auto"/>
          <w:sz w:val="18"/>
          <w:szCs w:val="18"/>
          <w:highlight w:val="none"/>
        </w:rPr>
        <w:t xml:space="preserve">注：</w:t>
      </w:r>
      <w:r>
        <w:rPr>
          <w:highlight w:val="none"/>
        </w:rPr>
      </w:r>
      <w:r>
        <w:rPr>
          <w:highlight w:val="none"/>
        </w:rPr>
      </w:r>
    </w:p>
    <w:p>
      <w:pPr>
        <w:numPr>
          <w:ilvl w:val="3"/>
          <w:numId w:val="10"/>
        </w:numPr>
        <w:ind w:left="426" w:hanging="426"/>
        <w:spacing w:line="440" w:lineRule="exact"/>
        <w:rPr>
          <w:rFonts w:ascii="微软雅黑" w:hAnsi="微软雅黑" w:cs="黑体"/>
          <w:color w:val="auto"/>
          <w:sz w:val="18"/>
          <w:szCs w:val="18"/>
          <w:highlight w:val="none"/>
        </w:rPr>
      </w:pPr>
      <w:r>
        <w:rPr>
          <w:rFonts w:hint="eastAsia" w:ascii="微软雅黑" w:hAnsi="微软雅黑" w:cs="黑体"/>
          <w:color w:val="auto"/>
          <w:sz w:val="18"/>
          <w:szCs w:val="18"/>
          <w:highlight w:val="none"/>
        </w:rPr>
        <w:t xml:space="preserve">此表为表样，行数可自行添加，但表式不变。</w:t>
      </w:r>
      <w:r>
        <w:rPr>
          <w:highlight w:val="none"/>
        </w:rPr>
      </w:r>
      <w:r>
        <w:rPr>
          <w:highlight w:val="none"/>
        </w:rPr>
      </w:r>
    </w:p>
    <w:p>
      <w:pPr>
        <w:numPr>
          <w:ilvl w:val="3"/>
          <w:numId w:val="10"/>
        </w:numPr>
        <w:ind w:left="426" w:hanging="426"/>
        <w:spacing w:line="440" w:lineRule="exact"/>
        <w:rPr>
          <w:rFonts w:ascii="微软雅黑" w:hAnsi="微软雅黑" w:cs="黑体"/>
          <w:color w:val="auto"/>
          <w:sz w:val="18"/>
          <w:szCs w:val="18"/>
          <w:highlight w:val="none"/>
        </w:rPr>
      </w:pPr>
      <w:r>
        <w:rPr>
          <w:rFonts w:hint="eastAsia" w:ascii="微软雅黑" w:hAnsi="微软雅黑" w:cs="黑体"/>
          <w:color w:val="auto"/>
          <w:sz w:val="18"/>
          <w:szCs w:val="18"/>
          <w:highlight w:val="none"/>
        </w:rPr>
        <w:t xml:space="preserve">投标单位根据系统方案添加的设备、材料等也请列出。</w:t>
      </w:r>
      <w:r>
        <w:rPr>
          <w:highlight w:val="none"/>
        </w:rPr>
      </w:r>
      <w:r>
        <w:rPr>
          <w:highlight w:val="none"/>
        </w:rPr>
      </w:r>
    </w:p>
    <w:p>
      <w:pPr>
        <w:numPr>
          <w:ilvl w:val="3"/>
          <w:numId w:val="10"/>
        </w:numPr>
        <w:ind w:left="426" w:hanging="426"/>
        <w:spacing w:line="440" w:lineRule="exact"/>
        <w:rPr>
          <w:rFonts w:ascii="微软雅黑" w:hAnsi="微软雅黑" w:cs="黑体"/>
          <w:color w:val="auto"/>
          <w:sz w:val="18"/>
          <w:szCs w:val="18"/>
          <w:highlight w:val="none"/>
        </w:rPr>
      </w:pPr>
      <w:r>
        <w:rPr>
          <w:rFonts w:hint="eastAsia" w:ascii="微软雅黑" w:hAnsi="微软雅黑" w:cs="黑体"/>
          <w:color w:val="auto"/>
          <w:sz w:val="18"/>
          <w:szCs w:val="18"/>
          <w:highlight w:val="none"/>
        </w:rPr>
        <w:t xml:space="preserve">是否偏离用符号“+、=、-”分别表示正偏离、完全响应、负偏离。</w:t>
      </w:r>
      <w:r>
        <w:rPr>
          <w:highlight w:val="none"/>
        </w:rPr>
      </w:r>
      <w:r>
        <w:rPr>
          <w:highlight w:val="none"/>
        </w:rPr>
      </w:r>
    </w:p>
    <w:p>
      <w:pPr>
        <w:numPr>
          <w:ilvl w:val="3"/>
          <w:numId w:val="10"/>
        </w:numPr>
        <w:ind w:left="426" w:hanging="426"/>
        <w:spacing w:line="440" w:lineRule="exact"/>
        <w:rPr>
          <w:rFonts w:ascii="微软雅黑" w:hAnsi="微软雅黑" w:cs="黑体"/>
          <w:color w:val="auto"/>
          <w:sz w:val="18"/>
          <w:szCs w:val="18"/>
          <w:highlight w:val="none"/>
        </w:rPr>
      </w:pPr>
      <w:r>
        <w:rPr>
          <w:rFonts w:hint="eastAsia" w:ascii="微软雅黑" w:hAnsi="微软雅黑" w:cs="黑体"/>
          <w:color w:val="auto"/>
          <w:sz w:val="18"/>
          <w:szCs w:val="18"/>
          <w:highlight w:val="none"/>
        </w:rPr>
        <w:t xml:space="preserve">投标单位必须仔细阅读本采购文件“第四章”中所有</w:t>
      </w:r>
      <w:r>
        <w:rPr>
          <w:rFonts w:hint="eastAsia" w:ascii="微软雅黑" w:hAnsi="微软雅黑" w:cs="黑体"/>
          <w:color w:val="auto"/>
          <w:sz w:val="18"/>
          <w:szCs w:val="18"/>
          <w:highlight w:val="none"/>
          <w:lang w:eastAsia="zh-CN"/>
        </w:rPr>
        <w:t xml:space="preserve">服务要求</w:t>
      </w:r>
      <w:r>
        <w:rPr>
          <w:rFonts w:hint="eastAsia" w:ascii="微软雅黑" w:hAnsi="微软雅黑" w:cs="黑体"/>
          <w:color w:val="auto"/>
          <w:sz w:val="18"/>
          <w:szCs w:val="18"/>
          <w:highlight w:val="none"/>
        </w:rPr>
        <w:t xml:space="preserve">，并对</w:t>
      </w:r>
      <w:r>
        <w:rPr>
          <w:rFonts w:hint="eastAsia" w:ascii="微软雅黑" w:hAnsi="微软雅黑" w:cs="黑体"/>
          <w:color w:val="auto"/>
          <w:sz w:val="18"/>
          <w:szCs w:val="18"/>
          <w:highlight w:val="none"/>
          <w:lang w:eastAsia="zh-CN"/>
        </w:rPr>
        <w:t xml:space="preserve">服务要求</w:t>
      </w:r>
      <w:r>
        <w:rPr>
          <w:rFonts w:hint="eastAsia" w:ascii="微软雅黑" w:hAnsi="微软雅黑" w:cs="黑体"/>
          <w:color w:val="auto"/>
          <w:sz w:val="18"/>
          <w:szCs w:val="18"/>
          <w:highlight w:val="none"/>
        </w:rPr>
        <w:t xml:space="preserve">出现正负偏离的条目列入上表，</w:t>
      </w:r>
      <w:r>
        <w:rPr>
          <w:rFonts w:hint="eastAsia" w:ascii="微软雅黑" w:hAnsi="微软雅黑" w:cs="微软雅黑"/>
          <w:b/>
          <w:bCs/>
          <w:color w:val="auto"/>
          <w:sz w:val="18"/>
          <w:szCs w:val="18"/>
          <w:highlight w:val="none"/>
        </w:rPr>
        <w:t xml:space="preserve">未列入上表的视为完全响应招标文件要求。</w:t>
      </w:r>
      <w:r>
        <w:rPr>
          <w:rFonts w:hint="eastAsia" w:ascii="微软雅黑" w:hAnsi="微软雅黑" w:cs="黑体"/>
          <w:color w:val="auto"/>
          <w:sz w:val="18"/>
          <w:szCs w:val="18"/>
          <w:highlight w:val="none"/>
        </w:rPr>
        <w:t xml:space="preserve">投标单位必须根据所投货物、工程或服务的实际情况如实填写，评委会如发现有虚假描述的，该投标文件视为无效。</w:t>
      </w:r>
      <w:r>
        <w:rPr>
          <w:highlight w:val="none"/>
        </w:rPr>
      </w:r>
      <w:r>
        <w:rPr>
          <w:highlight w:val="none"/>
        </w:rPr>
      </w:r>
    </w:p>
    <w:p>
      <w:pPr>
        <w:numPr>
          <w:ilvl w:val="3"/>
          <w:numId w:val="10"/>
        </w:numPr>
        <w:ind w:left="426" w:hanging="426"/>
        <w:spacing w:line="440" w:lineRule="exact"/>
        <w:rPr>
          <w:rFonts w:ascii="微软雅黑" w:hAnsi="微软雅黑" w:cs="黑体"/>
          <w:color w:val="auto"/>
          <w:sz w:val="18"/>
          <w:szCs w:val="18"/>
          <w:highlight w:val="none"/>
        </w:rPr>
      </w:pPr>
      <w:r>
        <w:rPr>
          <w:rFonts w:hint="eastAsia" w:ascii="微软雅黑" w:hAnsi="微软雅黑" w:cs="黑体"/>
          <w:color w:val="auto"/>
          <w:sz w:val="18"/>
          <w:szCs w:val="18"/>
          <w:highlight w:val="none"/>
        </w:rPr>
        <w:t xml:space="preserve">若投标文件中出现技术参数和功能与此表表述不一致的，以此表为准。</w:t>
      </w:r>
      <w:r>
        <w:rPr>
          <w:highlight w:val="none"/>
        </w:rPr>
      </w:r>
      <w:r>
        <w:rPr>
          <w:highlight w:val="none"/>
        </w:rPr>
      </w:r>
    </w:p>
    <w:p>
      <w:pPr>
        <w:numPr>
          <w:ilvl w:val="3"/>
          <w:numId w:val="10"/>
        </w:numPr>
        <w:ind w:left="426" w:hanging="426"/>
        <w:spacing w:line="440" w:lineRule="exact"/>
        <w:rPr>
          <w:rFonts w:ascii="微软雅黑" w:hAnsi="微软雅黑" w:cs="黑体"/>
          <w:color w:val="auto"/>
          <w:sz w:val="18"/>
          <w:szCs w:val="18"/>
          <w:highlight w:val="none"/>
        </w:rPr>
      </w:pPr>
      <w:r>
        <w:rPr>
          <w:rFonts w:hint="eastAsia" w:ascii="微软雅黑" w:hAnsi="微软雅黑" w:cs="黑体"/>
          <w:color w:val="auto"/>
          <w:sz w:val="18"/>
          <w:szCs w:val="18"/>
          <w:highlight w:val="none"/>
        </w:rPr>
        <w:t xml:space="preserve">若本项目有多个分包的，则每个分包须分别填写此表，并注明分包号。</w:t>
      </w:r>
      <w:r>
        <w:rPr>
          <w:highlight w:val="none"/>
        </w:rPr>
      </w:r>
      <w:r>
        <w:rPr>
          <w:highlight w:val="none"/>
        </w:rPr>
      </w:r>
    </w:p>
    <w:p>
      <w:pPr>
        <w:ind w:left="426" w:hanging="426"/>
        <w:spacing w:line="440" w:lineRule="exact"/>
        <w:rPr>
          <w:rFonts w:ascii="微软雅黑" w:hAnsi="微软雅黑" w:cs="微软雅黑"/>
          <w:color w:val="auto"/>
          <w:szCs w:val="21"/>
          <w:highlight w:val="none"/>
        </w:rPr>
      </w:pPr>
      <w:r>
        <w:rPr>
          <w:rFonts w:ascii="微软雅黑" w:hAnsi="微软雅黑" w:cs="微软雅黑"/>
          <w:color w:val="auto"/>
          <w:szCs w:val="21"/>
          <w:highlight w:val="none"/>
        </w:rPr>
      </w:r>
      <w:r>
        <w:rPr>
          <w:highlight w:val="none"/>
        </w:rPr>
      </w:r>
      <w:r>
        <w:rPr>
          <w:highlight w:val="none"/>
        </w:rPr>
      </w:r>
    </w:p>
    <w:p>
      <w:pPr>
        <w:pStyle w:val="1124"/>
        <w:ind w:left="1260"/>
        <w:spacing w:line="440" w:lineRule="exact"/>
        <w:rPr>
          <w:rFonts w:ascii="微软雅黑" w:hAnsi="微软雅黑" w:cs="微软雅黑"/>
          <w:color w:val="auto"/>
          <w:szCs w:val="21"/>
          <w:highlight w:val="none"/>
        </w:rPr>
      </w:pPr>
      <w:r>
        <w:rPr>
          <w:rFonts w:ascii="微软雅黑" w:hAnsi="微软雅黑" w:cs="微软雅黑"/>
          <w:color w:val="auto"/>
          <w:szCs w:val="21"/>
          <w:highlight w:val="none"/>
        </w:rPr>
      </w:r>
      <w:r>
        <w:rPr>
          <w:highlight w:val="none"/>
        </w:rPr>
      </w:r>
      <w:r>
        <w:rPr>
          <w:highlight w:val="none"/>
        </w:rPr>
      </w:r>
    </w:p>
    <w:p>
      <w:pPr>
        <w:spacing w:line="440" w:lineRule="exact"/>
        <w:rPr>
          <w:rFonts w:ascii="微软雅黑" w:hAnsi="微软雅黑" w:cs="微软雅黑"/>
          <w:color w:val="auto"/>
          <w:szCs w:val="21"/>
          <w:highlight w:val="none"/>
        </w:rPr>
      </w:pPr>
      <w:r>
        <w:rPr>
          <w:rFonts w:ascii="微软雅黑" w:hAnsi="微软雅黑" w:cs="微软雅黑"/>
          <w:color w:val="auto"/>
          <w:szCs w:val="21"/>
          <w:highlight w:val="none"/>
        </w:rPr>
      </w:r>
      <w:r>
        <w:rPr>
          <w:highlight w:val="none"/>
        </w:rPr>
      </w:r>
      <w:r>
        <w:rPr>
          <w:highlight w:val="none"/>
        </w:rPr>
      </w:r>
    </w:p>
    <w:p>
      <w:pPr>
        <w:pStyle w:val="1124"/>
        <w:ind w:left="1260"/>
        <w:spacing w:line="440" w:lineRule="exact"/>
        <w:rPr>
          <w:rFonts w:ascii="微软雅黑" w:hAnsi="微软雅黑" w:cs="微软雅黑"/>
          <w:color w:val="auto"/>
          <w:szCs w:val="21"/>
          <w:highlight w:val="none"/>
        </w:rPr>
      </w:pPr>
      <w:r>
        <w:rPr>
          <w:rFonts w:ascii="微软雅黑" w:hAnsi="微软雅黑" w:cs="微软雅黑"/>
          <w:color w:val="auto"/>
          <w:szCs w:val="21"/>
          <w:highlight w:val="none"/>
        </w:rPr>
      </w:r>
      <w:r>
        <w:rPr>
          <w:highlight w:val="none"/>
        </w:rPr>
      </w:r>
      <w:r>
        <w:rPr>
          <w:highlight w:val="none"/>
        </w:rPr>
      </w:r>
    </w:p>
    <w:p>
      <w:pPr>
        <w:pStyle w:val="1090"/>
        <w:rPr>
          <w:rFonts w:hint="eastAsia" w:ascii="微软雅黑" w:hAnsi="微软雅黑" w:cs="微软雅黑"/>
          <w:b/>
          <w:bCs w:val="0"/>
          <w:color w:val="auto"/>
          <w:sz w:val="24"/>
          <w:szCs w:val="28"/>
          <w:highlight w:val="none"/>
        </w:rPr>
      </w:pPr>
      <w:r>
        <w:rPr>
          <w:highlight w:val="none"/>
        </w:rPr>
      </w:r>
      <w:bookmarkStart w:id="275" w:name="_Toc24595"/>
      <w:r>
        <w:rPr>
          <w:highlight w:val="none"/>
        </w:rPr>
      </w:r>
      <w:bookmarkStart w:id="276" w:name="_Toc365968482"/>
      <w:r>
        <w:rPr>
          <w:highlight w:val="none"/>
        </w:rPr>
      </w:r>
      <w:bookmarkStart w:id="277" w:name="_Toc493455961"/>
      <w:r>
        <w:rPr>
          <w:rFonts w:hint="eastAsia" w:ascii="微软雅黑" w:hAnsi="微软雅黑" w:cs="微软雅黑"/>
          <w:color w:val="auto"/>
          <w:sz w:val="30"/>
          <w:szCs w:val="30"/>
          <w:highlight w:val="none"/>
        </w:rPr>
        <w:br w:type="page" w:clear="all"/>
      </w:r>
      <w:bookmarkStart w:id="278" w:name="_Toc24498"/>
      <w:r>
        <w:rPr>
          <w:highlight w:val="none"/>
        </w:rPr>
      </w:r>
      <w:bookmarkStart w:id="279" w:name="_Toc4943"/>
      <w:r>
        <w:rPr>
          <w:highlight w:val="none"/>
        </w:rPr>
      </w:r>
      <w:bookmarkStart w:id="280" w:name="_Toc14634"/>
      <w:r>
        <w:rPr>
          <w:rFonts w:hint="eastAsia" w:ascii="微软雅黑" w:hAnsi="微软雅黑" w:cs="微软雅黑"/>
          <w:b/>
          <w:bCs w:val="0"/>
          <w:color w:val="auto"/>
          <w:sz w:val="24"/>
          <w:szCs w:val="28"/>
          <w:highlight w:val="none"/>
          <w:lang w:val="en-US" w:eastAsia="zh-CN"/>
        </w:rPr>
        <w:t xml:space="preserve">5.商务要求响应表</w:t>
      </w:r>
      <w:bookmarkEnd w:id="275"/>
      <w:r>
        <w:rPr>
          <w:highlight w:val="none"/>
        </w:rPr>
      </w:r>
      <w:bookmarkEnd w:id="276"/>
      <w:r>
        <w:rPr>
          <w:highlight w:val="none"/>
        </w:rPr>
      </w:r>
      <w:bookmarkEnd w:id="277"/>
      <w:r>
        <w:rPr>
          <w:highlight w:val="none"/>
        </w:rPr>
      </w:r>
      <w:bookmarkEnd w:id="278"/>
      <w:r>
        <w:rPr>
          <w:highlight w:val="none"/>
        </w:rPr>
      </w:r>
      <w:bookmarkEnd w:id="279"/>
      <w:r>
        <w:rPr>
          <w:highlight w:val="none"/>
        </w:rPr>
      </w:r>
      <w:bookmarkEnd w:id="280"/>
      <w:r>
        <w:rPr>
          <w:highlight w:val="none"/>
        </w:rPr>
      </w:r>
      <w:r>
        <w:rPr>
          <w:highlight w:val="none"/>
        </w:rPr>
      </w:r>
    </w:p>
    <w:tbl>
      <w:tblPr>
        <w:tblStyle w:val="913"/>
        <w:tblW w:w="83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
        <w:gridCol w:w="2519"/>
        <w:gridCol w:w="2250"/>
        <w:gridCol w:w="1812"/>
        <w:gridCol w:w="1270"/>
      </w:tblGrid>
      <w:tr>
        <w:trPr>
          <w:trHeight w:val="1058"/>
        </w:trPr>
        <w:tc>
          <w:tcPr>
            <w:tcW w:w="526" w:type="dxa"/>
            <w:vAlign w:val="center"/>
            <w:textDirection w:val="lrTb"/>
            <w:noWrap w:val="false"/>
          </w:tcPr>
          <w:p>
            <w:pPr>
              <w:jc w:val="center"/>
              <w:spacing w:line="440" w:lineRule="exact"/>
              <w:rPr>
                <w:rFonts w:ascii="微软雅黑" w:hAnsi="微软雅黑"/>
                <w:b/>
                <w:bCs/>
                <w:color w:val="auto"/>
                <w:highlight w:val="none"/>
              </w:rPr>
            </w:pPr>
            <w:r>
              <w:rPr>
                <w:rFonts w:hint="eastAsia" w:ascii="微软雅黑" w:hAnsi="微软雅黑"/>
                <w:b/>
                <w:bCs/>
                <w:color w:val="auto"/>
                <w:highlight w:val="none"/>
              </w:rPr>
              <w:t xml:space="preserve">序号</w:t>
            </w:r>
            <w:r>
              <w:rPr>
                <w:highlight w:val="none"/>
              </w:rPr>
            </w:r>
            <w:r>
              <w:rPr>
                <w:highlight w:val="none"/>
              </w:rPr>
            </w:r>
          </w:p>
        </w:tc>
        <w:tc>
          <w:tcPr>
            <w:tcW w:w="2519" w:type="dxa"/>
            <w:vAlign w:val="center"/>
            <w:textDirection w:val="lrTb"/>
            <w:noWrap w:val="false"/>
          </w:tcPr>
          <w:p>
            <w:pPr>
              <w:jc w:val="center"/>
              <w:spacing w:line="440" w:lineRule="exact"/>
              <w:rPr>
                <w:rFonts w:ascii="微软雅黑" w:hAnsi="微软雅黑"/>
                <w:b/>
                <w:bCs/>
                <w:color w:val="auto"/>
                <w:highlight w:val="none"/>
              </w:rPr>
            </w:pPr>
            <w:r>
              <w:rPr>
                <w:rFonts w:hint="eastAsia" w:ascii="微软雅黑" w:hAnsi="微软雅黑"/>
                <w:b/>
                <w:bCs/>
                <w:color w:val="auto"/>
                <w:highlight w:val="none"/>
              </w:rPr>
              <w:t xml:space="preserve">项目</w:t>
            </w:r>
            <w:r>
              <w:rPr>
                <w:highlight w:val="none"/>
              </w:rPr>
            </w:r>
            <w:r>
              <w:rPr>
                <w:highlight w:val="none"/>
              </w:rPr>
            </w:r>
          </w:p>
        </w:tc>
        <w:tc>
          <w:tcPr>
            <w:tcW w:w="2250" w:type="dxa"/>
            <w:vAlign w:val="center"/>
            <w:textDirection w:val="lrTb"/>
            <w:noWrap w:val="false"/>
          </w:tcPr>
          <w:p>
            <w:pPr>
              <w:jc w:val="center"/>
              <w:spacing w:line="440" w:lineRule="exact"/>
              <w:rPr>
                <w:rFonts w:ascii="微软雅黑" w:hAnsi="微软雅黑"/>
                <w:b/>
                <w:bCs/>
                <w:color w:val="auto"/>
                <w:highlight w:val="none"/>
              </w:rPr>
            </w:pPr>
            <w:r>
              <w:rPr>
                <w:rFonts w:hint="eastAsia" w:ascii="微软雅黑" w:hAnsi="微软雅黑"/>
                <w:b/>
                <w:bCs/>
                <w:color w:val="auto"/>
                <w:highlight w:val="none"/>
              </w:rPr>
              <w:t xml:space="preserve">原商务主要条款描述</w:t>
            </w:r>
            <w:r>
              <w:rPr>
                <w:highlight w:val="none"/>
              </w:rPr>
            </w:r>
            <w:r>
              <w:rPr>
                <w:highlight w:val="none"/>
              </w:rPr>
            </w:r>
          </w:p>
        </w:tc>
        <w:tc>
          <w:tcPr>
            <w:tcW w:w="1812" w:type="dxa"/>
            <w:vAlign w:val="center"/>
            <w:textDirection w:val="lrTb"/>
            <w:noWrap w:val="false"/>
          </w:tcPr>
          <w:p>
            <w:pPr>
              <w:jc w:val="center"/>
              <w:spacing w:line="440" w:lineRule="exact"/>
              <w:rPr>
                <w:rFonts w:ascii="微软雅黑" w:hAnsi="微软雅黑"/>
                <w:b/>
                <w:bCs/>
                <w:color w:val="auto"/>
                <w:highlight w:val="none"/>
              </w:rPr>
            </w:pPr>
            <w:r>
              <w:rPr>
                <w:rFonts w:hint="eastAsia" w:ascii="微软雅黑" w:hAnsi="微软雅黑"/>
                <w:b/>
                <w:bCs/>
                <w:color w:val="auto"/>
                <w:highlight w:val="none"/>
              </w:rPr>
              <w:t xml:space="preserve">投标供应商的承诺或说明</w:t>
            </w:r>
            <w:r>
              <w:rPr>
                <w:highlight w:val="none"/>
              </w:rPr>
            </w:r>
            <w:r>
              <w:rPr>
                <w:highlight w:val="none"/>
              </w:rPr>
            </w:r>
          </w:p>
        </w:tc>
        <w:tc>
          <w:tcPr>
            <w:tcW w:w="1270" w:type="dxa"/>
            <w:vAlign w:val="center"/>
            <w:textDirection w:val="lrTb"/>
            <w:noWrap w:val="false"/>
          </w:tcPr>
          <w:p>
            <w:pPr>
              <w:jc w:val="center"/>
              <w:spacing w:line="440" w:lineRule="exact"/>
              <w:rPr>
                <w:rFonts w:ascii="微软雅黑" w:hAnsi="微软雅黑"/>
                <w:b/>
                <w:bCs/>
                <w:color w:val="auto"/>
                <w:highlight w:val="none"/>
              </w:rPr>
            </w:pPr>
            <w:r>
              <w:rPr>
                <w:rFonts w:hint="eastAsia" w:ascii="微软雅黑" w:hAnsi="微软雅黑"/>
                <w:b/>
                <w:bCs/>
                <w:color w:val="auto"/>
                <w:highlight w:val="none"/>
              </w:rPr>
              <w:t xml:space="preserve">偏离</w:t>
            </w:r>
            <w:r>
              <w:rPr>
                <w:highlight w:val="none"/>
              </w:rPr>
            </w:r>
            <w:r>
              <w:rPr>
                <w:highlight w:val="none"/>
              </w:rPr>
            </w:r>
          </w:p>
          <w:p>
            <w:pPr>
              <w:jc w:val="center"/>
              <w:spacing w:line="440" w:lineRule="exact"/>
              <w:rPr>
                <w:rFonts w:ascii="微软雅黑" w:hAnsi="微软雅黑"/>
                <w:b/>
                <w:bCs/>
                <w:color w:val="auto"/>
                <w:highlight w:val="none"/>
              </w:rPr>
            </w:pPr>
            <w:r>
              <w:rPr>
                <w:rFonts w:hint="eastAsia" w:ascii="微软雅黑" w:hAnsi="微软雅黑"/>
                <w:b/>
                <w:bCs/>
                <w:color w:val="auto"/>
                <w:highlight w:val="none"/>
              </w:rPr>
              <w:t xml:space="preserve">情况</w:t>
            </w:r>
            <w:r>
              <w:rPr>
                <w:highlight w:val="none"/>
              </w:rPr>
            </w:r>
            <w:r>
              <w:rPr>
                <w:highlight w:val="none"/>
              </w:rPr>
            </w:r>
          </w:p>
        </w:tc>
      </w:tr>
      <w:tr>
        <w:trPr>
          <w:trHeight w:val="543"/>
        </w:trPr>
        <w:tc>
          <w:tcPr>
            <w:tcW w:w="526" w:type="dxa"/>
            <w:vAlign w:val="center"/>
            <w:textDirection w:val="lrTb"/>
            <w:noWrap w:val="false"/>
          </w:tcPr>
          <w:p>
            <w:pPr>
              <w:jc w:val="center"/>
              <w:spacing w:line="440" w:lineRule="exact"/>
              <w:rPr>
                <w:rFonts w:ascii="微软雅黑" w:hAnsi="微软雅黑"/>
                <w:color w:val="auto"/>
                <w:highlight w:val="none"/>
              </w:rPr>
            </w:pPr>
            <w:r>
              <w:rPr>
                <w:rFonts w:hint="eastAsia" w:ascii="微软雅黑" w:hAnsi="微软雅黑"/>
                <w:color w:val="auto"/>
                <w:highlight w:val="none"/>
              </w:rPr>
              <w:t xml:space="preserve">1</w:t>
            </w:r>
            <w:r>
              <w:rPr>
                <w:highlight w:val="none"/>
              </w:rPr>
            </w:r>
            <w:r>
              <w:rPr>
                <w:highlight w:val="none"/>
              </w:rPr>
            </w:r>
          </w:p>
        </w:tc>
        <w:tc>
          <w:tcPr>
            <w:tcW w:w="2519" w:type="dxa"/>
            <w:vAlign w:val="center"/>
            <w:textDirection w:val="lrTb"/>
            <w:noWrap w:val="false"/>
          </w:tcPr>
          <w:p>
            <w:pPr>
              <w:jc w:val="cente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c>
          <w:tcPr>
            <w:tcW w:w="2250" w:type="dxa"/>
            <w:vAlign w:val="center"/>
            <w:textDirection w:val="lrTb"/>
            <w:noWrap w:val="false"/>
          </w:tcPr>
          <w:p>
            <w:pP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c>
          <w:tcPr>
            <w:tcW w:w="1812" w:type="dxa"/>
            <w:vAlign w:val="center"/>
            <w:textDirection w:val="lrTb"/>
            <w:noWrap w:val="false"/>
          </w:tcPr>
          <w:p>
            <w:pP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c>
          <w:tcPr>
            <w:tcW w:w="1270" w:type="dxa"/>
            <w:vAlign w:val="center"/>
            <w:textDirection w:val="lrTb"/>
            <w:noWrap w:val="false"/>
          </w:tcPr>
          <w:p>
            <w:pP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r>
      <w:tr>
        <w:trPr>
          <w:trHeight w:val="621"/>
        </w:trPr>
        <w:tc>
          <w:tcPr>
            <w:tcW w:w="526" w:type="dxa"/>
            <w:vAlign w:val="center"/>
            <w:textDirection w:val="lrTb"/>
            <w:noWrap w:val="false"/>
          </w:tcPr>
          <w:p>
            <w:pPr>
              <w:jc w:val="center"/>
              <w:spacing w:line="440" w:lineRule="exact"/>
              <w:rPr>
                <w:rFonts w:ascii="微软雅黑" w:hAnsi="微软雅黑"/>
                <w:color w:val="auto"/>
                <w:highlight w:val="none"/>
              </w:rPr>
            </w:pPr>
            <w:r>
              <w:rPr>
                <w:rFonts w:hint="eastAsia" w:ascii="微软雅黑" w:hAnsi="微软雅黑"/>
                <w:color w:val="auto"/>
                <w:highlight w:val="none"/>
              </w:rPr>
              <w:t xml:space="preserve">2</w:t>
            </w:r>
            <w:r>
              <w:rPr>
                <w:highlight w:val="none"/>
              </w:rPr>
            </w:r>
            <w:r>
              <w:rPr>
                <w:highlight w:val="none"/>
              </w:rPr>
            </w:r>
          </w:p>
        </w:tc>
        <w:tc>
          <w:tcPr>
            <w:tcW w:w="2519" w:type="dxa"/>
            <w:vAlign w:val="center"/>
            <w:textDirection w:val="lrTb"/>
            <w:noWrap w:val="false"/>
          </w:tcPr>
          <w:p>
            <w:pPr>
              <w:jc w:val="cente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c>
          <w:tcPr>
            <w:tcW w:w="2250" w:type="dxa"/>
            <w:vAlign w:val="center"/>
            <w:textDirection w:val="lrTb"/>
            <w:noWrap w:val="false"/>
          </w:tcPr>
          <w:p>
            <w:pP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c>
          <w:tcPr>
            <w:tcW w:w="1812" w:type="dxa"/>
            <w:vAlign w:val="center"/>
            <w:textDirection w:val="lrTb"/>
            <w:noWrap w:val="false"/>
          </w:tcPr>
          <w:p>
            <w:pP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c>
          <w:tcPr>
            <w:tcW w:w="1270" w:type="dxa"/>
            <w:vAlign w:val="center"/>
            <w:textDirection w:val="lrTb"/>
            <w:noWrap w:val="false"/>
          </w:tcPr>
          <w:p>
            <w:pP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r>
      <w:tr>
        <w:trPr>
          <w:trHeight w:val="655"/>
        </w:trPr>
        <w:tc>
          <w:tcPr>
            <w:tcW w:w="526" w:type="dxa"/>
            <w:vAlign w:val="center"/>
            <w:textDirection w:val="lrTb"/>
            <w:noWrap w:val="false"/>
          </w:tcPr>
          <w:p>
            <w:pPr>
              <w:jc w:val="center"/>
              <w:spacing w:line="440" w:lineRule="exact"/>
              <w:rPr>
                <w:rFonts w:ascii="微软雅黑" w:hAnsi="微软雅黑"/>
                <w:color w:val="auto"/>
                <w:highlight w:val="none"/>
              </w:rPr>
            </w:pPr>
            <w:r>
              <w:rPr>
                <w:rFonts w:hint="eastAsia" w:ascii="微软雅黑" w:hAnsi="微软雅黑"/>
                <w:color w:val="auto"/>
                <w:highlight w:val="none"/>
              </w:rPr>
              <w:t xml:space="preserve">3</w:t>
            </w:r>
            <w:r>
              <w:rPr>
                <w:highlight w:val="none"/>
              </w:rPr>
            </w:r>
            <w:r>
              <w:rPr>
                <w:highlight w:val="none"/>
              </w:rPr>
            </w:r>
          </w:p>
        </w:tc>
        <w:tc>
          <w:tcPr>
            <w:tcW w:w="2519" w:type="dxa"/>
            <w:vAlign w:val="center"/>
            <w:textDirection w:val="lrTb"/>
            <w:noWrap w:val="false"/>
          </w:tcPr>
          <w:p>
            <w:pPr>
              <w:jc w:val="cente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c>
          <w:tcPr>
            <w:tcW w:w="2250" w:type="dxa"/>
            <w:vAlign w:val="center"/>
            <w:textDirection w:val="lrTb"/>
            <w:noWrap w:val="false"/>
          </w:tcPr>
          <w:p>
            <w:pP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c>
          <w:tcPr>
            <w:tcW w:w="1812" w:type="dxa"/>
            <w:vAlign w:val="center"/>
            <w:textDirection w:val="lrTb"/>
            <w:noWrap w:val="false"/>
          </w:tcPr>
          <w:p>
            <w:pP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c>
          <w:tcPr>
            <w:tcW w:w="1270" w:type="dxa"/>
            <w:vAlign w:val="center"/>
            <w:textDirection w:val="lrTb"/>
            <w:noWrap w:val="false"/>
          </w:tcPr>
          <w:p>
            <w:pP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r>
      <w:tr>
        <w:trPr>
          <w:trHeight w:val="535"/>
        </w:trPr>
        <w:tc>
          <w:tcPr>
            <w:tcW w:w="526" w:type="dxa"/>
            <w:vAlign w:val="center"/>
            <w:textDirection w:val="lrTb"/>
            <w:noWrap w:val="false"/>
          </w:tcPr>
          <w:p>
            <w:pPr>
              <w:jc w:val="center"/>
              <w:spacing w:line="440" w:lineRule="exact"/>
              <w:rPr>
                <w:rFonts w:ascii="微软雅黑" w:hAnsi="微软雅黑"/>
                <w:color w:val="auto"/>
                <w:highlight w:val="none"/>
              </w:rPr>
            </w:pPr>
            <w:r>
              <w:rPr>
                <w:rFonts w:hint="eastAsia" w:ascii="微软雅黑" w:hAnsi="微软雅黑"/>
                <w:color w:val="auto"/>
                <w:highlight w:val="none"/>
              </w:rPr>
              <w:t xml:space="preserve">4</w:t>
            </w:r>
            <w:r>
              <w:rPr>
                <w:highlight w:val="none"/>
              </w:rPr>
            </w:r>
            <w:r>
              <w:rPr>
                <w:highlight w:val="none"/>
              </w:rPr>
            </w:r>
          </w:p>
        </w:tc>
        <w:tc>
          <w:tcPr>
            <w:tcW w:w="2519" w:type="dxa"/>
            <w:vAlign w:val="center"/>
            <w:textDirection w:val="lrTb"/>
            <w:noWrap w:val="false"/>
          </w:tcPr>
          <w:p>
            <w:pPr>
              <w:jc w:val="cente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c>
          <w:tcPr>
            <w:tcW w:w="2250" w:type="dxa"/>
            <w:vAlign w:val="center"/>
            <w:textDirection w:val="lrTb"/>
            <w:noWrap w:val="false"/>
          </w:tcPr>
          <w:p>
            <w:pP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c>
          <w:tcPr>
            <w:tcW w:w="1812" w:type="dxa"/>
            <w:vAlign w:val="center"/>
            <w:textDirection w:val="lrTb"/>
            <w:noWrap w:val="false"/>
          </w:tcPr>
          <w:p>
            <w:pP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c>
          <w:tcPr>
            <w:tcW w:w="1270" w:type="dxa"/>
            <w:vAlign w:val="center"/>
            <w:textDirection w:val="lrTb"/>
            <w:noWrap w:val="false"/>
          </w:tcPr>
          <w:p>
            <w:pP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r>
      <w:tr>
        <w:trPr>
          <w:trHeight w:val="560"/>
        </w:trPr>
        <w:tc>
          <w:tcPr>
            <w:tcW w:w="526" w:type="dxa"/>
            <w:vAlign w:val="center"/>
            <w:textDirection w:val="lrTb"/>
            <w:noWrap w:val="false"/>
          </w:tcPr>
          <w:p>
            <w:pPr>
              <w:jc w:val="center"/>
              <w:spacing w:line="440" w:lineRule="exact"/>
              <w:rPr>
                <w:rFonts w:ascii="微软雅黑" w:hAnsi="微软雅黑"/>
                <w:color w:val="auto"/>
                <w:highlight w:val="none"/>
              </w:rPr>
            </w:pPr>
            <w:r>
              <w:rPr>
                <w:rFonts w:hint="eastAsia" w:ascii="微软雅黑" w:hAnsi="微软雅黑"/>
                <w:color w:val="auto"/>
                <w:highlight w:val="none"/>
              </w:rPr>
              <w:t xml:space="preserve">5</w:t>
            </w:r>
            <w:r>
              <w:rPr>
                <w:highlight w:val="none"/>
              </w:rPr>
            </w:r>
            <w:r>
              <w:rPr>
                <w:highlight w:val="none"/>
              </w:rPr>
            </w:r>
          </w:p>
        </w:tc>
        <w:tc>
          <w:tcPr>
            <w:tcW w:w="2519" w:type="dxa"/>
            <w:vAlign w:val="center"/>
            <w:textDirection w:val="lrTb"/>
            <w:noWrap w:val="false"/>
          </w:tcPr>
          <w:p>
            <w:pPr>
              <w:jc w:val="cente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c>
          <w:tcPr>
            <w:tcW w:w="2250" w:type="dxa"/>
            <w:vAlign w:val="center"/>
            <w:textDirection w:val="lrTb"/>
            <w:noWrap w:val="false"/>
          </w:tcPr>
          <w:p>
            <w:pP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c>
          <w:tcPr>
            <w:tcW w:w="1812" w:type="dxa"/>
            <w:vAlign w:val="center"/>
            <w:textDirection w:val="lrTb"/>
            <w:noWrap w:val="false"/>
          </w:tcPr>
          <w:p>
            <w:pP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c>
          <w:tcPr>
            <w:tcW w:w="1270" w:type="dxa"/>
            <w:vAlign w:val="center"/>
            <w:textDirection w:val="lrTb"/>
            <w:noWrap w:val="false"/>
          </w:tcPr>
          <w:p>
            <w:pP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r>
      <w:tr>
        <w:trPr>
          <w:trHeight w:val="572"/>
        </w:trPr>
        <w:tc>
          <w:tcPr>
            <w:tcW w:w="526" w:type="dxa"/>
            <w:vAlign w:val="center"/>
            <w:textDirection w:val="lrTb"/>
            <w:noWrap w:val="false"/>
          </w:tcPr>
          <w:p>
            <w:pPr>
              <w:jc w:val="center"/>
              <w:spacing w:line="440" w:lineRule="exact"/>
              <w:rPr>
                <w:rFonts w:ascii="微软雅黑" w:hAnsi="微软雅黑"/>
                <w:color w:val="auto"/>
                <w:highlight w:val="none"/>
              </w:rPr>
            </w:pPr>
            <w:r>
              <w:rPr>
                <w:rFonts w:hint="eastAsia" w:ascii="微软雅黑" w:hAnsi="微软雅黑"/>
                <w:color w:val="auto"/>
                <w:highlight w:val="none"/>
              </w:rPr>
              <w:t xml:space="preserve">6</w:t>
            </w:r>
            <w:r>
              <w:rPr>
                <w:highlight w:val="none"/>
              </w:rPr>
            </w:r>
            <w:r>
              <w:rPr>
                <w:highlight w:val="none"/>
              </w:rPr>
            </w:r>
          </w:p>
        </w:tc>
        <w:tc>
          <w:tcPr>
            <w:tcW w:w="2519" w:type="dxa"/>
            <w:vAlign w:val="center"/>
            <w:textDirection w:val="lrTb"/>
            <w:noWrap w:val="false"/>
          </w:tcPr>
          <w:p>
            <w:pPr>
              <w:jc w:val="cente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c>
          <w:tcPr>
            <w:tcW w:w="2250" w:type="dxa"/>
            <w:vAlign w:val="center"/>
            <w:textDirection w:val="lrTb"/>
            <w:noWrap w:val="false"/>
          </w:tcPr>
          <w:p>
            <w:pP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c>
          <w:tcPr>
            <w:tcW w:w="1812" w:type="dxa"/>
            <w:vAlign w:val="center"/>
            <w:textDirection w:val="lrTb"/>
            <w:noWrap w:val="false"/>
          </w:tcPr>
          <w:p>
            <w:pP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c>
          <w:tcPr>
            <w:tcW w:w="1270" w:type="dxa"/>
            <w:vAlign w:val="center"/>
            <w:textDirection w:val="lrTb"/>
            <w:noWrap w:val="false"/>
          </w:tcPr>
          <w:p>
            <w:pP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tc>
      </w:tr>
    </w:tbl>
    <w:p>
      <w:pPr>
        <w:spacing w:line="440" w:lineRule="exact"/>
        <w:rPr>
          <w:rFonts w:ascii="微软雅黑" w:hAnsi="微软雅黑"/>
          <w:color w:val="auto"/>
          <w:highlight w:val="none"/>
        </w:rPr>
      </w:pPr>
      <w:r>
        <w:rPr>
          <w:rFonts w:ascii="微软雅黑" w:hAnsi="微软雅黑"/>
          <w:color w:val="auto"/>
          <w:highlight w:val="none"/>
        </w:rPr>
      </w:r>
      <w:r>
        <w:rPr>
          <w:highlight w:val="none"/>
        </w:rPr>
      </w:r>
      <w:r>
        <w:rPr>
          <w:highlight w:val="none"/>
        </w:rPr>
      </w:r>
    </w:p>
    <w:p>
      <w:pPr>
        <w:spacing w:line="440" w:lineRule="exact"/>
        <w:rPr>
          <w:rFonts w:ascii="微软雅黑" w:hAnsi="微软雅黑"/>
          <w:color w:val="auto"/>
          <w:highlight w:val="none"/>
        </w:rPr>
      </w:pPr>
      <w:r>
        <w:rPr>
          <w:rFonts w:hint="eastAsia" w:ascii="微软雅黑" w:hAnsi="微软雅黑"/>
          <w:color w:val="auto"/>
          <w:highlight w:val="none"/>
        </w:rPr>
        <w:t xml:space="preserve">供应商全称（公章）：        </w:t>
      </w:r>
      <w:r>
        <w:rPr>
          <w:highlight w:val="none"/>
        </w:rPr>
      </w:r>
      <w:r>
        <w:rPr>
          <w:highlight w:val="none"/>
        </w:rPr>
      </w:r>
    </w:p>
    <w:p>
      <w:pPr>
        <w:spacing w:line="440" w:lineRule="exact"/>
        <w:rPr>
          <w:rFonts w:ascii="微软雅黑" w:hAnsi="微软雅黑"/>
          <w:color w:val="auto"/>
          <w:highlight w:val="none"/>
        </w:rPr>
      </w:pPr>
      <w:r>
        <w:rPr>
          <w:rFonts w:hint="eastAsia" w:ascii="微软雅黑" w:hAnsi="微软雅黑"/>
          <w:color w:val="auto"/>
          <w:highlight w:val="none"/>
        </w:rPr>
        <w:t xml:space="preserve">法定代表人（授权代表）（签字/盖章）：   </w:t>
      </w:r>
      <w:r>
        <w:rPr>
          <w:highlight w:val="none"/>
        </w:rPr>
      </w:r>
      <w:r>
        <w:rPr>
          <w:highlight w:val="none"/>
        </w:rPr>
      </w:r>
    </w:p>
    <w:p>
      <w:pPr>
        <w:pStyle w:val="1124"/>
        <w:ind w:left="0"/>
        <w:spacing w:line="440" w:lineRule="exact"/>
        <w:rPr>
          <w:rFonts w:ascii="微软雅黑" w:hAnsi="微软雅黑"/>
          <w:color w:val="auto"/>
          <w:sz w:val="28"/>
          <w:szCs w:val="28"/>
          <w:highlight w:val="none"/>
        </w:rPr>
      </w:pPr>
      <w:r>
        <w:rPr>
          <w:rFonts w:hint="eastAsia" w:ascii="微软雅黑" w:hAnsi="微软雅黑"/>
          <w:color w:val="auto"/>
          <w:highlight w:val="none"/>
        </w:rPr>
        <w:t xml:space="preserve">日期：</w:t>
      </w:r>
      <w:r>
        <w:rPr>
          <w:highlight w:val="none"/>
        </w:rPr>
      </w:r>
      <w:r>
        <w:rPr>
          <w:highlight w:val="none"/>
        </w:rPr>
      </w:r>
    </w:p>
    <w:p>
      <w:pPr>
        <w:spacing w:line="440" w:lineRule="exact"/>
        <w:rPr>
          <w:rFonts w:ascii="微软雅黑" w:hAnsi="微软雅黑" w:cs="黑体"/>
          <w:color w:val="auto"/>
          <w:sz w:val="18"/>
          <w:szCs w:val="18"/>
          <w:highlight w:val="none"/>
        </w:rPr>
      </w:pPr>
      <w:r>
        <w:rPr>
          <w:rFonts w:hint="eastAsia" w:ascii="微软雅黑" w:hAnsi="微软雅黑" w:cs="黑体"/>
          <w:color w:val="auto"/>
          <w:sz w:val="18"/>
          <w:szCs w:val="18"/>
          <w:highlight w:val="none"/>
        </w:rPr>
        <w:t xml:space="preserve">注：</w:t>
      </w:r>
      <w:r>
        <w:rPr>
          <w:rFonts w:hint="eastAsia" w:ascii="微软雅黑" w:hAnsi="微软雅黑" w:cs="黑体"/>
          <w:color w:val="auto"/>
          <w:sz w:val="18"/>
          <w:szCs w:val="18"/>
          <w:highlight w:val="none"/>
        </w:rPr>
        <w:fldChar w:fldCharType="begin"/>
      </w:r>
      <w:r>
        <w:rPr>
          <w:rFonts w:hint="eastAsia" w:ascii="微软雅黑" w:hAnsi="微软雅黑" w:cs="黑体"/>
          <w:color w:val="auto"/>
          <w:sz w:val="18"/>
          <w:szCs w:val="18"/>
          <w:highlight w:val="none"/>
        </w:rPr>
        <w:instrText xml:space="preserve">= 1 \* GB3</w:instrText>
      </w:r>
      <w:r>
        <w:rPr>
          <w:rFonts w:hint="eastAsia" w:ascii="微软雅黑" w:hAnsi="微软雅黑" w:cs="黑体"/>
          <w:color w:val="auto"/>
          <w:sz w:val="18"/>
          <w:szCs w:val="18"/>
          <w:highlight w:val="none"/>
        </w:rPr>
        <w:fldChar w:fldCharType="separate"/>
      </w:r>
      <w:r>
        <w:rPr>
          <w:rFonts w:hint="eastAsia" w:ascii="微软雅黑" w:hAnsi="微软雅黑" w:cs="黑体"/>
          <w:color w:val="auto"/>
          <w:sz w:val="18"/>
          <w:szCs w:val="18"/>
          <w:highlight w:val="none"/>
        </w:rPr>
        <w:t xml:space="preserve">①</w:t>
      </w:r>
      <w:r>
        <w:rPr>
          <w:rFonts w:hint="eastAsia" w:ascii="微软雅黑" w:hAnsi="微软雅黑" w:cs="黑体"/>
          <w:color w:val="auto"/>
          <w:sz w:val="18"/>
          <w:szCs w:val="18"/>
          <w:highlight w:val="none"/>
        </w:rPr>
        <w:fldChar w:fldCharType="end"/>
      </w:r>
      <w:r>
        <w:rPr>
          <w:rFonts w:hint="eastAsia" w:ascii="微软雅黑" w:hAnsi="微软雅黑" w:cs="黑体"/>
          <w:color w:val="auto"/>
          <w:sz w:val="18"/>
          <w:szCs w:val="18"/>
          <w:highlight w:val="none"/>
        </w:rPr>
        <w:t xml:space="preserve">此表为表样，行数可自行添加，但表式不变。</w:t>
      </w:r>
      <w:r>
        <w:rPr>
          <w:highlight w:val="none"/>
        </w:rPr>
      </w:r>
      <w:r>
        <w:rPr>
          <w:highlight w:val="none"/>
        </w:rPr>
      </w:r>
    </w:p>
    <w:p>
      <w:pPr>
        <w:ind w:firstLine="450"/>
        <w:spacing w:line="440" w:lineRule="exact"/>
        <w:rPr>
          <w:rFonts w:ascii="微软雅黑" w:hAnsi="微软雅黑" w:cs="黑体"/>
          <w:color w:val="auto"/>
          <w:sz w:val="18"/>
          <w:szCs w:val="18"/>
          <w:highlight w:val="none"/>
        </w:rPr>
      </w:pPr>
      <w:r>
        <w:rPr>
          <w:rFonts w:hint="eastAsia" w:ascii="微软雅黑" w:hAnsi="微软雅黑" w:cs="黑体"/>
          <w:color w:val="auto"/>
          <w:sz w:val="18"/>
          <w:szCs w:val="18"/>
          <w:highlight w:val="none"/>
        </w:rPr>
        <w:fldChar w:fldCharType="begin"/>
      </w:r>
      <w:r>
        <w:rPr>
          <w:rFonts w:hint="eastAsia" w:ascii="微软雅黑" w:hAnsi="微软雅黑" w:cs="黑体"/>
          <w:color w:val="auto"/>
          <w:sz w:val="18"/>
          <w:szCs w:val="18"/>
          <w:highlight w:val="none"/>
        </w:rPr>
        <w:instrText xml:space="preserve">= 2 \* GB3</w:instrText>
      </w:r>
      <w:r>
        <w:rPr>
          <w:rFonts w:hint="eastAsia" w:ascii="微软雅黑" w:hAnsi="微软雅黑" w:cs="黑体"/>
          <w:color w:val="auto"/>
          <w:sz w:val="18"/>
          <w:szCs w:val="18"/>
          <w:highlight w:val="none"/>
        </w:rPr>
        <w:fldChar w:fldCharType="separate"/>
      </w:r>
      <w:r>
        <w:rPr>
          <w:rFonts w:hint="eastAsia" w:ascii="微软雅黑" w:hAnsi="微软雅黑" w:cs="黑体"/>
          <w:color w:val="auto"/>
          <w:sz w:val="18"/>
          <w:szCs w:val="18"/>
          <w:highlight w:val="none"/>
        </w:rPr>
        <w:t xml:space="preserve">②</w:t>
      </w:r>
      <w:r>
        <w:rPr>
          <w:rFonts w:hint="eastAsia" w:ascii="微软雅黑" w:hAnsi="微软雅黑" w:cs="黑体"/>
          <w:color w:val="auto"/>
          <w:sz w:val="18"/>
          <w:szCs w:val="18"/>
          <w:highlight w:val="none"/>
        </w:rPr>
        <w:fldChar w:fldCharType="end"/>
      </w:r>
      <w:r>
        <w:rPr>
          <w:rFonts w:hint="eastAsia" w:ascii="微软雅黑" w:hAnsi="微软雅黑" w:cs="黑体"/>
          <w:color w:val="auto"/>
          <w:sz w:val="18"/>
          <w:szCs w:val="18"/>
          <w:highlight w:val="none"/>
        </w:rPr>
        <w:t xml:space="preserve">投标单位根据项目添加的服务承诺、培训等也请列出。</w:t>
      </w:r>
      <w:r>
        <w:rPr>
          <w:highlight w:val="none"/>
        </w:rPr>
      </w:r>
      <w:r>
        <w:rPr>
          <w:highlight w:val="none"/>
        </w:rPr>
      </w:r>
    </w:p>
    <w:p>
      <w:pPr>
        <w:ind w:firstLine="450"/>
        <w:spacing w:line="440" w:lineRule="exact"/>
        <w:rPr>
          <w:rFonts w:ascii="微软雅黑" w:hAnsi="微软雅黑" w:cs="黑体"/>
          <w:color w:val="auto"/>
          <w:sz w:val="18"/>
          <w:szCs w:val="18"/>
          <w:highlight w:val="none"/>
        </w:rPr>
      </w:pPr>
      <w:r>
        <w:rPr>
          <w:rFonts w:hint="eastAsia" w:ascii="微软雅黑" w:hAnsi="微软雅黑" w:cs="黑体"/>
          <w:color w:val="auto"/>
          <w:sz w:val="18"/>
          <w:szCs w:val="18"/>
          <w:highlight w:val="none"/>
        </w:rPr>
        <w:fldChar w:fldCharType="begin"/>
      </w:r>
      <w:r>
        <w:rPr>
          <w:rFonts w:hint="eastAsia" w:ascii="微软雅黑" w:hAnsi="微软雅黑" w:cs="黑体"/>
          <w:color w:val="auto"/>
          <w:sz w:val="18"/>
          <w:szCs w:val="18"/>
          <w:highlight w:val="none"/>
        </w:rPr>
        <w:instrText xml:space="preserve">= 3 \* GB3</w:instrText>
      </w:r>
      <w:r>
        <w:rPr>
          <w:rFonts w:hint="eastAsia" w:ascii="微软雅黑" w:hAnsi="微软雅黑" w:cs="黑体"/>
          <w:color w:val="auto"/>
          <w:sz w:val="18"/>
          <w:szCs w:val="18"/>
          <w:highlight w:val="none"/>
        </w:rPr>
        <w:fldChar w:fldCharType="separate"/>
      </w:r>
      <w:r>
        <w:rPr>
          <w:rFonts w:hint="eastAsia" w:ascii="微软雅黑" w:hAnsi="微软雅黑" w:cs="黑体"/>
          <w:color w:val="auto"/>
          <w:sz w:val="18"/>
          <w:szCs w:val="18"/>
          <w:highlight w:val="none"/>
        </w:rPr>
        <w:t xml:space="preserve">③</w:t>
      </w:r>
      <w:r>
        <w:rPr>
          <w:rFonts w:hint="eastAsia" w:ascii="微软雅黑" w:hAnsi="微软雅黑" w:cs="黑体"/>
          <w:color w:val="auto"/>
          <w:sz w:val="18"/>
          <w:szCs w:val="18"/>
          <w:highlight w:val="none"/>
        </w:rPr>
        <w:fldChar w:fldCharType="end"/>
      </w:r>
      <w:r>
        <w:rPr>
          <w:rFonts w:hint="eastAsia" w:ascii="微软雅黑" w:hAnsi="微软雅黑" w:cs="黑体"/>
          <w:color w:val="auto"/>
          <w:sz w:val="18"/>
          <w:szCs w:val="18"/>
          <w:highlight w:val="none"/>
        </w:rPr>
        <w:t xml:space="preserve">是否偏离用符号“+、=、-”分别表示正偏离、完全响应、负偏离。</w:t>
      </w:r>
      <w:r>
        <w:rPr>
          <w:highlight w:val="none"/>
        </w:rPr>
      </w:r>
      <w:r>
        <w:rPr>
          <w:highlight w:val="none"/>
        </w:rPr>
      </w:r>
    </w:p>
    <w:p>
      <w:pPr>
        <w:ind w:firstLine="450"/>
        <w:spacing w:line="440" w:lineRule="exact"/>
        <w:rPr>
          <w:rFonts w:ascii="微软雅黑" w:hAnsi="微软雅黑" w:cs="黑体"/>
          <w:color w:val="auto"/>
          <w:sz w:val="18"/>
          <w:szCs w:val="18"/>
          <w:highlight w:val="none"/>
        </w:rPr>
      </w:pPr>
      <w:r>
        <w:rPr>
          <w:rFonts w:hint="eastAsia" w:ascii="微软雅黑" w:hAnsi="微软雅黑" w:cs="黑体"/>
          <w:color w:val="auto"/>
          <w:sz w:val="18"/>
          <w:szCs w:val="18"/>
          <w:highlight w:val="none"/>
        </w:rPr>
        <w:fldChar w:fldCharType="begin"/>
      </w:r>
      <w:r>
        <w:rPr>
          <w:rFonts w:hint="eastAsia" w:ascii="微软雅黑" w:hAnsi="微软雅黑" w:cs="黑体"/>
          <w:color w:val="auto"/>
          <w:sz w:val="18"/>
          <w:szCs w:val="18"/>
          <w:highlight w:val="none"/>
        </w:rPr>
        <w:instrText xml:space="preserve">= 4 \* GB3</w:instrText>
      </w:r>
      <w:r>
        <w:rPr>
          <w:rFonts w:hint="eastAsia" w:ascii="微软雅黑" w:hAnsi="微软雅黑" w:cs="黑体"/>
          <w:color w:val="auto"/>
          <w:sz w:val="18"/>
          <w:szCs w:val="18"/>
          <w:highlight w:val="none"/>
        </w:rPr>
        <w:fldChar w:fldCharType="separate"/>
      </w:r>
      <w:r>
        <w:rPr>
          <w:rFonts w:hint="eastAsia" w:ascii="微软雅黑" w:hAnsi="微软雅黑" w:cs="黑体"/>
          <w:color w:val="auto"/>
          <w:sz w:val="18"/>
          <w:szCs w:val="18"/>
          <w:highlight w:val="none"/>
        </w:rPr>
        <w:t xml:space="preserve">④</w:t>
      </w:r>
      <w:r>
        <w:rPr>
          <w:rFonts w:hint="eastAsia" w:ascii="微软雅黑" w:hAnsi="微软雅黑" w:cs="黑体"/>
          <w:color w:val="auto"/>
          <w:sz w:val="18"/>
          <w:szCs w:val="18"/>
          <w:highlight w:val="none"/>
        </w:rPr>
        <w:fldChar w:fldCharType="end"/>
      </w:r>
      <w:r>
        <w:rPr>
          <w:rFonts w:hint="eastAsia" w:ascii="微软雅黑" w:hAnsi="微软雅黑" w:cs="黑体"/>
          <w:color w:val="auto"/>
          <w:sz w:val="18"/>
          <w:szCs w:val="18"/>
          <w:highlight w:val="none"/>
        </w:rPr>
        <w:t xml:space="preserve">投标单位必须仔细阅读本采购文件“第四章”中所有商务条款和相关服务要求，并对所有商务条款和服务要求偏离的条目列入上表，</w:t>
      </w:r>
      <w:r>
        <w:rPr>
          <w:rFonts w:hint="eastAsia" w:ascii="微软雅黑" w:hAnsi="微软雅黑" w:cs="微软雅黑"/>
          <w:b/>
          <w:bCs/>
          <w:color w:val="auto"/>
          <w:sz w:val="18"/>
          <w:szCs w:val="18"/>
          <w:highlight w:val="none"/>
        </w:rPr>
        <w:t xml:space="preserve">未列入上表的视为完全响应招标文件要求</w:t>
      </w:r>
      <w:r>
        <w:rPr>
          <w:rFonts w:hint="eastAsia" w:ascii="微软雅黑" w:hAnsi="微软雅黑" w:cs="黑体"/>
          <w:color w:val="auto"/>
          <w:sz w:val="18"/>
          <w:szCs w:val="18"/>
          <w:highlight w:val="none"/>
        </w:rPr>
        <w:t xml:space="preserve">。投标单位必须根据所将提供服务的实际情况如实填写，评委会如发现有虚假描述的，该投标文件视为无效。</w:t>
      </w:r>
      <w:r>
        <w:rPr>
          <w:highlight w:val="none"/>
        </w:rPr>
      </w:r>
      <w:r>
        <w:rPr>
          <w:highlight w:val="none"/>
        </w:rPr>
      </w:r>
    </w:p>
    <w:p>
      <w:pPr>
        <w:ind w:firstLine="450"/>
        <w:spacing w:line="440" w:lineRule="exact"/>
        <w:rPr>
          <w:rFonts w:ascii="微软雅黑" w:hAnsi="微软雅黑" w:cs="微软雅黑"/>
          <w:color w:val="auto"/>
          <w:sz w:val="24"/>
          <w:szCs w:val="24"/>
          <w:highlight w:val="none"/>
        </w:rPr>
      </w:pPr>
      <w:r>
        <w:rPr>
          <w:rFonts w:hint="eastAsia" w:ascii="微软雅黑" w:hAnsi="微软雅黑" w:cs="黑体"/>
          <w:color w:val="auto"/>
          <w:sz w:val="18"/>
          <w:szCs w:val="18"/>
          <w:highlight w:val="none"/>
        </w:rPr>
        <w:fldChar w:fldCharType="begin"/>
      </w:r>
      <w:r>
        <w:rPr>
          <w:rFonts w:hint="eastAsia" w:ascii="微软雅黑" w:hAnsi="微软雅黑" w:cs="黑体"/>
          <w:color w:val="auto"/>
          <w:sz w:val="18"/>
          <w:szCs w:val="18"/>
          <w:highlight w:val="none"/>
        </w:rPr>
        <w:instrText xml:space="preserve">= 5 \* GB3</w:instrText>
      </w:r>
      <w:r>
        <w:rPr>
          <w:rFonts w:hint="eastAsia" w:ascii="微软雅黑" w:hAnsi="微软雅黑" w:cs="黑体"/>
          <w:color w:val="auto"/>
          <w:sz w:val="18"/>
          <w:szCs w:val="18"/>
          <w:highlight w:val="none"/>
        </w:rPr>
        <w:fldChar w:fldCharType="separate"/>
      </w:r>
      <w:r>
        <w:rPr>
          <w:rFonts w:hint="eastAsia" w:ascii="微软雅黑" w:hAnsi="微软雅黑" w:cs="黑体"/>
          <w:color w:val="auto"/>
          <w:sz w:val="18"/>
          <w:szCs w:val="18"/>
          <w:highlight w:val="none"/>
        </w:rPr>
        <w:t xml:space="preserve">⑤</w:t>
      </w:r>
      <w:r>
        <w:rPr>
          <w:rFonts w:hint="eastAsia" w:ascii="微软雅黑" w:hAnsi="微软雅黑" w:cs="黑体"/>
          <w:color w:val="auto"/>
          <w:sz w:val="18"/>
          <w:szCs w:val="18"/>
          <w:highlight w:val="none"/>
        </w:rPr>
        <w:fldChar w:fldCharType="end"/>
      </w:r>
      <w:r>
        <w:rPr>
          <w:rFonts w:hint="eastAsia" w:ascii="微软雅黑" w:hAnsi="微软雅黑" w:cs="黑体"/>
          <w:color w:val="auto"/>
          <w:sz w:val="18"/>
          <w:szCs w:val="18"/>
          <w:highlight w:val="none"/>
        </w:rPr>
        <w:t xml:space="preserve">若本项目有多个分包的每个分包须分别填写此表，并注明分包号。</w:t>
      </w:r>
      <w:r>
        <w:rPr>
          <w:highlight w:val="none"/>
        </w:rPr>
      </w:r>
      <w:r>
        <w:rPr>
          <w:highlight w:val="none"/>
        </w:rPr>
      </w:r>
    </w:p>
    <w:p>
      <w:pPr>
        <w:spacing w:line="440" w:lineRule="exact"/>
        <w:rPr>
          <w:rFonts w:ascii="微软雅黑" w:hAnsi="微软雅黑" w:cs="微软雅黑"/>
          <w:color w:val="auto"/>
          <w:sz w:val="24"/>
          <w:szCs w:val="24"/>
          <w:highlight w:val="none"/>
        </w:rPr>
        <w:sectPr>
          <w:headerReference w:type="default" r:id="rId12"/>
          <w:footerReference w:type="default" r:id="rId15"/>
          <w:footnotePr/>
          <w:endnotePr/>
          <w:type w:val="nextPage"/>
          <w:pgSz w:w="11906" w:h="16838" w:orient="portrait"/>
          <w:pgMar w:top="1440" w:right="1701" w:bottom="1440" w:left="1701" w:header="851" w:footer="992" w:gutter="0"/>
          <w:cols w:num="1" w:sep="0" w:space="1701" w:equalWidth="1"/>
          <w:docGrid w:linePitch="360"/>
        </w:sectPr>
      </w:pPr>
      <w:r>
        <w:rPr>
          <w:rFonts w:ascii="微软雅黑" w:hAnsi="微软雅黑" w:cs="微软雅黑"/>
          <w:color w:val="auto"/>
          <w:sz w:val="24"/>
          <w:szCs w:val="24"/>
          <w:highlight w:val="none"/>
        </w:rPr>
      </w:r>
      <w:r>
        <w:rPr>
          <w:highlight w:val="none"/>
        </w:rPr>
      </w:r>
      <w:r>
        <w:rPr>
          <w:highlight w:val="none"/>
        </w:rPr>
      </w:r>
    </w:p>
    <w:p>
      <w:pPr>
        <w:pStyle w:val="1090"/>
        <w:rPr>
          <w:rFonts w:hint="eastAsia" w:ascii="微软雅黑" w:hAnsi="微软雅黑" w:cs="微软雅黑"/>
          <w:b/>
          <w:bCs w:val="0"/>
          <w:color w:val="auto"/>
          <w:sz w:val="24"/>
          <w:szCs w:val="24"/>
          <w:highlight w:val="none"/>
        </w:rPr>
      </w:pPr>
      <w:r>
        <w:rPr>
          <w:highlight w:val="none"/>
        </w:rPr>
      </w:r>
      <w:bookmarkStart w:id="281" w:name="_Toc27219"/>
      <w:r>
        <w:rPr>
          <w:highlight w:val="none"/>
        </w:rPr>
      </w:r>
      <w:bookmarkStart w:id="282" w:name="_Toc20895"/>
      <w:r>
        <w:rPr>
          <w:highlight w:val="none"/>
        </w:rPr>
      </w:r>
      <w:bookmarkStart w:id="283" w:name="_Toc7701"/>
      <w:r>
        <w:rPr>
          <w:rFonts w:hint="eastAsia" w:ascii="微软雅黑" w:hAnsi="微软雅黑" w:cs="微软雅黑"/>
          <w:b/>
          <w:bCs w:val="0"/>
          <w:color w:val="auto"/>
          <w:sz w:val="24"/>
          <w:szCs w:val="24"/>
          <w:highlight w:val="none"/>
          <w:lang w:val="en-US" w:eastAsia="zh-CN"/>
        </w:rPr>
        <w:t xml:space="preserve">6</w:t>
      </w:r>
      <w:r>
        <w:rPr>
          <w:rFonts w:hint="eastAsia" w:ascii="微软雅黑" w:hAnsi="微软雅黑" w:cs="微软雅黑"/>
          <w:b/>
          <w:bCs w:val="0"/>
          <w:color w:val="auto"/>
          <w:sz w:val="24"/>
          <w:szCs w:val="24"/>
          <w:highlight w:val="none"/>
        </w:rPr>
        <w:t xml:space="preserve">.项目实施方案</w:t>
      </w:r>
      <w:bookmarkEnd w:id="267"/>
      <w:r>
        <w:rPr>
          <w:highlight w:val="none"/>
        </w:rPr>
      </w:r>
      <w:bookmarkEnd w:id="268"/>
      <w:r>
        <w:rPr>
          <w:highlight w:val="none"/>
        </w:rPr>
      </w:r>
      <w:bookmarkEnd w:id="281"/>
      <w:r>
        <w:rPr>
          <w:highlight w:val="none"/>
        </w:rPr>
      </w:r>
      <w:bookmarkEnd w:id="282"/>
      <w:r>
        <w:rPr>
          <w:highlight w:val="none"/>
        </w:rPr>
      </w:r>
      <w:bookmarkEnd w:id="283"/>
      <w:r>
        <w:rPr>
          <w:highlight w:val="none"/>
        </w:rPr>
      </w:r>
      <w:bookmarkStart w:id="284" w:name="_Toc27939"/>
      <w:r>
        <w:rPr>
          <w:highlight w:val="none"/>
        </w:rPr>
      </w:r>
      <w:bookmarkStart w:id="285" w:name="_Toc1183"/>
      <w:r>
        <w:rPr>
          <w:highlight w:val="none"/>
        </w:rPr>
      </w:r>
      <w:r>
        <w:rPr>
          <w:highlight w:val="none"/>
        </w:rPr>
      </w:r>
    </w:p>
    <w:p>
      <w:pPr>
        <w:pStyle w:val="1090"/>
        <w:rPr>
          <w:rFonts w:hint="eastAsia" w:ascii="微软雅黑" w:hAnsi="微软雅黑" w:cs="微软雅黑"/>
          <w:b/>
          <w:bCs w:val="0"/>
          <w:color w:val="auto"/>
          <w:sz w:val="24"/>
          <w:szCs w:val="24"/>
          <w:highlight w:val="none"/>
        </w:rPr>
      </w:pPr>
      <w:r>
        <w:rPr>
          <w:highlight w:val="none"/>
        </w:rPr>
      </w:r>
      <w:bookmarkStart w:id="286" w:name="_Toc22781"/>
      <w:r>
        <w:rPr>
          <w:highlight w:val="none"/>
        </w:rPr>
      </w:r>
      <w:bookmarkStart w:id="287" w:name="_Toc24270"/>
      <w:r>
        <w:rPr>
          <w:highlight w:val="none"/>
        </w:rPr>
      </w:r>
      <w:bookmarkStart w:id="288" w:name="_Toc31494"/>
      <w:r>
        <w:rPr>
          <w:highlight w:val="none"/>
        </w:rPr>
      </w:r>
      <w:bookmarkStart w:id="289" w:name="_Toc25424"/>
      <w:r>
        <w:rPr>
          <w:rFonts w:hint="eastAsia" w:ascii="微软雅黑" w:hAnsi="微软雅黑" w:cs="微软雅黑"/>
          <w:b/>
          <w:bCs w:val="0"/>
          <w:color w:val="auto"/>
          <w:sz w:val="24"/>
          <w:szCs w:val="24"/>
          <w:highlight w:val="none"/>
          <w:lang w:val="en-US" w:eastAsia="zh-CN"/>
        </w:rPr>
        <w:t xml:space="preserve">7.服务方案</w:t>
      </w:r>
      <w:bookmarkEnd w:id="286"/>
      <w:r>
        <w:rPr>
          <w:highlight w:val="none"/>
        </w:rPr>
      </w:r>
      <w:bookmarkEnd w:id="287"/>
      <w:r>
        <w:rPr>
          <w:highlight w:val="none"/>
        </w:rPr>
      </w:r>
      <w:bookmarkEnd w:id="288"/>
      <w:r>
        <w:rPr>
          <w:highlight w:val="none"/>
        </w:rPr>
      </w:r>
      <w:bookmarkEnd w:id="289"/>
      <w:r>
        <w:rPr>
          <w:highlight w:val="none"/>
        </w:rPr>
      </w:r>
      <w:r>
        <w:rPr>
          <w:highlight w:val="none"/>
        </w:rPr>
      </w:r>
    </w:p>
    <w:p>
      <w:pPr>
        <w:pStyle w:val="1090"/>
        <w:rPr>
          <w:rFonts w:hint="eastAsia" w:ascii="微软雅黑" w:hAnsi="微软雅黑" w:cs="微软雅黑"/>
          <w:b/>
          <w:bCs w:val="0"/>
          <w:color w:val="auto"/>
          <w:sz w:val="24"/>
          <w:szCs w:val="24"/>
          <w:highlight w:val="none"/>
        </w:rPr>
      </w:pPr>
      <w:r>
        <w:rPr>
          <w:highlight w:val="none"/>
        </w:rPr>
      </w:r>
      <w:bookmarkStart w:id="290" w:name="_Toc24680"/>
      <w:r>
        <w:rPr>
          <w:rFonts w:hint="eastAsia" w:ascii="微软雅黑" w:hAnsi="微软雅黑" w:cs="微软雅黑"/>
          <w:b/>
          <w:bCs w:val="0"/>
          <w:color w:val="auto"/>
          <w:sz w:val="24"/>
          <w:szCs w:val="24"/>
          <w:highlight w:val="none"/>
          <w:lang w:val="en-US" w:eastAsia="zh-CN"/>
        </w:rPr>
        <w:t xml:space="preserve">8</w:t>
      </w:r>
      <w:r>
        <w:rPr>
          <w:rFonts w:hint="eastAsia" w:ascii="微软雅黑" w:hAnsi="微软雅黑" w:cs="微软雅黑"/>
          <w:b/>
          <w:bCs w:val="0"/>
          <w:color w:val="auto"/>
          <w:sz w:val="24"/>
          <w:szCs w:val="24"/>
          <w:highlight w:val="none"/>
        </w:rPr>
        <w:t xml:space="preserve">.经营业绩（提供合同复印件）</w:t>
      </w:r>
      <w:bookmarkEnd w:id="284"/>
      <w:r>
        <w:rPr>
          <w:highlight w:val="none"/>
        </w:rPr>
      </w:r>
      <w:bookmarkEnd w:id="285"/>
      <w:r>
        <w:rPr>
          <w:highlight w:val="none"/>
        </w:rPr>
      </w:r>
      <w:bookmarkEnd w:id="290"/>
      <w:r>
        <w:rPr>
          <w:highlight w:val="none"/>
        </w:rPr>
      </w:r>
      <w:r>
        <w:rPr>
          <w:highlight w:val="none"/>
        </w:rPr>
      </w:r>
    </w:p>
    <w:tbl>
      <w:tblPr>
        <w:tblStyle w:val="913"/>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2053"/>
        <w:gridCol w:w="1788"/>
        <w:gridCol w:w="1139"/>
        <w:gridCol w:w="1156"/>
        <w:gridCol w:w="1718"/>
      </w:tblGrid>
      <w:tr>
        <w:trPr>
          <w:trHeight w:val="421"/>
        </w:trPr>
        <w:tc>
          <w:tcPr>
            <w:tcW w:w="365" w:type="dxa"/>
            <w:vAlign w:val="center"/>
            <w:textDirection w:val="lrTb"/>
            <w:noWrap w:val="false"/>
          </w:tcPr>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序号</w:t>
            </w:r>
            <w:r>
              <w:rPr>
                <w:highlight w:val="none"/>
              </w:rPr>
            </w:r>
            <w:r>
              <w:rPr>
                <w:highlight w:val="none"/>
              </w:rPr>
            </w:r>
          </w:p>
        </w:tc>
        <w:tc>
          <w:tcPr>
            <w:tcW w:w="1211" w:type="dxa"/>
            <w:vAlign w:val="center"/>
            <w:textDirection w:val="lrTb"/>
            <w:noWrap w:val="false"/>
          </w:tcPr>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业绩名称</w:t>
            </w:r>
            <w:r>
              <w:rPr>
                <w:highlight w:val="none"/>
              </w:rPr>
            </w:r>
            <w:r>
              <w:rPr>
                <w:highlight w:val="none"/>
              </w:rPr>
            </w:r>
          </w:p>
        </w:tc>
        <w:tc>
          <w:tcPr>
            <w:tcW w:w="1055" w:type="dxa"/>
            <w:vAlign w:val="center"/>
            <w:textDirection w:val="lrTb"/>
            <w:noWrap w:val="false"/>
          </w:tcPr>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采购单位及联系人、联系方式</w:t>
            </w:r>
            <w:r>
              <w:rPr>
                <w:highlight w:val="none"/>
              </w:rPr>
            </w:r>
            <w:r>
              <w:rPr>
                <w:highlight w:val="none"/>
              </w:rPr>
            </w:r>
          </w:p>
        </w:tc>
        <w:tc>
          <w:tcPr>
            <w:tcW w:w="672" w:type="dxa"/>
            <w:vAlign w:val="top"/>
            <w:textDirection w:val="lrTb"/>
            <w:noWrap w:val="false"/>
          </w:tcPr>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签订</w:t>
            </w:r>
            <w:r>
              <w:rPr>
                <w:highlight w:val="none"/>
              </w:rPr>
            </w:r>
            <w:r>
              <w:rPr>
                <w:highlight w:val="none"/>
              </w:rPr>
            </w:r>
          </w:p>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时间</w:t>
            </w:r>
            <w:r>
              <w:rPr>
                <w:highlight w:val="none"/>
              </w:rPr>
            </w:r>
            <w:r>
              <w:rPr>
                <w:highlight w:val="none"/>
              </w:rPr>
            </w:r>
          </w:p>
        </w:tc>
        <w:tc>
          <w:tcPr>
            <w:tcW w:w="682" w:type="dxa"/>
            <w:vAlign w:val="center"/>
            <w:textDirection w:val="lrTb"/>
            <w:noWrap w:val="false"/>
          </w:tcPr>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合同金额</w:t>
            </w:r>
            <w:r>
              <w:rPr>
                <w:highlight w:val="none"/>
              </w:rPr>
            </w:r>
            <w:r>
              <w:rPr>
                <w:highlight w:val="none"/>
              </w:rPr>
            </w:r>
          </w:p>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（万元）</w:t>
            </w:r>
            <w:r>
              <w:rPr>
                <w:highlight w:val="none"/>
              </w:rPr>
            </w:r>
            <w:r>
              <w:rPr>
                <w:highlight w:val="none"/>
              </w:rPr>
            </w:r>
          </w:p>
        </w:tc>
        <w:tc>
          <w:tcPr>
            <w:tcW w:w="1013" w:type="dxa"/>
            <w:vAlign w:val="center"/>
            <w:textDirection w:val="lrTb"/>
            <w:noWrap w:val="false"/>
          </w:tcPr>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证明材料</w:t>
            </w:r>
            <w:r>
              <w:rPr>
                <w:highlight w:val="none"/>
              </w:rPr>
            </w:r>
            <w:r>
              <w:rPr>
                <w:highlight w:val="none"/>
              </w:rPr>
            </w:r>
          </w:p>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（第几页—第几页）</w:t>
            </w:r>
            <w:r>
              <w:rPr>
                <w:highlight w:val="none"/>
              </w:rPr>
            </w:r>
            <w:r>
              <w:rPr>
                <w:highlight w:val="none"/>
              </w:rPr>
            </w:r>
          </w:p>
        </w:tc>
      </w:tr>
      <w:tr>
        <w:trPr>
          <w:trHeight w:val="530"/>
        </w:trPr>
        <w:tc>
          <w:tcPr>
            <w:tcW w:w="365" w:type="dxa"/>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rPr>
                <w:highlight w:val="none"/>
              </w:rPr>
            </w:r>
            <w:r>
              <w:rPr>
                <w:highlight w:val="none"/>
              </w:rPr>
            </w:r>
          </w:p>
        </w:tc>
        <w:tc>
          <w:tcPr>
            <w:tcW w:w="1211" w:type="dxa"/>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rPr>
                <w:highlight w:val="none"/>
              </w:rPr>
            </w:r>
            <w:r>
              <w:rPr>
                <w:highlight w:val="none"/>
              </w:rPr>
            </w:r>
          </w:p>
        </w:tc>
        <w:tc>
          <w:tcPr>
            <w:tcW w:w="1055" w:type="dxa"/>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rPr>
                <w:highlight w:val="none"/>
              </w:rPr>
            </w:r>
            <w:r>
              <w:rPr>
                <w:highlight w:val="none"/>
              </w:rPr>
            </w:r>
          </w:p>
        </w:tc>
        <w:tc>
          <w:tcPr>
            <w:tcW w:w="672" w:type="dxa"/>
            <w:vAlign w:val="top"/>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rPr>
                <w:highlight w:val="none"/>
              </w:rPr>
            </w:r>
            <w:r>
              <w:rPr>
                <w:highlight w:val="none"/>
              </w:rPr>
            </w:r>
          </w:p>
        </w:tc>
        <w:tc>
          <w:tcPr>
            <w:tcW w:w="682" w:type="dxa"/>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rPr>
                <w:highlight w:val="none"/>
              </w:rPr>
            </w:r>
            <w:r>
              <w:rPr>
                <w:highlight w:val="none"/>
              </w:rPr>
            </w:r>
          </w:p>
        </w:tc>
        <w:tc>
          <w:tcPr>
            <w:tcW w:w="1013" w:type="dxa"/>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rPr>
                <w:highlight w:val="none"/>
              </w:rPr>
            </w:r>
            <w:r>
              <w:rPr>
                <w:highlight w:val="none"/>
              </w:rPr>
            </w:r>
          </w:p>
        </w:tc>
      </w:tr>
      <w:tr>
        <w:trPr>
          <w:trHeight w:val="448"/>
        </w:trPr>
        <w:tc>
          <w:tcPr>
            <w:tcW w:w="365" w:type="dxa"/>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rPr>
                <w:highlight w:val="none"/>
              </w:rPr>
            </w:r>
            <w:r>
              <w:rPr>
                <w:highlight w:val="none"/>
              </w:rPr>
            </w:r>
          </w:p>
        </w:tc>
        <w:tc>
          <w:tcPr>
            <w:tcW w:w="1211" w:type="dxa"/>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rPr>
                <w:highlight w:val="none"/>
              </w:rPr>
            </w:r>
            <w:r>
              <w:rPr>
                <w:highlight w:val="none"/>
              </w:rPr>
            </w:r>
          </w:p>
        </w:tc>
        <w:tc>
          <w:tcPr>
            <w:tcW w:w="1055" w:type="dxa"/>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rPr>
                <w:highlight w:val="none"/>
              </w:rPr>
            </w:r>
            <w:r>
              <w:rPr>
                <w:highlight w:val="none"/>
              </w:rPr>
            </w:r>
          </w:p>
        </w:tc>
        <w:tc>
          <w:tcPr>
            <w:tcW w:w="672" w:type="dxa"/>
            <w:vAlign w:val="top"/>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rPr>
                <w:highlight w:val="none"/>
              </w:rPr>
            </w:r>
            <w:r>
              <w:rPr>
                <w:highlight w:val="none"/>
              </w:rPr>
            </w:r>
          </w:p>
        </w:tc>
        <w:tc>
          <w:tcPr>
            <w:tcW w:w="682" w:type="dxa"/>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rPr>
                <w:highlight w:val="none"/>
              </w:rPr>
            </w:r>
            <w:r>
              <w:rPr>
                <w:highlight w:val="none"/>
              </w:rPr>
            </w:r>
          </w:p>
        </w:tc>
        <w:tc>
          <w:tcPr>
            <w:tcW w:w="1013" w:type="dxa"/>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rPr>
                <w:highlight w:val="none"/>
              </w:rPr>
            </w:r>
            <w:r>
              <w:rPr>
                <w:highlight w:val="none"/>
              </w:rPr>
            </w:r>
          </w:p>
        </w:tc>
      </w:tr>
      <w:tr>
        <w:trPr>
          <w:trHeight w:val="417"/>
        </w:trPr>
        <w:tc>
          <w:tcPr>
            <w:tcW w:w="365" w:type="dxa"/>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rPr>
                <w:highlight w:val="none"/>
              </w:rPr>
            </w:r>
            <w:r>
              <w:rPr>
                <w:highlight w:val="none"/>
              </w:rPr>
            </w:r>
          </w:p>
        </w:tc>
        <w:tc>
          <w:tcPr>
            <w:tcW w:w="1211" w:type="dxa"/>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rPr>
                <w:highlight w:val="none"/>
              </w:rPr>
            </w:r>
            <w:r>
              <w:rPr>
                <w:highlight w:val="none"/>
              </w:rPr>
            </w:r>
          </w:p>
        </w:tc>
        <w:tc>
          <w:tcPr>
            <w:tcW w:w="1055" w:type="dxa"/>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rPr>
                <w:highlight w:val="none"/>
              </w:rPr>
            </w:r>
            <w:r>
              <w:rPr>
                <w:highlight w:val="none"/>
              </w:rPr>
            </w:r>
          </w:p>
        </w:tc>
        <w:tc>
          <w:tcPr>
            <w:tcW w:w="672" w:type="dxa"/>
            <w:vAlign w:val="top"/>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rPr>
                <w:highlight w:val="none"/>
              </w:rPr>
            </w:r>
            <w:r>
              <w:rPr>
                <w:highlight w:val="none"/>
              </w:rPr>
            </w:r>
          </w:p>
        </w:tc>
        <w:tc>
          <w:tcPr>
            <w:tcW w:w="682" w:type="dxa"/>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rPr>
                <w:highlight w:val="none"/>
              </w:rPr>
            </w:r>
            <w:r>
              <w:rPr>
                <w:highlight w:val="none"/>
              </w:rPr>
            </w:r>
          </w:p>
        </w:tc>
        <w:tc>
          <w:tcPr>
            <w:tcW w:w="1013" w:type="dxa"/>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rPr>
                <w:highlight w:val="none"/>
              </w:rPr>
            </w:r>
            <w:r>
              <w:rPr>
                <w:highlight w:val="none"/>
              </w:rPr>
            </w:r>
          </w:p>
        </w:tc>
      </w:tr>
      <w:tr>
        <w:trPr>
          <w:trHeight w:val="417"/>
        </w:trPr>
        <w:tc>
          <w:tcPr>
            <w:tcW w:w="365" w:type="dxa"/>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rPr>
                <w:highlight w:val="none"/>
              </w:rPr>
            </w:r>
            <w:r>
              <w:rPr>
                <w:highlight w:val="none"/>
              </w:rPr>
            </w:r>
          </w:p>
        </w:tc>
        <w:tc>
          <w:tcPr>
            <w:tcW w:w="1211" w:type="dxa"/>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rPr>
                <w:highlight w:val="none"/>
              </w:rPr>
            </w:r>
            <w:r>
              <w:rPr>
                <w:highlight w:val="none"/>
              </w:rPr>
            </w:r>
          </w:p>
        </w:tc>
        <w:tc>
          <w:tcPr>
            <w:tcW w:w="1055" w:type="dxa"/>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rPr>
                <w:highlight w:val="none"/>
              </w:rPr>
            </w:r>
            <w:r>
              <w:rPr>
                <w:highlight w:val="none"/>
              </w:rPr>
            </w:r>
          </w:p>
        </w:tc>
        <w:tc>
          <w:tcPr>
            <w:tcW w:w="672" w:type="dxa"/>
            <w:vAlign w:val="top"/>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rPr>
                <w:highlight w:val="none"/>
              </w:rPr>
            </w:r>
            <w:r>
              <w:rPr>
                <w:highlight w:val="none"/>
              </w:rPr>
            </w:r>
          </w:p>
        </w:tc>
        <w:tc>
          <w:tcPr>
            <w:tcW w:w="682" w:type="dxa"/>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rPr>
                <w:highlight w:val="none"/>
              </w:rPr>
            </w:r>
            <w:r>
              <w:rPr>
                <w:highlight w:val="none"/>
              </w:rPr>
            </w:r>
          </w:p>
        </w:tc>
        <w:tc>
          <w:tcPr>
            <w:tcW w:w="1013" w:type="dxa"/>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rPr>
                <w:highlight w:val="none"/>
              </w:rPr>
            </w:r>
            <w:r>
              <w:rPr>
                <w:highlight w:val="none"/>
              </w:rPr>
            </w:r>
          </w:p>
        </w:tc>
      </w:tr>
      <w:tr>
        <w:trPr>
          <w:trHeight w:val="417"/>
        </w:trPr>
        <w:tc>
          <w:tcPr>
            <w:tcW w:w="365" w:type="dxa"/>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rPr>
                <w:highlight w:val="none"/>
              </w:rPr>
            </w:r>
            <w:r>
              <w:rPr>
                <w:highlight w:val="none"/>
              </w:rPr>
            </w:r>
          </w:p>
        </w:tc>
        <w:tc>
          <w:tcPr>
            <w:tcW w:w="1211" w:type="dxa"/>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rPr>
                <w:highlight w:val="none"/>
              </w:rPr>
            </w:r>
            <w:r>
              <w:rPr>
                <w:highlight w:val="none"/>
              </w:rPr>
            </w:r>
          </w:p>
        </w:tc>
        <w:tc>
          <w:tcPr>
            <w:tcW w:w="1055" w:type="dxa"/>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rPr>
                <w:highlight w:val="none"/>
              </w:rPr>
            </w:r>
            <w:r>
              <w:rPr>
                <w:highlight w:val="none"/>
              </w:rPr>
            </w:r>
          </w:p>
        </w:tc>
        <w:tc>
          <w:tcPr>
            <w:tcW w:w="672" w:type="dxa"/>
            <w:vAlign w:val="top"/>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rPr>
                <w:highlight w:val="none"/>
              </w:rPr>
            </w:r>
            <w:r>
              <w:rPr>
                <w:highlight w:val="none"/>
              </w:rPr>
            </w:r>
          </w:p>
        </w:tc>
        <w:tc>
          <w:tcPr>
            <w:tcW w:w="682" w:type="dxa"/>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rPr>
                <w:highlight w:val="none"/>
              </w:rPr>
            </w:r>
            <w:r>
              <w:rPr>
                <w:highlight w:val="none"/>
              </w:rPr>
            </w:r>
          </w:p>
        </w:tc>
        <w:tc>
          <w:tcPr>
            <w:tcW w:w="1013" w:type="dxa"/>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rPr>
                <w:highlight w:val="none"/>
              </w:rPr>
            </w:r>
            <w:r>
              <w:rPr>
                <w:highlight w:val="none"/>
              </w:rPr>
            </w:r>
          </w:p>
        </w:tc>
      </w:tr>
    </w:tbl>
    <w:p>
      <w:pPr>
        <w:spacing w:line="420" w:lineRule="exact"/>
        <w:rPr>
          <w:rFonts w:hint="eastAsia" w:ascii="微软雅黑" w:hAnsi="微软雅黑" w:cs="微软雅黑"/>
          <w:color w:val="auto"/>
          <w:sz w:val="24"/>
          <w:szCs w:val="24"/>
          <w:highlight w:val="none"/>
        </w:rPr>
      </w:pPr>
      <w:r>
        <w:rPr>
          <w:rFonts w:hint="eastAsia" w:ascii="微软雅黑" w:hAnsi="微软雅黑" w:cs="微软雅黑"/>
          <w:color w:val="auto"/>
          <w:sz w:val="24"/>
          <w:szCs w:val="24"/>
          <w:highlight w:val="none"/>
        </w:rPr>
      </w:r>
      <w:r>
        <w:rPr>
          <w:highlight w:val="none"/>
        </w:rPr>
      </w:r>
      <w:r>
        <w:rPr>
          <w:highlight w:val="none"/>
        </w:rPr>
      </w:r>
    </w:p>
    <w:p>
      <w:pPr>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注：</w:t>
      </w:r>
      <w:r>
        <w:rPr>
          <w:rFonts w:hint="eastAsia" w:ascii="微软雅黑" w:hAnsi="微软雅黑" w:cs="微软雅黑"/>
          <w:color w:val="auto"/>
          <w:sz w:val="18"/>
          <w:szCs w:val="18"/>
          <w:highlight w:val="none"/>
        </w:rPr>
        <w:fldChar w:fldCharType="begin"/>
      </w:r>
      <w:r>
        <w:rPr>
          <w:rFonts w:hint="eastAsia" w:ascii="微软雅黑" w:hAnsi="微软雅黑" w:cs="微软雅黑"/>
          <w:color w:val="auto"/>
          <w:sz w:val="18"/>
          <w:szCs w:val="18"/>
          <w:highlight w:val="none"/>
        </w:rPr>
        <w:instrText xml:space="preserve">= 1 \* GB3</w:instrText>
      </w:r>
      <w:r>
        <w:rPr>
          <w:rFonts w:hint="eastAsia" w:ascii="微软雅黑" w:hAnsi="微软雅黑" w:cs="微软雅黑"/>
          <w:color w:val="auto"/>
          <w:sz w:val="18"/>
          <w:szCs w:val="18"/>
          <w:highlight w:val="none"/>
        </w:rPr>
        <w:fldChar w:fldCharType="separate"/>
      </w:r>
      <w:r>
        <w:rPr>
          <w:rFonts w:hint="eastAsia" w:ascii="微软雅黑" w:hAnsi="微软雅黑" w:cs="微软雅黑"/>
          <w:color w:val="auto"/>
          <w:sz w:val="18"/>
          <w:szCs w:val="18"/>
          <w:highlight w:val="none"/>
        </w:rPr>
        <w:t xml:space="preserve">①</w:t>
      </w:r>
      <w:r>
        <w:rPr>
          <w:rFonts w:hint="eastAsia" w:ascii="微软雅黑" w:hAnsi="微软雅黑" w:cs="微软雅黑"/>
          <w:color w:val="auto"/>
          <w:sz w:val="18"/>
          <w:szCs w:val="18"/>
          <w:highlight w:val="none"/>
        </w:rPr>
        <w:fldChar w:fldCharType="end"/>
      </w:r>
      <w:r>
        <w:rPr>
          <w:rFonts w:hint="eastAsia" w:ascii="微软雅黑" w:hAnsi="微软雅黑" w:cs="微软雅黑"/>
          <w:color w:val="auto"/>
          <w:sz w:val="18"/>
          <w:szCs w:val="18"/>
          <w:highlight w:val="none"/>
        </w:rPr>
        <w:t xml:space="preserve">此表为表样，须填写完整，行数可自行添加。</w:t>
      </w:r>
      <w:r>
        <w:rPr>
          <w:highlight w:val="none"/>
        </w:rPr>
      </w:r>
      <w:r>
        <w:rPr>
          <w:highlight w:val="none"/>
        </w:rPr>
      </w:r>
    </w:p>
    <w:p>
      <w:pPr>
        <w:ind w:firstLine="408"/>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fldChar w:fldCharType="begin"/>
      </w:r>
      <w:r>
        <w:rPr>
          <w:rFonts w:hint="eastAsia" w:ascii="微软雅黑" w:hAnsi="微软雅黑" w:cs="微软雅黑"/>
          <w:color w:val="auto"/>
          <w:sz w:val="18"/>
          <w:szCs w:val="18"/>
          <w:highlight w:val="none"/>
        </w:rPr>
        <w:instrText xml:space="preserve">= 2 \* GB3</w:instrText>
      </w:r>
      <w:r>
        <w:rPr>
          <w:rFonts w:hint="eastAsia" w:ascii="微软雅黑" w:hAnsi="微软雅黑" w:cs="微软雅黑"/>
          <w:color w:val="auto"/>
          <w:sz w:val="18"/>
          <w:szCs w:val="18"/>
          <w:highlight w:val="none"/>
        </w:rPr>
        <w:fldChar w:fldCharType="separate"/>
      </w:r>
      <w:r>
        <w:rPr>
          <w:rFonts w:hint="eastAsia" w:ascii="微软雅黑" w:hAnsi="微软雅黑" w:cs="微软雅黑"/>
          <w:color w:val="auto"/>
          <w:sz w:val="18"/>
          <w:szCs w:val="18"/>
          <w:highlight w:val="none"/>
        </w:rPr>
        <w:t xml:space="preserve">②</w:t>
      </w:r>
      <w:r>
        <w:rPr>
          <w:rFonts w:hint="eastAsia" w:ascii="微软雅黑" w:hAnsi="微软雅黑" w:cs="微软雅黑"/>
          <w:color w:val="auto"/>
          <w:sz w:val="18"/>
          <w:szCs w:val="18"/>
          <w:highlight w:val="none"/>
        </w:rPr>
        <w:fldChar w:fldCharType="end"/>
      </w:r>
      <w:r>
        <w:rPr>
          <w:rFonts w:hint="eastAsia" w:ascii="微软雅黑" w:hAnsi="微软雅黑" w:cs="微软雅黑"/>
          <w:color w:val="auto"/>
          <w:sz w:val="18"/>
          <w:szCs w:val="18"/>
          <w:highlight w:val="none"/>
        </w:rPr>
        <w:t xml:space="preserve">投标单位所提供的经营业绩列入上表中。评委将依据每个经营业绩所附证明材料的有效性判断该业绩有效性。</w:t>
      </w:r>
      <w:r>
        <w:rPr>
          <w:highlight w:val="none"/>
        </w:rPr>
      </w:r>
      <w:r>
        <w:rPr>
          <w:highlight w:val="none"/>
        </w:rPr>
      </w:r>
    </w:p>
    <w:p>
      <w:pPr>
        <w:ind w:firstLine="360"/>
        <w:spacing w:before="19" w:line="420" w:lineRule="exact"/>
        <w:widowControl/>
        <w:rPr>
          <w:rFonts w:hint="eastAsia" w:ascii="微软雅黑" w:hAnsi="微软雅黑" w:cs="微软雅黑"/>
          <w:b/>
          <w:color w:val="auto"/>
          <w:szCs w:val="21"/>
          <w:highlight w:val="none"/>
        </w:rPr>
      </w:pPr>
      <w:r>
        <w:rPr>
          <w:rFonts w:hint="eastAsia" w:ascii="微软雅黑" w:hAnsi="微软雅黑" w:cs="微软雅黑"/>
          <w:color w:val="auto"/>
          <w:sz w:val="18"/>
          <w:szCs w:val="18"/>
          <w:highlight w:val="none"/>
        </w:rPr>
        <w:t xml:space="preserve"> </w:t>
      </w:r>
      <w:r>
        <w:rPr>
          <w:rFonts w:hint="eastAsia" w:ascii="微软雅黑" w:hAnsi="微软雅黑" w:cs="微软雅黑"/>
          <w:b/>
          <w:i/>
          <w:iCs/>
          <w:color w:val="auto"/>
          <w:sz w:val="24"/>
          <w:szCs w:val="24"/>
          <w:highlight w:val="none"/>
          <w:u w:val="single"/>
        </w:rPr>
        <w:t xml:space="preserve">注： 1－</w:t>
      </w:r>
      <w:r>
        <w:rPr>
          <w:rFonts w:hint="eastAsia" w:ascii="微软雅黑" w:hAnsi="微软雅黑" w:cs="微软雅黑"/>
          <w:b/>
          <w:i/>
          <w:iCs/>
          <w:color w:val="auto"/>
          <w:sz w:val="24"/>
          <w:szCs w:val="24"/>
          <w:highlight w:val="none"/>
          <w:u w:val="single"/>
          <w:lang w:val="en-US" w:eastAsia="zh-CN"/>
        </w:rPr>
        <w:t xml:space="preserve">5</w:t>
      </w:r>
      <w:r>
        <w:rPr>
          <w:rFonts w:hint="eastAsia" w:ascii="微软雅黑" w:hAnsi="微软雅黑" w:cs="微软雅黑"/>
          <w:b/>
          <w:i/>
          <w:iCs/>
          <w:color w:val="auto"/>
          <w:sz w:val="24"/>
          <w:szCs w:val="24"/>
          <w:highlight w:val="none"/>
          <w:u w:val="single"/>
        </w:rPr>
        <w:t xml:space="preserve">项为必</w:t>
      </w:r>
      <w:r>
        <w:rPr>
          <w:rFonts w:hint="eastAsia" w:ascii="微软雅黑" w:hAnsi="微软雅黑" w:cs="微软雅黑"/>
          <w:b/>
          <w:i/>
          <w:iCs/>
          <w:color w:val="auto"/>
          <w:sz w:val="24"/>
          <w:szCs w:val="24"/>
          <w:highlight w:val="none"/>
          <w:u w:val="single"/>
        </w:rPr>
        <w:t xml:space="preserve">须提供的内容，未提供或未按要求提供将不能通过符合性审查。</w:t>
      </w:r>
      <w:r>
        <w:rPr>
          <w:highlight w:val="none"/>
        </w:rPr>
      </w:r>
      <w:r>
        <w:rPr>
          <w:highlight w:val="none"/>
        </w:rPr>
      </w:r>
    </w:p>
    <w:p>
      <w:pPr>
        <w:pStyle w:val="1093"/>
        <w:rPr>
          <w:rFonts w:hint="eastAsia" w:ascii="微软雅黑" w:hAnsi="微软雅黑" w:cs="微软雅黑"/>
          <w:color w:val="auto"/>
          <w:highlight w:val="none"/>
        </w:rPr>
      </w:pPr>
      <w:r>
        <w:rPr>
          <w:highlight w:val="none"/>
        </w:rPr>
      </w:r>
      <w:bookmarkStart w:id="291" w:name="__x000F_二、资格证明文件"/>
      <w:r>
        <w:rPr>
          <w:rFonts w:hint="eastAsia" w:ascii="微软雅黑" w:hAnsi="微软雅黑" w:cs="微软雅黑"/>
          <w:color w:val="auto"/>
          <w:highlight w:val="none"/>
        </w:rPr>
        <w:br w:type="page" w:clear="all"/>
      </w:r>
      <w:bookmarkEnd w:id="291"/>
      <w:r>
        <w:rPr>
          <w:highlight w:val="none"/>
        </w:rPr>
      </w:r>
      <w:bookmarkStart w:id="292" w:name="_Toc3764"/>
      <w:r>
        <w:rPr>
          <w:highlight w:val="none"/>
        </w:rPr>
      </w:r>
      <w:bookmarkStart w:id="293" w:name="_Toc3181"/>
      <w:r>
        <w:rPr>
          <w:highlight w:val="none"/>
        </w:rPr>
      </w:r>
      <w:bookmarkStart w:id="294" w:name="_Toc7939"/>
      <w:r>
        <w:rPr>
          <w:highlight w:val="none"/>
        </w:rPr>
      </w:r>
      <w:bookmarkStart w:id="295" w:name="_Toc1095"/>
      <w:r>
        <w:rPr>
          <w:rFonts w:hint="eastAsia" w:ascii="微软雅黑" w:hAnsi="微软雅黑" w:cs="微软雅黑"/>
          <w:color w:val="auto"/>
          <w:highlight w:val="none"/>
        </w:rPr>
        <w:t xml:space="preserve">二、资格证明文件格式</w:t>
      </w:r>
      <w:bookmarkEnd w:id="292"/>
      <w:r>
        <w:rPr>
          <w:highlight w:val="none"/>
        </w:rPr>
      </w:r>
      <w:bookmarkEnd w:id="293"/>
      <w:r>
        <w:rPr>
          <w:highlight w:val="none"/>
        </w:rPr>
      </w:r>
      <w:bookmarkEnd w:id="294"/>
      <w:r>
        <w:rPr>
          <w:highlight w:val="none"/>
        </w:rPr>
      </w:r>
      <w:bookmarkEnd w:id="295"/>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highlight w:val="none"/>
        </w:rPr>
      </w:r>
      <w:bookmarkStart w:id="296" w:name="_Toc15819"/>
      <w:r>
        <w:rPr>
          <w:highlight w:val="none"/>
        </w:rPr>
      </w:r>
      <w:bookmarkStart w:id="297" w:name="_Toc16421"/>
      <w:r>
        <w:rPr>
          <w:rFonts w:hint="eastAsia" w:ascii="微软雅黑" w:hAnsi="微软雅黑" w:cs="微软雅黑"/>
          <w:color w:val="auto"/>
          <w:szCs w:val="21"/>
          <w:highlight w:val="none"/>
        </w:rPr>
        <w:t xml:space="preserve">1.1具有独立承担民事责任的能力（提供法人或者其他组织的营业执照复印件）；</w:t>
      </w:r>
      <w:r>
        <w:rPr>
          <w:highlight w:val="none"/>
        </w:rPr>
      </w:r>
      <w:r>
        <w:rPr>
          <w:highlight w:val="none"/>
        </w:rPr>
      </w:r>
    </w:p>
    <w:p>
      <w:pPr>
        <w:ind w:firstLine="420"/>
        <w:spacing w:line="420" w:lineRule="exact"/>
        <w:rPr>
          <w:rFonts w:ascii="微软雅黑" w:hAnsi="微软雅黑" w:cs="微软雅黑"/>
          <w:color w:val="auto"/>
          <w:szCs w:val="21"/>
          <w:highlight w:val="none"/>
        </w:rPr>
      </w:pPr>
      <w:r>
        <w:rPr>
          <w:rFonts w:hint="eastAsia" w:ascii="微软雅黑" w:hAnsi="微软雅黑" w:cs="微软雅黑"/>
          <w:color w:val="auto"/>
          <w:szCs w:val="21"/>
          <w:highlight w:val="none"/>
        </w:rPr>
        <w:br w:type="page" w:clear="all"/>
      </w:r>
      <w:r>
        <w:rPr>
          <w:rFonts w:hint="eastAsia" w:ascii="微软雅黑" w:hAnsi="微软雅黑" w:cs="微软雅黑"/>
          <w:color w:val="auto"/>
          <w:szCs w:val="21"/>
          <w:highlight w:val="none"/>
        </w:rPr>
        <w:t xml:space="preserve">1.2具有良好的商业信誉和健全的财务会计制度，提供202</w:t>
      </w:r>
      <w:r>
        <w:rPr>
          <w:rFonts w:hint="eastAsia" w:ascii="微软雅黑" w:hAnsi="微软雅黑" w:cs="微软雅黑"/>
          <w:color w:val="auto"/>
          <w:szCs w:val="21"/>
          <w:highlight w:val="none"/>
          <w:lang w:val="en-US" w:eastAsia="zh-CN"/>
        </w:rPr>
        <w:t xml:space="preserve">5</w:t>
      </w:r>
      <w:r>
        <w:rPr>
          <w:rFonts w:hint="eastAsia" w:ascii="微软雅黑" w:hAnsi="微软雅黑" w:cs="微软雅黑"/>
          <w:color w:val="auto"/>
          <w:szCs w:val="21"/>
          <w:highlight w:val="none"/>
        </w:rPr>
        <w:t xml:space="preserve">年</w:t>
      </w:r>
      <w:r>
        <w:rPr>
          <w:rFonts w:hint="eastAsia" w:ascii="微软雅黑" w:hAnsi="微软雅黑" w:cs="微软雅黑"/>
          <w:color w:val="auto"/>
          <w:szCs w:val="21"/>
          <w:highlight w:val="none"/>
          <w:lang w:val="en-US" w:eastAsia="zh-CN"/>
        </w:rPr>
        <w:t xml:space="preserve">9</w:t>
      </w:r>
      <w:r>
        <w:rPr>
          <w:rFonts w:hint="eastAsia" w:ascii="微软雅黑" w:hAnsi="微软雅黑" w:cs="微软雅黑"/>
          <w:color w:val="auto"/>
          <w:szCs w:val="21"/>
          <w:highlight w:val="none"/>
        </w:rPr>
        <w:t xml:space="preserve">月至投标截止时间前任意一月份的财务状况报告（至少包括资产负债表和利润表），或其银行出具的资信证书（复印件）</w:t>
      </w:r>
      <w:r>
        <w:rPr>
          <w:rFonts w:hint="eastAsia" w:ascii="微软雅黑" w:hAnsi="微软雅黑" w:cs="微软雅黑"/>
          <w:color w:val="auto"/>
          <w:szCs w:val="21"/>
          <w:highlight w:val="none"/>
        </w:rPr>
        <w:t xml:space="preserve">，或</w:t>
      </w:r>
      <w:r>
        <w:rPr>
          <w:rFonts w:hint="eastAsia" w:ascii="微软雅黑" w:hAnsi="微软雅黑" w:cs="微软雅黑"/>
          <w:color w:val="auto"/>
          <w:szCs w:val="21"/>
          <w:highlight w:val="none"/>
          <w:lang w:val="en-US" w:eastAsia="zh-CN"/>
        </w:rPr>
        <w:t xml:space="preserve">2025</w:t>
      </w:r>
      <w:r>
        <w:rPr>
          <w:rFonts w:hint="eastAsia" w:ascii="微软雅黑" w:hAnsi="微软雅黑" w:cs="微软雅黑"/>
          <w:color w:val="auto"/>
          <w:szCs w:val="21"/>
          <w:highlight w:val="none"/>
        </w:rPr>
        <w:t xml:space="preserve">年度审计报告</w:t>
      </w:r>
      <w:r>
        <w:rPr>
          <w:rFonts w:hint="eastAsia" w:ascii="微软雅黑" w:hAnsi="微软雅黑" w:cs="微软雅黑"/>
          <w:b/>
          <w:bCs/>
          <w:color w:val="auto"/>
          <w:szCs w:val="21"/>
          <w:highlight w:val="none"/>
        </w:rPr>
        <w:t xml:space="preserve">（包括报告及报告中所附的完整内容，并由注册会计师签名、盖章以及会计师事务所盖章）</w:t>
      </w:r>
      <w:r>
        <w:rPr>
          <w:rFonts w:hint="eastAsia" w:ascii="微软雅黑" w:hAnsi="微软雅黑" w:cs="微软雅黑"/>
          <w:color w:val="auto"/>
          <w:szCs w:val="21"/>
          <w:highlight w:val="none"/>
        </w:rPr>
        <w:t xml:space="preserve">，或银行出具的资信证明，</w:t>
      </w:r>
      <w:r>
        <w:rPr>
          <w:rFonts w:hint="eastAsia" w:ascii="微软雅黑" w:hAnsi="微软雅黑" w:cs="微软雅黑"/>
          <w:b/>
          <w:bCs/>
          <w:color w:val="auto"/>
          <w:szCs w:val="21"/>
          <w:highlight w:val="none"/>
        </w:rPr>
        <w:t xml:space="preserve">或</w:t>
      </w:r>
      <w:r>
        <w:rPr>
          <w:rFonts w:hint="eastAsia" w:ascii="微软雅黑" w:hAnsi="微软雅黑" w:cs="微软雅黑"/>
          <w:color w:val="auto"/>
          <w:szCs w:val="21"/>
          <w:highlight w:val="none"/>
        </w:rPr>
        <w:t xml:space="preserve">财政部门认可的专业担保机构出具的投标担保函）；</w:t>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（法人或者其他组织成立未满一年的可以不提供）</w:t>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br w:type="page" w:clear="all"/>
      </w:r>
      <w:r>
        <w:rPr>
          <w:rFonts w:hint="eastAsia" w:ascii="微软雅黑" w:hAnsi="微软雅黑" w:cs="微软雅黑"/>
          <w:color w:val="auto"/>
          <w:szCs w:val="21"/>
          <w:highlight w:val="none"/>
        </w:rPr>
        <w:t xml:space="preserve">1.3具有履行合同所必需的设备和专业技术能力（根据项目需求提供履行合同所必需的设备和专业技术能力的证明材料或承诺函）；</w:t>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br w:type="page" w:clear="all"/>
      </w:r>
      <w:r>
        <w:rPr>
          <w:rFonts w:hint="eastAsia" w:ascii="微软雅黑" w:hAnsi="微软雅黑" w:cs="微软雅黑"/>
          <w:color w:val="auto"/>
          <w:szCs w:val="21"/>
          <w:highlight w:val="none"/>
        </w:rPr>
        <w:t xml:space="preserve">1.4有依法缴纳税收</w:t>
      </w:r>
      <w:r>
        <w:rPr>
          <w:rFonts w:hint="eastAsia" w:ascii="微软雅黑" w:hAnsi="微软雅黑" w:cs="微软雅黑"/>
          <w:b/>
          <w:bCs/>
          <w:color w:val="auto"/>
          <w:szCs w:val="21"/>
          <w:highlight w:val="none"/>
        </w:rPr>
        <w:t xml:space="preserve">和</w:t>
      </w:r>
      <w:r>
        <w:rPr>
          <w:rFonts w:hint="eastAsia" w:ascii="微软雅黑" w:hAnsi="微软雅黑" w:cs="微软雅黑"/>
          <w:color w:val="auto"/>
          <w:szCs w:val="21"/>
          <w:highlight w:val="none"/>
        </w:rPr>
        <w:t xml:space="preserve">社会保障资金的良好记录</w:t>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1.4.1有依法缴纳税收的良好记录（提供202</w:t>
      </w:r>
      <w:r>
        <w:rPr>
          <w:rFonts w:hint="eastAsia" w:ascii="微软雅黑" w:hAnsi="微软雅黑" w:cs="微软雅黑"/>
          <w:color w:val="auto"/>
          <w:szCs w:val="21"/>
          <w:highlight w:val="none"/>
          <w:lang w:val="en-US" w:eastAsia="zh-CN"/>
        </w:rPr>
        <w:t xml:space="preserve">5</w:t>
      </w:r>
      <w:r>
        <w:rPr>
          <w:rFonts w:hint="eastAsia" w:ascii="微软雅黑" w:hAnsi="微软雅黑" w:cs="微软雅黑"/>
          <w:color w:val="auto"/>
          <w:szCs w:val="21"/>
          <w:highlight w:val="none"/>
        </w:rPr>
        <w:t xml:space="preserve">年</w:t>
      </w:r>
      <w:r>
        <w:rPr>
          <w:rFonts w:hint="eastAsia" w:ascii="微软雅黑" w:hAnsi="微软雅黑" w:cs="微软雅黑"/>
          <w:color w:val="auto"/>
          <w:szCs w:val="21"/>
          <w:highlight w:val="none"/>
          <w:lang w:val="en-US" w:eastAsia="zh-CN"/>
        </w:rPr>
        <w:t xml:space="preserve">9</w:t>
      </w:r>
      <w:r>
        <w:rPr>
          <w:rFonts w:hint="eastAsia" w:ascii="微软雅黑" w:hAnsi="微软雅黑" w:cs="微软雅黑"/>
          <w:color w:val="auto"/>
          <w:szCs w:val="21"/>
          <w:highlight w:val="none"/>
        </w:rPr>
        <w:t xml:space="preserve">月至投标截止时间前任一月份依法缴纳税收的凭据</w:t>
      </w:r>
      <w:r>
        <w:rPr>
          <w:rFonts w:hint="eastAsia" w:ascii="微软雅黑" w:hAnsi="微软雅黑" w:cs="微软雅黑"/>
          <w:b/>
          <w:bCs/>
          <w:color w:val="auto"/>
          <w:szCs w:val="21"/>
          <w:highlight w:val="none"/>
        </w:rPr>
        <w:t xml:space="preserve">（企业代缴的个人所得税除外）</w:t>
      </w:r>
      <w:r>
        <w:rPr>
          <w:rFonts w:hint="eastAsia" w:ascii="微软雅黑" w:hAnsi="微软雅黑" w:cs="微软雅黑"/>
          <w:color w:val="auto"/>
          <w:szCs w:val="21"/>
          <w:highlight w:val="none"/>
        </w:rPr>
        <w:t xml:space="preserve">。依法免税的投标供应商，应提供相应文件证明）；</w:t>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1.4.2有依法缴纳社会保障资金的良好记录（提供202</w:t>
      </w:r>
      <w:r>
        <w:rPr>
          <w:rFonts w:hint="eastAsia" w:ascii="微软雅黑" w:hAnsi="微软雅黑" w:cs="微软雅黑"/>
          <w:color w:val="auto"/>
          <w:szCs w:val="21"/>
          <w:highlight w:val="none"/>
          <w:lang w:val="en-US" w:eastAsia="zh-CN"/>
        </w:rPr>
        <w:t xml:space="preserve">5</w:t>
      </w:r>
      <w:r>
        <w:rPr>
          <w:rFonts w:hint="eastAsia" w:ascii="微软雅黑" w:hAnsi="微软雅黑" w:cs="微软雅黑"/>
          <w:color w:val="auto"/>
          <w:szCs w:val="21"/>
          <w:highlight w:val="none"/>
        </w:rPr>
        <w:t xml:space="preserve">年</w:t>
      </w:r>
      <w:r>
        <w:rPr>
          <w:rFonts w:hint="eastAsia" w:ascii="微软雅黑" w:hAnsi="微软雅黑" w:cs="微软雅黑"/>
          <w:color w:val="auto"/>
          <w:szCs w:val="21"/>
          <w:highlight w:val="none"/>
          <w:lang w:val="en-US" w:eastAsia="zh-CN"/>
        </w:rPr>
        <w:t xml:space="preserve">9</w:t>
      </w:r>
      <w:r>
        <w:rPr>
          <w:rFonts w:hint="eastAsia" w:ascii="微软雅黑" w:hAnsi="微软雅黑" w:cs="微软雅黑"/>
          <w:color w:val="auto"/>
          <w:szCs w:val="21"/>
          <w:highlight w:val="none"/>
        </w:rPr>
        <w:t xml:space="preserve">月至投标截止时间前任一月份依法缴纳社会保险的凭据（专用收据或社会保险的凭据）。依法不需要缴纳社会保障资金的投标供应商，应提供相应文件证明）；</w:t>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br w:type="page" w:clear="all"/>
      </w:r>
      <w:r>
        <w:rPr>
          <w:rFonts w:hint="eastAsia" w:ascii="微软雅黑" w:hAnsi="微软雅黑" w:cs="微软雅黑"/>
          <w:color w:val="auto"/>
          <w:szCs w:val="21"/>
          <w:highlight w:val="none"/>
        </w:rPr>
        <w:t xml:space="preserve">1.5参加本次采购活动前三年内（成立时间不足三年的自成立之日起），在经营活动中没有重大违法记录（提供参加本次采购活动前三年内在经营活动中没有重大违法记录的书面声明）；</w:t>
      </w:r>
      <w:r>
        <w:rPr>
          <w:highlight w:val="none"/>
        </w:rPr>
      </w:r>
      <w:r>
        <w:rPr>
          <w:highlight w:val="none"/>
        </w:rPr>
      </w:r>
    </w:p>
    <w:p>
      <w:pPr>
        <w:jc w:val="center"/>
        <w:spacing w:before="156"/>
        <w:rPr>
          <w:rFonts w:hint="eastAsia" w:ascii="微软雅黑" w:hAnsi="微软雅黑" w:cs="微软雅黑"/>
          <w:b/>
          <w:bCs/>
          <w:color w:val="auto"/>
          <w:sz w:val="24"/>
          <w:szCs w:val="24"/>
          <w:highlight w:val="none"/>
        </w:rPr>
      </w:pPr>
      <w:r>
        <w:rPr>
          <w:rFonts w:hint="eastAsia" w:ascii="微软雅黑" w:hAnsi="微软雅黑" w:cs="微软雅黑"/>
          <w:b/>
          <w:bCs/>
          <w:color w:val="auto"/>
          <w:sz w:val="24"/>
          <w:szCs w:val="24"/>
          <w:highlight w:val="none"/>
        </w:rPr>
        <w:t xml:space="preserve">声  明</w:t>
      </w:r>
      <w:r>
        <w:rPr>
          <w:highlight w:val="none"/>
        </w:rPr>
      </w:r>
      <w:r>
        <w:rPr>
          <w:highlight w:val="none"/>
        </w:rPr>
      </w:r>
    </w:p>
    <w:p>
      <w:pPr>
        <w:ind w:firstLine="420"/>
        <w:spacing w:line="360" w:lineRule="auto"/>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我公司郑重声明：参加本次采购活动前三年内在经营活动中没有重大违法记录。未被国家财政部指定的信用记录查询渠道（“信用中国”网站www.creditchina.gov.cn或</w:t>
      </w:r>
      <w:r>
        <w:rPr>
          <w:rFonts w:hint="eastAsia" w:ascii="微软雅黑" w:hAnsi="微软雅黑" w:cs="微软雅黑"/>
          <w:color w:val="auto"/>
          <w:szCs w:val="21"/>
          <w:highlight w:val="none"/>
          <w:lang w:eastAsia="zh-CN"/>
        </w:rPr>
        <w:t xml:space="preserve">中国政府采购网</w:t>
      </w:r>
      <w:r>
        <w:rPr>
          <w:rFonts w:hint="eastAsia" w:ascii="微软雅黑" w:hAnsi="微软雅黑" w:cs="微软雅黑"/>
          <w:color w:val="auto"/>
          <w:szCs w:val="21"/>
          <w:highlight w:val="none"/>
        </w:rPr>
        <w:t xml:space="preserve">www.ccgp.gov.cn）列入失信被执行人、重大税收违法失信主体、政府采购严重违法失信行为记录名单等严重失信记录名单。</w:t>
      </w:r>
      <w:r>
        <w:rPr>
          <w:highlight w:val="none"/>
        </w:rPr>
      </w:r>
      <w:r>
        <w:rPr>
          <w:highlight w:val="none"/>
        </w:rPr>
      </w:r>
    </w:p>
    <w:p>
      <w:pPr>
        <w:ind w:firstLine="480"/>
        <w:spacing w:line="360" w:lineRule="auto"/>
        <w:rPr>
          <w:rFonts w:hint="eastAsia" w:ascii="微软雅黑" w:hAnsi="微软雅黑" w:cs="微软雅黑"/>
          <w:color w:val="auto"/>
          <w:sz w:val="24"/>
          <w:szCs w:val="24"/>
          <w:highlight w:val="none"/>
        </w:rPr>
      </w:pPr>
      <w:r>
        <w:rPr>
          <w:rFonts w:hint="eastAsia" w:ascii="微软雅黑" w:hAnsi="微软雅黑" w:cs="微软雅黑"/>
          <w:color w:val="auto"/>
          <w:sz w:val="24"/>
          <w:szCs w:val="24"/>
          <w:highlight w:val="none"/>
        </w:rPr>
      </w:r>
      <w:r>
        <w:rPr>
          <w:highlight w:val="none"/>
        </w:rPr>
      </w:r>
      <w:r>
        <w:rPr>
          <w:highlight w:val="none"/>
        </w:rPr>
      </w:r>
    </w:p>
    <w:p>
      <w:pPr>
        <w:spacing w:line="360" w:lineRule="auto"/>
        <w:rPr>
          <w:rFonts w:hint="eastAsia" w:ascii="微软雅黑" w:hAnsi="微软雅黑" w:cs="微软雅黑"/>
          <w:color w:val="auto"/>
          <w:sz w:val="24"/>
          <w:szCs w:val="24"/>
          <w:highlight w:val="none"/>
        </w:rPr>
      </w:pPr>
      <w:r>
        <w:rPr>
          <w:rFonts w:hint="eastAsia" w:ascii="微软雅黑" w:hAnsi="微软雅黑" w:cs="微软雅黑"/>
          <w:color w:val="auto"/>
          <w:sz w:val="24"/>
          <w:szCs w:val="24"/>
          <w:highlight w:val="none"/>
        </w:rPr>
      </w:r>
      <w:r>
        <w:rPr>
          <w:highlight w:val="none"/>
        </w:rPr>
      </w:r>
      <w:r>
        <w:rPr>
          <w:highlight w:val="none"/>
        </w:rPr>
      </w:r>
    </w:p>
    <w:p>
      <w:pPr>
        <w:pStyle w:val="1277"/>
        <w:ind w:left="1260"/>
        <w:rPr>
          <w:rFonts w:hint="eastAsia" w:ascii="微软雅黑" w:hAnsi="微软雅黑" w:cs="微软雅黑"/>
          <w:color w:val="auto"/>
          <w:highlight w:val="none"/>
        </w:rPr>
      </w:pPr>
      <w:r>
        <w:rPr>
          <w:rFonts w:hint="eastAsia" w:ascii="微软雅黑" w:hAnsi="微软雅黑" w:cs="微软雅黑"/>
          <w:color w:val="auto"/>
          <w:highlight w:val="none"/>
        </w:rPr>
      </w:r>
      <w:r>
        <w:rPr>
          <w:highlight w:val="none"/>
        </w:rPr>
      </w:r>
      <w:r>
        <w:rPr>
          <w:highlight w:val="none"/>
        </w:rPr>
      </w:r>
    </w:p>
    <w:p>
      <w:pPr>
        <w:rPr>
          <w:rFonts w:hint="eastAsia" w:ascii="微软雅黑" w:hAnsi="微软雅黑" w:cs="微软雅黑"/>
          <w:color w:val="auto"/>
          <w:highlight w:val="none"/>
        </w:rPr>
      </w:pPr>
      <w:r>
        <w:rPr>
          <w:rFonts w:hint="eastAsia" w:ascii="微软雅黑" w:hAnsi="微软雅黑" w:cs="微软雅黑"/>
          <w:color w:val="auto"/>
          <w:highlight w:val="none"/>
        </w:rPr>
      </w:r>
      <w:r>
        <w:rPr>
          <w:highlight w:val="none"/>
        </w:rPr>
      </w:r>
      <w:r>
        <w:rPr>
          <w:highlight w:val="none"/>
        </w:rPr>
      </w:r>
    </w:p>
    <w:p>
      <w:pPr>
        <w:pStyle w:val="1285"/>
        <w:ind w:firstLine="3990"/>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供应商全称（公章）：</w:t>
      </w:r>
      <w:r>
        <w:rPr>
          <w:highlight w:val="none"/>
        </w:rPr>
      </w:r>
      <w:r>
        <w:rPr>
          <w:highlight w:val="none"/>
        </w:rPr>
      </w:r>
    </w:p>
    <w:p>
      <w:pPr>
        <w:pStyle w:val="1285"/>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                                      法定代表人（或授权代表）签章/签字：</w:t>
      </w:r>
      <w:r>
        <w:rPr>
          <w:highlight w:val="none"/>
        </w:rPr>
      </w:r>
      <w:r>
        <w:rPr>
          <w:highlight w:val="none"/>
        </w:rPr>
      </w:r>
    </w:p>
    <w:p>
      <w:pPr>
        <w:pStyle w:val="1285"/>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                                      日期：</w:t>
      </w:r>
      <w:r>
        <w:rPr>
          <w:highlight w:val="none"/>
        </w:rPr>
      </w:r>
      <w:r>
        <w:rPr>
          <w:highlight w:val="none"/>
        </w:rPr>
      </w:r>
    </w:p>
    <w:p>
      <w:pPr>
        <w:pStyle w:val="1277"/>
        <w:ind w:left="0"/>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rPr>
          <w:highlight w:val="none"/>
        </w:rPr>
      </w:r>
      <w:r>
        <w:rPr>
          <w:highlight w:val="none"/>
        </w:rPr>
      </w:r>
    </w:p>
    <w:p>
      <w:pPr>
        <w:pStyle w:val="1277"/>
        <w:ind w:left="0"/>
        <w:spacing w:line="400" w:lineRule="exact"/>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注：</w:t>
      </w:r>
      <w:r>
        <w:rPr>
          <w:highlight w:val="none"/>
        </w:rPr>
      </w:r>
      <w:r>
        <w:rPr>
          <w:highlight w:val="none"/>
        </w:rPr>
      </w:r>
    </w:p>
    <w:p>
      <w:pPr>
        <w:pStyle w:val="1277"/>
        <w:ind w:left="0"/>
        <w:spacing w:line="400" w:lineRule="exact"/>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lang w:val="en-US" w:eastAsia="zh-CN"/>
        </w:rPr>
        <w:t xml:space="preserve">1.</w:t>
      </w:r>
      <w:r>
        <w:rPr>
          <w:rFonts w:hint="eastAsia" w:ascii="微软雅黑" w:hAnsi="微软雅黑" w:eastAsia="微软雅黑" w:cs="微软雅黑"/>
          <w:b w:val="0"/>
          <w:bCs w:val="0"/>
          <w:color w:val="auto"/>
          <w:sz w:val="21"/>
          <w:szCs w:val="21"/>
          <w:highlight w:val="none"/>
        </w:rPr>
        <w:t xml:space="preserve">重大违法记录是指供应商因违法经营受到刑事处罚或者责令停产停业、吊销许可证或者执   照、较大数额罚款等行政处罚。</w:t>
      </w:r>
      <w:r>
        <w:rPr>
          <w:highlight w:val="none"/>
        </w:rPr>
      </w:r>
      <w:r>
        <w:rPr>
          <w:highlight w:val="none"/>
        </w:rPr>
      </w:r>
    </w:p>
    <w:p>
      <w:pPr>
        <w:pStyle w:val="1277"/>
        <w:ind w:left="0"/>
        <w:spacing w:line="400" w:lineRule="exact"/>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2. 较大数额罚款标准参照财库[2022]3号文规定执行，指的是200万元以上数额。</w:t>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br w:type="page" w:clear="all"/>
      </w:r>
      <w:r>
        <w:rPr>
          <w:rFonts w:hint="eastAsia" w:ascii="微软雅黑" w:hAnsi="微软雅黑" w:cs="微软雅黑"/>
          <w:color w:val="auto"/>
          <w:szCs w:val="21"/>
          <w:highlight w:val="none"/>
        </w:rPr>
        <w:t xml:space="preserve">1.6投标供应商须提供法定代表人授权书原件、法定代表人身份证复印件、授权代表身份证复印件（如果是法定代表人直接参与投标的可以不提供授权书）。</w:t>
      </w:r>
      <w:r>
        <w:rPr>
          <w:highlight w:val="none"/>
        </w:rPr>
      </w:r>
      <w:r>
        <w:rPr>
          <w:highlight w:val="none"/>
        </w:rPr>
      </w:r>
    </w:p>
    <w:p>
      <w:pPr>
        <w:rPr>
          <w:rFonts w:hint="eastAsia"/>
          <w:color w:val="auto"/>
          <w:highlight w:val="none"/>
        </w:rPr>
      </w:pPr>
      <w:r>
        <w:rPr>
          <w:rFonts w:hint="eastAsia"/>
          <w:color w:val="auto"/>
          <w:highlight w:val="none"/>
        </w:rPr>
      </w:r>
      <w:r>
        <w:rPr>
          <w:highlight w:val="none"/>
        </w:rPr>
      </w:r>
      <w:r>
        <w:rPr>
          <w:highlight w:val="none"/>
        </w:rPr>
      </w:r>
    </w:p>
    <w:p>
      <w:pPr>
        <w:pStyle w:val="1274"/>
        <w:jc w:val="center"/>
        <w:rPr>
          <w:rFonts w:hint="eastAsia" w:ascii="微软雅黑" w:hAnsi="微软雅黑" w:cs="微软雅黑"/>
          <w:bCs w:val="0"/>
          <w:color w:val="auto"/>
          <w:szCs w:val="28"/>
          <w:highlight w:val="none"/>
        </w:rPr>
      </w:pPr>
      <w:r>
        <w:rPr>
          <w:highlight w:val="none"/>
        </w:rPr>
      </w:r>
      <w:bookmarkStart w:id="298" w:name="_Toc21386"/>
      <w:r>
        <w:rPr>
          <w:highlight w:val="none"/>
        </w:rPr>
      </w:r>
      <w:bookmarkStart w:id="299" w:name="_Toc25138"/>
      <w:r>
        <w:rPr>
          <w:highlight w:val="none"/>
        </w:rPr>
      </w:r>
      <w:bookmarkStart w:id="300" w:name="_Toc29237"/>
      <w:r>
        <w:rPr>
          <w:highlight w:val="none"/>
        </w:rPr>
      </w:r>
      <w:bookmarkStart w:id="301" w:name="_Toc8288"/>
      <w:r>
        <w:rPr>
          <w:highlight w:val="none"/>
        </w:rPr>
      </w:r>
      <w:bookmarkStart w:id="302" w:name="_Toc20332"/>
      <w:r>
        <w:rPr>
          <w:highlight w:val="none"/>
        </w:rPr>
      </w:r>
      <w:bookmarkStart w:id="303" w:name="_Toc23461"/>
      <w:r>
        <w:rPr>
          <w:rFonts w:hint="eastAsia" w:ascii="微软雅黑" w:hAnsi="微软雅黑" w:cs="微软雅黑"/>
          <w:bCs w:val="0"/>
          <w:color w:val="auto"/>
          <w:szCs w:val="28"/>
          <w:highlight w:val="none"/>
        </w:rPr>
        <w:t xml:space="preserve">法人授权委托书</w:t>
      </w:r>
      <w:bookmarkEnd w:id="298"/>
      <w:r>
        <w:rPr>
          <w:highlight w:val="none"/>
        </w:rPr>
      </w:r>
      <w:bookmarkEnd w:id="299"/>
      <w:r>
        <w:rPr>
          <w:highlight w:val="none"/>
        </w:rPr>
      </w:r>
      <w:bookmarkEnd w:id="300"/>
      <w:r>
        <w:rPr>
          <w:highlight w:val="none"/>
        </w:rPr>
      </w:r>
      <w:bookmarkEnd w:id="301"/>
      <w:r>
        <w:rPr>
          <w:highlight w:val="none"/>
        </w:rPr>
      </w:r>
      <w:bookmarkEnd w:id="302"/>
      <w:r>
        <w:rPr>
          <w:highlight w:val="none"/>
        </w:rPr>
      </w:r>
      <w:bookmarkEnd w:id="303"/>
      <w:r>
        <w:rPr>
          <w:highlight w:val="none"/>
        </w:rPr>
      </w:r>
      <w:r>
        <w:rPr>
          <w:highlight w:val="none"/>
        </w:rP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lang w:eastAsia="zh-CN"/>
        </w:rPr>
        <w:t xml:space="preserve">江苏中际招标代理有限公司</w:t>
      </w:r>
      <w:r>
        <w:rPr>
          <w:rFonts w:hint="eastAsia" w:ascii="微软雅黑" w:hAnsi="微软雅黑" w:cs="微软雅黑"/>
          <w:color w:val="auto"/>
          <w:highlight w:val="none"/>
        </w:rPr>
        <w:t xml:space="preserve">：</w:t>
      </w:r>
      <w:r>
        <w:rPr>
          <w:highlight w:val="none"/>
        </w:rPr>
      </w:r>
      <w:r>
        <w:rPr>
          <w:highlight w:val="none"/>
        </w:rP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    本授权书宣告：</w:t>
      </w:r>
      <w:r>
        <w:rPr>
          <w:highlight w:val="none"/>
        </w:rPr>
      </w:r>
      <w:r>
        <w:rPr>
          <w:highlight w:val="none"/>
        </w:rP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委托单位：</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w:t>
      </w:r>
      <w:r>
        <w:rPr>
          <w:highlight w:val="none"/>
        </w:rPr>
      </w:r>
      <w:r>
        <w:rPr>
          <w:highlight w:val="none"/>
        </w:rP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地    址：</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法定代表人： </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w:t>
      </w:r>
      <w:r>
        <w:rPr>
          <w:highlight w:val="none"/>
        </w:rPr>
      </w:r>
      <w:r>
        <w:rPr>
          <w:highlight w:val="none"/>
        </w:rPr>
      </w:r>
    </w:p>
    <w:p>
      <w:pPr>
        <w:ind w:firstLine="420"/>
        <w:spacing w:line="440" w:lineRule="exact"/>
        <w:rPr>
          <w:rFonts w:hint="eastAsia" w:ascii="微软雅黑" w:hAnsi="微软雅黑" w:cs="微软雅黑"/>
          <w:color w:val="auto"/>
          <w:highlight w:val="none"/>
          <w:u w:val="single"/>
        </w:rPr>
      </w:pPr>
      <w:r>
        <w:rPr>
          <w:rFonts w:hint="eastAsia" w:ascii="微软雅黑" w:hAnsi="微软雅黑" w:cs="微软雅黑"/>
          <w:color w:val="auto"/>
          <w:highlight w:val="none"/>
        </w:rPr>
        <w:t xml:space="preserve">受托人：姓名</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性别：</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出生日期：</w:t>
      </w:r>
      <w:r>
        <w:rPr>
          <w:rFonts w:hint="eastAsia" w:ascii="微软雅黑" w:hAnsi="微软雅黑" w:cs="微软雅黑"/>
          <w:color w:val="auto"/>
          <w:highlight w:val="none"/>
          <w:u w:val="single"/>
        </w:rPr>
        <w:t xml:space="preserve">    年    月   日</w:t>
      </w:r>
      <w:r>
        <w:rPr>
          <w:highlight w:val="none"/>
        </w:rPr>
      </w:r>
      <w:r>
        <w:rPr>
          <w:highlight w:val="none"/>
        </w:rPr>
      </w:r>
    </w:p>
    <w:p>
      <w:pPr>
        <w:ind w:firstLine="420"/>
        <w:spacing w:line="440" w:lineRule="exact"/>
        <w:rPr>
          <w:rFonts w:hint="eastAsia" w:ascii="微软雅黑" w:hAnsi="微软雅黑" w:cs="微软雅黑"/>
          <w:color w:val="auto"/>
          <w:highlight w:val="none"/>
          <w:u w:val="single"/>
        </w:rPr>
      </w:pPr>
      <w:r>
        <w:rPr>
          <w:rFonts w:hint="eastAsia" w:ascii="微软雅黑" w:hAnsi="微软雅黑" w:cs="微软雅黑"/>
          <w:color w:val="auto"/>
          <w:highlight w:val="none"/>
        </w:rPr>
        <w:t xml:space="preserve">所在单位：</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职务：</w:t>
      </w:r>
      <w:r>
        <w:rPr>
          <w:rFonts w:hint="eastAsia" w:ascii="微软雅黑" w:hAnsi="微软雅黑" w:cs="微软雅黑"/>
          <w:color w:val="auto"/>
          <w:highlight w:val="none"/>
          <w:u w:val="single"/>
        </w:rPr>
        <w:t xml:space="preserve">           </w:t>
      </w:r>
      <w:r>
        <w:rPr>
          <w:highlight w:val="none"/>
        </w:rPr>
      </w:r>
      <w:r>
        <w:rPr>
          <w:highlight w:val="none"/>
        </w:rPr>
      </w:r>
    </w:p>
    <w:p>
      <w:pPr>
        <w:ind w:firstLine="420"/>
        <w:spacing w:line="440" w:lineRule="exact"/>
        <w:rPr>
          <w:rFonts w:hint="eastAsia" w:ascii="微软雅黑" w:hAnsi="微软雅黑" w:cs="微软雅黑"/>
          <w:color w:val="auto"/>
          <w:highlight w:val="none"/>
          <w:u w:val="single"/>
        </w:rPr>
      </w:pPr>
      <w:r>
        <w:rPr>
          <w:rFonts w:hint="eastAsia" w:ascii="微软雅黑" w:hAnsi="微软雅黑" w:cs="微软雅黑"/>
          <w:color w:val="auto"/>
          <w:highlight w:val="none"/>
        </w:rPr>
        <w:t xml:space="preserve">身 份 证：</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联系方式： </w:t>
      </w:r>
      <w:r>
        <w:rPr>
          <w:rFonts w:hint="eastAsia" w:ascii="微软雅黑" w:hAnsi="微软雅黑" w:cs="微软雅黑"/>
          <w:color w:val="auto"/>
          <w:highlight w:val="none"/>
          <w:u w:val="single"/>
        </w:rPr>
        <w:t xml:space="preserve">     </w:t>
      </w:r>
      <w:r>
        <w:rPr>
          <w:highlight w:val="none"/>
        </w:rPr>
      </w:r>
      <w:r>
        <w:rPr>
          <w:highlight w:val="none"/>
        </w:rP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兹委托受托人</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合法地代表我单位参加</w:t>
      </w:r>
      <w:r>
        <w:rPr>
          <w:rFonts w:hint="eastAsia" w:ascii="微软雅黑" w:hAnsi="微软雅黑" w:cs="微软雅黑"/>
          <w:color w:val="auto"/>
          <w:highlight w:val="none"/>
          <w:lang w:eastAsia="zh-CN"/>
        </w:rPr>
        <w:t xml:space="preserve">江苏中际招标代理有限公司</w:t>
      </w:r>
      <w:r>
        <w:rPr>
          <w:rFonts w:hint="eastAsia" w:ascii="微软雅黑" w:hAnsi="微软雅黑" w:cs="微软雅黑"/>
          <w:color w:val="auto"/>
          <w:highlight w:val="none"/>
        </w:rPr>
        <w:t xml:space="preserve">组织的项目名称：</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（项目编号为：</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）的采购活动，受托人有权在该投标活动中，以我单位的名义签署投标书和投标文件，与招标代理机构协商、澄清、解释并执行一切与此有关的事项。</w:t>
      </w:r>
      <w:r>
        <w:rPr>
          <w:highlight w:val="none"/>
        </w:rPr>
      </w:r>
      <w:r>
        <w:rPr>
          <w:highlight w:val="none"/>
        </w:rP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受托人在办理上述事宜过程中以其自己的名义所签署的所有文件我均予以承认。受托人无转委托权。</w:t>
      </w:r>
      <w:r>
        <w:rPr>
          <w:highlight w:val="none"/>
        </w:rPr>
      </w:r>
      <w:r>
        <w:rPr>
          <w:highlight w:val="none"/>
        </w:rP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委托期限：至上述事宜处理完毕止。</w:t>
      </w:r>
      <w:r>
        <w:rPr>
          <w:highlight w:val="none"/>
        </w:rPr>
      </w:r>
      <w:r>
        <w:rPr>
          <w:highlight w:val="none"/>
        </w:rP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2317115</wp:posOffset>
                </wp:positionH>
                <wp:positionV relativeFrom="paragraph">
                  <wp:posOffset>213360</wp:posOffset>
                </wp:positionV>
                <wp:extent cx="1818640" cy="681355"/>
                <wp:effectExtent l="4445" t="4445" r="5715" b="15240"/>
                <wp:wrapNone/>
                <wp:docPr id="7" name="文本框 18"/>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a:effectLst/>
                      </wps:spPr>
                      <wps:txbx>
                        <w:txbxContent>
                          <w:p>
                            <w:pPr>
                              <w:jc w:val="center"/>
                              <w:spacing w:line="440" w:lineRule="exact"/>
                              <w:rPr>
                                <w:rFonts w:hint="eastAsia"/>
                              </w:rPr>
                            </w:pPr>
                            <w:r>
                              <w:rPr>
                                <w:rFonts w:hint="eastAsia"/>
                              </w:rPr>
                              <w:t xml:space="preserve">授权代表身份证复印件</w:t>
                            </w:r>
                            <w:r/>
                          </w:p>
                          <w:p>
                            <w:pPr>
                              <w:jc w:val="center"/>
                            </w:pPr>
                            <w:r>
                              <w:rPr>
                                <w:rFonts w:hint="eastAsia"/>
                              </w:rPr>
                              <w:t xml:space="preserve">（正反面）</w:t>
                            </w:r>
                            <w:r/>
                          </w:p>
                          <w:p>
                            <w:r/>
                            <w:r/>
                          </w:p>
                        </w:txbxContent>
                      </wps:txbx>
                      <wps:bodyPr wrap="square" upright="1"/>
                    </wps:wsp>
                  </a:graphicData>
                </a:graphic>
              </wp:anchor>
            </w:drawing>
          </mc:Choice>
          <mc:Fallback>
            <w:pict>
              <v:shape id="shape 6" o:spid="_x0000_s6" o:spt="202" type="#_x0000_t202" style="position:absolute;z-index:251660288;o:allowoverlap:true;o:allowincell:true;mso-position-horizontal-relative:text;margin-left:182.4pt;mso-position-horizontal:absolute;mso-position-vertical-relative:text;margin-top:16.8pt;mso-position-vertical:absolute;width:143.2pt;height:53.6pt;mso-wrap-distance-left:9.0pt;mso-wrap-distance-top:0.0pt;mso-wrap-distance-right:9.0pt;mso-wrap-distance-bottom:0.0pt;visibility:visible;" fillcolor="#FFFFFF" strokecolor="#000000">
                <v:textbox inset="0,0,0,0">
                  <w:txbxContent>
                    <w:p>
                      <w:pPr>
                        <w:jc w:val="center"/>
                        <w:spacing w:line="440" w:lineRule="exact"/>
                        <w:rPr>
                          <w:rFonts w:hint="eastAsia"/>
                        </w:rPr>
                      </w:pPr>
                      <w:r>
                        <w:rPr>
                          <w:rFonts w:hint="eastAsia"/>
                        </w:rPr>
                        <w:t xml:space="preserve">授权代表身份证复印件</w:t>
                      </w:r>
                      <w:r/>
                    </w:p>
                    <w:p>
                      <w:pPr>
                        <w:jc w:val="center"/>
                      </w:pPr>
                      <w:r>
                        <w:rPr>
                          <w:rFonts w:hint="eastAsia"/>
                        </w:rPr>
                        <w:t xml:space="preserve">（正反面）</w:t>
                      </w:r>
                      <w:r/>
                    </w:p>
                    <w:p>
                      <w:r/>
                      <w:r/>
                    </w:p>
                  </w:txbxContent>
                </v:textbox>
              </v:shape>
            </w:pict>
          </mc:Fallback>
        </mc:AlternateContent>
      </w:r>
      <w:r>
        <w:rPr>
          <w:rFonts w:hint="eastAsia" w:ascii="微软雅黑" w:hAnsi="微软雅黑" w:cs="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284480</wp:posOffset>
                </wp:positionH>
                <wp:positionV relativeFrom="paragraph">
                  <wp:posOffset>221615</wp:posOffset>
                </wp:positionV>
                <wp:extent cx="1818640" cy="681355"/>
                <wp:effectExtent l="4445" t="4445" r="5715" b="1524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a:effectLst/>
                      </wps:spPr>
                      <wps:txbx>
                        <w:txbxContent>
                          <w:p>
                            <w:pPr>
                              <w:jc w:val="center"/>
                              <w:spacing w:line="440" w:lineRule="exact"/>
                            </w:pPr>
                            <w:r>
                              <w:rPr>
                                <w:rFonts w:hint="eastAsia"/>
                              </w:rPr>
                              <w:t xml:space="preserve">法定代表人身份证复印件（正反面）</w:t>
                            </w:r>
                            <w:r/>
                          </w:p>
                          <w:p>
                            <w:r/>
                            <w:r/>
                          </w:p>
                          <w:p>
                            <w:r/>
                            <w:r/>
                          </w:p>
                        </w:txbxContent>
                      </wps:txbx>
                      <wps:bodyPr wrap="square" upright="1"/>
                    </wps:wsp>
                  </a:graphicData>
                </a:graphic>
              </wp:anchor>
            </w:drawing>
          </mc:Choice>
          <mc:Fallback>
            <w:pict>
              <v:shape id="shape 7" o:spid="_x0000_s7" o:spt="202" type="#_x0000_t202" style="position:absolute;z-index:251659264;o:allowoverlap:true;o:allowincell:true;mso-position-horizontal-relative:text;margin-left:22.4pt;mso-position-horizontal:absolute;mso-position-vertical-relative:text;margin-top:17.4pt;mso-position-vertical:absolute;width:143.2pt;height:53.6pt;mso-wrap-distance-left:9.0pt;mso-wrap-distance-top:0.0pt;mso-wrap-distance-right:9.0pt;mso-wrap-distance-bottom:0.0pt;visibility:visible;" fillcolor="#FFFFFF" strokecolor="#000000">
                <v:textbox inset="0,0,0,0">
                  <w:txbxContent>
                    <w:p>
                      <w:pPr>
                        <w:jc w:val="center"/>
                        <w:spacing w:line="440" w:lineRule="exact"/>
                      </w:pPr>
                      <w:r>
                        <w:rPr>
                          <w:rFonts w:hint="eastAsia"/>
                        </w:rPr>
                        <w:t xml:space="preserve">法定代表人身份证复印件（正反面）</w:t>
                      </w:r>
                      <w:r/>
                    </w:p>
                    <w:p>
                      <w:r/>
                      <w:r/>
                    </w:p>
                    <w:p>
                      <w:r/>
                      <w:r/>
                    </w:p>
                  </w:txbxContent>
                </v:textbox>
              </v:shape>
            </w:pict>
          </mc:Fallback>
        </mc:AlternateContent>
      </w:r>
      <w:r>
        <w:rPr>
          <w:rFonts w:hint="eastAsia" w:ascii="微软雅黑" w:hAnsi="微软雅黑" w:cs="微软雅黑"/>
          <w:color w:val="auto"/>
          <w:highlight w:val="none"/>
        </w:rPr>
        <w:t xml:space="preserve">附：</w:t>
      </w:r>
      <w:r>
        <w:rPr>
          <w:highlight w:val="none"/>
        </w:rPr>
      </w:r>
      <w:r>
        <w:rPr>
          <w:highlight w:val="none"/>
        </w:rP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r>
      <w:r>
        <w:rPr>
          <w:highlight w:val="none"/>
        </w:rPr>
      </w:r>
      <w:r>
        <w:rPr>
          <w:highlight w:val="none"/>
        </w:rP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r>
      <w:r>
        <w:rPr>
          <w:highlight w:val="none"/>
        </w:rPr>
      </w:r>
      <w:r>
        <w:rPr>
          <w:highlight w:val="none"/>
        </w:rP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r>
      <w:r>
        <w:rPr>
          <w:highlight w:val="none"/>
        </w:rPr>
      </w:r>
      <w:r>
        <w:rPr>
          <w:highlight w:val="none"/>
        </w:rPr>
      </w:r>
    </w:p>
    <w:p>
      <w:pPr>
        <w:jc w:val="left"/>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委托单位：    （公章）                     </w:t>
      </w:r>
      <w:r>
        <w:rPr>
          <w:highlight w:val="none"/>
        </w:rPr>
      </w:r>
      <w:r>
        <w:rPr>
          <w:highlight w:val="none"/>
        </w:rPr>
      </w:r>
    </w:p>
    <w:p>
      <w:pPr>
        <w:jc w:val="left"/>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法定代表人：  （签字/盖章）</w:t>
      </w:r>
      <w:r>
        <w:rPr>
          <w:highlight w:val="none"/>
        </w:rPr>
      </w:r>
      <w:r>
        <w:rPr>
          <w:highlight w:val="none"/>
        </w:rPr>
      </w:r>
    </w:p>
    <w:p>
      <w:pPr>
        <w:jc w:val="left"/>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授权代表：  （签字/盖章）   </w:t>
      </w:r>
      <w:r>
        <w:rPr>
          <w:highlight w:val="none"/>
        </w:rPr>
      </w:r>
      <w:r>
        <w:rPr>
          <w:highlight w:val="none"/>
        </w:rPr>
      </w:r>
    </w:p>
    <w:p>
      <w:pPr>
        <w:jc w:val="left"/>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年     月     日</w:t>
      </w:r>
      <w:r>
        <w:rPr>
          <w:highlight w:val="none"/>
        </w:rPr>
      </w:r>
      <w:r>
        <w:rPr>
          <w:highlight w:val="none"/>
        </w:rPr>
      </w:r>
    </w:p>
    <w:p>
      <w:pPr>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注：供应商提供的所有证件必须真实有效，务必保证证件在有效期内。</w:t>
      </w:r>
      <w:r>
        <w:rPr>
          <w:highlight w:val="none"/>
        </w:rPr>
      </w:r>
      <w:r>
        <w:rPr>
          <w:highlight w:val="none"/>
        </w:rPr>
      </w:r>
    </w:p>
    <w:p>
      <w:pPr>
        <w:spacing w:line="360" w:lineRule="auto"/>
        <w:rPr>
          <w:rFonts w:hint="eastAsia" w:ascii="微软雅黑" w:hAnsi="微软雅黑" w:cs="微软雅黑"/>
          <w:color w:val="auto"/>
          <w:sz w:val="24"/>
          <w:szCs w:val="24"/>
          <w:highlight w:val="none"/>
        </w:rPr>
      </w:pPr>
      <w:r>
        <w:rPr>
          <w:rFonts w:hint="eastAsia" w:ascii="微软雅黑" w:hAnsi="微软雅黑" w:cs="微软雅黑"/>
          <w:color w:val="auto"/>
          <w:sz w:val="24"/>
          <w:szCs w:val="24"/>
          <w:highlight w:val="none"/>
        </w:rPr>
      </w:r>
      <w:r>
        <w:rPr>
          <w:highlight w:val="none"/>
        </w:rPr>
      </w:r>
      <w:r>
        <w:rPr>
          <w:highlight w:val="none"/>
        </w:rPr>
      </w:r>
    </w:p>
    <w:p>
      <w:pP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br w:type="page" w:clear="all"/>
      </w:r>
      <w:r>
        <w:rPr>
          <w:highlight w:val="none"/>
        </w:rPr>
      </w:r>
      <w:r>
        <w:rPr>
          <w:highlight w:val="none"/>
        </w:rP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szCs w:val="21"/>
          <w:highlight w:val="none"/>
        </w:rPr>
        <w:t xml:space="preserve">2.</w:t>
      </w:r>
      <w:r>
        <w:rPr>
          <w:rFonts w:hint="eastAsia" w:ascii="微软雅黑" w:hAnsi="微软雅黑" w:cs="微软雅黑"/>
          <w:color w:val="auto"/>
          <w:highlight w:val="none"/>
        </w:rPr>
        <w:t xml:space="preserve">本项目不接受进口产品投标（注：指产品而非构成产品的零件或部件，本文件所称进口产品是指通过中国海关报关验放进入中国境内且产自关境外的产品）。</w:t>
      </w:r>
      <w:r>
        <w:rPr>
          <w:highlight w:val="none"/>
        </w:rPr>
      </w:r>
      <w:r>
        <w:rPr>
          <w:highlight w:val="none"/>
        </w:rPr>
      </w:r>
    </w:p>
    <w:p>
      <w:pPr>
        <w:spacing w:line="420" w:lineRule="exact"/>
        <w:rPr>
          <w:rFonts w:hint="eastAsia" w:ascii="微软雅黑" w:hAnsi="微软雅黑" w:cs="微软雅黑"/>
          <w:color w:val="auto"/>
          <w:sz w:val="24"/>
          <w:szCs w:val="24"/>
          <w:highlight w:val="none"/>
        </w:rPr>
      </w:pPr>
      <w:r>
        <w:rPr>
          <w:rFonts w:hint="eastAsia" w:ascii="微软雅黑" w:hAnsi="微软雅黑" w:cs="微软雅黑"/>
          <w:color w:val="auto"/>
          <w:sz w:val="24"/>
          <w:szCs w:val="24"/>
          <w:highlight w:val="none"/>
        </w:rPr>
      </w:r>
      <w:r>
        <w:rPr>
          <w:highlight w:val="none"/>
        </w:rPr>
      </w:r>
      <w:r>
        <w:rPr>
          <w:highlight w:val="none"/>
        </w:rPr>
      </w:r>
    </w:p>
    <w:p>
      <w:pPr>
        <w:pStyle w:val="1093"/>
        <w:rPr>
          <w:rFonts w:hint="eastAsia"/>
          <w:color w:val="auto"/>
          <w:highlight w:val="none"/>
        </w:rPr>
      </w:pPr>
      <w:r>
        <w:rPr>
          <w:highlight w:val="none"/>
        </w:rPr>
      </w:r>
      <w:bookmarkStart w:id="304" w:name="_Toc1166"/>
      <w:r>
        <w:rPr>
          <w:rFonts w:hint="eastAsia"/>
          <w:color w:val="auto"/>
          <w:highlight w:val="none"/>
        </w:rPr>
        <w:br w:type="page" w:clear="all"/>
      </w:r>
      <w:bookmarkStart w:id="305" w:name="_Toc7993"/>
      <w:r>
        <w:rPr>
          <w:highlight w:val="none"/>
        </w:rPr>
      </w:r>
      <w:bookmarkStart w:id="306" w:name="_Toc17399"/>
      <w:r>
        <w:rPr>
          <w:rFonts w:hint="eastAsia"/>
          <w:color w:val="auto"/>
          <w:highlight w:val="none"/>
        </w:rPr>
        <w:t xml:space="preserve">三、其他相关附表格式</w:t>
      </w:r>
      <w:bookmarkEnd w:id="304"/>
      <w:r>
        <w:rPr>
          <w:highlight w:val="none"/>
        </w:rPr>
      </w:r>
      <w:bookmarkEnd w:id="305"/>
      <w:r>
        <w:rPr>
          <w:highlight w:val="none"/>
        </w:rPr>
      </w:r>
      <w:bookmarkEnd w:id="306"/>
      <w:r>
        <w:rPr>
          <w:highlight w:val="none"/>
        </w:rPr>
      </w:r>
      <w:bookmarkStart w:id="307" w:name="_Toc11531"/>
      <w:r>
        <w:rPr>
          <w:highlight w:val="none"/>
        </w:rPr>
      </w:r>
      <w:bookmarkEnd w:id="307"/>
      <w:r>
        <w:rPr>
          <w:highlight w:val="none"/>
        </w:rPr>
      </w:r>
      <w:r>
        <w:rPr>
          <w:highlight w:val="none"/>
        </w:rPr>
      </w:r>
    </w:p>
    <w:p>
      <w:pPr>
        <w:jc w:val="center"/>
        <w:rPr>
          <w:rFonts w:hint="eastAsia" w:ascii="微软雅黑" w:hAnsi="微软雅黑" w:cs="微软雅黑"/>
          <w:b/>
          <w:bCs/>
          <w:color w:val="auto"/>
          <w:sz w:val="24"/>
          <w:szCs w:val="24"/>
          <w:highlight w:val="none"/>
        </w:rPr>
      </w:pPr>
      <w:r>
        <w:rPr>
          <w:rFonts w:hint="eastAsia" w:ascii="微软雅黑" w:hAnsi="微软雅黑" w:cs="微软雅黑"/>
          <w:b/>
          <w:bCs/>
          <w:color w:val="auto"/>
          <w:sz w:val="24"/>
          <w:szCs w:val="24"/>
          <w:highlight w:val="none"/>
        </w:rPr>
        <w:t xml:space="preserve">承  诺</w:t>
      </w:r>
      <w:r>
        <w:rPr>
          <w:highlight w:val="none"/>
        </w:rPr>
      </w:r>
      <w:r>
        <w:rPr>
          <w:highlight w:val="none"/>
        </w:rPr>
      </w:r>
    </w:p>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我公司承诺：</w:t>
      </w:r>
      <w:r>
        <w:rPr>
          <w:highlight w:val="none"/>
        </w:rPr>
      </w:r>
      <w:r>
        <w:rPr>
          <w:highlight w:val="none"/>
        </w:rPr>
      </w:r>
    </w:p>
    <w:p>
      <w:pPr>
        <w:numPr>
          <w:ilvl w:val="0"/>
          <w:numId w:val="0"/>
        </w:numPr>
        <w:ind w:left="0" w:firstLine="420"/>
        <w:keepLines w:val="0"/>
        <w:keepNext w:val="0"/>
        <w:pageBreakBefore w:val="0"/>
        <w:spacing w:line="440" w:lineRule="exact"/>
        <w:widowControl w:val="off"/>
        <w:rPr>
          <w:rFonts w:hint="eastAsia" w:ascii="微软雅黑" w:hAnsi="微软雅黑" w:cs="微软雅黑"/>
          <w:color w:val="auto"/>
          <w:szCs w:val="21"/>
          <w:highlight w:val="none"/>
        </w:rPr>
      </w:pPr>
      <w:r>
        <w:rPr>
          <w:rFonts w:hint="eastAsia" w:ascii="微软雅黑" w:hAnsi="微软雅黑" w:eastAsia="微软雅黑" w:cs="微软雅黑"/>
          <w:color w:val="auto"/>
          <w:sz w:val="21"/>
          <w:szCs w:val="21"/>
          <w:highlight w:val="none"/>
          <w:lang w:val="en-US" w:eastAsia="zh-CN" w:bidi="ar-SA"/>
        </w:rPr>
        <w:t xml:space="preserve">1.</w:t>
      </w:r>
      <w:r>
        <w:rPr>
          <w:rFonts w:hint="eastAsia" w:ascii="微软雅黑" w:hAnsi="微软雅黑" w:cs="微软雅黑"/>
          <w:color w:val="auto"/>
          <w:szCs w:val="21"/>
          <w:highlight w:val="none"/>
        </w:rPr>
        <w:t xml:space="preserve">我单位未组成联合体投标，中标后不进行分包、转包。</w:t>
      </w:r>
      <w:r>
        <w:rPr>
          <w:highlight w:val="none"/>
        </w:rPr>
      </w:r>
      <w:r>
        <w:rPr>
          <w:highlight w:val="none"/>
        </w:rPr>
      </w:r>
    </w:p>
    <w:p>
      <w:pPr>
        <w:numPr>
          <w:ilvl w:val="0"/>
          <w:numId w:val="0"/>
        </w:numPr>
        <w:ind w:left="0" w:firstLine="420"/>
        <w:keepLines w:val="0"/>
        <w:keepNext w:val="0"/>
        <w:pageBreakBefore w:val="0"/>
        <w:spacing w:line="440" w:lineRule="exact"/>
        <w:widowControl w:val="off"/>
        <w:rPr>
          <w:rFonts w:hint="eastAsia" w:ascii="微软雅黑" w:hAnsi="微软雅黑" w:cs="微软雅黑"/>
          <w:color w:val="auto"/>
          <w:szCs w:val="21"/>
          <w:highlight w:val="none"/>
        </w:rPr>
      </w:pPr>
      <w:r>
        <w:rPr>
          <w:rFonts w:hint="eastAsia" w:ascii="微软雅黑" w:hAnsi="微软雅黑" w:eastAsia="微软雅黑" w:cs="微软雅黑"/>
          <w:color w:val="auto"/>
          <w:sz w:val="21"/>
          <w:szCs w:val="21"/>
          <w:highlight w:val="none"/>
          <w:lang w:val="en-US" w:eastAsia="zh-CN" w:bidi="ar-SA"/>
        </w:rPr>
        <w:t xml:space="preserve">2.</w:t>
      </w:r>
      <w:r>
        <w:rPr>
          <w:rFonts w:hint="eastAsia" w:ascii="微软雅黑" w:hAnsi="微软雅黑" w:cs="微软雅黑"/>
          <w:color w:val="auto"/>
          <w:szCs w:val="21"/>
          <w:highlight w:val="none"/>
        </w:rPr>
        <w:t xml:space="preserve">我单位负责人</w:t>
      </w:r>
      <w:r>
        <w:rPr>
          <w:rFonts w:hint="eastAsia" w:ascii="微软雅黑" w:hAnsi="微软雅黑" w:cs="微软雅黑"/>
          <w:color w:val="auto"/>
          <w:szCs w:val="21"/>
          <w:highlight w:val="none"/>
          <w:u w:val="single"/>
        </w:rPr>
        <w:t xml:space="preserve">          </w:t>
      </w:r>
      <w:r>
        <w:rPr>
          <w:rFonts w:hint="eastAsia" w:ascii="微软雅黑" w:hAnsi="微软雅黑" w:cs="微软雅黑"/>
          <w:color w:val="auto"/>
          <w:szCs w:val="21"/>
          <w:highlight w:val="none"/>
        </w:rPr>
        <w:t xml:space="preserve">（负责人姓名、身份证号），与我单位存在直接控股、管理关系的单位为</w:t>
      </w:r>
      <w:r>
        <w:rPr>
          <w:rFonts w:hint="eastAsia" w:ascii="微软雅黑" w:hAnsi="微软雅黑" w:cs="微软雅黑"/>
          <w:color w:val="auto"/>
          <w:szCs w:val="21"/>
          <w:highlight w:val="none"/>
          <w:u w:val="single"/>
        </w:rPr>
        <w:t xml:space="preserve">          </w:t>
      </w:r>
      <w:r>
        <w:rPr>
          <w:rFonts w:hint="eastAsia" w:ascii="微软雅黑" w:hAnsi="微软雅黑" w:cs="微软雅黑"/>
          <w:color w:val="auto"/>
          <w:szCs w:val="21"/>
          <w:highlight w:val="none"/>
        </w:rPr>
        <w:t xml:space="preserve">（单位名称），不存在与我单位负责人为同一人或者存在直接控股、管理关系的不同供应商同时参加本项目同一包投标的情形。</w:t>
      </w:r>
      <w:r>
        <w:rPr>
          <w:highlight w:val="none"/>
        </w:rPr>
      </w:r>
      <w:r>
        <w:rPr>
          <w:highlight w:val="none"/>
        </w:rPr>
      </w:r>
    </w:p>
    <w:p>
      <w:pPr>
        <w:numPr>
          <w:ilvl w:val="0"/>
          <w:numId w:val="0"/>
        </w:numPr>
        <w:ind w:left="0" w:firstLine="420"/>
        <w:keepLines w:val="0"/>
        <w:keepNext w:val="0"/>
        <w:pageBreakBefore w:val="0"/>
        <w:spacing w:line="440" w:lineRule="exact"/>
        <w:widowControl w:val="off"/>
        <w:rPr>
          <w:rFonts w:hint="eastAsia" w:ascii="微软雅黑" w:hAnsi="微软雅黑" w:cs="微软雅黑"/>
          <w:color w:val="auto"/>
          <w:szCs w:val="21"/>
          <w:highlight w:val="none"/>
        </w:rPr>
      </w:pPr>
      <w:r>
        <w:rPr>
          <w:rFonts w:hint="eastAsia" w:ascii="微软雅黑" w:hAnsi="微软雅黑" w:eastAsia="微软雅黑" w:cs="微软雅黑"/>
          <w:color w:val="auto"/>
          <w:sz w:val="21"/>
          <w:szCs w:val="21"/>
          <w:highlight w:val="none"/>
          <w:lang w:val="en-US" w:eastAsia="zh-CN" w:bidi="ar-SA"/>
        </w:rPr>
        <w:t xml:space="preserve">3.</w:t>
      </w:r>
      <w:r>
        <w:rPr>
          <w:rFonts w:hint="eastAsia" w:ascii="微软雅黑" w:hAnsi="微软雅黑" w:cs="微软雅黑"/>
          <w:color w:val="auto"/>
          <w:szCs w:val="21"/>
          <w:highlight w:val="none"/>
        </w:rPr>
        <w:t xml:space="preserve">我单位不属于为采购项目提供整体设计、规范编制或者项目管理、监理、检测等服务的情形。我单位未被列入失信被执行人、重大税收违法失信主体、政府采购严重违法失信行为记录名单。</w:t>
      </w:r>
      <w:r>
        <w:rPr>
          <w:highlight w:val="none"/>
        </w:rPr>
      </w:r>
      <w:r>
        <w:rPr>
          <w:highlight w:val="none"/>
        </w:rPr>
      </w:r>
    </w:p>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特此承诺。</w:t>
      </w:r>
      <w:r>
        <w:rPr>
          <w:highlight w:val="none"/>
        </w:rPr>
      </w:r>
      <w:r>
        <w:rPr>
          <w:highlight w:val="none"/>
        </w:rPr>
      </w:r>
    </w:p>
    <w:p>
      <w:pPr>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r>
      <w:r>
        <w:rPr>
          <w:highlight w:val="none"/>
        </w:rPr>
      </w:r>
      <w:r>
        <w:rPr>
          <w:highlight w:val="none"/>
        </w:rPr>
      </w:r>
    </w:p>
    <w:p>
      <w:pPr>
        <w:pStyle w:val="1285"/>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r>
      <w:r>
        <w:rPr>
          <w:highlight w:val="none"/>
        </w:rPr>
      </w:r>
      <w:r>
        <w:rPr>
          <w:highlight w:val="none"/>
        </w:rPr>
      </w:r>
    </w:p>
    <w:p>
      <w:pPr>
        <w:pStyle w:val="1285"/>
        <w:ind w:firstLine="3990"/>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供应商全称（公章）：</w:t>
      </w:r>
      <w:r>
        <w:rPr>
          <w:highlight w:val="none"/>
        </w:rPr>
      </w:r>
      <w:r>
        <w:rPr>
          <w:highlight w:val="none"/>
        </w:rPr>
      </w:r>
    </w:p>
    <w:p>
      <w:pPr>
        <w:pStyle w:val="1285"/>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                                      法定代表人（或授权代表）签章/签字：</w:t>
      </w:r>
      <w:r>
        <w:rPr>
          <w:highlight w:val="none"/>
        </w:rPr>
      </w:r>
      <w:r>
        <w:rPr>
          <w:highlight w:val="none"/>
        </w:rPr>
      </w:r>
    </w:p>
    <w:p>
      <w:pPr>
        <w:pStyle w:val="1285"/>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                                      日期：</w:t>
      </w:r>
      <w:bookmarkEnd w:id="296"/>
      <w:r>
        <w:rPr>
          <w:highlight w:val="none"/>
        </w:rPr>
      </w:r>
      <w:bookmarkEnd w:id="297"/>
      <w:r>
        <w:rPr>
          <w:highlight w:val="none"/>
        </w:rPr>
      </w:r>
      <w:r>
        <w:rPr>
          <w:highlight w:val="none"/>
        </w:rPr>
      </w:r>
    </w:p>
    <w:p>
      <w:pPr>
        <w:pStyle w:val="1274"/>
        <w:jc w:val="left"/>
        <w:rPr>
          <w:rFonts w:hint="eastAsia" w:ascii="微软雅黑" w:hAnsi="微软雅黑" w:cs="微软雅黑"/>
          <w:b/>
          <w:bCs w:val="0"/>
          <w:color w:val="auto"/>
          <w:sz w:val="24"/>
          <w:szCs w:val="24"/>
          <w:highlight w:val="none"/>
        </w:rPr>
      </w:pPr>
      <w:r>
        <w:rPr>
          <w:highlight w:val="none"/>
        </w:rPr>
      </w:r>
      <w:bookmarkStart w:id="308" w:name="_Toc487098617"/>
      <w:r>
        <w:rPr>
          <w:highlight w:val="none"/>
        </w:rPr>
      </w:r>
      <w:bookmarkStart w:id="309" w:name="_Toc403725583"/>
      <w:r>
        <w:rPr>
          <w:highlight w:val="none"/>
        </w:rPr>
      </w:r>
      <w:bookmarkStart w:id="310" w:name="_Toc20254"/>
      <w:r>
        <w:rPr>
          <w:highlight w:val="none"/>
        </w:rPr>
      </w:r>
      <w:bookmarkStart w:id="311" w:name="_Toc1448"/>
      <w:r>
        <w:rPr>
          <w:rFonts w:hint="eastAsia" w:ascii="微软雅黑" w:hAnsi="微软雅黑" w:cs="微软雅黑"/>
          <w:b/>
          <w:bCs w:val="0"/>
          <w:color w:val="auto"/>
          <w:sz w:val="24"/>
          <w:szCs w:val="24"/>
          <w:highlight w:val="none"/>
        </w:rPr>
        <w:br w:type="page" w:clear="all"/>
      </w:r>
      <w:bookmarkStart w:id="312" w:name="_Toc17280"/>
      <w:r>
        <w:rPr>
          <w:highlight w:val="none"/>
        </w:rPr>
      </w:r>
      <w:bookmarkStart w:id="313" w:name="_Toc9486"/>
      <w:r>
        <w:rPr>
          <w:rFonts w:hint="eastAsia" w:ascii="微软雅黑" w:hAnsi="微软雅黑" w:cs="微软雅黑"/>
          <w:b/>
          <w:bCs w:val="0"/>
          <w:color w:val="auto"/>
          <w:sz w:val="24"/>
          <w:szCs w:val="24"/>
          <w:highlight w:val="none"/>
        </w:rPr>
        <w:t xml:space="preserve">附件1.中小企业声明函</w:t>
      </w:r>
      <w:bookmarkEnd w:id="308"/>
      <w:r>
        <w:rPr>
          <w:highlight w:val="none"/>
        </w:rPr>
      </w:r>
      <w:bookmarkEnd w:id="309"/>
      <w:r>
        <w:rPr>
          <w:highlight w:val="none"/>
        </w:rPr>
      </w:r>
      <w:bookmarkEnd w:id="310"/>
      <w:r>
        <w:rPr>
          <w:highlight w:val="none"/>
        </w:rPr>
      </w:r>
      <w:bookmarkEnd w:id="311"/>
      <w:r>
        <w:rPr>
          <w:highlight w:val="none"/>
        </w:rPr>
      </w:r>
      <w:bookmarkEnd w:id="312"/>
      <w:r>
        <w:rPr>
          <w:highlight w:val="none"/>
        </w:rPr>
      </w:r>
      <w:bookmarkEnd w:id="313"/>
      <w:r>
        <w:rPr>
          <w:highlight w:val="none"/>
        </w:rPr>
      </w:r>
      <w:r>
        <w:rPr>
          <w:highlight w:val="none"/>
        </w:rPr>
      </w:r>
    </w:p>
    <w:p>
      <w:pPr>
        <w:rPr>
          <w:rFonts w:hint="eastAsia" w:ascii="微软雅黑" w:hAnsi="微软雅黑" w:cs="微软雅黑"/>
          <w:b/>
          <w:bCs/>
          <w:color w:val="auto"/>
          <w:sz w:val="24"/>
          <w:szCs w:val="24"/>
          <w:highlight w:val="none"/>
        </w:rPr>
      </w:pPr>
      <w:r>
        <w:rPr>
          <w:rFonts w:hint="eastAsia" w:ascii="微软雅黑" w:hAnsi="微软雅黑" w:cs="微软雅黑"/>
          <w:b/>
          <w:bCs/>
          <w:color w:val="auto"/>
          <w:sz w:val="24"/>
          <w:szCs w:val="24"/>
          <w:highlight w:val="none"/>
        </w:rPr>
        <w:t xml:space="preserve">（如不属于中小企业，则无需提供此声明函）</w:t>
      </w:r>
      <w:r>
        <w:rPr>
          <w:highlight w:val="none"/>
        </w:rPr>
      </w:r>
      <w:r>
        <w:rPr>
          <w:highlight w:val="none"/>
        </w:rPr>
      </w:r>
    </w:p>
    <w:p>
      <w:pPr>
        <w:jc w:val="center"/>
        <w:spacing w:line="420" w:lineRule="exact"/>
        <w:rPr>
          <w:rFonts w:hint="eastAsia" w:ascii="微软雅黑" w:hAnsi="微软雅黑" w:cs="微软雅黑"/>
          <w:b/>
          <w:bCs/>
          <w:color w:val="auto"/>
          <w:highlight w:val="none"/>
        </w:rPr>
      </w:pPr>
      <w:r>
        <w:rPr>
          <w:highlight w:val="none"/>
        </w:rPr>
      </w:r>
      <w:bookmarkStart w:id="314" w:name="_Toc10812"/>
      <w:r>
        <w:rPr>
          <w:highlight w:val="none"/>
        </w:rPr>
      </w:r>
      <w:bookmarkEnd w:id="314"/>
      <w:r>
        <w:rPr>
          <w:highlight w:val="none"/>
        </w:rPr>
      </w:r>
      <w:r>
        <w:rPr>
          <w:highlight w:val="none"/>
        </w:rPr>
      </w:r>
    </w:p>
    <w:p>
      <w:pPr>
        <w:jc w:val="center"/>
        <w:spacing w:line="420" w:lineRule="exact"/>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中小企业声明函（货物）</w:t>
      </w:r>
      <w:r>
        <w:rPr>
          <w:highlight w:val="none"/>
        </w:rPr>
      </w:r>
      <w:r>
        <w:rPr>
          <w:highlight w:val="none"/>
        </w:rPr>
      </w:r>
    </w:p>
    <w:p>
      <w:pPr>
        <w:ind w:firstLine="420"/>
        <w:jc w:val="left"/>
        <w:keepLines/>
        <w:keepNext/>
        <w:spacing w:line="400" w:lineRule="exact"/>
        <w:rPr>
          <w:rFonts w:hint="eastAsia" w:ascii="微软雅黑" w:hAnsi="微软雅黑" w:cs="微软雅黑"/>
          <w:color w:val="auto"/>
          <w:highlight w:val="none"/>
        </w:rPr>
      </w:pPr>
      <w:r>
        <w:rPr>
          <w:highlight w:val="none"/>
        </w:rPr>
      </w:r>
      <w:bookmarkStart w:id="315" w:name="_Toc3254"/>
      <w:r>
        <w:rPr>
          <w:rFonts w:hint="eastAsia" w:ascii="微软雅黑" w:hAnsi="微软雅黑" w:cs="微软雅黑"/>
          <w:color w:val="auto"/>
          <w:highlight w:val="none"/>
        </w:rPr>
        <w:t xml:space="preserve">本公司（联合体）郑重声明，根据《政府采购促进中小企业发展管理办法》（财库[2020]46 号）的规定，本公司（联合体）参加</w:t>
      </w:r>
      <w:r>
        <w:rPr>
          <w:rFonts w:hint="eastAsia" w:ascii="微软雅黑" w:hAnsi="微软雅黑" w:cs="微软雅黑"/>
          <w:color w:val="auto"/>
          <w:highlight w:val="none"/>
          <w:u w:val="single"/>
        </w:rPr>
        <w:t xml:space="preserve">        （单位名称）</w:t>
      </w:r>
      <w:r>
        <w:rPr>
          <w:rFonts w:hint="eastAsia" w:ascii="微软雅黑" w:hAnsi="微软雅黑" w:cs="微软雅黑"/>
          <w:color w:val="auto"/>
          <w:highlight w:val="none"/>
        </w:rPr>
        <w:t xml:space="preserve">的</w:t>
      </w:r>
      <w:r>
        <w:rPr>
          <w:rFonts w:hint="eastAsia" w:ascii="微软雅黑" w:hAnsi="微软雅黑" w:cs="微软雅黑"/>
          <w:color w:val="auto"/>
          <w:highlight w:val="none"/>
          <w:u w:val="single"/>
        </w:rPr>
        <w:t xml:space="preserve">        （项目名称）</w:t>
      </w:r>
      <w:r>
        <w:rPr>
          <w:rFonts w:hint="eastAsia" w:ascii="微软雅黑" w:hAnsi="微软雅黑" w:cs="微软雅黑"/>
          <w:color w:val="auto"/>
          <w:highlight w:val="none"/>
        </w:rPr>
        <w:t xml:space="preserve">采购活动，提 供的货物全部由符合政策要求的中小企业制造。相关企业 （含联合体中的中小企业、签订分包意向协议的中小企业）的具体情况如下：</w:t>
      </w:r>
      <w:bookmarkEnd w:id="315"/>
      <w:r>
        <w:rPr>
          <w:rFonts w:hint="eastAsia" w:ascii="微软雅黑" w:hAnsi="微软雅黑" w:cs="微软雅黑"/>
          <w:color w:val="auto"/>
          <w:highlight w:val="none"/>
        </w:rPr>
        <w:t xml:space="preserve"> </w:t>
      </w:r>
      <w:r>
        <w:rPr>
          <w:highlight w:val="none"/>
        </w:rPr>
      </w:r>
      <w:r>
        <w:rPr>
          <w:highlight w:val="none"/>
        </w:rPr>
      </w:r>
    </w:p>
    <w:p>
      <w:pPr>
        <w:ind w:firstLine="420"/>
        <w:jc w:val="left"/>
        <w:keepLines/>
        <w:keepNext/>
        <w:spacing w:line="400" w:lineRule="exact"/>
        <w:rPr>
          <w:rFonts w:hint="eastAsia" w:ascii="微软雅黑" w:hAnsi="微软雅黑" w:cs="微软雅黑"/>
          <w:color w:val="auto"/>
          <w:highlight w:val="none"/>
        </w:rPr>
      </w:pPr>
      <w:r>
        <w:rPr>
          <w:highlight w:val="none"/>
        </w:rPr>
      </w:r>
      <w:bookmarkStart w:id="316" w:name="_Toc26323"/>
      <w:r>
        <w:rPr>
          <w:rFonts w:hint="eastAsia" w:ascii="微软雅黑" w:hAnsi="微软雅黑" w:cs="微软雅黑"/>
          <w:color w:val="auto"/>
          <w:highlight w:val="none"/>
        </w:rPr>
        <w:t xml:space="preserve">1、</w:t>
      </w:r>
      <w:r>
        <w:rPr>
          <w:rFonts w:hint="eastAsia" w:ascii="微软雅黑" w:hAnsi="微软雅黑" w:cs="微软雅黑"/>
          <w:color w:val="auto"/>
          <w:highlight w:val="none"/>
          <w:u w:val="single"/>
        </w:rPr>
        <w:t xml:space="preserve">                    （标的名称）</w:t>
      </w:r>
      <w:r>
        <w:rPr>
          <w:rFonts w:hint="eastAsia" w:ascii="微软雅黑" w:hAnsi="微软雅黑" w:cs="微软雅黑"/>
          <w:color w:val="auto"/>
          <w:highlight w:val="none"/>
        </w:rPr>
        <w:t xml:space="preserve">，属于</w:t>
      </w:r>
      <w:r>
        <w:rPr>
          <w:rFonts w:hint="eastAsia" w:ascii="微软雅黑" w:hAnsi="微软雅黑" w:cs="微软雅黑"/>
          <w:color w:val="auto"/>
          <w:highlight w:val="none"/>
          <w:u w:val="single"/>
        </w:rPr>
        <w:t xml:space="preserve">（采购文件中明确的所属行业） </w:t>
      </w:r>
      <w:r>
        <w:rPr>
          <w:rFonts w:hint="eastAsia" w:ascii="微软雅黑" w:hAnsi="微软雅黑" w:cs="微软雅黑"/>
          <w:color w:val="auto"/>
          <w:highlight w:val="none"/>
        </w:rPr>
        <w:t xml:space="preserve">行业；制造商为</w:t>
      </w:r>
      <w:r>
        <w:rPr>
          <w:rFonts w:hint="eastAsia" w:ascii="微软雅黑" w:hAnsi="微软雅黑" w:cs="微软雅黑"/>
          <w:color w:val="auto"/>
          <w:highlight w:val="none"/>
          <w:u w:val="single"/>
        </w:rPr>
        <w:t xml:space="preserve">     （企业名称）</w:t>
      </w:r>
      <w:r>
        <w:rPr>
          <w:rFonts w:hint="eastAsia" w:ascii="微软雅黑" w:hAnsi="微软雅黑" w:cs="微软雅黑"/>
          <w:color w:val="auto"/>
          <w:highlight w:val="none"/>
        </w:rPr>
        <w:t xml:space="preserve">，从业人员</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人，营业收入为</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万元，资产总额为</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万元 ，属于</w:t>
      </w:r>
      <w:r>
        <w:rPr>
          <w:rFonts w:hint="eastAsia" w:ascii="微软雅黑" w:hAnsi="微软雅黑" w:cs="微软雅黑"/>
          <w:color w:val="auto"/>
          <w:highlight w:val="none"/>
          <w:u w:val="single"/>
        </w:rPr>
        <w:t xml:space="preserve">         （中型企业、小 型企业、微型企业）</w:t>
      </w:r>
      <w:r>
        <w:rPr>
          <w:rFonts w:hint="eastAsia" w:ascii="微软雅黑" w:hAnsi="微软雅黑" w:cs="微软雅黑"/>
          <w:color w:val="auto"/>
          <w:highlight w:val="none"/>
        </w:rPr>
        <w:t xml:space="preserve">；</w:t>
      </w:r>
      <w:bookmarkEnd w:id="316"/>
      <w:r>
        <w:rPr>
          <w:rFonts w:hint="eastAsia" w:ascii="微软雅黑" w:hAnsi="微软雅黑" w:cs="微软雅黑"/>
          <w:color w:val="auto"/>
          <w:highlight w:val="none"/>
        </w:rPr>
        <w:t xml:space="preserve"> </w:t>
      </w:r>
      <w:r>
        <w:rPr>
          <w:highlight w:val="none"/>
        </w:rPr>
      </w:r>
      <w:r>
        <w:rPr>
          <w:highlight w:val="none"/>
        </w:rPr>
      </w:r>
    </w:p>
    <w:p>
      <w:pPr>
        <w:ind w:firstLine="420"/>
        <w:jc w:val="left"/>
        <w:keepLines/>
        <w:keepNext/>
        <w:spacing w:line="400" w:lineRule="exact"/>
        <w:rPr>
          <w:rFonts w:hint="eastAsia" w:ascii="微软雅黑" w:hAnsi="微软雅黑" w:cs="微软雅黑"/>
          <w:color w:val="auto"/>
          <w:highlight w:val="none"/>
        </w:rPr>
      </w:pPr>
      <w:r>
        <w:rPr>
          <w:highlight w:val="none"/>
        </w:rPr>
      </w:r>
      <w:bookmarkStart w:id="317" w:name="_Toc15690"/>
      <w:r>
        <w:rPr>
          <w:rFonts w:hint="eastAsia" w:ascii="微软雅黑" w:hAnsi="微软雅黑" w:cs="微软雅黑"/>
          <w:color w:val="auto"/>
          <w:highlight w:val="none"/>
        </w:rPr>
        <w:t xml:space="preserve">2、</w:t>
      </w:r>
      <w:r>
        <w:rPr>
          <w:rFonts w:hint="eastAsia" w:ascii="微软雅黑" w:hAnsi="微软雅黑" w:cs="微软雅黑"/>
          <w:color w:val="auto"/>
          <w:highlight w:val="none"/>
          <w:u w:val="single"/>
        </w:rPr>
        <w:t xml:space="preserve">                    （标的名称）</w:t>
      </w:r>
      <w:r>
        <w:rPr>
          <w:rFonts w:hint="eastAsia" w:ascii="微软雅黑" w:hAnsi="微软雅黑" w:cs="微软雅黑"/>
          <w:color w:val="auto"/>
          <w:highlight w:val="none"/>
        </w:rPr>
        <w:t xml:space="preserve">，属于</w:t>
      </w:r>
      <w:r>
        <w:rPr>
          <w:rFonts w:hint="eastAsia" w:ascii="微软雅黑" w:hAnsi="微软雅黑" w:cs="微软雅黑"/>
          <w:color w:val="auto"/>
          <w:highlight w:val="none"/>
          <w:u w:val="single"/>
        </w:rPr>
        <w:t xml:space="preserve">（采购文件中明确的所属行业） </w:t>
      </w:r>
      <w:r>
        <w:rPr>
          <w:rFonts w:hint="eastAsia" w:ascii="微软雅黑" w:hAnsi="微软雅黑" w:cs="微软雅黑"/>
          <w:color w:val="auto"/>
          <w:highlight w:val="none"/>
        </w:rPr>
        <w:t xml:space="preserve">行业；制造商为</w:t>
      </w:r>
      <w:r>
        <w:rPr>
          <w:rFonts w:hint="eastAsia" w:ascii="微软雅黑" w:hAnsi="微软雅黑" w:cs="微软雅黑"/>
          <w:color w:val="auto"/>
          <w:highlight w:val="none"/>
          <w:u w:val="single"/>
        </w:rPr>
        <w:t xml:space="preserve">     （企业名称）</w:t>
      </w:r>
      <w:r>
        <w:rPr>
          <w:rFonts w:hint="eastAsia" w:ascii="微软雅黑" w:hAnsi="微软雅黑" w:cs="微软雅黑"/>
          <w:color w:val="auto"/>
          <w:highlight w:val="none"/>
        </w:rPr>
        <w:t xml:space="preserve">，从业人员</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人，营业收入为</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万元，资产总额为</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万元 ，属于</w:t>
      </w:r>
      <w:r>
        <w:rPr>
          <w:rFonts w:hint="eastAsia" w:ascii="微软雅黑" w:hAnsi="微软雅黑" w:cs="微软雅黑"/>
          <w:color w:val="auto"/>
          <w:highlight w:val="none"/>
          <w:u w:val="single"/>
        </w:rPr>
        <w:t xml:space="preserve">         （中型企业、小 型企业、微型企业）</w:t>
      </w:r>
      <w:r>
        <w:rPr>
          <w:rFonts w:hint="eastAsia" w:ascii="微软雅黑" w:hAnsi="微软雅黑" w:cs="微软雅黑"/>
          <w:color w:val="auto"/>
          <w:highlight w:val="none"/>
        </w:rPr>
        <w:t xml:space="preserve">；</w:t>
      </w:r>
      <w:bookmarkEnd w:id="317"/>
      <w:r>
        <w:rPr>
          <w:rFonts w:hint="eastAsia" w:ascii="微软雅黑" w:hAnsi="微软雅黑" w:cs="微软雅黑"/>
          <w:color w:val="auto"/>
          <w:highlight w:val="none"/>
        </w:rPr>
        <w:t xml:space="preserve"> </w:t>
      </w:r>
      <w:r>
        <w:rPr>
          <w:highlight w:val="none"/>
        </w:rPr>
      </w:r>
      <w:r>
        <w:rPr>
          <w:highlight w:val="none"/>
        </w:rPr>
      </w:r>
    </w:p>
    <w:p>
      <w:pPr>
        <w:ind w:firstLine="420"/>
        <w:jc w:val="left"/>
        <w:keepLines/>
        <w:keepNext/>
        <w:spacing w:line="400" w:lineRule="exact"/>
        <w:rPr>
          <w:rFonts w:hint="eastAsia" w:ascii="微软雅黑" w:hAnsi="微软雅黑" w:cs="微软雅黑"/>
          <w:color w:val="auto"/>
          <w:highlight w:val="none"/>
        </w:rPr>
      </w:pPr>
      <w:r>
        <w:rPr>
          <w:highlight w:val="none"/>
        </w:rPr>
      </w:r>
      <w:bookmarkStart w:id="318" w:name="_Toc3885"/>
      <w:r>
        <w:rPr>
          <w:rFonts w:hint="eastAsia" w:ascii="微软雅黑" w:hAnsi="微软雅黑" w:cs="微软雅黑"/>
          <w:color w:val="auto"/>
          <w:highlight w:val="none"/>
        </w:rPr>
        <w:t xml:space="preserve">……</w:t>
      </w:r>
      <w:bookmarkEnd w:id="318"/>
      <w:r>
        <w:rPr>
          <w:rFonts w:hint="eastAsia" w:ascii="微软雅黑" w:hAnsi="微软雅黑" w:cs="微软雅黑"/>
          <w:color w:val="auto"/>
          <w:highlight w:val="none"/>
        </w:rPr>
        <w:t xml:space="preserve"> </w:t>
      </w:r>
      <w:r>
        <w:rPr>
          <w:highlight w:val="none"/>
        </w:rPr>
      </w:r>
      <w:r>
        <w:rPr>
          <w:highlight w:val="none"/>
        </w:rPr>
      </w:r>
    </w:p>
    <w:p>
      <w:pPr>
        <w:ind w:firstLine="420"/>
        <w:jc w:val="left"/>
        <w:keepLines/>
        <w:keepNext/>
        <w:spacing w:line="400" w:lineRule="exact"/>
        <w:rPr>
          <w:rFonts w:hint="eastAsia" w:ascii="微软雅黑" w:hAnsi="微软雅黑" w:cs="微软雅黑"/>
          <w:color w:val="auto"/>
          <w:highlight w:val="none"/>
        </w:rPr>
      </w:pPr>
      <w:r>
        <w:rPr>
          <w:highlight w:val="none"/>
        </w:rPr>
      </w:r>
      <w:bookmarkStart w:id="319" w:name="_Toc20124"/>
      <w:r>
        <w:rPr>
          <w:rFonts w:hint="eastAsia" w:ascii="微软雅黑" w:hAnsi="微软雅黑" w:cs="微软雅黑"/>
          <w:color w:val="auto"/>
          <w:highlight w:val="none"/>
        </w:rPr>
        <w:t xml:space="preserve">以上企业，不属于大企业的分支机构，不存在控股股东 为大企业的情形，也不存在与大企业的负责人为同一人的情形。</w:t>
      </w:r>
      <w:bookmarkEnd w:id="319"/>
      <w:r>
        <w:rPr>
          <w:rFonts w:hint="eastAsia" w:ascii="微软雅黑" w:hAnsi="微软雅黑" w:cs="微软雅黑"/>
          <w:color w:val="auto"/>
          <w:highlight w:val="none"/>
        </w:rPr>
        <w:t xml:space="preserve"> </w:t>
      </w:r>
      <w:r>
        <w:rPr>
          <w:highlight w:val="none"/>
        </w:rPr>
      </w:r>
      <w:r>
        <w:rPr>
          <w:highlight w:val="none"/>
        </w:rPr>
      </w:r>
    </w:p>
    <w:p>
      <w:pPr>
        <w:ind w:firstLine="420"/>
        <w:jc w:val="left"/>
        <w:keepLines/>
        <w:keepNext/>
        <w:spacing w:line="400" w:lineRule="exact"/>
        <w:rPr>
          <w:rFonts w:hint="eastAsia" w:ascii="微软雅黑" w:hAnsi="微软雅黑" w:cs="微软雅黑"/>
          <w:color w:val="auto"/>
          <w:highlight w:val="none"/>
        </w:rPr>
      </w:pPr>
      <w:r>
        <w:rPr>
          <w:highlight w:val="none"/>
        </w:rPr>
      </w:r>
      <w:bookmarkStart w:id="320" w:name="_Toc4666"/>
      <w:r>
        <w:rPr>
          <w:rFonts w:hint="eastAsia" w:ascii="微软雅黑" w:hAnsi="微软雅黑" w:cs="微软雅黑"/>
          <w:color w:val="auto"/>
          <w:highlight w:val="none"/>
        </w:rPr>
        <w:t xml:space="preserve">本企业对上述声明内容的真实性负责。如有虚假，将依法承担相应责任。</w:t>
      </w:r>
      <w:bookmarkEnd w:id="320"/>
      <w:r>
        <w:rPr>
          <w:rFonts w:hint="eastAsia" w:ascii="微软雅黑" w:hAnsi="微软雅黑" w:cs="微软雅黑"/>
          <w:color w:val="auto"/>
          <w:highlight w:val="none"/>
        </w:rPr>
        <w:t xml:space="preserve"> </w:t>
      </w:r>
      <w:r>
        <w:rPr>
          <w:highlight w:val="none"/>
        </w:rPr>
      </w:r>
      <w:r>
        <w:rPr>
          <w:highlight w:val="none"/>
        </w:rP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r>
      <w:r>
        <w:rPr>
          <w:highlight w:val="none"/>
        </w:rPr>
      </w:r>
      <w:r>
        <w:rPr>
          <w:highlight w:val="none"/>
        </w:rPr>
      </w:r>
    </w:p>
    <w:p>
      <w:pPr>
        <w:ind w:firstLine="420"/>
        <w:jc w:val="right"/>
        <w:spacing w:line="420" w:lineRule="exact"/>
        <w:rPr>
          <w:rFonts w:hint="eastAsia" w:ascii="微软雅黑" w:hAnsi="微软雅黑" w:cs="微软雅黑"/>
          <w:color w:val="auto"/>
          <w:highlight w:val="none"/>
        </w:rPr>
      </w:pPr>
      <w:r>
        <w:rPr>
          <w:highlight w:val="none"/>
        </w:rPr>
      </w:r>
      <w:bookmarkStart w:id="321" w:name="_Toc7691"/>
      <w:r>
        <w:rPr>
          <w:rFonts w:hint="eastAsia" w:ascii="微软雅黑" w:hAnsi="微软雅黑" w:cs="微软雅黑"/>
          <w:color w:val="auto"/>
          <w:highlight w:val="none"/>
        </w:rPr>
        <w:t xml:space="preserve">企业名称（盖章）：</w:t>
      </w:r>
      <w:bookmarkEnd w:id="321"/>
      <w:r>
        <w:rPr>
          <w:rFonts w:hint="eastAsia" w:ascii="微软雅黑" w:hAnsi="微软雅黑" w:cs="微软雅黑"/>
          <w:color w:val="auto"/>
          <w:highlight w:val="none"/>
        </w:rPr>
        <w:t xml:space="preserve"> </w:t>
      </w:r>
      <w:r>
        <w:rPr>
          <w:highlight w:val="none"/>
        </w:rPr>
      </w:r>
      <w:r>
        <w:rPr>
          <w:highlight w:val="none"/>
        </w:rPr>
      </w:r>
    </w:p>
    <w:p>
      <w:pPr>
        <w:ind w:firstLine="420"/>
        <w:jc w:val="right"/>
        <w:spacing w:line="420" w:lineRule="exact"/>
        <w:rPr>
          <w:rFonts w:hint="eastAsia" w:ascii="微软雅黑" w:hAnsi="微软雅黑" w:cs="微软雅黑"/>
          <w:color w:val="auto"/>
          <w:highlight w:val="none"/>
        </w:rPr>
      </w:pPr>
      <w:r>
        <w:rPr>
          <w:highlight w:val="none"/>
        </w:rPr>
      </w:r>
      <w:bookmarkStart w:id="322" w:name="_Toc8519"/>
      <w:r>
        <w:rPr>
          <w:rFonts w:hint="eastAsia" w:ascii="微软雅黑" w:hAnsi="微软雅黑" w:cs="微软雅黑"/>
          <w:color w:val="auto"/>
          <w:highlight w:val="none"/>
        </w:rPr>
        <w:t xml:space="preserve">日 期：</w:t>
      </w:r>
      <w:bookmarkEnd w:id="322"/>
      <w:r>
        <w:rPr>
          <w:highlight w:val="none"/>
        </w:rPr>
      </w:r>
      <w:r>
        <w:rPr>
          <w:highlight w:val="none"/>
        </w:rP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r>
      <w:r>
        <w:rPr>
          <w:highlight w:val="none"/>
        </w:rPr>
      </w:r>
      <w:r>
        <w:rPr>
          <w:highlight w:val="none"/>
        </w:rP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highlight w:val="none"/>
        </w:rPr>
        <w:t xml:space="preserve">注：从业人员、营业收入、资产总额填报上一年度数据，无上一年度数据的新成立企业可不填报。</w:t>
      </w:r>
      <w:r>
        <w:rPr>
          <w:highlight w:val="none"/>
        </w:rPr>
      </w:r>
      <w:r>
        <w:rPr>
          <w:highlight w:val="none"/>
        </w:rPr>
      </w:r>
    </w:p>
    <w:p>
      <w:pPr>
        <w:spacing w:line="420" w:lineRule="exact"/>
        <w:rPr>
          <w:rFonts w:hint="eastAsia" w:ascii="微软雅黑" w:hAnsi="微软雅黑" w:cs="微软雅黑"/>
          <w:b/>
          <w:bCs/>
          <w:color w:val="auto"/>
          <w:sz w:val="28"/>
          <w:szCs w:val="28"/>
          <w:highlight w:val="none"/>
        </w:rPr>
      </w:pPr>
      <w:r>
        <w:rPr>
          <w:rFonts w:hint="eastAsia" w:ascii="微软雅黑" w:hAnsi="微软雅黑" w:cs="微软雅黑"/>
          <w:b/>
          <w:bCs/>
          <w:color w:val="auto"/>
          <w:sz w:val="28"/>
          <w:szCs w:val="28"/>
          <w:highlight w:val="none"/>
        </w:rPr>
      </w:r>
      <w:r>
        <w:rPr>
          <w:highlight w:val="none"/>
        </w:rPr>
      </w:r>
      <w:r>
        <w:rPr>
          <w:highlight w:val="none"/>
        </w:rPr>
      </w:r>
    </w:p>
    <w:p>
      <w:pPr>
        <w:spacing w:line="420" w:lineRule="exact"/>
        <w:rPr>
          <w:rFonts w:hint="eastAsia" w:ascii="微软雅黑" w:hAnsi="微软雅黑" w:cs="微软雅黑"/>
          <w:color w:val="auto"/>
          <w:sz w:val="28"/>
          <w:szCs w:val="28"/>
          <w:highlight w:val="none"/>
        </w:rPr>
      </w:pPr>
      <w:r>
        <w:rPr>
          <w:rFonts w:hint="eastAsia" w:ascii="微软雅黑" w:hAnsi="微软雅黑" w:cs="微软雅黑"/>
          <w:color w:val="auto"/>
          <w:sz w:val="28"/>
          <w:szCs w:val="28"/>
          <w:highlight w:val="none"/>
        </w:rPr>
      </w:r>
      <w:r>
        <w:rPr>
          <w:highlight w:val="none"/>
        </w:rPr>
      </w:r>
      <w:r>
        <w:rPr>
          <w:highlight w:val="none"/>
        </w:rPr>
      </w:r>
    </w:p>
    <w:p>
      <w:pPr>
        <w:pStyle w:val="1277"/>
        <w:ind w:left="1260"/>
        <w:rPr>
          <w:rFonts w:hint="eastAsia" w:ascii="微软雅黑" w:hAnsi="微软雅黑" w:cs="微软雅黑"/>
          <w:color w:val="auto"/>
          <w:sz w:val="28"/>
          <w:szCs w:val="28"/>
          <w:highlight w:val="none"/>
        </w:rPr>
      </w:pPr>
      <w:r>
        <w:rPr>
          <w:rFonts w:hint="eastAsia" w:ascii="微软雅黑" w:hAnsi="微软雅黑" w:cs="微软雅黑"/>
          <w:color w:val="auto"/>
          <w:sz w:val="28"/>
          <w:szCs w:val="28"/>
          <w:highlight w:val="none"/>
        </w:rPr>
      </w:r>
      <w:r>
        <w:rPr>
          <w:highlight w:val="none"/>
        </w:rPr>
      </w:r>
      <w:r>
        <w:rPr>
          <w:highlight w:val="none"/>
        </w:rPr>
      </w:r>
    </w:p>
    <w:p>
      <w:pPr>
        <w:rPr>
          <w:rFonts w:hint="eastAsia" w:ascii="微软雅黑" w:hAnsi="微软雅黑" w:cs="微软雅黑"/>
          <w:color w:val="auto"/>
          <w:sz w:val="28"/>
          <w:szCs w:val="28"/>
          <w:highlight w:val="none"/>
        </w:rPr>
      </w:pPr>
      <w:r>
        <w:rPr>
          <w:rFonts w:hint="eastAsia" w:ascii="微软雅黑" w:hAnsi="微软雅黑" w:cs="微软雅黑"/>
          <w:color w:val="auto"/>
          <w:sz w:val="28"/>
          <w:szCs w:val="28"/>
          <w:highlight w:val="none"/>
        </w:rPr>
      </w:r>
      <w:r>
        <w:rPr>
          <w:highlight w:val="none"/>
        </w:rPr>
      </w:r>
      <w:r>
        <w:rPr>
          <w:highlight w:val="none"/>
        </w:rPr>
      </w:r>
    </w:p>
    <w:p>
      <w:pPr>
        <w:pStyle w:val="1277"/>
        <w:ind w:left="1260"/>
        <w:rPr>
          <w:rFonts w:hint="eastAsia" w:ascii="微软雅黑" w:hAnsi="微软雅黑" w:cs="微软雅黑"/>
          <w:color w:val="auto"/>
          <w:sz w:val="28"/>
          <w:szCs w:val="28"/>
          <w:highlight w:val="none"/>
        </w:rPr>
      </w:pPr>
      <w:r>
        <w:rPr>
          <w:rFonts w:hint="eastAsia" w:ascii="微软雅黑" w:hAnsi="微软雅黑" w:cs="微软雅黑"/>
          <w:color w:val="auto"/>
          <w:sz w:val="28"/>
          <w:szCs w:val="28"/>
          <w:highlight w:val="none"/>
        </w:rPr>
      </w:r>
      <w:r>
        <w:rPr>
          <w:highlight w:val="none"/>
        </w:rPr>
      </w:r>
      <w:r>
        <w:rPr>
          <w:highlight w:val="none"/>
        </w:rPr>
      </w:r>
    </w:p>
    <w:p>
      <w:pPr>
        <w:rPr>
          <w:rFonts w:hint="eastAsia"/>
          <w:color w:val="auto"/>
          <w:highlight w:val="none"/>
        </w:rPr>
      </w:pPr>
      <w:r>
        <w:rPr>
          <w:rFonts w:hint="eastAsia"/>
          <w:color w:val="auto"/>
          <w:highlight w:val="none"/>
        </w:rPr>
      </w:r>
      <w:r>
        <w:rPr>
          <w:highlight w:val="none"/>
        </w:rPr>
      </w:r>
      <w:r>
        <w:rPr>
          <w:highlight w:val="none"/>
        </w:rPr>
      </w:r>
    </w:p>
    <w:p>
      <w:pPr>
        <w:spacing w:line="300" w:lineRule="exact"/>
        <w:rPr>
          <w:rFonts w:hint="eastAsia" w:ascii="微软雅黑" w:hAnsi="微软雅黑" w:cs="微软雅黑"/>
          <w:b/>
          <w:bCs/>
          <w:color w:val="auto"/>
          <w:szCs w:val="21"/>
          <w:highlight w:val="none"/>
        </w:rPr>
      </w:pPr>
      <w:r>
        <w:rPr>
          <w:highlight w:val="none"/>
        </w:rPr>
      </w:r>
      <w:bookmarkStart w:id="323" w:name="_Toc17448"/>
      <w:r>
        <w:rPr>
          <w:highlight w:val="none"/>
        </w:rPr>
      </w:r>
      <w:bookmarkStart w:id="324" w:name="_Toc25461"/>
      <w:r>
        <w:rPr>
          <w:highlight w:val="none"/>
        </w:rPr>
      </w:r>
      <w:r>
        <w:rPr>
          <w:highlight w:val="none"/>
        </w:rPr>
      </w:r>
    </w:p>
    <w:p>
      <w:pPr>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lang w:val="zh-CN"/>
        </w:rPr>
        <w:br w:type="page" w:clear="all"/>
      </w:r>
      <w:r>
        <w:rPr>
          <w:highlight w:val="none"/>
        </w:rPr>
      </w:r>
      <w:r>
        <w:rPr>
          <w:highlight w:val="none"/>
        </w:rPr>
      </w:r>
    </w:p>
    <w:p>
      <w:pPr>
        <w:spacing w:line="30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lang w:val="zh-CN"/>
        </w:rPr>
        <w:t xml:space="preserve">供应商情况告知表</w:t>
      </w:r>
      <w:r>
        <w:rPr>
          <w:rFonts w:hint="eastAsia" w:ascii="微软雅黑" w:hAnsi="微软雅黑" w:cs="微软雅黑"/>
          <w:b/>
          <w:bCs/>
          <w:color w:val="auto"/>
          <w:szCs w:val="21"/>
          <w:highlight w:val="none"/>
        </w:rPr>
        <w:t xml:space="preserve">—附表</w:t>
      </w:r>
      <w:bookmarkEnd w:id="323"/>
      <w:r>
        <w:rPr>
          <w:highlight w:val="none"/>
        </w:rPr>
      </w:r>
      <w:r>
        <w:rPr>
          <w:highlight w:val="none"/>
        </w:rPr>
      </w:r>
    </w:p>
    <w:p>
      <w:pPr>
        <w:pStyle w:val="1285"/>
        <w:spacing w:line="30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中小微企业划型标准如下：</w:t>
      </w:r>
      <w:r>
        <w:rPr>
          <w:highlight w:val="none"/>
        </w:rPr>
      </w:r>
      <w:r>
        <w:rPr>
          <w:highlight w:val="none"/>
        </w:rPr>
      </w:r>
    </w:p>
    <w:tbl>
      <w:tblPr>
        <w:tblStyle w:val="913"/>
        <w:tblW w:w="0" w:type="auto"/>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83"/>
        <w:gridCol w:w="1707"/>
        <w:gridCol w:w="1027"/>
        <w:gridCol w:w="1866"/>
        <w:gridCol w:w="1680"/>
        <w:gridCol w:w="1147"/>
      </w:tblGrid>
      <w:tr>
        <w:trPr>
          <w:trHeight w:val="90"/>
        </w:trPr>
        <w:tc>
          <w:tcPr>
            <w:tcW w:w="1683" w:type="dxa"/>
            <w:vAlign w:val="top"/>
            <w:textDirection w:val="lrTb"/>
            <w:noWrap w:val="false"/>
          </w:tcPr>
          <w:p>
            <w:pPr>
              <w:jc w:val="center"/>
              <w:spacing w:line="36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行业名称</w:t>
            </w:r>
            <w:r>
              <w:rPr>
                <w:highlight w:val="none"/>
              </w:rPr>
            </w:r>
            <w:r>
              <w:rPr>
                <w:highlight w:val="none"/>
              </w:rPr>
            </w:r>
          </w:p>
        </w:tc>
        <w:tc>
          <w:tcPr>
            <w:tcW w:w="1707" w:type="dxa"/>
            <w:vAlign w:val="top"/>
            <w:textDirection w:val="lrTb"/>
            <w:noWrap w:val="false"/>
          </w:tcPr>
          <w:p>
            <w:pPr>
              <w:jc w:val="center"/>
              <w:spacing w:line="36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指标名称</w:t>
            </w:r>
            <w:r>
              <w:rPr>
                <w:highlight w:val="none"/>
              </w:rPr>
            </w:r>
            <w:r>
              <w:rPr>
                <w:highlight w:val="none"/>
              </w:rPr>
            </w:r>
          </w:p>
        </w:tc>
        <w:tc>
          <w:tcPr>
            <w:tcW w:w="1027" w:type="dxa"/>
            <w:vAlign w:val="top"/>
            <w:textDirection w:val="lrTb"/>
            <w:noWrap w:val="false"/>
          </w:tcPr>
          <w:p>
            <w:pPr>
              <w:spacing w:line="36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计量单位</w:t>
            </w:r>
            <w:r>
              <w:rPr>
                <w:highlight w:val="none"/>
              </w:rPr>
            </w:r>
            <w:r>
              <w:rPr>
                <w:highlight w:val="none"/>
              </w:rPr>
            </w:r>
          </w:p>
        </w:tc>
        <w:tc>
          <w:tcPr>
            <w:tcW w:w="1866" w:type="dxa"/>
            <w:vAlign w:val="top"/>
            <w:textDirection w:val="lrTb"/>
            <w:noWrap w:val="false"/>
          </w:tcPr>
          <w:p>
            <w:pPr>
              <w:jc w:val="center"/>
              <w:spacing w:line="36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中型</w:t>
            </w:r>
            <w:r>
              <w:rPr>
                <w:highlight w:val="none"/>
              </w:rPr>
            </w:r>
            <w:r>
              <w:rPr>
                <w:highlight w:val="none"/>
              </w:rPr>
            </w:r>
          </w:p>
        </w:tc>
        <w:tc>
          <w:tcPr>
            <w:tcW w:w="1680" w:type="dxa"/>
            <w:vAlign w:val="top"/>
            <w:textDirection w:val="lrTb"/>
            <w:noWrap w:val="false"/>
          </w:tcPr>
          <w:p>
            <w:pPr>
              <w:jc w:val="center"/>
              <w:spacing w:line="36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小型</w:t>
            </w:r>
            <w:r>
              <w:rPr>
                <w:highlight w:val="none"/>
              </w:rPr>
            </w:r>
            <w:r>
              <w:rPr>
                <w:highlight w:val="none"/>
              </w:rPr>
            </w:r>
          </w:p>
        </w:tc>
        <w:tc>
          <w:tcPr>
            <w:tcW w:w="1147" w:type="dxa"/>
            <w:vAlign w:val="top"/>
            <w:textDirection w:val="lrTb"/>
            <w:noWrap w:val="false"/>
          </w:tcPr>
          <w:p>
            <w:pPr>
              <w:jc w:val="center"/>
              <w:spacing w:line="36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微型</w:t>
            </w:r>
            <w:r>
              <w:rPr>
                <w:highlight w:val="none"/>
              </w:rPr>
            </w:r>
            <w:r>
              <w:rPr>
                <w:highlight w:val="none"/>
              </w:rPr>
            </w:r>
          </w:p>
        </w:tc>
      </w:tr>
      <w:tr>
        <w:trPr>
          <w:trHeight w:val="90"/>
        </w:trPr>
        <w:tc>
          <w:tcPr>
            <w:tcW w:w="1683" w:type="dxa"/>
            <w:vAlign w:val="center"/>
            <w:textDirection w:val="lrTb"/>
            <w:noWrap w:val="false"/>
          </w:tcPr>
          <w:p>
            <w:pPr>
              <w:pStyle w:val="1241"/>
              <w:jc w:val="left"/>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农、林、牧、渔</w:t>
            </w:r>
            <w:r>
              <w:rPr>
                <w:highlight w:val="none"/>
              </w:rPr>
            </w:r>
            <w:r>
              <w:rPr>
                <w:highlight w:val="none"/>
              </w:rPr>
            </w:r>
          </w:p>
        </w:tc>
        <w:tc>
          <w:tcPr>
            <w:tcW w:w="1707" w:type="dxa"/>
            <w:vAlign w:val="top"/>
            <w:textDirection w:val="lrTb"/>
            <w:noWrap w:val="false"/>
          </w:tcPr>
          <w:p>
            <w:pPr>
              <w:pStyle w:val="1241"/>
              <w:jc w:val="left"/>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rPr>
                <w:highlight w:val="none"/>
              </w:rPr>
            </w:r>
            <w:r>
              <w:rPr>
                <w:highlight w:val="none"/>
              </w:rPr>
            </w:r>
          </w:p>
        </w:tc>
        <w:tc>
          <w:tcPr>
            <w:tcW w:w="102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rPr>
                <w:highlight w:val="none"/>
              </w:rPr>
            </w:r>
            <w:r>
              <w:rPr>
                <w:highlight w:val="none"/>
              </w:rPr>
            </w:r>
          </w:p>
        </w:tc>
        <w:tc>
          <w:tcPr>
            <w:tcW w:w="1866"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500≤Y＜20000</w:t>
            </w:r>
            <w:r>
              <w:rPr>
                <w:highlight w:val="none"/>
              </w:rPr>
            </w:r>
            <w:r>
              <w:rPr>
                <w:highlight w:val="none"/>
              </w:rPr>
            </w:r>
          </w:p>
        </w:tc>
        <w:tc>
          <w:tcPr>
            <w:tcW w:w="1680"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50≤Y＜500</w:t>
            </w:r>
            <w:r>
              <w:rPr>
                <w:highlight w:val="none"/>
              </w:rPr>
            </w:r>
            <w:r>
              <w:rPr>
                <w:highlight w:val="none"/>
              </w:rPr>
            </w:r>
          </w:p>
        </w:tc>
        <w:tc>
          <w:tcPr>
            <w:tcW w:w="114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Y＜50</w:t>
            </w:r>
            <w:r>
              <w:rPr>
                <w:highlight w:val="none"/>
              </w:rPr>
            </w:r>
            <w:r>
              <w:rPr>
                <w:highlight w:val="none"/>
              </w:rPr>
            </w:r>
          </w:p>
        </w:tc>
      </w:tr>
      <w:tr>
        <w:trPr>
          <w:trHeight w:val="147"/>
        </w:trPr>
        <w:tc>
          <w:tcPr>
            <w:tcW w:w="1683" w:type="dxa"/>
            <w:vAlign w:val="center"/>
            <w:vMerge w:val="restart"/>
            <w:textDirection w:val="lrTb"/>
            <w:noWrap w:val="false"/>
          </w:tcPr>
          <w:p>
            <w:pPr>
              <w:pStyle w:val="1241"/>
              <w:jc w:val="center"/>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r>
            <w:r>
              <w:rPr>
                <w:highlight w:val="none"/>
              </w:rPr>
            </w:r>
            <w:r>
              <w:rPr>
                <w:highlight w:val="none"/>
              </w:rPr>
            </w:r>
          </w:p>
          <w:p>
            <w:pPr>
              <w:pStyle w:val="1241"/>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工业</w:t>
            </w:r>
            <w:r>
              <w:rPr>
                <w:highlight w:val="none"/>
              </w:rPr>
            </w:r>
            <w:r>
              <w:rPr>
                <w:highlight w:val="none"/>
              </w:rPr>
            </w:r>
          </w:p>
        </w:tc>
        <w:tc>
          <w:tcPr>
            <w:tcW w:w="170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rPr>
                <w:highlight w:val="none"/>
              </w:rPr>
            </w:r>
            <w:r>
              <w:rPr>
                <w:highlight w:val="none"/>
              </w:rPr>
            </w:r>
          </w:p>
        </w:tc>
        <w:tc>
          <w:tcPr>
            <w:tcW w:w="102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rPr>
                <w:highlight w:val="none"/>
              </w:rPr>
            </w:r>
            <w:r>
              <w:rPr>
                <w:highlight w:val="none"/>
              </w:rPr>
            </w:r>
          </w:p>
        </w:tc>
        <w:tc>
          <w:tcPr>
            <w:tcW w:w="1866"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300≤X＜1000</w:t>
            </w:r>
            <w:r>
              <w:rPr>
                <w:highlight w:val="none"/>
              </w:rPr>
            </w:r>
            <w:r>
              <w:rPr>
                <w:highlight w:val="none"/>
              </w:rPr>
            </w:r>
          </w:p>
        </w:tc>
        <w:tc>
          <w:tcPr>
            <w:tcW w:w="1680"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20≤X＜300</w:t>
            </w:r>
            <w:r>
              <w:rPr>
                <w:highlight w:val="none"/>
              </w:rPr>
            </w:r>
            <w:r>
              <w:rPr>
                <w:highlight w:val="none"/>
              </w:rPr>
            </w:r>
          </w:p>
        </w:tc>
        <w:tc>
          <w:tcPr>
            <w:tcW w:w="114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X＜20</w:t>
            </w:r>
            <w:r>
              <w:rPr>
                <w:highlight w:val="none"/>
              </w:rPr>
            </w:r>
            <w:r>
              <w:rPr>
                <w:highlight w:val="none"/>
              </w:rPr>
            </w:r>
          </w:p>
        </w:tc>
      </w:tr>
      <w:tr>
        <w:trPr>
          <w:trHeight w:val="313"/>
        </w:trPr>
        <w:tc>
          <w:tcPr>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rPr>
            </w:pPr>
            <w:r>
              <w:rPr>
                <w:rFonts w:hint="eastAsia" w:ascii="微软雅黑" w:hAnsi="微软雅黑" w:cs="微软雅黑"/>
                <w:b/>
                <w:color w:val="auto"/>
                <w:szCs w:val="21"/>
              </w:rPr>
            </w:r>
            <w:r/>
          </w:p>
        </w:tc>
        <w:tc>
          <w:tcPr>
            <w:tcW w:w="170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rPr>
                <w:highlight w:val="none"/>
              </w:rPr>
            </w:r>
            <w:r>
              <w:rPr>
                <w:highlight w:val="none"/>
              </w:rPr>
            </w:r>
          </w:p>
        </w:tc>
        <w:tc>
          <w:tcPr>
            <w:tcW w:w="102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rPr>
                <w:highlight w:val="none"/>
              </w:rPr>
            </w:r>
            <w:r>
              <w:rPr>
                <w:highlight w:val="none"/>
              </w:rPr>
            </w:r>
          </w:p>
        </w:tc>
        <w:tc>
          <w:tcPr>
            <w:tcW w:w="1866"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2000≤Y＜40000</w:t>
            </w:r>
            <w:r>
              <w:rPr>
                <w:highlight w:val="none"/>
              </w:rPr>
            </w:r>
            <w:r>
              <w:rPr>
                <w:highlight w:val="none"/>
              </w:rPr>
            </w:r>
          </w:p>
        </w:tc>
        <w:tc>
          <w:tcPr>
            <w:tcW w:w="1680"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300≤Y＜2000</w:t>
            </w:r>
            <w:r>
              <w:rPr>
                <w:highlight w:val="none"/>
              </w:rPr>
            </w:r>
            <w:r>
              <w:rPr>
                <w:highlight w:val="none"/>
              </w:rPr>
            </w:r>
          </w:p>
        </w:tc>
        <w:tc>
          <w:tcPr>
            <w:tcW w:w="114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Y＜300</w:t>
            </w:r>
            <w:r>
              <w:rPr>
                <w:highlight w:val="none"/>
              </w:rPr>
            </w:r>
            <w:r>
              <w:rPr>
                <w:highlight w:val="none"/>
              </w:rPr>
            </w:r>
          </w:p>
        </w:tc>
      </w:tr>
      <w:tr>
        <w:trPr>
          <w:trHeight w:val="312"/>
        </w:trPr>
        <w:tc>
          <w:tcPr>
            <w:tcW w:w="1683" w:type="dxa"/>
            <w:vAlign w:val="center"/>
            <w:vMerge w:val="restart"/>
            <w:textDirection w:val="lrTb"/>
            <w:noWrap w:val="false"/>
          </w:tcPr>
          <w:p>
            <w:pPr>
              <w:pStyle w:val="1241"/>
              <w:jc w:val="center"/>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r>
            <w:r>
              <w:rPr>
                <w:highlight w:val="none"/>
              </w:rPr>
            </w:r>
            <w:r>
              <w:rPr>
                <w:highlight w:val="none"/>
              </w:rPr>
            </w:r>
          </w:p>
          <w:p>
            <w:pPr>
              <w:pStyle w:val="1241"/>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建筑业</w:t>
            </w:r>
            <w:r>
              <w:rPr>
                <w:highlight w:val="none"/>
              </w:rPr>
            </w:r>
            <w:r>
              <w:rPr>
                <w:highlight w:val="none"/>
              </w:rPr>
            </w:r>
          </w:p>
        </w:tc>
        <w:tc>
          <w:tcPr>
            <w:tcW w:w="170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rPr>
                <w:highlight w:val="none"/>
              </w:rPr>
            </w:r>
            <w:r>
              <w:rPr>
                <w:highlight w:val="none"/>
              </w:rPr>
            </w:r>
          </w:p>
        </w:tc>
        <w:tc>
          <w:tcPr>
            <w:tcW w:w="102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rPr>
                <w:highlight w:val="none"/>
              </w:rPr>
            </w:r>
            <w:r>
              <w:rPr>
                <w:highlight w:val="none"/>
              </w:rPr>
            </w:r>
          </w:p>
        </w:tc>
        <w:tc>
          <w:tcPr>
            <w:tcW w:w="1866"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6000≤Y＜80000</w:t>
            </w:r>
            <w:r>
              <w:rPr>
                <w:highlight w:val="none"/>
              </w:rPr>
            </w:r>
            <w:r>
              <w:rPr>
                <w:highlight w:val="none"/>
              </w:rPr>
            </w:r>
          </w:p>
        </w:tc>
        <w:tc>
          <w:tcPr>
            <w:tcW w:w="1680"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300≤Y＜6000</w:t>
            </w:r>
            <w:r>
              <w:rPr>
                <w:highlight w:val="none"/>
              </w:rPr>
            </w:r>
            <w:r>
              <w:rPr>
                <w:highlight w:val="none"/>
              </w:rPr>
            </w:r>
          </w:p>
        </w:tc>
        <w:tc>
          <w:tcPr>
            <w:tcW w:w="114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Y＜300</w:t>
            </w:r>
            <w:r>
              <w:rPr>
                <w:highlight w:val="none"/>
              </w:rPr>
            </w:r>
            <w:r>
              <w:rPr>
                <w:highlight w:val="none"/>
              </w:rPr>
            </w:r>
          </w:p>
        </w:tc>
      </w:tr>
      <w:tr>
        <w:trPr>
          <w:trHeight w:val="311"/>
        </w:trPr>
        <w:tc>
          <w:tcPr>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rPr>
            </w:pPr>
            <w:r>
              <w:rPr>
                <w:rFonts w:hint="eastAsia" w:ascii="微软雅黑" w:hAnsi="微软雅黑" w:cs="微软雅黑"/>
                <w:b/>
                <w:color w:val="auto"/>
                <w:szCs w:val="21"/>
              </w:rPr>
            </w:r>
            <w:r/>
          </w:p>
        </w:tc>
        <w:tc>
          <w:tcPr>
            <w:tcW w:w="170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资产总额（Z）</w:t>
            </w:r>
            <w:r>
              <w:rPr>
                <w:highlight w:val="none"/>
              </w:rPr>
            </w:r>
            <w:r>
              <w:rPr>
                <w:highlight w:val="none"/>
              </w:rPr>
            </w:r>
          </w:p>
        </w:tc>
        <w:tc>
          <w:tcPr>
            <w:tcW w:w="102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rPr>
                <w:highlight w:val="none"/>
              </w:rPr>
            </w:r>
            <w:r>
              <w:rPr>
                <w:highlight w:val="none"/>
              </w:rPr>
            </w:r>
          </w:p>
        </w:tc>
        <w:tc>
          <w:tcPr>
            <w:tcW w:w="1866"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5000≤Z＜80000</w:t>
            </w:r>
            <w:r>
              <w:rPr>
                <w:highlight w:val="none"/>
              </w:rPr>
            </w:r>
            <w:r>
              <w:rPr>
                <w:highlight w:val="none"/>
              </w:rPr>
            </w:r>
          </w:p>
        </w:tc>
        <w:tc>
          <w:tcPr>
            <w:tcW w:w="1680"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300≤Z＜5000</w:t>
            </w:r>
            <w:r>
              <w:rPr>
                <w:highlight w:val="none"/>
              </w:rPr>
            </w:r>
            <w:r>
              <w:rPr>
                <w:highlight w:val="none"/>
              </w:rPr>
            </w:r>
          </w:p>
        </w:tc>
        <w:tc>
          <w:tcPr>
            <w:tcW w:w="114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Z＜300</w:t>
            </w:r>
            <w:r>
              <w:rPr>
                <w:highlight w:val="none"/>
              </w:rPr>
            </w:r>
            <w:r>
              <w:rPr>
                <w:highlight w:val="none"/>
              </w:rPr>
            </w:r>
          </w:p>
        </w:tc>
      </w:tr>
      <w:tr>
        <w:trPr>
          <w:trHeight w:val="311"/>
        </w:trPr>
        <w:tc>
          <w:tcPr>
            <w:tcW w:w="1683" w:type="dxa"/>
            <w:vAlign w:val="center"/>
            <w:vMerge w:val="restart"/>
            <w:textDirection w:val="lrTb"/>
            <w:noWrap w:val="false"/>
          </w:tcPr>
          <w:p>
            <w:pPr>
              <w:pStyle w:val="1241"/>
              <w:jc w:val="center"/>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r>
            <w:r>
              <w:rPr>
                <w:highlight w:val="none"/>
              </w:rPr>
            </w:r>
            <w:r>
              <w:rPr>
                <w:highlight w:val="none"/>
              </w:rPr>
            </w:r>
          </w:p>
          <w:p>
            <w:pPr>
              <w:pStyle w:val="1241"/>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批发业</w:t>
            </w:r>
            <w:r>
              <w:rPr>
                <w:highlight w:val="none"/>
              </w:rPr>
            </w:r>
            <w:r>
              <w:rPr>
                <w:highlight w:val="none"/>
              </w:rPr>
            </w:r>
          </w:p>
        </w:tc>
        <w:tc>
          <w:tcPr>
            <w:tcW w:w="170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rPr>
                <w:highlight w:val="none"/>
              </w:rPr>
            </w:r>
            <w:r>
              <w:rPr>
                <w:highlight w:val="none"/>
              </w:rPr>
            </w:r>
          </w:p>
        </w:tc>
        <w:tc>
          <w:tcPr>
            <w:tcW w:w="102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rPr>
                <w:highlight w:val="none"/>
              </w:rPr>
            </w:r>
            <w:r>
              <w:rPr>
                <w:highlight w:val="none"/>
              </w:rPr>
            </w:r>
          </w:p>
        </w:tc>
        <w:tc>
          <w:tcPr>
            <w:tcW w:w="1866"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20≤X＜200</w:t>
            </w:r>
            <w:r>
              <w:rPr>
                <w:highlight w:val="none"/>
              </w:rPr>
            </w:r>
            <w:r>
              <w:rPr>
                <w:highlight w:val="none"/>
              </w:rPr>
            </w:r>
          </w:p>
        </w:tc>
        <w:tc>
          <w:tcPr>
            <w:tcW w:w="1680"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5≤X＜20</w:t>
            </w:r>
            <w:r>
              <w:rPr>
                <w:highlight w:val="none"/>
              </w:rPr>
            </w:r>
            <w:r>
              <w:rPr>
                <w:highlight w:val="none"/>
              </w:rPr>
            </w:r>
          </w:p>
        </w:tc>
        <w:tc>
          <w:tcPr>
            <w:tcW w:w="114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X＜5</w:t>
            </w:r>
            <w:r>
              <w:rPr>
                <w:highlight w:val="none"/>
              </w:rPr>
            </w:r>
            <w:r>
              <w:rPr>
                <w:highlight w:val="none"/>
              </w:rPr>
            </w:r>
          </w:p>
        </w:tc>
      </w:tr>
      <w:tr>
        <w:trPr>
          <w:trHeight w:val="311"/>
        </w:trPr>
        <w:tc>
          <w:tcPr>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rPr>
            </w:pPr>
            <w:r>
              <w:rPr>
                <w:rFonts w:hint="eastAsia" w:ascii="微软雅黑" w:hAnsi="微软雅黑" w:cs="微软雅黑"/>
                <w:b/>
                <w:color w:val="auto"/>
                <w:szCs w:val="21"/>
              </w:rPr>
            </w:r>
            <w:r/>
          </w:p>
        </w:tc>
        <w:tc>
          <w:tcPr>
            <w:tcW w:w="170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rPr>
                <w:highlight w:val="none"/>
              </w:rPr>
            </w:r>
            <w:r>
              <w:rPr>
                <w:highlight w:val="none"/>
              </w:rPr>
            </w:r>
          </w:p>
        </w:tc>
        <w:tc>
          <w:tcPr>
            <w:tcW w:w="102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rPr>
                <w:highlight w:val="none"/>
              </w:rPr>
            </w:r>
            <w:r>
              <w:rPr>
                <w:highlight w:val="none"/>
              </w:rPr>
            </w:r>
          </w:p>
        </w:tc>
        <w:tc>
          <w:tcPr>
            <w:tcW w:w="1866"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5000≤Y＜40000</w:t>
            </w:r>
            <w:r>
              <w:rPr>
                <w:highlight w:val="none"/>
              </w:rPr>
            </w:r>
            <w:r>
              <w:rPr>
                <w:highlight w:val="none"/>
              </w:rPr>
            </w:r>
          </w:p>
        </w:tc>
        <w:tc>
          <w:tcPr>
            <w:tcW w:w="1680"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1000≤Y＜5000</w:t>
            </w:r>
            <w:r>
              <w:rPr>
                <w:highlight w:val="none"/>
              </w:rPr>
            </w:r>
            <w:r>
              <w:rPr>
                <w:highlight w:val="none"/>
              </w:rPr>
            </w:r>
          </w:p>
        </w:tc>
        <w:tc>
          <w:tcPr>
            <w:tcW w:w="114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Y＜1000</w:t>
            </w:r>
            <w:r>
              <w:rPr>
                <w:highlight w:val="none"/>
              </w:rPr>
            </w:r>
            <w:r>
              <w:rPr>
                <w:highlight w:val="none"/>
              </w:rPr>
            </w:r>
          </w:p>
        </w:tc>
      </w:tr>
      <w:tr>
        <w:trPr>
          <w:trHeight w:val="311"/>
        </w:trPr>
        <w:tc>
          <w:tcPr>
            <w:tcW w:w="1683" w:type="dxa"/>
            <w:vAlign w:val="center"/>
            <w:vMerge w:val="restart"/>
            <w:textDirection w:val="lrTb"/>
            <w:noWrap w:val="false"/>
          </w:tcPr>
          <w:p>
            <w:pPr>
              <w:pStyle w:val="1241"/>
              <w:jc w:val="center"/>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r>
            <w:r>
              <w:rPr>
                <w:highlight w:val="none"/>
              </w:rPr>
            </w:r>
            <w:r>
              <w:rPr>
                <w:highlight w:val="none"/>
              </w:rPr>
            </w:r>
          </w:p>
          <w:p>
            <w:pPr>
              <w:pStyle w:val="1241"/>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零售业</w:t>
            </w:r>
            <w:r>
              <w:rPr>
                <w:highlight w:val="none"/>
              </w:rPr>
            </w:r>
            <w:r>
              <w:rPr>
                <w:highlight w:val="none"/>
              </w:rPr>
            </w:r>
          </w:p>
        </w:tc>
        <w:tc>
          <w:tcPr>
            <w:tcW w:w="170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rPr>
                <w:highlight w:val="none"/>
              </w:rPr>
            </w:r>
            <w:r>
              <w:rPr>
                <w:highlight w:val="none"/>
              </w:rPr>
            </w:r>
          </w:p>
        </w:tc>
        <w:tc>
          <w:tcPr>
            <w:tcW w:w="102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rPr>
                <w:highlight w:val="none"/>
              </w:rPr>
            </w:r>
            <w:r>
              <w:rPr>
                <w:highlight w:val="none"/>
              </w:rPr>
            </w:r>
          </w:p>
        </w:tc>
        <w:tc>
          <w:tcPr>
            <w:tcW w:w="1866"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50≤X＜300</w:t>
            </w:r>
            <w:r>
              <w:rPr>
                <w:highlight w:val="none"/>
              </w:rPr>
            </w:r>
            <w:r>
              <w:rPr>
                <w:highlight w:val="none"/>
              </w:rPr>
            </w:r>
          </w:p>
        </w:tc>
        <w:tc>
          <w:tcPr>
            <w:tcW w:w="1680"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10≤X＜50</w:t>
            </w:r>
            <w:r>
              <w:rPr>
                <w:highlight w:val="none"/>
              </w:rPr>
            </w:r>
            <w:r>
              <w:rPr>
                <w:highlight w:val="none"/>
              </w:rPr>
            </w:r>
          </w:p>
        </w:tc>
        <w:tc>
          <w:tcPr>
            <w:tcW w:w="114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w:t>
            </w:r>
            <w:r>
              <w:rPr>
                <w:highlight w:val="none"/>
              </w:rPr>
            </w:r>
            <w:r>
              <w:rPr>
                <w:highlight w:val="none"/>
              </w:rPr>
            </w:r>
          </w:p>
        </w:tc>
      </w:tr>
      <w:tr>
        <w:trPr>
          <w:trHeight w:val="313"/>
        </w:trPr>
        <w:tc>
          <w:tcPr>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rPr>
            </w:pPr>
            <w:r>
              <w:rPr>
                <w:rFonts w:hint="eastAsia" w:ascii="微软雅黑" w:hAnsi="微软雅黑" w:cs="微软雅黑"/>
                <w:b/>
                <w:color w:val="auto"/>
                <w:szCs w:val="21"/>
              </w:rPr>
            </w:r>
            <w:r/>
          </w:p>
        </w:tc>
        <w:tc>
          <w:tcPr>
            <w:tcW w:w="170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rPr>
                <w:highlight w:val="none"/>
              </w:rPr>
            </w:r>
            <w:r>
              <w:rPr>
                <w:highlight w:val="none"/>
              </w:rPr>
            </w:r>
          </w:p>
        </w:tc>
        <w:tc>
          <w:tcPr>
            <w:tcW w:w="102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rPr>
                <w:highlight w:val="none"/>
              </w:rPr>
            </w:r>
            <w:r>
              <w:rPr>
                <w:highlight w:val="none"/>
              </w:rPr>
            </w:r>
          </w:p>
        </w:tc>
        <w:tc>
          <w:tcPr>
            <w:tcW w:w="1866"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500≤Y＜20000</w:t>
            </w:r>
            <w:r>
              <w:rPr>
                <w:highlight w:val="none"/>
              </w:rPr>
            </w:r>
            <w:r>
              <w:rPr>
                <w:highlight w:val="none"/>
              </w:rPr>
            </w:r>
          </w:p>
        </w:tc>
        <w:tc>
          <w:tcPr>
            <w:tcW w:w="1680"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100≤Y＜500</w:t>
            </w:r>
            <w:r>
              <w:rPr>
                <w:highlight w:val="none"/>
              </w:rPr>
            </w:r>
            <w:r>
              <w:rPr>
                <w:highlight w:val="none"/>
              </w:rPr>
            </w:r>
          </w:p>
        </w:tc>
        <w:tc>
          <w:tcPr>
            <w:tcW w:w="114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Y＜100</w:t>
            </w:r>
            <w:r>
              <w:rPr>
                <w:highlight w:val="none"/>
              </w:rPr>
            </w:r>
            <w:r>
              <w:rPr>
                <w:highlight w:val="none"/>
              </w:rPr>
            </w:r>
          </w:p>
        </w:tc>
      </w:tr>
      <w:tr>
        <w:trPr>
          <w:trHeight w:val="311"/>
        </w:trPr>
        <w:tc>
          <w:tcPr>
            <w:tcW w:w="1683" w:type="dxa"/>
            <w:vAlign w:val="center"/>
            <w:vMerge w:val="restart"/>
            <w:textDirection w:val="lrTb"/>
            <w:noWrap w:val="false"/>
          </w:tcPr>
          <w:p>
            <w:pPr>
              <w:pStyle w:val="1241"/>
              <w:jc w:val="center"/>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r>
            <w:r>
              <w:rPr>
                <w:highlight w:val="none"/>
              </w:rPr>
            </w:r>
            <w:r>
              <w:rPr>
                <w:highlight w:val="none"/>
              </w:rPr>
            </w:r>
          </w:p>
          <w:p>
            <w:pPr>
              <w:pStyle w:val="1241"/>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交通运输业</w:t>
            </w:r>
            <w:r>
              <w:rPr>
                <w:highlight w:val="none"/>
              </w:rPr>
            </w:r>
            <w:r>
              <w:rPr>
                <w:highlight w:val="none"/>
              </w:rPr>
            </w:r>
          </w:p>
        </w:tc>
        <w:tc>
          <w:tcPr>
            <w:tcW w:w="170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rPr>
                <w:highlight w:val="none"/>
              </w:rPr>
            </w:r>
            <w:r>
              <w:rPr>
                <w:highlight w:val="none"/>
              </w:rPr>
            </w:r>
          </w:p>
        </w:tc>
        <w:tc>
          <w:tcPr>
            <w:tcW w:w="102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rPr>
                <w:highlight w:val="none"/>
              </w:rPr>
            </w:r>
            <w:r>
              <w:rPr>
                <w:highlight w:val="none"/>
              </w:rPr>
            </w:r>
          </w:p>
        </w:tc>
        <w:tc>
          <w:tcPr>
            <w:tcW w:w="1866"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300≤X＜1000</w:t>
            </w:r>
            <w:r>
              <w:rPr>
                <w:highlight w:val="none"/>
              </w:rPr>
            </w:r>
            <w:r>
              <w:rPr>
                <w:highlight w:val="none"/>
              </w:rPr>
            </w:r>
          </w:p>
        </w:tc>
        <w:tc>
          <w:tcPr>
            <w:tcW w:w="1680"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20≤X＜300</w:t>
            </w:r>
            <w:r>
              <w:rPr>
                <w:highlight w:val="none"/>
              </w:rPr>
            </w:r>
            <w:r>
              <w:rPr>
                <w:highlight w:val="none"/>
              </w:rPr>
            </w:r>
          </w:p>
        </w:tc>
        <w:tc>
          <w:tcPr>
            <w:tcW w:w="114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X＜20</w:t>
            </w:r>
            <w:r>
              <w:rPr>
                <w:highlight w:val="none"/>
              </w:rPr>
            </w:r>
            <w:r>
              <w:rPr>
                <w:highlight w:val="none"/>
              </w:rPr>
            </w:r>
          </w:p>
        </w:tc>
      </w:tr>
      <w:tr>
        <w:trPr>
          <w:trHeight w:val="311"/>
        </w:trPr>
        <w:tc>
          <w:tcPr>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rPr>
            </w:pPr>
            <w:r>
              <w:rPr>
                <w:rFonts w:hint="eastAsia" w:ascii="微软雅黑" w:hAnsi="微软雅黑" w:cs="微软雅黑"/>
                <w:b/>
                <w:color w:val="auto"/>
                <w:szCs w:val="21"/>
              </w:rPr>
            </w:r>
            <w:r/>
          </w:p>
        </w:tc>
        <w:tc>
          <w:tcPr>
            <w:tcW w:w="170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rPr>
                <w:highlight w:val="none"/>
              </w:rPr>
            </w:r>
            <w:r>
              <w:rPr>
                <w:highlight w:val="none"/>
              </w:rPr>
            </w:r>
          </w:p>
        </w:tc>
        <w:tc>
          <w:tcPr>
            <w:tcW w:w="102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rPr>
                <w:highlight w:val="none"/>
              </w:rPr>
            </w:r>
            <w:r>
              <w:rPr>
                <w:highlight w:val="none"/>
              </w:rPr>
            </w:r>
          </w:p>
        </w:tc>
        <w:tc>
          <w:tcPr>
            <w:tcW w:w="1866"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3000≤Y＜30000</w:t>
            </w:r>
            <w:r>
              <w:rPr>
                <w:highlight w:val="none"/>
              </w:rPr>
            </w:r>
            <w:r>
              <w:rPr>
                <w:highlight w:val="none"/>
              </w:rPr>
            </w:r>
          </w:p>
        </w:tc>
        <w:tc>
          <w:tcPr>
            <w:tcW w:w="1680"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200≤Y＜3000</w:t>
            </w:r>
            <w:r>
              <w:rPr>
                <w:highlight w:val="none"/>
              </w:rPr>
            </w:r>
            <w:r>
              <w:rPr>
                <w:highlight w:val="none"/>
              </w:rPr>
            </w:r>
          </w:p>
        </w:tc>
        <w:tc>
          <w:tcPr>
            <w:tcW w:w="114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Y＜200</w:t>
            </w:r>
            <w:r>
              <w:rPr>
                <w:highlight w:val="none"/>
              </w:rPr>
            </w:r>
            <w:r>
              <w:rPr>
                <w:highlight w:val="none"/>
              </w:rPr>
            </w:r>
          </w:p>
        </w:tc>
      </w:tr>
      <w:tr>
        <w:trPr>
          <w:trHeight w:val="311"/>
        </w:trPr>
        <w:tc>
          <w:tcPr>
            <w:tcW w:w="1683" w:type="dxa"/>
            <w:vAlign w:val="center"/>
            <w:vMerge w:val="restart"/>
            <w:textDirection w:val="lrTb"/>
            <w:noWrap w:val="false"/>
          </w:tcPr>
          <w:p>
            <w:pPr>
              <w:pStyle w:val="1241"/>
              <w:jc w:val="center"/>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r>
            <w:r>
              <w:rPr>
                <w:highlight w:val="none"/>
              </w:rPr>
            </w:r>
            <w:r>
              <w:rPr>
                <w:highlight w:val="none"/>
              </w:rPr>
            </w:r>
          </w:p>
          <w:p>
            <w:pPr>
              <w:pStyle w:val="1241"/>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仓储业</w:t>
            </w:r>
            <w:r>
              <w:rPr>
                <w:highlight w:val="none"/>
              </w:rPr>
            </w:r>
            <w:r>
              <w:rPr>
                <w:highlight w:val="none"/>
              </w:rPr>
            </w:r>
          </w:p>
        </w:tc>
        <w:tc>
          <w:tcPr>
            <w:tcW w:w="170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rPr>
                <w:highlight w:val="none"/>
              </w:rPr>
            </w:r>
            <w:r>
              <w:rPr>
                <w:highlight w:val="none"/>
              </w:rPr>
            </w:r>
          </w:p>
        </w:tc>
        <w:tc>
          <w:tcPr>
            <w:tcW w:w="102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rPr>
                <w:highlight w:val="none"/>
              </w:rPr>
            </w:r>
            <w:r>
              <w:rPr>
                <w:highlight w:val="none"/>
              </w:rPr>
            </w:r>
          </w:p>
        </w:tc>
        <w:tc>
          <w:tcPr>
            <w:tcW w:w="1866"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100≤X＜200</w:t>
            </w:r>
            <w:r>
              <w:rPr>
                <w:highlight w:val="none"/>
              </w:rPr>
            </w:r>
            <w:r>
              <w:rPr>
                <w:highlight w:val="none"/>
              </w:rPr>
            </w:r>
          </w:p>
        </w:tc>
        <w:tc>
          <w:tcPr>
            <w:tcW w:w="1680"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20≤X＜100</w:t>
            </w:r>
            <w:r>
              <w:rPr>
                <w:highlight w:val="none"/>
              </w:rPr>
            </w:r>
            <w:r>
              <w:rPr>
                <w:highlight w:val="none"/>
              </w:rPr>
            </w:r>
          </w:p>
        </w:tc>
        <w:tc>
          <w:tcPr>
            <w:tcW w:w="114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X＜20</w:t>
            </w:r>
            <w:r>
              <w:rPr>
                <w:highlight w:val="none"/>
              </w:rPr>
            </w:r>
            <w:r>
              <w:rPr>
                <w:highlight w:val="none"/>
              </w:rPr>
            </w:r>
          </w:p>
        </w:tc>
      </w:tr>
      <w:tr>
        <w:trPr>
          <w:trHeight w:val="311"/>
        </w:trPr>
        <w:tc>
          <w:tcPr>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rPr>
            </w:pPr>
            <w:r>
              <w:rPr>
                <w:rFonts w:hint="eastAsia" w:ascii="微软雅黑" w:hAnsi="微软雅黑" w:cs="微软雅黑"/>
                <w:b/>
                <w:color w:val="auto"/>
                <w:szCs w:val="21"/>
              </w:rPr>
            </w:r>
            <w:r/>
          </w:p>
        </w:tc>
        <w:tc>
          <w:tcPr>
            <w:tcW w:w="170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rPr>
                <w:highlight w:val="none"/>
              </w:rPr>
            </w:r>
            <w:r>
              <w:rPr>
                <w:highlight w:val="none"/>
              </w:rPr>
            </w:r>
          </w:p>
        </w:tc>
        <w:tc>
          <w:tcPr>
            <w:tcW w:w="102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rPr>
                <w:highlight w:val="none"/>
              </w:rPr>
            </w:r>
            <w:r>
              <w:rPr>
                <w:highlight w:val="none"/>
              </w:rPr>
            </w:r>
          </w:p>
        </w:tc>
        <w:tc>
          <w:tcPr>
            <w:tcW w:w="1866"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1000≤Y＜30000</w:t>
            </w:r>
            <w:r>
              <w:rPr>
                <w:highlight w:val="none"/>
              </w:rPr>
            </w:r>
            <w:r>
              <w:rPr>
                <w:highlight w:val="none"/>
              </w:rPr>
            </w:r>
          </w:p>
        </w:tc>
        <w:tc>
          <w:tcPr>
            <w:tcW w:w="1680"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100≤Y＜1000</w:t>
            </w:r>
            <w:r>
              <w:rPr>
                <w:highlight w:val="none"/>
              </w:rPr>
            </w:r>
            <w:r>
              <w:rPr>
                <w:highlight w:val="none"/>
              </w:rPr>
            </w:r>
          </w:p>
        </w:tc>
        <w:tc>
          <w:tcPr>
            <w:tcW w:w="114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Y＜100</w:t>
            </w:r>
            <w:r>
              <w:rPr>
                <w:highlight w:val="none"/>
              </w:rPr>
            </w:r>
            <w:r>
              <w:rPr>
                <w:highlight w:val="none"/>
              </w:rPr>
            </w:r>
          </w:p>
        </w:tc>
      </w:tr>
      <w:tr>
        <w:trPr>
          <w:trHeight w:val="314"/>
        </w:trPr>
        <w:tc>
          <w:tcPr>
            <w:tcW w:w="1683" w:type="dxa"/>
            <w:vAlign w:val="center"/>
            <w:vMerge w:val="restart"/>
            <w:textDirection w:val="lrTb"/>
            <w:noWrap w:val="false"/>
          </w:tcPr>
          <w:p>
            <w:pPr>
              <w:pStyle w:val="1241"/>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邮政业</w:t>
            </w:r>
            <w:r>
              <w:rPr>
                <w:highlight w:val="none"/>
              </w:rPr>
            </w:r>
            <w:r>
              <w:rPr>
                <w:highlight w:val="none"/>
              </w:rPr>
            </w:r>
          </w:p>
        </w:tc>
        <w:tc>
          <w:tcPr>
            <w:tcW w:w="170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rPr>
                <w:highlight w:val="none"/>
              </w:rPr>
            </w:r>
            <w:r>
              <w:rPr>
                <w:highlight w:val="none"/>
              </w:rPr>
            </w:r>
          </w:p>
        </w:tc>
        <w:tc>
          <w:tcPr>
            <w:tcW w:w="102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rPr>
                <w:highlight w:val="none"/>
              </w:rPr>
            </w:r>
            <w:r>
              <w:rPr>
                <w:highlight w:val="none"/>
              </w:rPr>
            </w:r>
          </w:p>
        </w:tc>
        <w:tc>
          <w:tcPr>
            <w:tcW w:w="1866"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300≤X＜1000</w:t>
            </w:r>
            <w:r>
              <w:rPr>
                <w:highlight w:val="none"/>
              </w:rPr>
            </w:r>
            <w:r>
              <w:rPr>
                <w:highlight w:val="none"/>
              </w:rPr>
            </w:r>
          </w:p>
        </w:tc>
        <w:tc>
          <w:tcPr>
            <w:tcW w:w="1680"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20≤X＜300</w:t>
            </w:r>
            <w:r>
              <w:rPr>
                <w:highlight w:val="none"/>
              </w:rPr>
            </w:r>
            <w:r>
              <w:rPr>
                <w:highlight w:val="none"/>
              </w:rPr>
            </w:r>
          </w:p>
        </w:tc>
        <w:tc>
          <w:tcPr>
            <w:tcW w:w="114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X＜20</w:t>
            </w:r>
            <w:r>
              <w:rPr>
                <w:highlight w:val="none"/>
              </w:rPr>
            </w:r>
            <w:r>
              <w:rPr>
                <w:highlight w:val="none"/>
              </w:rPr>
            </w:r>
          </w:p>
        </w:tc>
      </w:tr>
      <w:tr>
        <w:trPr>
          <w:trHeight w:val="312"/>
        </w:trPr>
        <w:tc>
          <w:tcPr>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rPr>
            </w:pPr>
            <w:r>
              <w:rPr>
                <w:rFonts w:hint="eastAsia" w:ascii="微软雅黑" w:hAnsi="微软雅黑" w:cs="微软雅黑"/>
                <w:b/>
                <w:color w:val="auto"/>
                <w:szCs w:val="21"/>
              </w:rPr>
            </w:r>
            <w:r/>
          </w:p>
        </w:tc>
        <w:tc>
          <w:tcPr>
            <w:tcW w:w="170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rPr>
                <w:highlight w:val="none"/>
              </w:rPr>
            </w:r>
            <w:r>
              <w:rPr>
                <w:highlight w:val="none"/>
              </w:rPr>
            </w:r>
          </w:p>
        </w:tc>
        <w:tc>
          <w:tcPr>
            <w:tcW w:w="102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rPr>
                <w:highlight w:val="none"/>
              </w:rPr>
            </w:r>
            <w:r>
              <w:rPr>
                <w:highlight w:val="none"/>
              </w:rPr>
            </w:r>
          </w:p>
        </w:tc>
        <w:tc>
          <w:tcPr>
            <w:tcW w:w="1866"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2000≤Y＜30000</w:t>
            </w:r>
            <w:r>
              <w:rPr>
                <w:highlight w:val="none"/>
              </w:rPr>
            </w:r>
            <w:r>
              <w:rPr>
                <w:highlight w:val="none"/>
              </w:rPr>
            </w:r>
          </w:p>
        </w:tc>
        <w:tc>
          <w:tcPr>
            <w:tcW w:w="1680"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100≤Y＜2000</w:t>
            </w:r>
            <w:r>
              <w:rPr>
                <w:highlight w:val="none"/>
              </w:rPr>
            </w:r>
            <w:r>
              <w:rPr>
                <w:highlight w:val="none"/>
              </w:rPr>
            </w:r>
          </w:p>
        </w:tc>
        <w:tc>
          <w:tcPr>
            <w:tcW w:w="114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Y＜100</w:t>
            </w:r>
            <w:r>
              <w:rPr>
                <w:highlight w:val="none"/>
              </w:rPr>
            </w:r>
            <w:r>
              <w:rPr>
                <w:highlight w:val="none"/>
              </w:rPr>
            </w:r>
          </w:p>
        </w:tc>
      </w:tr>
      <w:tr>
        <w:trPr>
          <w:trHeight w:val="311"/>
        </w:trPr>
        <w:tc>
          <w:tcPr>
            <w:tcW w:w="1683" w:type="dxa"/>
            <w:vAlign w:val="center"/>
            <w:vMerge w:val="restart"/>
            <w:textDirection w:val="lrTb"/>
            <w:noWrap w:val="false"/>
          </w:tcPr>
          <w:p>
            <w:pPr>
              <w:pStyle w:val="1241"/>
              <w:jc w:val="center"/>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r>
            <w:r>
              <w:rPr>
                <w:highlight w:val="none"/>
              </w:rPr>
            </w:r>
            <w:r>
              <w:rPr>
                <w:highlight w:val="none"/>
              </w:rPr>
            </w:r>
          </w:p>
          <w:p>
            <w:pPr>
              <w:pStyle w:val="1241"/>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住宿业</w:t>
            </w:r>
            <w:r>
              <w:rPr>
                <w:highlight w:val="none"/>
              </w:rPr>
            </w:r>
            <w:r>
              <w:rPr>
                <w:highlight w:val="none"/>
              </w:rPr>
            </w:r>
          </w:p>
        </w:tc>
        <w:tc>
          <w:tcPr>
            <w:tcW w:w="170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rPr>
                <w:highlight w:val="none"/>
              </w:rPr>
            </w:r>
            <w:r>
              <w:rPr>
                <w:highlight w:val="none"/>
              </w:rPr>
            </w:r>
          </w:p>
        </w:tc>
        <w:tc>
          <w:tcPr>
            <w:tcW w:w="102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rPr>
                <w:highlight w:val="none"/>
              </w:rPr>
            </w:r>
            <w:r>
              <w:rPr>
                <w:highlight w:val="none"/>
              </w:rPr>
            </w:r>
          </w:p>
        </w:tc>
        <w:tc>
          <w:tcPr>
            <w:tcW w:w="1866"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100≤X＜300</w:t>
            </w:r>
            <w:r>
              <w:rPr>
                <w:highlight w:val="none"/>
              </w:rPr>
            </w:r>
            <w:r>
              <w:rPr>
                <w:highlight w:val="none"/>
              </w:rPr>
            </w:r>
          </w:p>
        </w:tc>
        <w:tc>
          <w:tcPr>
            <w:tcW w:w="1680"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10≤X＜100</w:t>
            </w:r>
            <w:r>
              <w:rPr>
                <w:highlight w:val="none"/>
              </w:rPr>
            </w:r>
            <w:r>
              <w:rPr>
                <w:highlight w:val="none"/>
              </w:rPr>
            </w:r>
          </w:p>
        </w:tc>
        <w:tc>
          <w:tcPr>
            <w:tcW w:w="114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w:t>
            </w:r>
            <w:r>
              <w:rPr>
                <w:highlight w:val="none"/>
              </w:rPr>
            </w:r>
            <w:r>
              <w:rPr>
                <w:highlight w:val="none"/>
              </w:rPr>
            </w:r>
          </w:p>
        </w:tc>
      </w:tr>
      <w:tr>
        <w:trPr>
          <w:trHeight w:val="311"/>
        </w:trPr>
        <w:tc>
          <w:tcPr>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rPr>
            </w:pPr>
            <w:r>
              <w:rPr>
                <w:rFonts w:hint="eastAsia" w:ascii="微软雅黑" w:hAnsi="微软雅黑" w:cs="微软雅黑"/>
                <w:b/>
                <w:color w:val="auto"/>
                <w:szCs w:val="21"/>
              </w:rPr>
            </w:r>
            <w:r/>
          </w:p>
        </w:tc>
        <w:tc>
          <w:tcPr>
            <w:tcW w:w="170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rPr>
                <w:highlight w:val="none"/>
              </w:rPr>
            </w:r>
            <w:r>
              <w:rPr>
                <w:highlight w:val="none"/>
              </w:rPr>
            </w:r>
          </w:p>
        </w:tc>
        <w:tc>
          <w:tcPr>
            <w:tcW w:w="102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rPr>
                <w:highlight w:val="none"/>
              </w:rPr>
            </w:r>
            <w:r>
              <w:rPr>
                <w:highlight w:val="none"/>
              </w:rPr>
            </w:r>
          </w:p>
        </w:tc>
        <w:tc>
          <w:tcPr>
            <w:tcW w:w="1866"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2000≤Y＜10000</w:t>
            </w:r>
            <w:r>
              <w:rPr>
                <w:highlight w:val="none"/>
              </w:rPr>
            </w:r>
            <w:r>
              <w:rPr>
                <w:highlight w:val="none"/>
              </w:rPr>
            </w:r>
          </w:p>
        </w:tc>
        <w:tc>
          <w:tcPr>
            <w:tcW w:w="1680"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100≤Y＜2000</w:t>
            </w:r>
            <w:r>
              <w:rPr>
                <w:highlight w:val="none"/>
              </w:rPr>
            </w:r>
            <w:r>
              <w:rPr>
                <w:highlight w:val="none"/>
              </w:rPr>
            </w:r>
          </w:p>
        </w:tc>
        <w:tc>
          <w:tcPr>
            <w:tcW w:w="114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Y＜100</w:t>
            </w:r>
            <w:r>
              <w:rPr>
                <w:highlight w:val="none"/>
              </w:rPr>
            </w:r>
            <w:r>
              <w:rPr>
                <w:highlight w:val="none"/>
              </w:rPr>
            </w:r>
          </w:p>
        </w:tc>
      </w:tr>
      <w:tr>
        <w:trPr>
          <w:trHeight w:val="311"/>
        </w:trPr>
        <w:tc>
          <w:tcPr>
            <w:tcW w:w="1683" w:type="dxa"/>
            <w:vAlign w:val="center"/>
            <w:vMerge w:val="restart"/>
            <w:textDirection w:val="lrTb"/>
            <w:noWrap w:val="false"/>
          </w:tcPr>
          <w:p>
            <w:pPr>
              <w:pStyle w:val="1241"/>
              <w:jc w:val="center"/>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r>
            <w:r>
              <w:rPr>
                <w:highlight w:val="none"/>
              </w:rPr>
            </w:r>
            <w:r>
              <w:rPr>
                <w:highlight w:val="none"/>
              </w:rPr>
            </w:r>
          </w:p>
          <w:p>
            <w:pPr>
              <w:pStyle w:val="1241"/>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餐饮业</w:t>
            </w:r>
            <w:r>
              <w:rPr>
                <w:highlight w:val="none"/>
              </w:rPr>
            </w:r>
            <w:r>
              <w:rPr>
                <w:highlight w:val="none"/>
              </w:rPr>
            </w:r>
          </w:p>
        </w:tc>
        <w:tc>
          <w:tcPr>
            <w:tcW w:w="170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rPr>
                <w:highlight w:val="none"/>
              </w:rPr>
            </w:r>
            <w:r>
              <w:rPr>
                <w:highlight w:val="none"/>
              </w:rPr>
            </w:r>
          </w:p>
        </w:tc>
        <w:tc>
          <w:tcPr>
            <w:tcW w:w="102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rPr>
                <w:highlight w:val="none"/>
              </w:rPr>
            </w:r>
            <w:r>
              <w:rPr>
                <w:highlight w:val="none"/>
              </w:rPr>
            </w:r>
          </w:p>
        </w:tc>
        <w:tc>
          <w:tcPr>
            <w:tcW w:w="1866"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100≤X＜300</w:t>
            </w:r>
            <w:r>
              <w:rPr>
                <w:highlight w:val="none"/>
              </w:rPr>
            </w:r>
            <w:r>
              <w:rPr>
                <w:highlight w:val="none"/>
              </w:rPr>
            </w:r>
          </w:p>
        </w:tc>
        <w:tc>
          <w:tcPr>
            <w:tcW w:w="1680"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10≤X＜100</w:t>
            </w:r>
            <w:r>
              <w:rPr>
                <w:highlight w:val="none"/>
              </w:rPr>
            </w:r>
            <w:r>
              <w:rPr>
                <w:highlight w:val="none"/>
              </w:rPr>
            </w:r>
          </w:p>
        </w:tc>
        <w:tc>
          <w:tcPr>
            <w:tcW w:w="114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w:t>
            </w:r>
            <w:r>
              <w:rPr>
                <w:highlight w:val="none"/>
              </w:rPr>
            </w:r>
            <w:r>
              <w:rPr>
                <w:highlight w:val="none"/>
              </w:rPr>
            </w:r>
          </w:p>
        </w:tc>
      </w:tr>
      <w:tr>
        <w:trPr>
          <w:trHeight w:val="313"/>
        </w:trPr>
        <w:tc>
          <w:tcPr>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rPr>
            </w:pPr>
            <w:r>
              <w:rPr>
                <w:rFonts w:hint="eastAsia" w:ascii="微软雅黑" w:hAnsi="微软雅黑" w:cs="微软雅黑"/>
                <w:b/>
                <w:color w:val="auto"/>
                <w:szCs w:val="21"/>
              </w:rPr>
            </w:r>
            <w:r/>
          </w:p>
        </w:tc>
        <w:tc>
          <w:tcPr>
            <w:tcW w:w="170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rPr>
                <w:highlight w:val="none"/>
              </w:rPr>
            </w:r>
            <w:r>
              <w:rPr>
                <w:highlight w:val="none"/>
              </w:rPr>
            </w:r>
          </w:p>
        </w:tc>
        <w:tc>
          <w:tcPr>
            <w:tcW w:w="102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rPr>
                <w:highlight w:val="none"/>
              </w:rPr>
            </w:r>
            <w:r>
              <w:rPr>
                <w:highlight w:val="none"/>
              </w:rPr>
            </w:r>
          </w:p>
        </w:tc>
        <w:tc>
          <w:tcPr>
            <w:tcW w:w="1866"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2000≤Y＜10000</w:t>
            </w:r>
            <w:r>
              <w:rPr>
                <w:highlight w:val="none"/>
              </w:rPr>
            </w:r>
            <w:r>
              <w:rPr>
                <w:highlight w:val="none"/>
              </w:rPr>
            </w:r>
          </w:p>
        </w:tc>
        <w:tc>
          <w:tcPr>
            <w:tcW w:w="1680"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100≤Y＜2000</w:t>
            </w:r>
            <w:r>
              <w:rPr>
                <w:highlight w:val="none"/>
              </w:rPr>
            </w:r>
            <w:r>
              <w:rPr>
                <w:highlight w:val="none"/>
              </w:rPr>
            </w:r>
          </w:p>
        </w:tc>
        <w:tc>
          <w:tcPr>
            <w:tcW w:w="114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Y＜100</w:t>
            </w:r>
            <w:r>
              <w:rPr>
                <w:highlight w:val="none"/>
              </w:rPr>
            </w:r>
            <w:r>
              <w:rPr>
                <w:highlight w:val="none"/>
              </w:rPr>
            </w:r>
          </w:p>
        </w:tc>
      </w:tr>
      <w:tr>
        <w:trPr>
          <w:trHeight w:val="311"/>
        </w:trPr>
        <w:tc>
          <w:tcPr>
            <w:tcW w:w="1683" w:type="dxa"/>
            <w:vAlign w:val="center"/>
            <w:vMerge w:val="restart"/>
            <w:textDirection w:val="lrTb"/>
            <w:noWrap w:val="false"/>
          </w:tcPr>
          <w:p>
            <w:pPr>
              <w:pStyle w:val="1241"/>
              <w:jc w:val="center"/>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r>
            <w:r>
              <w:rPr>
                <w:highlight w:val="none"/>
              </w:rPr>
            </w:r>
            <w:r>
              <w:rPr>
                <w:highlight w:val="none"/>
              </w:rPr>
            </w:r>
          </w:p>
          <w:p>
            <w:pPr>
              <w:pStyle w:val="1241"/>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信息传输业</w:t>
            </w:r>
            <w:r>
              <w:rPr>
                <w:highlight w:val="none"/>
              </w:rPr>
            </w:r>
            <w:r>
              <w:rPr>
                <w:highlight w:val="none"/>
              </w:rPr>
            </w:r>
          </w:p>
        </w:tc>
        <w:tc>
          <w:tcPr>
            <w:tcW w:w="170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rPr>
                <w:highlight w:val="none"/>
              </w:rPr>
            </w:r>
            <w:r>
              <w:rPr>
                <w:highlight w:val="none"/>
              </w:rPr>
            </w:r>
          </w:p>
        </w:tc>
        <w:tc>
          <w:tcPr>
            <w:tcW w:w="102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rPr>
                <w:highlight w:val="none"/>
              </w:rPr>
            </w:r>
            <w:r>
              <w:rPr>
                <w:highlight w:val="none"/>
              </w:rPr>
            </w:r>
          </w:p>
        </w:tc>
        <w:tc>
          <w:tcPr>
            <w:tcW w:w="1866"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100≤X＜2000</w:t>
            </w:r>
            <w:r>
              <w:rPr>
                <w:highlight w:val="none"/>
              </w:rPr>
            </w:r>
            <w:r>
              <w:rPr>
                <w:highlight w:val="none"/>
              </w:rPr>
            </w:r>
          </w:p>
        </w:tc>
        <w:tc>
          <w:tcPr>
            <w:tcW w:w="1680"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10≤X＜100</w:t>
            </w:r>
            <w:r>
              <w:rPr>
                <w:highlight w:val="none"/>
              </w:rPr>
            </w:r>
            <w:r>
              <w:rPr>
                <w:highlight w:val="none"/>
              </w:rPr>
            </w:r>
          </w:p>
        </w:tc>
        <w:tc>
          <w:tcPr>
            <w:tcW w:w="114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w:t>
            </w:r>
            <w:r>
              <w:rPr>
                <w:highlight w:val="none"/>
              </w:rPr>
            </w:r>
            <w:r>
              <w:rPr>
                <w:highlight w:val="none"/>
              </w:rPr>
            </w:r>
          </w:p>
        </w:tc>
      </w:tr>
      <w:tr>
        <w:trPr>
          <w:trHeight w:val="311"/>
        </w:trPr>
        <w:tc>
          <w:tcPr>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rPr>
            </w:pPr>
            <w:r>
              <w:rPr>
                <w:rFonts w:hint="eastAsia" w:ascii="微软雅黑" w:hAnsi="微软雅黑" w:cs="微软雅黑"/>
                <w:b/>
                <w:color w:val="auto"/>
                <w:szCs w:val="21"/>
              </w:rPr>
            </w:r>
            <w:r/>
          </w:p>
        </w:tc>
        <w:tc>
          <w:tcPr>
            <w:tcW w:w="170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rPr>
                <w:highlight w:val="none"/>
              </w:rPr>
            </w:r>
            <w:r>
              <w:rPr>
                <w:highlight w:val="none"/>
              </w:rPr>
            </w:r>
          </w:p>
        </w:tc>
        <w:tc>
          <w:tcPr>
            <w:tcW w:w="102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rPr>
                <w:highlight w:val="none"/>
              </w:rPr>
            </w:r>
            <w:r>
              <w:rPr>
                <w:highlight w:val="none"/>
              </w:rPr>
            </w:r>
          </w:p>
        </w:tc>
        <w:tc>
          <w:tcPr>
            <w:tcW w:w="1866"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1000≤Y＜100000</w:t>
            </w:r>
            <w:r>
              <w:rPr>
                <w:highlight w:val="none"/>
              </w:rPr>
            </w:r>
            <w:r>
              <w:rPr>
                <w:highlight w:val="none"/>
              </w:rPr>
            </w:r>
          </w:p>
        </w:tc>
        <w:tc>
          <w:tcPr>
            <w:tcW w:w="1680"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100≤Y＜1000</w:t>
            </w:r>
            <w:r>
              <w:rPr>
                <w:highlight w:val="none"/>
              </w:rPr>
            </w:r>
            <w:r>
              <w:rPr>
                <w:highlight w:val="none"/>
              </w:rPr>
            </w:r>
          </w:p>
        </w:tc>
        <w:tc>
          <w:tcPr>
            <w:tcW w:w="114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Y＜100</w:t>
            </w:r>
            <w:r>
              <w:rPr>
                <w:highlight w:val="none"/>
              </w:rPr>
            </w:r>
            <w:r>
              <w:rPr>
                <w:highlight w:val="none"/>
              </w:rPr>
            </w:r>
          </w:p>
        </w:tc>
      </w:tr>
      <w:tr>
        <w:trPr>
          <w:trHeight w:val="311"/>
        </w:trPr>
        <w:tc>
          <w:tcPr>
            <w:tcW w:w="1683" w:type="dxa"/>
            <w:vAlign w:val="center"/>
            <w:vMerge w:val="restart"/>
            <w:textDirection w:val="lrTb"/>
            <w:noWrap w:val="false"/>
          </w:tcPr>
          <w:p>
            <w:pPr>
              <w:pStyle w:val="1241"/>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软件和信息技术服务业</w:t>
            </w:r>
            <w:r>
              <w:rPr>
                <w:highlight w:val="none"/>
              </w:rPr>
            </w:r>
            <w:r>
              <w:rPr>
                <w:highlight w:val="none"/>
              </w:rPr>
            </w:r>
          </w:p>
        </w:tc>
        <w:tc>
          <w:tcPr>
            <w:tcW w:w="170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rPr>
                <w:highlight w:val="none"/>
              </w:rPr>
            </w:r>
            <w:r>
              <w:rPr>
                <w:highlight w:val="none"/>
              </w:rPr>
            </w:r>
          </w:p>
        </w:tc>
        <w:tc>
          <w:tcPr>
            <w:tcW w:w="102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rPr>
                <w:highlight w:val="none"/>
              </w:rPr>
            </w:r>
            <w:r>
              <w:rPr>
                <w:highlight w:val="none"/>
              </w:rPr>
            </w:r>
          </w:p>
        </w:tc>
        <w:tc>
          <w:tcPr>
            <w:tcW w:w="1866"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100≤X＜300</w:t>
            </w:r>
            <w:r>
              <w:rPr>
                <w:highlight w:val="none"/>
              </w:rPr>
            </w:r>
            <w:r>
              <w:rPr>
                <w:highlight w:val="none"/>
              </w:rPr>
            </w:r>
          </w:p>
        </w:tc>
        <w:tc>
          <w:tcPr>
            <w:tcW w:w="1680"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10≤X＜100</w:t>
            </w:r>
            <w:r>
              <w:rPr>
                <w:highlight w:val="none"/>
              </w:rPr>
            </w:r>
            <w:r>
              <w:rPr>
                <w:highlight w:val="none"/>
              </w:rPr>
            </w:r>
          </w:p>
        </w:tc>
        <w:tc>
          <w:tcPr>
            <w:tcW w:w="114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w:t>
            </w:r>
            <w:r>
              <w:rPr>
                <w:highlight w:val="none"/>
              </w:rPr>
            </w:r>
            <w:r>
              <w:rPr>
                <w:highlight w:val="none"/>
              </w:rPr>
            </w:r>
          </w:p>
        </w:tc>
      </w:tr>
      <w:tr>
        <w:trPr>
          <w:trHeight w:val="311"/>
        </w:trPr>
        <w:tc>
          <w:tcPr>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rPr>
            </w:pPr>
            <w:r>
              <w:rPr>
                <w:rFonts w:hint="eastAsia" w:ascii="微软雅黑" w:hAnsi="微软雅黑" w:cs="微软雅黑"/>
                <w:b/>
                <w:color w:val="auto"/>
                <w:szCs w:val="21"/>
              </w:rPr>
            </w:r>
            <w:r/>
          </w:p>
        </w:tc>
        <w:tc>
          <w:tcPr>
            <w:tcW w:w="170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rPr>
                <w:highlight w:val="none"/>
              </w:rPr>
            </w:r>
            <w:r>
              <w:rPr>
                <w:highlight w:val="none"/>
              </w:rPr>
            </w:r>
          </w:p>
        </w:tc>
        <w:tc>
          <w:tcPr>
            <w:tcW w:w="102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rPr>
                <w:highlight w:val="none"/>
              </w:rPr>
            </w:r>
            <w:r>
              <w:rPr>
                <w:highlight w:val="none"/>
              </w:rPr>
            </w:r>
          </w:p>
        </w:tc>
        <w:tc>
          <w:tcPr>
            <w:tcW w:w="1866"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1000≤Y＜10000</w:t>
            </w:r>
            <w:r>
              <w:rPr>
                <w:highlight w:val="none"/>
              </w:rPr>
            </w:r>
            <w:r>
              <w:rPr>
                <w:highlight w:val="none"/>
              </w:rPr>
            </w:r>
          </w:p>
        </w:tc>
        <w:tc>
          <w:tcPr>
            <w:tcW w:w="1680"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50≤Y＜1000</w:t>
            </w:r>
            <w:r>
              <w:rPr>
                <w:highlight w:val="none"/>
              </w:rPr>
            </w:r>
            <w:r>
              <w:rPr>
                <w:highlight w:val="none"/>
              </w:rPr>
            </w:r>
          </w:p>
        </w:tc>
        <w:tc>
          <w:tcPr>
            <w:tcW w:w="114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Y＜50</w:t>
            </w:r>
            <w:r>
              <w:rPr>
                <w:highlight w:val="none"/>
              </w:rPr>
            </w:r>
            <w:r>
              <w:rPr>
                <w:highlight w:val="none"/>
              </w:rPr>
            </w:r>
          </w:p>
        </w:tc>
      </w:tr>
      <w:tr>
        <w:trPr>
          <w:trHeight w:val="311"/>
        </w:trPr>
        <w:tc>
          <w:tcPr>
            <w:tcW w:w="1683" w:type="dxa"/>
            <w:vAlign w:val="center"/>
            <w:vMerge w:val="restart"/>
            <w:textDirection w:val="lrTb"/>
            <w:noWrap w:val="false"/>
          </w:tcPr>
          <w:p>
            <w:pPr>
              <w:pStyle w:val="1241"/>
              <w:jc w:val="center"/>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r>
            <w:r>
              <w:rPr>
                <w:highlight w:val="none"/>
              </w:rPr>
            </w:r>
            <w:r>
              <w:rPr>
                <w:highlight w:val="none"/>
              </w:rPr>
            </w:r>
          </w:p>
          <w:p>
            <w:pPr>
              <w:pStyle w:val="1241"/>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房地产开发经营</w:t>
            </w:r>
            <w:r>
              <w:rPr>
                <w:highlight w:val="none"/>
              </w:rPr>
            </w:r>
            <w:r>
              <w:rPr>
                <w:highlight w:val="none"/>
              </w:rPr>
            </w:r>
          </w:p>
        </w:tc>
        <w:tc>
          <w:tcPr>
            <w:tcW w:w="170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rPr>
                <w:highlight w:val="none"/>
              </w:rPr>
            </w:r>
            <w:r>
              <w:rPr>
                <w:highlight w:val="none"/>
              </w:rPr>
            </w:r>
          </w:p>
        </w:tc>
        <w:tc>
          <w:tcPr>
            <w:tcW w:w="102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rPr>
                <w:highlight w:val="none"/>
              </w:rPr>
            </w:r>
            <w:r>
              <w:rPr>
                <w:highlight w:val="none"/>
              </w:rPr>
            </w:r>
          </w:p>
        </w:tc>
        <w:tc>
          <w:tcPr>
            <w:tcW w:w="1866"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1000≤Y＜200000</w:t>
            </w:r>
            <w:r>
              <w:rPr>
                <w:highlight w:val="none"/>
              </w:rPr>
            </w:r>
            <w:r>
              <w:rPr>
                <w:highlight w:val="none"/>
              </w:rPr>
            </w:r>
          </w:p>
        </w:tc>
        <w:tc>
          <w:tcPr>
            <w:tcW w:w="1680"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100≤X＜1000</w:t>
            </w:r>
            <w:r>
              <w:rPr>
                <w:highlight w:val="none"/>
              </w:rPr>
            </w:r>
            <w:r>
              <w:rPr>
                <w:highlight w:val="none"/>
              </w:rPr>
            </w:r>
          </w:p>
        </w:tc>
        <w:tc>
          <w:tcPr>
            <w:tcW w:w="114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X＜100</w:t>
            </w:r>
            <w:r>
              <w:rPr>
                <w:highlight w:val="none"/>
              </w:rPr>
            </w:r>
            <w:r>
              <w:rPr>
                <w:highlight w:val="none"/>
              </w:rPr>
            </w:r>
          </w:p>
        </w:tc>
      </w:tr>
      <w:tr>
        <w:trPr>
          <w:trHeight w:val="314"/>
        </w:trPr>
        <w:tc>
          <w:tcPr>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rPr>
            </w:pPr>
            <w:r>
              <w:rPr>
                <w:rFonts w:hint="eastAsia" w:ascii="微软雅黑" w:hAnsi="微软雅黑" w:cs="微软雅黑"/>
                <w:b/>
                <w:color w:val="auto"/>
                <w:szCs w:val="21"/>
              </w:rPr>
            </w:r>
            <w:r/>
          </w:p>
        </w:tc>
        <w:tc>
          <w:tcPr>
            <w:tcW w:w="170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资产总额（Z）</w:t>
            </w:r>
            <w:r>
              <w:rPr>
                <w:highlight w:val="none"/>
              </w:rPr>
            </w:r>
            <w:r>
              <w:rPr>
                <w:highlight w:val="none"/>
              </w:rPr>
            </w:r>
          </w:p>
        </w:tc>
        <w:tc>
          <w:tcPr>
            <w:tcW w:w="102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rPr>
                <w:highlight w:val="none"/>
              </w:rPr>
            </w:r>
            <w:r>
              <w:rPr>
                <w:highlight w:val="none"/>
              </w:rPr>
            </w:r>
          </w:p>
        </w:tc>
        <w:tc>
          <w:tcPr>
            <w:tcW w:w="1866"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5000≤Z＜10000</w:t>
            </w:r>
            <w:r>
              <w:rPr>
                <w:highlight w:val="none"/>
              </w:rPr>
            </w:r>
            <w:r>
              <w:rPr>
                <w:highlight w:val="none"/>
              </w:rPr>
            </w:r>
          </w:p>
        </w:tc>
        <w:tc>
          <w:tcPr>
            <w:tcW w:w="1680"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2000≤Y＜5000</w:t>
            </w:r>
            <w:r>
              <w:rPr>
                <w:highlight w:val="none"/>
              </w:rPr>
            </w:r>
            <w:r>
              <w:rPr>
                <w:highlight w:val="none"/>
              </w:rPr>
            </w:r>
          </w:p>
        </w:tc>
        <w:tc>
          <w:tcPr>
            <w:tcW w:w="114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Y＜2000</w:t>
            </w:r>
            <w:r>
              <w:rPr>
                <w:highlight w:val="none"/>
              </w:rPr>
            </w:r>
            <w:r>
              <w:rPr>
                <w:highlight w:val="none"/>
              </w:rPr>
            </w:r>
          </w:p>
        </w:tc>
      </w:tr>
      <w:tr>
        <w:trPr>
          <w:trHeight w:val="312"/>
        </w:trPr>
        <w:tc>
          <w:tcPr>
            <w:tcW w:w="1683" w:type="dxa"/>
            <w:vAlign w:val="center"/>
            <w:vMerge w:val="restart"/>
            <w:textDirection w:val="lrTb"/>
            <w:noWrap w:val="false"/>
          </w:tcPr>
          <w:p>
            <w:pPr>
              <w:pStyle w:val="1241"/>
              <w:jc w:val="center"/>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r>
            <w:r>
              <w:rPr>
                <w:highlight w:val="none"/>
              </w:rPr>
            </w:r>
            <w:r>
              <w:rPr>
                <w:highlight w:val="none"/>
              </w:rPr>
            </w:r>
          </w:p>
          <w:p>
            <w:pPr>
              <w:pStyle w:val="1241"/>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物业管理</w:t>
            </w:r>
            <w:r>
              <w:rPr>
                <w:highlight w:val="none"/>
              </w:rPr>
            </w:r>
            <w:r>
              <w:rPr>
                <w:highlight w:val="none"/>
              </w:rPr>
            </w:r>
          </w:p>
        </w:tc>
        <w:tc>
          <w:tcPr>
            <w:tcW w:w="170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rPr>
                <w:highlight w:val="none"/>
              </w:rPr>
            </w:r>
            <w:r>
              <w:rPr>
                <w:highlight w:val="none"/>
              </w:rPr>
            </w:r>
          </w:p>
        </w:tc>
        <w:tc>
          <w:tcPr>
            <w:tcW w:w="102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rPr>
                <w:highlight w:val="none"/>
              </w:rPr>
            </w:r>
            <w:r>
              <w:rPr>
                <w:highlight w:val="none"/>
              </w:rPr>
            </w:r>
          </w:p>
        </w:tc>
        <w:tc>
          <w:tcPr>
            <w:tcW w:w="1866"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300≤X＜1000</w:t>
            </w:r>
            <w:r>
              <w:rPr>
                <w:highlight w:val="none"/>
              </w:rPr>
            </w:r>
            <w:r>
              <w:rPr>
                <w:highlight w:val="none"/>
              </w:rPr>
            </w:r>
          </w:p>
        </w:tc>
        <w:tc>
          <w:tcPr>
            <w:tcW w:w="1680"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100≤X＜300</w:t>
            </w:r>
            <w:r>
              <w:rPr>
                <w:highlight w:val="none"/>
              </w:rPr>
            </w:r>
            <w:r>
              <w:rPr>
                <w:highlight w:val="none"/>
              </w:rPr>
            </w:r>
          </w:p>
        </w:tc>
        <w:tc>
          <w:tcPr>
            <w:tcW w:w="114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X＜100</w:t>
            </w:r>
            <w:r>
              <w:rPr>
                <w:highlight w:val="none"/>
              </w:rPr>
            </w:r>
            <w:r>
              <w:rPr>
                <w:highlight w:val="none"/>
              </w:rPr>
            </w:r>
          </w:p>
        </w:tc>
      </w:tr>
      <w:tr>
        <w:trPr>
          <w:trHeight w:val="311"/>
        </w:trPr>
        <w:tc>
          <w:tcPr>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rPr>
            </w:pPr>
            <w:r>
              <w:rPr>
                <w:rFonts w:hint="eastAsia" w:ascii="微软雅黑" w:hAnsi="微软雅黑" w:cs="微软雅黑"/>
                <w:b/>
                <w:color w:val="auto"/>
                <w:szCs w:val="21"/>
              </w:rPr>
            </w:r>
            <w:r/>
          </w:p>
        </w:tc>
        <w:tc>
          <w:tcPr>
            <w:tcW w:w="170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rPr>
                <w:highlight w:val="none"/>
              </w:rPr>
            </w:r>
            <w:r>
              <w:rPr>
                <w:highlight w:val="none"/>
              </w:rPr>
            </w:r>
          </w:p>
        </w:tc>
        <w:tc>
          <w:tcPr>
            <w:tcW w:w="102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rPr>
                <w:highlight w:val="none"/>
              </w:rPr>
            </w:r>
            <w:r>
              <w:rPr>
                <w:highlight w:val="none"/>
              </w:rPr>
            </w:r>
          </w:p>
        </w:tc>
        <w:tc>
          <w:tcPr>
            <w:tcW w:w="1866"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1000≤Y＜5000</w:t>
            </w:r>
            <w:r>
              <w:rPr>
                <w:highlight w:val="none"/>
              </w:rPr>
            </w:r>
            <w:r>
              <w:rPr>
                <w:highlight w:val="none"/>
              </w:rPr>
            </w:r>
          </w:p>
        </w:tc>
        <w:tc>
          <w:tcPr>
            <w:tcW w:w="1680"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500≤Y＜1000</w:t>
            </w:r>
            <w:r>
              <w:rPr>
                <w:highlight w:val="none"/>
              </w:rPr>
            </w:r>
            <w:r>
              <w:rPr>
                <w:highlight w:val="none"/>
              </w:rPr>
            </w:r>
          </w:p>
        </w:tc>
        <w:tc>
          <w:tcPr>
            <w:tcW w:w="114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Y＜500</w:t>
            </w:r>
            <w:r>
              <w:rPr>
                <w:highlight w:val="none"/>
              </w:rPr>
            </w:r>
            <w:r>
              <w:rPr>
                <w:highlight w:val="none"/>
              </w:rPr>
            </w:r>
          </w:p>
        </w:tc>
      </w:tr>
      <w:tr>
        <w:trPr>
          <w:trHeight w:val="311"/>
        </w:trPr>
        <w:tc>
          <w:tcPr>
            <w:tcW w:w="1683" w:type="dxa"/>
            <w:vAlign w:val="center"/>
            <w:vMerge w:val="restart"/>
            <w:textDirection w:val="lrTb"/>
            <w:noWrap w:val="false"/>
          </w:tcPr>
          <w:p>
            <w:pPr>
              <w:pStyle w:val="1241"/>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租赁和商务服务业</w:t>
            </w:r>
            <w:r>
              <w:rPr>
                <w:highlight w:val="none"/>
              </w:rPr>
            </w:r>
            <w:r>
              <w:rPr>
                <w:highlight w:val="none"/>
              </w:rPr>
            </w:r>
          </w:p>
        </w:tc>
        <w:tc>
          <w:tcPr>
            <w:tcW w:w="170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rPr>
                <w:highlight w:val="none"/>
              </w:rPr>
            </w:r>
            <w:r>
              <w:rPr>
                <w:highlight w:val="none"/>
              </w:rPr>
            </w:r>
          </w:p>
        </w:tc>
        <w:tc>
          <w:tcPr>
            <w:tcW w:w="102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rPr>
                <w:highlight w:val="none"/>
              </w:rPr>
            </w:r>
            <w:r>
              <w:rPr>
                <w:highlight w:val="none"/>
              </w:rPr>
            </w:r>
          </w:p>
        </w:tc>
        <w:tc>
          <w:tcPr>
            <w:tcW w:w="1866"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100≤X＜300</w:t>
            </w:r>
            <w:r>
              <w:rPr>
                <w:highlight w:val="none"/>
              </w:rPr>
            </w:r>
            <w:r>
              <w:rPr>
                <w:highlight w:val="none"/>
              </w:rPr>
            </w:r>
          </w:p>
        </w:tc>
        <w:tc>
          <w:tcPr>
            <w:tcW w:w="1680"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10≤X＜100</w:t>
            </w:r>
            <w:r>
              <w:rPr>
                <w:highlight w:val="none"/>
              </w:rPr>
            </w:r>
            <w:r>
              <w:rPr>
                <w:highlight w:val="none"/>
              </w:rPr>
            </w:r>
          </w:p>
        </w:tc>
        <w:tc>
          <w:tcPr>
            <w:tcW w:w="114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w:t>
            </w:r>
            <w:r>
              <w:rPr>
                <w:highlight w:val="none"/>
              </w:rPr>
            </w:r>
            <w:r>
              <w:rPr>
                <w:highlight w:val="none"/>
              </w:rPr>
            </w:r>
          </w:p>
        </w:tc>
      </w:tr>
      <w:tr>
        <w:trPr>
          <w:trHeight w:val="311"/>
        </w:trPr>
        <w:tc>
          <w:tcPr>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rPr>
            </w:pPr>
            <w:r>
              <w:rPr>
                <w:rFonts w:hint="eastAsia" w:ascii="微软雅黑" w:hAnsi="微软雅黑" w:cs="微软雅黑"/>
                <w:b/>
                <w:color w:val="auto"/>
                <w:szCs w:val="21"/>
              </w:rPr>
            </w:r>
            <w:r/>
          </w:p>
        </w:tc>
        <w:tc>
          <w:tcPr>
            <w:tcW w:w="170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资产总额（Z）</w:t>
            </w:r>
            <w:r>
              <w:rPr>
                <w:highlight w:val="none"/>
              </w:rPr>
            </w:r>
            <w:r>
              <w:rPr>
                <w:highlight w:val="none"/>
              </w:rPr>
            </w:r>
          </w:p>
        </w:tc>
        <w:tc>
          <w:tcPr>
            <w:tcW w:w="102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rPr>
                <w:highlight w:val="none"/>
              </w:rPr>
            </w:r>
            <w:r>
              <w:rPr>
                <w:highlight w:val="none"/>
              </w:rPr>
            </w:r>
          </w:p>
        </w:tc>
        <w:tc>
          <w:tcPr>
            <w:tcW w:w="1866"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8000≤Z＜120000</w:t>
            </w:r>
            <w:r>
              <w:rPr>
                <w:highlight w:val="none"/>
              </w:rPr>
            </w:r>
            <w:r>
              <w:rPr>
                <w:highlight w:val="none"/>
              </w:rPr>
            </w:r>
          </w:p>
        </w:tc>
        <w:tc>
          <w:tcPr>
            <w:tcW w:w="1680"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100≤Z＜8000</w:t>
            </w:r>
            <w:r>
              <w:rPr>
                <w:highlight w:val="none"/>
              </w:rPr>
            </w:r>
            <w:r>
              <w:rPr>
                <w:highlight w:val="none"/>
              </w:rPr>
            </w:r>
          </w:p>
        </w:tc>
        <w:tc>
          <w:tcPr>
            <w:tcW w:w="114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Y＜100</w:t>
            </w:r>
            <w:r>
              <w:rPr>
                <w:highlight w:val="none"/>
              </w:rPr>
            </w:r>
            <w:r>
              <w:rPr>
                <w:highlight w:val="none"/>
              </w:rPr>
            </w:r>
          </w:p>
        </w:tc>
      </w:tr>
      <w:tr>
        <w:trPr>
          <w:trHeight w:val="314"/>
        </w:trPr>
        <w:tc>
          <w:tcPr>
            <w:tcW w:w="1683" w:type="dxa"/>
            <w:vAlign w:val="center"/>
            <w:textDirection w:val="lrTb"/>
            <w:noWrap w:val="false"/>
          </w:tcPr>
          <w:p>
            <w:pPr>
              <w:pStyle w:val="1241"/>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其他未列明行业</w:t>
            </w:r>
            <w:r>
              <w:rPr>
                <w:highlight w:val="none"/>
              </w:rPr>
            </w:r>
            <w:r>
              <w:rPr>
                <w:highlight w:val="none"/>
              </w:rPr>
            </w:r>
          </w:p>
        </w:tc>
        <w:tc>
          <w:tcPr>
            <w:tcW w:w="170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rPr>
                <w:highlight w:val="none"/>
              </w:rPr>
            </w:r>
            <w:r>
              <w:rPr>
                <w:highlight w:val="none"/>
              </w:rPr>
            </w:r>
          </w:p>
        </w:tc>
        <w:tc>
          <w:tcPr>
            <w:tcW w:w="102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rPr>
                <w:highlight w:val="none"/>
              </w:rPr>
            </w:r>
            <w:r>
              <w:rPr>
                <w:highlight w:val="none"/>
              </w:rPr>
            </w:r>
          </w:p>
        </w:tc>
        <w:tc>
          <w:tcPr>
            <w:tcW w:w="1866"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100≤X＜300</w:t>
            </w:r>
            <w:r>
              <w:rPr>
                <w:highlight w:val="none"/>
              </w:rPr>
            </w:r>
            <w:r>
              <w:rPr>
                <w:highlight w:val="none"/>
              </w:rPr>
            </w:r>
          </w:p>
        </w:tc>
        <w:tc>
          <w:tcPr>
            <w:tcW w:w="1680"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10≤X＜100</w:t>
            </w:r>
            <w:r>
              <w:rPr>
                <w:highlight w:val="none"/>
              </w:rPr>
            </w:r>
            <w:r>
              <w:rPr>
                <w:highlight w:val="none"/>
              </w:rPr>
            </w:r>
          </w:p>
        </w:tc>
        <w:tc>
          <w:tcPr>
            <w:tcW w:w="1147" w:type="dxa"/>
            <w:vAlign w:val="top"/>
            <w:textDirection w:val="lrTb"/>
            <w:noWrap w:val="false"/>
          </w:tcPr>
          <w:p>
            <w:pPr>
              <w:pStyle w:val="1241"/>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w:t>
            </w:r>
            <w:r>
              <w:rPr>
                <w:highlight w:val="none"/>
              </w:rPr>
            </w:r>
            <w:r>
              <w:rPr>
                <w:highlight w:val="none"/>
              </w:rPr>
            </w:r>
          </w:p>
        </w:tc>
      </w:tr>
    </w:tbl>
    <w:p>
      <w:pPr>
        <w:pStyle w:val="1275"/>
        <w:ind w:firstLine="376"/>
        <w:spacing w:line="300" w:lineRule="exact"/>
        <w:rPr>
          <w:rFonts w:hint="eastAsia" w:ascii="微软雅黑" w:hAnsi="微软雅黑" w:eastAsia="微软雅黑" w:cs="微软雅黑"/>
          <w:color w:val="auto"/>
          <w:spacing w:val="-3"/>
          <w:highlight w:val="none"/>
        </w:rPr>
      </w:pPr>
      <w:r>
        <w:rPr>
          <w:rFonts w:hint="eastAsia" w:ascii="微软雅黑" w:hAnsi="微软雅黑" w:eastAsia="微软雅黑" w:cs="微软雅黑"/>
          <w:color w:val="auto"/>
          <w:spacing w:val="-11"/>
          <w:highlight w:val="none"/>
        </w:rPr>
        <w:t xml:space="preserve">说明：上述标准参照《关于印发中小企业划型标准规定的通知</w:t>
      </w:r>
      <w:r>
        <w:rPr>
          <w:rFonts w:hint="eastAsia" w:ascii="微软雅黑" w:hAnsi="微软雅黑" w:eastAsia="微软雅黑" w:cs="微软雅黑"/>
          <w:color w:val="auto"/>
          <w:spacing w:val="-157"/>
          <w:highlight w:val="none"/>
        </w:rPr>
        <w:t xml:space="preserve">》</w:t>
      </w:r>
      <w:r>
        <w:rPr>
          <w:rFonts w:hint="eastAsia" w:ascii="微软雅黑" w:hAnsi="微软雅黑" w:eastAsia="微软雅黑" w:cs="微软雅黑"/>
          <w:color w:val="auto"/>
          <w:spacing w:val="-3"/>
          <w:highlight w:val="none"/>
        </w:rPr>
        <w:t xml:space="preserve">》（</w:t>
      </w:r>
      <w:r>
        <w:rPr>
          <w:rFonts w:hint="eastAsia" w:ascii="微软雅黑" w:hAnsi="微软雅黑" w:eastAsia="微软雅黑" w:cs="微软雅黑"/>
          <w:color w:val="auto"/>
          <w:spacing w:val="-11"/>
          <w:highlight w:val="none"/>
        </w:rPr>
        <w:t xml:space="preserve">工信部联企业〔</w:t>
      </w:r>
      <w:r>
        <w:rPr>
          <w:rFonts w:hint="eastAsia" w:ascii="微软雅黑" w:hAnsi="微软雅黑" w:eastAsia="微软雅黑" w:cs="微软雅黑"/>
          <w:color w:val="auto"/>
          <w:highlight w:val="none"/>
        </w:rPr>
        <w:t xml:space="preserve">2011〕300号</w:t>
      </w:r>
      <w:r>
        <w:rPr>
          <w:rFonts w:hint="eastAsia" w:ascii="微软雅黑" w:hAnsi="微软雅黑" w:eastAsia="微软雅黑" w:cs="微软雅黑"/>
          <w:color w:val="auto"/>
          <w:spacing w:val="-108"/>
          <w:highlight w:val="none"/>
        </w:rPr>
        <w:t xml:space="preserve">）</w:t>
      </w:r>
      <w:r>
        <w:rPr>
          <w:rFonts w:hint="eastAsia" w:ascii="微软雅黑" w:hAnsi="微软雅黑" w:eastAsia="微软雅黑" w:cs="微软雅黑"/>
          <w:color w:val="auto"/>
          <w:spacing w:val="-3"/>
          <w:highlight w:val="none"/>
        </w:rPr>
        <w:t xml:space="preserve">），大型、中型和小型企业须同时满足所列指标的下限，否则下划一档；微型企业只须满足所列指标中的一项即可。</w:t>
      </w:r>
      <w:r>
        <w:rPr>
          <w:highlight w:val="none"/>
        </w:rPr>
      </w:r>
      <w:r>
        <w:rPr>
          <w:highlight w:val="none"/>
        </w:rPr>
      </w:r>
    </w:p>
    <w:p>
      <w:pPr>
        <w:pStyle w:val="1274"/>
        <w:jc w:val="both"/>
        <w:spacing w:before="0" w:after="0" w:line="300" w:lineRule="exact"/>
        <w:rPr>
          <w:rFonts w:hint="eastAsia" w:ascii="微软雅黑" w:hAnsi="微软雅黑" w:cs="微软雅黑"/>
          <w:bCs w:val="0"/>
          <w:color w:val="auto"/>
          <w:szCs w:val="24"/>
          <w:highlight w:val="none"/>
        </w:rPr>
        <w:sectPr>
          <w:footerReference w:type="default" r:id="rId16"/>
          <w:footnotePr/>
          <w:endnotePr/>
          <w:type w:val="nextPage"/>
          <w:pgSz w:w="11906" w:h="16838" w:orient="portrait"/>
          <w:pgMar w:top="1440" w:right="1797" w:bottom="1440" w:left="1797" w:header="851" w:footer="992" w:gutter="0"/>
          <w:cols w:num="1" w:sep="0" w:space="1701" w:equalWidth="1"/>
          <w:docGrid w:linePitch="360"/>
        </w:sectPr>
      </w:pPr>
      <w:r>
        <w:rPr>
          <w:rFonts w:hint="eastAsia" w:ascii="微软雅黑" w:hAnsi="微软雅黑" w:cs="微软雅黑"/>
          <w:bCs w:val="0"/>
          <w:color w:val="auto"/>
          <w:szCs w:val="24"/>
          <w:highlight w:val="none"/>
        </w:rPr>
      </w:r>
      <w:r>
        <w:rPr>
          <w:highlight w:val="none"/>
        </w:rPr>
      </w:r>
      <w:r>
        <w:rPr>
          <w:highlight w:val="none"/>
        </w:rPr>
      </w:r>
    </w:p>
    <w:p>
      <w:pPr>
        <w:pStyle w:val="1274"/>
        <w:jc w:val="left"/>
        <w:spacing w:line="420" w:lineRule="exact"/>
        <w:rPr>
          <w:rFonts w:hint="eastAsia" w:ascii="微软雅黑" w:hAnsi="微软雅黑" w:cs="微软雅黑"/>
          <w:b/>
          <w:bCs w:val="0"/>
          <w:color w:val="auto"/>
          <w:sz w:val="24"/>
          <w:szCs w:val="24"/>
          <w:highlight w:val="none"/>
        </w:rPr>
      </w:pPr>
      <w:r>
        <w:rPr>
          <w:highlight w:val="none"/>
        </w:rPr>
      </w:r>
      <w:bookmarkStart w:id="325" w:name="_Toc10360"/>
      <w:r>
        <w:rPr>
          <w:highlight w:val="none"/>
        </w:rPr>
      </w:r>
      <w:bookmarkStart w:id="326" w:name="_Toc29314"/>
      <w:r>
        <w:rPr>
          <w:highlight w:val="none"/>
        </w:rPr>
      </w:r>
      <w:bookmarkStart w:id="327" w:name="_Toc20519"/>
      <w:r>
        <w:rPr>
          <w:rFonts w:hint="eastAsia" w:ascii="微软雅黑" w:hAnsi="微软雅黑" w:cs="微软雅黑"/>
          <w:b/>
          <w:bCs w:val="0"/>
          <w:color w:val="auto"/>
          <w:sz w:val="24"/>
          <w:szCs w:val="24"/>
          <w:highlight w:val="none"/>
        </w:rPr>
        <w:t xml:space="preserve">附件2.残疾人福利性单位声明函</w:t>
      </w:r>
      <w:bookmarkEnd w:id="324"/>
      <w:r>
        <w:rPr>
          <w:highlight w:val="none"/>
        </w:rPr>
      </w:r>
      <w:bookmarkEnd w:id="325"/>
      <w:r>
        <w:rPr>
          <w:highlight w:val="none"/>
        </w:rPr>
      </w:r>
      <w:bookmarkEnd w:id="326"/>
      <w:r>
        <w:rPr>
          <w:highlight w:val="none"/>
        </w:rPr>
      </w:r>
      <w:bookmarkEnd w:id="327"/>
      <w:r>
        <w:rPr>
          <w:highlight w:val="none"/>
        </w:rPr>
      </w:r>
      <w:r>
        <w:rPr>
          <w:highlight w:val="none"/>
        </w:rPr>
      </w:r>
    </w:p>
    <w:p>
      <w:pPr>
        <w:rPr>
          <w:rFonts w:hint="eastAsia" w:ascii="微软雅黑" w:hAnsi="微软雅黑" w:cs="微软雅黑"/>
          <w:b/>
          <w:bCs/>
          <w:color w:val="auto"/>
          <w:sz w:val="24"/>
          <w:szCs w:val="24"/>
          <w:highlight w:val="none"/>
        </w:rPr>
      </w:pPr>
      <w:r>
        <w:rPr>
          <w:rFonts w:hint="eastAsia" w:ascii="微软雅黑" w:hAnsi="微软雅黑" w:cs="微软雅黑"/>
          <w:b/>
          <w:bCs/>
          <w:color w:val="auto"/>
          <w:sz w:val="24"/>
          <w:szCs w:val="24"/>
          <w:highlight w:val="none"/>
        </w:rPr>
        <w:t xml:space="preserve">（如不属于残疾人福利性单位，则无需提供此声明函）</w:t>
      </w:r>
      <w:r>
        <w:rPr>
          <w:highlight w:val="none"/>
        </w:rPr>
      </w:r>
      <w:r>
        <w:rPr>
          <w:highlight w:val="none"/>
        </w:rPr>
      </w:r>
    </w:p>
    <w:p>
      <w:pPr>
        <w:rPr>
          <w:rFonts w:hint="eastAsia"/>
          <w:color w:val="auto"/>
          <w:highlight w:val="none"/>
        </w:rPr>
      </w:pPr>
      <w:r>
        <w:rPr>
          <w:rFonts w:hint="eastAsia"/>
          <w:color w:val="auto"/>
          <w:highlight w:val="none"/>
        </w:rPr>
      </w:r>
      <w:r>
        <w:rPr>
          <w:highlight w:val="none"/>
        </w:rPr>
      </w:r>
      <w:r>
        <w:rPr>
          <w:highlight w:val="none"/>
        </w:rPr>
      </w:r>
    </w:p>
    <w:p>
      <w:pPr>
        <w:pStyle w:val="1145"/>
        <w:ind w:firstLine="420"/>
        <w:jc w:val="center"/>
        <w:spacing w:before="106" w:beforeAutospacing="0" w:after="106" w:afterAutospacing="0" w:line="30" w:lineRule="atLeast"/>
        <w:rPr>
          <w:rFonts w:hint="eastAsia" w:ascii="微软雅黑" w:hAnsi="微软雅黑" w:eastAsia="微软雅黑" w:cs="微软雅黑"/>
          <w:bCs/>
          <w:color w:val="auto"/>
          <w:sz w:val="28"/>
          <w:szCs w:val="32"/>
          <w:highlight w:val="none"/>
        </w:rPr>
      </w:pPr>
      <w:r>
        <w:rPr>
          <w:rFonts w:hint="eastAsia" w:ascii="微软雅黑" w:hAnsi="微软雅黑" w:eastAsia="微软雅黑" w:cs="微软雅黑"/>
          <w:bCs/>
          <w:color w:val="auto"/>
          <w:sz w:val="28"/>
          <w:szCs w:val="32"/>
          <w:highlight w:val="none"/>
        </w:rPr>
        <w:t xml:space="preserve">残疾人福利性单位声明函</w:t>
      </w:r>
      <w:r>
        <w:rPr>
          <w:highlight w:val="none"/>
        </w:rPr>
      </w:r>
      <w:r>
        <w:rPr>
          <w:highlight w:val="none"/>
        </w:rPr>
      </w:r>
    </w:p>
    <w:p>
      <w:pPr>
        <w:pStyle w:val="1145"/>
        <w:ind w:firstLine="420"/>
        <w:jc w:val="both"/>
        <w:spacing w:before="106" w:beforeAutospacing="0" w:after="106" w:afterAutospacing="0" w:line="30" w:lineRule="atLeas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w:t>
      </w:r>
      <w:r>
        <w:rPr>
          <w:highlight w:val="none"/>
        </w:rPr>
      </w:r>
      <w:r>
        <w:rPr>
          <w:highlight w:val="none"/>
        </w:rPr>
      </w:r>
    </w:p>
    <w:p>
      <w:pPr>
        <w:pStyle w:val="1145"/>
        <w:ind w:firstLine="420"/>
        <w:jc w:val="both"/>
        <w:spacing w:before="106" w:beforeAutospacing="0" w:after="106" w:afterAutospacing="0" w:line="30" w:lineRule="atLeas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本单位对上述声明的真实性负责。如有虚假，将依法承担相应责任。</w:t>
      </w:r>
      <w:r>
        <w:rPr>
          <w:highlight w:val="none"/>
        </w:rPr>
      </w:r>
      <w:r>
        <w:rPr>
          <w:highlight w:val="none"/>
        </w:rPr>
      </w:r>
    </w:p>
    <w:p>
      <w:pPr>
        <w:pStyle w:val="1285"/>
        <w:ind w:firstLine="3990"/>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供应商全称（公章）：</w:t>
      </w:r>
      <w:r>
        <w:rPr>
          <w:highlight w:val="none"/>
        </w:rPr>
      </w:r>
      <w:r>
        <w:rPr>
          <w:highlight w:val="none"/>
        </w:rPr>
      </w:r>
    </w:p>
    <w:p>
      <w:pPr>
        <w:pStyle w:val="1285"/>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                                      法定代表人（或授权代表）签章/签字：</w:t>
      </w:r>
      <w:r>
        <w:rPr>
          <w:highlight w:val="none"/>
        </w:rPr>
      </w:r>
      <w:r>
        <w:rPr>
          <w:highlight w:val="none"/>
        </w:rPr>
      </w:r>
    </w:p>
    <w:p>
      <w:pPr>
        <w:pStyle w:val="1285"/>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                                      日期：</w:t>
      </w:r>
      <w:r>
        <w:rPr>
          <w:highlight w:val="none"/>
        </w:rPr>
      </w:r>
      <w:r>
        <w:rPr>
          <w:highlight w:val="none"/>
        </w:rPr>
      </w:r>
    </w:p>
    <w:p>
      <w:pPr>
        <w:pStyle w:val="1277"/>
        <w:ind w:left="1260"/>
        <w:rPr>
          <w:rFonts w:hint="eastAsia" w:ascii="微软雅黑" w:hAnsi="微软雅黑" w:cs="微软雅黑"/>
          <w:color w:val="auto"/>
          <w:highlight w:val="none"/>
        </w:rPr>
      </w:pPr>
      <w:r>
        <w:rPr>
          <w:rFonts w:hint="eastAsia" w:ascii="微软雅黑" w:hAnsi="微软雅黑" w:cs="微软雅黑"/>
          <w:color w:val="auto"/>
          <w:highlight w:val="none"/>
        </w:rPr>
      </w:r>
      <w:r>
        <w:rPr>
          <w:highlight w:val="none"/>
        </w:rPr>
      </w:r>
      <w:r>
        <w:rPr>
          <w:highlight w:val="none"/>
        </w:rPr>
      </w:r>
    </w:p>
    <w:p>
      <w:pPr>
        <w:rPr>
          <w:rFonts w:hint="eastAsia" w:ascii="微软雅黑" w:hAnsi="微软雅黑" w:cs="微软雅黑"/>
          <w:color w:val="auto"/>
          <w:highlight w:val="none"/>
        </w:rPr>
      </w:pPr>
      <w:r>
        <w:rPr>
          <w:rFonts w:hint="eastAsia" w:ascii="微软雅黑" w:hAnsi="微软雅黑" w:cs="微软雅黑"/>
          <w:color w:val="auto"/>
          <w:highlight w:val="none"/>
        </w:rPr>
      </w:r>
      <w:r>
        <w:rPr>
          <w:highlight w:val="none"/>
        </w:rPr>
      </w:r>
      <w:r>
        <w:rPr>
          <w:highlight w:val="none"/>
        </w:rPr>
      </w:r>
    </w:p>
    <w:p>
      <w:pPr>
        <w:pStyle w:val="1277"/>
        <w:ind w:left="1260"/>
        <w:rPr>
          <w:rFonts w:hint="eastAsia" w:ascii="微软雅黑" w:hAnsi="微软雅黑" w:cs="微软雅黑"/>
          <w:color w:val="auto"/>
          <w:highlight w:val="none"/>
        </w:rPr>
      </w:pPr>
      <w:r>
        <w:rPr>
          <w:rFonts w:hint="eastAsia" w:ascii="微软雅黑" w:hAnsi="微软雅黑" w:cs="微软雅黑"/>
          <w:color w:val="auto"/>
          <w:highlight w:val="none"/>
        </w:rPr>
      </w:r>
      <w:r>
        <w:rPr>
          <w:highlight w:val="none"/>
        </w:rPr>
      </w:r>
      <w:r>
        <w:rPr>
          <w:highlight w:val="none"/>
        </w:rPr>
      </w:r>
    </w:p>
    <w:p>
      <w:pPr>
        <w:rPr>
          <w:rFonts w:hint="eastAsia" w:ascii="微软雅黑" w:hAnsi="微软雅黑" w:cs="微软雅黑"/>
          <w:color w:val="auto"/>
          <w:highlight w:val="none"/>
        </w:rPr>
      </w:pPr>
      <w:r>
        <w:rPr>
          <w:rFonts w:hint="eastAsia" w:ascii="微软雅黑" w:hAnsi="微软雅黑" w:cs="微软雅黑"/>
          <w:color w:val="auto"/>
          <w:highlight w:val="none"/>
        </w:rPr>
      </w:r>
      <w:r>
        <w:rPr>
          <w:highlight w:val="none"/>
        </w:rPr>
      </w:r>
      <w:r>
        <w:rPr>
          <w:highlight w:val="none"/>
        </w:rPr>
      </w:r>
    </w:p>
    <w:p>
      <w:pPr>
        <w:pStyle w:val="1277"/>
        <w:ind w:left="1260"/>
        <w:rPr>
          <w:rFonts w:hint="eastAsia" w:ascii="微软雅黑" w:hAnsi="微软雅黑" w:cs="微软雅黑"/>
          <w:color w:val="auto"/>
          <w:highlight w:val="none"/>
        </w:rPr>
      </w:pPr>
      <w:r>
        <w:rPr>
          <w:rFonts w:hint="eastAsia" w:ascii="微软雅黑" w:hAnsi="微软雅黑" w:cs="微软雅黑"/>
          <w:color w:val="auto"/>
          <w:highlight w:val="none"/>
        </w:rPr>
      </w:r>
      <w:r>
        <w:rPr>
          <w:highlight w:val="none"/>
        </w:rPr>
      </w:r>
      <w:r>
        <w:rPr>
          <w:highlight w:val="none"/>
        </w:rPr>
      </w:r>
    </w:p>
    <w:p>
      <w:pPr>
        <w:pStyle w:val="1145"/>
        <w:ind w:firstLine="420"/>
        <w:jc w:val="both"/>
        <w:spacing w:before="106" w:beforeAutospacing="0" w:after="106" w:afterAutospacing="0" w:line="30" w:lineRule="atLeas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r>
      <w:r>
        <w:rPr>
          <w:highlight w:val="none"/>
        </w:rPr>
      </w:r>
      <w:r>
        <w:rPr>
          <w:highlight w:val="none"/>
        </w:rPr>
      </w:r>
    </w:p>
    <w:p>
      <w:pPr>
        <w:rPr>
          <w:rFonts w:ascii="微软雅黑" w:hAnsi="微软雅黑" w:cs="微软雅黑"/>
          <w:color w:val="auto"/>
          <w:szCs w:val="21"/>
          <w:highlight w:val="none"/>
        </w:rPr>
      </w:pPr>
      <w:r>
        <w:rPr>
          <w:rFonts w:ascii="微软雅黑" w:hAnsi="微软雅黑" w:cs="微软雅黑"/>
          <w:color w:val="auto"/>
          <w:szCs w:val="21"/>
          <w:highlight w:val="none"/>
        </w:rPr>
        <w:br w:type="page" w:clear="all"/>
      </w:r>
      <w:r>
        <w:rPr>
          <w:highlight w:val="none"/>
        </w:rPr>
      </w:r>
      <w:r>
        <w:rPr>
          <w:highlight w:val="none"/>
        </w:rPr>
      </w:r>
    </w:p>
    <w:p>
      <w:pPr>
        <w:pStyle w:val="1274"/>
        <w:jc w:val="left"/>
        <w:spacing w:line="420" w:lineRule="exact"/>
        <w:rPr>
          <w:rFonts w:hint="eastAsia" w:ascii="微软雅黑" w:hAnsi="微软雅黑" w:cs="微软雅黑"/>
          <w:b/>
          <w:bCs w:val="0"/>
          <w:color w:val="auto"/>
          <w:sz w:val="24"/>
          <w:szCs w:val="24"/>
          <w:highlight w:val="none"/>
        </w:rPr>
      </w:pPr>
      <w:r>
        <w:rPr>
          <w:rFonts w:hint="eastAsia" w:ascii="微软雅黑" w:hAnsi="微软雅黑" w:cs="微软雅黑"/>
          <w:b/>
          <w:bCs w:val="0"/>
          <w:color w:val="auto"/>
          <w:sz w:val="24"/>
          <w:szCs w:val="24"/>
          <w:highlight w:val="none"/>
        </w:rPr>
        <w:t xml:space="preserve">附件</w:t>
      </w:r>
      <w:r>
        <w:rPr>
          <w:rFonts w:hint="eastAsia" w:ascii="微软雅黑" w:hAnsi="微软雅黑" w:cs="微软雅黑"/>
          <w:b/>
          <w:bCs w:val="0"/>
          <w:color w:val="auto"/>
          <w:sz w:val="24"/>
          <w:szCs w:val="24"/>
          <w:highlight w:val="none"/>
          <w:lang w:val="en-US" w:eastAsia="zh-CN"/>
        </w:rPr>
        <w:t xml:space="preserve">3</w:t>
      </w:r>
      <w:r>
        <w:rPr>
          <w:rFonts w:hint="eastAsia" w:ascii="微软雅黑" w:hAnsi="微软雅黑" w:cs="微软雅黑"/>
          <w:b/>
          <w:bCs w:val="0"/>
          <w:color w:val="auto"/>
          <w:sz w:val="24"/>
          <w:szCs w:val="24"/>
          <w:highlight w:val="none"/>
        </w:rPr>
        <w:t xml:space="preserve">.</w:t>
      </w:r>
      <w:r>
        <w:rPr>
          <w:rFonts w:hint="eastAsia" w:ascii="微软雅黑" w:hAnsi="微软雅黑" w:cs="微软雅黑"/>
          <w:b/>
          <w:bCs w:val="0"/>
          <w:color w:val="auto"/>
          <w:sz w:val="24"/>
          <w:szCs w:val="24"/>
          <w:highlight w:val="none"/>
          <w:lang w:val="en-US" w:eastAsia="zh-CN"/>
        </w:rPr>
        <w:t xml:space="preserve">关于符合本国产品标准的声明函</w:t>
      </w:r>
      <w:r>
        <w:rPr>
          <w:highlight w:val="none"/>
        </w:rPr>
      </w:r>
      <w:r>
        <w:rPr>
          <w:highlight w:val="none"/>
        </w:rPr>
      </w:r>
    </w:p>
    <w:p>
      <w:pPr>
        <w:pStyle w:val="1103"/>
        <w:ind w:firstLine="584"/>
        <w:spacing w:line="588"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rPr>
          <w:highlight w:val="none"/>
        </w:rPr>
      </w:r>
    </w:p>
    <w:p>
      <w:pPr>
        <w:pStyle w:val="1103"/>
        <w:ind w:firstLine="584"/>
        <w:spacing w:line="588"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1.（产品名称</w:t>
      </w:r>
      <w:r>
        <w:rPr>
          <w:rFonts w:hint="eastAsia" w:ascii="微软雅黑" w:hAnsi="微软雅黑" w:eastAsia="微软雅黑" w:cs="微软雅黑"/>
          <w:color w:val="auto"/>
          <w:sz w:val="21"/>
          <w:szCs w:val="21"/>
          <w:highlight w:val="none"/>
          <w:lang w:val="en-US" w:eastAsia="zh-CN"/>
        </w:rPr>
        <w:t xml:space="preserve">1</w:t>
      </w:r>
      <w:r>
        <w:rPr>
          <w:rFonts w:hint="eastAsia" w:ascii="微软雅黑" w:hAnsi="微软雅黑" w:eastAsia="微软雅黑" w:cs="微软雅黑"/>
          <w:color w:val="auto"/>
          <w:sz w:val="21"/>
          <w:szCs w:val="21"/>
          <w:highlight w:val="none"/>
        </w:rPr>
        <w:t xml:space="preserve">）1，生产厂为（厂名）2，厂址为（生产厂址）。（产品名称</w:t>
      </w:r>
      <w:r>
        <w:rPr>
          <w:rFonts w:hint="eastAsia" w:ascii="微软雅黑" w:hAnsi="微软雅黑" w:eastAsia="微软雅黑" w:cs="微软雅黑"/>
          <w:color w:val="auto"/>
          <w:sz w:val="21"/>
          <w:szCs w:val="21"/>
          <w:highlight w:val="none"/>
          <w:lang w:val="en-US" w:eastAsia="zh-CN"/>
        </w:rPr>
        <w:t xml:space="preserve">1</w:t>
      </w:r>
      <w:r>
        <w:rPr>
          <w:rFonts w:hint="eastAsia" w:ascii="微软雅黑" w:hAnsi="微软雅黑" w:eastAsia="微软雅黑" w:cs="微软雅黑"/>
          <w:color w:val="auto"/>
          <w:sz w:val="21"/>
          <w:szCs w:val="21"/>
          <w:highlight w:val="none"/>
        </w:rPr>
        <w:t xml:space="preserve">）的中国境内生产的组件成本占比≥（规定比例）3。（产品名称</w:t>
      </w:r>
      <w:r>
        <w:rPr>
          <w:rFonts w:hint="eastAsia" w:ascii="微软雅黑" w:hAnsi="微软雅黑" w:eastAsia="微软雅黑" w:cs="微软雅黑"/>
          <w:color w:val="auto"/>
          <w:sz w:val="21"/>
          <w:szCs w:val="21"/>
          <w:highlight w:val="none"/>
          <w:lang w:val="en-US" w:eastAsia="zh-CN"/>
        </w:rPr>
        <w:t xml:space="preserve">1</w:t>
      </w:r>
      <w:r>
        <w:rPr>
          <w:rFonts w:hint="eastAsia" w:ascii="微软雅黑" w:hAnsi="微软雅黑" w:eastAsia="微软雅黑" w:cs="微软雅黑"/>
          <w:color w:val="auto"/>
          <w:sz w:val="21"/>
          <w:szCs w:val="21"/>
          <w:highlight w:val="none"/>
        </w:rPr>
        <w:t xml:space="preserve">）的（关键组件）4在中国境内生产。（产品名称</w:t>
      </w:r>
      <w:r>
        <w:rPr>
          <w:rFonts w:hint="eastAsia" w:ascii="微软雅黑" w:hAnsi="微软雅黑" w:eastAsia="微软雅黑" w:cs="微软雅黑"/>
          <w:color w:val="auto"/>
          <w:sz w:val="21"/>
          <w:szCs w:val="21"/>
          <w:highlight w:val="none"/>
          <w:lang w:val="en-US" w:eastAsia="zh-CN"/>
        </w:rPr>
        <w:t xml:space="preserve">1</w:t>
      </w:r>
      <w:r>
        <w:rPr>
          <w:rFonts w:hint="eastAsia" w:ascii="微软雅黑" w:hAnsi="微软雅黑" w:eastAsia="微软雅黑" w:cs="微软雅黑"/>
          <w:color w:val="auto"/>
          <w:sz w:val="21"/>
          <w:szCs w:val="21"/>
          <w:highlight w:val="none"/>
        </w:rPr>
        <w:t xml:space="preserve">）的（关键工序）5在中国境内完成。</w:t>
      </w:r>
      <w:r>
        <w:rPr>
          <w:highlight w:val="none"/>
        </w:rPr>
      </w:r>
      <w:r>
        <w:rPr>
          <w:highlight w:val="none"/>
        </w:rPr>
      </w:r>
    </w:p>
    <w:p>
      <w:pPr>
        <w:pStyle w:val="1104"/>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r>
      <w:r>
        <w:rPr>
          <w:highlight w:val="none"/>
        </w:rPr>
      </w:r>
      <w:r>
        <w:rPr>
          <w:highlight w:val="none"/>
        </w:rPr>
      </w:r>
    </w:p>
    <w:p>
      <w:pPr>
        <w:pStyle w:val="1103"/>
        <w:ind w:firstLine="584"/>
        <w:spacing w:line="588"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本公司（单位）对上述声明内容的真实性负责。如有虚假，愿承担相应法律责任。</w:t>
      </w:r>
      <w:r>
        <w:rPr>
          <w:highlight w:val="none"/>
        </w:rPr>
      </w:r>
      <w:r>
        <w:rPr>
          <w:highlight w:val="none"/>
        </w:rPr>
      </w:r>
    </w:p>
    <w:p>
      <w:pPr>
        <w:pStyle w:val="1103"/>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r>
      <w:r>
        <w:rPr>
          <w:highlight w:val="none"/>
        </w:rPr>
      </w:r>
      <w:r>
        <w:rPr>
          <w:highlight w:val="none"/>
        </w:rPr>
      </w:r>
    </w:p>
    <w:p>
      <w:pPr>
        <w:pStyle w:val="1123"/>
        <w:ind w:firstLine="2880"/>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投标人（电子签章）：</w:t>
      </w:r>
      <w:r>
        <w:rPr>
          <w:highlight w:val="none"/>
        </w:rPr>
      </w:r>
      <w:r>
        <w:rPr>
          <w:highlight w:val="none"/>
        </w:rPr>
      </w:r>
    </w:p>
    <w:p>
      <w:pPr>
        <w:pStyle w:val="1123"/>
        <w:ind w:firstLine="2880"/>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日期：   年  月  日</w:t>
      </w:r>
      <w:r>
        <w:rPr>
          <w:highlight w:val="none"/>
        </w:rPr>
      </w:r>
      <w:r>
        <w:rPr>
          <w:highlight w:val="none"/>
        </w:rPr>
      </w:r>
    </w:p>
    <w:p>
      <w:pPr>
        <w:pStyle w:val="932"/>
        <w:ind w:left="0" w:right="0" w:firstLine="420"/>
        <w:keepLines w:val="0"/>
        <w:keepNext w:val="0"/>
        <w:spacing w:before="30" w:beforeAutospacing="0" w:after="30" w:afterAutospacing="0"/>
        <w:shd w:val="clear" w:color="auto" w:fill="ffffff"/>
        <w:widowControl/>
        <w:rPr>
          <w:rFonts w:hint="eastAsia" w:ascii="微软雅黑" w:hAnsi="微软雅黑" w:eastAsia="微软雅黑" w:cs="微软雅黑"/>
          <w:b/>
          <w:bCs/>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b/>
          <w:bCs/>
          <w:color w:val="auto"/>
          <w:sz w:val="21"/>
          <w:szCs w:val="21"/>
          <w:highlight w:val="none"/>
          <w:lang w:val="en-US" w:eastAsia="zh-CN" w:bidi="ar-SA"/>
        </w:rPr>
        <w:t xml:space="preserve">注：</w:t>
      </w:r>
      <w:r>
        <w:rPr>
          <w:highlight w:val="none"/>
        </w:rPr>
      </w:r>
      <w:r>
        <w:rPr>
          <w:highlight w:val="none"/>
        </w:rPr>
      </w:r>
    </w:p>
    <w:p>
      <w:pPr>
        <w:pStyle w:val="932"/>
        <w:ind w:left="0" w:right="0" w:firstLine="420"/>
        <w:keepLines w:val="0"/>
        <w:keepNext w:val="0"/>
        <w:spacing w:before="30" w:beforeAutospacing="0" w:after="30" w:afterAutospacing="0"/>
        <w:shd w:val="clear" w:color="auto" w:fill="ffffff"/>
        <w:widowControl/>
        <w:rPr>
          <w:rFonts w:hint="eastAsia" w:ascii="微软雅黑" w:hAnsi="微软雅黑" w:eastAsia="微软雅黑" w:cs="微软雅黑"/>
          <w:b/>
          <w:bCs/>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b/>
          <w:bCs/>
          <w:color w:val="auto"/>
          <w:sz w:val="21"/>
          <w:szCs w:val="21"/>
          <w:highlight w:val="none"/>
          <w:lang w:val="en-US" w:eastAsia="zh-CN" w:bidi="ar-SA"/>
        </w:rPr>
        <w:t xml:space="preserve">1.产品如有型号，请在“产品名称”栏一并填写。</w:t>
      </w:r>
      <w:r>
        <w:rPr>
          <w:highlight w:val="none"/>
        </w:rPr>
      </w:r>
      <w:r>
        <w:rPr>
          <w:highlight w:val="none"/>
        </w:rPr>
      </w:r>
    </w:p>
    <w:p>
      <w:pPr>
        <w:pStyle w:val="932"/>
        <w:ind w:left="0" w:right="0" w:firstLine="420"/>
        <w:keepLines w:val="0"/>
        <w:keepNext w:val="0"/>
        <w:spacing w:before="30" w:beforeAutospacing="0" w:after="30" w:afterAutospacing="0"/>
        <w:shd w:val="clear" w:color="auto" w:fill="ffffff"/>
        <w:widowControl/>
        <w:rPr>
          <w:rFonts w:hint="eastAsia" w:ascii="微软雅黑" w:hAnsi="微软雅黑" w:eastAsia="微软雅黑" w:cs="微软雅黑"/>
          <w:b/>
          <w:bCs/>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b/>
          <w:bCs/>
          <w:color w:val="auto"/>
          <w:sz w:val="21"/>
          <w:szCs w:val="21"/>
          <w:highlight w:val="none"/>
          <w:lang w:val="en-US" w:eastAsia="zh-CN" w:bidi="ar-SA"/>
        </w:rPr>
        <w:t xml:space="preserve">2.生产厂名与厂址应与生产厂营业执照载明的相关信息保持一致。</w:t>
      </w:r>
      <w:r>
        <w:rPr>
          <w:highlight w:val="none"/>
        </w:rPr>
      </w:r>
      <w:r>
        <w:rPr>
          <w:highlight w:val="none"/>
        </w:rPr>
      </w:r>
    </w:p>
    <w:p>
      <w:pPr>
        <w:pStyle w:val="932"/>
        <w:ind w:left="0" w:right="0" w:firstLine="420"/>
        <w:keepLines w:val="0"/>
        <w:keepNext w:val="0"/>
        <w:spacing w:before="30" w:beforeAutospacing="0" w:after="30" w:afterAutospacing="0"/>
        <w:shd w:val="clear" w:color="auto" w:fill="ffffff"/>
        <w:widowControl/>
        <w:rPr>
          <w:rFonts w:hint="eastAsia" w:ascii="微软雅黑" w:hAnsi="微软雅黑" w:eastAsia="微软雅黑" w:cs="微软雅黑"/>
          <w:b/>
          <w:bCs/>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b/>
          <w:bCs/>
          <w:color w:val="auto"/>
          <w:sz w:val="21"/>
          <w:szCs w:val="21"/>
          <w:highlight w:val="none"/>
          <w:lang w:val="en-US" w:eastAsia="zh-CN" w:bidi="ar-SA"/>
        </w:rPr>
        <w:t xml:space="preserve">3.该产品的中国境内生产的组件成本占比相关要求实施前，“规定比例”栏可不填，下同。</w:t>
      </w:r>
      <w:r>
        <w:rPr>
          <w:highlight w:val="none"/>
        </w:rPr>
      </w:r>
      <w:r>
        <w:rPr>
          <w:highlight w:val="none"/>
        </w:rPr>
      </w:r>
    </w:p>
    <w:p>
      <w:pPr>
        <w:pStyle w:val="932"/>
        <w:ind w:left="0" w:right="0" w:firstLine="420"/>
        <w:keepLines w:val="0"/>
        <w:keepNext w:val="0"/>
        <w:spacing w:before="30" w:beforeAutospacing="0" w:after="30" w:afterAutospacing="0"/>
        <w:shd w:val="clear" w:color="auto" w:fill="ffffff"/>
        <w:widowControl/>
        <w:rPr>
          <w:rFonts w:hint="eastAsia" w:ascii="微软雅黑" w:hAnsi="微软雅黑" w:eastAsia="微软雅黑" w:cs="微软雅黑"/>
          <w:b/>
          <w:bCs/>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b/>
          <w:bCs/>
          <w:color w:val="auto"/>
          <w:sz w:val="21"/>
          <w:szCs w:val="21"/>
          <w:highlight w:val="none"/>
          <w:lang w:val="en-US" w:eastAsia="zh-CN" w:bidi="ar-SA"/>
        </w:rPr>
        <w:t xml:space="preserve">4.该产品的关键组件要求实施前，“关键组件”栏可不填，下同。</w:t>
      </w:r>
      <w:r>
        <w:rPr>
          <w:highlight w:val="none"/>
        </w:rPr>
      </w:r>
      <w:r>
        <w:rPr>
          <w:highlight w:val="none"/>
        </w:rPr>
      </w:r>
    </w:p>
    <w:p>
      <w:pPr>
        <w:pStyle w:val="932"/>
        <w:ind w:left="0" w:right="0" w:firstLine="420"/>
        <w:keepLines w:val="0"/>
        <w:keepNext w:val="0"/>
        <w:spacing w:before="30" w:beforeAutospacing="0" w:after="30" w:afterAutospacing="0"/>
        <w:shd w:val="clear" w:color="auto" w:fill="ffffff"/>
        <w:widowControl/>
        <w:rPr>
          <w:rFonts w:hint="eastAsia" w:ascii="微软雅黑" w:hAnsi="微软雅黑" w:eastAsia="微软雅黑" w:cs="微软雅黑"/>
          <w:b/>
          <w:bCs/>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b/>
          <w:bCs/>
          <w:color w:val="auto"/>
          <w:sz w:val="21"/>
          <w:szCs w:val="21"/>
          <w:highlight w:val="none"/>
          <w:lang w:val="en-US" w:eastAsia="zh-CN" w:bidi="ar-SA"/>
        </w:rPr>
        <w:t xml:space="preserve">5.该产品的关键工序要求实施前，“关键工序”栏可不填，下同。</w:t>
      </w:r>
      <w:r>
        <w:rPr>
          <w:highlight w:val="none"/>
        </w:rPr>
      </w:r>
      <w:r>
        <w:rPr>
          <w:highlight w:val="none"/>
        </w:rPr>
      </w:r>
    </w:p>
    <w:p>
      <w:pPr>
        <w:pStyle w:val="932"/>
        <w:ind w:left="0" w:right="0" w:firstLine="0"/>
        <w:keepLines w:val="0"/>
        <w:keepNext w:val="0"/>
        <w:spacing w:before="30" w:beforeAutospacing="0" w:after="30" w:afterAutospacing="0"/>
        <w:shd w:val="clear" w:color="auto" w:fill="ffffff"/>
        <w:widowControl/>
        <w:rPr>
          <w:rFonts w:hint="eastAsia" w:ascii="微软雅黑" w:hAnsi="微软雅黑" w:eastAsia="微软雅黑" w:cs="微软雅黑"/>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color w:val="auto"/>
          <w:sz w:val="21"/>
          <w:szCs w:val="21"/>
          <w:highlight w:val="none"/>
          <w:lang w:val="en-US" w:eastAsia="zh-CN" w:bidi="ar-SA"/>
        </w:rPr>
        <w:t xml:space="preserve">附件</w:t>
      </w:r>
      <w:r>
        <w:rPr>
          <w:highlight w:val="none"/>
        </w:rPr>
      </w:r>
      <w:r>
        <w:rPr>
          <w:highlight w:val="none"/>
        </w:rPr>
      </w:r>
    </w:p>
    <w:p>
      <w:pPr>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val="en-US" w:eastAsia="zh-CN" w:bidi="ar-SA"/>
        </w:rPr>
        <w:br w:type="page" w:clear="all"/>
      </w:r>
      <w:r>
        <w:rPr>
          <w:highlight w:val="none"/>
        </w:rPr>
      </w:r>
      <w:r>
        <w:rPr>
          <w:highlight w:val="none"/>
        </w:rPr>
      </w:r>
    </w:p>
    <w:p>
      <w:pPr>
        <w:pStyle w:val="932"/>
        <w:ind w:left="0" w:right="0" w:firstLine="0"/>
        <w:jc w:val="center"/>
        <w:keepLines w:val="0"/>
        <w:keepNext w:val="0"/>
        <w:spacing w:before="30" w:beforeAutospacing="0" w:after="30" w:afterAutospacing="0"/>
        <w:shd w:val="clear" w:color="auto" w:fill="ffffff"/>
        <w:widowControl/>
        <w:rPr>
          <w:rFonts w:hint="eastAsia" w:ascii="微软雅黑" w:hAnsi="微软雅黑" w:eastAsia="微软雅黑" w:cs="微软雅黑"/>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color w:val="auto"/>
          <w:sz w:val="21"/>
          <w:szCs w:val="21"/>
          <w:highlight w:val="none"/>
          <w:lang w:val="en-US" w:eastAsia="zh-CN" w:bidi="ar-SA"/>
        </w:rPr>
        <w:t xml:space="preserve">中国境内生产的组件成本核算基本规则</w:t>
      </w:r>
      <w:r>
        <w:rPr>
          <w:highlight w:val="none"/>
        </w:rPr>
      </w:r>
      <w:r>
        <w:rPr>
          <w:highlight w:val="none"/>
        </w:rPr>
      </w:r>
    </w:p>
    <w:p>
      <w:pPr>
        <w:pStyle w:val="932"/>
        <w:ind w:left="0" w:right="0" w:firstLine="420"/>
        <w:keepLines w:val="0"/>
        <w:keepNext w:val="0"/>
        <w:spacing w:before="30" w:beforeAutospacing="0" w:after="30" w:afterAutospacing="0"/>
        <w:shd w:val="clear" w:color="auto" w:fill="ffffff"/>
        <w:widowControl/>
        <w:rPr>
          <w:rFonts w:hint="eastAsia" w:ascii="微软雅黑" w:hAnsi="微软雅黑" w:eastAsia="微软雅黑" w:cs="微软雅黑"/>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i w:val="0"/>
          <w:iCs w:val="0"/>
          <w:caps w:val="0"/>
          <w:color w:val="auto"/>
          <w:spacing w:val="0"/>
          <w:sz w:val="21"/>
          <w:szCs w:val="21"/>
          <w:highlight w:val="none"/>
        </w:rPr>
      </w:r>
      <w:r>
        <w:rPr>
          <w:highlight w:val="none"/>
        </w:rPr>
      </w:r>
      <w:r>
        <w:rPr>
          <w:highlight w:val="none"/>
        </w:rPr>
      </w:r>
    </w:p>
    <w:p>
      <w:pPr>
        <w:pStyle w:val="932"/>
        <w:ind w:left="0" w:right="0" w:firstLine="420"/>
        <w:keepLines w:val="0"/>
        <w:keepNext w:val="0"/>
        <w:spacing w:before="30" w:beforeAutospacing="0" w:after="30" w:afterAutospacing="0"/>
        <w:shd w:val="clear" w:color="auto" w:fill="ffffff"/>
        <w:widowControl/>
        <w:rPr>
          <w:rFonts w:hint="eastAsia" w:ascii="微软雅黑" w:hAnsi="微软雅黑" w:eastAsia="微软雅黑" w:cs="微软雅黑"/>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color w:val="auto"/>
          <w:sz w:val="21"/>
          <w:szCs w:val="21"/>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highlight w:val="none"/>
        </w:rPr>
      </w:r>
      <w:r>
        <w:rPr>
          <w:highlight w:val="none"/>
        </w:rPr>
      </w:r>
    </w:p>
    <w:p>
      <w:pPr>
        <w:pStyle w:val="932"/>
        <w:ind w:left="0" w:right="0" w:firstLine="420"/>
        <w:keepLines w:val="0"/>
        <w:keepNext w:val="0"/>
        <w:spacing w:before="30" w:beforeAutospacing="0" w:after="30" w:afterAutospacing="0"/>
        <w:shd w:val="clear" w:color="auto" w:fill="ffffff"/>
        <w:widowControl/>
        <w:rPr>
          <w:rFonts w:hint="eastAsia" w:ascii="微软雅黑" w:hAnsi="微软雅黑" w:eastAsia="微软雅黑" w:cs="微软雅黑"/>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color w:val="auto"/>
          <w:sz w:val="21"/>
          <w:szCs w:val="21"/>
          <w:highlight w:val="none"/>
          <w:lang w:val="en-US" w:eastAsia="zh-CN" w:bidi="ar-SA"/>
        </w:rPr>
        <w:t xml:space="preserve">一、产品的一级组件是指直接组成产品的组件。产品的二级组件是指直接组成产品一级组件的组件。一级组件不可分解的，视同二级组件。</w:t>
      </w:r>
      <w:r>
        <w:rPr>
          <w:highlight w:val="none"/>
        </w:rPr>
      </w:r>
      <w:r>
        <w:rPr>
          <w:highlight w:val="none"/>
        </w:rPr>
      </w:r>
    </w:p>
    <w:p>
      <w:pPr>
        <w:pStyle w:val="932"/>
        <w:ind w:left="0" w:right="0" w:firstLine="420"/>
        <w:keepLines w:val="0"/>
        <w:keepNext w:val="0"/>
        <w:spacing w:before="30" w:beforeAutospacing="0" w:after="30" w:afterAutospacing="0"/>
        <w:shd w:val="clear" w:color="auto" w:fill="ffffff"/>
        <w:widowControl/>
        <w:rPr>
          <w:rFonts w:hint="eastAsia" w:ascii="微软雅黑" w:hAnsi="微软雅黑" w:eastAsia="微软雅黑" w:cs="微软雅黑"/>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color w:val="auto"/>
          <w:sz w:val="21"/>
          <w:szCs w:val="21"/>
          <w:highlight w:val="none"/>
          <w:lang w:val="en-US" w:eastAsia="zh-CN" w:bidi="ar-SA"/>
        </w:rPr>
        <w:t xml:space="preserve">二、二级组件在中国境内生产的，其全部成本计入中国境内生产的组件成本；二级组件不在中国境内生产的，其成本不计入中国境内生产的组件成本。</w:t>
      </w:r>
      <w:r>
        <w:rPr>
          <w:highlight w:val="none"/>
        </w:rPr>
      </w:r>
      <w:r>
        <w:rPr>
          <w:highlight w:val="none"/>
        </w:rPr>
      </w:r>
    </w:p>
    <w:p>
      <w:pPr>
        <w:pStyle w:val="932"/>
        <w:ind w:left="0" w:right="0" w:firstLine="420"/>
        <w:keepLines w:val="0"/>
        <w:keepNext w:val="0"/>
        <w:spacing w:before="30" w:beforeAutospacing="0" w:after="30" w:afterAutospacing="0"/>
        <w:shd w:val="clear" w:color="auto" w:fill="ffffff"/>
        <w:widowControl/>
        <w:rPr>
          <w:rFonts w:hint="eastAsia" w:ascii="微软雅黑" w:hAnsi="微软雅黑" w:eastAsia="微软雅黑" w:cs="微软雅黑"/>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color w:val="auto"/>
          <w:sz w:val="21"/>
          <w:szCs w:val="21"/>
          <w:highlight w:val="none"/>
          <w:lang w:val="en-US" w:eastAsia="zh-CN" w:bidi="ar-SA"/>
        </w:rPr>
        <w:t xml:space="preserve">三、产品总成本和组件成本以相关会计核算数据、采购合同、进货记录等为基础进行计算。</w:t>
      </w:r>
      <w:r>
        <w:rPr>
          <w:highlight w:val="none"/>
        </w:rPr>
      </w:r>
      <w:r>
        <w:rPr>
          <w:highlight w:val="none"/>
        </w:rPr>
      </w:r>
    </w:p>
    <w:p>
      <w:pPr>
        <w:pStyle w:val="932"/>
        <w:ind w:left="0" w:right="0" w:firstLine="420"/>
        <w:keepLines w:val="0"/>
        <w:keepNext w:val="0"/>
        <w:spacing w:before="30" w:beforeAutospacing="0" w:after="30" w:afterAutospacing="0"/>
        <w:shd w:val="clear" w:color="auto" w:fill="ffffff"/>
        <w:widowControl/>
        <w:rPr>
          <w:rFonts w:hint="eastAsia" w:ascii="微软雅黑" w:hAnsi="微软雅黑" w:eastAsia="微软雅黑" w:cs="微软雅黑"/>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color w:val="auto"/>
          <w:sz w:val="21"/>
          <w:szCs w:val="21"/>
          <w:highlight w:val="none"/>
          <w:lang w:val="en-US" w:eastAsia="zh-CN" w:bidi="ar-SA"/>
        </w:rPr>
        <w:t xml:space="preserve">四、需要对成本核算规则予以进一步明确的其他有关事项，由财政部会同有关部门另行规定。</w:t>
      </w:r>
      <w:r>
        <w:rPr>
          <w:highlight w:val="none"/>
        </w:rPr>
      </w:r>
      <w:r>
        <w:rPr>
          <w:highlight w:val="none"/>
        </w:rPr>
      </w:r>
    </w:p>
    <w:p>
      <w:pPr>
        <w:spacing w:line="48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lang w:val="en-US" w:eastAsia="zh-CN"/>
        </w:rPr>
      </w:r>
      <w:r>
        <w:rPr>
          <w:highlight w:val="none"/>
        </w:rPr>
      </w:r>
      <w:r>
        <w:rPr>
          <w:highlight w:val="none"/>
        </w:rPr>
      </w:r>
    </w:p>
    <w:p>
      <w:pPr>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r>
      <w:r>
        <w:rPr>
          <w:highlight w:val="none"/>
        </w:rPr>
      </w:r>
      <w:r>
        <w:rPr>
          <w:highlight w:val="none"/>
        </w:rPr>
      </w:r>
    </w:p>
    <w:sectPr>
      <w:footerReference w:type="default" r:id="rId17"/>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Courier New">
    <w:panose1 w:val="02070309020205020404"/>
  </w:font>
  <w:font w:name="仿宋_GB2312">
    <w:panose1 w:val="02010609060101010101"/>
  </w:font>
  <w:font w:name="Verdana">
    <w:panose1 w:val="020B0604030504040204"/>
  </w:font>
  <w:font w:name="宋体_GB2312">
    <w:panose1 w:val="02010600030101010101"/>
  </w:font>
  <w:font w:name="黑体">
    <w:panose1 w:val="02010609060101010101"/>
  </w:font>
  <w:font w:name="Cambria">
    <w:panose1 w:val="02040503050406030204"/>
  </w:font>
  <w:font w:name="Arial">
    <w:panose1 w:val="020B0604020202020204"/>
  </w:font>
  <w:font w:name="微软雅黑">
    <w:panose1 w:val="020B0503020204020204"/>
  </w:font>
  <w:font w:name="Calibri">
    <w:panose1 w:val="020F0502020204030204"/>
  </w:font>
  <w:font w:name="SimSun">
    <w:panose1 w:val="02010600030101010101"/>
  </w:font>
  <w:font w:name="Helvetica">
    <w:panose1 w:val="020B0604020202020204"/>
  </w:font>
  <w:font w:name="宋体">
    <w:panose1 w:val="02010600030101010101"/>
  </w:font>
  <w:font w:name="???">
    <w:panose1 w:val="020B0503020202020204"/>
  </w:font>
  <w:font w:name="Times New Roman">
    <w:panose1 w:val="02020603050405020304"/>
  </w:font>
  <w:font w:name="Microsoft YaHei">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6"/>
                            <w:tabs>
                              <w:tab w:val="clear" w:pos="4153" w:leader="none"/>
                              <w:tab w:val="clear" w:pos="8306" w:leader="none"/>
                            </w:tabs>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tabs>
                        <w:tab w:val="clear" w:pos="4153" w:leader="none"/>
                        <w:tab w:val="clear" w:pos="8306" w:leader="none"/>
                      </w:tabs>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36"/>
                            <w:tabs>
                              <w:tab w:val="clear" w:pos="4153" w:leader="none"/>
                              <w:tab w:val="clear" w:pos="8306" w:leader="none"/>
                            </w:tabs>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fldChar w:fldCharType="end"/>
                          </w:r>
                          <w:r>
                            <w:t xml:space="preserve"> 页</w:t>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tabs>
                        <w:tab w:val="clear" w:pos="4153" w:leader="none"/>
                        <w:tab w:val="clear" w:pos="8306" w:leader="none"/>
                      </w:tabs>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fldChar w:fldCharType="end"/>
                    </w:r>
                    <w:r>
                      <w:t xml:space="preserve"> 页</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47955"/>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a:noFill/>
                      </a:ln>
                    </wps:spPr>
                    <wps:txbx>
                      <w:txbxContent>
                        <w:p>
                          <w:pPr>
                            <w:pStyle w:val="1136"/>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filled="f" stroked="f">
              <v:textbox inset="0,0,0,0">
                <w:txbxContent>
                  <w:p>
                    <w:pPr>
                      <w:pStyle w:val="1136"/>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default" w:eastAsia="微软雅黑"/>
        <w:u w:val="single"/>
        <w:lang w:val="en-US" w:eastAsia="zh-CN"/>
      </w:rPr>
    </w:pPr>
    <w:r>
      <w:rPr>
        <w:rFonts w:hint="eastAsia" w:ascii="宋体" w:hAnsi="宋体" w:eastAsia="宋体" w:cs="宋体"/>
        <w:color w:val="auto"/>
        <w:highlight w:val="none"/>
        <w:u w:val="single"/>
      </w:rPr>
      <mc:AlternateContent>
        <mc:Choice Requires="wpg">
          <w:drawing>
            <wp:inline xmlns:wp="http://schemas.openxmlformats.org/drawingml/2006/wordprocessingDrawing" distT="0" distB="0" distL="0" distR="0">
              <wp:extent cx="609600" cy="415925"/>
              <wp:effectExtent l="0" t="0" r="0" b="1079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
                      <a:stretch/>
                    </pic:blipFill>
                    <pic:spPr bwMode="auto">
                      <a:xfrm>
                        <a:off x="0" y="0"/>
                        <a:ext cx="609600" cy="415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8.0pt;height:32.8pt;mso-wrap-distance-left:0.0pt;mso-wrap-distance-top:0.0pt;mso-wrap-distance-right:0.0pt;mso-wrap-distance-bottom:0.0pt;" stroked="f">
              <v:path textboxrect="0,0,0,0"/>
              <v:imagedata r:id="rId1" o:title=""/>
            </v:shape>
          </w:pict>
        </mc:Fallback>
      </mc:AlternateContent>
    </w:r>
    <w:r>
      <w:rPr>
        <w:rFonts w:ascii="微软雅黑" w:hAnsi="微软雅黑" w:cs="微软雅黑"/>
        <w:u w:val="single"/>
      </w:rPr>
      <w:t xml:space="preserve">  </w:t>
    </w:r>
    <w:r>
      <w:rPr>
        <w:rFonts w:hint="eastAsia" w:ascii="微软雅黑" w:hAnsi="微软雅黑" w:cs="微软雅黑"/>
        <w:u w:val="single"/>
        <w:lang w:val="en-US" w:eastAsia="zh-CN"/>
      </w:rPr>
      <w:t xml:space="preserve">                                      徐医附院肝癌诊疗系统项目</w:t>
    </w:r>
    <w:r/>
  </w:p>
  <w:p>
    <w:pPr>
      <w:jc w:val="left"/>
      <w:widowControl/>
      <w:rPr>
        <w:rFonts w:hint="eastAsia" w:eastAsia="微软雅黑"/>
        <w:lang w:eastAsia="zh-CN"/>
      </w:rPr>
    </w:pPr>
    <w:r>
      <w:rPr>
        <w:rFonts w:hint="eastAsia" w:eastAsia="微软雅黑"/>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default" w:eastAsia="微软雅黑"/>
        <w:u w:val="single"/>
        <w:lang w:val="en-US" w:eastAsia="zh-CN"/>
      </w:rPr>
    </w:pPr>
    <w:r>
      <w:rPr>
        <w:rFonts w:hint="eastAsia" w:ascii="宋体" w:hAnsi="宋体" w:eastAsia="宋体" w:cs="宋体"/>
        <w:color w:val="auto"/>
        <w:highlight w:val="none"/>
        <w:u w:val="single"/>
      </w:rPr>
      <mc:AlternateContent>
        <mc:Choice Requires="wpg">
          <w:drawing>
            <wp:inline xmlns:wp="http://schemas.openxmlformats.org/drawingml/2006/wordprocessingDrawing" distT="0" distB="0" distL="0" distR="0">
              <wp:extent cx="609600" cy="415925"/>
              <wp:effectExtent l="0" t="0" r="0" b="1079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609600" cy="415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0pt;height:32.8pt;mso-wrap-distance-left:0.0pt;mso-wrap-distance-top:0.0pt;mso-wrap-distance-right:0.0pt;mso-wrap-distance-bottom:0.0pt;" stroked="f">
              <v:path textboxrect="0,0,0,0"/>
              <v:imagedata r:id="rId1" o:title=""/>
            </v:shape>
          </w:pict>
        </mc:Fallback>
      </mc:AlternateContent>
    </w:r>
    <w:r>
      <w:rPr>
        <w:rFonts w:ascii="微软雅黑" w:hAnsi="微软雅黑" w:cs="微软雅黑"/>
        <w:u w:val="single"/>
      </w:rPr>
      <w:t xml:space="preserve">  </w:t>
    </w:r>
    <w:r>
      <w:rPr>
        <w:rFonts w:hint="eastAsia" w:ascii="微软雅黑" w:hAnsi="微软雅黑" w:cs="微软雅黑"/>
        <w:u w:val="single"/>
        <w:lang w:val="en-US" w:eastAsia="zh-CN"/>
      </w:rPr>
      <w:t xml:space="preserve">                                      徐医附院肝癌诊疗系统项目</w:t>
    </w:r>
    <w:r/>
  </w:p>
  <w:p>
    <w:pPr>
      <w:ind w:left="420" w:hanging="420"/>
      <w:jc w:val="left"/>
      <w:widowControl/>
      <w:rPr>
        <w:rFonts w:hint="eastAsia" w:eastAsia="微软雅黑"/>
        <w:lang w:eastAsia="zh-CN"/>
      </w:rPr>
    </w:pPr>
    <w:r>
      <w:rPr>
        <w:rFonts w:hint="eastAsia" w:eastAsia="微软雅黑"/>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default" w:eastAsia="微软雅黑"/>
        <w:u w:val="single"/>
        <w:lang w:val="en-US" w:eastAsia="zh-CN"/>
      </w:rPr>
    </w:pPr>
    <w:r>
      <w:rPr>
        <w:rFonts w:hint="eastAsia" w:ascii="宋体" w:hAnsi="宋体" w:eastAsia="宋体" w:cs="宋体"/>
        <w:color w:val="auto"/>
        <w:highlight w:val="none"/>
        <w:u w:val="single"/>
      </w:rPr>
      <mc:AlternateContent>
        <mc:Choice Requires="wpg">
          <w:drawing>
            <wp:inline xmlns:wp="http://schemas.openxmlformats.org/drawingml/2006/wordprocessingDrawing" distT="0" distB="0" distL="0" distR="0">
              <wp:extent cx="609600" cy="415925"/>
              <wp:effectExtent l="0" t="0" r="0" b="1079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
                      <a:stretch/>
                    </pic:blipFill>
                    <pic:spPr bwMode="auto">
                      <a:xfrm>
                        <a:off x="0" y="0"/>
                        <a:ext cx="609600" cy="415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0pt;height:32.8pt;mso-wrap-distance-left:0.0pt;mso-wrap-distance-top:0.0pt;mso-wrap-distance-right:0.0pt;mso-wrap-distance-bottom:0.0pt;" stroked="f">
              <v:path textboxrect="0,0,0,0"/>
              <v:imagedata r:id="rId1" o:title=""/>
            </v:shape>
          </w:pict>
        </mc:Fallback>
      </mc:AlternateContent>
    </w:r>
    <w:r>
      <w:rPr>
        <w:rFonts w:ascii="微软雅黑" w:hAnsi="微软雅黑" w:cs="微软雅黑"/>
        <w:u w:val="single"/>
      </w:rPr>
      <w:t xml:space="preserve">  </w:t>
    </w:r>
    <w:r>
      <w:rPr>
        <w:rFonts w:hint="eastAsia" w:ascii="微软雅黑" w:hAnsi="微软雅黑" w:cs="微软雅黑"/>
        <w:u w:val="single"/>
        <w:lang w:val="en-US" w:eastAsia="zh-CN"/>
      </w:rPr>
      <w:t xml:space="preserve">                                      徐医附院肝癌诊疗系统项目</w:t>
    </w:r>
    <w:r/>
  </w:p>
  <w:p>
    <w:pPr>
      <w:ind w:firstLine="630"/>
      <w:spacing w:line="360" w:lineRule="auto"/>
      <w:rPr>
        <w:rFonts w:hint="eastAsia" w:ascii="微软雅黑" w:hAnsi="微软雅黑" w:eastAsia="微软雅黑" w:cs="微软雅黑"/>
        <w:sz w:val="22"/>
        <w:szCs w:val="24"/>
        <w:u w:val="single"/>
        <w:lang w:eastAsia="zh-CN"/>
      </w:rPr>
    </w:pPr>
    <w:r>
      <w:rPr>
        <w:rFonts w:hint="eastAsia" w:ascii="微软雅黑" w:hAnsi="微软雅黑" w:eastAsia="微软雅黑" w:cs="微软雅黑"/>
        <w:sz w:val="22"/>
        <w:szCs w:val="24"/>
        <w:u w:val="single"/>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224"/>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080" w:hanging="360"/>
      </w:pPr>
      <w:rPr>
        <w:rFonts w:ascii="Courier New" w:hAnsi="Courier New" w:cs="Courier New"/>
      </w:rPr>
    </w:lvl>
    <w:lvl w:ilvl="2">
      <w:start w:val="1"/>
      <w:numFmt w:val="bullet"/>
      <w:isLgl w:val="false"/>
      <w:suff w:val="tab"/>
      <w:lvlText w:val=""/>
      <w:lvlJc w:val="left"/>
      <w:pPr>
        <w:ind w:left="1800" w:hanging="360"/>
      </w:pPr>
      <w:rPr>
        <w:rFonts w:ascii="Wingdings" w:hAnsi="Wingdings"/>
      </w:rPr>
    </w:lvl>
    <w:lvl w:ilvl="3">
      <w:start w:val="1"/>
      <w:numFmt w:val="bullet"/>
      <w:isLgl w:val="false"/>
      <w:suff w:val="tab"/>
      <w:lvlText w:val=""/>
      <w:lvlJc w:val="left"/>
      <w:pPr>
        <w:ind w:left="2520" w:hanging="360"/>
      </w:pPr>
      <w:rPr>
        <w:rFonts w:ascii="Symbol" w:hAnsi="Symbol"/>
      </w:rPr>
    </w:lvl>
    <w:lvl w:ilvl="4">
      <w:start w:val="1"/>
      <w:numFmt w:val="bullet"/>
      <w:isLgl w:val="false"/>
      <w:suff w:val="tab"/>
      <w:lvlText w:val="o"/>
      <w:lvlJc w:val="left"/>
      <w:pPr>
        <w:ind w:left="3240" w:hanging="360"/>
      </w:pPr>
      <w:rPr>
        <w:rFonts w:ascii="Courier New" w:hAnsi="Courier New" w:cs="Courier New"/>
      </w:rPr>
    </w:lvl>
    <w:lvl w:ilvl="5">
      <w:start w:val="1"/>
      <w:numFmt w:val="bullet"/>
      <w:isLgl w:val="false"/>
      <w:suff w:val="tab"/>
      <w:lvlText w:val=""/>
      <w:lvlJc w:val="left"/>
      <w:pPr>
        <w:ind w:left="3960" w:hanging="360"/>
      </w:pPr>
      <w:rPr>
        <w:rFonts w:ascii="Wingdings" w:hAnsi="Wingdings"/>
      </w:rPr>
    </w:lvl>
    <w:lvl w:ilvl="6">
      <w:start w:val="1"/>
      <w:numFmt w:val="bullet"/>
      <w:isLgl w:val="false"/>
      <w:suff w:val="tab"/>
      <w:lvlText w:val=""/>
      <w:lvlJc w:val="left"/>
      <w:pPr>
        <w:ind w:left="4680" w:hanging="360"/>
      </w:pPr>
      <w:rPr>
        <w:rFonts w:ascii="Symbol" w:hAnsi="Symbol"/>
      </w:rPr>
    </w:lvl>
    <w:lvl w:ilvl="7">
      <w:start w:val="1"/>
      <w:numFmt w:val="bullet"/>
      <w:isLgl w:val="false"/>
      <w:suff w:val="tab"/>
      <w:lvlText w:val="o"/>
      <w:lvlJc w:val="left"/>
      <w:pPr>
        <w:ind w:left="5400" w:hanging="360"/>
      </w:pPr>
      <w:rPr>
        <w:rFonts w:ascii="Courier New" w:hAnsi="Courier New" w:cs="Courier New"/>
      </w:rPr>
    </w:lvl>
    <w:lvl w:ilvl="8">
      <w:start w:val="1"/>
      <w:numFmt w:val="bullet"/>
      <w:isLgl w:val="false"/>
      <w:suff w:val="tab"/>
      <w:lvlText w:val=""/>
      <w:lvlJc w:val="left"/>
      <w:pPr>
        <w:ind w:left="6120" w:hanging="360"/>
      </w:pPr>
      <w:rPr>
        <w:rFonts w:ascii="Wingdings" w:hAnsi="Wingdings"/>
      </w:rPr>
    </w:lvl>
  </w:abstractNum>
  <w:abstractNum w:abstractNumId="3">
    <w:multiLevelType w:val="hybridMultilevel"/>
    <w:lvl w:ilvl="0">
      <w:start w:val="1"/>
      <w:numFmt w:val="decimal"/>
      <w:pStyle w:val="1194"/>
      <w:isLgl w:val="false"/>
      <w:suff w:val="tab"/>
      <w:lvlText w:val="%1注："/>
      <w:lvlJc w:val="left"/>
      <w:pPr>
        <w:ind w:left="840" w:hanging="420"/>
        <w:tabs>
          <w:tab w:val="left"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lowerLetter"/>
      <w:pStyle w:val="1115"/>
      <w:isLgl w:val="false"/>
      <w:suff w:val="tab"/>
      <w:lvlText w:val="%1)"/>
      <w:lvlJc w:val="left"/>
      <w:pPr>
        <w:ind w:left="990" w:hanging="360"/>
        <w:tabs>
          <w:tab w:val="left" w:pos="990" w:leader="none"/>
        </w:tabs>
      </w:pPr>
      <w:rPr>
        <w:rFonts w:hint="eastAsia"/>
      </w:rPr>
    </w:lvl>
    <w:lvl w:ilvl="1">
      <w:start w:val="1"/>
      <w:numFmt w:val="lowerLetter"/>
      <w:pStyle w:val="1218"/>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6">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28"/>
      <w:isLgl w:val="false"/>
      <w:suff w:val="tab"/>
      <w:lvlText w:val="%1."/>
      <w:lvlJc w:val="left"/>
      <w:pPr>
        <w:tabs>
          <w:tab w:val="left" w:pos="360" w:leader="none"/>
        </w:tabs>
      </w:pPr>
      <w:rPr>
        <w:rFonts w:hint="eastAsia"/>
      </w:rPr>
    </w:lvl>
    <w:lvl w:ilvl="1">
      <w:start w:val="1"/>
      <w:numFmt w:val="decimal"/>
      <w:pStyle w:val="1230"/>
      <w:isLgl w:val="false"/>
      <w:suff w:val="tab"/>
      <w:lvlText w:val="%1.%2"/>
      <w:lvlJc w:val="left"/>
      <w:pPr>
        <w:tabs>
          <w:tab w:val="left" w:pos="720" w:leader="none"/>
        </w:tabs>
      </w:pPr>
      <w:rPr>
        <w:rFonts w:hint="eastAsia"/>
        <w:b w:val="0"/>
        <w:bCs w:val="0"/>
        <w:i w:val="0"/>
        <w:iCs w:val="0"/>
      </w:rPr>
    </w:lvl>
    <w:lvl w:ilvl="2">
      <w:start w:val="1"/>
      <w:numFmt w:val="decimal"/>
      <w:pStyle w:val="1221"/>
      <w:isLgl w:val="false"/>
      <w:suff w:val="tab"/>
      <w:lvlText w:val="%1.%2.%3"/>
      <w:lvlJc w:val="left"/>
      <w:pPr>
        <w:tabs>
          <w:tab w:val="left" w:pos="72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8"/>
  </w:num>
  <w:num w:numId="4">
    <w:abstractNumId w:val="2"/>
  </w:num>
  <w:num w:numId="5">
    <w:abstractNumId w:val="0"/>
  </w:num>
  <w:num w:numId="6">
    <w:abstractNumId w:val="1"/>
  </w:num>
  <w:num w:numId="7">
    <w:abstractNumId w:val="7"/>
  </w:num>
  <w:num w:numId="8">
    <w:abstractNumId w:val="9"/>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2" w:default="1">
    <w:name w:val="Normal"/>
    <w:link w:val="1173"/>
    <w:uiPriority w:val="0"/>
    <w:qFormat/>
    <w:pPr>
      <w:jc w:val="both"/>
      <w:widowControl w:val="off"/>
    </w:pPr>
    <w:rPr>
      <w:rFonts w:hint="default" w:ascii="Times New Roman" w:hAnsi="Times New Roman" w:eastAsia="微软雅黑" w:cs="Times New Roman"/>
      <w:sz w:val="21"/>
      <w:szCs w:val="22"/>
      <w:lang w:val="en-US" w:eastAsia="zh-CN" w:bidi="ar-SA"/>
    </w:rPr>
  </w:style>
  <w:style w:type="paragraph" w:styleId="903">
    <w:name w:val="Heading 1"/>
    <w:basedOn w:val="902"/>
    <w:next w:val="902"/>
    <w:link w:val="941"/>
    <w:uiPriority w:val="9"/>
    <w:qFormat/>
    <w:pPr>
      <w:keepLines/>
      <w:keepNext/>
      <w:spacing w:before="480" w:after="200"/>
      <w:outlineLvl w:val="0"/>
    </w:pPr>
    <w:rPr>
      <w:rFonts w:ascii="Arial" w:hAnsi="Arial" w:eastAsia="Arial" w:cs="Arial"/>
      <w:sz w:val="40"/>
      <w:szCs w:val="40"/>
    </w:rPr>
  </w:style>
  <w:style w:type="paragraph" w:styleId="904">
    <w:name w:val="Heading 2"/>
    <w:basedOn w:val="902"/>
    <w:next w:val="902"/>
    <w:link w:val="942"/>
    <w:uiPriority w:val="9"/>
    <w:unhideWhenUsed/>
    <w:qFormat/>
    <w:pPr>
      <w:keepLines/>
      <w:keepNext/>
      <w:spacing w:before="360" w:after="200"/>
      <w:outlineLvl w:val="1"/>
    </w:pPr>
    <w:rPr>
      <w:rFonts w:ascii="Arial" w:hAnsi="Arial" w:eastAsia="Arial" w:cs="Arial"/>
      <w:sz w:val="34"/>
    </w:rPr>
  </w:style>
  <w:style w:type="paragraph" w:styleId="905">
    <w:name w:val="Heading 3"/>
    <w:basedOn w:val="902"/>
    <w:next w:val="902"/>
    <w:link w:val="943"/>
    <w:uiPriority w:val="9"/>
    <w:unhideWhenUsed/>
    <w:qFormat/>
    <w:pPr>
      <w:keepLines/>
      <w:keepNext/>
      <w:spacing w:before="320" w:after="200"/>
      <w:outlineLvl w:val="2"/>
    </w:pPr>
    <w:rPr>
      <w:rFonts w:ascii="Arial" w:hAnsi="Arial" w:eastAsia="Arial" w:cs="Arial"/>
      <w:sz w:val="30"/>
      <w:szCs w:val="30"/>
    </w:rPr>
  </w:style>
  <w:style w:type="paragraph" w:styleId="906">
    <w:name w:val="Heading 4"/>
    <w:basedOn w:val="902"/>
    <w:next w:val="902"/>
    <w:link w:val="944"/>
    <w:uiPriority w:val="9"/>
    <w:unhideWhenUsed/>
    <w:qFormat/>
    <w:pPr>
      <w:keepLines/>
      <w:keepNext/>
      <w:spacing w:before="320" w:after="200"/>
      <w:outlineLvl w:val="3"/>
    </w:pPr>
    <w:rPr>
      <w:rFonts w:ascii="Arial" w:hAnsi="Arial" w:eastAsia="Arial" w:cs="Arial"/>
      <w:b/>
      <w:bCs/>
      <w:sz w:val="26"/>
      <w:szCs w:val="26"/>
    </w:rPr>
  </w:style>
  <w:style w:type="paragraph" w:styleId="907">
    <w:name w:val="Heading 5"/>
    <w:basedOn w:val="902"/>
    <w:next w:val="902"/>
    <w:link w:val="945"/>
    <w:uiPriority w:val="9"/>
    <w:unhideWhenUsed/>
    <w:qFormat/>
    <w:pPr>
      <w:keepLines/>
      <w:keepNext/>
      <w:spacing w:before="320" w:after="200"/>
      <w:outlineLvl w:val="4"/>
    </w:pPr>
    <w:rPr>
      <w:rFonts w:ascii="Arial" w:hAnsi="Arial" w:eastAsia="Arial" w:cs="Arial"/>
      <w:b/>
      <w:bCs/>
      <w:sz w:val="24"/>
      <w:szCs w:val="24"/>
    </w:rPr>
  </w:style>
  <w:style w:type="paragraph" w:styleId="908">
    <w:name w:val="Heading 6"/>
    <w:basedOn w:val="902"/>
    <w:next w:val="902"/>
    <w:link w:val="946"/>
    <w:uiPriority w:val="9"/>
    <w:unhideWhenUsed/>
    <w:qFormat/>
    <w:pPr>
      <w:keepLines/>
      <w:keepNext/>
      <w:spacing w:before="320" w:after="200"/>
      <w:outlineLvl w:val="5"/>
    </w:pPr>
    <w:rPr>
      <w:rFonts w:ascii="Arial" w:hAnsi="Arial" w:eastAsia="Arial" w:cs="Arial"/>
      <w:b/>
      <w:bCs/>
      <w:sz w:val="22"/>
      <w:szCs w:val="22"/>
    </w:rPr>
  </w:style>
  <w:style w:type="paragraph" w:styleId="909">
    <w:name w:val="Heading 7"/>
    <w:basedOn w:val="902"/>
    <w:next w:val="902"/>
    <w:link w:val="947"/>
    <w:uiPriority w:val="9"/>
    <w:unhideWhenUsed/>
    <w:qFormat/>
    <w:pPr>
      <w:keepLines/>
      <w:keepNext/>
      <w:spacing w:before="320" w:after="200"/>
      <w:outlineLvl w:val="6"/>
    </w:pPr>
    <w:rPr>
      <w:rFonts w:ascii="Arial" w:hAnsi="Arial" w:eastAsia="Arial" w:cs="Arial"/>
      <w:b/>
      <w:bCs/>
      <w:i/>
      <w:iCs/>
      <w:sz w:val="22"/>
      <w:szCs w:val="22"/>
    </w:rPr>
  </w:style>
  <w:style w:type="paragraph" w:styleId="910">
    <w:name w:val="Heading 8"/>
    <w:basedOn w:val="902"/>
    <w:next w:val="902"/>
    <w:link w:val="948"/>
    <w:uiPriority w:val="9"/>
    <w:unhideWhenUsed/>
    <w:qFormat/>
    <w:pPr>
      <w:keepLines/>
      <w:keepNext/>
      <w:spacing w:before="320" w:after="200"/>
      <w:outlineLvl w:val="7"/>
    </w:pPr>
    <w:rPr>
      <w:rFonts w:ascii="Arial" w:hAnsi="Arial" w:eastAsia="Arial" w:cs="Arial"/>
      <w:i/>
      <w:iCs/>
      <w:sz w:val="22"/>
      <w:szCs w:val="22"/>
    </w:rPr>
  </w:style>
  <w:style w:type="paragraph" w:styleId="911">
    <w:name w:val="Heading 9"/>
    <w:basedOn w:val="902"/>
    <w:next w:val="902"/>
    <w:link w:val="949"/>
    <w:uiPriority w:val="9"/>
    <w:unhideWhenUsed/>
    <w:qFormat/>
    <w:pPr>
      <w:keepLines/>
      <w:keepNext/>
      <w:spacing w:before="320" w:after="200"/>
      <w:outlineLvl w:val="8"/>
    </w:pPr>
    <w:rPr>
      <w:rFonts w:ascii="Arial" w:hAnsi="Arial" w:eastAsia="Arial" w:cs="Arial"/>
      <w:i/>
      <w:iCs/>
      <w:sz w:val="21"/>
      <w:szCs w:val="21"/>
    </w:rPr>
  </w:style>
  <w:style w:type="character" w:styleId="912" w:default="1">
    <w:name w:val="Default Paragraph Font"/>
    <w:uiPriority w:val="1"/>
    <w:semiHidden/>
    <w:unhideWhenUsed/>
    <w:qFormat/>
  </w:style>
  <w:style w:type="table" w:styleId="913" w:default="1">
    <w:name w:val="Normal Table"/>
    <w:uiPriority w:val="99"/>
    <w:semiHidden/>
    <w:unhideWhenUsed/>
    <w:qFormat/>
    <w:tblPr>
      <w:tblCellMar>
        <w:left w:w="108" w:type="dxa"/>
        <w:top w:w="0" w:type="dxa"/>
        <w:right w:w="108" w:type="dxa"/>
        <w:bottom w:w="0" w:type="dxa"/>
      </w:tblCellMar>
    </w:tblPr>
  </w:style>
  <w:style w:type="paragraph" w:styleId="914">
    <w:name w:val="toc 7"/>
    <w:basedOn w:val="902"/>
    <w:next w:val="902"/>
    <w:uiPriority w:val="39"/>
    <w:unhideWhenUsed/>
    <w:qFormat/>
    <w:pPr>
      <w:ind w:left="1701" w:right="0" w:firstLine="0"/>
      <w:spacing w:after="57"/>
    </w:pPr>
  </w:style>
  <w:style w:type="paragraph" w:styleId="915">
    <w:name w:val="Caption"/>
    <w:basedOn w:val="902"/>
    <w:next w:val="9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6">
    <w:name w:val="annotation text"/>
    <w:basedOn w:val="902"/>
    <w:uiPriority w:val="6"/>
    <w:qFormat/>
    <w:pPr>
      <w:widowControl w:val="off"/>
    </w:pPr>
    <w:rPr>
      <w:sz w:val="21"/>
      <w:szCs w:val="21"/>
    </w:rPr>
  </w:style>
  <w:style w:type="paragraph" w:styleId="917">
    <w:name w:val="Body Text"/>
    <w:basedOn w:val="902"/>
    <w:next w:val="902"/>
    <w:uiPriority w:val="6"/>
    <w:qFormat/>
  </w:style>
  <w:style w:type="paragraph" w:styleId="918">
    <w:name w:val="toc 5"/>
    <w:basedOn w:val="902"/>
    <w:next w:val="902"/>
    <w:uiPriority w:val="39"/>
    <w:unhideWhenUsed/>
    <w:qFormat/>
    <w:pPr>
      <w:ind w:left="1134" w:right="0" w:firstLine="0"/>
      <w:spacing w:after="57"/>
    </w:pPr>
  </w:style>
  <w:style w:type="paragraph" w:styleId="919">
    <w:name w:val="toc 3"/>
    <w:basedOn w:val="902"/>
    <w:next w:val="902"/>
    <w:uiPriority w:val="39"/>
    <w:unhideWhenUsed/>
    <w:qFormat/>
    <w:pPr>
      <w:ind w:left="567" w:right="0" w:firstLine="0"/>
      <w:spacing w:after="57"/>
    </w:pPr>
  </w:style>
  <w:style w:type="paragraph" w:styleId="920">
    <w:name w:val="toc 8"/>
    <w:basedOn w:val="902"/>
    <w:next w:val="902"/>
    <w:uiPriority w:val="39"/>
    <w:unhideWhenUsed/>
    <w:qFormat/>
    <w:pPr>
      <w:ind w:left="1984" w:right="0" w:firstLine="0"/>
      <w:spacing w:after="57"/>
    </w:pPr>
  </w:style>
  <w:style w:type="paragraph" w:styleId="921">
    <w:name w:val="endnote text"/>
    <w:basedOn w:val="902"/>
    <w:link w:val="1085"/>
    <w:uiPriority w:val="99"/>
    <w:semiHidden/>
    <w:unhideWhenUsed/>
    <w:qFormat/>
    <w:pPr>
      <w:spacing w:after="0" w:line="240" w:lineRule="auto"/>
    </w:pPr>
    <w:rPr>
      <w:sz w:val="20"/>
    </w:rPr>
  </w:style>
  <w:style w:type="paragraph" w:styleId="922">
    <w:name w:val="Footer"/>
    <w:basedOn w:val="902"/>
    <w:link w:val="958"/>
    <w:uiPriority w:val="99"/>
    <w:unhideWhenUsed/>
    <w:qFormat/>
    <w:pPr>
      <w:spacing w:after="0" w:line="240" w:lineRule="auto"/>
      <w:tabs>
        <w:tab w:val="center" w:pos="7143" w:leader="none"/>
        <w:tab w:val="right" w:pos="14287" w:leader="none"/>
      </w:tabs>
    </w:pPr>
  </w:style>
  <w:style w:type="paragraph" w:styleId="923">
    <w:name w:val="Header"/>
    <w:basedOn w:val="902"/>
    <w:link w:val="956"/>
    <w:uiPriority w:val="99"/>
    <w:unhideWhenUsed/>
    <w:qFormat/>
    <w:pPr>
      <w:spacing w:after="0" w:line="240" w:lineRule="auto"/>
      <w:tabs>
        <w:tab w:val="center" w:pos="7143" w:leader="none"/>
        <w:tab w:val="right" w:pos="14287" w:leader="none"/>
      </w:tabs>
    </w:pPr>
  </w:style>
  <w:style w:type="paragraph" w:styleId="924">
    <w:name w:val="toc 1"/>
    <w:basedOn w:val="902"/>
    <w:next w:val="902"/>
    <w:uiPriority w:val="39"/>
    <w:unhideWhenUsed/>
    <w:qFormat/>
    <w:pPr>
      <w:ind w:left="0" w:right="0" w:firstLine="0"/>
      <w:spacing w:after="57"/>
    </w:pPr>
  </w:style>
  <w:style w:type="paragraph" w:styleId="925">
    <w:name w:val="toc 4"/>
    <w:basedOn w:val="902"/>
    <w:next w:val="902"/>
    <w:uiPriority w:val="39"/>
    <w:unhideWhenUsed/>
    <w:qFormat/>
    <w:pPr>
      <w:ind w:left="850" w:right="0" w:firstLine="0"/>
      <w:spacing w:after="57"/>
    </w:pPr>
  </w:style>
  <w:style w:type="paragraph" w:styleId="926">
    <w:name w:val="Subtitle"/>
    <w:basedOn w:val="902"/>
    <w:next w:val="902"/>
    <w:link w:val="951"/>
    <w:uiPriority w:val="11"/>
    <w:qFormat/>
    <w:pPr>
      <w:spacing w:before="200" w:after="200"/>
    </w:pPr>
    <w:rPr>
      <w:sz w:val="24"/>
      <w:szCs w:val="24"/>
    </w:rPr>
  </w:style>
  <w:style w:type="paragraph" w:styleId="927">
    <w:name w:val="footnote text"/>
    <w:basedOn w:val="902"/>
    <w:link w:val="1084"/>
    <w:uiPriority w:val="99"/>
    <w:semiHidden/>
    <w:unhideWhenUsed/>
    <w:qFormat/>
    <w:pPr>
      <w:spacing w:after="40" w:line="240" w:lineRule="auto"/>
    </w:pPr>
    <w:rPr>
      <w:sz w:val="18"/>
    </w:rPr>
  </w:style>
  <w:style w:type="paragraph" w:styleId="928">
    <w:name w:val="toc 6"/>
    <w:basedOn w:val="902"/>
    <w:next w:val="902"/>
    <w:uiPriority w:val="39"/>
    <w:unhideWhenUsed/>
    <w:qFormat/>
    <w:pPr>
      <w:ind w:left="1417" w:right="0" w:firstLine="0"/>
      <w:spacing w:after="57"/>
    </w:pPr>
  </w:style>
  <w:style w:type="paragraph" w:styleId="929">
    <w:name w:val="table of figures"/>
    <w:basedOn w:val="902"/>
    <w:next w:val="902"/>
    <w:uiPriority w:val="99"/>
    <w:unhideWhenUsed/>
    <w:qFormat/>
    <w:pPr>
      <w:spacing w:after="0" w:afterAutospacing="0"/>
    </w:pPr>
  </w:style>
  <w:style w:type="paragraph" w:styleId="930">
    <w:name w:val="toc 2"/>
    <w:basedOn w:val="902"/>
    <w:next w:val="902"/>
    <w:uiPriority w:val="39"/>
    <w:unhideWhenUsed/>
    <w:qFormat/>
    <w:pPr>
      <w:ind w:left="283" w:right="0" w:firstLine="0"/>
      <w:spacing w:after="57"/>
    </w:pPr>
  </w:style>
  <w:style w:type="paragraph" w:styleId="931">
    <w:name w:val="toc 9"/>
    <w:basedOn w:val="902"/>
    <w:next w:val="902"/>
    <w:uiPriority w:val="39"/>
    <w:unhideWhenUsed/>
    <w:qFormat/>
    <w:pPr>
      <w:ind w:left="2268" w:right="0" w:firstLine="0"/>
      <w:spacing w:after="57"/>
    </w:pPr>
  </w:style>
  <w:style w:type="paragraph" w:styleId="932">
    <w:name w:val="Normal (Web)"/>
    <w:basedOn w:val="902"/>
    <w:uiPriority w:val="7"/>
    <w:qFormat/>
    <w:pPr>
      <w:spacing w:before="100" w:beforeAutospacing="1" w:after="100" w:afterAutospacing="1"/>
    </w:pPr>
    <w:rPr>
      <w:rFonts w:ascii="宋体" w:hAnsi="宋体" w:cs="宋体"/>
    </w:rPr>
  </w:style>
  <w:style w:type="paragraph" w:styleId="933">
    <w:name w:val="Title"/>
    <w:basedOn w:val="902"/>
    <w:next w:val="902"/>
    <w:link w:val="950"/>
    <w:uiPriority w:val="10"/>
    <w:qFormat/>
    <w:pPr>
      <w:contextualSpacing/>
      <w:spacing w:before="300" w:after="200"/>
    </w:pPr>
    <w:rPr>
      <w:sz w:val="48"/>
      <w:szCs w:val="48"/>
    </w:rPr>
  </w:style>
  <w:style w:type="table" w:styleId="93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5">
    <w:name w:val="Strong"/>
    <w:uiPriority w:val="0"/>
    <w:qFormat/>
    <w:rPr>
      <w:b/>
    </w:rPr>
  </w:style>
  <w:style w:type="character" w:styleId="936">
    <w:name w:val="endnote reference"/>
    <w:uiPriority w:val="99"/>
    <w:semiHidden/>
    <w:unhideWhenUsed/>
    <w:qFormat/>
    <w:rPr>
      <w:vertAlign w:val="superscript"/>
    </w:rPr>
  </w:style>
  <w:style w:type="character" w:styleId="937">
    <w:name w:val="page number"/>
    <w:uiPriority w:val="0"/>
    <w:qFormat/>
  </w:style>
  <w:style w:type="character" w:styleId="938">
    <w:name w:val="Hyperlink"/>
    <w:uiPriority w:val="99"/>
    <w:unhideWhenUsed/>
    <w:qFormat/>
    <w:rPr>
      <w:color w:val="0000ff" w:themeColor="hyperlink"/>
      <w:u w:val="single"/>
      <w14:textFill>
        <w14:solidFill>
          <w14:schemeClr w14:val="hlink"/>
        </w14:solidFill>
      </w14:textFill>
    </w:rPr>
  </w:style>
  <w:style w:type="character" w:styleId="939">
    <w:name w:val="annotation reference"/>
    <w:uiPriority w:val="6"/>
    <w:qFormat/>
    <w:rPr>
      <w:sz w:val="21"/>
      <w:szCs w:val="21"/>
    </w:rPr>
  </w:style>
  <w:style w:type="character" w:styleId="940">
    <w:name w:val="footnote reference"/>
    <w:uiPriority w:val="99"/>
    <w:unhideWhenUsed/>
    <w:qFormat/>
    <w:rPr>
      <w:vertAlign w:val="superscript"/>
    </w:rPr>
  </w:style>
  <w:style w:type="character" w:styleId="941" w:customStyle="1">
    <w:name w:val="Heading 1 Char"/>
    <w:link w:val="903"/>
    <w:uiPriority w:val="9"/>
    <w:qFormat/>
    <w:rPr>
      <w:rFonts w:ascii="Arial" w:hAnsi="Arial" w:eastAsia="Arial" w:cs="Arial"/>
      <w:sz w:val="40"/>
      <w:szCs w:val="40"/>
    </w:rPr>
  </w:style>
  <w:style w:type="character" w:styleId="942" w:customStyle="1">
    <w:name w:val="Heading 2 Char"/>
    <w:link w:val="904"/>
    <w:uiPriority w:val="9"/>
    <w:qFormat/>
    <w:rPr>
      <w:rFonts w:ascii="Arial" w:hAnsi="Arial" w:eastAsia="Arial" w:cs="Arial"/>
      <w:sz w:val="34"/>
    </w:rPr>
  </w:style>
  <w:style w:type="character" w:styleId="943" w:customStyle="1">
    <w:name w:val="Heading 3 Char"/>
    <w:link w:val="905"/>
    <w:uiPriority w:val="9"/>
    <w:qFormat/>
    <w:rPr>
      <w:rFonts w:ascii="Arial" w:hAnsi="Arial" w:eastAsia="Arial" w:cs="Arial"/>
      <w:sz w:val="30"/>
      <w:szCs w:val="30"/>
    </w:rPr>
  </w:style>
  <w:style w:type="character" w:styleId="944" w:customStyle="1">
    <w:name w:val="Heading 4 Char"/>
    <w:link w:val="906"/>
    <w:uiPriority w:val="9"/>
    <w:qFormat/>
    <w:rPr>
      <w:rFonts w:ascii="Arial" w:hAnsi="Arial" w:eastAsia="Arial" w:cs="Arial"/>
      <w:b/>
      <w:bCs/>
      <w:sz w:val="26"/>
      <w:szCs w:val="26"/>
    </w:rPr>
  </w:style>
  <w:style w:type="character" w:styleId="945" w:customStyle="1">
    <w:name w:val="Heading 5 Char"/>
    <w:link w:val="907"/>
    <w:uiPriority w:val="9"/>
    <w:qFormat/>
    <w:rPr>
      <w:rFonts w:ascii="Arial" w:hAnsi="Arial" w:eastAsia="Arial" w:cs="Arial"/>
      <w:b/>
      <w:bCs/>
      <w:sz w:val="24"/>
      <w:szCs w:val="24"/>
    </w:rPr>
  </w:style>
  <w:style w:type="character" w:styleId="946" w:customStyle="1">
    <w:name w:val="Heading 6 Char"/>
    <w:link w:val="908"/>
    <w:uiPriority w:val="9"/>
    <w:qFormat/>
    <w:rPr>
      <w:rFonts w:ascii="Arial" w:hAnsi="Arial" w:eastAsia="Arial" w:cs="Arial"/>
      <w:b/>
      <w:bCs/>
      <w:sz w:val="22"/>
      <w:szCs w:val="22"/>
    </w:rPr>
  </w:style>
  <w:style w:type="character" w:styleId="947" w:customStyle="1">
    <w:name w:val="Heading 7 Char"/>
    <w:link w:val="909"/>
    <w:uiPriority w:val="9"/>
    <w:qFormat/>
    <w:rPr>
      <w:rFonts w:ascii="Arial" w:hAnsi="Arial" w:eastAsia="Arial" w:cs="Arial"/>
      <w:b/>
      <w:bCs/>
      <w:i/>
      <w:iCs/>
      <w:sz w:val="22"/>
      <w:szCs w:val="22"/>
    </w:rPr>
  </w:style>
  <w:style w:type="character" w:styleId="948" w:customStyle="1">
    <w:name w:val="Heading 8 Char"/>
    <w:link w:val="910"/>
    <w:uiPriority w:val="9"/>
    <w:qFormat/>
    <w:rPr>
      <w:rFonts w:ascii="Arial" w:hAnsi="Arial" w:eastAsia="Arial" w:cs="Arial"/>
      <w:i/>
      <w:iCs/>
      <w:sz w:val="22"/>
      <w:szCs w:val="22"/>
    </w:rPr>
  </w:style>
  <w:style w:type="character" w:styleId="949" w:customStyle="1">
    <w:name w:val="Heading 9 Char"/>
    <w:link w:val="911"/>
    <w:uiPriority w:val="9"/>
    <w:qFormat/>
    <w:rPr>
      <w:rFonts w:ascii="Arial" w:hAnsi="Arial" w:eastAsia="Arial" w:cs="Arial"/>
      <w:i/>
      <w:iCs/>
      <w:sz w:val="21"/>
      <w:szCs w:val="21"/>
    </w:rPr>
  </w:style>
  <w:style w:type="character" w:styleId="950" w:customStyle="1">
    <w:name w:val="Title Char"/>
    <w:link w:val="933"/>
    <w:uiPriority w:val="10"/>
    <w:qFormat/>
    <w:rPr>
      <w:sz w:val="48"/>
      <w:szCs w:val="48"/>
    </w:rPr>
  </w:style>
  <w:style w:type="character" w:styleId="951" w:customStyle="1">
    <w:name w:val="Subtitle Char"/>
    <w:link w:val="926"/>
    <w:uiPriority w:val="11"/>
    <w:qFormat/>
    <w:rPr>
      <w:sz w:val="24"/>
      <w:szCs w:val="24"/>
    </w:rPr>
  </w:style>
  <w:style w:type="paragraph" w:styleId="952">
    <w:name w:val="Quote"/>
    <w:basedOn w:val="902"/>
    <w:next w:val="902"/>
    <w:link w:val="953"/>
    <w:uiPriority w:val="29"/>
    <w:qFormat/>
    <w:pPr>
      <w:ind w:left="720" w:right="720"/>
    </w:pPr>
    <w:rPr>
      <w:i/>
    </w:rPr>
  </w:style>
  <w:style w:type="character" w:styleId="953" w:customStyle="1">
    <w:name w:val="Quote Char"/>
    <w:link w:val="952"/>
    <w:uiPriority w:val="29"/>
    <w:qFormat/>
    <w:rPr>
      <w:i/>
    </w:rPr>
  </w:style>
  <w:style w:type="paragraph" w:styleId="954">
    <w:name w:val="Intense Quote"/>
    <w:basedOn w:val="902"/>
    <w:next w:val="902"/>
    <w:link w:val="9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5" w:customStyle="1">
    <w:name w:val="Intense Quote Char"/>
    <w:link w:val="954"/>
    <w:uiPriority w:val="30"/>
    <w:qFormat/>
    <w:rPr>
      <w:i/>
    </w:rPr>
  </w:style>
  <w:style w:type="character" w:styleId="956" w:customStyle="1">
    <w:name w:val="Header Char"/>
    <w:link w:val="923"/>
    <w:uiPriority w:val="99"/>
    <w:qFormat/>
  </w:style>
  <w:style w:type="character" w:styleId="957" w:customStyle="1">
    <w:name w:val="Footer Char"/>
    <w:link w:val="922"/>
    <w:uiPriority w:val="99"/>
    <w:qFormat/>
  </w:style>
  <w:style w:type="character" w:styleId="958" w:customStyle="1">
    <w:name w:val="Caption Char"/>
    <w:link w:val="922"/>
    <w:uiPriority w:val="99"/>
    <w:qFormat/>
  </w:style>
  <w:style w:type="table" w:styleId="95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0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4" w:customStyle="1">
    <w:name w:val="Footnote Text Char"/>
    <w:link w:val="927"/>
    <w:uiPriority w:val="99"/>
    <w:qFormat/>
    <w:rPr>
      <w:sz w:val="18"/>
    </w:rPr>
  </w:style>
  <w:style w:type="character" w:styleId="1085" w:customStyle="1">
    <w:name w:val="Endnote Text Char"/>
    <w:link w:val="921"/>
    <w:uiPriority w:val="99"/>
    <w:qFormat/>
    <w:rPr>
      <w:sz w:val="20"/>
    </w:rPr>
  </w:style>
  <w:style w:type="paragraph" w:styleId="1086" w:customStyle="1">
    <w:name w:val="TOC Heading"/>
    <w:uiPriority w:val="39"/>
    <w:unhideWhenUsed/>
    <w:qFormat/>
    <w:rPr>
      <w:rFonts w:hint="default" w:ascii="Times New Roman" w:hAnsi="Times New Roman" w:eastAsia="宋体" w:cs="Times New Roman"/>
    </w:rPr>
  </w:style>
  <w:style w:type="paragraph" w:styleId="1087" w:customStyle="1">
    <w:name w:val="标题 11"/>
    <w:basedOn w:val="902"/>
    <w:next w:val="902"/>
    <w:link w:val="1108"/>
    <w:uiPriority w:val="0"/>
    <w:qFormat/>
    <w:pPr>
      <w:jc w:val="center"/>
      <w:keepLines/>
      <w:keepNext/>
      <w:spacing w:before="340" w:after="330"/>
      <w:outlineLvl w:val="0"/>
    </w:pPr>
    <w:rPr>
      <w:rFonts w:ascii="Calibri" w:hAnsi="Calibri"/>
      <w:b/>
      <w:bCs/>
      <w:sz w:val="32"/>
      <w:szCs w:val="44"/>
    </w:rPr>
  </w:style>
  <w:style w:type="paragraph" w:styleId="1088" w:customStyle="1">
    <w:name w:val="标题 211"/>
    <w:basedOn w:val="1087"/>
    <w:next w:val="1089"/>
    <w:link w:val="1109"/>
    <w:uiPriority w:val="0"/>
    <w:qFormat/>
    <w:pPr>
      <w:jc w:val="center"/>
      <w:keepLines/>
      <w:keepNext/>
      <w:spacing w:before="260" w:after="260"/>
      <w:outlineLvl w:val="1"/>
    </w:pPr>
    <w:rPr>
      <w:rFonts w:ascii="Cambria" w:hAnsi="Cambria"/>
      <w:b w:val="0"/>
      <w:bCs w:val="0"/>
      <w:sz w:val="28"/>
      <w:szCs w:val="32"/>
    </w:rPr>
  </w:style>
  <w:style w:type="paragraph" w:styleId="1089" w:customStyle="1">
    <w:name w:val="正文缩进11"/>
    <w:basedOn w:val="902"/>
    <w:next w:val="902"/>
    <w:uiPriority w:val="99"/>
    <w:qFormat/>
    <w:pPr>
      <w:ind w:firstLine="420"/>
      <w:jc w:val="left"/>
      <w:spacing w:line="360" w:lineRule="atLeast"/>
    </w:pPr>
    <w:rPr>
      <w:rFonts w:eastAsia="宋体"/>
      <w:szCs w:val="21"/>
    </w:rPr>
  </w:style>
  <w:style w:type="paragraph" w:styleId="1090" w:customStyle="1">
    <w:name w:val="标题 311"/>
    <w:basedOn w:val="902"/>
    <w:next w:val="902"/>
    <w:link w:val="1110"/>
    <w:uiPriority w:val="0"/>
    <w:qFormat/>
    <w:pPr>
      <w:jc w:val="center"/>
      <w:keepLines/>
      <w:keepNext/>
      <w:spacing w:before="260" w:after="260" w:line="416" w:lineRule="auto"/>
      <w:outlineLvl w:val="2"/>
    </w:pPr>
    <w:rPr>
      <w:rFonts w:ascii="Calibri" w:hAnsi="Calibri"/>
      <w:bCs/>
      <w:sz w:val="28"/>
      <w:szCs w:val="32"/>
    </w:rPr>
  </w:style>
  <w:style w:type="paragraph" w:styleId="1091" w:customStyle="1">
    <w:name w:val="标题 41"/>
    <w:basedOn w:val="902"/>
    <w:next w:val="1092"/>
    <w:link w:val="1111"/>
    <w:uiPriority w:val="0"/>
    <w:qFormat/>
    <w:pPr>
      <w:keepLines/>
      <w:keepNext/>
      <w:spacing w:line="360" w:lineRule="auto"/>
      <w:outlineLvl w:val="3"/>
    </w:pPr>
    <w:rPr>
      <w:rFonts w:ascii="Arial" w:hAnsi="Arial" w:eastAsia="宋体"/>
      <w:b/>
      <w:bCs/>
      <w:sz w:val="24"/>
      <w:szCs w:val="28"/>
    </w:rPr>
  </w:style>
  <w:style w:type="paragraph" w:styleId="1092" w:customStyle="1">
    <w:name w:val="正文11"/>
    <w:next w:val="1093"/>
    <w:uiPriority w:val="0"/>
    <w:qFormat/>
    <w:pPr>
      <w:jc w:val="both"/>
      <w:widowControl w:val="off"/>
    </w:pPr>
    <w:rPr>
      <w:rFonts w:ascii="Times New Roman" w:hAnsi="Times New Roman" w:eastAsia="宋体" w:cs="Times New Roman"/>
      <w:sz w:val="21"/>
      <w:szCs w:val="24"/>
      <w:lang w:val="en-US" w:eastAsia="zh-CN" w:bidi="ar-SA"/>
    </w:rPr>
  </w:style>
  <w:style w:type="paragraph" w:styleId="1093" w:customStyle="1">
    <w:name w:val="标题 21"/>
    <w:basedOn w:val="902"/>
    <w:next w:val="1092"/>
    <w:uiPriority w:val="0"/>
    <w:qFormat/>
    <w:pPr>
      <w:jc w:val="center"/>
      <w:keepLines/>
      <w:keepNext/>
      <w:spacing w:before="260" w:after="260"/>
      <w:outlineLvl w:val="1"/>
    </w:pPr>
    <w:rPr>
      <w:rFonts w:ascii="Cambria" w:hAnsi="Cambria"/>
      <w:b/>
      <w:bCs/>
      <w:sz w:val="28"/>
      <w:szCs w:val="32"/>
    </w:rPr>
  </w:style>
  <w:style w:type="paragraph" w:styleId="1094" w:customStyle="1">
    <w:name w:val="标题 51"/>
    <w:basedOn w:val="902"/>
    <w:next w:val="902"/>
    <w:link w:val="1112"/>
    <w:uiPriority w:val="0"/>
    <w:qFormat/>
    <w:pPr>
      <w:keepLines/>
      <w:keepNext/>
      <w:spacing w:before="280" w:after="290" w:line="376" w:lineRule="auto"/>
      <w:outlineLvl w:val="4"/>
    </w:pPr>
    <w:rPr>
      <w:rFonts w:ascii="Calibri" w:hAnsi="Calibri" w:eastAsia="宋体"/>
      <w:b/>
      <w:bCs/>
      <w:sz w:val="28"/>
      <w:szCs w:val="28"/>
    </w:rPr>
  </w:style>
  <w:style w:type="character" w:styleId="1095" w:customStyle="1">
    <w:name w:val="默认段落字体1"/>
    <w:link w:val="902"/>
    <w:uiPriority w:val="1"/>
    <w:unhideWhenUsed/>
    <w:qFormat/>
  </w:style>
  <w:style w:type="table" w:styleId="1096" w:customStyle="1">
    <w:name w:val="普通表格1"/>
    <w:uiPriority w:val="99"/>
    <w:unhideWhenUsed/>
    <w:qFormat/>
    <w:tblPr/>
  </w:style>
  <w:style w:type="paragraph" w:styleId="1097" w:customStyle="1">
    <w:name w:val="目录 11"/>
    <w:basedOn w:val="1098"/>
    <w:next w:val="1092"/>
    <w:uiPriority w:val="39"/>
    <w:unhideWhenUsed/>
    <w:qFormat/>
    <w:rPr>
      <w:rFonts w:ascii="Calibri" w:hAnsi="Calibri" w:eastAsia="宋体"/>
    </w:rPr>
  </w:style>
  <w:style w:type="paragraph" w:styleId="1098" w:customStyle="1">
    <w:name w:val="正文12"/>
    <w:next w:val="10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9" w:customStyle="1">
    <w:name w:val="正文文本11"/>
    <w:basedOn w:val="1100"/>
    <w:next w:val="1101"/>
    <w:uiPriority w:val="99"/>
    <w:qFormat/>
    <w:pPr>
      <w:spacing w:after="120"/>
    </w:pPr>
    <w:rPr>
      <w:rFonts w:ascii="Calibri" w:hAnsi="Calibri"/>
    </w:rPr>
  </w:style>
  <w:style w:type="paragraph" w:styleId="1100" w:customStyle="1">
    <w:name w:val="正文112"/>
    <w:next w:val="10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1" w:customStyle="1">
    <w:name w:val="一级条标题"/>
    <w:basedOn w:val="1102"/>
    <w:next w:val="1106"/>
    <w:uiPriority w:val="0"/>
    <w:qFormat/>
    <w:pPr>
      <w:outlineLvl w:val="2"/>
    </w:pPr>
    <w:rPr>
      <w:rFonts w:eastAsia="黑体"/>
      <w:sz w:val="21"/>
      <w:szCs w:val="21"/>
      <w:lang w:val="en-US" w:eastAsia="zh-CN" w:bidi="ar-SA"/>
    </w:rPr>
  </w:style>
  <w:style w:type="paragraph" w:styleId="1102" w:customStyle="1">
    <w:name w:val="章标题"/>
    <w:next w:val="1103"/>
    <w:uiPriority w:val="0"/>
    <w:qFormat/>
    <w:pPr>
      <w:jc w:val="both"/>
      <w:outlineLvl w:val="1"/>
    </w:pPr>
    <w:rPr>
      <w:rFonts w:hint="default" w:ascii="黑体" w:hAnsi="Times New Roman" w:eastAsia="黑体" w:cs="黑体"/>
      <w:sz w:val="21"/>
      <w:szCs w:val="21"/>
      <w:lang w:val="en-US" w:eastAsia="zh-CN" w:bidi="ar-SA"/>
    </w:rPr>
  </w:style>
  <w:style w:type="paragraph" w:styleId="1103" w:customStyle="1">
    <w:name w:val="正文1"/>
    <w:basedOn w:val="1092"/>
    <w:next w:val="1104"/>
    <w:uiPriority w:val="0"/>
    <w:qFormat/>
    <w:pPr>
      <w:jc w:val="both"/>
    </w:pPr>
    <w:rPr>
      <w:rFonts w:hint="default" w:ascii="Calibri" w:hAnsi="Calibri" w:eastAsia="宋体" w:cs="宋体"/>
      <w:sz w:val="21"/>
      <w:szCs w:val="21"/>
      <w:lang w:val="en-US" w:eastAsia="zh-CN" w:bidi="ar-SA"/>
    </w:rPr>
  </w:style>
  <w:style w:type="paragraph" w:styleId="1104" w:customStyle="1">
    <w:name w:val="脚注文本1"/>
    <w:basedOn w:val="1103"/>
    <w:next w:val="1105"/>
    <w:uiPriority w:val="0"/>
    <w:qFormat/>
    <w:pPr>
      <w:jc w:val="left"/>
    </w:pPr>
    <w:rPr>
      <w:rFonts w:ascii="宋体" w:eastAsia="Times New Roman"/>
      <w:sz w:val="18"/>
      <w:szCs w:val="18"/>
    </w:rPr>
  </w:style>
  <w:style w:type="paragraph" w:styleId="1105" w:customStyle="1">
    <w:name w:val="索引 51"/>
    <w:basedOn w:val="1103"/>
    <w:next w:val="1103"/>
    <w:uiPriority w:val="0"/>
    <w:qFormat/>
    <w:pPr>
      <w:ind w:left="798"/>
      <w:jc w:val="left"/>
    </w:pPr>
    <w:rPr>
      <w:rFonts w:ascii="Calibri" w:hAnsi="Calibri"/>
    </w:rPr>
  </w:style>
  <w:style w:type="paragraph" w:styleId="1106" w:customStyle="1">
    <w:name w:val="段"/>
    <w:next w:val="902"/>
    <w:uiPriority w:val="0"/>
    <w:qFormat/>
    <w:pPr>
      <w:ind w:firstLine="200"/>
      <w:jc w:val="both"/>
    </w:pPr>
    <w:rPr>
      <w:rFonts w:hint="default" w:ascii="宋体" w:hAnsi="Times New Roman" w:eastAsia="宋体" w:cs="宋体"/>
      <w:sz w:val="21"/>
      <w:szCs w:val="21"/>
      <w:lang w:val="en-US" w:eastAsia="zh-CN" w:bidi="ar-SA"/>
    </w:rPr>
  </w:style>
  <w:style w:type="paragraph" w:styleId="1107" w:customStyle="1">
    <w:name w:val="正文文本1"/>
    <w:basedOn w:val="902"/>
    <w:next w:val="1103"/>
    <w:link w:val="1120"/>
    <w:uiPriority w:val="0"/>
    <w:qFormat/>
    <w:rPr>
      <w:rFonts w:ascii="仿宋_GB2312" w:hAnsi="宋体" w:eastAsia="仿宋_GB2312"/>
      <w:sz w:val="24"/>
      <w:szCs w:val="24"/>
    </w:rPr>
  </w:style>
  <w:style w:type="character" w:styleId="1108" w:customStyle="1">
    <w:name w:val="标题 1 字符"/>
    <w:link w:val="1087"/>
    <w:uiPriority w:val="0"/>
    <w:qFormat/>
    <w:rPr>
      <w:rFonts w:ascii="Calibri" w:hAnsi="Calibri" w:eastAsia="微软雅黑"/>
      <w:b/>
      <w:bCs/>
      <w:sz w:val="32"/>
      <w:szCs w:val="44"/>
    </w:rPr>
  </w:style>
  <w:style w:type="character" w:styleId="1109" w:customStyle="1">
    <w:name w:val="标题 2 字符"/>
    <w:link w:val="1088"/>
    <w:uiPriority w:val="0"/>
    <w:qFormat/>
    <w:rPr>
      <w:rFonts w:ascii="Cambria" w:hAnsi="Cambria" w:eastAsia="微软雅黑" w:cs="Times New Roman"/>
      <w:b/>
      <w:bCs/>
      <w:sz w:val="28"/>
      <w:szCs w:val="32"/>
    </w:rPr>
  </w:style>
  <w:style w:type="character" w:styleId="1110" w:customStyle="1">
    <w:name w:val="标题 3 字符"/>
    <w:link w:val="1090"/>
    <w:uiPriority w:val="0"/>
    <w:qFormat/>
    <w:rPr>
      <w:rFonts w:ascii="Calibri" w:hAnsi="Calibri" w:eastAsia="微软雅黑" w:cs="Times New Roman"/>
      <w:bCs/>
      <w:sz w:val="28"/>
      <w:szCs w:val="32"/>
    </w:rPr>
  </w:style>
  <w:style w:type="character" w:styleId="1111" w:customStyle="1">
    <w:name w:val="标题 4 字符"/>
    <w:link w:val="1091"/>
    <w:uiPriority w:val="0"/>
    <w:qFormat/>
    <w:rPr>
      <w:rFonts w:ascii="Arial" w:hAnsi="Arial"/>
      <w:b/>
      <w:bCs/>
      <w:sz w:val="24"/>
      <w:szCs w:val="28"/>
    </w:rPr>
  </w:style>
  <w:style w:type="character" w:styleId="1112" w:customStyle="1">
    <w:name w:val="标题 5 字符"/>
    <w:link w:val="1094"/>
    <w:uiPriority w:val="0"/>
    <w:qFormat/>
    <w:rPr>
      <w:rFonts w:ascii="Calibri" w:hAnsi="Calibri"/>
      <w:b/>
      <w:bCs/>
      <w:sz w:val="28"/>
      <w:szCs w:val="28"/>
    </w:rPr>
  </w:style>
  <w:style w:type="paragraph" w:styleId="1113" w:customStyle="1">
    <w:name w:val="目录 71"/>
    <w:basedOn w:val="902"/>
    <w:next w:val="902"/>
    <w:uiPriority w:val="0"/>
    <w:qFormat/>
    <w:pPr>
      <w:ind w:left="2520"/>
    </w:pPr>
    <w:rPr>
      <w:szCs w:val="24"/>
    </w:rPr>
  </w:style>
  <w:style w:type="paragraph" w:styleId="1114" w:customStyle="1">
    <w:name w:val="题注1"/>
    <w:basedOn w:val="902"/>
    <w:next w:val="902"/>
    <w:uiPriority w:val="35"/>
    <w:qFormat/>
    <w:rPr>
      <w:rFonts w:ascii="Cambria" w:hAnsi="Cambria" w:eastAsia="黑体"/>
      <w:sz w:val="20"/>
      <w:szCs w:val="20"/>
    </w:rPr>
  </w:style>
  <w:style w:type="paragraph" w:styleId="1115" w:customStyle="1">
    <w:name w:val="列表项目符号1"/>
    <w:basedOn w:val="902"/>
    <w:uiPriority w:val="0"/>
    <w:qFormat/>
    <w:pPr>
      <w:numPr>
        <w:ilvl w:val="0"/>
        <w:numId w:val="1"/>
      </w:numPr>
      <w:spacing w:line="360" w:lineRule="atLeast"/>
      <w:tabs>
        <w:tab w:val="left" w:pos="360" w:leader="none"/>
      </w:tabs>
    </w:pPr>
    <w:rPr>
      <w:rFonts w:ascii="Arial" w:hAnsi="Arial"/>
      <w:szCs w:val="21"/>
    </w:rPr>
  </w:style>
  <w:style w:type="paragraph" w:styleId="1116" w:customStyle="1">
    <w:name w:val="文档结构图1"/>
    <w:basedOn w:val="902"/>
    <w:link w:val="1117"/>
    <w:uiPriority w:val="0"/>
    <w:qFormat/>
    <w:rPr>
      <w:rFonts w:ascii="宋体" w:eastAsia="宋体"/>
      <w:sz w:val="18"/>
      <w:szCs w:val="18"/>
    </w:rPr>
  </w:style>
  <w:style w:type="character" w:styleId="1117" w:customStyle="1">
    <w:name w:val="文档结构图 字符"/>
    <w:link w:val="1116"/>
    <w:uiPriority w:val="0"/>
    <w:qFormat/>
    <w:rPr>
      <w:rFonts w:ascii="宋体"/>
      <w:sz w:val="18"/>
      <w:szCs w:val="18"/>
    </w:rPr>
  </w:style>
  <w:style w:type="paragraph" w:styleId="1118" w:customStyle="1">
    <w:name w:val="批注文字1"/>
    <w:basedOn w:val="902"/>
    <w:link w:val="1119"/>
    <w:uiPriority w:val="0"/>
    <w:qFormat/>
    <w:pPr>
      <w:jc w:val="left"/>
    </w:pPr>
    <w:rPr>
      <w:rFonts w:eastAsia="宋体"/>
      <w:sz w:val="20"/>
      <w:szCs w:val="21"/>
    </w:rPr>
  </w:style>
  <w:style w:type="character" w:styleId="1119" w:customStyle="1">
    <w:name w:val="批注文字 字符1"/>
    <w:link w:val="1118"/>
    <w:uiPriority w:val="0"/>
    <w:semiHidden/>
    <w:qFormat/>
    <w:rPr>
      <w:rFonts w:ascii="Times New Roman" w:hAnsi="Times New Roman" w:eastAsia="宋体" w:cs="Times New Roman"/>
      <w:szCs w:val="21"/>
    </w:rPr>
  </w:style>
  <w:style w:type="character" w:styleId="1120" w:customStyle="1">
    <w:name w:val="正文文本 字符1"/>
    <w:link w:val="1107"/>
    <w:uiPriority w:val="0"/>
    <w:qFormat/>
    <w:rPr>
      <w:rFonts w:ascii="仿宋_GB2312" w:hAnsi="宋体" w:eastAsia="仿宋_GB2312" w:cs="仿宋_GB2312"/>
      <w:sz w:val="24"/>
      <w:szCs w:val="24"/>
    </w:rPr>
  </w:style>
  <w:style w:type="paragraph" w:styleId="1121" w:customStyle="1">
    <w:name w:val="正文文本缩进1"/>
    <w:basedOn w:val="902"/>
    <w:link w:val="1122"/>
    <w:uiPriority w:val="0"/>
    <w:qFormat/>
    <w:pPr>
      <w:ind w:firstLine="403"/>
      <w:spacing w:line="440" w:lineRule="exact"/>
    </w:pPr>
    <w:rPr>
      <w:rFonts w:ascii="宋体" w:hAnsi="宋体" w:eastAsia="宋体"/>
      <w:sz w:val="20"/>
      <w:szCs w:val="21"/>
    </w:rPr>
  </w:style>
  <w:style w:type="character" w:styleId="1122" w:customStyle="1">
    <w:name w:val="正文文本缩进 字符"/>
    <w:link w:val="1121"/>
    <w:uiPriority w:val="0"/>
    <w:qFormat/>
    <w:rPr>
      <w:rFonts w:ascii="宋体" w:hAnsi="宋体" w:eastAsia="宋体" w:cs="宋体"/>
      <w:szCs w:val="21"/>
    </w:rPr>
  </w:style>
  <w:style w:type="paragraph" w:styleId="1123" w:customStyle="1">
    <w:name w:val="文本块1"/>
    <w:basedOn w:val="902"/>
    <w:next w:val="1091"/>
    <w:uiPriority w:val="99"/>
    <w:unhideWhenUsed/>
    <w:qFormat/>
    <w:pPr>
      <w:ind w:left="1440" w:right="1440"/>
      <w:spacing w:after="120"/>
    </w:pPr>
  </w:style>
  <w:style w:type="paragraph" w:styleId="1124" w:customStyle="1">
    <w:name w:val="索引 411"/>
    <w:basedOn w:val="902"/>
    <w:next w:val="902"/>
    <w:uiPriority w:val="0"/>
    <w:unhideWhenUsed/>
    <w:qFormat/>
    <w:pPr>
      <w:ind w:left="600"/>
    </w:pPr>
    <w:rPr>
      <w:rFonts w:ascii="Verdana" w:hAnsi="Verdana"/>
      <w:szCs w:val="20"/>
    </w:rPr>
  </w:style>
  <w:style w:type="paragraph" w:styleId="1125" w:customStyle="1">
    <w:name w:val="目录 51"/>
    <w:basedOn w:val="902"/>
    <w:next w:val="902"/>
    <w:uiPriority w:val="0"/>
    <w:qFormat/>
    <w:pPr>
      <w:ind w:left="1680"/>
    </w:pPr>
    <w:rPr>
      <w:szCs w:val="24"/>
    </w:rPr>
  </w:style>
  <w:style w:type="paragraph" w:styleId="1126" w:customStyle="1">
    <w:name w:val="目录 31"/>
    <w:basedOn w:val="902"/>
    <w:next w:val="902"/>
    <w:uiPriority w:val="39"/>
    <w:unhideWhenUsed/>
    <w:qFormat/>
    <w:pPr>
      <w:ind w:left="840"/>
    </w:pPr>
    <w:rPr>
      <w:rFonts w:ascii="Calibri" w:hAnsi="Calibri" w:eastAsia="宋体"/>
    </w:rPr>
  </w:style>
  <w:style w:type="paragraph" w:styleId="1127" w:customStyle="1">
    <w:name w:val="纯文本11"/>
    <w:basedOn w:val="902"/>
    <w:link w:val="1128"/>
    <w:uiPriority w:val="0"/>
    <w:qFormat/>
    <w:rPr>
      <w:rFonts w:ascii="宋体" w:hAnsi="Courier New" w:eastAsia="宋体"/>
      <w:sz w:val="28"/>
      <w:szCs w:val="28"/>
    </w:rPr>
  </w:style>
  <w:style w:type="character" w:styleId="1128" w:customStyle="1">
    <w:name w:val="纯文本 字符"/>
    <w:link w:val="1127"/>
    <w:uiPriority w:val="0"/>
    <w:qFormat/>
    <w:rPr>
      <w:rFonts w:ascii="宋体" w:hAnsi="Courier New" w:eastAsia="宋体" w:cs="宋体"/>
      <w:sz w:val="28"/>
      <w:szCs w:val="28"/>
    </w:rPr>
  </w:style>
  <w:style w:type="paragraph" w:styleId="1129" w:customStyle="1">
    <w:name w:val="目录 81"/>
    <w:basedOn w:val="902"/>
    <w:next w:val="902"/>
    <w:uiPriority w:val="0"/>
    <w:qFormat/>
    <w:pPr>
      <w:ind w:left="2940"/>
    </w:pPr>
    <w:rPr>
      <w:szCs w:val="24"/>
    </w:rPr>
  </w:style>
  <w:style w:type="paragraph" w:styleId="1130" w:customStyle="1">
    <w:name w:val="日期1"/>
    <w:basedOn w:val="902"/>
    <w:next w:val="902"/>
    <w:link w:val="1131"/>
    <w:uiPriority w:val="0"/>
    <w:qFormat/>
    <w:pPr>
      <w:ind w:left="100"/>
    </w:pPr>
    <w:rPr>
      <w:rFonts w:eastAsia="宋体"/>
      <w:sz w:val="20"/>
      <w:szCs w:val="21"/>
    </w:rPr>
  </w:style>
  <w:style w:type="character" w:styleId="1131" w:customStyle="1">
    <w:name w:val="日期 字符"/>
    <w:link w:val="1130"/>
    <w:uiPriority w:val="0"/>
    <w:qFormat/>
    <w:rPr>
      <w:rFonts w:ascii="Times New Roman" w:hAnsi="Times New Roman" w:eastAsia="宋体" w:cs="Times New Roman"/>
      <w:szCs w:val="21"/>
    </w:rPr>
  </w:style>
  <w:style w:type="paragraph" w:styleId="1132" w:customStyle="1">
    <w:name w:val="正文文本缩进 21"/>
    <w:basedOn w:val="902"/>
    <w:link w:val="1133"/>
    <w:uiPriority w:val="0"/>
    <w:qFormat/>
    <w:pPr>
      <w:ind w:firstLine="420"/>
      <w:spacing w:line="440" w:lineRule="exact"/>
    </w:pPr>
    <w:rPr>
      <w:rFonts w:ascii="宋体" w:hAnsi="宋体" w:eastAsia="宋体"/>
      <w:sz w:val="20"/>
      <w:szCs w:val="21"/>
    </w:rPr>
  </w:style>
  <w:style w:type="character" w:styleId="1133" w:customStyle="1">
    <w:name w:val="正文文本缩进 2 字符"/>
    <w:link w:val="1132"/>
    <w:uiPriority w:val="0"/>
    <w:qFormat/>
    <w:rPr>
      <w:rFonts w:ascii="宋体" w:hAnsi="宋体" w:eastAsia="宋体" w:cs="宋体"/>
      <w:szCs w:val="21"/>
    </w:rPr>
  </w:style>
  <w:style w:type="paragraph" w:styleId="1134" w:customStyle="1">
    <w:name w:val="批注框文本1"/>
    <w:basedOn w:val="902"/>
    <w:link w:val="1135"/>
    <w:uiPriority w:val="0"/>
    <w:semiHidden/>
    <w:qFormat/>
    <w:rPr>
      <w:rFonts w:eastAsia="宋体"/>
      <w:sz w:val="18"/>
      <w:szCs w:val="18"/>
    </w:rPr>
  </w:style>
  <w:style w:type="character" w:styleId="1135" w:customStyle="1">
    <w:name w:val="批注框文本 字符"/>
    <w:link w:val="1134"/>
    <w:uiPriority w:val="0"/>
    <w:semiHidden/>
    <w:qFormat/>
    <w:rPr>
      <w:rFonts w:ascii="Times New Roman" w:hAnsi="Times New Roman" w:eastAsia="宋体" w:cs="Times New Roman"/>
      <w:sz w:val="18"/>
      <w:szCs w:val="18"/>
    </w:rPr>
  </w:style>
  <w:style w:type="paragraph" w:styleId="1136" w:customStyle="1">
    <w:name w:val="页脚1"/>
    <w:basedOn w:val="902"/>
    <w:link w:val="1137"/>
    <w:uiPriority w:val="99"/>
    <w:unhideWhenUsed/>
    <w:qFormat/>
    <w:pPr>
      <w:jc w:val="left"/>
      <w:tabs>
        <w:tab w:val="center" w:pos="4153" w:leader="none"/>
        <w:tab w:val="right" w:pos="8306" w:leader="none"/>
      </w:tabs>
    </w:pPr>
    <w:rPr>
      <w:rFonts w:ascii="宋体" w:eastAsia="宋体"/>
      <w:sz w:val="18"/>
      <w:szCs w:val="18"/>
    </w:rPr>
  </w:style>
  <w:style w:type="character" w:styleId="1137" w:customStyle="1">
    <w:name w:val="页脚 字符"/>
    <w:link w:val="1136"/>
    <w:uiPriority w:val="99"/>
    <w:qFormat/>
    <w:rPr>
      <w:rFonts w:ascii="宋体" w:hAnsi="Times New Roman" w:eastAsia="宋体" w:cs="Times New Roman"/>
      <w:sz w:val="18"/>
      <w:szCs w:val="18"/>
    </w:rPr>
  </w:style>
  <w:style w:type="paragraph" w:styleId="1138" w:customStyle="1">
    <w:name w:val="寄信人地址1"/>
    <w:basedOn w:val="902"/>
    <w:uiPriority w:val="0"/>
    <w:qFormat/>
    <w:rPr>
      <w:rFonts w:ascii="Arial" w:hAnsi="Arial" w:eastAsia="宋体" w:cs="Times New Roman"/>
    </w:rPr>
  </w:style>
  <w:style w:type="paragraph" w:styleId="1139" w:customStyle="1">
    <w:name w:val="页眉1"/>
    <w:basedOn w:val="902"/>
    <w:link w:val="1140"/>
    <w:uiPriority w:val="99"/>
    <w:unhideWhenUsed/>
    <w:qFormat/>
    <w:pPr>
      <w:jc w:val="center"/>
      <w:tabs>
        <w:tab w:val="center" w:pos="4153" w:leader="none"/>
        <w:tab w:val="right" w:pos="8306" w:leader="none"/>
      </w:tabs>
      <w:pBdr>
        <w:bottom w:val="single" w:color="000000" w:sz="6" w:space="1"/>
      </w:pBdr>
    </w:pPr>
    <w:rPr>
      <w:rFonts w:ascii="宋体" w:eastAsia="宋体"/>
      <w:sz w:val="18"/>
      <w:szCs w:val="18"/>
    </w:rPr>
  </w:style>
  <w:style w:type="character" w:styleId="1140" w:customStyle="1">
    <w:name w:val="页眉 字符"/>
    <w:link w:val="1139"/>
    <w:uiPriority w:val="99"/>
    <w:qFormat/>
    <w:rPr>
      <w:rFonts w:ascii="宋体" w:hAnsi="Times New Roman" w:eastAsia="宋体" w:cs="Times New Roman"/>
      <w:sz w:val="18"/>
      <w:szCs w:val="18"/>
    </w:rPr>
  </w:style>
  <w:style w:type="paragraph" w:styleId="1141" w:customStyle="1">
    <w:name w:val="目录 41"/>
    <w:basedOn w:val="902"/>
    <w:next w:val="902"/>
    <w:uiPriority w:val="0"/>
    <w:qFormat/>
    <w:pPr>
      <w:ind w:left="1260"/>
    </w:pPr>
    <w:rPr>
      <w:szCs w:val="24"/>
    </w:rPr>
  </w:style>
  <w:style w:type="paragraph" w:styleId="1142" w:customStyle="1">
    <w:name w:val="目录 61"/>
    <w:basedOn w:val="902"/>
    <w:next w:val="902"/>
    <w:uiPriority w:val="0"/>
    <w:qFormat/>
    <w:pPr>
      <w:ind w:left="2100"/>
    </w:pPr>
    <w:rPr>
      <w:szCs w:val="24"/>
    </w:rPr>
  </w:style>
  <w:style w:type="paragraph" w:styleId="1143" w:customStyle="1">
    <w:name w:val="目录 21"/>
    <w:basedOn w:val="902"/>
    <w:next w:val="902"/>
    <w:uiPriority w:val="39"/>
    <w:unhideWhenUsed/>
    <w:qFormat/>
    <w:pPr>
      <w:ind w:left="420"/>
    </w:pPr>
    <w:rPr>
      <w:rFonts w:ascii="Calibri" w:hAnsi="Calibri" w:eastAsia="宋体"/>
    </w:rPr>
  </w:style>
  <w:style w:type="paragraph" w:styleId="1144" w:customStyle="1">
    <w:name w:val="目录 91"/>
    <w:basedOn w:val="902"/>
    <w:next w:val="902"/>
    <w:uiPriority w:val="0"/>
    <w:qFormat/>
    <w:pPr>
      <w:ind w:left="3360"/>
    </w:pPr>
    <w:rPr>
      <w:szCs w:val="24"/>
    </w:rPr>
  </w:style>
  <w:style w:type="paragraph" w:styleId="1145" w:customStyle="1">
    <w:name w:val="普通(网站)1"/>
    <w:basedOn w:val="902"/>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1146" w:customStyle="1">
    <w:name w:val="批注主题1"/>
    <w:basedOn w:val="1118"/>
    <w:next w:val="1118"/>
    <w:link w:val="1147"/>
    <w:uiPriority w:val="99"/>
    <w:unhideWhenUsed/>
    <w:qFormat/>
    <w:rPr>
      <w:b/>
      <w:bCs/>
      <w:sz w:val="21"/>
      <w:szCs w:val="22"/>
    </w:rPr>
  </w:style>
  <w:style w:type="character" w:styleId="1147" w:customStyle="1">
    <w:name w:val="批注主题 字符"/>
    <w:link w:val="1146"/>
    <w:uiPriority w:val="99"/>
    <w:semiHidden/>
    <w:qFormat/>
    <w:rPr>
      <w:rFonts w:ascii="Times New Roman" w:hAnsi="Times New Roman" w:eastAsia="宋体" w:cs="Times New Roman"/>
      <w:b/>
      <w:bCs/>
      <w:sz w:val="21"/>
      <w:szCs w:val="22"/>
    </w:rPr>
  </w:style>
  <w:style w:type="paragraph" w:styleId="1148" w:customStyle="1">
    <w:name w:val="正文首行缩进1"/>
    <w:basedOn w:val="1107"/>
    <w:link w:val="1149"/>
    <w:uiPriority w:val="99"/>
    <w:unhideWhenUsed/>
    <w:qFormat/>
    <w:pPr>
      <w:ind w:firstLine="420"/>
      <w:spacing w:after="120"/>
    </w:pPr>
    <w:rPr>
      <w:rFonts w:ascii="Times New Roman" w:hAnsi="Times New Roman"/>
      <w:sz w:val="21"/>
      <w:szCs w:val="22"/>
    </w:rPr>
  </w:style>
  <w:style w:type="character" w:styleId="1149" w:customStyle="1">
    <w:name w:val="正文文本首行缩进 字符"/>
    <w:link w:val="1148"/>
    <w:uiPriority w:val="99"/>
    <w:qFormat/>
    <w:rPr>
      <w:rFonts w:ascii="Times New Roman" w:hAnsi="Times New Roman" w:eastAsia="仿宋_GB2312" w:cs="仿宋_GB2312"/>
      <w:sz w:val="21"/>
      <w:szCs w:val="22"/>
    </w:rPr>
  </w:style>
  <w:style w:type="table" w:styleId="1150" w:customStyle="1">
    <w:name w:val="网格型11"/>
    <w:basedOn w:val="1096"/>
    <w:uiPriority w:val="39"/>
    <w:qFormat/>
    <w:tblPr/>
  </w:style>
  <w:style w:type="character" w:styleId="1151" w:customStyle="1">
    <w:name w:val="要点1"/>
    <w:link w:val="902"/>
    <w:uiPriority w:val="0"/>
    <w:qFormat/>
    <w:rPr>
      <w:b/>
      <w:bCs/>
    </w:rPr>
  </w:style>
  <w:style w:type="character" w:styleId="1152" w:customStyle="1">
    <w:name w:val="页码1"/>
    <w:link w:val="902"/>
    <w:uiPriority w:val="0"/>
    <w:qFormat/>
  </w:style>
  <w:style w:type="character" w:styleId="1153" w:customStyle="1">
    <w:name w:val="已访问的超链接1"/>
    <w:link w:val="902"/>
    <w:uiPriority w:val="99"/>
    <w:qFormat/>
    <w:rPr>
      <w:color w:val="000000"/>
      <w:sz w:val="18"/>
      <w:szCs w:val="18"/>
      <w:u w:val="none"/>
    </w:rPr>
  </w:style>
  <w:style w:type="character" w:styleId="1154" w:customStyle="1">
    <w:name w:val="强调1"/>
    <w:link w:val="902"/>
    <w:uiPriority w:val="20"/>
    <w:qFormat/>
    <w:rPr>
      <w:i/>
      <w:iCs/>
    </w:rPr>
  </w:style>
  <w:style w:type="character" w:styleId="1155" w:customStyle="1">
    <w:name w:val="超链接1"/>
    <w:basedOn w:val="1095"/>
    <w:link w:val="902"/>
    <w:uiPriority w:val="99"/>
    <w:qFormat/>
    <w:rPr>
      <w:color w:val="000000"/>
      <w:sz w:val="18"/>
      <w:szCs w:val="18"/>
      <w:u w:val="none"/>
    </w:rPr>
  </w:style>
  <w:style w:type="character" w:styleId="1156" w:customStyle="1">
    <w:name w:val="批注引用1"/>
    <w:link w:val="902"/>
    <w:uiPriority w:val="0"/>
    <w:qFormat/>
    <w:rPr>
      <w:sz w:val="21"/>
      <w:szCs w:val="21"/>
    </w:rPr>
  </w:style>
  <w:style w:type="character" w:styleId="1157" w:customStyle="1">
    <w:name w:val="selected"/>
    <w:link w:val="902"/>
    <w:uiPriority w:val="0"/>
    <w:qFormat/>
    <w:rPr>
      <w:shd w:val="clear" w:color="auto" w:fill="b00006"/>
    </w:rPr>
  </w:style>
  <w:style w:type="character" w:styleId="1158" w:customStyle="1">
    <w:name w:val="1page sec3 Char"/>
    <w:link w:val="902"/>
    <w:uiPriority w:val="0"/>
    <w:qFormat/>
    <w:rPr>
      <w:rFonts w:eastAsia="宋体"/>
      <w:sz w:val="18"/>
      <w:szCs w:val="18"/>
      <w:lang w:val="en-US" w:eastAsia="zh-CN" w:bidi="ar-SA"/>
    </w:rPr>
  </w:style>
  <w:style w:type="character" w:styleId="1159" w:customStyle="1">
    <w:name w:val="z-窗体底端 字符"/>
    <w:link w:val="1160"/>
    <w:uiPriority w:val="99"/>
    <w:semiHidden/>
    <w:qFormat/>
    <w:rPr>
      <w:rFonts w:ascii="Arial" w:hAnsi="Arial" w:eastAsia="宋体" w:cs="Arial"/>
      <w:vanish/>
      <w:sz w:val="16"/>
      <w:szCs w:val="16"/>
    </w:rPr>
  </w:style>
  <w:style w:type="paragraph" w:styleId="1160" w:customStyle="1">
    <w:name w:val="z-窗体底端1"/>
    <w:basedOn w:val="902"/>
    <w:next w:val="902"/>
    <w:link w:val="1159"/>
    <w:uiPriority w:val="99"/>
    <w:unhideWhenUsed/>
    <w:qFormat/>
    <w:pPr>
      <w:jc w:val="center"/>
      <w:widowControl/>
      <w:pBdr>
        <w:top w:val="single" w:color="000000" w:sz="6" w:space="1"/>
      </w:pBdr>
    </w:pPr>
    <w:rPr>
      <w:rFonts w:ascii="Arial" w:hAnsi="Arial" w:eastAsia="宋体"/>
      <w:vanish/>
      <w:sz w:val="16"/>
      <w:szCs w:val="16"/>
    </w:rPr>
  </w:style>
  <w:style w:type="character" w:styleId="1161" w:customStyle="1">
    <w:name w:val="Char Char5"/>
    <w:link w:val="902"/>
    <w:uiPriority w:val="0"/>
    <w:qFormat/>
    <w:rPr>
      <w:rFonts w:ascii="宋体" w:hAnsi="Courier New" w:eastAsia="宋体" w:cs="宋体"/>
      <w:sz w:val="28"/>
      <w:szCs w:val="28"/>
      <w:lang w:val="en-US" w:eastAsia="zh-CN"/>
    </w:rPr>
  </w:style>
  <w:style w:type="character" w:styleId="1162" w:customStyle="1">
    <w:name w:val="Char Char13"/>
    <w:link w:val="902"/>
    <w:uiPriority w:val="0"/>
    <w:qFormat/>
    <w:rPr>
      <w:b/>
      <w:bCs/>
      <w:sz w:val="44"/>
      <w:szCs w:val="44"/>
    </w:rPr>
  </w:style>
  <w:style w:type="character" w:styleId="1163" w:customStyle="1">
    <w:name w:val="正文文字 Char Char"/>
    <w:link w:val="902"/>
    <w:uiPriority w:val="0"/>
    <w:qFormat/>
    <w:rPr>
      <w:rFonts w:ascii="仿宋_GB2312" w:hAnsi="宋体" w:eastAsia="仿宋_GB2312" w:cs="仿宋_GB2312"/>
      <w:sz w:val="24"/>
      <w:szCs w:val="24"/>
    </w:rPr>
  </w:style>
  <w:style w:type="character" w:styleId="1164" w:customStyle="1">
    <w:name w:val="不明显强调1"/>
    <w:link w:val="902"/>
    <w:uiPriority w:val="19"/>
    <w:qFormat/>
    <w:rPr>
      <w:i/>
      <w:iCs/>
      <w:color w:val="808080"/>
    </w:rPr>
  </w:style>
  <w:style w:type="character" w:styleId="1165" w:customStyle="1">
    <w:name w:val="font01"/>
    <w:link w:val="902"/>
    <w:uiPriority w:val="0"/>
    <w:qFormat/>
    <w:rPr>
      <w:rFonts w:ascii="Calibri" w:hAnsi="Calibri" w:cs="Calibri"/>
      <w:color w:val="000000"/>
      <w:sz w:val="21"/>
      <w:szCs w:val="21"/>
      <w:u w:val="none"/>
    </w:rPr>
  </w:style>
  <w:style w:type="character" w:styleId="1166" w:customStyle="1">
    <w:name w:val="font51"/>
    <w:link w:val="902"/>
    <w:uiPriority w:val="0"/>
    <w:qFormat/>
    <w:rPr>
      <w:rFonts w:hint="eastAsia" w:ascii="宋体" w:hAnsi="宋体" w:eastAsia="宋体" w:cs="宋体"/>
      <w:color w:val="000000"/>
      <w:sz w:val="21"/>
      <w:szCs w:val="21"/>
      <w:u w:val="none"/>
    </w:rPr>
  </w:style>
  <w:style w:type="character" w:styleId="1167" w:customStyle="1">
    <w:name w:val="apple-style-span"/>
    <w:link w:val="902"/>
    <w:uiPriority w:val="0"/>
    <w:qFormat/>
  </w:style>
  <w:style w:type="character" w:styleId="1168" w:customStyle="1">
    <w:name w:val="gpa"/>
    <w:link w:val="902"/>
    <w:uiPriority w:val="0"/>
    <w:qFormat/>
    <w:rPr>
      <w:rFonts w:ascii="Arial" w:hAnsi="Arial" w:cs="Arial"/>
      <w:sz w:val="15"/>
      <w:szCs w:val="15"/>
    </w:rPr>
  </w:style>
  <w:style w:type="character" w:styleId="1169" w:customStyle="1">
    <w:name w:val="纯文本 Char2"/>
    <w:link w:val="902"/>
    <w:uiPriority w:val="0"/>
    <w:qFormat/>
    <w:rPr>
      <w:rFonts w:ascii="宋体" w:hAnsi="Courier New" w:eastAsia="宋体"/>
      <w:sz w:val="24"/>
      <w:lang w:val="en-US" w:eastAsia="zh-CN" w:bidi="ar-SA"/>
    </w:rPr>
  </w:style>
  <w:style w:type="character" w:styleId="1170" w:customStyle="1">
    <w:name w:val="文档结构图 Char1"/>
    <w:link w:val="902"/>
    <w:uiPriority w:val="99"/>
    <w:semiHidden/>
    <w:qFormat/>
    <w:rPr>
      <w:rFonts w:ascii="宋体"/>
      <w:sz w:val="18"/>
      <w:szCs w:val="18"/>
    </w:rPr>
  </w:style>
  <w:style w:type="character" w:styleId="1171" w:customStyle="1">
    <w:name w:val="displayarti"/>
    <w:link w:val="902"/>
    <w:uiPriority w:val="0"/>
    <w:qFormat/>
    <w:rPr>
      <w:color w:val="ffffff"/>
      <w:shd w:val="clear" w:color="auto" w:fill="a00000"/>
    </w:rPr>
  </w:style>
  <w:style w:type="character" w:styleId="1172" w:customStyle="1">
    <w:name w:val="批注文字 字符"/>
    <w:link w:val="902"/>
    <w:uiPriority w:val="99"/>
    <w:qFormat/>
    <w:rPr>
      <w:rFonts w:ascii="Times New Roman" w:hAnsi="Times New Roman" w:eastAsia="宋体" w:cs="Times New Roman"/>
      <w:szCs w:val="21"/>
    </w:rPr>
  </w:style>
  <w:style w:type="character" w:styleId="1173" w:customStyle="1">
    <w:name w:val="正文文本 字符"/>
    <w:link w:val="902"/>
    <w:uiPriority w:val="0"/>
    <w:qFormat/>
    <w:rPr>
      <w:rFonts w:ascii="仿宋_GB2312" w:hAnsi="宋体" w:eastAsia="仿宋_GB2312" w:cs="仿宋_GB2312"/>
      <w:sz w:val="24"/>
      <w:szCs w:val="24"/>
    </w:rPr>
  </w:style>
  <w:style w:type="character" w:styleId="1174" w:customStyle="1">
    <w:name w:val="z-窗体顶端 字符"/>
    <w:link w:val="1175"/>
    <w:uiPriority w:val="99"/>
    <w:semiHidden/>
    <w:qFormat/>
    <w:rPr>
      <w:rFonts w:ascii="Arial" w:hAnsi="Arial" w:eastAsia="宋体" w:cs="Arial"/>
      <w:vanish/>
      <w:sz w:val="16"/>
      <w:szCs w:val="16"/>
    </w:rPr>
  </w:style>
  <w:style w:type="paragraph" w:styleId="1175" w:customStyle="1">
    <w:name w:val="z-窗体顶端1"/>
    <w:basedOn w:val="902"/>
    <w:next w:val="902"/>
    <w:link w:val="1174"/>
    <w:uiPriority w:val="99"/>
    <w:unhideWhenUsed/>
    <w:qFormat/>
    <w:pPr>
      <w:jc w:val="center"/>
      <w:widowControl/>
      <w:pBdr>
        <w:bottom w:val="single" w:color="000000" w:sz="6" w:space="1"/>
      </w:pBdr>
    </w:pPr>
    <w:rPr>
      <w:rFonts w:ascii="Arial" w:hAnsi="Arial" w:eastAsia="宋体"/>
      <w:vanish/>
      <w:sz w:val="16"/>
      <w:szCs w:val="16"/>
    </w:rPr>
  </w:style>
  <w:style w:type="paragraph" w:styleId="1176" w:customStyle="1">
    <w:name w:val="xl89"/>
    <w:basedOn w:val="90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177" w:customStyle="1">
    <w:name w:val="font6"/>
    <w:basedOn w:val="902"/>
    <w:uiPriority w:val="0"/>
    <w:qFormat/>
    <w:pPr>
      <w:jc w:val="left"/>
      <w:spacing w:before="100" w:beforeAutospacing="1" w:after="100" w:afterAutospacing="1"/>
      <w:widowControl/>
    </w:pPr>
    <w:rPr>
      <w:color w:val="000000"/>
      <w:szCs w:val="21"/>
    </w:rPr>
  </w:style>
  <w:style w:type="paragraph" w:styleId="1178" w:customStyle="1">
    <w:name w:val="xl81"/>
    <w:basedOn w:val="902"/>
    <w:uiPriority w:val="0"/>
    <w:qFormat/>
    <w:pPr>
      <w:jc w:val="left"/>
      <w:spacing w:before="100" w:beforeAutospacing="1" w:after="100" w:afterAutospacing="1"/>
      <w:widowControl/>
      <w:pBdr>
        <w:left w:val="single" w:color="000000" w:sz="4" w:space="0"/>
        <w:right w:val="single" w:color="000000" w:sz="4" w:space="0"/>
      </w:pBdr>
    </w:pPr>
    <w:rPr>
      <w:sz w:val="20"/>
      <w:szCs w:val="20"/>
    </w:rPr>
  </w:style>
  <w:style w:type="paragraph" w:styleId="1179" w:customStyle="1">
    <w:name w:val="正文222"/>
    <w:basedOn w:val="1107"/>
    <w:uiPriority w:val="0"/>
    <w:qFormat/>
    <w:pPr>
      <w:ind w:firstLine="200"/>
      <w:spacing w:line="440" w:lineRule="exact"/>
    </w:pPr>
  </w:style>
  <w:style w:type="paragraph" w:styleId="1180" w:customStyle="1">
    <w:name w:val="xl103"/>
    <w:basedOn w:val="9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181" w:customStyle="1">
    <w:name w:val="样式1"/>
    <w:basedOn w:val="902"/>
    <w:uiPriority w:val="0"/>
    <w:qFormat/>
    <w:pPr>
      <w:ind w:left="180" w:firstLine="300"/>
      <w:spacing w:line="430" w:lineRule="exact"/>
    </w:pPr>
    <w:rPr>
      <w:sz w:val="24"/>
      <w:szCs w:val="24"/>
    </w:rPr>
  </w:style>
  <w:style w:type="paragraph" w:styleId="1182" w:customStyle="1">
    <w:name w:val="xl80"/>
    <w:basedOn w:val="90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183" w:customStyle="1">
    <w:name w:val="font13"/>
    <w:basedOn w:val="902"/>
    <w:uiPriority w:val="0"/>
    <w:qFormat/>
    <w:pPr>
      <w:jc w:val="left"/>
      <w:spacing w:before="100" w:beforeAutospacing="1" w:after="100" w:afterAutospacing="1"/>
      <w:widowControl/>
    </w:pPr>
    <w:rPr>
      <w:rFonts w:ascii="宋体" w:hAnsi="宋体" w:cs="宋体"/>
      <w:sz w:val="18"/>
      <w:szCs w:val="18"/>
    </w:rPr>
  </w:style>
  <w:style w:type="paragraph" w:styleId="1184" w:customStyle="1">
    <w:name w:val="font12"/>
    <w:basedOn w:val="902"/>
    <w:uiPriority w:val="0"/>
    <w:qFormat/>
    <w:pPr>
      <w:jc w:val="left"/>
      <w:spacing w:before="100" w:beforeAutospacing="1" w:after="100" w:afterAutospacing="1"/>
      <w:widowControl/>
    </w:pPr>
    <w:rPr>
      <w:rFonts w:ascii="宋体" w:hAnsi="宋体" w:cs="宋体"/>
      <w:color w:val="000000"/>
      <w:sz w:val="20"/>
      <w:szCs w:val="20"/>
    </w:rPr>
  </w:style>
  <w:style w:type="paragraph" w:styleId="1185" w:customStyle="1">
    <w:name w:val="xl104"/>
    <w:basedOn w:val="90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186" w:customStyle="1">
    <w:name w:val="xl94"/>
    <w:basedOn w:val="902"/>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187" w:customStyle="1">
    <w:name w:val="xl92"/>
    <w:basedOn w:val="90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188" w:customStyle="1">
    <w:name w:val="正文宋体4"/>
    <w:basedOn w:val="902"/>
    <w:uiPriority w:val="0"/>
    <w:qFormat/>
    <w:pPr>
      <w:ind w:firstLine="359"/>
      <w:tabs>
        <w:tab w:val="left" w:pos="0" w:leader="none"/>
      </w:tabs>
    </w:pPr>
    <w:rPr>
      <w:rFonts w:ascii="仿宋_GB2312" w:eastAsia="仿宋_GB2312"/>
      <w:b/>
      <w:color w:val="000000"/>
      <w:sz w:val="24"/>
      <w:szCs w:val="24"/>
    </w:rPr>
  </w:style>
  <w:style w:type="paragraph" w:styleId="1189" w:customStyle="1">
    <w:name w:val="xl111"/>
    <w:basedOn w:val="902"/>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190" w:customStyle="1">
    <w:name w:val="xl108"/>
    <w:basedOn w:val="90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1" w:customStyle="1">
    <w:name w:val="tc"/>
    <w:basedOn w:val="902"/>
    <w:uiPriority w:val="0"/>
    <w:qFormat/>
    <w:pPr>
      <w:jc w:val="center"/>
    </w:pPr>
    <w:rPr>
      <w:szCs w:val="24"/>
    </w:rPr>
  </w:style>
  <w:style w:type="paragraph" w:styleId="1192" w:customStyle="1">
    <w:name w:val="xl74"/>
    <w:basedOn w:val="9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19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94" w:customStyle="1">
    <w:name w:val="注："/>
    <w:next w:val="902"/>
    <w:uiPriority w:val="0"/>
    <w:qFormat/>
    <w:pPr>
      <w:numPr>
        <w:ilvl w:val="0"/>
        <w:numId w:val="2"/>
      </w:numPr>
      <w:jc w:val="both"/>
      <w:widowControl w:val="off"/>
    </w:pPr>
    <w:rPr>
      <w:rFonts w:hint="default" w:ascii="宋体" w:hAnsi="Times New Roman" w:eastAsia="宋体" w:cs="宋体"/>
      <w:sz w:val="18"/>
      <w:szCs w:val="18"/>
      <w:lang w:val="en-US" w:eastAsia="zh-CN" w:bidi="ar-SA"/>
    </w:rPr>
  </w:style>
  <w:style w:type="paragraph" w:styleId="1195" w:customStyle="1">
    <w:name w:val="xl76"/>
    <w:basedOn w:val="9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196" w:customStyle="1">
    <w:name w:val="五级条标题"/>
    <w:basedOn w:val="1197"/>
    <w:next w:val="902"/>
    <w:uiPriority w:val="0"/>
    <w:qFormat/>
    <w:pPr>
      <w:outlineLvl w:val="6"/>
    </w:pPr>
  </w:style>
  <w:style w:type="paragraph" w:styleId="1197" w:customStyle="1">
    <w:name w:val="四级条标题"/>
    <w:basedOn w:val="1198"/>
    <w:next w:val="902"/>
    <w:uiPriority w:val="0"/>
    <w:qFormat/>
    <w:pPr>
      <w:outlineLvl w:val="5"/>
    </w:pPr>
  </w:style>
  <w:style w:type="paragraph" w:styleId="1198" w:customStyle="1">
    <w:name w:val="三级条标题"/>
    <w:basedOn w:val="1199"/>
    <w:next w:val="902"/>
    <w:uiPriority w:val="0"/>
    <w:qFormat/>
    <w:pPr>
      <w:outlineLvl w:val="4"/>
    </w:pPr>
  </w:style>
  <w:style w:type="paragraph" w:styleId="1199" w:customStyle="1">
    <w:name w:val="二级条标题"/>
    <w:basedOn w:val="1101"/>
    <w:next w:val="902"/>
    <w:uiPriority w:val="0"/>
    <w:qFormat/>
    <w:pPr>
      <w:outlineLvl w:val="3"/>
    </w:pPr>
  </w:style>
  <w:style w:type="paragraph" w:styleId="1200" w:customStyle="1">
    <w:name w:val="xl85"/>
    <w:basedOn w:val="902"/>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201" w:customStyle="1">
    <w:name w:val="xl83"/>
    <w:basedOn w:val="902"/>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202" w:customStyle="1">
    <w:name w:val="Char1"/>
    <w:basedOn w:val="902"/>
    <w:uiPriority w:val="0"/>
    <w:qFormat/>
    <w:rPr>
      <w:rFonts w:ascii="仿宋_GB2312" w:eastAsia="仿宋_GB2312"/>
      <w:b/>
      <w:sz w:val="32"/>
      <w:szCs w:val="32"/>
    </w:rPr>
  </w:style>
  <w:style w:type="paragraph" w:styleId="1203" w:customStyle="1">
    <w:name w:val="xl68"/>
    <w:basedOn w:val="90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04" w:customStyle="1">
    <w:name w:val="xl78"/>
    <w:basedOn w:val="9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5" w:customStyle="1">
    <w:name w:val="图表标题"/>
    <w:basedOn w:val="902"/>
    <w:uiPriority w:val="0"/>
    <w:qFormat/>
    <w:pPr>
      <w:jc w:val="center"/>
      <w:widowControl/>
    </w:pPr>
    <w:rPr>
      <w:rFonts w:eastAsia="黑体"/>
      <w:szCs w:val="21"/>
    </w:rPr>
  </w:style>
  <w:style w:type="paragraph" w:styleId="1206" w:customStyle="1">
    <w:name w:val="TOC 标题1"/>
    <w:basedOn w:val="1087"/>
    <w:next w:val="902"/>
    <w:uiPriority w:val="39"/>
    <w:qFormat/>
    <w:pPr>
      <w:jc w:val="left"/>
      <w:spacing w:before="480" w:after="0" w:line="276" w:lineRule="auto"/>
      <w:widowControl/>
      <w:outlineLvl w:val="9"/>
    </w:pPr>
    <w:rPr>
      <w:rFonts w:ascii="Cambria" w:hAnsi="Cambria"/>
      <w:color w:val="365f91"/>
      <w:sz w:val="28"/>
      <w:szCs w:val="28"/>
    </w:rPr>
  </w:style>
  <w:style w:type="paragraph" w:styleId="1207" w:customStyle="1">
    <w:name w:val="xl91"/>
    <w:basedOn w:val="902"/>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208" w:customStyle="1">
    <w:name w:val="xl71"/>
    <w:basedOn w:val="9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209" w:customStyle="1">
    <w:name w:val="标准称谓"/>
    <w:next w:val="902"/>
    <w:uiPriority w:val="0"/>
    <w:qFormat/>
    <w:pPr>
      <w:jc w:val="both"/>
      <w:spacing w:line="240" w:lineRule="atLeast"/>
      <w:widowControl w:val="off"/>
      <w:framePr w:w="9638" w:h="754" w:vSpace="180" w:hSpace="180" w:wrap="around" w:vAnchor="page" w:hAnchor="margin" w:xAlign="center" w:y="2128" w:hRule="exact"/>
    </w:pPr>
    <w:rPr>
      <w:rFonts w:hint="default" w:ascii="宋体" w:hAnsi="Times New Roman" w:eastAsia="宋体" w:cs="宋体"/>
      <w:b/>
      <w:bCs/>
      <w:spacing w:val="20"/>
      <w:sz w:val="52"/>
      <w:szCs w:val="52"/>
      <w:lang w:val="en-US" w:eastAsia="zh-CN" w:bidi="ar-SA"/>
    </w:rPr>
  </w:style>
  <w:style w:type="paragraph" w:styleId="1210" w:customStyle="1">
    <w:name w:val="前言、引言标题"/>
    <w:next w:val="902"/>
    <w:uiPriority w:val="0"/>
    <w:qFormat/>
    <w:pPr>
      <w:jc w:val="center"/>
      <w:spacing w:before="640" w:after="560"/>
      <w:shd w:val="clear" w:color="ffffff" w:fill="ffffff"/>
      <w:outlineLvl w:val="0"/>
    </w:pPr>
    <w:rPr>
      <w:rFonts w:hint="default" w:ascii="黑体" w:hAnsi="Times New Roman" w:eastAsia="黑体" w:cs="黑体"/>
      <w:sz w:val="32"/>
      <w:szCs w:val="32"/>
      <w:lang w:val="en-US" w:eastAsia="zh-CN" w:bidi="ar-SA"/>
    </w:rPr>
  </w:style>
  <w:style w:type="paragraph" w:styleId="1211" w:customStyle="1">
    <w:name w:val="font10"/>
    <w:basedOn w:val="902"/>
    <w:uiPriority w:val="0"/>
    <w:qFormat/>
    <w:pPr>
      <w:jc w:val="left"/>
      <w:spacing w:before="100" w:beforeAutospacing="1" w:after="100" w:afterAutospacing="1"/>
      <w:widowControl/>
    </w:pPr>
    <w:rPr>
      <w:rFonts w:ascii="宋体" w:hAnsi="宋体" w:cs="宋体"/>
      <w:color w:val="000000"/>
      <w:sz w:val="22"/>
    </w:rPr>
  </w:style>
  <w:style w:type="paragraph" w:styleId="1212" w:customStyle="1">
    <w:name w:val="xl98"/>
    <w:basedOn w:val="90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213" w:customStyle="1">
    <w:name w:val="xl82"/>
    <w:basedOn w:val="90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214" w:customStyle="1">
    <w:name w:val="xl72"/>
    <w:basedOn w:val="9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15">
    <w:name w:val="No Spacing"/>
    <w:uiPriority w:val="1"/>
    <w:qFormat/>
    <w:pPr>
      <w:jc w:val="both"/>
      <w:widowControl w:val="off"/>
    </w:pPr>
    <w:rPr>
      <w:rFonts w:hint="default" w:ascii="等线" w:hAnsi="等线" w:eastAsia="等线" w:cs="Times New Roman"/>
      <w:sz w:val="21"/>
      <w:szCs w:val="22"/>
      <w:lang w:val="en-US" w:eastAsia="zh-CN" w:bidi="ar-SA"/>
    </w:rPr>
  </w:style>
  <w:style w:type="paragraph" w:styleId="1216"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Calibri"/>
      <w:color w:val="000000"/>
      <w:sz w:val="21"/>
      <w:szCs w:val="21"/>
      <w:lang w:val="en-US" w:eastAsia="zh-CN" w:bidi="ar-SA"/>
    </w:rPr>
  </w:style>
  <w:style w:type="paragraph" w:styleId="1217" w:customStyle="1">
    <w:name w:val="List Paragraph1"/>
    <w:basedOn w:val="902"/>
    <w:uiPriority w:val="34"/>
    <w:qFormat/>
    <w:pPr>
      <w:ind w:firstLine="420"/>
    </w:pPr>
    <w:rPr>
      <w:rFonts w:ascii="Calibri" w:hAnsi="Calibri" w:eastAsia="宋体"/>
    </w:rPr>
  </w:style>
  <w:style w:type="paragraph" w:styleId="1218" w:customStyle="1">
    <w:name w:val="程序1.1"/>
    <w:uiPriority w:val="0"/>
    <w:qFormat/>
    <w:pPr>
      <w:numPr>
        <w:ilvl w:val="1"/>
        <w:numId w:val="1"/>
      </w:numPr>
      <w:tabs>
        <w:tab w:val="left" w:pos="359" w:leader="none"/>
        <w:tab w:val="left" w:pos="990" w:leader="none"/>
      </w:tabs>
    </w:pPr>
    <w:rPr>
      <w:rFonts w:hint="default" w:ascii="Times New Roman" w:hAnsi="Times New Roman" w:eastAsia="宋体" w:cs="Times New Roman"/>
      <w:sz w:val="21"/>
      <w:szCs w:val="21"/>
      <w:lang w:val="en-US" w:eastAsia="zh-CN" w:bidi="ar-SA"/>
    </w:rPr>
  </w:style>
  <w:style w:type="paragraph" w:styleId="1219" w:customStyle="1">
    <w:name w:val="xl102"/>
    <w:basedOn w:val="90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220" w:customStyle="1">
    <w:name w:val="font14"/>
    <w:basedOn w:val="902"/>
    <w:uiPriority w:val="0"/>
    <w:qFormat/>
    <w:pPr>
      <w:jc w:val="left"/>
      <w:spacing w:before="100" w:beforeAutospacing="1" w:after="100" w:afterAutospacing="1"/>
      <w:widowControl/>
    </w:pPr>
    <w:rPr>
      <w:rFonts w:ascii="宋体" w:hAnsi="宋体" w:cs="宋体"/>
      <w:color w:val="000000"/>
      <w:szCs w:val="21"/>
    </w:rPr>
  </w:style>
  <w:style w:type="paragraph" w:styleId="1221" w:customStyle="1">
    <w:name w:val="字母编号"/>
    <w:uiPriority w:val="0"/>
    <w:qFormat/>
    <w:pPr>
      <w:numPr>
        <w:ilvl w:val="2"/>
        <w:numId w:val="3"/>
      </w:numPr>
      <w:tabs>
        <w:tab w:val="left" w:pos="360" w:leader="none"/>
      </w:tabs>
    </w:pPr>
    <w:rPr>
      <w:rFonts w:hint="default" w:ascii="Times New Roman" w:hAnsi="Times New Roman" w:eastAsia="宋体" w:cs="Times New Roman"/>
      <w:sz w:val="21"/>
      <w:szCs w:val="21"/>
      <w:lang w:val="en-US" w:eastAsia="zh-CN" w:bidi="ar-SA"/>
    </w:rPr>
  </w:style>
  <w:style w:type="paragraph" w:styleId="1222" w:customStyle="1">
    <w:name w:val="xl67"/>
    <w:basedOn w:val="9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223" w:customStyle="1">
    <w:name w:val="font11"/>
    <w:basedOn w:val="902"/>
    <w:uiPriority w:val="0"/>
    <w:qFormat/>
    <w:pPr>
      <w:jc w:val="left"/>
      <w:spacing w:before="100" w:beforeAutospacing="1" w:after="100" w:afterAutospacing="1"/>
      <w:widowControl/>
    </w:pPr>
    <w:rPr>
      <w:rFonts w:ascii="宋体" w:hAnsi="宋体" w:cs="宋体"/>
      <w:color w:val="000000"/>
      <w:sz w:val="18"/>
      <w:szCs w:val="18"/>
    </w:rPr>
  </w:style>
  <w:style w:type="paragraph" w:styleId="1224" w:customStyle="1">
    <w:name w:val="Standard"/>
    <w:uiPriority w:val="0"/>
    <w:qFormat/>
    <w:pPr>
      <w:numPr>
        <w:ilvl w:val="0"/>
        <w:numId w:val="4"/>
      </w:numPr>
      <w:ind w:left="0" w:firstLine="0"/>
      <w:widowControl w:val="off"/>
      <w:tabs>
        <w:tab w:val="clear" w:pos="360" w:leader="none"/>
      </w:tabs>
    </w:pPr>
    <w:rPr>
      <w:rFonts w:hint="default" w:ascii="Arial" w:hAnsi="Arial" w:eastAsia="Times New Roman" w:cs="Times New Roman"/>
      <w:lang w:val="de-DE" w:eastAsia="zh-CN" w:bidi="ar-SA"/>
    </w:rPr>
  </w:style>
  <w:style w:type="paragraph" w:styleId="1225" w:customStyle="1">
    <w:name w:val="font7"/>
    <w:basedOn w:val="902"/>
    <w:uiPriority w:val="0"/>
    <w:qFormat/>
    <w:pPr>
      <w:jc w:val="left"/>
      <w:spacing w:before="100" w:beforeAutospacing="1" w:after="100" w:afterAutospacing="1"/>
      <w:widowControl/>
    </w:pPr>
    <w:rPr>
      <w:b/>
      <w:bCs/>
      <w:color w:val="000000"/>
      <w:szCs w:val="21"/>
    </w:rPr>
  </w:style>
  <w:style w:type="paragraph" w:styleId="1226" w:customStyle="1">
    <w:name w:val="xl70"/>
    <w:basedOn w:val="9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227" w:customStyle="1">
    <w:name w:val="xl97"/>
    <w:basedOn w:val="902"/>
    <w:uiPriority w:val="0"/>
    <w:qFormat/>
    <w:pPr>
      <w:jc w:val="left"/>
      <w:spacing w:before="100" w:beforeAutospacing="1" w:after="100" w:afterAutospacing="1"/>
      <w:widowControl/>
    </w:pPr>
    <w:rPr>
      <w:rFonts w:ascii="宋体" w:hAnsi="宋体" w:cs="宋体"/>
      <w:szCs w:val="21"/>
    </w:rPr>
  </w:style>
  <w:style w:type="paragraph" w:styleId="1228" w:customStyle="1">
    <w:name w:val="程序1"/>
    <w:next w:val="902"/>
    <w:uiPriority w:val="0"/>
    <w:qFormat/>
    <w:pPr>
      <w:numPr>
        <w:ilvl w:val="0"/>
        <w:numId w:val="3"/>
      </w:numPr>
      <w:ind w:left="360" w:hanging="360"/>
    </w:pPr>
    <w:rPr>
      <w:rFonts w:hint="default" w:ascii="Times New Roman" w:hAnsi="Times New Roman" w:eastAsia="宋体" w:cs="Times New Roman"/>
      <w:b/>
      <w:bCs/>
      <w:sz w:val="24"/>
      <w:szCs w:val="24"/>
      <w:lang w:val="en-US" w:eastAsia="zh-CN" w:bidi="ar-SA"/>
    </w:rPr>
  </w:style>
  <w:style w:type="paragraph" w:styleId="1229" w:customStyle="1">
    <w:name w:val="列出段落1"/>
    <w:basedOn w:val="902"/>
    <w:uiPriority w:val="34"/>
    <w:qFormat/>
    <w:pPr>
      <w:ind w:firstLine="420"/>
    </w:pPr>
    <w:rPr>
      <w:rFonts w:ascii="Calibri" w:hAnsi="Calibri"/>
    </w:rPr>
  </w:style>
  <w:style w:type="paragraph" w:styleId="1230" w:customStyle="1">
    <w:name w:val="程序1.1.1"/>
    <w:uiPriority w:val="0"/>
    <w:qFormat/>
    <w:pPr>
      <w:numPr>
        <w:ilvl w:val="1"/>
        <w:numId w:val="3"/>
      </w:numPr>
      <w:tabs>
        <w:tab w:val="left" w:pos="360" w:leader="none"/>
        <w:tab w:val="left" w:pos="525" w:leader="none"/>
      </w:tabs>
    </w:pPr>
    <w:rPr>
      <w:rFonts w:hint="default" w:ascii="Times New Roman" w:hAnsi="Times New Roman" w:eastAsia="宋体" w:cs="Times New Roman"/>
      <w:sz w:val="21"/>
      <w:szCs w:val="21"/>
      <w:lang w:val="en-US" w:eastAsia="zh-CN" w:bidi="ar-SA"/>
    </w:rPr>
  </w:style>
  <w:style w:type="paragraph" w:styleId="1231" w:customStyle="1">
    <w:name w:val="font5"/>
    <w:basedOn w:val="902"/>
    <w:uiPriority w:val="0"/>
    <w:qFormat/>
    <w:pPr>
      <w:jc w:val="left"/>
      <w:spacing w:before="100" w:beforeAutospacing="1" w:after="100" w:afterAutospacing="1"/>
      <w:widowControl/>
    </w:pPr>
    <w:rPr>
      <w:color w:val="000000"/>
      <w:sz w:val="20"/>
      <w:szCs w:val="20"/>
    </w:rPr>
  </w:style>
  <w:style w:type="paragraph" w:styleId="1232" w:customStyle="1">
    <w:name w:val="Char Char"/>
    <w:basedOn w:val="902"/>
    <w:uiPriority w:val="0"/>
    <w:qFormat/>
    <w:pPr>
      <w:tabs>
        <w:tab w:val="left" w:pos="360" w:leader="none"/>
      </w:tabs>
    </w:pPr>
    <w:rPr>
      <w:sz w:val="24"/>
      <w:szCs w:val="24"/>
    </w:rPr>
  </w:style>
  <w:style w:type="paragraph" w:styleId="1233" w:customStyle="1">
    <w:name w:val="章正文"/>
    <w:basedOn w:val="902"/>
    <w:uiPriority w:val="0"/>
    <w:qFormat/>
    <w:pPr>
      <w:ind w:firstLine="480"/>
      <w:spacing w:after="120" w:line="300" w:lineRule="auto"/>
    </w:pPr>
    <w:rPr>
      <w:rFonts w:ascii="Helvetica" w:hAnsi="Helvetica"/>
    </w:rPr>
  </w:style>
  <w:style w:type="paragraph" w:styleId="1234" w:customStyle="1">
    <w:name w:val="xl110"/>
    <w:basedOn w:val="90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235" w:customStyle="1">
    <w:name w:val="xl77"/>
    <w:basedOn w:val="9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6" w:customStyle="1">
    <w:name w:val="xl87"/>
    <w:basedOn w:val="90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237" w:customStyle="1">
    <w:name w:val="font9"/>
    <w:basedOn w:val="902"/>
    <w:uiPriority w:val="0"/>
    <w:qFormat/>
    <w:pPr>
      <w:jc w:val="left"/>
      <w:spacing w:before="100" w:beforeAutospacing="1" w:after="100" w:afterAutospacing="1"/>
      <w:widowControl/>
    </w:pPr>
    <w:rPr>
      <w:rFonts w:ascii="宋体" w:hAnsi="宋体" w:cs="宋体"/>
      <w:color w:val="000000"/>
      <w:szCs w:val="21"/>
    </w:rPr>
  </w:style>
  <w:style w:type="paragraph" w:styleId="1238" w:customStyle="1">
    <w:name w:val="xl88"/>
    <w:basedOn w:val="902"/>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239">
    <w:name w:val="List Paragraph"/>
    <w:basedOn w:val="902"/>
    <w:uiPriority w:val="34"/>
    <w:qFormat/>
    <w:pPr>
      <w:ind w:firstLine="420"/>
    </w:pPr>
    <w:rPr>
      <w:szCs w:val="24"/>
    </w:rPr>
  </w:style>
  <w:style w:type="paragraph" w:styleId="1240" w:customStyle="1">
    <w:name w:val="xl93"/>
    <w:basedOn w:val="90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241" w:customStyle="1">
    <w:name w:val="Table Paragraph"/>
    <w:basedOn w:val="902"/>
    <w:uiPriority w:val="1"/>
    <w:qFormat/>
    <w:pPr>
      <w:ind w:left="107"/>
      <w:spacing w:before="35"/>
    </w:pPr>
    <w:rPr>
      <w:rFonts w:ascii="Calibri" w:hAnsi="Calibri"/>
    </w:rPr>
  </w:style>
  <w:style w:type="paragraph" w:styleId="1242" w:customStyle="1">
    <w:name w:val="xl65"/>
    <w:basedOn w:val="9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243" w:customStyle="1">
    <w:name w:val="xl99"/>
    <w:basedOn w:val="90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244" w:customStyle="1">
    <w:name w:val="Char"/>
    <w:basedOn w:val="902"/>
    <w:uiPriority w:val="0"/>
    <w:qFormat/>
    <w:pPr>
      <w:jc w:val="left"/>
      <w:spacing w:after="160" w:line="240" w:lineRule="exact"/>
      <w:widowControl/>
    </w:pPr>
    <w:rPr>
      <w:rFonts w:ascii="Verdana" w:hAnsi="Verdana" w:eastAsia="宋体" w:cs="Verdana"/>
      <w:sz w:val="18"/>
      <w:szCs w:val="18"/>
      <w:lang w:eastAsia="en-US"/>
    </w:rPr>
  </w:style>
  <w:style w:type="paragraph" w:styleId="1245" w:customStyle="1">
    <w:name w:val="xl101"/>
    <w:basedOn w:val="9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46" w:customStyle="1">
    <w:name w:val="xl73"/>
    <w:basedOn w:val="9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7" w:customStyle="1">
    <w:name w:val="xl66"/>
    <w:basedOn w:val="9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48" w:customStyle="1">
    <w:name w:val="xl96"/>
    <w:basedOn w:val="9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249" w:customStyle="1">
    <w:name w:val="Char11"/>
    <w:basedOn w:val="902"/>
    <w:uiPriority w:val="0"/>
    <w:qFormat/>
    <w:pPr>
      <w:jc w:val="left"/>
      <w:spacing w:after="160" w:line="240" w:lineRule="exact"/>
      <w:widowControl/>
    </w:pPr>
    <w:rPr>
      <w:rFonts w:ascii="Verdana" w:hAnsi="Verdana" w:eastAsia="宋体" w:cs="Verdana"/>
      <w:sz w:val="18"/>
      <w:szCs w:val="18"/>
      <w:lang w:eastAsia="en-US"/>
    </w:rPr>
  </w:style>
  <w:style w:type="paragraph" w:styleId="1250" w:customStyle="1">
    <w:name w:val="xl100"/>
    <w:basedOn w:val="90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251" w:customStyle="1">
    <w:name w:val="xl86"/>
    <w:basedOn w:val="9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252" w:customStyle="1">
    <w:name w:val="列出段落11"/>
    <w:basedOn w:val="902"/>
    <w:uiPriority w:val="34"/>
    <w:qFormat/>
    <w:pPr>
      <w:ind w:firstLine="420"/>
      <w:spacing w:before="156" w:after="156" w:line="360" w:lineRule="auto"/>
    </w:pPr>
    <w:rPr>
      <w:rFonts w:ascii="Calibri" w:hAnsi="Calibri" w:cs="Calibri"/>
      <w:lang w:eastAsia="ar-SA"/>
    </w:rPr>
  </w:style>
  <w:style w:type="paragraph" w:styleId="1253" w:customStyle="1">
    <w:name w:val="_Style 2"/>
    <w:basedOn w:val="902"/>
    <w:uiPriority w:val="0"/>
    <w:qFormat/>
    <w:pPr>
      <w:ind w:firstLine="420"/>
    </w:pPr>
    <w:rPr>
      <w:rFonts w:ascii="Calibri" w:hAnsi="Calibri"/>
    </w:rPr>
  </w:style>
  <w:style w:type="paragraph" w:styleId="1254" w:customStyle="1">
    <w:name w:val="xl107"/>
    <w:basedOn w:val="902"/>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255" w:customStyle="1">
    <w:name w:val="xl90"/>
    <w:basedOn w:val="90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56" w:customStyle="1">
    <w:name w:val="font8"/>
    <w:basedOn w:val="902"/>
    <w:uiPriority w:val="0"/>
    <w:qFormat/>
    <w:pPr>
      <w:jc w:val="left"/>
      <w:spacing w:before="100" w:beforeAutospacing="1" w:after="100" w:afterAutospacing="1"/>
      <w:widowControl/>
    </w:pPr>
    <w:rPr>
      <w:rFonts w:ascii="宋体" w:hAnsi="宋体" w:cs="宋体"/>
      <w:b/>
      <w:bCs/>
      <w:color w:val="000000"/>
      <w:szCs w:val="21"/>
    </w:rPr>
  </w:style>
  <w:style w:type="paragraph" w:styleId="1257" w:customStyle="1">
    <w:name w:val="xl105"/>
    <w:basedOn w:val="902"/>
    <w:uiPriority w:val="0"/>
    <w:qFormat/>
    <w:pPr>
      <w:jc w:val="left"/>
      <w:spacing w:before="100" w:beforeAutospacing="1" w:after="100" w:afterAutospacing="1"/>
      <w:widowControl/>
    </w:pPr>
    <w:rPr>
      <w:rFonts w:ascii="宋体" w:hAnsi="宋体" w:cs="宋体"/>
      <w:sz w:val="20"/>
      <w:szCs w:val="20"/>
    </w:rPr>
  </w:style>
  <w:style w:type="paragraph" w:styleId="1258" w:customStyle="1">
    <w:name w:val="xl75"/>
    <w:basedOn w:val="9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259" w:customStyle="1">
    <w:name w:val="xl79"/>
    <w:basedOn w:val="90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260" w:customStyle="1">
    <w:name w:val="xl95"/>
    <w:basedOn w:val="9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261" w:customStyle="1">
    <w:name w:val="xl84"/>
    <w:basedOn w:val="90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262" w:customStyle="1">
    <w:name w:val="xl69"/>
    <w:basedOn w:val="9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3" w:customStyle="1">
    <w:name w:val="xl109"/>
    <w:basedOn w:val="902"/>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264" w:customStyle="1">
    <w:name w:val="xl106"/>
    <w:basedOn w:val="902"/>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265" w:customStyle="1">
    <w:name w:val="xl112"/>
    <w:basedOn w:val="902"/>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266" w:customStyle="1">
    <w:name w:val="reader-word-layer"/>
    <w:basedOn w:val="902"/>
    <w:uiPriority w:val="0"/>
    <w:qFormat/>
    <w:pPr>
      <w:jc w:val="left"/>
      <w:spacing w:before="100" w:beforeAutospacing="1" w:after="100" w:afterAutospacing="1"/>
      <w:widowControl/>
    </w:pPr>
    <w:rPr>
      <w:rFonts w:ascii="宋体" w:hAnsi="宋体" w:cs="宋体"/>
      <w:sz w:val="24"/>
      <w:szCs w:val="24"/>
    </w:rPr>
  </w:style>
  <w:style w:type="table" w:styleId="1267" w:customStyle="1">
    <w:name w:val="网格型1"/>
    <w:basedOn w:val="1096"/>
    <w:uiPriority w:val="59"/>
    <w:qFormat/>
    <w:tblPr/>
  </w:style>
  <w:style w:type="character" w:styleId="1268" w:customStyle="1">
    <w:name w:val="列表段落 字符"/>
    <w:link w:val="1269"/>
    <w:uiPriority w:val="34"/>
    <w:qFormat/>
    <w:rPr>
      <w:rFonts w:ascii="Calibri" w:hAnsi="Calibri"/>
      <w:sz w:val="21"/>
      <w:szCs w:val="22"/>
    </w:rPr>
  </w:style>
  <w:style w:type="paragraph" w:styleId="1269" w:customStyle="1">
    <w:name w:val="列表段落"/>
    <w:basedOn w:val="902"/>
    <w:link w:val="1268"/>
    <w:uiPriority w:val="34"/>
    <w:qFormat/>
    <w:pPr>
      <w:ind w:firstLine="420"/>
    </w:pPr>
    <w:rPr>
      <w:rFonts w:ascii="Calibri" w:hAnsi="Calibri" w:eastAsia="宋体"/>
    </w:rPr>
  </w:style>
  <w:style w:type="paragraph" w:styleId="1270" w:customStyle="1">
    <w:name w:val="样式 仿宋_GB2312 小四 行距: 1.5 倍行距1"/>
    <w:basedOn w:val="902"/>
    <w:uiPriority w:val="0"/>
    <w:qFormat/>
    <w:pPr>
      <w:spacing w:line="360" w:lineRule="auto"/>
      <w:tabs>
        <w:tab w:val="left" w:pos="525" w:leader="none"/>
      </w:tabs>
    </w:pPr>
    <w:rPr>
      <w:rFonts w:ascii="仿宋_GB2312" w:hAnsi="仿宋_GB2312" w:eastAsia="仿宋_GB2312" w:cs="宋体"/>
      <w:sz w:val="24"/>
    </w:rPr>
  </w:style>
  <w:style w:type="paragraph" w:styleId="1271" w:customStyle="1">
    <w:name w:val="Table Text"/>
    <w:basedOn w:val="902"/>
    <w:uiPriority w:val="0"/>
    <w:semiHidden/>
    <w:qFormat/>
    <w:rPr>
      <w:sz w:val="20"/>
      <w:szCs w:val="20"/>
      <w:lang w:val="en-US" w:eastAsia="en-US" w:bidi="ar-SA"/>
    </w:rPr>
  </w:style>
  <w:style w:type="paragraph" w:styleId="1272" w:customStyle="1">
    <w:name w:val="paragraph"/>
    <w:basedOn w:val="902"/>
    <w:uiPriority w:val="0"/>
    <w:semiHidden/>
    <w:qFormat/>
    <w:pPr>
      <w:spacing w:before="100" w:beforeAutospacing="1" w:after="100" w:afterAutospacing="1"/>
      <w:widowControl/>
    </w:pPr>
    <w:rPr>
      <w:rFonts w:ascii="等线" w:eastAsia="等线" w:cs="Times New Roman"/>
      <w:sz w:val="24"/>
      <w:szCs w:val="24"/>
    </w:rPr>
  </w:style>
  <w:style w:type="paragraph" w:styleId="1273" w:customStyle="1">
    <w:name w:val="纯文本1"/>
    <w:basedOn w:val="902"/>
    <w:uiPriority w:val="0"/>
    <w:qFormat/>
    <w:rPr>
      <w:rFonts w:ascii="宋体" w:hAnsi="Courier New" w:cs="Courier New"/>
    </w:rPr>
  </w:style>
  <w:style w:type="paragraph" w:styleId="1274" w:customStyle="1">
    <w:name w:val="标题 31"/>
    <w:basedOn w:val="902"/>
    <w:next w:val="902"/>
    <w:uiPriority w:val="0"/>
    <w:qFormat/>
    <w:pPr>
      <w:jc w:val="left"/>
      <w:keepLines/>
      <w:keepNext/>
      <w:spacing w:line="440" w:lineRule="exact"/>
      <w:outlineLvl w:val="2"/>
    </w:pPr>
    <w:rPr>
      <w:b/>
      <w:bCs/>
      <w:szCs w:val="32"/>
    </w:rPr>
  </w:style>
  <w:style w:type="paragraph" w:styleId="1275" w:customStyle="1">
    <w:name w:val="正文缩进1"/>
    <w:basedOn w:val="902"/>
    <w:uiPriority w:val="0"/>
    <w:qFormat/>
    <w:pPr>
      <w:ind w:firstLine="420"/>
      <w:jc w:val="left"/>
      <w:spacing w:line="360" w:lineRule="atLeast"/>
    </w:pPr>
    <w:rPr>
      <w:rFonts w:eastAsia="宋体"/>
      <w:szCs w:val="21"/>
    </w:rPr>
  </w:style>
  <w:style w:type="paragraph" w:styleId="1276" w:customStyle="1">
    <w:name w:val="正文13"/>
    <w:next w:val="12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7" w:customStyle="1">
    <w:name w:val="索引 41"/>
    <w:next w:val="902"/>
    <w:uiPriority w:val="0"/>
    <w:qFormat/>
    <w:pPr>
      <w:ind w:left="600" w:firstLine="200"/>
      <w:jc w:val="both"/>
      <w:spacing w:line="274" w:lineRule="auto"/>
      <w:widowControl w:val="off"/>
    </w:pPr>
    <w:rPr>
      <w:rFonts w:hint="default" w:ascii="Calibri" w:hAnsi="Calibri" w:eastAsia="仿宋_GB2312" w:cs="Times New Roman"/>
      <w:sz w:val="24"/>
      <w:szCs w:val="24"/>
      <w:lang w:val="en-US" w:eastAsia="zh-CN" w:bidi="ar-SA"/>
    </w:rPr>
  </w:style>
  <w:style w:type="paragraph" w:styleId="1278" w:customStyle="1">
    <w:name w:val="列表段落1"/>
    <w:basedOn w:val="1103"/>
    <w:next w:val="902"/>
    <w:uiPriority w:val="34"/>
    <w:qFormat/>
    <w:pPr>
      <w:ind w:firstLine="420"/>
    </w:pPr>
    <w:rPr>
      <w:rFonts w:ascii="Times New Roman" w:hAnsi="Times New Roman" w:eastAsia="宋体" w:cs="Times New Roman"/>
      <w:szCs w:val="24"/>
    </w:rPr>
  </w:style>
  <w:style w:type="paragraph" w:styleId="1279" w:customStyle="1">
    <w:name w:val="p0"/>
    <w:basedOn w:val="902"/>
    <w:uiPriority w:val="0"/>
    <w:qFormat/>
    <w:pPr>
      <w:widowControl/>
    </w:pPr>
    <w:rPr>
      <w:szCs w:val="21"/>
    </w:rPr>
  </w:style>
  <w:style w:type="paragraph" w:styleId="1280" w:customStyle="1">
    <w:name w:val="正文应用"/>
    <w:basedOn w:val="902"/>
    <w:uiPriority w:val="0"/>
    <w:qFormat/>
    <w:pPr>
      <w:ind w:firstLine="480"/>
      <w:spacing w:before="81" w:after="81"/>
    </w:pPr>
  </w:style>
  <w:style w:type="paragraph" w:styleId="1281" w:customStyle="1">
    <w:name w:val="Compact"/>
    <w:basedOn w:val="917"/>
    <w:uiPriority w:val="0"/>
    <w:qFormat/>
    <w:pPr>
      <w:spacing w:before="36" w:after="36"/>
      <w:widowControl/>
    </w:pPr>
    <w:rPr>
      <w:rFonts w:ascii="Calibri" w:hAnsi="Calibri" w:eastAsia="宋体" w:cs="Times New Roman"/>
      <w:szCs w:val="24"/>
    </w:rPr>
  </w:style>
  <w:style w:type="paragraph" w:styleId="1282" w:customStyle="1">
    <w:name w:val="目录 111"/>
    <w:basedOn w:val="902"/>
    <w:next w:val="902"/>
    <w:uiPriority w:val="39"/>
    <w:unhideWhenUsed/>
    <w:qFormat/>
    <w:pPr>
      <w:jc w:val="left"/>
      <w:spacing w:after="100" w:line="259" w:lineRule="auto"/>
      <w:widowControl/>
    </w:pPr>
    <w:rPr>
      <w:rFonts w:ascii="Calibri" w:hAnsi="Calibri"/>
      <w:sz w:val="22"/>
      <w:szCs w:val="22"/>
    </w:rPr>
  </w:style>
  <w:style w:type="paragraph" w:styleId="1283" w:customStyle="1">
    <w:name w:val="文本块11"/>
    <w:basedOn w:val="1098"/>
    <w:uiPriority w:val="0"/>
    <w:unhideWhenUsed/>
    <w:qFormat/>
    <w:pPr>
      <w:ind w:left="1440" w:right="1440"/>
      <w:spacing w:after="120"/>
    </w:pPr>
  </w:style>
  <w:style w:type="character" w:styleId="1284" w:customStyle="1">
    <w:name w:val="wyg1"/>
    <w:uiPriority w:val="6"/>
    <w:qFormat/>
    <w:rPr>
      <w:color w:val="000000"/>
      <w:sz w:val="20"/>
      <w:szCs w:val="20"/>
      <w:u w:val="none"/>
    </w:rPr>
  </w:style>
  <w:style w:type="paragraph" w:styleId="1285" w:customStyle="1">
    <w:name w:val="正文文本12"/>
    <w:basedOn w:val="902"/>
    <w:uiPriority w:val="99"/>
    <w:qFormat/>
    <w:rPr>
      <w:rFonts w:ascii="仿宋_GB2312" w:hAnsi="宋体" w:eastAsia="仿宋_GB2312"/>
      <w:sz w:val="24"/>
      <w:szCs w:val="24"/>
    </w:rPr>
  </w:style>
  <w:style w:type="numbering" w:styleId="12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24cf1168-a285-43e6-b35e-a3d46dc05f99</errorID>
      <errorWord>:</errorWord>
      <group>L1_Format</group>
      <groupName>格式问题</groupName>
      <ability>L2_HalfPunc_CN</ability>
      <abilityName>全半角问题</abilityName>
      <candidateList>
        <item>：</item>
      </candidateList>
      <explain>文本全半角错误。</explain>
      <paraID>575EFFA6</paraID>
      <start>17</start>
      <end>18</end>
      <status>unmodified</status>
      <modifiedWord/>
      <trackRevisions>false</trackRevisions>
    </reviewItem>
    <reviewItem>
      <errorID>22d4bd4a-279b-45b0-b7c7-260c0baa2209</errorID>
      <errorWord>(</errorWord>
      <group>L1_Format</group>
      <groupName>格式问题</groupName>
      <ability>L2_HalfPunc_CN</ability>
      <abilityName>全半角问题</abilityName>
      <candidateList>
        <item>（</item>
      </candidateList>
      <explain>文本全半角错误。</explain>
      <paraID>3310EB21</paraID>
      <start>12</start>
      <end>13</end>
      <status>unmodified</status>
      <modifiedWord/>
      <trackRevisions>false</trackRevisions>
    </reviewItem>
    <reviewItem>
      <errorID>f3b76c70-b823-4d6f-a4e8-cc8fff75ba02</errorID>
      <errorWord>)</errorWord>
      <group>L1_Format</group>
      <groupName>格式问题</groupName>
      <ability>L2_HalfPunc_CN</ability>
      <abilityName>全半角问题</abilityName>
      <candidateList>
        <item>）</item>
      </candidateList>
      <explain>文本全半角错误。</explain>
      <paraID>3310EB21</paraID>
      <start>35</start>
      <end>36</end>
      <status>unmodified</status>
      <modifiedWord/>
      <trackRevisions>false</trackRevisions>
    </reviewItem>
    <reviewItem>
      <errorID>2b38f5ce-5a8e-4309-817a-afb6adf5616b</errorID>
      <errorWord>(</errorWord>
      <group>L1_Format</group>
      <groupName>格式问题</groupName>
      <ability>L2_HalfPunc_CN</ability>
      <abilityName>全半角问题</abilityName>
      <candidateList>
        <item>（</item>
      </candidateList>
      <explain>文本全半角错误。</explain>
      <paraID>3310EB21</paraID>
      <start>44</start>
      <end>45</end>
      <status>unmodified</status>
      <modifiedWord/>
      <trackRevisions>false</trackRevisions>
    </reviewItem>
    <reviewItem>
      <errorID>f42c5f2e-23be-466e-a5b4-03ae10e368d4</errorID>
      <errorWord>)</errorWord>
      <group>L1_Format</group>
      <groupName>格式问题</groupName>
      <ability>L2_HalfPunc_CN</ability>
      <abilityName>全半角问题</abilityName>
      <candidateList>
        <item>）</item>
      </candidateList>
      <explain>文本全半角错误。</explain>
      <paraID>3310EB21</paraID>
      <start>60</start>
      <end>61</end>
      <status>unmodified</status>
      <modifiedWord/>
      <trackRevisions>false</trackRevisions>
    </reviewItem>
    <reviewItem>
      <errorID>b12fbb43-561e-4e2f-8801-b0a98530bc25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2D435B2F</paraID>
      <start>4</start>
      <end>5</end>
      <status>unmodified</status>
      <modifiedWord/>
      <trackRevisions>false</trackRevisions>
    </reviewItem>
    <reviewItem>
      <errorID>e5b86ee4-e088-4f27-b4a6-7693d03a8712</errorID>
      <errorWord>-</errorWord>
      <group>L1_Format</group>
      <groupName>格式问题</groupName>
      <ability>L2_HalfPunc_CN</ability>
      <abilityName>全半角问题</abilityName>
      <candidateList>
        <item>－</item>
      </candidateList>
      <explain>文本全半角错误。</explain>
      <paraID>2D435B2F</paraID>
      <start>13</start>
      <end>14</end>
      <status>unmodified</status>
      <modifiedWord/>
      <trackRevisions>false</trackRevisions>
    </reviewItem>
    <reviewItem>
      <errorID>af0d1e68-c26b-42ea-a422-1f8d326848ca</errorID>
      <errorWord>-</errorWord>
      <group>L1_Format</group>
      <groupName>格式问题</groupName>
      <ability>L2_HalfPunc_CN</ability>
      <abilityName>全半角问题</abilityName>
      <candidateList>
        <item>－</item>
      </candidateList>
      <explain>文本全半角错误。</explain>
      <paraID>2D435B2F</paraID>
      <start>14</start>
      <end>15</end>
      <status>unmodified</status>
      <modifiedWord/>
      <trackRevisions>false</trackRevisions>
    </reviewItem>
    <reviewItem>
      <errorID>88229431-46ff-4231-a99a-22e6c0c3ceaa</errorID>
      <errorWord>“.</errorWord>
      <group>L1_Punc</group>
      <groupName>标点问题</groupName>
      <ability>L2_Punc_CN</ability>
      <abilityName>标点符号问题</abilityName>
      <candidateList>
        <item>“</item>
      </candidateList>
      <explain/>
      <paraID>2D435B2F</paraID>
      <start>57</start>
      <end>59</end>
      <status>unmodified</status>
      <modifiedWord/>
      <trackRevisions>false</trackRevisions>
    </reviewItem>
    <reviewItem>
      <errorID>b16db8ff-9d8e-4388-bf32-a804bc002be3</errorID>
      <errorWord>)</errorWord>
      <group>L1_Format</group>
      <groupName>格式问题</groupName>
      <ability>L2_HalfPunc_CN</ability>
      <abilityName>全半角问题</abilityName>
      <candidateList>
        <item>）</item>
      </candidateList>
      <explain>文本全半角错误。</explain>
      <paraID>2D435B2F</paraID>
      <start>64</start>
      <end>65</end>
      <status>unmodified</status>
      <modifiedWord/>
      <trackRevisions>false</trackRevisions>
    </reviewItem>
    <reviewItem>
      <errorID>783bbd30-4d3d-4e8f-b55e-b994f4b0e699</errorID>
      <errorWord>“.</errorWord>
      <group>L1_Punc</group>
      <groupName>标点问题</groupName>
      <ability>L2_Punc_CN</ability>
      <abilityName>标点符号问题</abilityName>
      <candidateList>
        <item>“</item>
      </candidateList>
      <explain/>
      <paraID>2D435B2F</paraID>
      <start>72</start>
      <end>74</end>
      <status>unmodified</status>
      <modifiedWord/>
      <trackRevisions>false</trackRevisions>
    </reviewItem>
    <reviewItem>
      <errorID>ef9b68af-6e34-4875-b6f1-8041ca72ef20</errorID>
      <errorWord>-</errorWord>
      <group>L1_Format</group>
      <groupName>格式问题</groupName>
      <ability>L2_HalfPunc_CN</ability>
      <abilityName>全半角问题</abilityName>
      <candidateList>
        <item>－</item>
      </candidateList>
      <explain>文本全半角错误。</explain>
      <paraID>2D435B2F</paraID>
      <start>95</start>
      <end>96</end>
      <status>unmodified</status>
      <modifiedWord/>
      <trackRevisions>false</trackRevisions>
    </reviewItem>
    <reviewItem>
      <errorID>2ce870aa-730f-4e72-8c8c-49f04285acf9</errorID>
      <errorWord>-</errorWord>
      <group>L1_Format</group>
      <groupName>格式问题</groupName>
      <ability>L2_HalfPunc_CN</ability>
      <abilityName>全半角问题</abilityName>
      <candidateList>
        <item>－</item>
      </candidateList>
      <explain>文本全半角错误。</explain>
      <paraID>2D435B2F</paraID>
      <start>96</start>
      <end>97</end>
      <status>unmodified</status>
      <modifiedWord/>
      <trackRevisions>false</trackRevisions>
    </reviewItem>
    <reviewItem>
      <errorID>547f4df4-1c8d-4889-911b-d673c239ef21</errorID>
      <errorWord>-</errorWord>
      <group>L1_Format</group>
      <groupName>格式问题</groupName>
      <ability>L2_HalfPunc_CN</ability>
      <abilityName>全半角问题</abilityName>
      <candidateList>
        <item>－</item>
      </candidateList>
      <explain>文本全半角错误。</explain>
      <paraID>2D435B2F</paraID>
      <start>103</start>
      <end>104</end>
      <status>unmodified</status>
      <modifiedWord/>
      <trackRevisions>false</trackRevisions>
    </reviewItem>
    <reviewItem>
      <errorID>b3f02c5a-602d-4b0d-801b-e96d0ae855d2</errorID>
      <errorWord>-</errorWord>
      <group>L1_Format</group>
      <groupName>格式问题</groupName>
      <ability>L2_HalfPunc_CN</ability>
      <abilityName>全半角问题</abilityName>
      <candidateList>
        <item>－</item>
      </candidateList>
      <explain>文本全半角错误。</explain>
      <paraID>2D435B2F</paraID>
      <start>104</start>
      <end>105</end>
      <status>unmodified</status>
      <modifiedWord/>
      <trackRevisions>false</trackRevisions>
    </reviewItem>
    <reviewItem>
      <errorID>cd4fbfee-edf7-4ec8-a7ad-53e4a0787d12</errorID>
      <errorWord>(</errorWord>
      <group>L1_Format</group>
      <groupName>格式问题</groupName>
      <ability>L2_HalfPunc_CN</ability>
      <abilityName>全半角问题</abilityName>
      <candidateList>
        <item>（</item>
      </candidateList>
      <explain>文本全半角错误。</explain>
      <paraID>7EC39B76</paraID>
      <start>87</start>
      <end>88</end>
      <status>unmodified</status>
      <modifiedWord/>
      <trackRevisions>false</trackRevisions>
    </reviewItem>
    <reviewItem>
      <errorID>c607581f-824c-4f33-b0b3-174f7a1b9ac2</errorID>
      <errorWord>)</errorWord>
      <group>L1_Format</group>
      <groupName>格式问题</groupName>
      <ability>L2_HalfPunc_CN</ability>
      <abilityName>全半角问题</abilityName>
      <candidateList>
        <item>）</item>
      </candidateList>
      <explain>文本全半角错误。</explain>
      <paraID>7EC39B76</paraID>
      <start>97</start>
      <end>98</end>
      <status>unmodified</status>
      <modifiedWord/>
      <trackRevisions>false</trackRevisions>
    </reviewItem>
    <reviewItem>
      <errorID>f10c2779-19d7-4fa5-9cd9-e01db988a3bd</errorID>
      <errorWord>(</errorWord>
      <group>L1_Format</group>
      <groupName>格式问题</groupName>
      <ability>L2_HalfPunc_CN</ability>
      <abilityName>全半角问题</abilityName>
      <candidateList>
        <item>（</item>
      </candidateList>
      <explain>文本全半角错误。</explain>
      <paraID>7EC39B76</paraID>
      <start>138</start>
      <end>139</end>
      <status>unmodified</status>
      <modifiedWord/>
      <trackRevisions>false</trackRevisions>
    </reviewItem>
    <reviewItem>
      <errorID>86def43b-9557-4a01-9aaa-1984669b3602</errorID>
      <errorWord>)</errorWord>
      <group>L1_Format</group>
      <groupName>格式问题</groupName>
      <ability>L2_HalfPunc_CN</ability>
      <abilityName>全半角问题</abilityName>
      <candidateList>
        <item>）</item>
      </candidateList>
      <explain>文本全半角错误。</explain>
      <paraID>7EC39B76</paraID>
      <start>141</start>
      <end>142</end>
      <status>unmodified</status>
      <modifiedWord/>
      <trackRevisions>false</trackRevisions>
    </reviewItem>
    <reviewItem>
      <errorID>c0b77b98-8246-47a7-b757-da72f78b8f3e</errorID>
      <errorWord>必须要</errorWord>
      <group>L1_Word</group>
      <groupName>字词问题</groupName>
      <ability>L2_Typo</ability>
      <abilityName>字词错误</abilityName>
      <candidateList>
        <item>必须</item>
      </candidateList>
      <explain/>
      <paraID>70CD5ED4</paraID>
      <start>18</start>
      <end>21</end>
      <status>unmodified</status>
      <modifiedWord/>
      <trackRevisions>false</trackRevisions>
    </reviewItem>
    <reviewItem>
      <errorID>09b782d6-482f-4293-9014-f217e1d0cc50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34797523</paraID>
      <start>0</start>
      <end>2</end>
      <status>unmodified</status>
      <modifiedWord/>
      <trackRevisions>false</trackRevisions>
    </reviewItem>
    <reviewItem>
      <errorID>ffdce038-5bb4-4b94-8a7a-f664afa42b52</errorID>
      <errorWord>有</errorWord>
      <group>L1_Word</group>
      <groupName>字词问题</groupName>
      <ability>L2_Typo</ability>
      <abilityName>字词错误</abilityName>
      <candidateList>
        <item>由</item>
      </candidateList>
      <explain/>
      <paraID>34797523</paraID>
      <start>52</start>
      <end>53</end>
      <status>modified</status>
      <modifiedWord>由</modifiedWord>
      <trackRevisions>false</trackRevisions>
    </reviewItem>
    <reviewItem>
      <errorID>fb152d77-f7dd-4538-87c2-834800193467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67A2ABA9</paraID>
      <start>0</start>
      <end>2</end>
      <status>unmodified</status>
      <modifiedWord/>
      <trackRevisions>false</trackRevisions>
    </reviewItem>
    <reviewItem>
      <errorID>c4bf83ce-ca95-4302-bf38-8939ece38ad4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611464B9</paraID>
      <start>0</start>
      <end>2</end>
      <status>unmodified</status>
      <modifiedWord/>
      <trackRevisions>false</trackRevisions>
    </reviewItem>
    <reviewItem>
      <errorID>829f8d28-152b-4c39-bd42-79bb482fdeab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466218D4</paraID>
      <start>0</start>
      <end>2</end>
      <status>unmodified</status>
      <modifiedWord/>
      <trackRevisions>false</trackRevisions>
    </reviewItem>
    <reviewItem>
      <errorID>24b97bd5-3259-4c68-b2c6-c46d90382559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3F19FBC0</paraID>
      <start>0</start>
      <end>2</end>
      <status>unmodified</status>
      <modifiedWord/>
      <trackRevisions>false</trackRevisions>
    </reviewItem>
    <reviewItem>
      <errorID>cd9035b9-1968-489e-801e-34d7e03af510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F787D6D</paraID>
      <start>0</start>
      <end>2</end>
      <status>unmodified</status>
      <modifiedWord/>
      <trackRevisions>false</trackRevisions>
    </reviewItem>
    <reviewItem>
      <errorID>4f12eb52-ae40-499f-bdad-4b26910a37eb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7CA90A44</paraID>
      <start>25</start>
      <end>28</end>
      <status>unmodified</status>
      <modifiedWord/>
      <trackRevisions>false</trackRevisions>
    </reviewItem>
    <reviewItem>
      <errorID>49b2e6d6-caeb-4de5-8bbe-e70482738132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7CA90A44</paraID>
      <start>44</start>
      <end>47</end>
      <status>unmodified</status>
      <modifiedWord/>
      <trackRevisions>false</trackRevisions>
    </reviewItem>
    <reviewItem>
      <errorID>38458fcd-1837-4628-849c-79a98718007c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7CA90A44</paraID>
      <start>64</start>
      <end>67</end>
      <status>unmodified</status>
      <modifiedWord/>
      <trackRevisions>false</trackRevisions>
    </reviewItem>
    <reviewItem>
      <errorID>7661abe0-6ec4-467b-b4ae-282017286ea6</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7CA90A44</paraID>
      <start>80</start>
      <end>94</end>
      <status>modified</status>
      <modifiedWord>中华人民共和国反不正当竞争法</modifiedWord>
      <trackRevisions>false</trackRevisions>
    </reviewItem>
    <reviewItem>
      <errorID>dd13ccde-172d-4aab-90d1-24ac7d6732e1</errorID>
      <errorWord>法律、法规</errorWord>
      <group>L1_Word</group>
      <groupName>字词问题</groupName>
      <ability>L2_Typo</ability>
      <abilityName>字词错误</abilityName>
      <candidateList>
        <item>法律法规</item>
      </candidateList>
      <explain/>
      <paraID>7CA90A44</paraID>
      <start>98</start>
      <end>103</end>
      <status>unmodified</status>
      <modifiedWord/>
      <trackRevisions>false</trackRevisions>
    </reviewItem>
    <reviewItem>
      <errorID>32e7e5df-0145-4b62-b72a-6afe23439de2</errorID>
      <errorWord>间</errorWord>
      <group>L1_Word</group>
      <groupName>字词问题</groupName>
      <ability>L2_Typo</ability>
      <abilityName>字词错误</abilityName>
      <candidateList>
        <item>间之</item>
      </candidateList>
      <explain/>
      <paraID>28051638</paraID>
      <start>12</start>
      <end>13</end>
      <status>unmodified</status>
      <modifiedWord/>
      <trackRevisions>false</trackRevisions>
    </reviewItem>
    <reviewItem>
      <errorID>2f7016d6-4c15-49ef-82e6-cd2fb24d8c65</errorID>
      <errorWord>商</errorWord>
      <group>L1_Word</group>
      <groupName>字词问题</groupName>
      <ability>L2_Typo</ability>
      <abilityName>字词错误</abilityName>
      <candidateList>
        <item>商具</item>
      </candidateList>
      <explain/>
      <paraID>3F91A507</paraID>
      <start>66</start>
      <end>68</end>
      <status>modified</status>
      <modifiedWord>商具</modifiedWord>
      <trackRevisions>false</trackRevisions>
    </reviewItem>
    <reviewItem>
      <errorID>9b2a47f7-e8c2-424a-917c-4798bccd4fa9</errorID>
      <errorWord>做无效投标</errorWord>
      <group>L1_Word</group>
      <groupName>字词问题</groupName>
      <ability>L2_Typo</ability>
      <abilityName>字词错误</abilityName>
      <candidateList>
        <item>作无效投标</item>
      </candidateList>
      <explain/>
      <paraID>13DC3DD3</paraID>
      <start>61</start>
      <end>66</end>
      <status>unmodified</status>
      <modifiedWord/>
      <trackRevisions>false</trackRevisions>
    </reviewItem>
    <reviewItem>
      <errorID>423de771-b43b-4221-99ba-672ab32ea3b1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A4C85C3</paraID>
      <start>15</start>
      <end>18</end>
      <status>unmodified</status>
      <modifiedWord/>
      <trackRevisions>false</trackRevisions>
    </reviewItem>
    <reviewItem>
      <errorID>d1d84742-38c5-4eda-9dfe-dd9335bc45a4</errorID>
      <errorWord>交纳</errorWord>
      <group>L1_Word</group>
      <groupName>字词问题</groupName>
      <ability>L2_Typo</ability>
      <abilityName>字词错误</abilityName>
      <candidateList>
        <item>缴纳</item>
      </candidateList>
      <explain/>
      <paraID>2DE6FC1E</paraID>
      <start>8</start>
      <end>10</end>
      <status>modified</status>
      <modifiedWord>缴纳</modifiedWord>
      <trackRevisions>false</trackRevisions>
    </reviewItem>
    <reviewItem>
      <errorID>1c8ebda7-83f5-4299-b3e3-0e31b1d38c3f</errorID>
      <errorWord>(</errorWord>
      <group>L1_Format</group>
      <groupName>格式问题</groupName>
      <ability>L2_HalfPunc_CN</ability>
      <abilityName>全半角问题</abilityName>
      <candidateList>
        <item>（</item>
      </candidateList>
      <explain>文本全半角错误。</explain>
      <paraID>78E3773B</paraID>
      <start>11</start>
      <end>12</end>
      <status>unmodified</status>
      <modifiedWord/>
      <trackRevisions>false</trackRevisions>
    </reviewItem>
    <reviewItem>
      <errorID>f919c429-1f41-4d8c-9717-ced7a3b29836</errorID>
      <errorWord>)</errorWord>
      <group>L1_Format</group>
      <groupName>格式问题</groupName>
      <ability>L2_HalfPunc_CN</ability>
      <abilityName>全半角问题</abilityName>
      <candidateList>
        <item>）</item>
      </candidateList>
      <explain>文本全半角错误。</explain>
      <paraID>78E3773B</paraID>
      <start>20</start>
      <end>21</end>
      <status>unmodified</status>
      <modifiedWord/>
      <trackRevisions>false</trackRevisions>
    </reviewItem>
    <reviewItem>
      <errorID>2b5237fc-da70-472a-9a73-8cf7d40d459b</errorID>
      <errorWord>:</errorWord>
      <group>L1_Format</group>
      <groupName>格式问题</groupName>
      <ability>L2_HalfPunc_CN</ability>
      <abilityName>全半角问题</abilityName>
      <candidateList>
        <item>：</item>
      </candidateList>
      <explain>文本全半角错误。</explain>
      <paraID>65CC4FE4</paraID>
      <start>27</start>
      <end>28</end>
      <status>unmodified</status>
      <modifiedWord/>
      <trackRevisions>false</trackRevisions>
    </reviewItem>
    <reviewItem>
      <errorID>6e63cfc1-3ef5-40a1-a29a-1823af2b291d</errorID>
      <errorWord>(</errorWord>
      <group>L1_Format</group>
      <groupName>格式问题</groupName>
      <ability>L2_HalfPunc_CN</ability>
      <abilityName>全半角问题</abilityName>
      <candidateList>
        <item>（</item>
      </candidateList>
      <explain>文本全半角错误。</explain>
      <paraID>32AB9D2E</paraID>
      <start>106</start>
      <end>107</end>
      <status>unmodified</status>
      <modifiedWord/>
      <trackRevisions>false</trackRevisions>
    </reviewItem>
    <reviewItem>
      <errorID>05808bcb-6e28-4221-a1b3-db68be13654b</errorID>
      <errorWord>限</errorWord>
      <group>L1_Word</group>
      <groupName>字词问题</groupName>
      <ability>L2_Typo</ability>
      <abilityName>字词错误</abilityName>
      <candidateList>
        <item>限于</item>
      </candidateList>
      <explain/>
      <paraID>32AB9D2E</paraID>
      <start>110</start>
      <end>112</end>
      <status>modified</status>
      <modifiedWord>限于</modifiedWord>
      <trackRevisions>false</trackRevisions>
    </reviewItem>
    <reviewItem>
      <errorID>3cd9a7f7-2afb-415e-a806-dab467034a26</errorID>
      <errorWord>，</errorWord>
      <group>L1_Word</group>
      <groupName>字词问题</groupName>
      <ability>L2_Typo</ability>
      <abilityName>字词错误</abilityName>
      <candidateList>
        <item>，在</item>
      </candidateList>
      <explain/>
      <paraID>674EBEE8</paraID>
      <start>64</start>
      <end>65</end>
      <status>unmodified</status>
      <modifiedWord/>
      <trackRevisions>false</trackRevisions>
    </reviewItem>
    <reviewItem>
      <errorID>6171937b-072f-4463-85e2-a5ea77445402</errorID>
      <errorWord>;</errorWord>
      <group>L1_Format</group>
      <groupName>格式问题</groupName>
      <ability>L2_HalfPunc_CN</ability>
      <abilityName>全半角问题</abilityName>
      <candidateList>
        <item>；</item>
      </candidateList>
      <explain>文本全半角错误。</explain>
      <paraID>3B14946D</paraID>
      <start>21</start>
      <end>22</end>
      <status>unmodified</status>
      <modifiedWord/>
      <trackRevisions>false</trackRevisions>
    </reviewItem>
    <reviewItem>
      <errorID>50eb942c-d40f-4784-a794-216c4267ec0f</errorID>
      <errorWord>法律、法规</errorWord>
      <group>L1_Word</group>
      <groupName>字词问题</groupName>
      <ability>L2_Typo</ability>
      <abilityName>字词错误</abilityName>
      <candidateList>
        <item>法律法规</item>
      </candidateList>
      <explain/>
      <paraID>6FF43820</paraID>
      <start>6</start>
      <end>11</end>
      <status>unmodified</status>
      <modifiedWord/>
      <trackRevisions>false</trackRevisions>
    </reviewItem>
    <reviewItem>
      <errorID>f7768110-1237-4f90-a89e-6661998b438f</errorID>
      <errorWord>,</errorWord>
      <group>L1_Format</group>
      <groupName>格式问题</groupName>
      <ability>L2_HalfPunc_CN</ability>
      <abilityName>全半角问题</abilityName>
      <candidateList>
        <item>，</item>
      </candidateList>
      <explain>文本全半角错误。</explain>
      <paraID>67ED56C8</paraID>
      <start>13</start>
      <end>14</end>
      <status>unmodified</status>
      <modifiedWord/>
      <trackRevisions>false</trackRevisions>
    </reviewItem>
    <reviewItem>
      <errorID>34eb2f6f-fd04-413f-ad6a-28de03bb4eac</errorID>
      <errorWord>,</errorWord>
      <group>L1_Format</group>
      <groupName>格式问题</groupName>
      <ability>L2_HalfPunc_CN</ability>
      <abilityName>全半角问题</abilityName>
      <candidateList>
        <item>，</item>
      </candidateList>
      <explain>文本全半角错误。</explain>
      <paraID>20F8E7E3</paraID>
      <start>52</start>
      <end>53</end>
      <status>unmodified</status>
      <modifiedWord/>
      <trackRevisions>false</trackRevisions>
    </reviewItem>
    <reviewItem>
      <errorID>5a6d8c46-e889-42a4-a63b-a801c73e525c</errorID>
      <errorWord>，</errorWord>
      <group>L1_Word</group>
      <groupName>字词问题</groupName>
      <ability>L2_Typo</ability>
      <abilityName>字词错误</abilityName>
      <candidateList>
        <item>，并</item>
      </candidateList>
      <explain/>
      <paraID>29C95544</paraID>
      <start>73</start>
      <end>74</end>
      <status>unmodified</status>
      <modifiedWord/>
      <trackRevisions>false</trackRevisions>
    </reviewItem>
    <reviewItem>
      <errorID>37e86ece-f6b5-452f-8725-5920bf73c266</errorID>
      <errorWord>(</errorWord>
      <group>L1_Format</group>
      <groupName>格式问题</groupName>
      <ability>L2_HalfPunc_CN</ability>
      <abilityName>全半角问题</abilityName>
      <candidateList>
        <item>（</item>
      </candidateList>
      <explain>文本全半角错误。</explain>
      <paraID>726CFF82</paraID>
      <start>12</start>
      <end>13</end>
      <status>unmodified</status>
      <modifiedWord/>
      <trackRevisions>false</trackRevisions>
    </reviewItem>
    <reviewItem>
      <errorID>cccc9265-3e33-4639-967f-ba7451890ed8</errorID>
      <errorWord>)</errorWord>
      <group>L1_Format</group>
      <groupName>格式问题</groupName>
      <ability>L2_HalfPunc_CN</ability>
      <abilityName>全半角问题</abilityName>
      <candidateList>
        <item>）</item>
      </candidateList>
      <explain>文本全半角错误。</explain>
      <paraID>726CFF82</paraID>
      <start>18</start>
      <end>19</end>
      <status>unmodified</status>
      <modifiedWord/>
      <trackRevisions>false</trackRevisions>
    </reviewItem>
    <reviewItem>
      <errorID>5084879d-3c05-44e7-835f-bf2881496167</errorID>
      <errorWord>:</errorWord>
      <group>L1_Format</group>
      <groupName>格式问题</groupName>
      <ability>L2_HalfPunc_CN</ability>
      <abilityName>全半角问题</abilityName>
      <candidateList>
        <item>：</item>
      </candidateList>
      <explain>文本全半角错误。</explain>
      <paraID>3A0CE95B</paraID>
      <start>61</start>
      <end>62</end>
      <status>unmodified</status>
      <modifiedWord/>
      <trackRevisions>false</trackRevisions>
    </reviewItem>
    <reviewItem>
      <errorID>e7c55059-dc93-4408-924c-cd1b2ee767bb</errorID>
      <errorWord>(</errorWord>
      <group>L1_Format</group>
      <groupName>格式问题</groupName>
      <ability>L2_HalfPunc_CN</ability>
      <abilityName>全半角问题</abilityName>
      <candidateList>
        <item>（</item>
      </candidateList>
      <explain>文本全半角错误。</explain>
      <paraID>3A0CE95B</paraID>
      <start>67</start>
      <end>68</end>
      <status>unmodified</status>
      <modifiedWord/>
      <trackRevisions>false</trackRevisions>
    </reviewItem>
    <reviewItem>
      <errorID>9945cd42-e7f4-45e8-813c-276410b4f4dc</errorID>
      <errorWord>)</errorWord>
      <group>L1_Format</group>
      <groupName>格式问题</groupName>
      <ability>L2_HalfPunc_CN</ability>
      <abilityName>全半角问题</abilityName>
      <candidateList>
        <item>）</item>
      </candidateList>
      <explain>文本全半角错误。</explain>
      <paraID>3A0CE95B</paraID>
      <start>79</start>
      <end>80</end>
      <status>unmodified</status>
      <modifiedWord/>
      <trackRevisions>false</trackRevisions>
    </reviewItem>
    <reviewItem>
      <errorID>017374c0-27ec-432e-a247-a8e094afdf28</errorID>
      <errorWord>、等</errorWord>
      <group>L1_Punc</group>
      <groupName>标点问题</groupName>
      <ability>L2_Punc_CN</ability>
      <abilityName>标点符号问题</abilityName>
      <candidateList>
        <item>等</item>
      </candidateList>
      <explain>“及”“和”“等”连词前不宜使用顿号，建议删除（或使用逗号）。</explain>
      <paraID> 9241ACA</paraID>
      <start>78</start>
      <end>80</end>
      <status>unmodified</status>
      <modifiedWord/>
      <trackRevisions>false</trackRevisions>
    </reviewItem>
    <reviewItem>
      <errorID>f43d077b-63ca-4ee7-bdd5-f7fde4cfd978</errorID>
      <errorWord>详实</errorWord>
      <group>L1_Word</group>
      <groupName>字词问题</groupName>
      <ability>L2_Typo</ability>
      <abilityName>字词错误</abilityName>
      <candidateList>
        <item>翔实</item>
      </candidateList>
      <explain>存在发音相同字词的误用。</explain>
      <paraID> 3F0E28D</paraID>
      <start>12</start>
      <end>14</end>
      <status>unmodified</status>
      <modifiedWord/>
      <trackRevisions>false</trackRevisions>
    </reviewItem>
    <reviewItem>
      <errorID>4a708015-21dc-41a5-8007-ffb357fbb92e</errorID>
      <errorWord>详实</errorWord>
      <group>L1_Word</group>
      <groupName>字词问题</groupName>
      <ability>L2_Typo</ability>
      <abilityName>字词错误</abilityName>
      <candidateList>
        <item>翔实</item>
      </candidateList>
      <explain>存在发音相同字词的误用。</explain>
      <paraID>7CF80DA8</paraID>
      <start>12</start>
      <end>14</end>
      <status>unmodified</status>
      <modifiedWord/>
      <trackRevisions>false</trackRevisions>
    </reviewItem>
    <reviewItem>
      <errorID>4e2f375a-9c93-441f-9a1a-f38615bb5006</errorID>
      <errorWord>详实</errorWord>
      <group>L1_Word</group>
      <groupName>字词问题</groupName>
      <ability>L2_Typo</ability>
      <abilityName>字词错误</abilityName>
      <candidateList>
        <item>翔实</item>
      </candidateList>
      <explain>存在发音相同字词的误用。</explain>
      <paraID>44CA7FD2</paraID>
      <start>12</start>
      <end>14</end>
      <status>unmodified</status>
      <modifiedWord/>
      <trackRevisions>false</trackRevisions>
    </reviewItem>
    <reviewItem>
      <errorID>469f1430-c754-45f4-84a7-bca176906796</errorID>
      <errorWord>详实</errorWord>
      <group>L1_Word</group>
      <groupName>字词问题</groupName>
      <ability>L2_Typo</ability>
      <abilityName>字词错误</abilityName>
      <candidateList>
        <item>翔实</item>
      </candidateList>
      <explain>存在发音相同字词的误用。</explain>
      <paraID>792CC26B</paraID>
      <start>12</start>
      <end>14</end>
      <status>unmodified</status>
      <modifiedWord/>
      <trackRevisions>false</trackRevisions>
    </reviewItem>
    <reviewItem>
      <errorID>553481eb-7ebe-4a68-941b-2beb330d3a43</errorID>
      <errorWord>(</errorWord>
      <group>L1_Format</group>
      <groupName>格式问题</groupName>
      <ability>L2_HalfPunc_CN</ability>
      <abilityName>全半角问题</abilityName>
      <candidateList>
        <item>（</item>
      </candidateList>
      <explain>文本全半角错误。</explain>
      <paraID>102C8C86</paraID>
      <start>18</start>
      <end>19</end>
      <status>unmodified</status>
      <modifiedWord/>
      <trackRevisions>false</trackRevisions>
    </reviewItem>
    <reviewItem>
      <errorID>f4154cc4-a3c4-4d51-9c3f-cba240b9cdba</errorID>
      <errorWord>)</errorWord>
      <group>L1_Format</group>
      <groupName>格式问题</groupName>
      <ability>L2_HalfPunc_CN</ability>
      <abilityName>全半角问题</abilityName>
      <candidateList>
        <item>）</item>
      </candidateList>
      <explain>文本全半角错误。</explain>
      <paraID>102C8C86</paraID>
      <start>28</start>
      <end>29</end>
      <status>unmodified</status>
      <modifiedWord/>
      <trackRevisions>false</trackRevisions>
    </reviewItem>
    <reviewItem>
      <errorID>d09264a1-dfe7-42a2-9f1b-0fa02319c5a6</errorID>
      <errorWord>进入到</errorWord>
      <group>L1_Word</group>
      <groupName>字词问题</groupName>
      <ability>L2_Typo</ability>
      <abilityName>字词错误</abilityName>
      <candidateList>
        <item>进入</item>
      </candidateList>
      <explain/>
      <paraID> C386E29</paraID>
      <start>25</start>
      <end>28</end>
      <status>unmodified</status>
      <modifiedWord/>
      <trackRevisions>false</trackRevisions>
    </reviewItem>
    <reviewItem>
      <errorID>ea3b5265-e264-4356-a2e6-6a3dc4821168</errorID>
      <errorWord>须</errorWord>
      <group>L1_Word</group>
      <groupName>字词问题</groupName>
      <ability>L2_Typo</ability>
      <abilityName>字词错误</abilityName>
      <candidateList>
        <item>需</item>
      </candidateList>
      <explain>存在发音相同字词的误用。</explain>
      <paraID>6A079775</paraID>
      <start>17</start>
      <end>18</end>
      <status>unmodified</status>
      <modifiedWord/>
      <trackRevisions>false</trackRevisions>
    </reviewItem>
    <reviewItem>
      <errorID>faf38b48-6174-45d1-955b-448a02a16660</errorID>
      <errorWord>(</errorWord>
      <group>L1_Format</group>
      <groupName>格式问题</groupName>
      <ability>L2_HalfPunc_CN</ability>
      <abilityName>全半角问题</abilityName>
      <candidateList>
        <item>（</item>
      </candidateList>
      <explain>文本全半角错误。</explain>
      <paraID>12973F5E</paraID>
      <start>49</start>
      <end>50</end>
      <status>unmodified</status>
      <modifiedWord/>
      <trackRevisions>false</trackRevisions>
    </reviewItem>
    <reviewItem>
      <errorID>ad3b6e14-28d9-4fb7-91ee-17e572e97228</errorID>
      <errorWord>)</errorWord>
      <group>L1_Format</group>
      <groupName>格式问题</groupName>
      <ability>L2_HalfPunc_CN</ability>
      <abilityName>全半角问题</abilityName>
      <candidateList>
        <item>）</item>
      </candidateList>
      <explain>文本全半角错误。</explain>
      <paraID>12973F5E</paraID>
      <start>54</start>
      <end>55</end>
      <status>unmodified</status>
      <modifiedWord/>
      <trackRevisions>false</trackRevisions>
    </reviewItem>
    <reviewItem>
      <errorID>fc6d2b3a-5041-4e5a-8999-4f7e3fc3c87e</errorID>
      <errorWord>（</errorWord>
      <group>L1_Word</group>
      <groupName>字词问题</groupName>
      <ability>L2_Typo</ability>
      <abilityName>字词错误</abilityName>
      <candidateList>
        <item>（在</item>
      </candidateList>
      <explain/>
      <paraID>6E2DCDD7</paraID>
      <start>23</start>
      <end>24</end>
      <status>unmodified</status>
      <modifiedWord/>
      <trackRevisions>false</trackRevisions>
    </reviewItem>
    <reviewItem>
      <errorID>a97a3cf7-1545-40b6-ad68-72de745a9a39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63BC5CC2</paraID>
      <start>0</start>
      <end>2</end>
      <status>unmodified</status>
      <modifiedWord/>
      <trackRevisions>false</trackRevisions>
    </reviewItem>
    <reviewItem>
      <errorID>8c62f449-da5e-48cc-9dc5-3f4a4155d2b7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45CEC289</paraID>
      <start>0</start>
      <end>2</end>
      <status>unmodified</status>
      <modifiedWord/>
      <trackRevisions>false</trackRevisions>
    </reviewItem>
    <reviewItem>
      <errorID>50e2f5bb-9126-44db-93e9-1d6f26362ad2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1E6F5A0B</paraID>
      <start>0</start>
      <end>2</end>
      <status>unmodified</status>
      <modifiedWord/>
      <trackRevisions>false</trackRevisions>
    </reviewItem>
    <reviewItem>
      <errorID>27e11f4a-e179-486b-867f-6dd2517b6765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20D4C685</paraID>
      <start>0</start>
      <end>2</end>
      <status>unmodified</status>
      <modifiedWord/>
      <trackRevisions>false</trackRevisions>
    </reviewItem>
    <reviewItem>
      <errorID>2fb4d76e-ccb7-4c03-9962-9e80493cbdb3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507A7D5A</paraID>
      <start>0</start>
      <end>2</end>
      <status>unmodified</status>
      <modifiedWord/>
      <trackRevisions>false</trackRevisions>
    </reviewItem>
    <reviewItem>
      <errorID>999302a6-e6ad-499e-aa07-4fc2a93ed91e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1C348160</paraID>
      <start>0</start>
      <end>2</end>
      <status>unmodified</status>
      <modifiedWord/>
      <trackRevisions>false</trackRevisions>
    </reviewItem>
    <reviewItem>
      <errorID>ccdf2c94-e813-4fe2-8261-b8223771f07f</errorID>
      <errorWord>(</errorWord>
      <group>L1_Format</group>
      <groupName>格式问题</groupName>
      <ability>L2_HalfPunc_CN</ability>
      <abilityName>全半角问题</abilityName>
      <candidateList>
        <item>（</item>
      </candidateList>
      <explain>文本全半角错误。</explain>
      <paraID>1C348160</paraID>
      <start>68</start>
      <end>69</end>
      <status>unmodified</status>
      <modifiedWord/>
      <trackRevisions>false</trackRevisions>
    </reviewItem>
    <reviewItem>
      <errorID>9dca922e-b6c5-45bc-af4c-26fcaf305934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F857CC</paraID>
      <start>0</start>
      <end>2</end>
      <status>unmodified</status>
      <modifiedWord/>
      <trackRevisions>false</trackRevisions>
    </reviewItem>
    <reviewItem>
      <errorID>1f8feba2-4e1b-46aa-84d0-ddb0204121a6</errorID>
      <errorWord>(</errorWord>
      <group>L1_Format</group>
      <groupName>格式问题</groupName>
      <ability>L2_HalfPunc_CN</ability>
      <abilityName>全半角问题</abilityName>
      <candidateList>
        <item>（</item>
      </candidateList>
      <explain>文本全半角错误。</explain>
      <paraID>38C34F0A</paraID>
      <start>13</start>
      <end>14</end>
      <status>unmodified</status>
      <modifiedWord/>
      <trackRevisions>false</trackRevisions>
    </reviewItem>
    <reviewItem>
      <errorID>e75f8dd8-16c1-4fa1-b05d-5ebc2eca6e71</errorID>
      <errorWord>)</errorWord>
      <group>L1_Format</group>
      <groupName>格式问题</groupName>
      <ability>L2_HalfPunc_CN</ability>
      <abilityName>全半角问题</abilityName>
      <candidateList>
        <item>）</item>
      </candidateList>
      <explain>文本全半角错误。</explain>
      <paraID>38C34F0A</paraID>
      <start>16</start>
      <end>17</end>
      <status>unmodified</status>
      <modifiedWord/>
      <trackRevisions>false</trackRevisions>
    </reviewItem>
    <reviewItem>
      <errorID>f5e32292-6ba1-40de-8ebc-bcfa41c39e44</errorID>
      <errorWord>,</errorWord>
      <group>L1_Format</group>
      <groupName>格式问题</groupName>
      <ability>L2_HalfPunc_CN</ability>
      <abilityName>全半角问题</abilityName>
      <candidateList>
        <item>，</item>
      </candidateList>
      <explain>文本全半角错误。</explain>
      <paraID>4B3C093F</paraID>
      <start>7</start>
      <end>8</end>
      <status>unmodified</status>
      <modifiedWord/>
      <trackRevisions>false</trackRevisions>
    </reviewItem>
    <reviewItem>
      <errorID>7f09ccc2-715d-461a-b3af-db086724a6fd</errorID>
      <errorWord>落</errorWord>
      <group>L1_Word</group>
      <groupName>字词问题</groupName>
      <ability>L2_Typo</ability>
      <abilityName>字词错误</abilityName>
      <candidateList>
        <item>落实</item>
      </candidateList>
      <explain/>
      <paraID>718BC271</paraID>
      <start>10</start>
      <end>11</end>
      <status>unmodified</status>
      <modifiedWord/>
      <trackRevisions>false</trackRevisions>
    </reviewItem>
    <reviewItem>
      <errorID>04ba4b53-488d-45d1-9c6e-26cf87dc781b</errorID>
      <errorWord>[2011]300号</errorWord>
      <group>L1_Knowledge</group>
      <groupName>知识性问题</groupName>
      <ability>L2_Knowledge</ability>
      <abilityName>其他知识</abilityName>
      <candidateList>
        <item>〔2011〕300号</item>
      </candidateList>
      <explain>发文字号格式错误。</explain>
      <paraID>66DB8B7D</paraID>
      <start>33</start>
      <end>43</end>
      <status>unmodified</status>
      <modifiedWord/>
      <trackRevisions>false</trackRevisions>
    </reviewItem>
    <reviewItem>
      <errorID>1de26bbc-5d7c-41a9-88c7-066fefcc4af7</errorID>
      <errorWord>(</errorWord>
      <group>L1_Format</group>
      <groupName>格式问题</groupName>
      <ability>L2_HalfPunc_CN</ability>
      <abilityName>全半角问题</abilityName>
      <candidateList>
        <item>（</item>
      </candidateList>
      <explain>文本全半角错误。</explain>
      <paraID>21671091</paraID>
      <start>33</start>
      <end>34</end>
      <status>unmodified</status>
      <modifiedWord/>
      <trackRevisions>false</trackRevisions>
    </reviewItem>
    <reviewItem>
      <errorID>8e0e1e9c-ada8-4376-9c07-f6ab9c7a64b8</errorID>
      <errorWord>)</errorWord>
      <group>L1_Format</group>
      <groupName>格式问题</groupName>
      <ability>L2_HalfPunc_CN</ability>
      <abilityName>全半角问题</abilityName>
      <candidateList>
        <item>）</item>
      </candidateList>
      <explain>文本全半角错误。</explain>
      <paraID>21671091</paraID>
      <start>43</start>
      <end>44</end>
      <status>unmodified</status>
      <modifiedWord/>
      <trackRevisions>false</trackRevisions>
    </reviewItem>
    <reviewItem>
      <errorID>2938788f-a825-4357-8e23-0edc88b9af0b</errorID>
      <errorWord>[2014]68号</errorWord>
      <group>L1_Knowledge</group>
      <groupName>知识性问题</groupName>
      <ability>L2_Knowledge</ability>
      <abilityName>其他知识</abilityName>
      <candidateList>
        <item>〔2014〕68号</item>
      </candidateList>
      <explain>发文字号格式错误。</explain>
      <paraID>4137274E</paraID>
      <start>35</start>
      <end>44</end>
      <status>unmodified</status>
      <modifiedWord/>
      <trackRevisions>false</trackRevisions>
    </reviewItem>
    <reviewItem>
      <errorID>5053fcd5-db5f-48af-ab75-28253545eaef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320B3BAB</paraID>
      <start>0</start>
      <end>2</end>
      <status>unmodified</status>
      <modifiedWord/>
      <trackRevisions>false</trackRevisions>
    </reviewItem>
    <reviewItem>
      <errorID>e277d1a8-d1ae-4542-93ea-b841c3e9946c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7B0A4D08</paraID>
      <start>0</start>
      <end>2</end>
      <status>unmodified</status>
      <modifiedWord/>
      <trackRevisions>false</trackRevisions>
    </reviewItem>
    <reviewItem>
      <errorID>a77ce530-53a1-4ce7-a6e3-c0cfa4b6b3cf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CBA44DE</paraID>
      <start>0</start>
      <end>2</end>
      <status>unmodified</status>
      <modifiedWord/>
      <trackRevisions>false</trackRevisions>
    </reviewItem>
    <reviewItem>
      <errorID>ea2930a4-98cf-4759-a4b4-9288581862dc</errorID>
      <errorWord>4、</errorWord>
      <group>L1_Format</group>
      <groupName>格式问题</groupName>
      <ability>L2_Ordinal</ability>
      <abilityName>序号格式</abilityName>
      <candidateList>
        <item>4.</item>
      </candidateList>
      <explain>当前序号格式不规范，建议修改为规范格式[4.]。</explain>
      <paraID>27F15ACF</paraID>
      <start>0</start>
      <end>2</end>
      <status>unmodified</status>
      <modifiedWord/>
      <trackRevisions>false</trackRevisions>
    </reviewItem>
    <reviewItem>
      <errorID>ea1dce61-8301-4504-ad8b-3a4ce87255ae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17F18F3B</paraID>
      <start>0</start>
      <end>2</end>
      <status>unmodified</status>
      <modifiedWord/>
      <trackRevisions>false</trackRevisions>
    </reviewItem>
    <reviewItem>
      <errorID>d7fe99ad-df4e-4676-a52f-c51b02eecb06</errorID>
      <errorWord>Raid</errorWord>
      <group>L1_English</group>
      <groupName>英文问题</groupName>
      <ability>L2_Case</ability>
      <abilityName>大小写问题</abilityName>
      <candidateList>
        <item>RAID</item>
      </candidateList>
      <explain>疑似单词大小写错误，建议将Raid修改为RAID</explain>
      <paraID>17F18F3B</paraID>
      <start>15</start>
      <end>19</end>
      <status>unmodified</status>
      <modifiedWord/>
      <trackRevisions>false</trackRevisions>
    </reviewItem>
    <reviewItem>
      <errorID>2bf3bd05-79f1-449b-a695-9f4de1056f80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CAF7926</paraID>
      <start>0</start>
      <end>2</end>
      <status>unmodified</status>
      <modifiedWord/>
      <trackRevisions>false</trackRevisions>
    </reviewItem>
    <reviewItem>
      <errorID>d6bffd37-85f4-4539-ba3a-2795816e5daf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19FD783F</paraID>
      <start>0</start>
      <end>2</end>
      <status>unmodified</status>
      <modifiedWord/>
      <trackRevisions>false</trackRevisions>
    </reviewItem>
    <reviewItem>
      <errorID>84ff6472-268c-4d2b-91e7-d9273f9ba17b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10DBF4C5</paraID>
      <start>0</start>
      <end>2</end>
      <status>unmodified</status>
      <modifiedWord/>
      <trackRevisions>false</trackRevisions>
    </reviewItem>
    <reviewItem>
      <errorID>1842e910-c193-4f68-8c97-49b4c6195d05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3517F750</paraID>
      <start>0</start>
      <end>2</end>
      <status>unmodified</status>
      <modifiedWord/>
      <trackRevisions>false</trackRevisions>
    </reviewItem>
    <reviewItem>
      <errorID>a7308e4e-5041-44e1-9abb-d674611c7a04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25349C78</paraID>
      <start>0</start>
      <end>3</end>
      <status>unmodified</status>
      <modifiedWord/>
      <trackRevisions>false</trackRevisions>
    </reviewItem>
    <reviewItem>
      <errorID>bb3b3a62-c942-4022-ac3c-a7d8b271f096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A53866D</paraID>
      <start>0</start>
      <end>3</end>
      <status>unmodified</status>
      <modifiedWord/>
      <trackRevisions>false</trackRevisions>
    </reviewItem>
    <reviewItem>
      <errorID>04501c30-428c-4f28-9407-7704df915027</errorID>
      <errorWord>泄露</errorWord>
      <group>L1_Word</group>
      <groupName>字词问题</groupName>
      <ability>L2_Typo</ability>
      <abilityName>字词错误</abilityName>
      <candidateList>
        <item>泄漏</item>
      </candidateList>
      <explain>存在发音相同字词的误用。</explain>
      <paraID>4010C7E4</paraID>
      <start>203</start>
      <end>205</end>
      <status>unmodified</status>
      <modifiedWord/>
      <trackRevisions>false</trackRevisions>
    </reviewItem>
    <reviewItem>
      <errorID>191f2b39-f476-4698-a136-0b5546cfca10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2F0BF86E</paraID>
      <start>0</start>
      <end>2</end>
      <status>unmodified</status>
      <modifiedWord/>
      <trackRevisions>false</trackRevisions>
    </reviewItem>
    <reviewItem>
      <errorID>fec9324e-1299-4f07-8a12-04d3586b2b9e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24DF7732</paraID>
      <start>0</start>
      <end>2</end>
      <status>unmodified</status>
      <modifiedWord/>
      <trackRevisions>false</trackRevisions>
    </reviewItem>
    <reviewItem>
      <errorID>670b24fc-4003-4efd-9727-63c5a183b41e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40F45AEA</paraID>
      <start>0</start>
      <end>2</end>
      <status>unmodified</status>
      <modifiedWord/>
      <trackRevisions>false</trackRevisions>
    </reviewItem>
    <reviewItem>
      <errorID>045dd998-f8fd-4f5c-bba2-2cd117f0c16a</errorID>
      <errorWord>确认</errorWord>
      <group>L1_Word</group>
      <groupName>字词问题</groupName>
      <ability>L2_Typo</ability>
      <abilityName>字词错误</abilityName>
      <candidateList>
        <item>确诊</item>
      </candidateList>
      <explain>存在字形相近字词的误用。</explain>
      <paraID>6FCBF6E8</paraID>
      <start>1</start>
      <end>3</end>
      <status>unmodified</status>
      <modifiedWord/>
      <trackRevisions>false</trackRevisions>
    </reviewItem>
    <reviewItem>
      <errorID>70e4e965-d805-454e-bbc8-695de8fd4bca</errorID>
      <errorWord>疑似是</errorWord>
      <group>L1_Word</group>
      <groupName>字词问题</groupName>
      <ability>L2_Typo</ability>
      <abilityName>字词错误</abilityName>
      <candidateList>
        <item>疑似</item>
      </candidateList>
      <explain/>
      <paraID>6FCBF6E8</paraID>
      <start>4</start>
      <end>7</end>
      <status>unmodified</status>
      <modifiedWord/>
      <trackRevisions>false</trackRevisions>
    </reviewItem>
    <reviewItem>
      <errorID>27568e6f-b7a3-4a29-96cf-e49016446867</errorID>
      <errorWord>规则</errorWord>
      <group>L1_Grammar</group>
      <groupName>语法问题</groupName>
      <ability>L2_Grammar</ability>
      <abilityName>语法错误</abilityName>
      <candidateList>
        <item>规定</item>
      </candidateList>
      <explain>“执行～规则”搭配不当，建议修改为“执行～规定”。</explain>
      <paraID>6FCBF6E8</paraID>
      <start>60</start>
      <end>62</end>
      <status>unmodified</status>
      <modifiedWord/>
      <trackRevisions>false</trackRevisions>
    </reviewItem>
    <reviewItem>
      <errorID>372131e0-fa05-423f-a3a9-b42a3bb5ba4e</errorID>
      <errorWord>、或</errorWord>
      <group>L1_Word</group>
      <groupName>字词问题</groupName>
      <ability>L2_Typo</ability>
      <abilityName>字词错误</abilityName>
      <candidateList>
        <item>或</item>
      </candidateList>
      <explain/>
      <paraID>5EF2899D</paraID>
      <start>37</start>
      <end>39</end>
      <status>unmodified</status>
      <modifiedWord/>
      <trackRevisions>false</trackRevisions>
    </reviewItem>
    <reviewItem>
      <errorID>bf6cd0ae-c15c-442f-b342-3be19dee4552</errorID>
      <errorWord>"</errorWord>
      <group>L1_Format</group>
      <groupName>格式问题</groupName>
      <ability>L2_HalfPunc_CN</ability>
      <abilityName>全半角问题</abilityName>
      <candidateList>
        <item>“</item>
      </candidateList>
      <explain>文本全半角错误。</explain>
      <paraID>59D0C3D0</paraID>
      <start>43</start>
      <end>44</end>
      <status>unmodified</status>
      <modifiedWord/>
      <trackRevisions>false</trackRevisions>
    </reviewItem>
    <reviewItem>
      <errorID>b7274099-7dca-4c05-925d-f7156e3223ed</errorID>
      <errorWord>"</errorWord>
      <group>L1_Format</group>
      <groupName>格式问题</groupName>
      <ability>L2_HalfPunc_CN</ability>
      <abilityName>全半角问题</abilityName>
      <candidateList>
        <item>”</item>
      </candidateList>
      <explain>文本全半角错误。</explain>
      <paraID>59D0C3D0</paraID>
      <start>80</start>
      <end>81</end>
      <status>unmodified</status>
      <modifiedWord/>
      <trackRevisions>false</trackRevisions>
    </reviewItem>
    <reviewItem>
      <errorID>eb34b19b-1b0f-4a39-95aa-7199d0fa1e83</errorID>
      <errorWord>"</errorWord>
      <group>L1_Format</group>
      <groupName>格式问题</groupName>
      <ability>L2_HalfPunc_CN</ability>
      <abilityName>全半角问题</abilityName>
      <candidateList>
        <item>“</item>
      </candidateList>
      <explain>文本全半角错误。</explain>
      <paraID>63FB2096</paraID>
      <start>60</start>
      <end>61</end>
      <status>unmodified</status>
      <modifiedWord/>
      <trackRevisions>false</trackRevisions>
    </reviewItem>
    <reviewItem>
      <errorID>85f3ef08-5f03-461e-90b5-acd7bd7e8551</errorID>
      <errorWord>"</errorWord>
      <group>L1_Format</group>
      <groupName>格式问题</groupName>
      <ability>L2_HalfPunc_CN</ability>
      <abilityName>全半角问题</abilityName>
      <candidateList>
        <item>”</item>
      </candidateList>
      <explain>文本全半角错误。</explain>
      <paraID>63FB2096</paraID>
      <start>69</start>
      <end>70</end>
      <status>unmodified</status>
      <modifiedWord/>
      <trackRevisions>false</trackRevisions>
    </reviewItem>
    <reviewItem>
      <errorID>05491a61-63b1-4623-8cdc-dfcf31cd1c68</errorID>
      <errorWord>确认</errorWord>
      <group>L1_Word</group>
      <groupName>字词问题</groupName>
      <ability>L2_Typo</ability>
      <abilityName>字词错误</abilityName>
      <candidateList>
        <item>确诊</item>
      </candidateList>
      <explain/>
      <paraID>2421ECD4</paraID>
      <start>2</start>
      <end>4</end>
      <status>unmodified</status>
      <modifiedWord/>
      <trackRevisions>false</trackRevisions>
    </reviewItem>
    <reviewItem>
      <errorID>33e7efb0-0766-40ea-86d4-51878d0c9fb7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2B168DC0</paraID>
      <start>0</start>
      <end>2</end>
      <status>unmodified</status>
      <modifiedWord/>
      <trackRevisions>false</trackRevisions>
    </reviewItem>
    <reviewItem>
      <errorID>2f8513d9-a3d2-4d84-833c-bfc2f9bf4362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323B801A</paraID>
      <start>0</start>
      <end>2</end>
      <status>unmodified</status>
      <modifiedWord/>
      <trackRevisions>false</trackRevisions>
    </reviewItem>
    <reviewItem>
      <errorID>2a8130c2-2793-499b-8597-726a673bd82b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697F4EA9</paraID>
      <start>0</start>
      <end>2</end>
      <status>unmodified</status>
      <modifiedWord/>
      <trackRevisions>false</trackRevisions>
    </reviewItem>
    <reviewItem>
      <errorID>4014dd63-1688-4a96-b6fe-c8d5ad6458ed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35CE764C</paraID>
      <start>0</start>
      <end>2</end>
      <status>unmodified</status>
      <modifiedWord/>
      <trackRevisions>false</trackRevisions>
    </reviewItem>
    <reviewItem>
      <errorID>bb9c8f73-681f-4eb8-b518-f18506f9f2f1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517429E1</paraID>
      <start>0</start>
      <end>2</end>
      <status>unmodified</status>
      <modifiedWord/>
      <trackRevisions>false</trackRevisions>
    </reviewItem>
    <reviewItem>
      <errorID>74c37164-61f1-4a82-9b3a-2597d2e47670</errorID>
      <errorWord>法律、法规</errorWord>
      <group>L1_Word</group>
      <groupName>字词问题</groupName>
      <ability>L2_Typo</ability>
      <abilityName>字词错误</abilityName>
      <candidateList>
        <item>法律法规</item>
      </candidateList>
      <explain/>
      <paraID>789FC8E7</paraID>
      <start>17</start>
      <end>22</end>
      <status>unmodified</status>
      <modifiedWord/>
      <trackRevisions>false</trackRevisions>
    </reviewItem>
    <reviewItem>
      <errorID>f8a6a5e5-23a8-4883-9f5f-104d95ecc68b</errorID>
      <errorWord>(</errorWord>
      <group>L1_Format</group>
      <groupName>格式问题</groupName>
      <ability>L2_HalfPunc_CN</ability>
      <abilityName>全半角问题</abilityName>
      <candidateList>
        <item>（</item>
      </candidateList>
      <explain>文本全半角错误。</explain>
      <paraID> 81497B0</paraID>
      <start>0</start>
      <end>1</end>
      <status>unmodified</status>
      <modifiedWord/>
      <trackRevisions>false</trackRevisions>
    </reviewItem>
    <reviewItem>
      <errorID>83683f67-c5b3-459e-9b09-63391744b6da</errorID>
      <errorWord>)</errorWord>
      <group>L1_Format</group>
      <groupName>格式问题</groupName>
      <ability>L2_HalfPunc_CN</ability>
      <abilityName>全半角问题</abilityName>
      <candidateList>
        <item>）</item>
      </candidateList>
      <explain>文本全半角错误。</explain>
      <paraID> 81497B0</paraID>
      <start>2</start>
      <end>3</end>
      <status>unmodified</status>
      <modifiedWord/>
      <trackRevisions>false</trackRevisions>
    </reviewItem>
    <reviewItem>
      <errorID>32636099-e14c-450c-89cb-e11d9e64618b</errorID>
      <errorWord>(</errorWord>
      <group>L1_Format</group>
      <groupName>格式问题</groupName>
      <ability>L2_HalfPunc_CN</ability>
      <abilityName>全半角问题</abilityName>
      <candidateList>
        <item>（</item>
      </candidateList>
      <explain>文本全半角错误。</explain>
      <paraID>69188D3A</paraID>
      <start>2</start>
      <end>3</end>
      <status>unmodified</status>
      <modifiedWord/>
      <trackRevisions>false</trackRevisions>
    </reviewItem>
    <reviewItem>
      <errorID>a1ed7711-b820-4d3b-b8d1-7bb693b502b1</errorID>
      <errorWord>)</errorWord>
      <group>L1_Format</group>
      <groupName>格式问题</groupName>
      <ability>L2_HalfPunc_CN</ability>
      <abilityName>全半角问题</abilityName>
      <candidateList>
        <item>）</item>
      </candidateList>
      <explain>文本全半角错误。</explain>
      <paraID>69188D3A</paraID>
      <start>5</start>
      <end>6</end>
      <status>unmodified</status>
      <modifiedWord/>
      <trackRevisions>false</trackRevisions>
    </reviewItem>
    <reviewItem>
      <errorID>b9d7e614-43d6-42c3-972d-f499701ea08c</errorID>
      <errorWord>签定</errorWord>
      <group>L1_Word</group>
      <groupName>字词问题</groupName>
      <ability>L2_Typo</ability>
      <abilityName>字词错误</abilityName>
      <candidateList>
        <item>签订</item>
      </candidateList>
      <explain>存在发音相同字词的误用。</explain>
      <paraID>751533CF</paraID>
      <start>5</start>
      <end>7</end>
      <status>unmodified</status>
      <modifiedWord/>
      <trackRevisions>false</trackRevisions>
    </reviewItem>
    <reviewItem>
      <errorID>7555160f-df7c-4495-960d-75739a65edea</errorID>
      <errorWord>(</errorWord>
      <group>L1_Format</group>
      <groupName>格式问题</groupName>
      <ability>L2_HalfPunc_CN</ability>
      <abilityName>全半角问题</abilityName>
      <candidateList>
        <item>（</item>
      </candidateList>
      <explain>文本全半角错误。</explain>
      <paraID>59907A6A</paraID>
      <start>27</start>
      <end>28</end>
      <status>unmodified</status>
      <modifiedWord/>
      <trackRevisions>false</trackRevisions>
    </reviewItem>
    <reviewItem>
      <errorID>f325cf92-43d1-46db-bfe7-34b034eb14b3</errorID>
      <errorWord>)</errorWord>
      <group>L1_Format</group>
      <groupName>格式问题</groupName>
      <ability>L2_HalfPunc_CN</ability>
      <abilityName>全半角问题</abilityName>
      <candidateList>
        <item>）</item>
      </candidateList>
      <explain>文本全半角错误。</explain>
      <paraID>59907A6A</paraID>
      <start>30</start>
      <end>31</end>
      <status>unmodified</status>
      <modifiedWord/>
      <trackRevisions>false</trackRevisions>
    </reviewItem>
    <reviewItem>
      <errorID>b316be76-4187-4fa1-8d74-4e94eca92d86</errorID>
      <errorWord>:</errorWord>
      <group>L1_Format</group>
      <groupName>格式问题</groupName>
      <ability>L2_HalfPunc_CN</ability>
      <abilityName>全半角问题</abilityName>
      <candidateList>
        <item>：</item>
      </candidateList>
      <explain>文本全半角错误。</explain>
      <paraID>46126CB6</paraID>
      <start>13</start>
      <end>14</end>
      <status>unmodified</status>
      <modifiedWord/>
      <trackRevisions>false</trackRevisions>
    </reviewItem>
    <reviewItem>
      <errorID>e70ef142-b1e7-4e30-a83f-8f10c9f06494</errorID>
      <errorWord>首选</errorWord>
      <group>L1_Word</group>
      <groupName>字词问题</groupName>
      <ability>L2_Typo</ability>
      <abilityName>字词错误</abilityName>
      <candidateList>
        <item>首先</item>
      </candidateList>
      <explain>存在发音相近字词的误用。</explain>
      <paraID>2581D0C0</paraID>
      <start>17</start>
      <end>19</end>
      <status>unmodified</status>
      <modifiedWord/>
      <trackRevisions>false</trackRevisions>
    </reviewItem>
    <reviewItem>
      <errorID>b0c348f6-0054-42a9-9b57-c675b06095d2</errorID>
      <errorWord>应此</errorWord>
      <group>L1_Word</group>
      <groupName>字词问题</groupName>
      <ability>L2_Typo</ability>
      <abilityName>字词错误</abilityName>
      <candidateList>
        <item>因此</item>
      </candidateList>
      <explain/>
      <paraID> 5E665DF</paraID>
      <start>32</start>
      <end>34</end>
      <status>modified</status>
      <modifiedWord>因此</modifiedWord>
      <trackRevisions>false</trackRevisions>
    </reviewItem>
    <reviewItem>
      <errorID>a39886b9-1bf4-43dc-978f-32fe7c8d8115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12FCCD27</paraID>
      <start>72</start>
      <end>73</end>
      <status>unmodified</status>
      <modifiedWord/>
      <trackRevisions>false</trackRevisions>
    </reviewItem>
    <reviewItem>
      <errorID>c666c6ac-0988-4f77-be5e-e732b9c6c65d</errorID>
      <errorWord>泄露</errorWord>
      <group>L1_Word</group>
      <groupName>字词问题</groupName>
      <ability>L2_Typo</ability>
      <abilityName>字词错误</abilityName>
      <candidateList>
        <item>泄漏</item>
      </candidateList>
      <explain>存在发音相同字词的误用。</explain>
      <paraID>5506FD55</paraID>
      <start>150</start>
      <end>152</end>
      <status>unmodified</status>
      <modifiedWord/>
      <trackRevisions>false</trackRevisions>
    </reviewItem>
    <reviewItem>
      <errorID>66fef1c2-3972-4fab-b49b-82ea8e444772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231AEB61</paraID>
      <start>52</start>
      <end>55</end>
      <status>unmodified</status>
      <modifiedWord/>
      <trackRevisions>false</trackRevisions>
    </reviewItem>
    <reviewItem>
      <errorID>160386af-e13c-4c43-b97b-df864de6681f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231AEB61</paraID>
      <start>63</start>
      <end>66</end>
      <status>unmodified</status>
      <modifiedWord/>
      <trackRevisions>false</trackRevisions>
    </reviewItem>
    <reviewItem>
      <errorID>1b9d6957-ec93-45b0-b60f-74e0b7488a54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231AEB61</paraID>
      <start>74</start>
      <end>77</end>
      <status>unmodified</status>
      <modifiedWord/>
      <trackRevisions>false</trackRevisions>
    </reviewItem>
    <reviewItem>
      <errorID>eb779b9f-9ad9-45d0-bd1a-25cda83f5679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231AEB61</paraID>
      <start>87</start>
      <end>90</end>
      <status>unmodified</status>
      <modifiedWord/>
      <trackRevisions>false</trackRevisions>
    </reviewItem>
    <reviewItem>
      <errorID>5b9d90fc-e099-467f-8b7b-f702c305856e</errorID>
      <errorWord>,</errorWord>
      <group>L1_Format</group>
      <groupName>格式问题</groupName>
      <ability>L2_HalfPunc_CN</ability>
      <abilityName>全半角问题</abilityName>
      <candidateList>
        <item>，</item>
      </candidateList>
      <explain>文本全半角错误。</explain>
      <paraID>4CFEF1CC</paraID>
      <start>31</start>
      <end>32</end>
      <status>unmodified</status>
      <modifiedWord/>
      <trackRevisions>false</trackRevisions>
    </reviewItem>
    <reviewItem>
      <errorID>cde10d7f-6976-48cc-bf0f-5f4e95a92e2c</errorID>
      <errorWord>权力</errorWord>
      <group>L1_Word</group>
      <groupName>字词问题</groupName>
      <ability>L2_Typo</ability>
      <abilityName>字词错误</abilityName>
      <candidateList>
        <item>权利</item>
      </candidateList>
      <explain/>
      <paraID>44E0BA18</paraID>
      <start>21</start>
      <end>23</end>
      <status>modified</status>
      <modifiedWord>权利</modifiedWord>
      <trackRevisions>false</trackRevisions>
    </reviewItem>
    <reviewItem>
      <errorID>d44b8396-4db9-473d-a216-ff5ed59e4e0a</errorID>
      <errorWord>用</errorWord>
      <group>L1_Word</group>
      <groupName>字词问题</groupName>
      <ability>L2_Typo</ability>
      <abilityName>字词错误</abilityName>
      <candidateList>
        <item>用由</item>
      </candidateList>
      <explain/>
      <paraID>2AB9C012</paraID>
      <start>46</start>
      <end>47</end>
      <status>unmodified</status>
      <modifiedWord/>
      <trackRevisions>false</trackRevisions>
    </reviewItem>
    <reviewItem>
      <errorID>e19a77b3-c877-4578-9c79-1194da538ea9</errorID>
      <errorWord>(</errorWord>
      <group>L1_Format</group>
      <groupName>格式问题</groupName>
      <ability>L2_HalfPunc_CN</ability>
      <abilityName>全半角问题</abilityName>
      <candidateList>
        <item>（</item>
      </candidateList>
      <explain>文本全半角错误。</explain>
      <paraID>574D012B</paraID>
      <start>18</start>
      <end>19</end>
      <status>unmodified</status>
      <modifiedWord/>
      <trackRevisions>false</trackRevisions>
    </reviewItem>
    <reviewItem>
      <errorID>9a08119f-8f61-42c0-abfa-407601e55dab</errorID>
      <errorWord>)</errorWord>
      <group>L1_Format</group>
      <groupName>格式问题</groupName>
      <ability>L2_HalfPunc_CN</ability>
      <abilityName>全半角问题</abilityName>
      <candidateList>
        <item>）</item>
      </candidateList>
      <explain>文本全半角错误。</explain>
      <paraID>574D012B</paraID>
      <start>42</start>
      <end>43</end>
      <status>unmodified</status>
      <modifiedWord/>
      <trackRevisions>false</trackRevisions>
    </reviewItem>
    <reviewItem>
      <errorID>447ec49b-a618-4b53-81b4-801c797cd65f</errorID>
      <errorWord>个工作日向</errorWord>
      <group>L1_Word</group>
      <groupName>字词问题</groupName>
      <ability>L2_Typo</ability>
      <abilityName>字词错误</abilityName>
      <candidateList>
        <item>个工作日内向</item>
      </candidateList>
      <explain/>
      <paraID>24C65951</paraID>
      <start>32</start>
      <end>37</end>
      <status>unmodified</status>
      <modifiedWord/>
      <trackRevisions>false</trackRevisions>
    </reviewItem>
    <reviewItem>
      <errorID>703b5541-79b9-4ce9-9626-085e40413b3b</errorID>
      <errorWord>、或者</errorWord>
      <group>L1_Word</group>
      <groupName>字词问题</groupName>
      <ability>L2_Typo</ability>
      <abilityName>字词错误</abilityName>
      <candidateList>
        <item>，或者</item>
      </candidateList>
      <explain/>
      <paraID>394E3976</paraID>
      <start>32</start>
      <end>35</end>
      <status>unmodified</status>
      <modifiedWord/>
      <trackRevisions>false</trackRevisions>
    </reviewItem>
    <reviewItem>
      <errorID>3a238110-d4a7-4120-9d20-9d285f6ab6eb</errorID>
      <errorWord>、或者</errorWord>
      <group>L1_Word</group>
      <groupName>字词问题</groupName>
      <ability>L2_Typo</ability>
      <abilityName>字词错误</abilityName>
      <candidateList>
        <item>，或者</item>
      </candidateList>
      <explain/>
      <paraID>394E3976</paraID>
      <start>57</start>
      <end>60</end>
      <status>unmodified</status>
      <modifiedWord/>
      <trackRevisions>false</trackRevisions>
    </reviewItem>
    <reviewItem>
      <errorID>0d1a2248-f52f-408c-b328-41f73e3b791a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1691A483</paraID>
      <start>113</start>
      <end>116</end>
      <status>unmodified</status>
      <modifiedWord/>
      <trackRevisions>false</trackRevisions>
    </reviewItem>
    <reviewItem>
      <errorID>d1fe8454-377c-4eb0-a03e-a5d181b43a32</errorID>
      <errorWord>造成损失的，乙方</errorWord>
      <group>L1_Word</group>
      <groupName>字词问题</groupName>
      <ability>L2_Typo</ability>
      <abilityName>字词错误</abilityName>
      <candidateList>
        <item>造成损失的，由乙方</item>
      </candidateList>
      <explain/>
      <paraID> 6EFDC08</paraID>
      <start>16</start>
      <end>24</end>
      <status>unmodified</status>
      <modifiedWord/>
      <trackRevisions>false</trackRevisions>
    </reviewItem>
    <reviewItem>
      <errorID>b4b92b72-ecda-47fe-a4ff-ebed7f9cfbcb</errorID>
      <errorWord>期间</errorWord>
      <group>L1_Word</group>
      <groupName>字词问题</groupName>
      <ability>L2_Typo</ability>
      <abilityName>字词错误</abilityName>
      <candidateList>
        <item>其间</item>
      </candidateList>
      <explain/>
      <paraID>5AEEDEA3</paraID>
      <start>40</start>
      <end>42</end>
      <status>unmodified</status>
      <modifiedWord/>
      <trackRevisions>false</trackRevisions>
    </reviewItem>
    <reviewItem>
      <errorID>b6327aff-3ba4-4a82-933b-33707b4cbafc</errorID>
      <errorWord>具</errorWord>
      <group>L1_Word</group>
      <groupName>字词问题</groupName>
      <ability>L2_Typo</ability>
      <abilityName>字词错误</abilityName>
      <candidateList>
        <item>具有</item>
      </candidateList>
      <explain/>
      <paraID>43B1DC66</paraID>
      <start>25</start>
      <end>26</end>
      <status>unmodified</status>
      <modifiedWord/>
      <trackRevisions>false</trackRevisions>
    </reviewItem>
    <reviewItem>
      <errorID>eca00ebd-85d7-4100-83d2-ccaf72b093e5</errorID>
      <errorWord>帐</errorWord>
      <group>L1_Word</group>
      <groupName>字词问题</groupName>
      <ability>L2_Typo</ability>
      <abilityName>字词错误</abilityName>
      <candidateList>
        <item>账</item>
      </candidateList>
      <explain>存在发音相同字词的误用。</explain>
      <paraID>2E881AE6</paraID>
      <start>0</start>
      <end>1</end>
      <status>modified</status>
      <modifiedWord>账</modifiedWord>
      <trackRevisions>false</trackRevisions>
    </reviewItem>
    <reviewItem>
      <errorID>3358c837-cd64-4c3d-89c8-8f13f5295de2</errorID>
      <errorWord>帐    号：</errorWord>
      <group>L1_Word</group>
      <groupName>字词问题</groupName>
      <ability>L2_Typo</ability>
      <abilityName>字词错误</abilityName>
      <candidateList>
        <item>账    号：</item>
      </candidateList>
      <explain/>
      <paraID>2E881AE6</paraID>
      <start>33</start>
      <end>40</end>
      <status>modified</status>
      <modifiedWord>账    号：</modifiedWord>
      <trackRevisions>false</trackRevisions>
    </reviewItem>
    <reviewItem>
      <errorID>edb133d5-0aed-4ed1-b1dd-10cb696a38ad</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75E229EA</paraID>
      <start>9</start>
      <end>19</end>
      <status>modified</status>
      <modifiedWord>中华人民共和国民法典</modifiedWord>
      <trackRevisions>false</trackRevisions>
    </reviewItem>
    <reviewItem>
      <errorID>0569046a-ad36-448d-af96-5fe9ce62fe49</errorID>
      <errorWord>给子</errorWord>
      <group>L1_Word</group>
      <groupName>字词问题</groupName>
      <ability>L2_Typo</ability>
      <abilityName>字词错误</abilityName>
      <candidateList>
        <item>给予</item>
      </candidateList>
      <explain/>
      <paraID>657FCF95</paraID>
      <start>109</start>
      <end>111</end>
      <status>modified</status>
      <modifiedWord>给予</modifiedWord>
      <trackRevisions>false</trackRevisions>
    </reviewItem>
    <reviewItem>
      <errorID>2ba4aeee-ffbc-401d-bd53-79035ef9ceba</errorID>
      <errorWord>況</errorWord>
      <group>L1_Word</group>
      <groupName>字词问题</groupName>
      <ability>L2_Fanti</ability>
      <abilityName>繁转简</abilityName>
      <candidateList>
        <item>况</item>
      </candidateList>
      <explain/>
      <paraID>657FCF95</paraID>
      <start>142</start>
      <end>143</end>
      <status>modified</status>
      <modifiedWord>况</modifiedWord>
      <trackRevisions>false</trackRevisions>
    </reviewItem>
    <reviewItem>
      <errorID>f63a8cac-4d2e-46c6-840a-e6a23429eae7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78D7244F</paraID>
      <start>0</start>
      <end>2</end>
      <status>unmodified</status>
      <modifiedWord/>
      <trackRevisions>false</trackRevisions>
    </reviewItem>
    <reviewItem>
      <errorID>109f6f7d-a666-4d6e-bee4-bd77b04c6252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56607260</paraID>
      <start>0</start>
      <end>2</end>
      <status>unmodified</status>
      <modifiedWord/>
      <trackRevisions>false</trackRevisions>
    </reviewItem>
    <reviewItem>
      <errorID>fb630044-8d7a-434b-80ef-96dd0aa64c28</errorID>
      <errorWord>所有的</errorWord>
      <group>L1_Word</group>
      <groupName>字词问题</groupName>
      <ability>L2_Typo</ability>
      <abilityName>字词错误</abilityName>
      <candidateList>
        <item>所有</item>
      </candidateList>
      <explain/>
      <paraID>56607260</paraID>
      <start>33</start>
      <end>36</end>
      <status>unmodified</status>
      <modifiedWord/>
      <trackRevisions>false</trackRevisions>
    </reviewItem>
    <reviewItem>
      <errorID>6dfff122-c9f1-4422-a10d-ee6795363522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50CC3F09</paraID>
      <start>0</start>
      <end>2</end>
      <status>unmodified</status>
      <modifiedWord/>
      <trackRevisions>false</trackRevisions>
    </reviewItem>
    <reviewItem>
      <errorID>e6761841-87d0-4c8a-9ba1-4cc5f0705c76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3F50F280</paraID>
      <start>0</start>
      <end>2</end>
      <status>unmodified</status>
      <modifiedWord/>
      <trackRevisions>false</trackRevisions>
    </reviewItem>
    <reviewItem>
      <errorID>2cfa02b7-1d7d-47d1-ac37-65d45d5cf74c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6FE9D57D</paraID>
      <start>0</start>
      <end>2</end>
      <status>unmodified</status>
      <modifiedWord/>
      <trackRevisions>false</trackRevisions>
    </reviewItem>
    <reviewItem>
      <errorID>975e8fcd-654c-4188-862c-a795ef86e986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2D1729E1</paraID>
      <start>0</start>
      <end>2</end>
      <status>unmodified</status>
      <modifiedWord/>
      <trackRevisions>false</trackRevisions>
    </reviewItem>
    <reviewItem>
      <errorID>0263607e-9c38-4775-8669-0347262370e4</errorID>
      <errorWord>(</errorWord>
      <group>L1_Format</group>
      <groupName>格式问题</groupName>
      <ability>L2_HalfPunc_CN</ability>
      <abilityName>全半角问题</abilityName>
      <candidateList>
        <item>（</item>
      </candidateList>
      <explain>文本全半角错误。</explain>
      <paraID>42A5303D</paraID>
      <start>4</start>
      <end>5</end>
      <status>unmodified</status>
      <modifiedWord/>
      <trackRevisions>false</trackRevisions>
    </reviewItem>
    <reviewItem>
      <errorID>f1385c14-8b5f-400d-9259-f9b6fc923bef</errorID>
      <errorWord>)</errorWord>
      <group>L1_Format</group>
      <groupName>格式问题</groupName>
      <ability>L2_HalfPunc_CN</ability>
      <abilityName>全半角问题</abilityName>
      <candidateList>
        <item>）</item>
      </candidateList>
      <explain>文本全半角错误。</explain>
      <paraID>42A5303D</paraID>
      <start>7</start>
      <end>8</end>
      <status>unmodified</status>
      <modifiedWord/>
      <trackRevisions>false</trackRevisions>
    </reviewItem>
    <reviewItem>
      <errorID>257fc98a-87b8-4366-aaac-602fb3167cd6</errorID>
      <errorWord>(</errorWord>
      <group>L1_Format</group>
      <groupName>格式问题</groupName>
      <ability>L2_HalfPunc_CN</ability>
      <abilityName>全半角问题</abilityName>
      <candidateList>
        <item>（</item>
      </candidateList>
      <explain>文本全半角错误。</explain>
      <paraID>15F74542</paraID>
      <start>2</start>
      <end>3</end>
      <status>unmodified</status>
      <modifiedWord/>
      <trackRevisions>false</trackRevisions>
    </reviewItem>
    <reviewItem>
      <errorID>b482019c-43b5-4032-b43d-8b40d42bd459</errorID>
      <errorWord>)</errorWord>
      <group>L1_Format</group>
      <groupName>格式问题</groupName>
      <ability>L2_HalfPunc_CN</ability>
      <abilityName>全半角问题</abilityName>
      <candidateList>
        <item>）</item>
      </candidateList>
      <explain>文本全半角错误。</explain>
      <paraID>15F74542</paraID>
      <start>5</start>
      <end>6</end>
      <status>unmodified</status>
      <modifiedWord/>
      <trackRevisions>false</trackRevisions>
    </reviewItem>
    <reviewItem>
      <errorID>5b71d6fa-8660-44ea-8a06-8607f53d184d</errorID>
      <errorWord>:</errorWord>
      <group>L1_Format</group>
      <groupName>格式问题</groupName>
      <ability>L2_HalfPunc_CN</ability>
      <abilityName>全半角问题</abilityName>
      <candidateList>
        <item>：</item>
      </candidateList>
      <explain>文本全半角错误。</explain>
      <paraID>1E7FD91F</paraID>
      <start>2</start>
      <end>3</end>
      <status>unmodified</status>
      <modifiedWord/>
      <trackRevisions>false</trackRevisions>
    </reviewItem>
    <reviewItem>
      <errorID>44dab86a-bafa-4622-8755-d70f80f3cf4a</errorID>
      <errorWord>免费赠送</errorWord>
      <group>L1_Grammar</group>
      <groupName>语法问题</groupName>
      <ability>L2_Grammar</ability>
      <abilityName>语法错误</abilityName>
      <candidateList>
        <item>赠送</item>
      </candidateList>
      <explain>该表达中的“免费赠送”存在语义重复。【词汇解析】赠送：无偿地把东西送给别人。包含了“免费”的意思。</explain>
      <paraID> 9D64638</paraID>
      <start>14</start>
      <end>18</end>
      <status>unmodified</status>
      <modifiedWord/>
      <trackRevisions>false</trackRevisions>
    </reviewItem>
    <reviewItem>
      <errorID>1b1b8b53-88fc-4fc2-8ccc-c4a40d71a42a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57DE019E</paraID>
      <start>171</start>
      <end>172</end>
      <status>unmodified</status>
      <modifiedWord/>
      <trackRevisions>false</trackRevisions>
    </reviewItem>
    <reviewItem>
      <errorID>fda0674a-d505-4abf-8d4c-a3f44dd3e3af</errorID>
      <errorWord>[2022]3号</errorWord>
      <group>L1_Knowledge</group>
      <groupName>知识性问题</groupName>
      <ability>L2_Knowledge</ability>
      <abilityName>其他知识</abilityName>
      <candidateList>
        <item>〔2022〕3号</item>
      </candidateList>
      <explain>发文字号格式错误。</explain>
      <paraID>4E55D65D</paraID>
      <start>15</start>
      <end>23</end>
      <status>unmodified</status>
      <modifiedWord/>
      <trackRevisions>false</trackRevisions>
    </reviewItem>
    <reviewItem>
      <errorID>035bccc0-bc63-4dc7-b9cc-b002cdd2f02c</errorID>
      <errorWord>[2020]</errorWord>
      <group>L1_Punc</group>
      <groupName>标点问题</groupName>
      <ability>L2_Punc_CN</ability>
      <abilityName>标点符号问题</abilityName>
      <candidateList>
        <item>〔2020〕</item>
      </candidateList>
      <explain/>
      <paraID>72482758</paraID>
      <start>36</start>
      <end>42</end>
      <status>unmodified</status>
      <modifiedWord/>
      <trackRevisions>false</trackRevisions>
    </reviewItem>
    <reviewItem>
      <errorID>e1a0c090-e054-4546-ba6f-f5a104636c3a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262FCF0E</paraID>
      <start>28</start>
      <end>29</end>
      <status>unmodified</status>
      <modifiedWord/>
      <trackRevisions>false</trackRevisions>
    </reviewItem>
    <reviewItem>
      <errorID>e234fe71-f3db-4e58-ba83-9269b7349bc7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262FCF0E</paraID>
      <start>47</start>
      <end>48</end>
      <status>unmodified</status>
      <modifiedWord/>
      <trackRevisions>false</trackRevisions>
    </reviewItem>
    <reviewItem>
      <errorID>03200367-bcae-40d0-be9a-3d8cb893aba2</errorID>
      <errorWord>须</errorWord>
      <group>L1_Word</group>
      <groupName>字词问题</groupName>
      <ability>L2_Typo</ability>
      <abilityName>字词错误</abilityName>
      <candidateList>
        <item>需</item>
      </candidateList>
      <explain>存在发音相同字词的误用。</explain>
      <paraID>262FCF0E</paraID>
      <start>84</start>
      <end>85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21A4CD24-C997-4724-8972-A401E626B8C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橘子大大大</dc:creator>
  <cp:lastModifiedBy>冯旭</cp:lastModifiedBy>
  <cp:revision>13</cp:revision>
  <dcterms:created xsi:type="dcterms:W3CDTF">2024-07-02T02:28:00Z</dcterms:created>
  <dcterms:modified xsi:type="dcterms:W3CDTF">2026-09-29T04:55:40Z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eyJoZGlkIjoiOTBkOTkzMDM0ZDVhZjg4OWRkNDNjMTU1MjFjNWQ5OGQiLCJ1c2VySWQiOiIyNDYwMzIyNTkifQ==</vt:lpwstr>
  </property>
  <property fmtid="{D5CDD505-2E9C-101B-9397-08002B2CF9AE}" pid="3" name="KSOProductBuildVer">
    <vt:lpwstr>2052-12.1.0.28505</vt:lpwstr>
  </property>
  <property fmtid="{D5CDD505-2E9C-101B-9397-08002B2CF9AE}" pid="4" name="ICV">
    <vt:lpwstr>A7370240E3304D39B27BF3A72ADF63D9_13</vt:lpwstr>
  </property>
</Properties>
</file>