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16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lang w:eastAsia="zh-CN"/>
        </w:rPr>
        <w:t xml:space="preserve">JSZC-320500-HWZX-G2026-0642</w:t>
      </w:r>
      <w:r/>
    </w:p>
    <w:p>
      <w:pPr>
        <w:ind w:left="16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苏州科技大学</w:t>
      </w:r>
      <w:r/>
    </w:p>
    <w:p>
      <w:pPr>
        <w:ind w:left="1680"/>
        <w:spacing w:line="360" w:lineRule="auto"/>
        <w:rPr>
          <w:rFonts w:hint="eastAsia" w:ascii="宋体" w:hAnsi="宋体" w:eastAsia="宋体" w:cs="宋体"/>
          <w:b/>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w:t>
      </w:r>
      <w:r>
        <w:rPr>
          <w:rFonts w:hint="eastAsia" w:ascii="宋体" w:hAnsi="宋体" w:eastAsia="宋体" w:cs="宋体"/>
          <w:b/>
          <w:sz w:val="28"/>
          <w:highlight w:val="none"/>
          <w:lang w:eastAsia="zh-CN"/>
        </w:rPr>
        <w:t xml:space="preserve">苏州科技大学火灾自动报警系统</w:t>
      </w:r>
      <w:r/>
    </w:p>
    <w:p>
      <w:pPr>
        <w:ind w:left="16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pStyle w:val="772"/>
        <w:rPr>
          <w:rFonts w:hint="default"/>
          <w:highlight w:val="none"/>
        </w:rPr>
      </w:pPr>
      <w:r>
        <w:rPr>
          <w:rFonts w:hint="default"/>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rPr>
        <w:t xml:space="preserve">十</w:t>
      </w:r>
      <w:r>
        <w:rPr>
          <w:rFonts w:ascii="宋体" w:hAnsi="宋体" w:eastAsia="宋体" w:cs="宋体"/>
          <w:b/>
          <w:sz w:val="28"/>
          <w:highlight w:val="none"/>
        </w:rPr>
        <w:t xml:space="preserve">月</w:t>
      </w:r>
      <w:r/>
    </w:p>
    <w:p>
      <w:pPr>
        <w:jc w:val="center"/>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sectPr>
          <w:footerReference w:type="default" r:id="rId8"/>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highlight w:val="none"/>
        </w:rPr>
      </w: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79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636"/>
        <w:gridCol w:w="6684"/>
      </w:tblGrid>
      <w:tr>
        <w:trPr>
          <w:trHeight w:val="47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689"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689" w:type="pct"/>
            <w:vAlign w:val="center"/>
            <w:textDirection w:val="lrTb"/>
            <w:noWrap w:val="false"/>
          </w:tcPr>
          <w:p>
            <w:pPr>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苏州科技大学火灾自动报警系统</w:t>
            </w:r>
            <w:r/>
          </w:p>
        </w:tc>
      </w:tr>
      <w:tr>
        <w:trPr>
          <w:trHeight w:val="62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自合同签订之日起，60个日历日内供货到位/完成项目</w:t>
            </w:r>
            <w:r/>
          </w:p>
        </w:tc>
      </w:tr>
      <w:tr>
        <w:trPr>
          <w:trHeight w:val="405"/>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采购预算</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150万元</w:t>
            </w:r>
            <w:r/>
          </w:p>
        </w:tc>
      </w:tr>
      <w:tr>
        <w:trPr>
          <w:trHeight w:val="40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最高限价</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150万元</w:t>
            </w:r>
            <w:r/>
          </w:p>
        </w:tc>
      </w:tr>
      <w:tr>
        <w:trPr>
          <w:trHeight w:val="9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申请人的资格要求</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55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不接受进口产品投标</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不集中组织现场考察</w:t>
            </w:r>
            <w:r/>
          </w:p>
        </w:tc>
      </w:tr>
      <w:tr>
        <w:trPr>
          <w:trHeight w:val="1484"/>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投标文件份数</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中标后，</w:t>
            </w:r>
            <w:r>
              <w:rPr>
                <w:rFonts w:hint="eastAsia" w:ascii="宋体" w:hAnsi="宋体" w:eastAsia="宋体" w:cs="宋体"/>
                <w:sz w:val="24"/>
                <w:highlight w:val="none"/>
              </w:rPr>
              <w:t xml:space="preserve">需</w:t>
            </w:r>
            <w:r>
              <w:rPr>
                <w:rFonts w:ascii="宋体" w:hAnsi="宋体" w:eastAsia="宋体" w:cs="宋体"/>
                <w:sz w:val="24"/>
                <w:highlight w:val="none"/>
              </w:rPr>
              <w:t xml:space="preserve">提供纸质投标文件送至</w:t>
            </w:r>
            <w:r>
              <w:rPr>
                <w:rFonts w:hint="eastAsia" w:ascii="宋体" w:hAnsi="宋体" w:eastAsia="宋体" w:cs="宋体"/>
                <w:sz w:val="24"/>
                <w:highlight w:val="none"/>
              </w:rPr>
              <w:t xml:space="preserve">采购代理机构</w:t>
            </w:r>
            <w:r>
              <w:rPr>
                <w:rFonts w:ascii="宋体" w:hAnsi="宋体" w:eastAsia="宋体" w:cs="宋体"/>
                <w:sz w:val="24"/>
                <w:highlight w:val="none"/>
              </w:rPr>
              <w:t xml:space="preserve">。</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投标货币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人民币</w:t>
            </w:r>
            <w:r/>
          </w:p>
        </w:tc>
      </w:tr>
      <w:tr>
        <w:trPr>
          <w:trHeight w:val="62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合同方式</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固定总价合同</w:t>
            </w:r>
            <w:r/>
          </w:p>
        </w:tc>
      </w:tr>
      <w:tr>
        <w:trPr>
          <w:trHeight w:val="6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招标代理费</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本项目采购预算内含代理服务费，为优化采购资金使用效率，依据《政府采购代理机构管理暂行办法》（财库〔2018〕2号）第十五条规定，经采购人研究确定，本项目代理服务费由中标（成交）人支付，</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报价内须包含代理服务费，</w:t>
            </w:r>
            <w:r>
              <w:rPr>
                <w:rFonts w:hint="eastAsia" w:ascii="宋体" w:hAnsi="宋体" w:eastAsia="宋体" w:cs="宋体"/>
                <w:sz w:val="24"/>
                <w:highlight w:val="none"/>
              </w:rPr>
              <w:t xml:space="preserve">支付金额的收费标准为计价格〔2002〕1980号文差额累计法计算后4折计取。</w:t>
            </w:r>
            <w:r>
              <w:rPr>
                <w:rFonts w:ascii="宋体" w:hAnsi="宋体" w:eastAsia="宋体" w:cs="宋体"/>
                <w:sz w:val="24"/>
                <w:highlight w:val="none"/>
              </w:rPr>
              <w:t xml:space="preserve">确定收费标准的依据是</w:t>
            </w:r>
            <w:r>
              <w:rPr>
                <w:rFonts w:hint="eastAsia" w:ascii="宋体" w:hAnsi="宋体" w:eastAsia="宋体" w:cs="宋体"/>
                <w:sz w:val="24"/>
                <w:highlight w:val="none"/>
              </w:rPr>
              <w:t xml:space="preserve">计价格〔2002〕1980号</w:t>
            </w:r>
            <w:r>
              <w:rPr>
                <w:rFonts w:ascii="宋体" w:hAnsi="宋体" w:eastAsia="宋体" w:cs="宋体"/>
                <w:sz w:val="24"/>
                <w:highlight w:val="none"/>
              </w:rPr>
              <w:t xml:space="preserve">；收取方式：中标（成交）人在领取中标（成交）通知书前，一次性向采购代理机构足额支付；支付方式为银行转账。</w:t>
            </w:r>
            <w:r/>
          </w:p>
        </w:tc>
      </w:tr>
      <w:tr>
        <w:trPr>
          <w:trHeight w:val="71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投标保证金</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有效期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60日历天</w:t>
            </w:r>
            <w:r>
              <w:rPr>
                <w:rFonts w:ascii="宋体" w:hAnsi="宋体" w:eastAsia="宋体" w:cs="宋体"/>
                <w:sz w:val="24"/>
                <w:highlight w:val="none"/>
              </w:rPr>
              <w:t xml:space="preserve">（从投标截止之日算起）</w:t>
            </w:r>
            <w:r/>
          </w:p>
        </w:tc>
      </w:tr>
      <w:tr>
        <w:trPr>
          <w:trHeight w:val="564"/>
        </w:trPr>
        <w:tc>
          <w:tcPr>
            <w:shd w:val="clear" w:color="auto" w:fill="auto"/>
            <w:tcMar>
              <w:left w:w="108" w:type="dxa"/>
              <w:top w:w="0" w:type="dxa"/>
              <w:right w:w="108" w:type="dxa"/>
              <w:bottom w:w="0" w:type="dxa"/>
            </w:tcMar>
            <w:tcW w:w="406" w:type="pct"/>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投标截止时间</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lang w:eastAsia="zh-CN"/>
              </w:rPr>
              <w:t xml:space="preserve">2026年11月09日13时30分</w:t>
            </w:r>
            <w:r>
              <w:rPr>
                <w:rFonts w:hint="eastAsia" w:ascii="宋体" w:hAnsi="宋体" w:eastAsia="宋体" w:cs="宋体"/>
                <w:sz w:val="24"/>
                <w:highlight w:val="none"/>
                <w:u w:val="single"/>
              </w:rPr>
              <w:t xml:space="preserve">（北京时间）</w:t>
            </w:r>
            <w:r/>
          </w:p>
        </w:tc>
      </w:tr>
      <w:tr>
        <w:trPr>
          <w:trHeight w:val="399"/>
        </w:trPr>
        <w:tc>
          <w:tcPr>
            <w:shd w:val="clear" w:color="auto" w:fill="auto"/>
            <w:tcW w:w="406" w:type="pct"/>
            <w:vAlign w:val="center"/>
            <w:vMerge w:val="continue"/>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投标地点</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w:t>
            </w:r>
            <w:r/>
          </w:p>
        </w:tc>
      </w:tr>
      <w:tr>
        <w:trPr>
          <w:trHeight w:val="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开标时间和</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lang w:eastAsia="zh-CN"/>
              </w:rPr>
              <w:t xml:space="preserve">2026年11月09日13时30分</w:t>
            </w:r>
            <w:r>
              <w:rPr>
                <w:rFonts w:hint="eastAsia" w:ascii="宋体" w:hAnsi="宋体" w:eastAsia="宋体" w:cs="宋体"/>
                <w:sz w:val="24"/>
                <w:highlight w:val="none"/>
                <w:u w:val="single"/>
              </w:rPr>
              <w:t xml:space="preserve">（北京时间）</w:t>
            </w:r>
            <w:r/>
          </w:p>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评标办法</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综合评分法</w:t>
            </w:r>
            <w:r/>
          </w:p>
        </w:tc>
      </w:tr>
      <w:tr>
        <w:trPr>
          <w:trHeight w:val="48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定标办法</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w:t>
            </w:r>
            <w:r>
              <w:rPr>
                <w:rFonts w:ascii="宋体" w:hAnsi="宋体" w:eastAsia="宋体" w:cs="宋体"/>
                <w:sz w:val="24"/>
                <w:highlight w:val="none"/>
              </w:rPr>
              <w:t xml:space="preserve">授权评标委员会按照</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要求确定中标</w:t>
            </w:r>
            <w:r>
              <w:rPr>
                <w:rFonts w:hint="eastAsia" w:ascii="宋体" w:hAnsi="宋体" w:eastAsia="宋体" w:cs="宋体"/>
                <w:sz w:val="24"/>
                <w:highlight w:val="none"/>
              </w:rPr>
              <w:t xml:space="preserve">单位</w:t>
            </w:r>
            <w:r>
              <w:rPr>
                <w:rFonts w:ascii="宋体" w:hAnsi="宋体" w:eastAsia="宋体" w:cs="宋体"/>
                <w:sz w:val="24"/>
                <w:highlight w:val="none"/>
              </w:rPr>
              <w:t xml:space="preserve">。</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履约保证金</w:t>
            </w:r>
            <w:r/>
          </w:p>
        </w:tc>
        <w:tc>
          <w:tcPr>
            <w:tcMar>
              <w:left w:w="108" w:type="dxa"/>
              <w:top w:w="0" w:type="dxa"/>
              <w:right w:w="108" w:type="dxa"/>
              <w:bottom w:w="0" w:type="dxa"/>
            </w:tcMar>
            <w:tcW w:w="3689" w:type="pct"/>
            <w:vAlign w:val="center"/>
            <w:textDirection w:val="lrTb"/>
            <w:noWrap w:val="false"/>
          </w:tcPr>
          <w:p>
            <w:pPr>
              <w:rPr>
                <w:highlight w:val="none"/>
              </w:rPr>
            </w:pPr>
            <w:r>
              <w:rPr>
                <w:rFonts w:hint="eastAsia" w:ascii="宋体" w:hAnsi="宋体" w:eastAsia="宋体" w:cs="宋体"/>
                <w:sz w:val="24"/>
                <w:szCs w:val="24"/>
                <w:highlight w:val="none"/>
              </w:rPr>
              <w:t xml:space="preserve">不提交</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w:t>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质疑</w:t>
            </w:r>
            <w:r/>
          </w:p>
        </w:tc>
        <w:tc>
          <w:tcPr>
            <w:tcMar>
              <w:left w:w="108" w:type="dxa"/>
              <w:top w:w="0" w:type="dxa"/>
              <w:right w:w="108" w:type="dxa"/>
              <w:bottom w:w="0" w:type="dxa"/>
            </w:tcMar>
            <w:tcW w:w="3689" w:type="pct"/>
            <w:vAlign w:val="center"/>
            <w:textDirection w:val="lrTb"/>
            <w:noWrap w:val="false"/>
          </w:tcPr>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联系部门：江苏海外集团国际工程咨询有限公司</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通讯地址：苏州市高新区资管大厦8楼</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联系人：何磊、孙翠华</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联系方式：0512-65160659</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签订合同</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中标通知书发出之日起</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监督电话</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政府采购监督电话：</w:t>
            </w:r>
            <w:r>
              <w:rPr>
                <w:rFonts w:hint="eastAsia" w:ascii="宋体" w:hAnsi="宋体" w:eastAsia="宋体" w:cs="宋体"/>
                <w:sz w:val="24"/>
                <w:highlight w:val="none"/>
              </w:rPr>
              <w:t xml:space="preserve">025-83633058</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特别提醒</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本项目采用电子网上招投标。</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需要通过CA证书，使用政府采购客户端工具制作电子投标文件，并在提交投标文件上传截止时间之前对投标文件进行加密并上传；</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需携带加密文件的CA证书，在项目开启后，开始解密投标文件，请</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预留足够的解密时间。</w:t>
            </w:r>
            <w:r>
              <w:rPr>
                <w:rFonts w:hint="eastAsia" w:ascii="宋体" w:hAnsi="宋体" w:eastAsia="宋体" w:cs="宋体"/>
                <w:sz w:val="24"/>
                <w:highlight w:val="none"/>
              </w:rPr>
              <w:t xml:space="preserve">如在系统规定的解密时间内未能完成解密的视为放弃参与本项目。</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3.请供应商确保电脑、系统及其他设备（视频输入输出设备等）无误，且开启直至项目结束始终保持系统在线状态。</w:t>
            </w:r>
            <w:r/>
          </w:p>
        </w:tc>
      </w:tr>
    </w:tbl>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目录</w:t>
      </w:r>
      <w:r/>
    </w:p>
    <w:sdt>
      <w:sdtPr>
        <w15:appearance w15:val="boundingBox"/>
        <w15:color w:val="dbdbdb"/>
        <w:id w:val="147462682"/>
        <w:docPartObj>
          <w:docPartGallery w:val="Table of Contents"/>
          <w:docPartUnique w:val="true"/>
        </w:docPartObj>
        <w:rPr>
          <w:rFonts w:ascii="宋体" w:hAnsi="宋体" w:eastAsia="宋体"/>
          <w:highlight w:val="none"/>
        </w:rPr>
      </w:sdtPr>
      <w:sdtContent>
        <w:p>
          <w:pPr>
            <w:jc w:val="center"/>
            <w:rPr>
              <w:highlight w:val="none"/>
            </w:rPr>
          </w:pPr>
          <w:r>
            <w:rPr>
              <w:highlight w:val="none"/>
            </w:rPr>
          </w:r>
          <w:r/>
        </w:p>
        <w:p>
          <w:pPr>
            <w:pStyle w:val="779"/>
            <w:spacing w:after="0" w:line="480" w:lineRule="auto"/>
            <w:tabs>
              <w:tab w:val="right" w:pos="9355" w:leader="dot"/>
            </w:tabs>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highlight w:val="none"/>
            </w:rPr>
            <w:fldChar w:fldCharType="begin"/>
          </w:r>
          <w:r>
            <w:rPr>
              <w:highlight w:val="none"/>
            </w:rPr>
            <w:instrText xml:space="preserve"> HYPERLINK \l "_Toc13036" </w:instrText>
          </w:r>
          <w:r>
            <w:rPr>
              <w:highlight w:val="none"/>
            </w:rPr>
            <w:fldChar w:fldCharType="separate"/>
          </w:r>
          <w:r>
            <w:rPr>
              <w:rFonts w:hint="eastAsia" w:ascii="宋体" w:hAnsi="宋体" w:eastAsia="宋体" w:cs="宋体"/>
              <w:sz w:val="24"/>
              <w:szCs w:val="24"/>
              <w:highlight w:val="none"/>
            </w:rPr>
            <w:t xml:space="preserve">第一章 招标公告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_Toc13036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7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"_Toc22881" </w:instrText>
          </w:r>
          <w:r>
            <w:rPr>
              <w:highlight w:val="none"/>
            </w:rPr>
            <w:fldChar w:fldCharType="separate"/>
          </w:r>
          <w:r>
            <w:rPr>
              <w:rFonts w:hint="eastAsia" w:ascii="宋体" w:hAnsi="宋体" w:eastAsia="宋体" w:cs="宋体"/>
              <w:sz w:val="24"/>
              <w:szCs w:val="24"/>
              <w:highlight w:val="none"/>
            </w:rPr>
            <w:t xml:space="preserve">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_Toc22881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7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"_Toc8805" </w:instrText>
          </w:r>
          <w:r>
            <w:rPr>
              <w:highlight w:val="none"/>
            </w:rPr>
            <w:fldChar w:fldCharType="separate"/>
          </w:r>
          <w:r>
            <w:rPr>
              <w:rFonts w:hint="eastAsia" w:ascii="宋体" w:hAnsi="宋体" w:eastAsia="宋体" w:cs="宋体"/>
              <w:sz w:val="24"/>
              <w:szCs w:val="24"/>
              <w:highlight w:val="none"/>
            </w:rPr>
            <w:t xml:space="preserve">第三章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7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"_Toc9379" </w:instrText>
          </w:r>
          <w:r>
            <w:rPr>
              <w:highlight w:val="none"/>
            </w:rPr>
            <w:fldChar w:fldCharType="separate"/>
          </w:r>
          <w:r>
            <w:rPr>
              <w:rFonts w:hint="eastAsia" w:ascii="宋体" w:hAnsi="宋体" w:eastAsia="宋体" w:cs="宋体"/>
              <w:sz w:val="24"/>
              <w:szCs w:val="24"/>
              <w:highlight w:val="none"/>
            </w:rPr>
            <w:t xml:space="preserve">第四章 采购内容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_Toc9379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7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"_Toc3769" </w:instrText>
          </w:r>
          <w:r>
            <w:rPr>
              <w:highlight w:val="none"/>
            </w:rPr>
            <w:fldChar w:fldCharType="separate"/>
          </w:r>
          <w:r>
            <w:rPr>
              <w:rFonts w:hint="eastAsia" w:ascii="宋体" w:hAnsi="宋体" w:eastAsia="宋体" w:cs="宋体"/>
              <w:sz w:val="24"/>
              <w:szCs w:val="24"/>
              <w:highlight w:val="none"/>
            </w:rPr>
            <w:t xml:space="preserve">第五章 合同条款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_Toc3769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7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"_Toc9204" </w:instrText>
          </w:r>
          <w:r>
            <w:rPr>
              <w:highlight w:val="none"/>
            </w:rPr>
            <w:fldChar w:fldCharType="separate"/>
          </w:r>
          <w:r>
            <w:rPr>
              <w:rFonts w:hint="eastAsia" w:ascii="宋体" w:hAnsi="宋体" w:eastAsia="宋体" w:cs="宋体"/>
              <w:sz w:val="24"/>
              <w:szCs w:val="24"/>
              <w:highlight w:val="none"/>
            </w:rPr>
            <w:t xml:space="preserve">第六章 评标办法及标准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_Toc9204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61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480" w:lineRule="auto"/>
            <w:rPr>
              <w:highlight w:val="none"/>
            </w:rPr>
          </w:pPr>
          <w:r>
            <w:rPr>
              <w:rFonts w:hint="eastAsia" w:ascii="宋体" w:hAnsi="宋体" w:eastAsia="宋体" w:cs="宋体"/>
              <w:sz w:val="24"/>
              <w:szCs w:val="24"/>
              <w:highlight w:val="none"/>
            </w:rPr>
            <w:fldChar w:fldCharType="end"/>
          </w:r>
          <w:r/>
        </w:p>
      </w:sdtContent>
    </w:sdt>
    <w:p>
      <w:pPr>
        <w:rPr>
          <w:highlight w:val="none"/>
        </w:rP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highlight w:val="none"/>
        </w:rPr>
        <w:t xml:space="preserve">第一章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招标公告</w:t>
      </w:r>
      <w:bookmarkEnd w:id="0"/>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招标公告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项目概况</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lang w:eastAsia="zh-CN"/>
        </w:rPr>
        <w:t xml:space="preserve">苏州科技大学火灾自动报警系统</w:t>
      </w:r>
      <w:r>
        <w:rPr>
          <w:rFonts w:ascii="宋体" w:hAnsi="宋体" w:eastAsia="宋体" w:cs="宋体"/>
          <w:sz w:val="24"/>
          <w:szCs w:val="24"/>
          <w:highlight w:val="none"/>
        </w:rPr>
        <w:t xml:space="preserve">的潜在</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应在</w:t>
      </w:r>
      <w:r>
        <w:rPr>
          <w:rFonts w:ascii="宋体" w:hAnsi="宋体" w:eastAsia="宋体" w:cs="宋体"/>
          <w:sz w:val="24"/>
          <w:szCs w:val="24"/>
          <w:highlight w:val="none"/>
          <w:u w:val="single"/>
        </w:rPr>
        <w:t xml:space="preserve">“苏采云”系统</w:t>
      </w:r>
      <w:r>
        <w:rPr>
          <w:rFonts w:ascii="宋体" w:hAnsi="宋体" w:eastAsia="宋体" w:cs="宋体"/>
          <w:sz w:val="24"/>
          <w:szCs w:val="24"/>
          <w:highlight w:val="none"/>
        </w:rPr>
        <w:t xml:space="preserve">获取</w:t>
      </w:r>
      <w:r>
        <w:rPr>
          <w:rFonts w:hint="eastAsia" w:ascii="宋体" w:hAnsi="宋体" w:eastAsia="宋体" w:cs="宋体"/>
          <w:sz w:val="24"/>
          <w:szCs w:val="24"/>
          <w:highlight w:val="none"/>
        </w:rPr>
        <w:t xml:space="preserve">招标文件</w:t>
      </w:r>
      <w:r>
        <w:rPr>
          <w:rFonts w:ascii="宋体" w:hAnsi="宋体" w:eastAsia="宋体" w:cs="宋体"/>
          <w:sz w:val="24"/>
          <w:szCs w:val="24"/>
          <w:highlight w:val="none"/>
        </w:rPr>
        <w:t xml:space="preserve">，并于</w:t>
      </w:r>
      <w:r>
        <w:rPr>
          <w:rFonts w:hint="eastAsia" w:ascii="宋体" w:hAnsi="宋体" w:eastAsia="宋体" w:cs="宋体"/>
          <w:sz w:val="24"/>
          <w:szCs w:val="24"/>
          <w:highlight w:val="none"/>
          <w:u w:val="single"/>
          <w:lang w:eastAsia="zh-CN"/>
        </w:rPr>
        <w:t xml:space="preserve">2026年11月09日13时30分</w:t>
      </w:r>
      <w:r>
        <w:rPr>
          <w:rFonts w:ascii="宋体" w:hAnsi="宋体" w:eastAsia="宋体" w:cs="宋体"/>
          <w:sz w:val="24"/>
          <w:szCs w:val="24"/>
          <w:highlight w:val="none"/>
          <w:u w:val="single"/>
        </w:rPr>
        <w:t xml:space="preserve">（北京时间）</w:t>
      </w:r>
      <w:r>
        <w:rPr>
          <w:rFonts w:ascii="宋体" w:hAnsi="宋体" w:eastAsia="宋体" w:cs="宋体"/>
          <w:sz w:val="24"/>
          <w:szCs w:val="24"/>
          <w:highlight w:val="none"/>
        </w:rPr>
        <w:t xml:space="preserve">前递交投标文件。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一、项目基本情况</w:t>
      </w:r>
      <w:r/>
    </w:p>
    <w:p>
      <w:pPr>
        <w:ind w:firstLine="480"/>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JSZC-320500-HWZX-G2026-0642</w:t>
      </w:r>
      <w:r/>
    </w:p>
    <w:p>
      <w:pPr>
        <w:ind w:firstLine="480"/>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苏州科技大学火灾自动报警系统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预算金额：</w:t>
      </w:r>
      <w:r>
        <w:rPr>
          <w:rFonts w:hint="eastAsia" w:ascii="宋体" w:hAnsi="宋体" w:eastAsia="宋体" w:cs="宋体"/>
          <w:sz w:val="24"/>
          <w:szCs w:val="24"/>
          <w:highlight w:val="none"/>
        </w:rPr>
        <w:t xml:space="preserve">150万元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最高限价：</w:t>
      </w:r>
      <w:r>
        <w:rPr>
          <w:rFonts w:hint="eastAsia" w:ascii="宋体" w:hAnsi="宋体" w:eastAsia="宋体" w:cs="宋体"/>
          <w:sz w:val="24"/>
          <w:szCs w:val="24"/>
          <w:highlight w:val="none"/>
        </w:rPr>
        <w:t xml:space="preserve">150万元</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采购需求：对苏州科技大学人员密集场所安装独立式烟感探测报警器7156个。其中石湖校区3989个、江枫校区1486个、天平校区1681个。配套硬件。监控室智慧管理一体机（≥65寸）4台，</w:t>
      </w:r>
      <w:r>
        <w:rPr>
          <w:rFonts w:hint="eastAsia" w:ascii="宋体" w:hAnsi="宋体" w:eastAsia="宋体" w:cs="宋体"/>
          <w:color w:val="000000"/>
          <w:sz w:val="24"/>
          <w:szCs w:val="24"/>
          <w:highlight w:val="none"/>
          <w:lang w:bidi="ar"/>
        </w:rPr>
        <w:t xml:space="preserve">区域终端显示装置25套，</w:t>
      </w:r>
      <w:r>
        <w:rPr>
          <w:rFonts w:hint="eastAsia" w:ascii="宋体" w:hAnsi="宋体" w:eastAsia="宋体" w:cs="宋体"/>
          <w:sz w:val="24"/>
          <w:szCs w:val="24"/>
          <w:highlight w:val="none"/>
        </w:rPr>
        <w:t xml:space="preserve">区域管理终端设备8套，</w:t>
      </w:r>
      <w:r>
        <w:rPr>
          <w:rFonts w:hint="eastAsia" w:ascii="宋体" w:hAnsi="宋体" w:eastAsia="宋体" w:cs="宋体"/>
          <w:sz w:val="24"/>
          <w:szCs w:val="24"/>
          <w:highlight w:val="none"/>
          <w:lang w:val="en-US" w:eastAsia="zh-CN"/>
        </w:rPr>
        <w:t xml:space="preserve">详见招标文件“第四章 采购内容”。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合同履行期限：</w:t>
      </w:r>
      <w:r>
        <w:rPr>
          <w:rFonts w:hint="eastAsia" w:ascii="宋体" w:hAnsi="宋体" w:eastAsia="宋体" w:cs="宋体"/>
          <w:sz w:val="24"/>
          <w:szCs w:val="24"/>
          <w:highlight w:val="none"/>
        </w:rPr>
        <w:t xml:space="preserve">自合同签订之日起，60个日历日内供货到位/完成项目。</w:t>
      </w:r>
      <w:r/>
    </w:p>
    <w:p>
      <w:pPr>
        <w:pStyle w:val="772"/>
        <w:ind w:firstLine="480"/>
        <w:spacing w:line="360" w:lineRule="auto"/>
        <w:rPr>
          <w:rFonts w:hint="default" w:hAnsi="宋体" w:eastAsia="宋体" w:cs="宋体"/>
          <w:sz w:val="24"/>
          <w:szCs w:val="24"/>
          <w:highlight w:val="none"/>
        </w:rPr>
      </w:pPr>
      <w:r>
        <w:rPr>
          <w:rFonts w:hAnsi="宋体" w:eastAsia="宋体" w:cs="宋体"/>
          <w:sz w:val="24"/>
          <w:szCs w:val="24"/>
          <w:highlight w:val="none"/>
        </w:rPr>
        <w:t xml:space="preserve">本项目不接受联合体投标。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二、申请人的资格要求：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满足《中华人民共和国政府采购法》第二十二条规定</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1.1具有独立承担民事责任的能力；</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1.2具有良好的商业信誉和健全的财务会计制度；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1.3具有履行合同所必需的设备和专业技术能力；</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1.4具有依法缴纳税收和社会保障资金的良好记录；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1.5参加政府采购活动前三年内</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在经营活动中没有重大违法记录；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p>
    <w:p>
      <w:pPr>
        <w:ind w:firstLine="48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cs="宋体"/>
          <w:bCs/>
          <w:sz w:val="24"/>
          <w:highlight w:val="none"/>
        </w:rPr>
        <w:t xml:space="preserve">无。</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本项目的特定资格要求：无</w:t>
      </w:r>
      <w:r/>
    </w:p>
    <w:p>
      <w:pPr>
        <w:pStyle w:val="769"/>
        <w:ind w:left="0" w:right="0" w:firstLine="480"/>
        <w:rPr>
          <w:rFonts w:hint="default" w:ascii="宋体" w:hAnsi="宋体" w:eastAsia="宋体" w:cs="宋体"/>
          <w:sz w:val="24"/>
          <w:highlight w:val="none"/>
        </w:rPr>
      </w:pPr>
      <w:r>
        <w:rPr>
          <w:rFonts w:ascii="宋体" w:hAnsi="宋体" w:eastAsia="宋体" w:cs="宋体"/>
          <w:sz w:val="24"/>
          <w:highlight w:val="none"/>
        </w:rPr>
        <w:t xml:space="preserve">注：单位负责人为同一人或者存在直接控股、管理关系的不同供应商，不得参加同一合同项下的政府采购活动。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时间：自招标文件公告发布之日起5个工作日 </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方式：线上获取</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售价：</w:t>
      </w:r>
      <w:r>
        <w:rPr>
          <w:rFonts w:hint="eastAsia" w:ascii="宋体" w:hAnsi="宋体" w:eastAsia="宋体" w:cs="宋体"/>
          <w:sz w:val="24"/>
          <w:highlight w:val="none"/>
        </w:rPr>
        <w:t xml:space="preserve">0.00</w:t>
      </w:r>
      <w:r>
        <w:rPr>
          <w:rFonts w:ascii="宋体" w:hAnsi="宋体" w:eastAsia="宋体" w:cs="宋体"/>
          <w:sz w:val="24"/>
          <w:highlight w:val="none"/>
        </w:rPr>
        <w:t xml:space="preserve">元</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四、提交投标文件截止时间、开标时间和地点：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lang w:eastAsia="zh-CN"/>
        </w:rPr>
        <w:t xml:space="preserve">2026年11月09日13时30分</w:t>
      </w:r>
      <w:r>
        <w:rPr>
          <w:rFonts w:ascii="宋体" w:hAnsi="宋体" w:eastAsia="宋体" w:cs="宋体"/>
          <w:sz w:val="24"/>
          <w:highlight w:val="none"/>
        </w:rPr>
        <w:t xml:space="preserve">（北京时间）</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五、公告期限</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自本公告发布之日起</w:t>
      </w:r>
      <w:r>
        <w:rPr>
          <w:rFonts w:hint="eastAsia" w:ascii="宋体" w:hAnsi="宋体" w:eastAsia="宋体" w:cs="宋体"/>
          <w:sz w:val="24"/>
          <w:highlight w:val="none"/>
        </w:rPr>
        <w:t xml:space="preserve">5</w:t>
      </w:r>
      <w:r>
        <w:rPr>
          <w:rFonts w:ascii="宋体" w:hAnsi="宋体" w:eastAsia="宋体" w:cs="宋体"/>
          <w:sz w:val="24"/>
          <w:highlight w:val="none"/>
        </w:rPr>
        <w:t xml:space="preserve">个工作日。</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六、其他补充事项：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线上获取方式：</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（1）CA证书办理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苏州现场办理地址：苏州市高新区邓尉路105号狮山科技馆1楼服务大厅，咨询电话：0512-65737699。</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（2）参与采购活动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考虑到熟悉“苏采云”系统、办理CA证书都需要一定的时间，请提早准备以免耽误招标采购活动。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（3）电子投标准备</w:t>
      </w:r>
      <w:r/>
    </w:p>
    <w:p>
      <w:pPr>
        <w:ind w:firstLine="480"/>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highlight w:val="none"/>
        </w:rPr>
        <w:t xml:space="preserve">（具体详见《苏采云系统供应商操作手册》，网址链接https://czju.suzhou.gov.cn/zfcg/html/content/20231220161910031.shtml）。</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在系统操作过程中如有疑问，请按以下方式联系：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注册咨询：18261002950；</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CA技术咨询电话：400-608-6099；</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签章使用问题：025-83633811、025-83633812、15380932027、15371015030；</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系统使用指导与咨询：联系电话：18261002950；QQ：3048755361、1315179389、895706745。</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本项目获取招标文件截止日期之后仍可以下载招标文件，但截止日期之后下载的招标文件</w:t>
      </w:r>
      <w:r>
        <w:rPr>
          <w:rFonts w:hint="eastAsia" w:ascii="宋体" w:hAnsi="宋体" w:eastAsia="宋体" w:cs="宋体"/>
          <w:sz w:val="24"/>
          <w:highlight w:val="none"/>
        </w:rPr>
        <w:t xml:space="preserve">，</w:t>
      </w:r>
      <w:r>
        <w:rPr>
          <w:rFonts w:ascii="宋体" w:hAnsi="宋体" w:eastAsia="宋体" w:cs="宋体"/>
          <w:sz w:val="24"/>
          <w:highlight w:val="none"/>
        </w:rPr>
        <w:t xml:space="preserve">视为非有效方式且不作为供应商权益受到损害的证明材料和依据。</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rPr>
          <w:rFonts w:ascii="宋体" w:hAnsi="宋体" w:eastAsia="宋体" w:cs="宋体"/>
          <w:sz w:val="24"/>
          <w:highlight w:val="none"/>
        </w:rPr>
        <w:t xml:space="preserve">更正(补充)公告及附件的获取</w:t>
      </w:r>
      <w:r>
        <w:rPr>
          <w:rFonts w:hint="eastAsia" w:ascii="宋体" w:hAnsi="宋体" w:eastAsia="宋体" w:cs="宋体"/>
          <w:sz w:val="24"/>
          <w:highlight w:val="none"/>
        </w:rPr>
        <w:t xml:space="preserve">：</w:t>
      </w:r>
      <w:r>
        <w:rPr>
          <w:rFonts w:ascii="宋体" w:hAnsi="宋体" w:eastAsia="宋体" w:cs="宋体"/>
          <w:sz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政府采购监督管理电话：</w:t>
      </w:r>
      <w:r>
        <w:rPr>
          <w:rFonts w:hint="eastAsia" w:ascii="宋体" w:hAnsi="宋体" w:eastAsia="宋体" w:cs="宋体"/>
          <w:sz w:val="24"/>
          <w:highlight w:val="none"/>
        </w:rPr>
        <w:t xml:space="preserve">025-83633058</w:t>
      </w:r>
      <w:r>
        <w:rPr>
          <w:rFonts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w:t>
      </w:r>
      <w:r>
        <w:rPr>
          <w:rFonts w:hint="eastAsia" w:ascii="宋体" w:hAnsi="宋体" w:eastAsia="宋体" w:cs="宋体"/>
          <w:sz w:val="24"/>
          <w:highlight w:val="none"/>
        </w:rPr>
        <w:t xml:space="preserve">.</w:t>
      </w:r>
      <w:r>
        <w:rPr>
          <w:rFonts w:ascii="宋体" w:hAnsi="宋体" w:eastAsia="宋体" w:cs="宋体"/>
          <w:sz w:val="24"/>
          <w:highlight w:val="none"/>
        </w:rPr>
        <w:t xml:space="preserve">本次采购的有关信息将在苏州市政府采购网、江苏政府采购网、中国政府采购网上发布，敬请留意！</w:t>
      </w:r>
      <w:r/>
    </w:p>
    <w:p>
      <w:pPr>
        <w:ind w:firstLine="482"/>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七、对本次招标提出的询问，请按以下方式联系。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采购人信息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名称：</w:t>
      </w:r>
      <w:r>
        <w:rPr>
          <w:rFonts w:hint="eastAsia" w:ascii="宋体" w:hAnsi="宋体" w:eastAsia="宋体" w:cs="宋体"/>
          <w:sz w:val="24"/>
          <w:szCs w:val="24"/>
          <w:highlight w:val="none"/>
        </w:rPr>
        <w:t xml:space="preserve">苏州科技大学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虎丘区学府路99号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w:t>
      </w:r>
      <w:r>
        <w:rPr>
          <w:rFonts w:hint="eastAsia" w:ascii="宋体" w:hAnsi="宋体"/>
          <w:sz w:val="24"/>
          <w:highlight w:val="none"/>
        </w:rPr>
        <w:t xml:space="preserve">王老师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联系</w:t>
      </w:r>
      <w:r>
        <w:rPr>
          <w:rFonts w:hint="eastAsia" w:ascii="宋体" w:hAnsi="宋体" w:eastAsia="宋体" w:cs="宋体"/>
          <w:sz w:val="24"/>
          <w:szCs w:val="24"/>
          <w:highlight w:val="none"/>
        </w:rPr>
        <w:t xml:space="preserve">电话</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0512-69379123</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采购代理机构信息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江</w:t>
      </w:r>
      <w:r>
        <w:rPr>
          <w:rFonts w:hint="eastAsia" w:ascii="宋体" w:hAnsi="宋体" w:eastAsia="宋体" w:cs="宋体"/>
          <w:sz w:val="24"/>
          <w:szCs w:val="24"/>
          <w:highlight w:val="none"/>
        </w:rPr>
        <w:t xml:space="preserve">苏海外集团国际工程咨询有限公司</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苏州市高新区资管大厦8楼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联系人：何磊、章宏杰、孙翠华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联系电话：0512-65160659</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项目联系方式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项目联系人：</w:t>
      </w:r>
      <w:r>
        <w:rPr>
          <w:rFonts w:hint="eastAsia" w:ascii="宋体" w:hAnsi="宋体" w:eastAsia="宋体" w:cs="宋体"/>
          <w:sz w:val="24"/>
          <w:szCs w:val="24"/>
          <w:highlight w:val="none"/>
        </w:rPr>
        <w:t xml:space="preserve">何磊、孙翠华、章宏杰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电话：0512-</w:t>
      </w:r>
      <w:r>
        <w:rPr>
          <w:rFonts w:hint="eastAsia" w:ascii="宋体" w:hAnsi="宋体" w:eastAsia="宋体" w:cs="宋体"/>
          <w:sz w:val="24"/>
          <w:szCs w:val="24"/>
          <w:highlight w:val="none"/>
        </w:rPr>
        <w:t xml:space="preserve">65160659</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5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highlight w:val="none"/>
        </w:rPr>
        <w:t xml:space="preserve">第二章 </w:t>
      </w:r>
      <w:r>
        <w:rPr>
          <w:rFonts w:hint="eastAsia" w:ascii="宋体" w:hAnsi="宋体" w:eastAsia="宋体" w:cs="宋体"/>
          <w:b/>
          <w:sz w:val="44"/>
          <w:highlight w:val="none"/>
        </w:rPr>
        <w:t xml:space="preserve">供应商</w:t>
      </w:r>
      <w:r>
        <w:rPr>
          <w:rFonts w:ascii="宋体" w:hAnsi="宋体" w:eastAsia="宋体" w:cs="宋体"/>
          <w:b/>
          <w:sz w:val="44"/>
          <w:highlight w:val="none"/>
        </w:rPr>
        <w:t xml:space="preserve">须知</w:t>
      </w:r>
      <w:bookmarkEnd w:id="1"/>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一、说明和释义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1.2本次招标活动及因本次招标产生的合同受中国法律制约和保护。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1.3本招标文件的解释权属于江苏海外集团国际工程咨询有限公司。</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2.词语释义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2.1采购人：指依法进行政府采购的国家机关、事业单位、团体组织。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2.2供应商：指向采购人提供货物、工程或服务的法人、其他组织或者自然人。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2.3投标人：指参加政府采购货物服务投标活动的供应商。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2.9天：日历日。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2.10交货地点：合同中明确约定的乙方提交的货物最终地点。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2.13进口产品：通过中国海关报关验放进入中国境内且产自关境外的产品。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3.合格供应商的基本条件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4.合格供应商的落实政府采购政策资格要求、特定资格条件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5.供应商必须进入苏采云系统进行网上报名，否则不能参加本次招标活动。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6.供应商代表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7.联合投标（本项目不接受联合体投标）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7.3联合体各成员之间签订的联合体协议书应与投标文件一起递交。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7.6除非另有规定或说明，本文中“供应商”一词亦指联合体各成员。</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8.投标费用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三、招标文件说明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9.招标文件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9.2招标文件及其更正文件不是直接从法定渠道获得的，招标采购单位对招标文件及其补遗的真实性、完整性不承担任何责任。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10.现场考察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11.投标答疑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12.招标文件的澄清和修改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四、投标文件说明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13.投标文件计量单位和使用文字</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14.知识产权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15.投标文件的组成</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基本目录：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15.1封面</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15.2法定代表人授权委托书（如有授权）；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15.4供应商基本情况表；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15.5拟用于本项目人员名单；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15.6企业类似业绩一览表；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15.7针对本次项目的设备供货安装实施方案</w:t>
      </w:r>
      <w:r>
        <w:rPr>
          <w:rFonts w:hint="eastAsia" w:ascii="宋体" w:hAnsi="宋体" w:eastAsia="宋体" w:cs="宋体"/>
          <w:spacing w:val="-3"/>
          <w:sz w:val="24"/>
          <w:szCs w:val="24"/>
          <w:highlight w:val="none"/>
          <w:lang w:val="en-US" w:eastAsia="zh-CN"/>
        </w:rPr>
        <w:t xml:space="preserve">以及相关服务方案</w:t>
      </w:r>
      <w:r>
        <w:rPr>
          <w:rFonts w:hint="eastAsia" w:ascii="宋体" w:hAnsi="宋体" w:eastAsia="宋体" w:cs="宋体"/>
          <w:spacing w:val="-3"/>
          <w:sz w:val="24"/>
          <w:szCs w:val="24"/>
          <w:highlight w:val="none"/>
        </w:rPr>
        <w:t xml:space="preserve">；</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15.8产品质量承诺；</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15.10满足“节能产品和环境标志产品”政策规定的证明（如属于）；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15.11招标文件规定提交的其他相关材料（如有）。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资格条件：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15.13供应商《营业执照》副本扫描件；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15.14供应商具有良好的商业信誉和健全的财务会计制度证明：提供</w:t>
      </w:r>
      <w:r>
        <w:rPr>
          <w:rFonts w:ascii="宋体" w:hAnsi="宋体" w:eastAsia="宋体" w:cs="宋体"/>
          <w:spacing w:val="-3"/>
          <w:sz w:val="24"/>
          <w:szCs w:val="24"/>
          <w:highlight w:val="none"/>
        </w:rPr>
        <w:t xml:space="preserve">包括但不限于</w:t>
      </w:r>
      <w:r>
        <w:rPr>
          <w:rFonts w:hint="eastAsia" w:ascii="宋体" w:hAnsi="宋体" w:eastAsia="宋体" w:cs="宋体"/>
          <w:spacing w:val="-3"/>
          <w:sz w:val="24"/>
          <w:szCs w:val="24"/>
          <w:highlight w:val="none"/>
        </w:rPr>
        <w:t xml:space="preserve">最近一期经审计的财务报告，其他组织、自然人及成立未满一年的法人应提供银行出具的资信证明。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15.16供应商具备履行合同所必需的设备和专业技术能力：提供证明材料或承诺函（格式自拟）；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15.17供应商参加政府采购活动前三年内，在经营活动中没有重大违法记录：提供书面声明函（格式自拟）；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15.18</w:t>
      </w:r>
      <w:r>
        <w:rPr>
          <w:rFonts w:ascii="宋体" w:hAnsi="宋体" w:eastAsia="宋体" w:cs="宋体"/>
          <w:spacing w:val="-3"/>
          <w:sz w:val="24"/>
          <w:szCs w:val="24"/>
          <w:highlight w:val="none"/>
        </w:rPr>
        <w:t xml:space="preserve">本项目其它有关资格证明文件</w:t>
      </w:r>
      <w:r>
        <w:rPr>
          <w:rFonts w:hint="eastAsia" w:ascii="宋体" w:hAnsi="宋体" w:eastAsia="宋体" w:cs="宋体"/>
          <w:spacing w:val="-3"/>
          <w:sz w:val="24"/>
          <w:szCs w:val="24"/>
          <w:highlight w:val="none"/>
        </w:rPr>
        <w:t xml:space="preserve">（如有）。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符合条件：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15.19投标函（详见投标文件格式）；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15.20《开标一览表》(统一格式，用于唱标)；</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15.21货物清单表（含投标货物名称、数量、材质、规格、品牌型号、性能、技术指标说明与描述、质量要求等）；</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15.22技术规格偏离表和商务条款偏离表（详见投标文件格式）；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15.23供应商对招标文件其他符合性条款的响应情况（如有）。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综合评审评分项：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15.24招标文件评分标准中规定提交的相关材料。</w:t>
      </w:r>
      <w:r/>
    </w:p>
    <w:p>
      <w:pPr>
        <w:ind w:firstLine="468"/>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highlight w:val="none"/>
        </w:rPr>
        <w:t xml:space="preserve">价格折扣文件：</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15.25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pStyle w:val="772"/>
        <w:ind w:firstLine="468"/>
        <w:spacing w:line="360" w:lineRule="auto"/>
        <w:rPr>
          <w:rFonts w:hint="default" w:eastAsia="宋体"/>
          <w:highlight w:val="none"/>
        </w:rPr>
      </w:pPr>
      <w:r>
        <w:rPr>
          <w:rFonts w:hAnsi="宋体" w:eastAsia="宋体" w:cs="宋体"/>
          <w:spacing w:val="-3"/>
          <w:sz w:val="24"/>
          <w:szCs w:val="24"/>
          <w:highlight w:val="none"/>
        </w:rPr>
        <w:t xml:space="preserve">15.26关于符合本国产品标准的声明函。</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rPr>
          <w:rFonts w:hint="eastAsia" w:ascii="宋体" w:hAnsi="宋体" w:eastAsia="宋体" w:cs="宋体"/>
          <w:b/>
          <w:sz w:val="24"/>
          <w:szCs w:val="24"/>
          <w:highlight w:val="none"/>
        </w:rPr>
        <w:t xml:space="preserve">供应商应完整提交上述资料，</w:t>
      </w:r>
      <w:r>
        <w:rPr>
          <w:rFonts w:hint="eastAsia" w:ascii="宋体" w:hAnsi="宋体" w:eastAsia="宋体"/>
          <w:b/>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highlight w:val="none"/>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16.投标文件编制要求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投标文件未按照招标文件要求加盖CA电子公章的，投标无效。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第二步；在投标（响应）文件中，由联合体中的牵头人制作投标（响应）文件。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16.3《开标一览表》为在开标仪式上唱标的内容，要求按格式填写，统一规范，不得自行增减内容。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17.投标报价（编制）要求的说明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供应商对《开标一览表》中的全部货物和服务的报价应包括所有货物的供货、辅助材料、人工、运输、检验、送货、保险、装卸、仓储、代理服务费、保管、各种税费及其他伴随服务等一切必须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w:t>
      </w:r>
      <w:r>
        <w:rPr>
          <w:rFonts w:hint="eastAsia" w:ascii="宋体" w:hAnsi="宋体" w:eastAsia="宋体" w:cs="宋体"/>
          <w:b/>
          <w:sz w:val="24"/>
          <w:szCs w:val="24"/>
          <w:highlight w:val="none"/>
        </w:rPr>
        <w:t xml:space="preserve">最低报价不能作为中标的保证</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w:t>
      </w:r>
      <w:r>
        <w:rPr>
          <w:rFonts w:hint="eastAsia" w:ascii="宋体" w:hAnsi="宋体" w:eastAsia="宋体" w:cs="宋体"/>
          <w:b/>
          <w:sz w:val="24"/>
          <w:szCs w:val="24"/>
          <w:highlight w:val="none"/>
        </w:rPr>
        <w:t xml:space="preserve">投标保证金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19.投标文件的有效期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五、投标文件的递交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20.投标截止时间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20.3在投标截止时间以后送达的投标文件，招标采购单位拒绝接收。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20.5电子投标文件必须在电子投标文件上传截止时间前完成投标文件上传。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20.6.投标文件的修改和撤回</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六、开标和评标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21.开标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21.8至投标文件提交截止时间，递交投标文件的供应商不足三家的，不得开标。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21.9供应商未参加开标的，视同认可开标结果。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22.资格审查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23.评标工作的组织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23.2宣布评标纪律；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23.3公布供应商名单，告知评审专家应当回避的情形；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24.评标委员会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24.1评标委员会由招标采购单位依法组建，负责本项目的评标事务。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24.2评标委员会独立履行下列职责：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24.2.1审查、评价投标文件是否符合招标文件的商务、技术等实质性要求；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24.2.2要求供应商对投标文件有关事项作出澄清或者说明；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24.2.3对投标文件进行比较和评价；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24.2.4确定中标候选人名单，以及根据采购人委托直接确定中标人；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24.2.5向采购人、采购代理机构或者有关部门报告评标中发现的违法行为。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24.3评标委员会成员应当履行下列义务：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24.3.1遵纪守法，客观、公正、廉洁地履行职责；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24.3.3对评标过程和结果，以及供应商的商业秘密保密；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24.3.4参与评标报告的起草；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24.3.5配合相关部门的投诉处理工作；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24.3.6配合招标采购单位答复投标供应商提出的质疑。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25.评标内容的保密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25.3在评标期间，招标采购单位将通过指定联络人与供应商进行联系。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1）投标文件存在招标文件供应商须知第29款“无效投标”规定情形的；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2）投标文件载明的有效期短于招标文件规定；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3）投标文件载明的交货期限不满足招标文件规定；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4）投标文件载明的免费质保期限不满足招标文件规定；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5）投标文件载明的履约保证、付款方式不满足招标文件规定；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8）不同供应商的投标文件存在“视为串通投标”的情形；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9）供应商的报价存在选择性的；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10）供应商的报价或响应只响应了项目中部分招标内容；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11）供应商拒绝修正错误影响评标的；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12）投标文件不符合招标文件规定的其他实质性条款；</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13）不同投标文件存在“机器码”一致情形；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14）投标文件存在招标文件规定的其他无效投标情形的。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27.投标澄清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27.2本项目采用线上澄清。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28.投标报价评审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29.无效投标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供应商存在下列情况之一的，投标无效: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29.3报价超过招标文件中规定的预算金额或者最高限价的；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29.6供应商未对电子投标文件进行解密或解密失败的。</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30.废标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30.1在招标采购中，出现下列情形之一的，应予废标：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30.1.3供应商的报价均超过了采购预算或者最高限价的，采购人不能支付的；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30.2废标后，采购人应当将废标理由通知所有供应商。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31.投标文件的评价和比较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31.3最低的投标报价或最高的折扣比例是中标的重要条件，但不是唯一条件。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七、授予合同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32.中标供应商的确认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32.1</w:t>
      </w:r>
      <w:r>
        <w:rPr>
          <w:rFonts w:hint="eastAsia" w:ascii="宋体" w:hAnsi="宋体" w:eastAsia="宋体" w:cs="宋体"/>
          <w:sz w:val="24"/>
          <w:szCs w:val="24"/>
          <w:highlight w:val="none"/>
          <w:shd w:val="clear" w:color="auto" w:fill="ffffff"/>
        </w:rPr>
        <w:t xml:space="preserve">评标委员会根据供应商资格审查情况，以及对投标（响应）文件进行评价和比较，按照评标办法和标准进行评标，并根据采购人的委托，按照中标候选人的顺序在中标候选人中直接确定中标人</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32.2</w:t>
      </w:r>
      <w:r>
        <w:rPr>
          <w:rFonts w:hint="eastAsia" w:ascii="宋体" w:hAnsi="宋体" w:eastAsia="宋体" w:cs="宋体"/>
          <w:sz w:val="24"/>
          <w:szCs w:val="24"/>
          <w:highlight w:val="none"/>
          <w:shd w:val="clear" w:color="auto" w:fill="ffffff"/>
        </w:rPr>
        <w:t xml:space="preserve">经</w:t>
      </w:r>
      <w:r>
        <w:rPr>
          <w:rFonts w:hint="eastAsia" w:ascii="宋体" w:hAnsi="宋体" w:eastAsia="宋体" w:cs="宋体"/>
          <w:sz w:val="24"/>
          <w:szCs w:val="24"/>
          <w:highlight w:val="none"/>
          <w:shd w:val="clear" w:color="auto" w:fill="ffffff"/>
        </w:rPr>
        <w:t xml:space="preserve">评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rPr>
          <w:rFonts w:hint="eastAsia" w:ascii="宋体" w:hAnsi="宋体" w:eastAsia="宋体" w:cs="宋体"/>
          <w:sz w:val="24"/>
          <w:szCs w:val="24"/>
          <w:highlight w:val="none"/>
          <w:shd w:val="clear" w:color="auto" w:fill="ffffff"/>
          <w:lang w:eastAsia="zh-CN"/>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32.3本项目中标供应商数量：1个。</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33.合同授予标准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34.中标通知书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34.2中标通知书将成为合同的组成部分。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35.告知招标结果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35.1对未通过资格审查的供应商，告知其未通过的原因。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35.2在发放中标通知书的同时，向参与项目评审的未中标供应商发放未中标通知书，告知其评审得分与排名。告知方式为电子邮件，接收方式以供应商投标文件中《投标书》所列电子邮件为准。未中标供应商未按约定的时间和方式获取告知信息的，视为自动放弃并自行承担相应后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36.履约保证金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36.1详见前附表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如有）将不予退还。转包或分包造成招标人损失的，中标单位应承担相应赔偿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37.合同的签订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37.2签订合同及合同条款应以招标文件和中标供应商的投标文件及其澄清文件为依据。</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八、其他事项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38.招标代理服务费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38.1中标供应商须按前附表的规定，支付招标代理服务费，该费用应在领取中标通知书时付清。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38.2中标供应商如果未按规定支付招标代理服务费，招标采购单位将不予退还其投标保证金（如有），并保留诉讼的权利。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39.监督和公证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39.1政府有关监督部门将对招投标全过程进行监督。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39.2招标人的开标、评标过程将通过公证机关进行公证（如有）。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40.政府采购政策</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本项目非专门面向中小企业。</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40.1</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其中，供应商提供的货物既有中小企业制造货物，也有大型企业制造货物的，不享受中小企业扶持政策。</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40.2促进残疾人就业和支持监狱企业发展有关政策：</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sz w:val="24"/>
          <w:highlight w:val="none"/>
        </w:rPr>
        <w:t xml:space="preserve">。</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b/>
          <w:sz w:val="24"/>
          <w:szCs w:val="24"/>
          <w:highlight w:val="none"/>
        </w:rPr>
      </w:pPr>
      <w:r>
        <w:rPr>
          <w:rFonts w:hint="eastAsia" w:ascii="宋体" w:hAnsi="宋体"/>
          <w:sz w:val="24"/>
          <w:highlight w:val="none"/>
        </w:rPr>
        <w:t xml:space="preserve">价格的折扣：</w:t>
      </w:r>
      <w:r>
        <w:rPr>
          <w:rFonts w:hint="eastAsia" w:ascii="宋体" w:hAnsi="宋体"/>
          <w:b/>
          <w:bCs/>
          <w:sz w:val="24"/>
          <w:highlight w:val="none"/>
        </w:rPr>
        <w:t xml:space="preserve">如供应商属于小型或微型企业，对小型和微型企业产品或服务的价格给予10%的扣除，用扣除后的价格参与评审。</w:t>
      </w:r>
      <w:r/>
    </w:p>
    <w:p>
      <w:pPr>
        <w:pStyle w:val="772"/>
        <w:ind w:firstLine="480"/>
        <w:spacing w:line="360" w:lineRule="auto"/>
        <w:rPr>
          <w:rFonts w:hint="default"/>
          <w:highlight w:val="none"/>
        </w:rPr>
      </w:pPr>
      <w:r>
        <w:rPr>
          <w:rFonts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40.3信用记录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40.3.1查询截止时点：投标文件递交截止时间。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40.3.2查询渠道：</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40.3.3查询证据留存方式：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40.3.4信用记录使用规则：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40.4招标文件的质疑、澄清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（1）供应商的姓名或者名称、地址、邮编、联系人及联系电话；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（2）质疑项目的名称、编号；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（3）具体、明确的质疑事项和与质疑事项相关的请求；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（4）事实依据；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（5）必要的法律依据；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（6）提出质疑的日期。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（7）质疑联系方式详见采购公告。</w:t>
      </w:r>
      <w:r/>
    </w:p>
    <w:p>
      <w:pPr>
        <w:ind w:firstLine="482"/>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（1）政府采购节能产品、环境标志产品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41.</w:t>
      </w:r>
      <w:r>
        <w:rPr>
          <w:rFonts w:hint="eastAsia" w:ascii="宋体" w:hAnsi="宋体" w:eastAsia="宋体" w:cs="宋体"/>
          <w:b/>
          <w:bCs/>
          <w:sz w:val="24"/>
          <w:highlight w:val="none"/>
        </w:rPr>
        <w:t xml:space="preserve">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根据《国务院办公厅关于在政府采购中实施本国产品标准及相关政策的通知》的相关规定在政府采购活动中，本国产品标准及相关政策如下：</w:t>
      </w:r>
      <w:r/>
    </w:p>
    <w:p>
      <w:pPr>
        <w:pStyle w:val="787"/>
        <w:ind w:firstLine="482"/>
        <w:spacing w:before="0" w:beforeAutospacing="0" w:after="0" w:afterAutospacing="0" w:line="360" w:lineRule="auto"/>
        <w:rPr>
          <w:rFonts w:ascii="宋体" w:hAnsi="宋体" w:eastAsia="宋体" w:cs="宋体"/>
          <w:szCs w:val="24"/>
          <w:highlight w:val="none"/>
        </w:rPr>
      </w:pPr>
      <w:r>
        <w:rPr>
          <w:rStyle w:val="793"/>
          <w:rFonts w:hint="eastAsia" w:ascii="宋体" w:hAnsi="宋体" w:eastAsia="宋体" w:cs="宋体"/>
          <w:szCs w:val="24"/>
          <w:highlight w:val="none"/>
          <w:shd w:val="clear" w:color="auto" w:fill="ffffff"/>
        </w:rPr>
        <w:t xml:space="preserve">一、本国产品标准</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本国产品应当符合以下条件：</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（一）在中国境内生产</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产品应当在中国境内生产，即在中华人民共和国关境内实现从原材料、组件到产品的属性改变。</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1.为确保产品在运输或者储存期间保持某种状态而进行的操作；</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2.为产品运输或者销售进行的包装或者展示；</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3.在产品或者其包装上粘贴或者印刷品牌、标志、标识以及其他用于区别的标记；</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4.简单的上漆、磨光和分装；</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5.其他不属于属性改变的情形。</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（二）在中国境内生产的组件成本占比达到规定比例</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产品在中国境内生产的组件成本占比应当达到规定比例，计算公式为：</w:t>
      </w:r>
      <w:r/>
    </w:p>
    <w:p>
      <w:pPr>
        <w:pStyle w:val="787"/>
        <w:jc w:val="center"/>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3">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3" o:title=""/>
              </v:shape>
            </w:pict>
          </mc:Fallback>
        </mc:AlternateContent>
      </w:r>
      <w:r/>
    </w:p>
    <w:p>
      <w:pPr>
        <w:pStyle w:val="78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szCs w:val="24"/>
          <w:highlight w:val="none"/>
          <w:shd w:val="clear" w:color="auto" w:fill="ffffff"/>
        </w:rPr>
        <w:t xml:space="preserve">（一）</w:t>
      </w:r>
      <w:r>
        <w:rPr>
          <w:rFonts w:hint="eastAsia" w:ascii="宋体" w:hAnsi="宋体" w:eastAsia="宋体" w:cs="宋体"/>
          <w:b/>
          <w:bCs/>
          <w:szCs w:val="24"/>
          <w:highlight w:val="none"/>
          <w:shd w:val="clear" w:color="auto" w:fill="ffffff"/>
        </w:rPr>
        <w:t xml:space="preserve">项条件的产品在政府采购活动中视同本国产品。</w:t>
      </w:r>
      <w:r/>
    </w:p>
    <w:p>
      <w:pPr>
        <w:pStyle w:val="78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（三）特定产品的关键组件、关键工序符合相关要求</w:t>
      </w:r>
      <w:r/>
    </w:p>
    <w:p>
      <w:pPr>
        <w:pStyle w:val="787"/>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对特定产品，在符合本通知第一条第</w:t>
      </w:r>
      <w:r>
        <w:rPr>
          <w:rFonts w:ascii="宋体" w:hAnsi="宋体" w:eastAsia="宋体" w:cs="宋体"/>
          <w:szCs w:val="24"/>
          <w:highlight w:val="none"/>
          <w:shd w:val="clear" w:color="auto" w:fill="ffffff"/>
        </w:rPr>
        <w:t xml:space="preserve">（一）</w:t>
      </w:r>
      <w:r>
        <w:rPr>
          <w:rFonts w:hint="eastAsia" w:ascii="宋体" w:hAnsi="宋体" w:eastAsia="宋体" w:cs="宋体"/>
          <w:szCs w:val="24"/>
          <w:highlight w:val="none"/>
          <w:shd w:val="clear" w:color="auto" w:fill="ffffff"/>
        </w:rPr>
        <w:t xml:space="preserve">项和第</w:t>
      </w:r>
      <w:r>
        <w:rPr>
          <w:rFonts w:ascii="宋体" w:hAnsi="宋体" w:eastAsia="宋体" w:cs="宋体"/>
          <w:szCs w:val="24"/>
          <w:highlight w:val="none"/>
          <w:shd w:val="clear" w:color="auto" w:fill="ffffff"/>
        </w:rPr>
        <w:t xml:space="preserve">（二）</w:t>
      </w:r>
      <w:r>
        <w:rPr>
          <w:rFonts w:hint="eastAsia" w:ascii="宋体" w:hAnsi="宋体" w:eastAsia="宋体" w:cs="宋体"/>
          <w:szCs w:val="24"/>
          <w:highlight w:val="none"/>
          <w:shd w:val="clear" w:color="auto" w:fill="ffffff"/>
        </w:rPr>
        <w:t xml:space="preserve">项条件的基础上，应当符合财政部会同有关行业主管部门确定的其关键组件、关键工序在中国境内生产、完成等要求。</w:t>
      </w:r>
      <w:r/>
    </w:p>
    <w:p>
      <w:pPr>
        <w:pStyle w:val="787"/>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注：产品在中国境内生产的组件成本核算规则。产品在中国境内生产的组件成本，按照《中国境内生产的组件成本核算基本规则》计算。</w:t>
      </w:r>
      <w:r/>
    </w:p>
    <w:p>
      <w:pPr>
        <w:pStyle w:val="787"/>
        <w:jc w:val="center"/>
        <w:spacing w:before="20" w:beforeAutospacing="0" w:after="20" w:afterAutospacing="0" w:line="320" w:lineRule="atLeast"/>
        <w:rPr>
          <w:rFonts w:ascii="宋体" w:hAnsi="宋体" w:eastAsia="宋体" w:cs="宋体"/>
          <w:sz w:val="16"/>
          <w:szCs w:val="16"/>
          <w:highlight w:val="none"/>
        </w:rPr>
      </w:pPr>
      <w:r>
        <w:rPr>
          <w:rStyle w:val="793"/>
          <w:rFonts w:hint="eastAsia" w:ascii="宋体" w:hAnsi="宋体" w:eastAsia="宋体" w:cs="宋体"/>
          <w:szCs w:val="24"/>
          <w:highlight w:val="none"/>
          <w:shd w:val="clear" w:color="auto" w:fill="ffffff"/>
        </w:rPr>
        <w:t xml:space="preserve">中国境内生产的组件成本核算基本规则</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1.产品的一级组件是指直接组成产品的组件。产品的二级组件是指直接组成产品一级组件的组件。一级组件不可分解的，视同二级组件。</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2.二级组件在中国境内生产的，其全部成本计入中国境内生产的组件成本；二级组件不在中国境内生产的，其成本不计入中国境内生产的组件成本。</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3.产品总成本和组件成本以相关会计核算数据、采购合同、进货记录等为基础进行计算。</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4.需要对成本核算规则予以进一步明确的其他有关事项，由财政部会同有关部门另行规定。</w:t>
      </w:r>
      <w:r/>
    </w:p>
    <w:p>
      <w:pPr>
        <w:pStyle w:val="787"/>
        <w:ind w:firstLine="482"/>
        <w:spacing w:before="0" w:beforeAutospacing="0" w:after="0" w:afterAutospacing="0" w:line="360" w:lineRule="auto"/>
        <w:rPr>
          <w:rFonts w:ascii="宋体" w:hAnsi="宋体" w:eastAsia="宋体" w:cs="宋体"/>
          <w:szCs w:val="24"/>
          <w:highlight w:val="none"/>
        </w:rPr>
      </w:pPr>
      <w:r>
        <w:rPr>
          <w:rStyle w:val="793"/>
          <w:rFonts w:hint="eastAsia" w:ascii="宋体" w:hAnsi="宋体" w:eastAsia="宋体" w:cs="宋体"/>
          <w:szCs w:val="24"/>
          <w:highlight w:val="none"/>
          <w:shd w:val="clear" w:color="auto" w:fill="ffffff"/>
        </w:rPr>
        <w:t xml:space="preserve">二、本国产品标准的适用范围</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7"/>
        <w:ind w:firstLine="482"/>
        <w:spacing w:before="0" w:beforeAutospacing="0" w:after="0" w:afterAutospacing="0" w:line="360" w:lineRule="auto"/>
        <w:rPr>
          <w:rFonts w:ascii="宋体" w:hAnsi="宋体" w:eastAsia="宋体" w:cs="宋体"/>
          <w:szCs w:val="24"/>
          <w:highlight w:val="none"/>
        </w:rPr>
      </w:pPr>
      <w:r>
        <w:rPr>
          <w:rStyle w:val="793"/>
          <w:rFonts w:hint="eastAsia" w:ascii="宋体" w:hAnsi="宋体" w:eastAsia="宋体" w:cs="宋体"/>
          <w:szCs w:val="24"/>
          <w:highlight w:val="none"/>
          <w:shd w:val="clear" w:color="auto" w:fill="ffffff"/>
        </w:rPr>
        <w:t xml:space="preserve">三、对本国产品的支持政策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当采购项目或者采购包中含有多种产品，供应商为该采购项目或者采购包提供的</w:t>
      </w:r>
      <w:r>
        <w:rPr>
          <w:rFonts w:hint="eastAsia" w:ascii="宋体" w:hAnsi="宋体" w:eastAsia="宋体" w:cs="宋体"/>
          <w:b/>
          <w:bCs/>
          <w:sz w:val="24"/>
          <w:highlight w:val="none"/>
        </w:rPr>
        <w:t xml:space="preserve">符合本国产品标准的产品成本之和占该供应商提供的全部产品成本之和的比例达到80%以上</w:t>
      </w:r>
      <w:r>
        <w:rPr>
          <w:rFonts w:hint="eastAsia" w:ascii="宋体" w:hAnsi="宋体" w:eastAsia="宋体" w:cs="宋体"/>
          <w:sz w:val="24"/>
          <w:highlight w:val="none"/>
        </w:rPr>
        <w:t xml:space="preserve">时，依法对该供应商提供的全部产品给予价格评审优惠，即</w:t>
      </w:r>
      <w:r>
        <w:rPr>
          <w:rFonts w:hint="eastAsia" w:ascii="宋体" w:hAnsi="宋体" w:eastAsia="宋体" w:cs="宋体"/>
          <w:b/>
          <w:bCs/>
          <w:sz w:val="24"/>
          <w:highlight w:val="none"/>
        </w:rPr>
        <w:t xml:space="preserve">对该供应商提供的全部产品的总报价给予20%的价格扣除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供应商提供的产品出具</w:t>
      </w:r>
      <w:r>
        <w:rPr>
          <w:rFonts w:hint="eastAsia" w:ascii="宋体" w:hAnsi="宋体" w:eastAsia="宋体" w:cs="宋体"/>
          <w:b/>
          <w:bCs/>
          <w:sz w:val="24"/>
          <w:highlight w:val="none"/>
        </w:rPr>
        <w:t xml:space="preserve">《关于符合本国产品标准的声明函》</w:t>
      </w:r>
      <w:r>
        <w:rPr>
          <w:rFonts w:hint="eastAsia" w:ascii="宋体" w:hAnsi="宋体" w:eastAsia="宋体" w:cs="宋体"/>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42.未尽事宜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42.1按《中华人民共和国政府采购法》及其他有关法律法规的规定执行。</w:t>
      </w:r>
      <w:r/>
    </w:p>
    <w:p>
      <w:pPr>
        <w:rPr>
          <w:highlight w:val="none"/>
        </w:rPr>
      </w:pPr>
      <w:r>
        <w:rPr>
          <w:rFonts w:hint="eastAsia"/>
          <w:highlight w:val="none"/>
        </w:rPr>
        <w:br w:type="page" w:clear="all"/>
      </w:r>
      <w:r/>
    </w:p>
    <w:p>
      <w:pPr>
        <w:pStyle w:val="768"/>
        <w:ind w:left="0"/>
        <w:rPr>
          <w:rFonts w:hint="eastAsia"/>
          <w:highlight w:val="none"/>
        </w:rPr>
      </w:pPr>
      <w:r>
        <w:rPr>
          <w:rFonts w:hint="eastAsia"/>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highlight w:val="none"/>
        </w:rPr>
        <w:t xml:space="preserve">第三章 投标文件格式</w:t>
      </w:r>
      <w:bookmarkEnd w:id="2"/>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对本章所有的投标书格式，投标方可根据自身情况进行补充和修改，但补充和修改不得造成与本格式内容有实质性的违背。</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一、投标函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w:t>
      </w:r>
      <w:r>
        <w:rPr>
          <w:rFonts w:hint="eastAsia" w:ascii="宋体" w:hAnsi="宋体" w:eastAsia="宋体" w:cs="宋体"/>
          <w:sz w:val="24"/>
          <w:szCs w:val="24"/>
          <w:highlight w:val="none"/>
        </w:rPr>
        <w:t xml:space="preserve">方全面研究了</w:t>
      </w:r>
      <w:r>
        <w:rPr>
          <w:rFonts w:hint="eastAsia" w:ascii="宋体" w:hAnsi="宋体" w:eastAsia="宋体" w:cs="宋体"/>
          <w:b/>
          <w:i/>
          <w:sz w:val="24"/>
          <w:szCs w:val="24"/>
          <w:highlight w:val="none"/>
          <w:u w:val="single"/>
        </w:rPr>
        <w:t xml:space="preserve">（招标编号）</w:t>
      </w:r>
      <w:r>
        <w:rPr>
          <w:rFonts w:hint="eastAsia" w:ascii="宋体" w:hAnsi="宋体" w:eastAsia="宋体" w:cs="宋体"/>
          <w:sz w:val="24"/>
          <w:szCs w:val="24"/>
          <w:highlight w:val="none"/>
        </w:rPr>
        <w:t xml:space="preserve">项目招标文件，决定参加贵单位组织的本项目的投标。</w:t>
      </w:r>
      <w:r/>
    </w:p>
    <w:p>
      <w:pPr>
        <w:ind w:firstLine="42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5.我们愿意提供招标采购单位在招标文件中要求的所有资料。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6.我们愿意遵守招标公告及招标文件中所列的收费标准。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7.我们承诺该项投标在开标后的全过程中保持有效，不作任何更改和变动。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供应商名称：（盖章）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法定代表人或代理人（签字或盖章）：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通讯地址：              邮政编码：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联系电话：传真：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二、法定代表人授权委托书</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名称）的法定代表人，现授权委托</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（姓名）为我公司授权代表（即代理人），以本公司的名义参加</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(采购代理机构)组织实施的编号为</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号的</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（项目名称）招标活动。代理人在开标、评标、合同谈判过程中所签署的一切文件和处理与这有关的一切事务，我均予以承认。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代理人无转委托权。特此委托。</w:t>
      </w:r>
      <w:r/>
    </w:p>
    <w:p>
      <w:pPr>
        <w:ind w:firstLine="42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代理人：（签字或盖章）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三、开标一览表</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679"/>
        <w:gridCol w:w="2011"/>
        <w:gridCol w:w="2152"/>
        <w:gridCol w:w="2455"/>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27"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0"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52"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投标总价（人民币大写：</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ind w:firstLine="480"/>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r>
      <w:r/>
    </w:p>
    <w:p>
      <w:pPr>
        <w:ind w:firstLine="480"/>
        <w:spacing w:line="400" w:lineRule="atLeast"/>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四、</w:t>
      </w:r>
      <w:r>
        <w:rPr>
          <w:rFonts w:hint="eastAsia" w:ascii="宋体" w:hAnsi="宋体" w:eastAsia="宋体" w:cs="宋体"/>
          <w:b/>
          <w:sz w:val="30"/>
          <w:highlight w:val="none"/>
        </w:rPr>
        <w:t xml:space="preserve">货物清单表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货物清单表</w:t>
      </w:r>
      <w:r>
        <w:rPr>
          <w:rFonts w:ascii="宋体" w:hAnsi="宋体" w:eastAsia="宋体" w:cs="宋体"/>
          <w:sz w:val="24"/>
          <w:highlight w:val="none"/>
        </w:rPr>
        <w:t xml:space="preserve">（格式）</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highlight w:val="none"/>
        </w:rPr>
        <w:t xml:space="preserve">招标编号：</w:t>
      </w:r>
      <w:r/>
    </w:p>
    <w:tbl>
      <w:tblPr>
        <w:tblStyle w:val="79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761"/>
        <w:gridCol w:w="873"/>
        <w:gridCol w:w="1786"/>
        <w:gridCol w:w="799"/>
        <w:gridCol w:w="934"/>
        <w:gridCol w:w="735"/>
        <w:gridCol w:w="860"/>
        <w:gridCol w:w="799"/>
        <w:gridCol w:w="869"/>
      </w:tblGrid>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品牌</w:t>
            </w:r>
            <w:r>
              <w:rPr>
                <w:rFonts w:hint="eastAsia" w:ascii="宋体" w:hAnsi="宋体" w:eastAsia="宋体" w:cs="宋体"/>
                <w:sz w:val="24"/>
                <w:highlight w:val="none"/>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规格</w:t>
            </w:r>
            <w:r>
              <w:rPr>
                <w:rFonts w:hint="eastAsia" w:ascii="宋体" w:hAnsi="宋体" w:eastAsia="宋体" w:cs="宋体"/>
                <w:sz w:val="24"/>
                <w:highlight w:val="none"/>
              </w:rPr>
              <w:t xml:space="preserve">、材质、参数等</w:t>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生产厂家</w:t>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w:t>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w:t>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合计金额：</w:t>
            </w:r>
            <w:r>
              <w:rPr>
                <w:rFonts w:hint="eastAsia" w:ascii="宋体" w:hAnsi="宋体" w:eastAsia="宋体" w:cs="宋体"/>
                <w:sz w:val="24"/>
                <w:highlight w:val="none"/>
                <w:u w:val="single"/>
              </w:rPr>
              <w:t xml:space="preserve">人民币大写        （￥          ）</w:t>
            </w:r>
            <w:r/>
          </w:p>
        </w:tc>
      </w:tr>
    </w:tbl>
    <w:p>
      <w:pPr>
        <w:ind w:firstLine="480"/>
        <w:spacing w:before="312" w:line="360" w:lineRule="auto"/>
        <w:tabs>
          <w:tab w:val="left" w:pos="7560" w:leader="none"/>
        </w:tabs>
        <w:rPr>
          <w:rFonts w:ascii="宋体" w:hAnsi="宋体" w:cs="宋体"/>
          <w:sz w:val="24"/>
          <w:szCs w:val="24"/>
          <w:highlight w:val="none"/>
        </w:rPr>
      </w:pPr>
      <w:r>
        <w:rPr>
          <w:rFonts w:hint="eastAsia" w:ascii="宋体" w:hAnsi="宋体" w:cs="宋体"/>
          <w:sz w:val="24"/>
          <w:szCs w:val="24"/>
          <w:highlight w:val="none"/>
        </w:rPr>
        <w:t xml:space="preserve">注：1.各供应商可按照招标文件要求参照上述格式自制《货物清单表》投标</w:t>
      </w:r>
      <w:r>
        <w:rPr>
          <w:rFonts w:hint="eastAsia" w:ascii="宋体" w:hAnsi="宋体" w:cs="宋体"/>
          <w:bCs/>
          <w:sz w:val="24"/>
          <w:szCs w:val="24"/>
          <w:highlight w:val="none"/>
        </w:rPr>
        <w:t xml:space="preserve">，根据自身情况</w:t>
      </w:r>
      <w:r>
        <w:rPr>
          <w:rFonts w:hint="eastAsia" w:ascii="宋体" w:hAnsi="宋体" w:cs="宋体"/>
          <w:sz w:val="24"/>
          <w:szCs w:val="24"/>
          <w:highlight w:val="none"/>
        </w:rPr>
        <w:t xml:space="preserve">详细报出分项</w:t>
      </w:r>
      <w:r>
        <w:rPr>
          <w:rFonts w:hint="eastAsia" w:ascii="宋体" w:hAnsi="宋体" w:eastAsia="宋体" w:cs="宋体"/>
          <w:sz w:val="24"/>
          <w:szCs w:val="24"/>
          <w:highlight w:val="none"/>
        </w:rPr>
        <w:t xml:space="preserve">价格，但不得修改实质性内容</w:t>
      </w:r>
      <w:r>
        <w:rPr>
          <w:rFonts w:hint="eastAsia" w:ascii="宋体" w:hAnsi="宋体" w:cs="宋体"/>
          <w:sz w:val="24"/>
          <w:szCs w:val="24"/>
          <w:highlight w:val="none"/>
        </w:rPr>
        <w:t xml:space="preserve">。</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谋取入围的，按“政府采购法”相关规定处理。</w:t>
      </w:r>
      <w:r/>
    </w:p>
    <w:p>
      <w:pPr>
        <w:ind w:firstLine="480"/>
        <w:jc w:val="both"/>
        <w:spacing w:before="312"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1808"/>
        <w:jc w:val="both"/>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五、投入的实施、交货、安装、验收方案</w:t>
      </w:r>
      <w:r/>
    </w:p>
    <w:tbl>
      <w:tblPr>
        <w:tblStyle w:val="7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2"/>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提</w:t>
            </w:r>
            <w:r>
              <w:rPr>
                <w:rFonts w:hint="eastAsia" w:ascii="宋体" w:hAnsi="宋体" w:eastAsia="宋体" w:cs="宋体"/>
                <w:sz w:val="24"/>
                <w:szCs w:val="24"/>
                <w:highlight w:val="none"/>
              </w:rPr>
              <w:t xml:space="preserve">示：</w:t>
            </w:r>
            <w:r/>
          </w:p>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1.供应商应针对本次采购项目特点编写中标后拟投入的实施、交货、安装、验收方案及相关保证措施等；</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2.供应商可根据自身情况编</w:t>
            </w:r>
            <w:r>
              <w:rPr>
                <w:rFonts w:ascii="宋体" w:hAnsi="宋体" w:eastAsia="宋体" w:cs="宋体"/>
                <w:sz w:val="24"/>
                <w:highlight w:val="none"/>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384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21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六、拟用于本项目人员名单</w:t>
      </w:r>
      <w:r/>
    </w:p>
    <w:tbl>
      <w:tblPr>
        <w:tblStyle w:val="76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0"/>
        <w:gridCol w:w="747"/>
        <w:gridCol w:w="562"/>
        <w:gridCol w:w="1591"/>
        <w:gridCol w:w="562"/>
        <w:gridCol w:w="562"/>
        <w:gridCol w:w="562"/>
        <w:gridCol w:w="562"/>
        <w:gridCol w:w="945"/>
        <w:gridCol w:w="562"/>
        <w:gridCol w:w="945"/>
        <w:gridCol w:w="948"/>
      </w:tblGrid>
      <w:tr>
        <w:trPr>
          <w:trHeight w:val="627"/>
        </w:trPr>
        <w:tc>
          <w:tcPr>
            <w:tcW w:w="28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412"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tcW w:w="310"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岗位</w:t>
            </w:r>
            <w:r/>
          </w:p>
        </w:tc>
        <w:tc>
          <w:tcPr>
            <w:tcW w:w="877"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身份证号码</w:t>
            </w:r>
            <w:r/>
          </w:p>
        </w:tc>
        <w:tc>
          <w:tcPr>
            <w:tcW w:w="310"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年龄</w:t>
            </w:r>
            <w:r/>
          </w:p>
        </w:tc>
        <w:tc>
          <w:tcPr>
            <w:tcW w:w="310"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身高</w:t>
            </w:r>
            <w:r/>
          </w:p>
        </w:tc>
        <w:tc>
          <w:tcPr>
            <w:tcW w:w="310"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性别</w:t>
            </w:r>
            <w:r/>
          </w:p>
        </w:tc>
        <w:tc>
          <w:tcPr>
            <w:tcW w:w="310"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学历</w:t>
            </w:r>
            <w:r/>
          </w:p>
        </w:tc>
        <w:tc>
          <w:tcPr>
            <w:tcW w:w="52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所学</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专业</w:t>
            </w:r>
            <w:r/>
          </w:p>
        </w:tc>
        <w:tc>
          <w:tcPr>
            <w:tcW w:w="310"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职称</w:t>
            </w:r>
            <w:r/>
          </w:p>
        </w:tc>
        <w:tc>
          <w:tcPr>
            <w:tcW w:w="52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相关工作经验年限</w:t>
            </w:r>
            <w:r/>
          </w:p>
        </w:tc>
        <w:tc>
          <w:tcPr>
            <w:tcW w:w="522"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持证</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情况</w:t>
            </w:r>
            <w:r/>
          </w:p>
        </w:tc>
      </w:tr>
      <w:tr>
        <w:trPr>
          <w:trHeight w:val="627"/>
        </w:trPr>
        <w:tc>
          <w:tcPr>
            <w:tcW w:w="28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412"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877"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521"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521" w:type="pct"/>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522" w:type="pct"/>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27"/>
        </w:trPr>
        <w:tc>
          <w:tcPr>
            <w:tcW w:w="28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412"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877"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521"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521" w:type="pct"/>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522" w:type="pct"/>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27"/>
        </w:trPr>
        <w:tc>
          <w:tcPr>
            <w:tcW w:w="28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412"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877"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521"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521" w:type="pct"/>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522" w:type="pct"/>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27"/>
        </w:trPr>
        <w:tc>
          <w:tcPr>
            <w:tcW w:w="28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412"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877"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521"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521" w:type="pct"/>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522" w:type="pct"/>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27"/>
        </w:trPr>
        <w:tc>
          <w:tcPr>
            <w:tcW w:w="28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412"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877"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521"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310" w:type="pct"/>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521" w:type="pct"/>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522" w:type="pct"/>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bl>
    <w:p>
      <w:pPr>
        <w:ind w:firstLine="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spacing w:line="85" w:lineRule="atLeast"/>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rPr>
          <w:rFonts w:ascii="宋体" w:hAnsi="宋体" w:eastAsia="宋体" w:cs="宋体"/>
          <w:sz w:val="28"/>
          <w:highlight w:val="none"/>
        </w:rPr>
      </w:pPr>
      <w:r>
        <w:rPr>
          <w:rFonts w:ascii="宋体" w:hAnsi="宋体" w:eastAsia="宋体" w:cs="宋体"/>
          <w:sz w:val="28"/>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七、资格证明文件</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w:t>
      </w:r>
      <w:r>
        <w:rPr>
          <w:rFonts w:hint="eastAsia" w:ascii="宋体" w:hAnsi="宋体" w:eastAsia="宋体" w:cs="宋体"/>
          <w:b/>
          <w:sz w:val="24"/>
          <w:highlight w:val="none"/>
        </w:rPr>
        <w:t xml:space="preserve">1.</w:t>
      </w:r>
      <w:r>
        <w:rPr>
          <w:rFonts w:ascii="宋体" w:hAnsi="宋体" w:eastAsia="宋体" w:cs="宋体"/>
          <w:b/>
          <w:sz w:val="24"/>
          <w:highlight w:val="none"/>
        </w:rPr>
        <w:t xml:space="preserve">关于资格文件的声明函</w:t>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本公司愿就由贵公司组织实施的编号为</w:t>
      </w:r>
      <w:r>
        <w:rPr>
          <w:rFonts w:ascii="宋体" w:hAnsi="宋体" w:eastAsia="宋体" w:cs="宋体"/>
          <w:sz w:val="24"/>
          <w:highlight w:val="none"/>
          <w:u w:val="single"/>
        </w:rPr>
        <w:t xml:space="preserve">（招标编号）</w:t>
      </w:r>
      <w:r>
        <w:rPr>
          <w:rFonts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我方已知晓</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文件要求并认真审核自身情况，在此郑重声明，我方遵守如下条款的规定：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（1）单位负责人为同一人或者存在直接控股、管理关系的不同供应商，不得参加同一合同项下的政府采购活动。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本声明如有虚假或不实之处，我方将失去合格供应商资格。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）法定代表人（签字或盖章）：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：（单位盖章）：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7.2投标供应商与其他单位存在控股、管理关系情况表</w:t>
      </w:r>
      <w:r/>
    </w:p>
    <w:p>
      <w:pPr>
        <w:ind w:firstLine="48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投标供应商与其他单位存在控股、管理关系情况表</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rPr>
          <w:rFonts w:ascii="宋体" w:hAnsi="宋体" w:eastAsia="宋体" w:cs="宋体"/>
          <w:sz w:val="24"/>
          <w:highlight w:val="none"/>
        </w:rPr>
        <w:t xml:space="preserve">：</w:t>
      </w:r>
      <w:r/>
    </w:p>
    <w:tbl>
      <w:tblPr>
        <w:tblStyle w:val="7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82"/>
        <w:gridCol w:w="3580"/>
      </w:tblGrid>
      <w:tr>
        <w:trPr>
          <w:trHeight w:val="753"/>
        </w:trPr>
        <w:tc>
          <w:tcPr>
            <w:tcMar>
              <w:left w:w="108" w:type="dxa"/>
              <w:top w:w="0" w:type="dxa"/>
              <w:right w:w="108" w:type="dxa"/>
              <w:bottom w:w="0" w:type="dxa"/>
            </w:tcMar>
            <w:tcW w:w="5623"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注：投标供应商须如实填写所有与之有控股管理关系的情况。</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供应商名称</w:t>
      </w:r>
      <w:r>
        <w:rPr>
          <w:rFonts w:ascii="宋体" w:hAnsi="宋体" w:eastAsia="宋体" w:cs="宋体"/>
          <w:sz w:val="24"/>
          <w:highlight w:val="none"/>
        </w:rPr>
        <w:t xml:space="preserve">：（单位盖章）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八、</w:t>
      </w:r>
      <w:r>
        <w:rPr>
          <w:rFonts w:hint="eastAsia" w:ascii="宋体" w:hAnsi="宋体" w:eastAsia="宋体" w:cs="宋体"/>
          <w:b/>
          <w:sz w:val="30"/>
          <w:highlight w:val="none"/>
        </w:rPr>
        <w:t xml:space="preserve">供应商</w:t>
      </w:r>
      <w:r>
        <w:rPr>
          <w:rFonts w:ascii="宋体" w:hAnsi="宋体" w:eastAsia="宋体" w:cs="宋体"/>
          <w:b/>
          <w:sz w:val="30"/>
          <w:highlight w:val="none"/>
        </w:rPr>
        <w:t xml:space="preserve">基本情况表</w:t>
      </w:r>
      <w:r/>
    </w:p>
    <w:tbl>
      <w:tblPr>
        <w:tblStyle w:val="762"/>
        <w:tblW w:w="4997"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10"/>
        <w:gridCol w:w="1903"/>
        <w:gridCol w:w="1436"/>
        <w:gridCol w:w="2327"/>
        <w:gridCol w:w="777"/>
      </w:tblGrid>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法定代表人</w:t>
            </w:r>
            <w:r/>
          </w:p>
        </w:tc>
        <w:tc>
          <w:tcPr>
            <w:tcW w:w="1051"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成立日期</w:t>
            </w:r>
            <w:r/>
          </w:p>
        </w:tc>
        <w:tc>
          <w:tcPr>
            <w:gridSpan w:val="2"/>
            <w:tcW w:w="1714"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企业地址</w:t>
            </w:r>
            <w:r/>
          </w:p>
        </w:tc>
        <w:tc>
          <w:tcPr>
            <w:tcW w:w="1051"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注册资本</w:t>
            </w:r>
            <w:r/>
          </w:p>
        </w:tc>
        <w:tc>
          <w:tcPr>
            <w:gridSpan w:val="2"/>
            <w:tcW w:w="1714" w:type="pct"/>
            <w:textDirection w:val="lrTb"/>
            <w:noWrap w:val="false"/>
          </w:tcPr>
          <w:p>
            <w:pPr>
              <w:pStyle w:val="764"/>
              <w:ind w:firstLine="960"/>
              <w:rPr>
                <w:rFonts w:ascii="宋体" w:hAnsi="宋体" w:eastAsia="宋体" w:cs="宋体"/>
                <w:highlight w:val="none"/>
              </w:rPr>
            </w:pP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经营范围</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职工人数</w:t>
            </w:r>
            <w:r/>
          </w:p>
        </w:tc>
        <w:tc>
          <w:tcPr>
            <w:tcW w:w="1051"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c>
          <w:tcPr>
            <w:gridSpan w:val="2"/>
            <w:tcW w:w="2078"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42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vAlign w:val="center"/>
            <w:textDirection w:val="lrTb"/>
            <w:noWrap w:val="false"/>
          </w:tcPr>
          <w:p>
            <w:pPr>
              <w:pStyle w:val="764"/>
              <w:ind w:firstLine="0"/>
              <w:jc w:val="both"/>
              <w:rPr>
                <w:rFonts w:ascii="宋体" w:hAnsi="宋体" w:eastAsia="宋体" w:cs="宋体"/>
                <w:highlight w:val="none"/>
              </w:rPr>
            </w:pPr>
            <w:r>
              <w:rPr>
                <w:rFonts w:hint="eastAsia" w:ascii="宋体" w:hAnsi="宋体" w:eastAsia="宋体" w:cs="宋体"/>
                <w:highlight w:val="none"/>
              </w:rPr>
              <w:t xml:space="preserve">资产总计</w:t>
            </w:r>
            <w:r/>
          </w:p>
        </w:tc>
        <w:tc>
          <w:tcPr>
            <w:tcW w:w="1051" w:type="pct"/>
            <w:vAlign w:val="center"/>
            <w:textDirection w:val="lrTb"/>
            <w:noWrap w:val="false"/>
          </w:tcPr>
          <w:p>
            <w:pPr>
              <w:pStyle w:val="76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64"/>
              <w:ind w:firstLine="0"/>
              <w:jc w:val="both"/>
              <w:rPr>
                <w:rFonts w:ascii="宋体" w:hAnsi="宋体" w:eastAsia="宋体" w:cs="宋体"/>
                <w:highlight w:val="none"/>
              </w:rPr>
            </w:pPr>
            <w:r>
              <w:rPr>
                <w:rFonts w:hint="eastAsia" w:ascii="宋体" w:hAnsi="宋体" w:eastAsia="宋体" w:cs="宋体"/>
                <w:highlight w:val="none"/>
              </w:rPr>
              <w:t xml:space="preserve">净资产</w:t>
            </w:r>
            <w:r/>
          </w:p>
        </w:tc>
        <w:tc>
          <w:tcPr>
            <w:gridSpan w:val="2"/>
            <w:tcW w:w="1714" w:type="pct"/>
            <w:vAlign w:val="center"/>
            <w:textDirection w:val="lrTb"/>
            <w:noWrap w:val="false"/>
          </w:tcPr>
          <w:p>
            <w:pPr>
              <w:pStyle w:val="76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vAlign w:val="center"/>
            <w:textDirection w:val="lrTb"/>
            <w:noWrap w:val="false"/>
          </w:tcPr>
          <w:p>
            <w:pPr>
              <w:pStyle w:val="764"/>
              <w:ind w:firstLine="0"/>
              <w:jc w:val="both"/>
              <w:rPr>
                <w:rFonts w:ascii="宋体" w:hAnsi="宋体" w:eastAsia="宋体" w:cs="宋体"/>
                <w:highlight w:val="none"/>
              </w:rPr>
            </w:pPr>
            <w:r>
              <w:rPr>
                <w:rFonts w:hint="eastAsia" w:ascii="宋体" w:hAnsi="宋体" w:eastAsia="宋体" w:cs="宋体"/>
                <w:highlight w:val="none"/>
              </w:rPr>
              <w:t xml:space="preserve">股东权益</w:t>
            </w:r>
            <w:r/>
          </w:p>
        </w:tc>
        <w:tc>
          <w:tcPr>
            <w:tcW w:w="1051" w:type="pct"/>
            <w:vAlign w:val="center"/>
            <w:textDirection w:val="lrTb"/>
            <w:noWrap w:val="false"/>
          </w:tcPr>
          <w:p>
            <w:pPr>
              <w:pStyle w:val="76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64"/>
              <w:ind w:firstLine="0"/>
              <w:jc w:val="both"/>
              <w:rPr>
                <w:rFonts w:ascii="宋体" w:hAnsi="宋体" w:eastAsia="宋体" w:cs="宋体"/>
                <w:highlight w:val="none"/>
              </w:rPr>
            </w:pPr>
            <w:r>
              <w:rPr>
                <w:rFonts w:hint="eastAsia" w:ascii="宋体" w:hAnsi="宋体" w:eastAsia="宋体" w:cs="宋体"/>
                <w:highlight w:val="none"/>
              </w:rPr>
              <w:t xml:space="preserve">销售收入</w:t>
            </w:r>
            <w:r/>
          </w:p>
        </w:tc>
        <w:tc>
          <w:tcPr>
            <w:gridSpan w:val="2"/>
            <w:tcW w:w="1714" w:type="pct"/>
            <w:vAlign w:val="center"/>
            <w:textDirection w:val="lrTb"/>
            <w:noWrap w:val="false"/>
          </w:tcPr>
          <w:p>
            <w:pPr>
              <w:pStyle w:val="764"/>
              <w:ind w:firstLine="0"/>
              <w:jc w:val="center"/>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实现利润</w:t>
            </w:r>
            <w:r/>
          </w:p>
        </w:tc>
        <w:tc>
          <w:tcPr>
            <w:tcW w:w="105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万元</w:t>
            </w:r>
            <w:r/>
          </w:p>
        </w:tc>
        <w:tc>
          <w:tcPr>
            <w:tcW w:w="793"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c>
          <w:tcPr>
            <w:gridSpan w:val="2"/>
            <w:tcW w:w="1714"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营业面积（含厂房面积）</w:t>
            </w:r>
            <w:r/>
          </w:p>
        </w:tc>
        <w:tc>
          <w:tcPr>
            <w:tcW w:w="1051" w:type="pct"/>
            <w:vAlign w:val="center"/>
            <w:textDirection w:val="lrTb"/>
            <w:noWrap w:val="false"/>
          </w:tcPr>
          <w:p>
            <w:pPr>
              <w:pStyle w:val="764"/>
              <w:ind w:firstLine="0"/>
              <w:jc w:val="both"/>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tc>
        <w:tc>
          <w:tcPr>
            <w:tcW w:w="793"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其中：</w:t>
            </w:r>
            <w:r/>
          </w:p>
        </w:tc>
        <w:tc>
          <w:tcPr>
            <w:gridSpan w:val="2"/>
            <w:tcW w:w="1714"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自有面积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p>
            <w:pPr>
              <w:pStyle w:val="764"/>
              <w:ind w:firstLine="0"/>
              <w:rPr>
                <w:rFonts w:ascii="宋体" w:hAnsi="宋体" w:eastAsia="宋体" w:cs="宋体"/>
                <w:highlight w:val="none"/>
              </w:rPr>
            </w:pPr>
            <w:r>
              <w:rPr>
                <w:rFonts w:hint="eastAsia" w:ascii="宋体" w:hAnsi="宋体" w:eastAsia="宋体" w:cs="宋体"/>
                <w:highlight w:val="none"/>
              </w:rPr>
              <w:t xml:space="preserve">承租面积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tc>
      </w:tr>
      <w:tr>
        <w:trPr>
          <w:cantSplit/>
          <w:trHeight w:val="747"/>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单位优势及特长</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Height w:val="560"/>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（本页不够可另加页附后）</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九、技术规格、商务偏离表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（一）技术规格偏离表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2048"/>
        <w:gridCol w:w="2021"/>
        <w:gridCol w:w="2023"/>
        <w:gridCol w:w="2023"/>
      </w:tblGrid>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jc w:val="center"/>
        <w:spacing w:line="360" w:lineRule="auto"/>
        <w:rPr>
          <w:rFonts w:ascii="宋体" w:hAnsi="宋体" w:eastAsia="宋体" w:cs="宋体"/>
          <w:b/>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（二）商务条款偏离表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920"/>
        <w:gridCol w:w="1939"/>
        <w:gridCol w:w="1823"/>
        <w:gridCol w:w="1560"/>
      </w:tblGrid>
      <w:tr>
        <w:trPr>
          <w:trHeight w:val="32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61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招标文件要求</w:t>
            </w:r>
            <w:r/>
          </w:p>
        </w:tc>
        <w:tc>
          <w:tcPr>
            <w:tcMar>
              <w:left w:w="108" w:type="dxa"/>
              <w:top w:w="0" w:type="dxa"/>
              <w:right w:w="108" w:type="dxa"/>
              <w:bottom w:w="0" w:type="dxa"/>
            </w:tcMar>
            <w:tcW w:w="107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0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c>
          <w:tcPr>
            <w:tcMar>
              <w:left w:w="108" w:type="dxa"/>
              <w:top w:w="0" w:type="dxa"/>
              <w:right w:w="108" w:type="dxa"/>
              <w:bottom w:w="0" w:type="dxa"/>
            </w:tcMar>
            <w:tcW w:w="86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交货地点</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付款方式</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售后服务承诺</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其他商务要求</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可根据投标内容的实际情况另纸说明。</w:t>
      </w:r>
      <w:r/>
    </w:p>
    <w:p>
      <w:pPr>
        <w:rPr>
          <w:highlight w:val="none"/>
        </w:rPr>
      </w:pPr>
      <w:r>
        <w:rPr>
          <w:rFonts w:ascii="宋体" w:hAnsi="宋体" w:eastAsia="宋体" w:cs="宋体"/>
          <w:b/>
          <w:sz w:val="30"/>
          <w:highlight w:val="none"/>
        </w:rPr>
        <w:br w:type="page" w:clear="all"/>
      </w:r>
      <w:r/>
    </w:p>
    <w:p>
      <w:pPr>
        <w:jc w:val="center"/>
        <w:spacing w:line="360" w:lineRule="auto"/>
        <w:rPr>
          <w:rFonts w:ascii="宋体" w:hAnsi="宋体" w:eastAsia="宋体" w:cs="宋体"/>
          <w:b/>
          <w:sz w:val="30"/>
          <w:szCs w:val="30"/>
          <w:highlight w:val="none"/>
        </w:rPr>
      </w:pPr>
      <w:r>
        <w:rPr>
          <w:rFonts w:hint="eastAsia" w:ascii="宋体" w:hAnsi="宋体" w:eastAsia="宋体" w:cs="宋体"/>
          <w:b/>
          <w:sz w:val="30"/>
          <w:szCs w:val="30"/>
          <w:highlight w:val="none"/>
        </w:rPr>
        <w:t xml:space="preserve">十、企业类似业绩一览表</w:t>
      </w:r>
      <w:r/>
    </w:p>
    <w:p>
      <w:pPr>
        <w:pStyle w:val="764"/>
        <w:ind w:firstLine="0"/>
        <w:spacing w:after="312"/>
        <w:rPr>
          <w:rFonts w:ascii="宋体" w:hAnsi="宋体" w:eastAsia="宋体" w:cs="宋体"/>
          <w:highlight w:val="none"/>
        </w:rPr>
      </w:pPr>
      <w:r>
        <w:rPr>
          <w:rFonts w:hint="eastAsia" w:ascii="宋体" w:hAnsi="宋体" w:eastAsia="宋体" w:cs="宋体"/>
          <w:highlight w:val="none"/>
        </w:rPr>
        <w:t xml:space="preserve">招标编号：</w:t>
      </w:r>
      <w:r/>
    </w:p>
    <w:tbl>
      <w:tblPr>
        <w:tblStyle w:val="762"/>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1"/>
        <w:gridCol w:w="2744"/>
        <w:gridCol w:w="1719"/>
        <w:gridCol w:w="2237"/>
        <w:gridCol w:w="1303"/>
      </w:tblGrid>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6"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236"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甲方（业主）单位名称</w:t>
            </w:r>
            <w:r/>
          </w:p>
        </w:tc>
        <w:tc>
          <w:tcPr>
            <w:tcW w:w="720"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23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72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23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72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23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72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23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72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23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72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23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72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23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72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bl>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供应商名称：（单位盖章）</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85" w:lineRule="atLeast"/>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highlight w:val="none"/>
        </w:rPr>
      </w:r>
      <w:r/>
    </w:p>
    <w:p>
      <w:pPr>
        <w:jc w:val="center"/>
        <w:spacing w:line="85" w:lineRule="atLeast"/>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r>
      <w:r/>
    </w:p>
    <w:p>
      <w:pPr>
        <w:rPr>
          <w:rFonts w:ascii="宋体" w:hAnsi="宋体" w:eastAsia="宋体" w:cs="宋体"/>
          <w:b/>
          <w:sz w:val="30"/>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一</w:t>
      </w:r>
      <w:r>
        <w:rPr>
          <w:rFonts w:ascii="宋体" w:hAnsi="宋体" w:eastAsia="宋体" w:cs="宋体"/>
          <w:b/>
          <w:sz w:val="30"/>
          <w:highlight w:val="none"/>
        </w:rPr>
        <w:t xml:space="preserve">、售后服务承诺书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3422"/>
        <w:gridCol w:w="2294"/>
        <w:gridCol w:w="241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响应后</w:t>
            </w:r>
            <w:r>
              <w:rPr>
                <w:rFonts w:ascii="宋体" w:hAnsi="宋体" w:eastAsia="宋体" w:cs="宋体"/>
                <w:sz w:val="24"/>
                <w:highlight w:val="none"/>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w:t>
      </w:r>
      <w:r>
        <w:rPr>
          <w:rFonts w:ascii="宋体" w:hAnsi="宋体" w:eastAsia="宋体" w:cs="宋体"/>
          <w:sz w:val="24"/>
          <w:highlight w:val="none"/>
        </w:rPr>
        <w:t xml:space="preserve">针对服务内容有必须说明的事项，请在“备注”栏目内注明；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如有其它售后服务内容，可自行参照填写。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w:t>
      </w:r>
      <w:r>
        <w:rPr>
          <w:rFonts w:hint="eastAsia" w:ascii="宋体" w:hAnsi="宋体" w:eastAsia="宋体" w:cs="宋体"/>
          <w:sz w:val="24"/>
          <w:szCs w:val="24"/>
          <w:highlight w:val="none"/>
        </w:rPr>
        <w:t xml:space="preserve">代理人</w:t>
      </w:r>
      <w:r>
        <w:rPr>
          <w:rFonts w:ascii="宋体" w:hAnsi="宋体" w:eastAsia="宋体" w:cs="宋体"/>
          <w:sz w:val="24"/>
          <w:highlight w:val="none"/>
        </w:rPr>
        <w:t xml:space="preserve">：（签字或签章）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二</w:t>
      </w:r>
      <w:r>
        <w:rPr>
          <w:rFonts w:ascii="宋体" w:hAnsi="宋体" w:eastAsia="宋体" w:cs="宋体"/>
          <w:b/>
          <w:sz w:val="30"/>
          <w:highlight w:val="none"/>
        </w:rPr>
        <w:t xml:space="preserve">、中小企业声明函</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本公司（联合体）郑重声明，根据《政府采购促进中小企业发展管理办法》（财库﹝2020﹞46号）的规定，本公司（联合体）参加</w:t>
      </w:r>
      <w:r>
        <w:rPr>
          <w:rFonts w:ascii="宋体" w:hAnsi="宋体" w:eastAsia="宋体" w:cs="宋体"/>
          <w:sz w:val="24"/>
          <w:szCs w:val="24"/>
          <w:highlight w:val="none"/>
          <w:u w:val="single"/>
        </w:rPr>
        <w:t xml:space="preserve">（单位名称）</w:t>
      </w:r>
      <w:r>
        <w:rPr>
          <w:rFonts w:ascii="宋体" w:hAnsi="宋体" w:eastAsia="宋体" w:cs="宋体"/>
          <w:sz w:val="24"/>
          <w:szCs w:val="24"/>
          <w:highlight w:val="none"/>
        </w:rPr>
        <w:t xml:space="preserve">的</w:t>
      </w:r>
      <w:r>
        <w:rPr>
          <w:rFonts w:ascii="宋体" w:hAnsi="宋体" w:eastAsia="宋体" w:cs="宋体"/>
          <w:sz w:val="24"/>
          <w:szCs w:val="24"/>
          <w:highlight w:val="none"/>
          <w:u w:val="single"/>
        </w:rPr>
        <w:t xml:space="preserve">（项目名称）</w:t>
      </w:r>
      <w:r>
        <w:rPr>
          <w:rFonts w:ascii="宋体" w:hAnsi="宋体" w:eastAsia="宋体" w:cs="宋体"/>
          <w:sz w:val="24"/>
          <w:szCs w:val="24"/>
          <w:highlight w:val="none"/>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企业名称（盖章）：</w:t>
      </w:r>
      <w:r/>
    </w:p>
    <w:p>
      <w:pPr>
        <w:ind w:firstLine="40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w:t>
      </w:r>
      <w:r>
        <w:rPr>
          <w:rFonts w:ascii="宋体" w:hAnsi="宋体" w:eastAsia="宋体" w:cs="宋体"/>
          <w:b/>
          <w:bCs/>
          <w:sz w:val="24"/>
          <w:szCs w:val="24"/>
          <w:highlight w:val="none"/>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ascii="宋体" w:hAnsi="宋体" w:eastAsia="宋体" w:cs="宋体"/>
          <w:b/>
          <w:bCs/>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highlight w:val="none"/>
        </w:rPr>
        <w:t xml:space="preserve">。</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ascii="宋体" w:hAnsi="宋体" w:eastAsia="宋体" w:cs="宋体"/>
          <w:b/>
          <w:bCs/>
          <w:sz w:val="24"/>
          <w:szCs w:val="24"/>
          <w:highlight w:val="none"/>
        </w:rPr>
        <w:t xml:space="preserve">从</w:t>
      </w:r>
      <w:r>
        <w:rPr>
          <w:rFonts w:ascii="宋体" w:hAnsi="宋体" w:eastAsia="宋体" w:cs="宋体"/>
          <w:b/>
          <w:sz w:val="24"/>
          <w:szCs w:val="24"/>
          <w:highlight w:val="none"/>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4</w:t>
      </w:r>
      <w:r>
        <w:rPr>
          <w:rFonts w:hint="eastAsia" w:ascii="宋体" w:hAnsi="宋体" w:eastAsia="宋体" w:cs="宋体"/>
          <w:b/>
          <w:sz w:val="24"/>
          <w:szCs w:val="24"/>
          <w:highlight w:val="none"/>
        </w:rPr>
        <w:t xml:space="preserve">.供应商</w:t>
      </w:r>
      <w:r>
        <w:rPr>
          <w:rFonts w:ascii="宋体" w:hAnsi="宋体" w:eastAsia="宋体" w:cs="宋体"/>
          <w:b/>
          <w:sz w:val="24"/>
          <w:szCs w:val="24"/>
          <w:highlight w:val="none"/>
        </w:rPr>
        <w:t xml:space="preserve">所投不同货物的生产制造商信息均需填报。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5</w:t>
      </w:r>
      <w:r>
        <w:rPr>
          <w:rFonts w:hint="eastAsia" w:ascii="宋体" w:hAnsi="宋体" w:eastAsia="宋体" w:cs="宋体"/>
          <w:b/>
          <w:sz w:val="24"/>
          <w:szCs w:val="24"/>
          <w:highlight w:val="none"/>
        </w:rPr>
        <w:t xml:space="preserve">.</w:t>
      </w:r>
      <w:r>
        <w:rPr>
          <w:rFonts w:ascii="宋体" w:hAnsi="宋体" w:eastAsia="宋体" w:cs="宋体"/>
          <w:b/>
          <w:sz w:val="24"/>
          <w:szCs w:val="24"/>
          <w:highlight w:val="none"/>
        </w:rPr>
        <w:t xml:space="preserve">供应商应对照中小企业划分标准和采购标的所属行业：</w:t>
      </w:r>
      <w:r>
        <w:rPr>
          <w:rFonts w:ascii="宋体" w:hAnsi="宋体" w:eastAsia="宋体" w:cs="宋体"/>
          <w:b/>
          <w:sz w:val="24"/>
          <w:szCs w:val="24"/>
          <w:highlight w:val="none"/>
          <w:u w:val="single"/>
        </w:rPr>
        <w:t xml:space="preserve">工业</w:t>
      </w:r>
      <w:r>
        <w:rPr>
          <w:rFonts w:ascii="宋体" w:hAnsi="宋体" w:eastAsia="宋体" w:cs="宋体"/>
          <w:b/>
          <w:sz w:val="24"/>
          <w:szCs w:val="24"/>
          <w:highlight w:val="none"/>
        </w:rPr>
        <w:t xml:space="preserve">，如实、完整填报《中小企业声明函》，如未对（</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中型企业、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小型企业、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微型企业</w:t>
      </w:r>
      <w:r>
        <w:rPr>
          <w:rFonts w:ascii="宋体" w:hAnsi="宋体" w:eastAsia="宋体" w:cs="宋体"/>
          <w:b/>
          <w:sz w:val="24"/>
          <w:szCs w:val="24"/>
          <w:highlight w:val="none"/>
        </w:rPr>
        <w:t xml:space="preserve">）进行勾选，视同非中、小、微企业，不享受相应扶持政策。</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十三、残疾人福利性单位声明函</w:t>
      </w:r>
      <w:r/>
    </w:p>
    <w:p>
      <w:pPr>
        <w:jc w:val="both"/>
        <w:spacing w:line="5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highlight w:val="none"/>
          <w:u w:val="single"/>
        </w:rPr>
        <w:t xml:space="preserve">               </w:t>
      </w:r>
      <w:r>
        <w:rPr>
          <w:rFonts w:ascii="宋体" w:hAnsi="宋体" w:eastAsia="宋体" w:cs="宋体"/>
          <w:b/>
          <w:spacing w:val="6"/>
          <w:sz w:val="24"/>
          <w:highlight w:val="none"/>
          <w:u w:val="single"/>
        </w:rPr>
        <w:t xml:space="preserve">：</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本单位郑重声明，根据《财政部民政部中国残疾人联合会关于促进残疾人就业政府采购政策的通知》（财库</w:t>
      </w:r>
      <w:r>
        <w:rPr>
          <w:rFonts w:ascii="宋体" w:hAnsi="宋体" w:eastAsia="宋体" w:cs="宋体"/>
          <w:sz w:val="24"/>
          <w:highlight w:val="none"/>
        </w:rPr>
        <w:t xml:space="preserve">〔2017〕141</w:t>
      </w:r>
      <w:r>
        <w:rPr>
          <w:rFonts w:ascii="宋体" w:hAnsi="宋体" w:eastAsia="宋体" w:cs="宋体"/>
          <w:spacing w:val="6"/>
          <w:sz w:val="24"/>
          <w:highlight w:val="none"/>
        </w:rPr>
        <w:t xml:space="preserve">号）的规定，本单位为符合条件的残疾人福利性单位，且本单位参加</w:t>
      </w:r>
      <w:r>
        <w:rPr>
          <w:rFonts w:ascii="宋体" w:hAnsi="宋体" w:eastAsia="宋体" w:cs="宋体"/>
          <w:spacing w:val="6"/>
          <w:sz w:val="24"/>
          <w:highlight w:val="none"/>
          <w:u w:val="single"/>
        </w:rPr>
        <w:t xml:space="preserve">（采购单位）</w:t>
      </w:r>
      <w:r>
        <w:rPr>
          <w:rFonts w:ascii="宋体" w:hAnsi="宋体" w:eastAsia="宋体" w:cs="宋体"/>
          <w:spacing w:val="6"/>
          <w:sz w:val="24"/>
          <w:highlight w:val="none"/>
        </w:rPr>
        <w:t xml:space="preserve">单位的</w:t>
      </w:r>
      <w:r>
        <w:rPr>
          <w:rFonts w:ascii="宋体" w:hAnsi="宋体" w:eastAsia="宋体" w:cs="宋体"/>
          <w:sz w:val="24"/>
          <w:highlight w:val="none"/>
          <w:u w:val="single"/>
        </w:rPr>
        <w:t xml:space="preserve">（招标编号及项目名称）</w:t>
      </w:r>
      <w:r>
        <w:rPr>
          <w:rFonts w:ascii="宋体" w:hAnsi="宋体" w:eastAsia="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本单位对上述声明的真实性负责。如有虚假，将依法承担相应责任。</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jc w:val="right"/>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：（单位盖章）</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rPr>
          <w:rFonts w:ascii="宋体" w:hAnsi="宋体" w:eastAsia="宋体" w:cs="宋体"/>
          <w:sz w:val="24"/>
          <w:highlight w:val="none"/>
        </w:rPr>
        <w:t xml:space="preserve">年月日</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rPr>
          <w:rFonts w:ascii="宋体" w:hAnsi="宋体" w:eastAsia="宋体" w:cs="宋体"/>
          <w:sz w:val="24"/>
          <w:highlight w:val="none"/>
        </w:rPr>
      </w:pPr>
      <w:r>
        <w:rPr>
          <w:rFonts w:hint="eastAsia" w:ascii="宋体" w:hAnsi="宋体" w:eastAsia="宋体" w:cs="宋体"/>
          <w:sz w:val="24"/>
          <w:highlight w:val="none"/>
        </w:rPr>
        <w:br w:type="page" w:clear="all"/>
      </w:r>
      <w:r/>
    </w:p>
    <w:p>
      <w:pPr>
        <w:jc w:val="center"/>
        <w:spacing w:line="85" w:lineRule="atLeast"/>
        <w:rPr>
          <w:rFonts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30"/>
          <w:highlight w:val="none"/>
        </w:rPr>
        <w:t xml:space="preserve">十</w:t>
      </w:r>
      <w:r>
        <w:rPr>
          <w:rFonts w:hint="eastAsia" w:ascii="宋体" w:hAnsi="宋体" w:eastAsia="宋体" w:cs="宋体"/>
          <w:b/>
          <w:bCs/>
          <w:sz w:val="30"/>
          <w:highlight w:val="none"/>
        </w:rPr>
        <w:t xml:space="preserve">四</w:t>
      </w:r>
      <w:r>
        <w:rPr>
          <w:rFonts w:ascii="宋体" w:hAnsi="宋体" w:eastAsia="宋体" w:cs="宋体"/>
          <w:b/>
          <w:bCs/>
          <w:sz w:val="30"/>
          <w:highlight w:val="none"/>
        </w:rPr>
        <w:t xml:space="preserve">、关于符合本国产品标准的声明函</w:t>
      </w:r>
      <w:r/>
    </w:p>
    <w:p>
      <w:pPr>
        <w:pStyle w:val="787"/>
        <w:ind w:firstLine="420"/>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78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w:t>
      </w:r>
      <w:r>
        <w:rPr>
          <w:rStyle w:val="795"/>
          <w:rFonts w:hint="eastAsia" w:ascii="宋体" w:hAnsi="宋体" w:eastAsia="宋体" w:cs="宋体"/>
          <w:i w:val="0"/>
          <w:szCs w:val="24"/>
          <w:highlight w:val="none"/>
          <w:u w:val="single"/>
          <w:shd w:val="clear" w:color="auto" w:fill="ffffff"/>
        </w:rPr>
        <w:t xml:space="preserve">（产品名称1）</w:t>
      </w:r>
      <w:r>
        <w:rPr>
          <w:rStyle w:val="795"/>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795"/>
          <w:rFonts w:hint="eastAsia" w:ascii="宋体" w:hAnsi="宋体" w:eastAsia="宋体" w:cs="宋体"/>
          <w:i w:val="0"/>
          <w:szCs w:val="24"/>
          <w:highlight w:val="none"/>
          <w:u w:val="single"/>
          <w:shd w:val="clear" w:color="auto" w:fill="ffffff"/>
        </w:rPr>
        <w:t xml:space="preserve">（厂名）</w:t>
      </w:r>
      <w:r>
        <w:rPr>
          <w:rStyle w:val="795"/>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795"/>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9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的中国境内生产的组件成本占比≥</w:t>
      </w:r>
      <w:r>
        <w:rPr>
          <w:rStyle w:val="795"/>
          <w:rFonts w:hint="eastAsia" w:ascii="宋体" w:hAnsi="宋体" w:eastAsia="宋体" w:cs="宋体"/>
          <w:i w:val="0"/>
          <w:szCs w:val="24"/>
          <w:highlight w:val="none"/>
          <w:u w:val="single"/>
          <w:shd w:val="clear" w:color="auto" w:fill="ffffff"/>
        </w:rPr>
        <w:t xml:space="preserve">（规定比例）</w:t>
      </w:r>
      <w:r>
        <w:rPr>
          <w:rStyle w:val="795"/>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79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95"/>
          <w:rFonts w:hint="eastAsia" w:ascii="宋体" w:hAnsi="宋体" w:eastAsia="宋体" w:cs="宋体"/>
          <w:i w:val="0"/>
          <w:szCs w:val="24"/>
          <w:highlight w:val="none"/>
          <w:u w:val="single"/>
          <w:shd w:val="clear" w:color="auto" w:fill="ffffff"/>
        </w:rPr>
        <w:t xml:space="preserve">（关键组件）</w:t>
      </w:r>
      <w:r>
        <w:rPr>
          <w:rStyle w:val="795"/>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79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95"/>
          <w:rFonts w:hint="eastAsia" w:ascii="宋体" w:hAnsi="宋体" w:eastAsia="宋体" w:cs="宋体"/>
          <w:i w:val="0"/>
          <w:szCs w:val="24"/>
          <w:highlight w:val="none"/>
          <w:u w:val="single"/>
          <w:shd w:val="clear" w:color="auto" w:fill="ffffff"/>
        </w:rPr>
        <w:t xml:space="preserve">（关键工序）</w:t>
      </w:r>
      <w:r>
        <w:rPr>
          <w:rStyle w:val="795"/>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w:t>
      </w:r>
      <w:r>
        <w:rPr>
          <w:rStyle w:val="79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795"/>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795"/>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9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795"/>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79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95"/>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79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95"/>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p>
    <w:p>
      <w:pPr>
        <w:pStyle w:val="78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p>
    <w:p>
      <w:pPr>
        <w:pStyle w:val="787"/>
        <w:spacing w:before="20" w:beforeAutospacing="0" w:after="20" w:afterAutospacing="0" w:line="360" w:lineRule="auto"/>
        <w:rPr>
          <w:rFonts w:ascii="宋体" w:hAnsi="宋体" w:eastAsia="宋体" w:cs="宋体"/>
          <w:szCs w:val="24"/>
          <w:highlight w:val="none"/>
        </w:rPr>
      </w:pPr>
      <w:r>
        <w:rPr>
          <w:rFonts w:ascii="宋体" w:hAnsi="宋体" w:eastAsia="宋体" w:cs="宋体"/>
          <w:szCs w:val="24"/>
          <w:highlight w:val="none"/>
        </w:rPr>
      </w:r>
      <w:r/>
    </w:p>
    <w:p>
      <w:pPr>
        <w:pStyle w:val="787"/>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w:t>
      </w:r>
      <w:r/>
    </w:p>
    <w:p>
      <w:pPr>
        <w:pStyle w:val="787"/>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日期：　年　月　日</w:t>
      </w:r>
      <w:r/>
    </w:p>
    <w:p>
      <w:pPr>
        <w:pStyle w:val="787"/>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78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p>
    <w:p>
      <w:pPr>
        <w:pStyle w:val="78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p>
    <w:p>
      <w:pPr>
        <w:pStyle w:val="78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p>
    <w:p>
      <w:pPr>
        <w:pStyle w:val="787"/>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4.该产品的关键组件要求实施前，“关键组件”栏可不填，下同。</w:t>
      </w:r>
      <w:r/>
    </w:p>
    <w:p>
      <w:pPr>
        <w:pStyle w:val="787"/>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rPr>
          <w:rFonts w:ascii="宋体" w:hAnsi="宋体" w:eastAsia="宋体" w:cs="宋体"/>
          <w:sz w:val="24"/>
          <w:highlight w:val="none"/>
        </w:rPr>
      </w:pPr>
      <w:r>
        <w:rPr>
          <w:rFonts w:ascii="宋体" w:hAnsi="宋体" w:eastAsia="宋体" w:cs="宋体"/>
          <w:sz w:val="24"/>
          <w:highlight w:val="none"/>
        </w:rPr>
        <w:br w:type="page" w:clear="all"/>
      </w:r>
      <w:r/>
    </w:p>
    <w:p>
      <w:pPr>
        <w:jc w:val="center"/>
        <w:spacing w:line="85" w:lineRule="atLeast"/>
        <w:rPr>
          <w:rFonts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30"/>
          <w:highlight w:val="none"/>
        </w:rPr>
        <w:t xml:space="preserve">十五、承诺函</w:t>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致：苏州科技大学/江苏海外集团国际工程咨询有限公司</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我单位参加贵单位实施的编号为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号的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（项目名称）的招标活动。我单位郑重承诺如下：</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hint="eastAsia" w:ascii="宋体" w:hAnsi="宋体" w:eastAsia="宋体" w:cs="宋体"/>
          <w:sz w:val="24"/>
          <w:szCs w:val="24"/>
          <w:highlight w:val="none"/>
        </w:rPr>
        <w:t xml:space="preserve">我单位中标后须安排培训讲师向校方提供免费培训，每年不少于两次（具体培训时间由学校确定），培训方式应包括理论培训和现场培训。我单位须针对不同的培训对象，包括对管理者、各级最终用户和系统管理员等相关技术人员，提出全面、详细的培训计划，包括但不限于培训内容、培训时间、地点。原则上需确保校方参与培训人员完全学会相关知识技能。</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本项目质保期不少于6年，质保期自项目验收合格之日起算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质保期内</w:t>
      </w:r>
      <w:r>
        <w:rPr>
          <w:rFonts w:hint="eastAsia" w:ascii="宋体" w:hAnsi="宋体" w:eastAsia="宋体" w:cs="宋体"/>
          <w:sz w:val="24"/>
          <w:szCs w:val="24"/>
          <w:highlight w:val="none"/>
        </w:rPr>
        <w:t xml:space="preserve">我单位</w:t>
      </w:r>
      <w:r>
        <w:rPr>
          <w:rFonts w:ascii="宋体" w:hAnsi="宋体" w:eastAsia="宋体" w:cs="宋体"/>
          <w:sz w:val="24"/>
          <w:szCs w:val="24"/>
          <w:highlight w:val="none"/>
        </w:rPr>
        <w:t xml:space="preserve">负责本项目内安装的所有设备的维护保养、故障维修、设备更换、电池更换、4G流量卡续费、管理平台维护等工作，确保平台、设备运行正常。每月如实填写维修保养记录，并出具维保情况报告。学校对质保期内维修维护等产生的一切相关费用均不再额外付费。</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本承诺内容真实完整，无隐瞒、虚假陈述。若查实我方单位或任一相关人员存在上述情形，</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有权直接取消我方投标/中标资格，已签订合同的可单方解除合同，我方自愿承担全部损失及相应法律责任，并接受列入供应商黑名单限制后续投标。</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供应商名称（单位公章）：</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法定代表人或</w:t>
      </w:r>
      <w:r>
        <w:rPr>
          <w:rFonts w:hint="eastAsia" w:ascii="宋体" w:hAnsi="宋体" w:eastAsia="宋体" w:cs="宋体"/>
          <w:sz w:val="24"/>
          <w:szCs w:val="24"/>
          <w:highlight w:val="none"/>
        </w:rPr>
        <w:t xml:space="preserve">代理人</w:t>
      </w:r>
      <w:r>
        <w:rPr>
          <w:rFonts w:hint="eastAsia" w:ascii="宋体" w:hAnsi="宋体" w:eastAsia="宋体" w:cs="宋体"/>
          <w:sz w:val="24"/>
          <w:highlight w:val="none"/>
        </w:rPr>
        <w:t xml:space="preserve">（签字或盖章）：</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日期：   年  月  日</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20"/>
        <w:jc w:val="both"/>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highlight w:val="none"/>
        </w:rPr>
        <w:t xml:space="preserve">第四章 采购内容</w:t>
      </w:r>
      <w:bookmarkEnd w:id="3"/>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sz w:val="24"/>
          <w:highlight w:val="none"/>
        </w:rPr>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受</w:t>
      </w:r>
      <w:r>
        <w:rPr>
          <w:rFonts w:hint="eastAsia" w:ascii="宋体" w:hAnsi="宋体" w:eastAsia="宋体" w:cs="宋体"/>
          <w:b/>
          <w:bCs/>
          <w:sz w:val="24"/>
          <w:highlight w:val="none"/>
          <w:u w:val="single"/>
        </w:rPr>
        <w:t xml:space="preserve">苏州科技大学</w:t>
      </w:r>
      <w:r>
        <w:rPr>
          <w:rFonts w:ascii="宋体" w:hAnsi="宋体" w:eastAsia="宋体" w:cs="宋体"/>
          <w:b/>
          <w:bCs/>
          <w:sz w:val="24"/>
          <w:highlight w:val="none"/>
        </w:rPr>
        <w:t xml:space="preserve">的委托，</w:t>
      </w:r>
      <w:r>
        <w:rPr>
          <w:rFonts w:hint="eastAsia" w:ascii="宋体" w:hAnsi="宋体" w:eastAsia="宋体" w:cs="宋体"/>
          <w:b/>
          <w:bCs/>
          <w:sz w:val="24"/>
          <w:highlight w:val="none"/>
        </w:rPr>
        <w:t xml:space="preserve">江苏海外集团国际工程咨询有限公司</w:t>
      </w:r>
      <w:r>
        <w:rPr>
          <w:rFonts w:ascii="宋体" w:hAnsi="宋体" w:eastAsia="宋体" w:cs="宋体"/>
          <w:b/>
          <w:bCs/>
          <w:sz w:val="24"/>
          <w:highlight w:val="none"/>
        </w:rPr>
        <w:t xml:space="preserve">作为</w:t>
      </w:r>
      <w:r>
        <w:rPr>
          <w:rFonts w:hint="eastAsia" w:ascii="宋体" w:hAnsi="宋体" w:eastAsia="宋体" w:cs="宋体"/>
          <w:b/>
          <w:bCs/>
          <w:sz w:val="24"/>
          <w:highlight w:val="none"/>
        </w:rPr>
        <w:t xml:space="preserve">采购</w:t>
      </w:r>
      <w:r>
        <w:rPr>
          <w:rFonts w:hint="eastAsia" w:ascii="宋体" w:hAnsi="宋体" w:eastAsia="宋体" w:cs="宋体"/>
          <w:b/>
          <w:bCs/>
          <w:sz w:val="24"/>
          <w:szCs w:val="24"/>
          <w:highlight w:val="none"/>
        </w:rPr>
        <w:t xml:space="preserve">代理机构，就其</w:t>
      </w:r>
      <w:r>
        <w:rPr>
          <w:rFonts w:hint="eastAsia" w:ascii="宋体" w:hAnsi="宋体" w:eastAsia="宋体" w:cs="宋体"/>
          <w:b/>
          <w:bCs/>
          <w:sz w:val="24"/>
          <w:szCs w:val="24"/>
          <w:highlight w:val="none"/>
          <w:u w:val="single"/>
          <w:lang w:eastAsia="zh-CN"/>
        </w:rPr>
        <w:t xml:space="preserve">苏州科技大学火灾自动报警系统</w:t>
      </w:r>
      <w:r>
        <w:rPr>
          <w:rFonts w:hint="eastAsia" w:ascii="宋体" w:hAnsi="宋体" w:eastAsia="宋体" w:cs="宋体"/>
          <w:b/>
          <w:bCs/>
          <w:sz w:val="24"/>
          <w:szCs w:val="24"/>
          <w:highlight w:val="none"/>
        </w:rPr>
        <w:t xml:space="preserve">进行国内公开招标。</w:t>
      </w:r>
      <w:r/>
    </w:p>
    <w:p>
      <w:pPr>
        <w:ind w:firstLine="482"/>
        <w:spacing w:line="360" w:lineRule="auto"/>
        <w:rPr>
          <w:rFonts w:hint="eastAsia" w:ascii="宋体" w:hAnsi="宋体" w:eastAsia="宋体" w:cs="宋体"/>
          <w:bCs/>
          <w:sz w:val="24"/>
          <w:szCs w:val="24"/>
          <w:highlight w:val="none"/>
          <w:lang w:eastAsia="zh-CN"/>
        </w:rPr>
      </w:pPr>
      <w:r>
        <w:rPr>
          <w:rFonts w:hint="eastAsia" w:ascii="宋体" w:hAnsi="宋体" w:eastAsia="宋体" w:cs="宋体"/>
          <w:b/>
          <w:sz w:val="24"/>
          <w:szCs w:val="24"/>
          <w:highlight w:val="none"/>
        </w:rPr>
        <w:t xml:space="preserve">一、招标编号：</w:t>
      </w:r>
      <w:r>
        <w:rPr>
          <w:rFonts w:hint="eastAsia" w:ascii="宋体" w:hAnsi="宋体" w:eastAsia="宋体" w:cs="宋体"/>
          <w:bCs/>
          <w:sz w:val="24"/>
          <w:szCs w:val="24"/>
          <w:highlight w:val="none"/>
          <w:lang w:eastAsia="zh-CN"/>
        </w:rPr>
        <w:t xml:space="preserve">JSZC-320500-HWZX-G2026-0642</w:t>
      </w:r>
      <w:r/>
    </w:p>
    <w:p>
      <w:pPr>
        <w:ind w:firstLine="482"/>
        <w:spacing w:line="360" w:lineRule="auto"/>
        <w:rPr>
          <w:rFonts w:hint="eastAsia" w:ascii="宋体" w:hAnsi="宋体" w:eastAsia="宋体" w:cs="宋体"/>
          <w:bCs/>
          <w:sz w:val="24"/>
          <w:szCs w:val="24"/>
          <w:highlight w:val="none"/>
          <w:lang w:eastAsia="zh-CN"/>
        </w:rPr>
      </w:pPr>
      <w:r>
        <w:rPr>
          <w:rFonts w:hint="eastAsia" w:ascii="宋体" w:hAnsi="宋体" w:eastAsia="宋体" w:cs="宋体"/>
          <w:b/>
          <w:sz w:val="24"/>
          <w:szCs w:val="24"/>
          <w:highlight w:val="none"/>
        </w:rPr>
        <w:t xml:space="preserve">二、招标内容：</w:t>
      </w:r>
      <w:r>
        <w:rPr>
          <w:rFonts w:hint="eastAsia" w:ascii="宋体" w:hAnsi="宋体" w:eastAsia="宋体" w:cs="宋体"/>
          <w:bCs/>
          <w:sz w:val="24"/>
          <w:szCs w:val="24"/>
          <w:highlight w:val="none"/>
          <w:lang w:eastAsia="zh-CN"/>
        </w:rPr>
        <w:t xml:space="preserve">苏州科技大学火灾自动报警系统</w:t>
      </w:r>
      <w:r/>
    </w:p>
    <w:p>
      <w:pPr>
        <w:ind w:firstLine="482"/>
        <w:spacing w:line="360" w:lineRule="auto"/>
        <w:rPr>
          <w:rFonts w:ascii="宋体" w:hAnsi="宋体" w:eastAsia="宋体" w:cs="宋体"/>
          <w:bCs/>
          <w:sz w:val="24"/>
          <w:szCs w:val="24"/>
          <w:highlight w:val="none"/>
        </w:rPr>
      </w:pPr>
      <w:r>
        <w:rPr>
          <w:rFonts w:hint="eastAsia" w:ascii="宋体" w:hAnsi="宋体" w:eastAsia="宋体" w:cs="宋体"/>
          <w:b/>
          <w:sz w:val="24"/>
          <w:szCs w:val="24"/>
          <w:highlight w:val="none"/>
        </w:rPr>
        <w:t xml:space="preserve">三、预算金额：</w:t>
      </w:r>
      <w:r>
        <w:rPr>
          <w:rFonts w:hint="eastAsia" w:ascii="宋体" w:hAnsi="宋体" w:eastAsia="宋体" w:cs="宋体"/>
          <w:sz w:val="24"/>
          <w:szCs w:val="24"/>
          <w:highlight w:val="none"/>
        </w:rPr>
        <w:t xml:space="preserve">150万元；最高限价：150万元</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四、采购内容</w:t>
      </w:r>
      <w:r/>
    </w:p>
    <w:p>
      <w:pPr>
        <w:ind w:firstLine="482"/>
        <w:spacing w:line="360" w:lineRule="auto"/>
        <w:rPr>
          <w:b/>
          <w:bCs/>
          <w:highlight w:val="none"/>
        </w:rPr>
      </w:pPr>
      <w:r>
        <w:rPr>
          <w:rFonts w:ascii="宋体" w:hAnsi="宋体" w:eastAsia="宋体" w:cs="宋体"/>
          <w:b/>
          <w:bCs/>
          <w:sz w:val="24"/>
          <w:highlight w:val="none"/>
        </w:rPr>
        <w:t xml:space="preserve">1</w:t>
      </w:r>
      <w:r>
        <w:rPr>
          <w:rFonts w:hint="eastAsia" w:ascii="宋体" w:hAnsi="宋体" w:eastAsia="宋体" w:cs="宋体"/>
          <w:b/>
          <w:bCs/>
          <w:sz w:val="24"/>
          <w:highlight w:val="none"/>
        </w:rPr>
        <w:t xml:space="preserve">.</w:t>
      </w:r>
      <w:r>
        <w:rPr>
          <w:rFonts w:ascii="宋体" w:hAnsi="宋体" w:eastAsia="宋体" w:cs="宋体"/>
          <w:b/>
          <w:bCs/>
          <w:sz w:val="24"/>
          <w:highlight w:val="none"/>
        </w:rPr>
        <w:t xml:space="preserve">本项目主要为苏州科技大学各校区人员密集场所安装独立式烟感探测报警器7156个及相应配套系统，各校区布设数量如下：</w:t>
      </w:r>
      <w:r/>
    </w:p>
    <w:tbl>
      <w:tblPr>
        <w:tblStyle w:val="76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852"/>
        <w:gridCol w:w="1525"/>
        <w:gridCol w:w="1624"/>
        <w:gridCol w:w="2428"/>
        <w:gridCol w:w="1855"/>
      </w:tblGrid>
      <w:tr>
        <w:trPr>
          <w:jc w:val="center"/>
          <w:trHeight w:val="300"/>
        </w:trPr>
        <w:tc>
          <w:tcPr>
            <w:tcW w:w="997" w:type="pct"/>
            <w:textDirection w:val="lrTb"/>
            <w:noWrap w:val="false"/>
          </w:tcPr>
          <w:p>
            <w:pPr>
              <w:jc w:val="center"/>
              <w:spacing w:line="431" w:lineRule="exact"/>
              <w:rPr>
                <w:highlight w:val="none"/>
              </w:rPr>
            </w:pPr>
            <w:r>
              <w:rPr>
                <w:rFonts w:ascii="宋体" w:hAnsi="宋体" w:eastAsia="宋体" w:cs="宋体"/>
                <w:b/>
                <w:sz w:val="24"/>
                <w:highlight w:val="none"/>
              </w:rPr>
              <w:t xml:space="preserve">校区</w:t>
            </w:r>
            <w:r/>
          </w:p>
        </w:tc>
        <w:tc>
          <w:tcPr>
            <w:tcW w:w="821" w:type="pct"/>
            <w:textDirection w:val="lrTb"/>
            <w:noWrap w:val="false"/>
          </w:tcPr>
          <w:p>
            <w:pPr>
              <w:jc w:val="center"/>
              <w:spacing w:line="431" w:lineRule="exact"/>
              <w:rPr>
                <w:highlight w:val="none"/>
              </w:rPr>
            </w:pPr>
            <w:r>
              <w:rPr>
                <w:rFonts w:ascii="宋体" w:hAnsi="宋体" w:eastAsia="宋体" w:cs="宋体"/>
                <w:b/>
                <w:sz w:val="24"/>
                <w:highlight w:val="none"/>
              </w:rPr>
              <w:t xml:space="preserve">宿舍</w:t>
            </w:r>
            <w:r/>
          </w:p>
        </w:tc>
        <w:tc>
          <w:tcPr>
            <w:tcW w:w="874" w:type="pct"/>
            <w:textDirection w:val="lrTb"/>
            <w:noWrap w:val="false"/>
          </w:tcPr>
          <w:p>
            <w:pPr>
              <w:jc w:val="center"/>
              <w:spacing w:line="431" w:lineRule="exact"/>
              <w:rPr>
                <w:highlight w:val="none"/>
              </w:rPr>
            </w:pPr>
            <w:r>
              <w:rPr>
                <w:rFonts w:ascii="宋体" w:hAnsi="宋体" w:eastAsia="宋体" w:cs="宋体"/>
                <w:b/>
                <w:sz w:val="24"/>
                <w:highlight w:val="none"/>
              </w:rPr>
              <w:t xml:space="preserve">实验室</w:t>
            </w:r>
            <w:r/>
          </w:p>
        </w:tc>
        <w:tc>
          <w:tcPr>
            <w:tcW w:w="1307" w:type="pct"/>
            <w:textDirection w:val="lrTb"/>
            <w:noWrap w:val="false"/>
          </w:tcPr>
          <w:p>
            <w:pPr>
              <w:jc w:val="center"/>
              <w:spacing w:line="431" w:lineRule="exact"/>
              <w:rPr>
                <w:highlight w:val="none"/>
              </w:rPr>
            </w:pPr>
            <w:r>
              <w:rPr>
                <w:rFonts w:ascii="宋体" w:hAnsi="宋体" w:eastAsia="宋体" w:cs="宋体"/>
                <w:b/>
                <w:sz w:val="24"/>
                <w:highlight w:val="none"/>
              </w:rPr>
              <w:t xml:space="preserve">其他重点区域</w:t>
            </w:r>
            <w:r/>
          </w:p>
        </w:tc>
        <w:tc>
          <w:tcPr>
            <w:tcW w:w="998" w:type="pct"/>
            <w:textDirection w:val="lrTb"/>
            <w:noWrap w:val="false"/>
          </w:tcPr>
          <w:p>
            <w:pPr>
              <w:jc w:val="center"/>
              <w:spacing w:line="431" w:lineRule="exact"/>
              <w:rPr>
                <w:highlight w:val="none"/>
              </w:rPr>
            </w:pPr>
            <w:r>
              <w:rPr>
                <w:rFonts w:ascii="宋体" w:hAnsi="宋体" w:eastAsia="宋体" w:cs="宋体"/>
                <w:b/>
                <w:sz w:val="24"/>
                <w:highlight w:val="none"/>
              </w:rPr>
              <w:t xml:space="preserve">合计</w:t>
            </w:r>
            <w:r/>
          </w:p>
        </w:tc>
      </w:tr>
      <w:tr>
        <w:trPr>
          <w:jc w:val="center"/>
          <w:trHeight w:val="300"/>
        </w:trPr>
        <w:tc>
          <w:tcPr>
            <w:tcW w:w="997" w:type="pct"/>
            <w:textDirection w:val="lrTb"/>
            <w:noWrap w:val="false"/>
          </w:tcPr>
          <w:p>
            <w:pPr>
              <w:jc w:val="center"/>
              <w:spacing w:line="431" w:lineRule="exact"/>
              <w:rPr>
                <w:highlight w:val="none"/>
              </w:rPr>
            </w:pPr>
            <w:r>
              <w:rPr>
                <w:rFonts w:ascii="宋体" w:hAnsi="宋体" w:eastAsia="宋体" w:cs="宋体"/>
                <w:b/>
                <w:sz w:val="24"/>
                <w:highlight w:val="none"/>
              </w:rPr>
              <w:t xml:space="preserve">石湖校区</w:t>
            </w:r>
            <w:r/>
          </w:p>
        </w:tc>
        <w:tc>
          <w:tcPr>
            <w:tcW w:w="821" w:type="pct"/>
            <w:textDirection w:val="lrTb"/>
            <w:noWrap w:val="false"/>
          </w:tcPr>
          <w:p>
            <w:pPr>
              <w:jc w:val="center"/>
              <w:spacing w:line="431" w:lineRule="exact"/>
              <w:rPr>
                <w:highlight w:val="none"/>
              </w:rPr>
            </w:pPr>
            <w:r>
              <w:rPr>
                <w:rFonts w:ascii="宋体" w:hAnsi="宋体" w:eastAsia="宋体" w:cs="宋体"/>
                <w:sz w:val="24"/>
                <w:highlight w:val="none"/>
              </w:rPr>
              <w:t xml:space="preserve">3250</w:t>
            </w:r>
            <w:r/>
          </w:p>
        </w:tc>
        <w:tc>
          <w:tcPr>
            <w:tcW w:w="874" w:type="pct"/>
            <w:textDirection w:val="lrTb"/>
            <w:noWrap w:val="false"/>
          </w:tcPr>
          <w:p>
            <w:pPr>
              <w:jc w:val="center"/>
              <w:spacing w:line="431" w:lineRule="exact"/>
              <w:rPr>
                <w:highlight w:val="none"/>
              </w:rPr>
            </w:pPr>
            <w:r>
              <w:rPr>
                <w:rFonts w:ascii="宋体" w:hAnsi="宋体" w:eastAsia="宋体" w:cs="宋体"/>
                <w:sz w:val="24"/>
                <w:highlight w:val="none"/>
              </w:rPr>
              <w:t xml:space="preserve">554</w:t>
            </w:r>
            <w:r/>
          </w:p>
        </w:tc>
        <w:tc>
          <w:tcPr>
            <w:tcW w:w="1307" w:type="pct"/>
            <w:textDirection w:val="lrTb"/>
            <w:noWrap w:val="false"/>
          </w:tcPr>
          <w:p>
            <w:pPr>
              <w:jc w:val="center"/>
              <w:spacing w:line="431" w:lineRule="exact"/>
              <w:rPr>
                <w:highlight w:val="none"/>
              </w:rPr>
            </w:pPr>
            <w:r>
              <w:rPr>
                <w:rFonts w:ascii="宋体" w:hAnsi="宋体" w:eastAsia="宋体" w:cs="宋体"/>
                <w:sz w:val="24"/>
                <w:highlight w:val="none"/>
              </w:rPr>
              <w:t xml:space="preserve">185</w:t>
            </w:r>
            <w:r/>
          </w:p>
        </w:tc>
        <w:tc>
          <w:tcPr>
            <w:tcW w:w="998" w:type="pct"/>
            <w:textDirection w:val="lrTb"/>
            <w:noWrap w:val="false"/>
          </w:tcPr>
          <w:p>
            <w:pPr>
              <w:jc w:val="center"/>
              <w:spacing w:line="431" w:lineRule="exact"/>
              <w:rPr>
                <w:highlight w:val="none"/>
              </w:rPr>
            </w:pPr>
            <w:r>
              <w:rPr>
                <w:rFonts w:ascii="宋体" w:hAnsi="宋体" w:eastAsia="宋体" w:cs="宋体"/>
                <w:sz w:val="24"/>
                <w:highlight w:val="none"/>
              </w:rPr>
              <w:t xml:space="preserve">3989</w:t>
            </w:r>
            <w:r/>
          </w:p>
        </w:tc>
      </w:tr>
      <w:tr>
        <w:trPr>
          <w:jc w:val="center"/>
          <w:trHeight w:val="300"/>
        </w:trPr>
        <w:tc>
          <w:tcPr>
            <w:tcW w:w="997" w:type="pct"/>
            <w:textDirection w:val="lrTb"/>
            <w:noWrap w:val="false"/>
          </w:tcPr>
          <w:p>
            <w:pPr>
              <w:jc w:val="center"/>
              <w:spacing w:line="431" w:lineRule="exact"/>
              <w:rPr>
                <w:highlight w:val="none"/>
              </w:rPr>
            </w:pPr>
            <w:r>
              <w:rPr>
                <w:rFonts w:ascii="宋体" w:hAnsi="宋体" w:eastAsia="宋体" w:cs="宋体"/>
                <w:b/>
                <w:sz w:val="24"/>
                <w:highlight w:val="none"/>
              </w:rPr>
              <w:t xml:space="preserve">江枫校区</w:t>
            </w:r>
            <w:r/>
          </w:p>
        </w:tc>
        <w:tc>
          <w:tcPr>
            <w:tcW w:w="821" w:type="pct"/>
            <w:textDirection w:val="lrTb"/>
            <w:noWrap w:val="false"/>
          </w:tcPr>
          <w:p>
            <w:pPr>
              <w:jc w:val="center"/>
              <w:spacing w:line="431" w:lineRule="exact"/>
              <w:rPr>
                <w:highlight w:val="none"/>
              </w:rPr>
            </w:pPr>
            <w:r>
              <w:rPr>
                <w:rFonts w:ascii="宋体" w:hAnsi="宋体" w:eastAsia="宋体" w:cs="宋体"/>
                <w:sz w:val="24"/>
                <w:highlight w:val="none"/>
              </w:rPr>
              <w:t xml:space="preserve">1250</w:t>
            </w:r>
            <w:r/>
          </w:p>
        </w:tc>
        <w:tc>
          <w:tcPr>
            <w:tcW w:w="874" w:type="pct"/>
            <w:textDirection w:val="lrTb"/>
            <w:noWrap w:val="false"/>
          </w:tcPr>
          <w:p>
            <w:pPr>
              <w:jc w:val="center"/>
              <w:spacing w:line="431" w:lineRule="exact"/>
              <w:rPr>
                <w:highlight w:val="none"/>
              </w:rPr>
            </w:pPr>
            <w:r>
              <w:rPr>
                <w:rFonts w:ascii="宋体" w:hAnsi="宋体" w:eastAsia="宋体" w:cs="宋体"/>
                <w:sz w:val="24"/>
                <w:highlight w:val="none"/>
              </w:rPr>
              <w:t xml:space="preserve">141</w:t>
            </w:r>
            <w:r/>
          </w:p>
        </w:tc>
        <w:tc>
          <w:tcPr>
            <w:tcW w:w="1307" w:type="pct"/>
            <w:textDirection w:val="lrTb"/>
            <w:noWrap w:val="false"/>
          </w:tcPr>
          <w:p>
            <w:pPr>
              <w:jc w:val="center"/>
              <w:spacing w:line="431" w:lineRule="exact"/>
              <w:rPr>
                <w:highlight w:val="none"/>
              </w:rPr>
            </w:pPr>
            <w:r>
              <w:rPr>
                <w:rFonts w:ascii="宋体" w:hAnsi="宋体" w:eastAsia="宋体" w:cs="宋体"/>
                <w:sz w:val="24"/>
                <w:highlight w:val="none"/>
              </w:rPr>
              <w:t xml:space="preserve">95</w:t>
            </w:r>
            <w:r/>
          </w:p>
        </w:tc>
        <w:tc>
          <w:tcPr>
            <w:tcW w:w="998" w:type="pct"/>
            <w:textDirection w:val="lrTb"/>
            <w:noWrap w:val="false"/>
          </w:tcPr>
          <w:p>
            <w:pPr>
              <w:jc w:val="center"/>
              <w:spacing w:line="431" w:lineRule="exact"/>
              <w:rPr>
                <w:highlight w:val="none"/>
              </w:rPr>
            </w:pPr>
            <w:r>
              <w:rPr>
                <w:rFonts w:ascii="宋体" w:hAnsi="宋体" w:eastAsia="宋体" w:cs="宋体"/>
                <w:sz w:val="24"/>
                <w:highlight w:val="none"/>
              </w:rPr>
              <w:t xml:space="preserve">1486</w:t>
            </w:r>
            <w:r/>
          </w:p>
        </w:tc>
      </w:tr>
      <w:tr>
        <w:trPr>
          <w:jc w:val="center"/>
          <w:trHeight w:val="300"/>
        </w:trPr>
        <w:tc>
          <w:tcPr>
            <w:tcW w:w="997" w:type="pct"/>
            <w:textDirection w:val="lrTb"/>
            <w:noWrap w:val="false"/>
          </w:tcPr>
          <w:p>
            <w:pPr>
              <w:jc w:val="center"/>
              <w:spacing w:line="431" w:lineRule="exact"/>
              <w:rPr>
                <w:highlight w:val="none"/>
              </w:rPr>
            </w:pPr>
            <w:r>
              <w:rPr>
                <w:rFonts w:ascii="宋体" w:hAnsi="宋体" w:eastAsia="宋体" w:cs="宋体"/>
                <w:b/>
                <w:sz w:val="24"/>
                <w:highlight w:val="none"/>
              </w:rPr>
              <w:t xml:space="preserve">天平校区</w:t>
            </w:r>
            <w:r/>
          </w:p>
        </w:tc>
        <w:tc>
          <w:tcPr>
            <w:tcW w:w="821" w:type="pct"/>
            <w:textDirection w:val="lrTb"/>
            <w:noWrap w:val="false"/>
          </w:tcPr>
          <w:p>
            <w:pPr>
              <w:jc w:val="center"/>
              <w:spacing w:line="431" w:lineRule="exact"/>
              <w:rPr>
                <w:highlight w:val="none"/>
              </w:rPr>
            </w:pPr>
            <w:r>
              <w:rPr>
                <w:rFonts w:ascii="宋体" w:hAnsi="宋体" w:eastAsia="宋体" w:cs="宋体"/>
                <w:sz w:val="24"/>
                <w:highlight w:val="none"/>
              </w:rPr>
              <w:t xml:space="preserve">1484</w:t>
            </w:r>
            <w:r/>
          </w:p>
        </w:tc>
        <w:tc>
          <w:tcPr>
            <w:tcW w:w="874" w:type="pct"/>
            <w:textDirection w:val="lrTb"/>
            <w:noWrap w:val="false"/>
          </w:tcPr>
          <w:p>
            <w:pPr>
              <w:jc w:val="center"/>
              <w:spacing w:line="431" w:lineRule="exact"/>
              <w:rPr>
                <w:highlight w:val="none"/>
              </w:rPr>
            </w:pPr>
            <w:r>
              <w:rPr>
                <w:rFonts w:ascii="宋体" w:hAnsi="宋体" w:eastAsia="宋体" w:cs="宋体"/>
                <w:sz w:val="24"/>
                <w:highlight w:val="none"/>
              </w:rPr>
              <w:t xml:space="preserve">50</w:t>
            </w:r>
            <w:r/>
          </w:p>
        </w:tc>
        <w:tc>
          <w:tcPr>
            <w:tcW w:w="1307" w:type="pct"/>
            <w:textDirection w:val="lrTb"/>
            <w:noWrap w:val="false"/>
          </w:tcPr>
          <w:p>
            <w:pPr>
              <w:jc w:val="center"/>
              <w:spacing w:line="431" w:lineRule="exact"/>
              <w:rPr>
                <w:highlight w:val="none"/>
              </w:rPr>
            </w:pPr>
            <w:r>
              <w:rPr>
                <w:rFonts w:ascii="宋体" w:hAnsi="宋体" w:eastAsia="宋体" w:cs="宋体"/>
                <w:sz w:val="24"/>
                <w:highlight w:val="none"/>
              </w:rPr>
              <w:t xml:space="preserve">147</w:t>
            </w:r>
            <w:r/>
          </w:p>
        </w:tc>
        <w:tc>
          <w:tcPr>
            <w:tcW w:w="998" w:type="pct"/>
            <w:textDirection w:val="lrTb"/>
            <w:noWrap w:val="false"/>
          </w:tcPr>
          <w:p>
            <w:pPr>
              <w:jc w:val="center"/>
              <w:spacing w:line="431" w:lineRule="exact"/>
              <w:rPr>
                <w:highlight w:val="none"/>
              </w:rPr>
            </w:pPr>
            <w:r>
              <w:rPr>
                <w:rFonts w:ascii="宋体" w:hAnsi="宋体" w:eastAsia="宋体" w:cs="宋体"/>
                <w:sz w:val="24"/>
                <w:highlight w:val="none"/>
              </w:rPr>
              <w:t xml:space="preserve">1681</w:t>
            </w:r>
            <w:r/>
          </w:p>
        </w:tc>
      </w:tr>
      <w:tr>
        <w:trPr>
          <w:jc w:val="center"/>
          <w:trHeight w:val="300"/>
        </w:trPr>
        <w:tc>
          <w:tcPr>
            <w:tcW w:w="997" w:type="pct"/>
            <w:textDirection w:val="lrTb"/>
            <w:noWrap w:val="false"/>
          </w:tcPr>
          <w:p>
            <w:pPr>
              <w:jc w:val="center"/>
              <w:spacing w:line="431" w:lineRule="exact"/>
              <w:rPr>
                <w:highlight w:val="none"/>
              </w:rPr>
            </w:pPr>
            <w:r>
              <w:rPr>
                <w:rFonts w:ascii="宋体" w:hAnsi="宋体" w:eastAsia="宋体" w:cs="宋体"/>
                <w:b/>
                <w:sz w:val="24"/>
                <w:highlight w:val="none"/>
              </w:rPr>
              <w:t xml:space="preserve">合计</w:t>
            </w:r>
            <w:r/>
          </w:p>
        </w:tc>
        <w:tc>
          <w:tcPr>
            <w:tcW w:w="821" w:type="pct"/>
            <w:textDirection w:val="lrTb"/>
            <w:noWrap w:val="false"/>
          </w:tcPr>
          <w:p>
            <w:pPr>
              <w:jc w:val="center"/>
              <w:spacing w:line="431" w:lineRule="exact"/>
              <w:rPr>
                <w:highlight w:val="none"/>
              </w:rPr>
            </w:pPr>
            <w:r>
              <w:rPr>
                <w:rFonts w:ascii="宋体" w:hAnsi="宋体" w:eastAsia="宋体" w:cs="宋体"/>
                <w:sz w:val="24"/>
                <w:highlight w:val="none"/>
              </w:rPr>
              <w:t xml:space="preserve">5984</w:t>
            </w:r>
            <w:r/>
          </w:p>
        </w:tc>
        <w:tc>
          <w:tcPr>
            <w:tcW w:w="874" w:type="pct"/>
            <w:textDirection w:val="lrTb"/>
            <w:noWrap w:val="false"/>
          </w:tcPr>
          <w:p>
            <w:pPr>
              <w:jc w:val="center"/>
              <w:spacing w:line="431" w:lineRule="exact"/>
              <w:rPr>
                <w:highlight w:val="none"/>
              </w:rPr>
            </w:pPr>
            <w:r>
              <w:rPr>
                <w:rFonts w:hint="eastAsia" w:ascii="宋体" w:hAnsi="宋体" w:eastAsia="宋体" w:cs="宋体"/>
                <w:sz w:val="24"/>
                <w:highlight w:val="none"/>
                <w:lang w:val="en-US" w:eastAsia="zh-CN"/>
              </w:rPr>
              <w:t xml:space="preserve">74</w:t>
            </w:r>
            <w:r>
              <w:rPr>
                <w:rFonts w:ascii="宋体" w:hAnsi="宋体" w:eastAsia="宋体" w:cs="宋体"/>
                <w:sz w:val="24"/>
                <w:highlight w:val="none"/>
              </w:rPr>
              <w:t xml:space="preserve">5</w:t>
            </w:r>
            <w:r/>
          </w:p>
        </w:tc>
        <w:tc>
          <w:tcPr>
            <w:tcW w:w="1307" w:type="pct"/>
            <w:textDirection w:val="lrTb"/>
            <w:noWrap w:val="false"/>
          </w:tcPr>
          <w:p>
            <w:pPr>
              <w:jc w:val="center"/>
              <w:spacing w:line="431" w:lineRule="exact"/>
              <w:rPr>
                <w:highlight w:val="none"/>
              </w:rPr>
            </w:pPr>
            <w:r>
              <w:rPr>
                <w:rFonts w:ascii="宋体" w:hAnsi="宋体" w:eastAsia="宋体" w:cs="宋体"/>
                <w:sz w:val="24"/>
                <w:highlight w:val="none"/>
              </w:rPr>
              <w:t xml:space="preserve">427</w:t>
            </w:r>
            <w:r/>
          </w:p>
        </w:tc>
        <w:tc>
          <w:tcPr>
            <w:tcW w:w="998" w:type="pct"/>
            <w:textDirection w:val="lrTb"/>
            <w:noWrap w:val="false"/>
          </w:tcPr>
          <w:p>
            <w:pPr>
              <w:jc w:val="center"/>
              <w:spacing w:line="431" w:lineRule="exact"/>
              <w:rPr>
                <w:highlight w:val="none"/>
              </w:rPr>
            </w:pPr>
            <w:r>
              <w:rPr>
                <w:rFonts w:ascii="宋体" w:hAnsi="宋体" w:eastAsia="宋体" w:cs="宋体"/>
                <w:sz w:val="24"/>
                <w:highlight w:val="none"/>
              </w:rPr>
              <w:t xml:space="preserve">7156</w:t>
            </w:r>
            <w:r/>
          </w:p>
        </w:tc>
      </w:tr>
    </w:tbl>
    <w:p>
      <w:pPr>
        <w:ind w:firstLine="482"/>
        <w:spacing w:before="120" w:line="360" w:lineRule="auto"/>
        <w:rPr>
          <w:b/>
          <w:bCs/>
          <w:highlight w:val="none"/>
        </w:rPr>
      </w:pPr>
      <w:r>
        <w:rPr>
          <w:rFonts w:ascii="宋体" w:hAnsi="宋体" w:eastAsia="宋体" w:cs="宋体"/>
          <w:b/>
          <w:bCs/>
          <w:sz w:val="24"/>
          <w:highlight w:val="none"/>
        </w:rPr>
        <w:t xml:space="preserve">2.采购清单及</w:t>
      </w:r>
      <w:r>
        <w:rPr>
          <w:rFonts w:hint="eastAsia" w:ascii="宋体" w:hAnsi="宋体" w:eastAsia="宋体" w:cs="宋体"/>
          <w:b/>
          <w:bCs/>
          <w:sz w:val="24"/>
          <w:highlight w:val="none"/>
        </w:rPr>
        <w:t xml:space="preserve">技术</w:t>
      </w:r>
      <w:r>
        <w:rPr>
          <w:rFonts w:ascii="宋体" w:hAnsi="宋体" w:eastAsia="宋体" w:cs="宋体"/>
          <w:b/>
          <w:bCs/>
          <w:sz w:val="24"/>
          <w:highlight w:val="none"/>
        </w:rPr>
        <w:t xml:space="preserve">参数</w:t>
      </w:r>
      <w:r/>
    </w:p>
    <w:tbl>
      <w:tblPr>
        <w:tblStyle w:val="76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73"/>
        <w:gridCol w:w="2215"/>
        <w:gridCol w:w="5762"/>
        <w:gridCol w:w="734"/>
      </w:tblGrid>
      <w:tr>
        <w:trPr>
          <w:jc w:val="center"/>
          <w:trHeight w:val="300"/>
        </w:trPr>
        <w:tc>
          <w:tcPr>
            <w:tcW w:w="309" w:type="pct"/>
            <w:vAlign w:val="center"/>
            <w:textDirection w:val="lrTb"/>
            <w:noWrap w:val="false"/>
          </w:tcPr>
          <w:p>
            <w:pPr>
              <w:jc w:val="center"/>
              <w:spacing w:line="351" w:lineRule="exact"/>
              <w:rPr>
                <w:rFonts w:ascii="宋体" w:hAnsi="宋体" w:eastAsia="宋体" w:cs="宋体"/>
                <w:sz w:val="24"/>
                <w:szCs w:val="24"/>
                <w:highlight w:val="none"/>
              </w:rPr>
            </w:pPr>
            <w:r>
              <w:rPr>
                <w:rFonts w:ascii="宋体" w:hAnsi="宋体" w:eastAsia="宋体" w:cs="宋体"/>
                <w:b/>
                <w:sz w:val="24"/>
                <w:szCs w:val="24"/>
                <w:highlight w:val="none"/>
              </w:rPr>
              <w:t xml:space="preserve">序号</w:t>
            </w:r>
            <w:r/>
          </w:p>
        </w:tc>
        <w:tc>
          <w:tcPr>
            <w:tcW w:w="1192" w:type="pct"/>
            <w:vAlign w:val="center"/>
            <w:textDirection w:val="lrTb"/>
            <w:noWrap w:val="false"/>
          </w:tcPr>
          <w:p>
            <w:pPr>
              <w:jc w:val="center"/>
              <w:spacing w:line="351" w:lineRule="exact"/>
              <w:rPr>
                <w:rFonts w:ascii="宋体" w:hAnsi="宋体" w:eastAsia="宋体" w:cs="宋体"/>
                <w:sz w:val="24"/>
                <w:szCs w:val="24"/>
                <w:highlight w:val="none"/>
              </w:rPr>
            </w:pPr>
            <w:r>
              <w:rPr>
                <w:rFonts w:ascii="宋体" w:hAnsi="宋体" w:eastAsia="宋体" w:cs="宋体"/>
                <w:b/>
                <w:sz w:val="24"/>
                <w:szCs w:val="24"/>
                <w:highlight w:val="none"/>
              </w:rPr>
              <w:t xml:space="preserve">设备名称</w:t>
            </w:r>
            <w:r/>
          </w:p>
        </w:tc>
        <w:tc>
          <w:tcPr>
            <w:tcW w:w="3101" w:type="pct"/>
            <w:vAlign w:val="center"/>
            <w:textDirection w:val="lrTb"/>
            <w:noWrap w:val="false"/>
          </w:tcPr>
          <w:p>
            <w:pPr>
              <w:jc w:val="center"/>
              <w:spacing w:line="351" w:lineRule="exact"/>
              <w:rPr>
                <w:rFonts w:ascii="宋体" w:hAnsi="宋体" w:eastAsia="宋体" w:cs="宋体"/>
                <w:sz w:val="24"/>
                <w:szCs w:val="24"/>
                <w:highlight w:val="none"/>
              </w:rPr>
            </w:pPr>
            <w:r>
              <w:rPr>
                <w:rFonts w:ascii="宋体" w:hAnsi="宋体" w:eastAsia="宋体" w:cs="宋体"/>
                <w:b/>
                <w:sz w:val="24"/>
                <w:szCs w:val="24"/>
                <w:highlight w:val="none"/>
              </w:rPr>
              <w:t xml:space="preserve">参数要求</w:t>
            </w:r>
            <w:r/>
          </w:p>
        </w:tc>
        <w:tc>
          <w:tcPr>
            <w:tcW w:w="395" w:type="pct"/>
            <w:vAlign w:val="center"/>
            <w:textDirection w:val="lrTb"/>
            <w:noWrap w:val="false"/>
          </w:tcPr>
          <w:p>
            <w:pPr>
              <w:jc w:val="center"/>
              <w:spacing w:line="351" w:lineRule="exact"/>
              <w:rPr>
                <w:rFonts w:ascii="宋体" w:hAnsi="宋体" w:eastAsia="宋体" w:cs="宋体"/>
                <w:sz w:val="24"/>
                <w:szCs w:val="24"/>
                <w:highlight w:val="none"/>
              </w:rPr>
            </w:pPr>
            <w:r>
              <w:rPr>
                <w:rFonts w:ascii="宋体" w:hAnsi="宋体" w:eastAsia="宋体" w:cs="宋体"/>
                <w:b/>
                <w:sz w:val="24"/>
                <w:szCs w:val="24"/>
                <w:highlight w:val="none"/>
              </w:rPr>
              <w:t xml:space="preserve">数量</w:t>
            </w:r>
            <w:r/>
          </w:p>
        </w:tc>
      </w:tr>
      <w:tr>
        <w:trPr>
          <w:jc w:val="center"/>
          <w:trHeight w:val="300"/>
        </w:trPr>
        <w:tc>
          <w:tcPr>
            <w:shd w:val="clear" w:color="auto" w:fill="ffffff"/>
            <w:tcW w:w="309" w:type="pct"/>
            <w:vAlign w:val="center"/>
            <w:textDirection w:val="lrTb"/>
            <w:noWrap w:val="false"/>
          </w:tcPr>
          <w:p>
            <w:pPr>
              <w:jc w:val="cente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1</w:t>
            </w:r>
            <w:r/>
          </w:p>
        </w:tc>
        <w:tc>
          <w:tcPr>
            <w:shd w:val="clear" w:color="auto" w:fill="ffffff"/>
            <w:tcW w:w="1192" w:type="pct"/>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t xml:space="preserve">独立式感烟探测报警器</w:t>
            </w:r>
            <w:r>
              <w:rPr>
                <w:rFonts w:ascii="宋体" w:hAnsi="宋体" w:eastAsia="宋体" w:cs="宋体"/>
                <w:b/>
                <w:bCs/>
                <w:sz w:val="24"/>
                <w:szCs w:val="24"/>
                <w:highlight w:val="none"/>
              </w:rPr>
              <w:t xml:space="preserve">（本项目核心产品）</w:t>
            </w:r>
            <w:r/>
          </w:p>
        </w:tc>
        <w:tc>
          <w:tcPr>
            <w:shd w:val="clear" w:color="auto" w:fill="ffffff"/>
            <w:tcW w:w="3101" w:type="pct"/>
            <w:vAlign w:val="center"/>
            <w:textDirection w:val="lrTb"/>
            <w:noWrap w:val="false"/>
          </w:tcPr>
          <w:p>
            <w:pPr>
              <w:spacing w:line="431" w:lineRule="exact"/>
              <w:rPr>
                <w:rFonts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ascii="宋体" w:hAnsi="宋体" w:eastAsia="宋体" w:cs="宋体"/>
                <w:sz w:val="24"/>
                <w:szCs w:val="24"/>
                <w:highlight w:val="none"/>
              </w:rPr>
              <w:t xml:space="preserve">（1）产品需符合</w:t>
            </w:r>
            <w:r>
              <w:rPr>
                <w:rFonts w:hint="eastAsia" w:ascii="宋体" w:hAnsi="宋体" w:eastAsia="宋体" w:cs="宋体"/>
                <w:sz w:val="24"/>
                <w:szCs w:val="24"/>
                <w:highlight w:val="none"/>
              </w:rPr>
              <w:t xml:space="preserve">GB 20517-2025</w:t>
            </w:r>
            <w:r>
              <w:rPr>
                <w:rFonts w:ascii="宋体" w:hAnsi="宋体" w:eastAsia="宋体" w:cs="宋体"/>
                <w:sz w:val="24"/>
                <w:szCs w:val="24"/>
                <w:highlight w:val="none"/>
              </w:rPr>
              <w:t xml:space="preserve">《独立式感烟火灾探测报警器》要求，取得应急管理部消防产品合格评定中心出具的强制性产品认证证书（提供应急管理部消防产品合格评定中心出具的强制性产品认证证书</w:t>
            </w:r>
            <w:r>
              <w:rPr>
                <w:rFonts w:hint="eastAsia" w:ascii="宋体" w:hAnsi="宋体" w:eastAsia="宋体" w:cs="宋体"/>
                <w:sz w:val="24"/>
                <w:szCs w:val="24"/>
                <w:highlight w:val="none"/>
              </w:rPr>
              <w:t xml:space="preserve">扫描件</w:t>
            </w:r>
            <w:r>
              <w:rPr>
                <w:rFonts w:ascii="宋体" w:hAnsi="宋体" w:eastAsia="宋体" w:cs="宋体"/>
                <w:sz w:val="24"/>
                <w:szCs w:val="24"/>
                <w:highlight w:val="none"/>
              </w:rPr>
              <w:t xml:space="preserve">）。</w:t>
            </w:r>
            <w:r/>
          </w:p>
          <w:p>
            <w:pPr>
              <w:spacing w:line="431" w:lineRule="exact"/>
              <w:rPr>
                <w:rFonts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ascii="宋体" w:hAnsi="宋体" w:eastAsia="宋体" w:cs="宋体"/>
                <w:sz w:val="24"/>
                <w:szCs w:val="24"/>
                <w:highlight w:val="none"/>
              </w:rPr>
              <w:t xml:space="preserve">（2）产品需符合</w:t>
            </w:r>
            <w:r>
              <w:rPr>
                <w:rFonts w:hint="eastAsia" w:ascii="宋体" w:hAnsi="宋体" w:eastAsia="宋体" w:cs="宋体"/>
                <w:sz w:val="24"/>
                <w:szCs w:val="24"/>
                <w:highlight w:val="none"/>
              </w:rPr>
              <w:t xml:space="preserve">GB 20517-2025</w:t>
            </w:r>
            <w:r>
              <w:rPr>
                <w:rFonts w:ascii="宋体" w:hAnsi="宋体" w:eastAsia="宋体" w:cs="宋体"/>
                <w:sz w:val="24"/>
                <w:szCs w:val="24"/>
                <w:highlight w:val="none"/>
              </w:rPr>
              <w:t xml:space="preserve">《独立式感烟火灾探测报警器》要求，并取得国家消防电子产品质量检验检测中心出具的型式试验报告（提供国家消防电子产品质量检验检测中心出具的型式试验报告</w:t>
            </w:r>
            <w:r>
              <w:rPr>
                <w:rFonts w:hint="eastAsia" w:ascii="宋体" w:hAnsi="宋体" w:eastAsia="宋体" w:cs="宋体"/>
                <w:sz w:val="24"/>
                <w:szCs w:val="24"/>
                <w:highlight w:val="none"/>
              </w:rPr>
              <w:t xml:space="preserve">扫描件</w:t>
            </w:r>
            <w:r>
              <w:rPr>
                <w:rFonts w:ascii="宋体" w:hAnsi="宋体" w:eastAsia="宋体" w:cs="宋体"/>
                <w:sz w:val="24"/>
                <w:szCs w:val="24"/>
                <w:highlight w:val="none"/>
              </w:rPr>
              <w:t xml:space="preserve">）。</w:t>
            </w:r>
            <w:r/>
          </w:p>
          <w:p>
            <w:pPr>
              <w:spacing w:line="431"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（3）产品具有有效期内产品责任险，保险期内因设备问题导致意外事故，每次事故赔偿限额（其他货币单位按汇率换算为人民币计算）≥5000万元人民币。（提供消防产品责任险（凭证）</w:t>
            </w:r>
            <w:r>
              <w:rPr>
                <w:rFonts w:hint="eastAsia" w:ascii="宋体" w:hAnsi="宋体" w:eastAsia="宋体" w:cs="宋体"/>
                <w:sz w:val="24"/>
                <w:szCs w:val="24"/>
                <w:highlight w:val="none"/>
              </w:rPr>
              <w:t xml:space="preserve">扫描件</w:t>
            </w:r>
            <w:r>
              <w:rPr>
                <w:rFonts w:ascii="宋体" w:hAnsi="宋体" w:eastAsia="宋体" w:cs="宋体"/>
                <w:sz w:val="24"/>
                <w:szCs w:val="24"/>
                <w:highlight w:val="none"/>
              </w:rPr>
              <w:t xml:space="preserve">并加盖公章证明</w:t>
            </w:r>
            <w:r>
              <w:rPr>
                <w:rFonts w:hint="eastAsia" w:ascii="宋体" w:hAnsi="宋体" w:eastAsia="宋体" w:cs="宋体"/>
                <w:sz w:val="24"/>
                <w:szCs w:val="24"/>
                <w:highlight w:val="none"/>
                <w:lang w:val="en-US" w:eastAsia="zh-CN"/>
              </w:rPr>
              <w:t xml:space="preserve">或提供中标</w:t>
            </w:r>
            <w:r>
              <w:rPr>
                <w:rFonts w:hint="eastAsia" w:ascii="宋体" w:hAnsi="宋体" w:eastAsia="宋体" w:cs="宋体"/>
                <w:sz w:val="24"/>
                <w:szCs w:val="24"/>
                <w:highlight w:val="none"/>
                <w:lang w:val="en-US" w:eastAsia="zh-CN"/>
              </w:rPr>
              <w:t xml:space="preserve">后投保的承诺函</w:t>
            </w:r>
            <w:r>
              <w:rPr>
                <w:rFonts w:ascii="宋体" w:hAnsi="宋体" w:eastAsia="宋体" w:cs="宋体"/>
                <w:sz w:val="24"/>
                <w:szCs w:val="24"/>
                <w:highlight w:val="none"/>
              </w:rPr>
              <w:t xml:space="preserve">）</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（4）设备应支持采用4G网络无线通讯方式实现与远程平台实现数据通讯。</w:t>
            </w:r>
            <w:r/>
          </w:p>
          <w:p>
            <w:pPr>
              <w:spacing w:line="431"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（5）配套8年运营商物联网流量卡，承担流量续费、卡故障排查更换，保障烟感报警、状态数据正常上传（需提供</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承诺函加盖公章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格式自拟</w:t>
            </w:r>
            <w:r>
              <w:rPr>
                <w:rFonts w:ascii="宋体" w:hAnsi="宋体" w:eastAsia="宋体" w:cs="宋体"/>
                <w:sz w:val="24"/>
                <w:szCs w:val="24"/>
                <w:highlight w:val="none"/>
              </w:rPr>
              <w:t xml:space="preserve">）</w:t>
            </w:r>
            <w:r/>
          </w:p>
          <w:p>
            <w:pPr>
              <w:spacing w:line="431"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（6）设备应具有本地声、光报警功能，报警音量≥85 dB。</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（7）设备放置在26℃、RH99%的环境下持续4h，期间应无误报，保持以上温湿度环境，注入烟雾进行试验，应能发生报警。</w:t>
            </w:r>
            <w:r/>
          </w:p>
          <w:p>
            <w:pPr>
              <w:spacing w:line="431"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（8）设备应具有预约自检功能，可通过手机APP端对设备进行预约自检。预约时间到时，设备应自动自检，发出声光信号指示，并展示设备的故障/正常状态、联网状态、信号强度。</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（9）设备应支持夜间模式功能，开启该模式并在设定的夜间时间段内，故障指示灯和蜂鸣器不再提示和提醒。</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（10）设备应具备湿度报警功能，当环境湿度大于设定湿度阈值时，设备将报警信息上传至远程管理平台。</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（11）设备应具备当主体与安装固定板分离时，设备应产生指示灯闪烁的防拆故障报警，并上报至平台端和手机APP端。</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12</w:t>
            </w:r>
            <w:r>
              <w:rPr>
                <w:rFonts w:ascii="宋体" w:hAnsi="宋体" w:eastAsia="宋体" w:cs="宋体"/>
                <w:sz w:val="24"/>
                <w:szCs w:val="24"/>
                <w:highlight w:val="none"/>
              </w:rPr>
              <w:t xml:space="preserve">）设备应具备报警器与管理平台之间通信异常检测功能。当接入4G网络断开连接时，设备应发出指示灯黄色闪烁的失联故障报警信号，并将故障信号传输至管理平台。</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13</w:t>
            </w:r>
            <w:r>
              <w:rPr>
                <w:rFonts w:ascii="宋体" w:hAnsi="宋体" w:eastAsia="宋体" w:cs="宋体"/>
                <w:sz w:val="24"/>
                <w:szCs w:val="24"/>
                <w:highlight w:val="none"/>
              </w:rPr>
              <w:t xml:space="preserve">）设备应满足定温报警，当环境温度达到57℃时，设备应</w:t>
            </w:r>
            <w:r>
              <w:rPr>
                <w:rFonts w:hint="eastAsia" w:ascii="宋体" w:hAnsi="宋体" w:eastAsia="宋体" w:cs="宋体"/>
                <w:sz w:val="24"/>
                <w:szCs w:val="24"/>
                <w:highlight w:val="none"/>
                <w:lang w:val="en-US" w:eastAsia="zh-CN"/>
              </w:rPr>
              <w:t xml:space="preserve">触发</w:t>
            </w:r>
            <w:r>
              <w:rPr>
                <w:rFonts w:ascii="宋体" w:hAnsi="宋体" w:eastAsia="宋体" w:cs="宋体"/>
                <w:sz w:val="24"/>
                <w:szCs w:val="24"/>
                <w:highlight w:val="none"/>
              </w:rPr>
              <w:t xml:space="preserve">报警，并将报警信息上传至远程管理平台。</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14</w:t>
            </w:r>
            <w:r>
              <w:rPr>
                <w:rFonts w:ascii="宋体" w:hAnsi="宋体" w:eastAsia="宋体" w:cs="宋体"/>
                <w:sz w:val="24"/>
                <w:szCs w:val="24"/>
                <w:highlight w:val="none"/>
              </w:rPr>
              <w:t xml:space="preserve">）设备应满足差温报警，当环境温度大于37℃时，且上升变化大于等于8℃/min时，设备应触发报警，并将报警信息上传至远程管理平台。</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15</w:t>
            </w:r>
            <w:r>
              <w:rPr>
                <w:rFonts w:ascii="宋体" w:hAnsi="宋体" w:eastAsia="宋体" w:cs="宋体"/>
                <w:sz w:val="24"/>
                <w:szCs w:val="24"/>
                <w:highlight w:val="none"/>
              </w:rPr>
              <w:t xml:space="preserve">）设备外壳防护等级应满足IP30。</w:t>
            </w:r>
            <w:r/>
          </w:p>
          <w:p>
            <w:pPr>
              <w:spacing w:line="431"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16</w:t>
            </w:r>
            <w:r>
              <w:rPr>
                <w:rFonts w:ascii="宋体" w:hAnsi="宋体" w:eastAsia="宋体" w:cs="宋体"/>
                <w:sz w:val="24"/>
                <w:szCs w:val="24"/>
                <w:highlight w:val="none"/>
              </w:rPr>
              <w:t xml:space="preserve">）设备应采用标称容量＞2500mAh的电池供电，正常工作情况下，标称电池容量可为设备提供持续5年以上供电。</w:t>
            </w:r>
            <w:r/>
          </w:p>
          <w:p>
            <w:pPr>
              <w:spacing w:line="431"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17</w:t>
            </w:r>
            <w:r>
              <w:rPr>
                <w:rFonts w:ascii="宋体" w:hAnsi="宋体" w:eastAsia="宋体" w:cs="宋体"/>
                <w:sz w:val="24"/>
                <w:szCs w:val="24"/>
                <w:highlight w:val="none"/>
              </w:rPr>
              <w:t xml:space="preserve">）设备应具备欠压报警功能，当电池电压小于等于2.65V时，设备应产生蜂鸣器短促鸣叫、指示灯闪烁的报警，并上报至手机APP端与平台端。</w:t>
            </w:r>
            <w:r/>
          </w:p>
          <w:p>
            <w:pPr>
              <w:spacing w:line="431"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18</w:t>
            </w:r>
            <w:r>
              <w:rPr>
                <w:rFonts w:ascii="宋体" w:hAnsi="宋体" w:eastAsia="宋体" w:cs="宋体"/>
                <w:sz w:val="24"/>
                <w:szCs w:val="24"/>
                <w:highlight w:val="none"/>
              </w:rPr>
              <w:t xml:space="preserve">）设备应支持欠压提示功能，设备在达到欠压预警值时（即将达到欠压故障之前）应产生指示灯闪烁的欠压提示，并支持上报欠压提示事件至平台端，本地无蜂鸣。其中，欠压预警值可以远程配置。</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19</w:t>
            </w:r>
            <w:r>
              <w:rPr>
                <w:rFonts w:ascii="宋体" w:hAnsi="宋体" w:eastAsia="宋体" w:cs="宋体"/>
                <w:sz w:val="24"/>
                <w:szCs w:val="24"/>
                <w:highlight w:val="none"/>
              </w:rPr>
              <w:t xml:space="preserve">）设备应满足处于报警/故障状态时，应支持通过本地消音按键进行消音同时支持通过平台端、手机APP端远程下发消音指令进行消音。</w:t>
            </w:r>
            <w:r/>
          </w:p>
        </w:tc>
        <w:tc>
          <w:tcPr>
            <w:shd w:val="clear" w:color="auto" w:fill="ffffff"/>
            <w:tcW w:w="395" w:type="pct"/>
            <w:vAlign w:val="center"/>
            <w:textDirection w:val="lrTb"/>
            <w:noWrap w:val="false"/>
          </w:tcPr>
          <w:p>
            <w:pPr>
              <w:jc w:val="cente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7156</w:t>
            </w:r>
            <w:r/>
          </w:p>
        </w:tc>
      </w:tr>
      <w:tr>
        <w:trPr>
          <w:jc w:val="center"/>
          <w:trHeight w:val="300"/>
        </w:trPr>
        <w:tc>
          <w:tcPr>
            <w:shd w:val="clear" w:color="auto" w:fill="ffffff"/>
            <w:tcW w:w="309" w:type="pct"/>
            <w:vAlign w:val="center"/>
            <w:textDirection w:val="lrTb"/>
            <w:noWrap w:val="false"/>
          </w:tcPr>
          <w:p>
            <w:pPr>
              <w:jc w:val="cente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2</w:t>
            </w:r>
            <w:r/>
          </w:p>
        </w:tc>
        <w:tc>
          <w:tcPr>
            <w:shd w:val="clear" w:color="auto" w:fill="ffffff"/>
            <w:tcW w:w="1192" w:type="pct"/>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t xml:space="preserve">管理平台（含Web端及移动端）</w:t>
            </w:r>
            <w:r/>
          </w:p>
        </w:tc>
        <w:tc>
          <w:tcPr>
            <w:shd w:val="clear" w:color="auto" w:fill="ffffff"/>
            <w:tcW w:w="3101" w:type="pct"/>
            <w:vAlign w:val="center"/>
            <w:textDirection w:val="lrTb"/>
            <w:noWrap w:val="false"/>
          </w:tcPr>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（1）平台应由Web端、移动客户端（包括但不限于Android，iOS）、小程序端组成。</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（2）平台Web端应支持展示运营商在值守过程中产生的统计数据，包括单位总数，设备接入趋势/单位接入趋势，各系统下的设备接入数，报警上报趋势图。值守人员处理效率、授权使用统计等信息。</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（3）平台Web端应支持配置短信通知、语音通知等参数，并支持按默认规则分别一键开启或一键关闭短信通知和语音通知。</w:t>
            </w:r>
            <w:r/>
          </w:p>
          <w:p>
            <w:pPr>
              <w:spacing w:line="431"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（4）平台Web端应支持展示报警、故障信息概览，包括今日报警数、今日真实火警数、报警/故障总数、已处理/未处理报警数、已处理/未处理故障数、今日报警单位、今日故障单位、离线设备。</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5）平台Web端应支持对设备进行增加、删除、修改、查询等操作，设备列表按照所属系统分类展示；添加设备过程，支持记录并展示用户常用的安装设备型号；支持按条件筛选查询设备；自定义隐藏/展示设备列表字段信息。</w:t>
            </w:r>
            <w:r/>
          </w:p>
          <w:p>
            <w:pPr>
              <w:spacing w:line="431"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6）平台Web端应支持弹窗报警，其中显示弹窗内容为报警及故障详细信息，包括报警发生的单位/区域的位置、报警类型/故障类型，报警等级、事件源、上报时间等；还应支持对烟雾报警、断电报警等报警重复推送，并显示首次报警时间、最新报警时间等。</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（7）平台Web端应支持自动标记报警类型是否是疑似火警、已恢复、核实中，以及支持展示报警持续时长；支持疑似火警、已恢复、核实中的筛选过滤，支持报警持续时长的倒序/顺序排序展示。</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（8）管理平台应支持用户身份合法性认证。只有通过身份认证的用户才能访问管理平台。</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（9）支持主用语音类型和备用语音类型双通道配置，支持配置语音接口调用失败次数，启用备用语音类型。</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（10）平台移动端应支持接入AI智能体，并展示AI智能助手交互界面，支持对语义理解、多段对话式交互。</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（11）平台移动端应支持在AI智能助手中主动推荐高频操作信息，并支持按常用指令的快捷执行入口进行操作处理。</w:t>
            </w:r>
            <w:r/>
          </w:p>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（12）平台Web端应支持配置烟雾报警温度复核；开启温度复核后，当烟感设备上报烟雾报警时，平台Web端应支持应对报警时的当前温度值进行复核，且当前温度值超过配置的复核值时应产生烟雾复核报警。</w:t>
            </w:r>
            <w:r/>
          </w:p>
        </w:tc>
        <w:tc>
          <w:tcPr>
            <w:shd w:val="clear" w:color="auto" w:fill="ffffff"/>
            <w:tcW w:w="395" w:type="pct"/>
            <w:vAlign w:val="center"/>
            <w:textDirection w:val="lrTb"/>
            <w:noWrap w:val="false"/>
          </w:tcPr>
          <w:p>
            <w:pPr>
              <w:jc w:val="cente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1</w:t>
            </w:r>
            <w:r/>
          </w:p>
        </w:tc>
      </w:tr>
      <w:tr>
        <w:trPr>
          <w:jc w:val="center"/>
          <w:trHeight w:val="300"/>
        </w:trPr>
        <w:tc>
          <w:tcPr>
            <w:shd w:val="clear" w:color="auto" w:fill="ffffff"/>
            <w:tcW w:w="309" w:type="pct"/>
            <w:vAlign w:val="center"/>
            <w:textDirection w:val="lrTb"/>
            <w:noWrap w:val="false"/>
          </w:tcPr>
          <w:p>
            <w:pPr>
              <w:jc w:val="cente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3</w:t>
            </w:r>
            <w:r/>
          </w:p>
        </w:tc>
        <w:tc>
          <w:tcPr>
            <w:shd w:val="clear" w:color="auto" w:fill="ffffff"/>
            <w:tcW w:w="1192" w:type="pct"/>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t xml:space="preserve">区域终端显示装置</w:t>
            </w:r>
            <w:r/>
          </w:p>
        </w:tc>
        <w:tc>
          <w:tcPr>
            <w:shd w:val="clear" w:color="auto" w:fill="ffffff"/>
            <w:tcW w:w="3101" w:type="pct"/>
            <w:vAlign w:val="center"/>
            <w:textDirection w:val="lrTb"/>
            <w:noWrap w:val="false"/>
          </w:tcPr>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（1）语音播报：内置智能语音报读功能，报警后应在5秒内开始播报。</w:t>
            </w:r>
            <w:r/>
          </w:p>
          <w:p>
            <w:pPr>
              <w:spacing w:line="431"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（2）报警信息显示：发生报警后，屏幕应显示报警设备类型、报警时间、设备地址（楼栋/楼层/房间号）等具体信息。</w:t>
            </w:r>
            <w:r/>
          </w:p>
        </w:tc>
        <w:tc>
          <w:tcPr>
            <w:shd w:val="clear" w:color="auto" w:fill="ffffff"/>
            <w:tcW w:w="395" w:type="pct"/>
            <w:vAlign w:val="center"/>
            <w:textDirection w:val="lrTb"/>
            <w:noWrap w:val="false"/>
          </w:tcPr>
          <w:p>
            <w:pPr>
              <w:jc w:val="cente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25</w:t>
            </w:r>
            <w:r/>
          </w:p>
        </w:tc>
      </w:tr>
      <w:tr>
        <w:trPr>
          <w:jc w:val="center"/>
          <w:trHeight w:val="300"/>
        </w:trPr>
        <w:tc>
          <w:tcPr>
            <w:shd w:val="clear" w:color="auto" w:fill="ffffff"/>
            <w:tcW w:w="309" w:type="pct"/>
            <w:vAlign w:val="center"/>
            <w:textDirection w:val="lrTb"/>
            <w:noWrap w:val="false"/>
          </w:tcPr>
          <w:p>
            <w:pPr>
              <w:jc w:val="cente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4</w:t>
            </w:r>
            <w:r/>
          </w:p>
        </w:tc>
        <w:tc>
          <w:tcPr>
            <w:shd w:val="clear" w:color="auto" w:fill="ffffff"/>
            <w:tcW w:w="1192" w:type="pct"/>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t xml:space="preserve">消控中心智慧管理一体机</w:t>
            </w:r>
            <w:r/>
          </w:p>
        </w:tc>
        <w:tc>
          <w:tcPr>
            <w:shd w:val="clear" w:color="auto" w:fill="ffffff"/>
            <w:tcW w:w="3101" w:type="pct"/>
            <w:vAlign w:val="center"/>
            <w:textDirection w:val="lrTb"/>
            <w:noWrap w:val="false"/>
          </w:tcPr>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屏幕分辨率3840*2160，屏幕尺寸不低于65寸，3GB+32GB内存,支持5G双频WiFi，内置WPS软件，支持线上OTA。</w:t>
            </w:r>
            <w:r/>
          </w:p>
        </w:tc>
        <w:tc>
          <w:tcPr>
            <w:shd w:val="clear" w:color="auto" w:fill="ffffff"/>
            <w:tcW w:w="395" w:type="pct"/>
            <w:vAlign w:val="center"/>
            <w:textDirection w:val="lrTb"/>
            <w:noWrap w:val="false"/>
          </w:tcPr>
          <w:p>
            <w:pPr>
              <w:jc w:val="center"/>
              <w:spacing w:line="431"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r>
        <w:trPr>
          <w:jc w:val="center"/>
          <w:trHeight w:val="300"/>
        </w:trPr>
        <w:tc>
          <w:tcPr>
            <w:shd w:val="clear" w:color="auto" w:fill="ffffff"/>
            <w:tcW w:w="309" w:type="pct"/>
            <w:vAlign w:val="center"/>
            <w:textDirection w:val="lrTb"/>
            <w:noWrap w:val="false"/>
          </w:tcPr>
          <w:p>
            <w:pPr>
              <w:jc w:val="cente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5</w:t>
            </w:r>
            <w:r/>
          </w:p>
        </w:tc>
        <w:tc>
          <w:tcPr>
            <w:shd w:val="clear" w:color="auto" w:fill="ffffff"/>
            <w:tcW w:w="1192" w:type="pct"/>
            <w:vAlign w:val="center"/>
            <w:textDirection w:val="lrTb"/>
            <w:noWrap w:val="false"/>
          </w:tcPr>
          <w:p>
            <w:pPr>
              <w:ind w:firstLine="0"/>
              <w:spacing w:line="431" w:lineRule="exact"/>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区域管理</w:t>
            </w:r>
            <w:r>
              <w:rPr>
                <w:rFonts w:hint="eastAsia" w:ascii="宋体" w:hAnsi="宋体" w:eastAsia="宋体" w:cs="宋体"/>
                <w:sz w:val="24"/>
                <w:szCs w:val="24"/>
                <w:highlight w:val="none"/>
                <w:lang w:val="en-US" w:eastAsia="zh-CN"/>
              </w:rPr>
              <w:t xml:space="preserve">移动</w:t>
            </w:r>
            <w:r>
              <w:rPr>
                <w:rFonts w:ascii="宋体" w:hAnsi="宋体" w:eastAsia="宋体" w:cs="宋体"/>
                <w:sz w:val="24"/>
                <w:szCs w:val="24"/>
                <w:highlight w:val="none"/>
              </w:rPr>
              <w:t xml:space="preserve">终端</w:t>
            </w:r>
            <w:r/>
          </w:p>
        </w:tc>
        <w:tc>
          <w:tcPr>
            <w:shd w:val="clear" w:color="auto" w:fill="ffffff"/>
            <w:tcW w:w="3101" w:type="pct"/>
            <w:vAlign w:val="center"/>
            <w:textDirection w:val="lrTb"/>
            <w:noWrap w:val="false"/>
          </w:tcPr>
          <w:p>
            <w:pP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支持IP69防水，不低于8000毫安电池，屏幕尺寸不低于6.8寸，防刮耐磨，支持高频调光。</w:t>
            </w:r>
            <w:r/>
          </w:p>
        </w:tc>
        <w:tc>
          <w:tcPr>
            <w:shd w:val="clear" w:color="auto" w:fill="ffffff"/>
            <w:tcW w:w="395" w:type="pct"/>
            <w:vAlign w:val="center"/>
            <w:textDirection w:val="lrTb"/>
            <w:noWrap w:val="false"/>
          </w:tcPr>
          <w:p>
            <w:pPr>
              <w:jc w:val="center"/>
              <w:spacing w:line="431" w:lineRule="exact"/>
              <w:rPr>
                <w:rFonts w:ascii="宋体" w:hAnsi="宋体" w:eastAsia="宋体" w:cs="宋体"/>
                <w:sz w:val="24"/>
                <w:szCs w:val="24"/>
                <w:highlight w:val="none"/>
              </w:rPr>
            </w:pPr>
            <w:r>
              <w:rPr>
                <w:rFonts w:ascii="宋体" w:hAnsi="宋体" w:eastAsia="宋体" w:cs="宋体"/>
                <w:sz w:val="24"/>
                <w:szCs w:val="24"/>
                <w:highlight w:val="none"/>
              </w:rPr>
              <w:t xml:space="preserve">8</w:t>
            </w:r>
            <w:r/>
          </w:p>
        </w:tc>
      </w:tr>
    </w:tbl>
    <w:p>
      <w:pPr>
        <w:ind w:firstLine="482"/>
        <w:spacing w:before="120"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注：标“★”技术参数必须提供能直接反映该产品技术参数的认证证书、检测报告、产品说明书或彩页等作为评判依据，未提供视为无效响应。</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ascii="宋体" w:hAnsi="宋体" w:eastAsia="宋体" w:cs="宋体"/>
          <w:b/>
          <w:bCs/>
          <w:sz w:val="24"/>
          <w:szCs w:val="24"/>
          <w:highlight w:val="none"/>
        </w:rPr>
        <w:t xml:space="preserve">服务要求</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1）所有报价设备的生产、制造、安装等，各项技术标准应当符合国家（强制性）标准、各项规范要求；国家没有相应标准、规范的，可使用行业标准、规定；非标设备按采购文件约定的技术要求和规范，所有报价设备技术参数应达到采购文件要求。</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（2）报价设备是全新的、未使用过的、原厂包装未拆封的商品，完全符合采购设备规定的质量、规格和性能的要求，</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应保证其提供的设备在正确安装、正常使用和保养条件下，在规定的使用寿命期内具有满意的性能, 并提供所有产品的附件、说明书。为保障供货为原厂全新正品，中标供应商须在签订合同前提供制造商原厂售后服务承诺书原件,项目设备进场安装阶段，须安排原厂技术工程师到场对接技术、指导实施。</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（3）</w:t>
      </w:r>
      <w:r>
        <w:rPr>
          <w:rFonts w:ascii="宋体" w:hAnsi="宋体" w:eastAsia="宋体" w:cs="宋体"/>
          <w:b/>
          <w:bCs/>
          <w:sz w:val="24"/>
          <w:szCs w:val="24"/>
          <w:highlight w:val="none"/>
        </w:rPr>
        <w:t xml:space="preserve">本项目质保期不少于6年，质保期自项目验收合格之日起算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质保期内中标单位负责本项目内安装的所有设备的维护保养、故障维修、设备更换、电池更换、4G流量卡续费、管理平台维护等工作，确保平台、设备运行正常。每月如实填写维修保养记录，并出具维保情况报告。学校对质保期内维修维护等产生的一切相关费用均不再额外付费。（</w:t>
      </w:r>
      <w:r>
        <w:rPr>
          <w:rFonts w:hint="eastAsia" w:ascii="宋体" w:hAnsi="宋体" w:eastAsia="宋体" w:cs="宋体"/>
          <w:b/>
          <w:bCs/>
          <w:sz w:val="24"/>
          <w:szCs w:val="24"/>
          <w:highlight w:val="none"/>
        </w:rPr>
        <w:t xml:space="preserve">针对本项要求，供应商须提供</w:t>
      </w:r>
      <w:r>
        <w:rPr>
          <w:rFonts w:ascii="宋体" w:hAnsi="宋体" w:eastAsia="宋体" w:cs="宋体"/>
          <w:b/>
          <w:bCs/>
          <w:sz w:val="24"/>
          <w:szCs w:val="24"/>
          <w:highlight w:val="none"/>
        </w:rPr>
        <w:t xml:space="preserve">承诺函</w:t>
      </w:r>
      <w:r>
        <w:rPr>
          <w:rFonts w:hint="eastAsia" w:ascii="宋体" w:hAnsi="宋体" w:eastAsia="宋体" w:cs="宋体"/>
          <w:b/>
          <w:bCs/>
          <w:sz w:val="24"/>
          <w:szCs w:val="24"/>
          <w:highlight w:val="none"/>
        </w:rPr>
        <w:t xml:space="preserve">并</w:t>
      </w:r>
      <w:r>
        <w:rPr>
          <w:rFonts w:ascii="宋体" w:hAnsi="宋体" w:eastAsia="宋体" w:cs="宋体"/>
          <w:b/>
          <w:bCs/>
          <w:sz w:val="24"/>
          <w:szCs w:val="24"/>
          <w:highlight w:val="none"/>
        </w:rPr>
        <w:t xml:space="preserve">加盖公章</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详见格式）</w:t>
      </w:r>
      <w:r>
        <w:rPr>
          <w:rFonts w:hint="eastAsia" w:ascii="宋体" w:hAnsi="宋体" w:eastAsia="宋体" w:cs="宋体"/>
          <w:b/>
          <w:bCs/>
          <w:sz w:val="24"/>
          <w:szCs w:val="24"/>
          <w:highlight w:val="none"/>
        </w:rPr>
        <w:t xml:space="preserve">，未提供视为未实质性响应招标文件，作无效投标处理</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b/>
          <w:bCs/>
          <w:sz w:val="24"/>
          <w:szCs w:val="24"/>
          <w:highlight w:val="none"/>
        </w:rPr>
        <w:t xml:space="preserve">本项目需配备专业服务团队</w:t>
      </w:r>
      <w:r>
        <w:rPr>
          <w:rFonts w:hint="eastAsia" w:ascii="宋体" w:hAnsi="宋体" w:eastAsia="宋体" w:cs="宋体"/>
          <w:b/>
          <w:bCs/>
          <w:sz w:val="24"/>
          <w:szCs w:val="24"/>
          <w:highlight w:val="none"/>
          <w:lang w:eastAsia="zh-CN"/>
        </w:rPr>
        <w:t xml:space="preserve">，其中</w:t>
      </w:r>
      <w:r>
        <w:rPr>
          <w:rFonts w:hint="eastAsia" w:ascii="宋体" w:hAnsi="宋体" w:eastAsia="宋体" w:cs="宋体"/>
          <w:b/>
          <w:bCs/>
          <w:sz w:val="24"/>
          <w:szCs w:val="24"/>
          <w:highlight w:val="none"/>
          <w:lang w:val="en-US" w:eastAsia="zh-CN" w:bidi="ar"/>
        </w:rPr>
        <w:t xml:space="preserve">项目经理、技术负责人、安全负责人各1人（须在《</w:t>
      </w:r>
      <w:r>
        <w:rPr>
          <w:rFonts w:hint="eastAsia" w:ascii="宋体" w:hAnsi="宋体" w:eastAsia="宋体" w:cs="宋体"/>
          <w:b/>
          <w:sz w:val="24"/>
          <w:szCs w:val="24"/>
          <w:highlight w:val="none"/>
        </w:rPr>
        <w:t xml:space="preserve">拟用于本项目人员名单</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详见第三章 投标文件格式）中明确人员）</w:t>
      </w:r>
      <w:r>
        <w:rPr>
          <w:rFonts w:hint="eastAsia" w:ascii="宋体" w:hAnsi="宋体" w:eastAsia="宋体" w:cs="宋体"/>
          <w:b/>
          <w:bCs/>
          <w:sz w:val="24"/>
          <w:szCs w:val="24"/>
          <w:highlight w:val="none"/>
          <w:lang w:val="en-US" w:eastAsia="zh-CN" w:bidi="ar"/>
        </w:rPr>
        <w:t xml:space="preserve">，人员不得兼任</w:t>
      </w:r>
      <w:r>
        <w:rPr>
          <w:rFonts w:hint="eastAsia" w:ascii="宋体" w:hAnsi="宋体" w:eastAsia="宋体" w:cs="宋体"/>
          <w:b w:val="0"/>
          <w:bCs w:val="0"/>
          <w:sz w:val="24"/>
          <w:szCs w:val="24"/>
          <w:highlight w:val="none"/>
          <w:lang w:val="en-US" w:eastAsia="zh-CN" w:bidi="ar"/>
        </w:rPr>
        <w:t xml:space="preserve">，以满足独立式感烟探测报警器、管理平台（含Web端及移动端）、区域终端显示装置、消控中心智慧管理一体机及区域管理移动终端等采购内容的实施、技术、安全管理等事项及售后服务</w:t>
      </w:r>
      <w:r>
        <w:rPr>
          <w:rFonts w:ascii="宋体" w:hAnsi="宋体" w:eastAsia="宋体" w:cs="宋体"/>
          <w:sz w:val="24"/>
          <w:szCs w:val="24"/>
          <w:highlight w:val="none"/>
        </w:rPr>
        <w:t xml:space="preserve">，对管理平台提供故障应急响应服务，通过7*24小时的即时电话、邮件等服务，保证远程系统故障恢复时间在1小时以内；如果需要上门维护，从事件发起到上门响应事件不应超过4小时。对硬件部分承诺半小时内响应，2小时内赶到故障现场进行维护服务；中标单位技术人员启动故障处理后，至用户方系统恢复正常应用，所需时间不超过8小时；至全部故障排除、整个系统完全恢复正常运行状态，所需时间不超过12小时。</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5</w:t>
      </w:r>
      <w:r>
        <w:rPr>
          <w:rFonts w:ascii="宋体" w:hAnsi="宋体" w:eastAsia="宋体" w:cs="宋体"/>
          <w:sz w:val="24"/>
          <w:szCs w:val="24"/>
          <w:highlight w:val="none"/>
        </w:rPr>
        <w:t xml:space="preserve">）日常巡检：每月至少安排一次系统巡检维护，每季度至少安排一次系统集成维护，及时发现设备系统隐患。</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6</w:t>
      </w:r>
      <w:r>
        <w:rPr>
          <w:rFonts w:ascii="宋体" w:hAnsi="宋体" w:eastAsia="宋体" w:cs="宋体"/>
          <w:sz w:val="24"/>
          <w:szCs w:val="24"/>
          <w:highlight w:val="none"/>
        </w:rPr>
        <w:t xml:space="preserve">）</w:t>
      </w:r>
      <w:r>
        <w:rPr>
          <w:rFonts w:ascii="宋体" w:hAnsi="宋体" w:eastAsia="宋体" w:cs="宋体"/>
          <w:b/>
          <w:bCs/>
          <w:sz w:val="24"/>
          <w:szCs w:val="24"/>
          <w:highlight w:val="none"/>
        </w:rPr>
        <w:t xml:space="preserve">中标单位必须安排培训讲师向校方提供免费培训，每年不少于两次（具体培训时间由学校确定），培训方式应包括理论培训和现场培训</w:t>
      </w:r>
      <w:r>
        <w:rPr>
          <w:rFonts w:ascii="宋体" w:hAnsi="宋体" w:eastAsia="宋体" w:cs="宋体"/>
          <w:sz w:val="24"/>
          <w:szCs w:val="24"/>
          <w:highlight w:val="none"/>
        </w:rPr>
        <w:t xml:space="preserve">。中标单位须针对不同的培训对象，包括对管理者、各级最终用户和系统管理员等相关技术人员，提出全面、详细的培训计划，包括但不限于培训内容、培训时间、地点。原则上需确保校方参与培训人员完全学会相关知识技能。（</w:t>
      </w:r>
      <w:r>
        <w:rPr>
          <w:rFonts w:hint="eastAsia" w:ascii="宋体" w:hAnsi="宋体" w:eastAsia="宋体" w:cs="宋体"/>
          <w:b/>
          <w:bCs/>
          <w:sz w:val="24"/>
          <w:szCs w:val="24"/>
          <w:highlight w:val="none"/>
        </w:rPr>
        <w:t xml:space="preserve">针对本项要求，供应商须提供</w:t>
      </w:r>
      <w:r>
        <w:rPr>
          <w:rFonts w:ascii="宋体" w:hAnsi="宋体" w:eastAsia="宋体" w:cs="宋体"/>
          <w:b/>
          <w:bCs/>
          <w:sz w:val="24"/>
          <w:szCs w:val="24"/>
          <w:highlight w:val="none"/>
        </w:rPr>
        <w:t xml:space="preserve">承诺函</w:t>
      </w:r>
      <w:r>
        <w:rPr>
          <w:rFonts w:hint="eastAsia" w:ascii="宋体" w:hAnsi="宋体" w:eastAsia="宋体" w:cs="宋体"/>
          <w:b/>
          <w:bCs/>
          <w:sz w:val="24"/>
          <w:szCs w:val="24"/>
          <w:highlight w:val="none"/>
        </w:rPr>
        <w:t xml:space="preserve">并</w:t>
      </w:r>
      <w:r>
        <w:rPr>
          <w:rFonts w:ascii="宋体" w:hAnsi="宋体" w:eastAsia="宋体" w:cs="宋体"/>
          <w:b/>
          <w:bCs/>
          <w:sz w:val="24"/>
          <w:szCs w:val="24"/>
          <w:highlight w:val="none"/>
        </w:rPr>
        <w:t xml:space="preserve">加盖公章</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详见格式）</w:t>
      </w:r>
      <w:r>
        <w:rPr>
          <w:rFonts w:hint="eastAsia" w:ascii="宋体" w:hAnsi="宋体" w:eastAsia="宋体" w:cs="宋体"/>
          <w:b/>
          <w:bCs/>
          <w:sz w:val="24"/>
          <w:szCs w:val="24"/>
          <w:highlight w:val="none"/>
        </w:rPr>
        <w:t xml:space="preserve">，未提供视为未实质性响应招标文件，作无效投标处理</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7</w:t>
      </w:r>
      <w:r>
        <w:rPr>
          <w:rFonts w:ascii="宋体" w:hAnsi="宋体" w:eastAsia="宋体" w:cs="宋体"/>
          <w:sz w:val="24"/>
          <w:szCs w:val="24"/>
          <w:highlight w:val="none"/>
        </w:rPr>
        <w:t xml:space="preserve">）中标单位必须提供完整的软件安装、操作、使用和维护手册，能够满足学校信息中心、后续售后运维团队、用户等不同角色的需求。</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.核心产品</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本项目核心产品：独立式感烟探测报警器。</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.验收标准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项目验收依据国家及行业现行标准、采购合同、采购文件及学校信息化项目验收规范执行，中标单位需全程配合。各校区按10％比例采用烟枪随机抽样检测烟感报警装置，覆盖不同楼栋及楼层，验证报警灵敏度、信号传输稳定性等核心功能，确保符合技术参数。</w:t>
      </w:r>
      <w:r/>
    </w:p>
    <w:p>
      <w:pPr>
        <w:rPr>
          <w:rFonts w:ascii="宋体" w:hAnsi="宋体" w:eastAsia="宋体" w:cs="宋体"/>
          <w:sz w:val="24"/>
          <w:highlight w:val="none"/>
        </w:rPr>
      </w:pPr>
      <w:r>
        <w:rPr>
          <w:rFonts w:ascii="宋体" w:hAnsi="宋体" w:eastAsia="宋体" w:cs="宋体"/>
          <w:sz w:val="24"/>
          <w:highlight w:val="none"/>
        </w:rPr>
        <w:br w:type="page" w:clear="all"/>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highlight w:val="none"/>
        </w:rPr>
        <w:t xml:space="preserve">第五章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合同条款</w:t>
      </w:r>
      <w:bookmarkEnd w:id="4"/>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jc w:val="center"/>
        <w:spacing w:after="12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政府采购合同书</w:t>
      </w:r>
      <w:r/>
    </w:p>
    <w:p>
      <w:pPr>
        <w:ind w:firstLine="480"/>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甲方：苏州科技大学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地址：</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联系电话：</w:t>
      </w:r>
      <w:r/>
    </w:p>
    <w:p>
      <w:pPr>
        <w:ind w:firstLine="42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乙方：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地址：</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联系电话：</w:t>
      </w:r>
      <w:r/>
    </w:p>
    <w:p>
      <w:pPr>
        <w:ind w:firstLine="42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根据《中华人民共和国民法典》等相关法律法规的规定，甲乙双方就此次成交的【</w:t>
      </w:r>
      <w:r>
        <w:rPr>
          <w:rFonts w:hint="eastAsia" w:ascii="宋体" w:hAnsi="宋体" w:eastAsia="宋体" w:cs="宋体"/>
          <w:sz w:val="24"/>
          <w:highlight w:val="none"/>
          <w:lang w:eastAsia="zh-CN"/>
        </w:rPr>
        <w:t xml:space="preserve">苏州科技大学火灾自动报警系统</w:t>
      </w:r>
      <w:r>
        <w:rPr>
          <w:rFonts w:hint="eastAsia" w:ascii="宋体" w:hAnsi="宋体" w:eastAsia="宋体" w:cs="宋体"/>
          <w:sz w:val="24"/>
          <w:highlight w:val="none"/>
        </w:rPr>
        <w:t xml:space="preserve">】项目（以下简称“本项目”）购销事宜，签订本合同书，以兹共同遵守。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一、下列文件为本合同不可分割</w:t>
      </w:r>
      <w:r>
        <w:rPr>
          <w:rFonts w:ascii="宋体" w:hAnsi="宋体" w:eastAsia="宋体" w:cs="宋体"/>
          <w:sz w:val="24"/>
          <w:highlight w:val="none"/>
        </w:rPr>
        <w:t xml:space="preserve">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（1）本合同书及本合同书签署后双方以书面形式确认的补充协议等；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（2）中标通知书；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rPr>
          <w:rFonts w:hint="eastAsia" w:ascii="宋体" w:hAnsi="宋体" w:eastAsia="宋体" w:cs="宋体"/>
          <w:sz w:val="24"/>
          <w:highlight w:val="none"/>
        </w:rPr>
        <w:t xml:space="preserve">响应文件</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（5）乙方在招标过程中所作的其它承诺、声明、书面澄清等。</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二、合同内容</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（一）项目内容：乙方负责完成甲方的</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项目”</w:t>
      </w:r>
      <w:r>
        <w:rPr>
          <w:rFonts w:ascii="宋体" w:hAnsi="宋体" w:eastAsia="宋体" w:cs="宋体"/>
          <w:sz w:val="24"/>
          <w:highlight w:val="none"/>
        </w:rPr>
        <w:t xml:space="preserve">，具体内容</w:t>
      </w:r>
      <w:r>
        <w:rPr>
          <w:rFonts w:hint="eastAsia" w:ascii="宋体" w:hAnsi="宋体" w:eastAsia="宋体" w:cs="宋体"/>
          <w:sz w:val="24"/>
          <w:highlight w:val="none"/>
        </w:rPr>
        <w:t xml:space="preserve">详见招标文件；</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（二）交付期限：</w:t>
      </w:r>
      <w:r>
        <w:rPr>
          <w:rFonts w:hint="eastAsia" w:ascii="宋体" w:hAnsi="宋体" w:eastAsia="宋体" w:cs="宋体"/>
          <w:sz w:val="24"/>
          <w:highlight w:val="none"/>
        </w:rPr>
        <w:t xml:space="preserve">自合同签订之日起，60个日历日内供货到位/完成项目。</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（三）交付地点：</w:t>
      </w:r>
      <w:r>
        <w:rPr>
          <w:rFonts w:hint="eastAsia" w:ascii="宋体" w:hAnsi="宋体" w:eastAsia="宋体" w:cs="宋体"/>
          <w:sz w:val="24"/>
          <w:highlight w:val="none"/>
        </w:rPr>
        <w:t xml:space="preserve">苏州科技大学。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w:t>
      </w:r>
      <w:r>
        <w:rPr>
          <w:rFonts w:hint="eastAsia" w:ascii="宋体" w:hAnsi="宋体" w:eastAsia="宋体" w:cs="宋体"/>
          <w:sz w:val="24"/>
          <w:highlight w:val="none"/>
        </w:rPr>
        <w:t xml:space="preserve">免费</w:t>
      </w:r>
      <w:r>
        <w:rPr>
          <w:rFonts w:ascii="宋体" w:hAnsi="宋体" w:eastAsia="宋体" w:cs="宋体"/>
          <w:sz w:val="24"/>
          <w:highlight w:val="none"/>
        </w:rPr>
        <w:t xml:space="preserve">质保期：【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质保期自项目验收合格之日起算</w:t>
      </w:r>
      <w:r>
        <w:rPr>
          <w:rFonts w:ascii="宋体" w:hAnsi="宋体" w:eastAsia="宋体" w:cs="宋体"/>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三、价格与支付</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（一）本合同金额按此次中标（成交）价格执行，本合同总金额（含税）为人民币（大写）</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）。上述合同总金额已</w:t>
      </w:r>
      <w:r>
        <w:rPr>
          <w:rFonts w:hint="eastAsia" w:ascii="宋体" w:hAnsi="宋体" w:eastAsia="宋体" w:cs="宋体"/>
          <w:sz w:val="24"/>
          <w:highlight w:val="none"/>
        </w:rPr>
        <w:t xml:space="preserve">包括所有货物的供货、辅助材料、人工、运输、检验、送货、保险、装卸、仓储、代理服务费、保管、各种税费及其他伴随服务等一切必须费用。</w:t>
      </w:r>
      <w:r>
        <w:rPr>
          <w:rFonts w:ascii="宋体" w:hAnsi="宋体" w:eastAsia="宋体" w:cs="宋体"/>
          <w:sz w:val="24"/>
          <w:highlight w:val="none"/>
        </w:rPr>
        <w:t xml:space="preserve">除非本合同另有约定或经甲乙双方协商同意，乙方不得再要求</w:t>
      </w:r>
      <w:r>
        <w:rPr>
          <w:rFonts w:ascii="宋体" w:hAnsi="宋体" w:eastAsia="宋体" w:cs="宋体"/>
          <w:sz w:val="24"/>
          <w:szCs w:val="24"/>
          <w:highlight w:val="none"/>
        </w:rPr>
        <w:t xml:space="preserve">追加任何其他费用。同时，除本合同另有约定外，本合同价格在实施期间不因市场变化因素而变动。</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（二）合同价款的支付及付款方式：</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1.付款方式：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合同生效后，甲方向乙方支付合同总价30％的预付款，乙方在合同规定时间内将此批合同标的物送到苏州科技大学指定地点，并安装调试，甲方验收合格后向乙方支付剩余70％的货款。</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注：设备类①要求</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应能开13％增值税专用发票（有发票联、抵扣联），“货物或应税劳务、服务名称”栏（或“项目名称”栏）需填列货物名称，不可填开“详见销货清单”。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②开票信息如下：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名称：苏州科技大学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识别号：12320000466011617U</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地址、电话：苏州市滨河路298号，0512-69379071</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开户行及帐号：工行苏州市新区支行   账号：  1102021109002045964</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2.乙方提请甲方付款前，应提供以下资料：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（1）合法有效且符合甲方要求的发票；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（2）随货物附带的所有有关资料（如质量保证书等）；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（3）由甲乙双方签章的《政府采购合同履行验收报告》（《政府采购合同履行验收报告》于本项目经甲</w:t>
      </w:r>
      <w:r>
        <w:rPr>
          <w:rFonts w:ascii="宋体" w:hAnsi="宋体" w:eastAsia="宋体" w:cs="宋体"/>
          <w:sz w:val="24"/>
          <w:highlight w:val="none"/>
        </w:rPr>
        <w:t xml:space="preserve">方验收后提供）。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若乙方未按要求提供上述资料的，甲方有权迟延付款，且不承担逾期付款的违约责任。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付款方式：银行转账或数字人民币转账。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（1）乙方数字人民币账户信息如下：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账户名：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开户行：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数字人民币账号（数币钱包ID）：</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（2）乙方银行转账账户信息如下：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开户名称：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开户银行：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银行账号：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根据现行税法对甲方征收的与本合同有关的一切税费均由甲方承担；根据现行税法对乙方征收的与本合同有关的一切税费均由乙方承担。</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四、质量保证</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（一）乙方应保证其向甲方提供的货物是</w:t>
      </w:r>
      <w:r>
        <w:rPr>
          <w:rFonts w:hint="eastAsia" w:ascii="宋体" w:hAnsi="宋体" w:eastAsia="宋体" w:cs="宋体"/>
          <w:sz w:val="24"/>
          <w:highlight w:val="none"/>
        </w:rPr>
        <w:t xml:space="preserve">全新的、未使用过的、原厂包装未拆封的商品，完全符合采购设备规定的质量、规格和性能的要求，乙方应保证其提供的设备在正确安装、正常使用和保养条件下，在规定的使用寿命期内具有满意的性能，并提供所有产品的附件、说明书。为保障供货为原厂全新正品，乙方须在签订合同前提供制造商原厂售后服务承诺书原件,项目设备进场安装阶段，须安排原厂技术工程师到场对接技术、指导实施</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（二）乙方应按照本合同约定的质量标准提供合格的货物，如未约定质量标准的，应按照强制性国家标准履行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没有强制性国家标准的,按照推荐性国家标准履行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没有推荐性国家标准的,按照行业标准履行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没有国家标准、行业标准的,按照通常标准或者符合合同目的的特定标准履行。同时存在不同标准的，以最高标准为准。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根据甲方按本合同约定的检验标准检验的结果或具有法定检验资质的第三方检验机构出具的检验结果，如果设备的数量、质量或规格与本合同约定不符或证实设备是有缺陷的，包括潜在缺陷或使用不符合要求的材料等，甲方有权以书面形式通知乙方并提出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主张。如甲方在使用乙方提供的标的物构成上述侵权的，乙方应承担全部责任，并赔偿由此给甲方造成的一切直接、间接损失。</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五、包装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（二）乙方应保证其提供的货物是原包装未拆封的商品，在交付甲方验收前不得拆箱。</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六、标的物的交付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（一）本项目货物的所有权自货物由乙方交付甲方时转移。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（二）乙方应当按照本合同约定的期限和约定的地点交付货物。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（三）乙方应当按照本合同约定或者交易习惯向甲方交付提取货物单证以外的有关单证和资料。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（四）本合同中所称“交付”，除根据上下文明显指到货时的交货外，均指完成安装调试后的交付。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（五）乙方负责安排货物运输，因交货产生的运输、装卸、安装、保险等相关费用全部由乙方承担。货物在交付甲方并通过验收合格前，其灭失、损毁的风险由乙方承担。</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七、伴随服务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（一）乙方除应按照本合同约定及甲方的要求履行按期按量交付合格货物的义务外，还应当提供下列服务：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货物的现场安装、启动、调试、监督（如果必须安装、调试的话）；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提供货物组装和一般维修所必需的工具；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在本合同规定的期限内对所提供的货物实行运行监督、维修服务的前提条件是该服务并不能免除乙方在质量保证期内应承担的义务；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rPr>
          <w:rFonts w:hint="eastAsia" w:ascii="宋体" w:hAnsi="宋体" w:eastAsia="宋体" w:cs="宋体"/>
          <w:sz w:val="24"/>
          <w:highlight w:val="none"/>
        </w:rPr>
        <w:t xml:space="preserve">.</w:t>
      </w:r>
      <w:r>
        <w:rPr>
          <w:rFonts w:ascii="宋体" w:hAnsi="宋体" w:eastAsia="宋体" w:cs="宋体"/>
          <w:sz w:val="24"/>
          <w:highlight w:val="none"/>
        </w:rPr>
        <w:t xml:space="preserve">对甲方技术人员进行技术指导或培训服务。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（二）除本合同另有规定外，伴随服务的费用均已包含在本合同总价款中，甲方不再另行向乙方支付任何其他费用。</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八、标的物的检验和验收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交付本合同货物前，乙方应对货物的质量、规格、性能、数量、外观、随机备件备品、装箱单、随机资料、包装等进行详细而全面的检验，并出具一份检验合格证明，检验合格证明仅作为甲方验收的依据，但不能作为本合同项下货物质量、规格、数量或性能的最终检验结果。</w:t>
      </w:r>
      <w:r/>
    </w:p>
    <w:p>
      <w:pPr>
        <w:pStyle w:val="768"/>
        <w:ind w:left="0" w:firstLine="480"/>
        <w:rPr>
          <w:highlight w:val="none"/>
        </w:rPr>
      </w:pPr>
      <w:r>
        <w:rPr>
          <w:rFonts w:ascii="宋体" w:hAnsi="宋体" w:eastAsia="宋体" w:cs="宋体"/>
          <w:szCs w:val="22"/>
          <w:highlight w:val="none"/>
        </w:rPr>
        <w:t xml:space="preserve">（二）</w:t>
      </w:r>
      <w:r>
        <w:rPr>
          <w:rFonts w:ascii="宋体" w:hAnsi="宋体" w:eastAsia="宋体" w:cs="宋体"/>
          <w:sz w:val="24"/>
          <w:highlight w:val="none"/>
        </w:rPr>
        <w:t xml:space="preserve">甲方根据本合同规定的内容和验收标准进行验收，同时比较乙方出具的检验证明，经检验无误后出具验收合格证明，该证明作为最终付款所需文件的组成部分。验收不合格的（本合同约定的任何一项验收不合格均属于验收不合格），乙方应进行退换、返工、调整或采取其他补救措施，直至甲方再次验收合格。因退换、返工、调整等产生的一切费用，由乙方自行承担，交付期限不予顺延，构成延期交付的，乙方承担延期交付的责任；给甲方造成损失的，乙方应赔偿一切直接、间接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（三）验收标准：按照货物验收相关规定，结合采购文件、</w:t>
      </w:r>
      <w:r>
        <w:rPr>
          <w:rFonts w:hint="eastAsia" w:ascii="宋体" w:hAnsi="宋体" w:eastAsia="宋体" w:cs="宋体"/>
          <w:sz w:val="24"/>
          <w:highlight w:val="none"/>
        </w:rPr>
        <w:t xml:space="preserve">响应文件</w:t>
      </w:r>
      <w:r>
        <w:rPr>
          <w:rFonts w:ascii="宋体" w:hAnsi="宋体" w:eastAsia="宋体" w:cs="宋体"/>
          <w:sz w:val="24"/>
          <w:highlight w:val="none"/>
        </w:rPr>
        <w:t xml:space="preserve">、本合同等项目文件约定内容对项目进行验收。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（四）甲方应</w:t>
      </w:r>
      <w:r>
        <w:rPr>
          <w:rFonts w:hint="eastAsia" w:ascii="宋体" w:hAnsi="宋体" w:eastAsia="宋体" w:cs="宋体"/>
          <w:sz w:val="24"/>
          <w:highlight w:val="none"/>
        </w:rPr>
        <w:t xml:space="preserve">自项目实施完成（交货安装调试完毕）后1个月内验收</w:t>
      </w:r>
      <w:r>
        <w:rPr>
          <w:rFonts w:ascii="宋体" w:hAnsi="宋体" w:eastAsia="宋体" w:cs="宋体"/>
          <w:sz w:val="24"/>
          <w:highlight w:val="none"/>
        </w:rPr>
        <w:t xml:space="preserve">。特殊情况需延长的，由甲乙双方另行协商确定。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（五）如双方对验收结果有分歧，则以具有国家法定资质的第三方检验机构的检验结果为准。如检验合格，检验费由甲方承担，检验不合格，检验费由乙方承担。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由于甲方自身能力、检验方法和检验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九、标的物提出异议的时间和办法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甲方在验收过程中，应当于双方约定的验收期间内将货物的数量或质量不符合约定的情况及处理方式以书面形式通知乙方。若货物存在甲方无法检验的质量问题，则对该货物的检验不受验收期间的限制，但甲方应在发现质量问题后及时提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如果甲方在验收期满后15日内既不出具验收合格证明又未提出书面异议的，乙方应当自验收期满后30日内对甲方进行催告，经乙方催告后甲方在15日内仍未出具验收合格证明或提出书面异议的，视为验收合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十、售后服务</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本项目免费质保期为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质保期自项目验收合格之日起算，质保期内乙方负责本项目内安装的所有设备的维护保养、故障维修、设备更换、电池更换、4G流量卡续费、管理平台维护等工作，确保平台、设备运行正常。每月如实填写维修保养记录，并出具维保情况报告。学校对质保期内维修维护等产生的一切相关费用均不再额外付费。</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2.乙方需配备专业服务团队，其中项目经理、技术负责人、安全负责人各1人，以满足独立式感烟探测报警器、管</w:t>
      </w:r>
      <w:r>
        <w:rPr>
          <w:rFonts w:hint="eastAsia" w:ascii="宋体" w:hAnsi="宋体" w:eastAsia="宋体" w:cs="宋体"/>
          <w:sz w:val="24"/>
          <w:highlight w:val="none"/>
          <w:lang w:val="en-US" w:eastAsia="zh-CN"/>
        </w:rPr>
        <w:t xml:space="preserve">理平台（含Web端及移动端）、区域终端显示装置、消控中心智慧管理一体机及区域管理移动终端等采购内容的实施、技术、安全管理等事项及售后服务，对管理平台提供故障应急响应服务，通过7*24小时的即时电话、邮件等服务，保证远程系统故障恢复时间在1小时以内；如果需要上门维护，从事件发起到上门响应事件不应超过4小时。对硬件部分承诺半小时内响应，2小时内赶到故障现场进行维护服务；乙方技术人员启动故障处理后，至用户方系统恢复正常应用，所需时间不超过8小时；至全部故障排除、整个系统完全恢复正常运行状态，所需时间不超过12小时</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日常巡检：每月至少安排一次系统巡检维护，每季度至少安排一次系统集成维护，及时发现设备系统隐患。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十一、安全生产</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1.在项目实施及质保期间，乙方应当配备必要的安全生产管理人员，负责强化项目实施人员安全教育和安全管理，如实施过程中存在人身安全风险的，乙方应当为实施人员购买必要的人身安全保险。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2.所有作业人员均需按照国家法律法规之规定，取得对应上岗资格证书、作业许可证书、特种作业证书等相关资格证书，方可上岗作业。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t xml:space="preserve">若发生安全事故或者财产损害，乙方应当及时妥善处理，若因此导致任何影响甲方正常经营的事由出现，甲方有权不经通知乙方即选择下列一项或多项处理措施：（1）暂扣乙方剩余合同价款 ，待乙方妥善解决事故后再予以支付。（2）从甲方尚未支付给乙方的款项中先行垫付给事故当事人或其家属相关的费用。在此情形下，甲方实施上述行为不代表甲方认可甲方在该事故中承担责任。且甲方对实施该行为造成的一切后果不承担任何责任。</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十二、违约责任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合同一方不履行合同义务或者履行合同义务不符合约定的，应当承担继续履行、采取补救措施或赔偿损失等违约责任。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（一）甲方违约责任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本合同生效后，甲方无正当理由要求退货的，应向乙方支付本合同总金额</w:t>
      </w:r>
      <w:r>
        <w:rPr>
          <w:rFonts w:hint="eastAsia" w:ascii="宋体" w:hAnsi="宋体" w:eastAsia="宋体" w:cs="宋体"/>
          <w:sz w:val="24"/>
          <w:highlight w:val="none"/>
        </w:rPr>
        <w:t xml:space="preserve">5</w:t>
      </w:r>
      <w:r>
        <w:rPr>
          <w:rFonts w:ascii="宋体" w:hAnsi="宋体" w:eastAsia="宋体" w:cs="宋体"/>
          <w:sz w:val="24"/>
          <w:highlight w:val="none"/>
        </w:rPr>
        <w:t xml:space="preserve">%的违约金。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甲方</w:t>
      </w:r>
      <w:r>
        <w:rPr>
          <w:rFonts w:hint="eastAsia" w:ascii="宋体" w:hAnsi="宋体" w:eastAsia="宋体" w:cs="宋体"/>
          <w:sz w:val="24"/>
          <w:highlight w:val="none"/>
        </w:rPr>
        <w:t xml:space="preserve">因自身原因无故</w:t>
      </w:r>
      <w:r>
        <w:rPr>
          <w:rFonts w:ascii="宋体" w:hAnsi="宋体" w:eastAsia="宋体" w:cs="宋体"/>
          <w:sz w:val="24"/>
          <w:highlight w:val="none"/>
        </w:rPr>
        <w:t xml:space="preserve">逾期支付合同价款的，每逾期1日，应向乙方支付逾期付款金额万分之四的违约金，但甲方支付的该项违约金总额以逾期付款金额的</w:t>
      </w:r>
      <w:r>
        <w:rPr>
          <w:rFonts w:hint="eastAsia" w:ascii="宋体" w:hAnsi="宋体" w:eastAsia="宋体" w:cs="宋体"/>
          <w:sz w:val="24"/>
          <w:highlight w:val="none"/>
        </w:rPr>
        <w:t xml:space="preserve">5</w:t>
      </w:r>
      <w:r>
        <w:rPr>
          <w:rFonts w:ascii="宋体" w:hAnsi="宋体" w:eastAsia="宋体" w:cs="宋体"/>
          <w:sz w:val="24"/>
          <w:highlight w:val="none"/>
        </w:rPr>
        <w:t xml:space="preserve">%为限。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甲方违反本合同规定，无正当理由拒绝接收乙方交付的合格标的物的，应当承担因此给乙方造成的损失。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乙方未能按本合同约定的期限交付质量符合本合同约定货物的，甲方有权选择采取以下一种或多种措施：</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（1）每逾期一日，要求乙方按照本合同总金额的万分之四向甲方支付违约金，并在甲方指定期限内交付符合本合同约定的货物。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（2）甲方有权直接解除本合同，同时乙方应当立即退回已收取的全部款项并向甲方支付本合同总金额【20】%的违约金。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因乙方违约导致甲方解除合同的，甲方有权另行采购本合同约定的设备，乙方应当支付甲方因此额外支付的费用和受到的损失，包括但不限于</w:t>
      </w:r>
      <w:r>
        <w:rPr>
          <w:rFonts w:hint="eastAsia" w:ascii="宋体" w:hAnsi="宋体" w:eastAsia="宋体" w:cs="宋体"/>
          <w:sz w:val="24"/>
          <w:highlight w:val="none"/>
        </w:rPr>
        <w:t xml:space="preserve">：</w:t>
      </w:r>
      <w:r>
        <w:rPr>
          <w:rFonts w:ascii="宋体" w:hAnsi="宋体" w:eastAsia="宋体" w:cs="宋体"/>
          <w:sz w:val="24"/>
          <w:highlight w:val="none"/>
        </w:rPr>
        <w:t xml:space="preserve"> 采购费用以及因退货所产生的运输、存储费用，因乙方违约导致逾期交付的损失（损失参照合同约定的逾期交付违约金计算方式进行认定）等一切费用和损失。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本项目禁止任何形式的转包与分包，如乙方出现违反上述约定的情况，甲方有权解除本合同，同时乙方应当立即退回已收取的全部款项并向甲方支付本合同总金额【20】%的违约金。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rPr>
          <w:rFonts w:hint="eastAsia" w:ascii="宋体" w:hAnsi="宋体" w:eastAsia="宋体" w:cs="宋体"/>
          <w:sz w:val="24"/>
          <w:highlight w:val="none"/>
        </w:rPr>
        <w:t xml:space="preserve">.</w:t>
      </w:r>
      <w:r>
        <w:rPr>
          <w:rFonts w:ascii="宋体" w:hAnsi="宋体" w:eastAsia="宋体" w:cs="宋体"/>
          <w:sz w:val="24"/>
          <w:highlight w:val="none"/>
        </w:rPr>
        <w:t xml:space="preserve">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rPr>
          <w:rFonts w:hint="eastAsia" w:ascii="宋体" w:hAnsi="宋体" w:eastAsia="宋体" w:cs="宋体"/>
          <w:sz w:val="24"/>
          <w:highlight w:val="none"/>
        </w:rPr>
        <w:t xml:space="preserve">.</w:t>
      </w:r>
      <w:r>
        <w:rPr>
          <w:rFonts w:ascii="宋体" w:hAnsi="宋体" w:eastAsia="宋体" w:cs="宋体"/>
          <w:sz w:val="24"/>
          <w:highlight w:val="none"/>
        </w:rPr>
        <w:t xml:space="preserve">乙方因履行本合同而需向甲方支付款项的（包括但不限于违约赔偿、退款等），甲方有权直接自未付款项中予以抵扣，不足部分甲方有权要求乙方补足。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6</w:t>
      </w:r>
      <w:r>
        <w:rPr>
          <w:rFonts w:hint="eastAsia" w:ascii="宋体" w:hAnsi="宋体" w:eastAsia="宋体" w:cs="宋体"/>
          <w:sz w:val="24"/>
          <w:highlight w:val="none"/>
        </w:rPr>
        <w:t xml:space="preserve">.</w:t>
      </w:r>
      <w:r>
        <w:rPr>
          <w:rFonts w:ascii="宋体" w:hAnsi="宋体" w:eastAsia="宋体" w:cs="宋体"/>
          <w:sz w:val="24"/>
          <w:highlight w:val="none"/>
        </w:rPr>
        <w:t xml:space="preserve">乙方逾期支付本合同约定的任何款项（包括但不限于违约赔偿、退款等）的，每逾期一日，乙方应当</w:t>
      </w:r>
      <w:r>
        <w:rPr>
          <w:rFonts w:hint="eastAsia" w:ascii="宋体" w:hAnsi="宋体" w:eastAsia="宋体" w:cs="宋体"/>
          <w:sz w:val="24"/>
          <w:highlight w:val="none"/>
          <w:lang w:val="en-US" w:eastAsia="zh-CN"/>
        </w:rPr>
        <w:t xml:space="preserve">向</w:t>
      </w:r>
      <w:r>
        <w:rPr>
          <w:rFonts w:ascii="宋体" w:hAnsi="宋体" w:eastAsia="宋体" w:cs="宋体"/>
          <w:sz w:val="24"/>
          <w:highlight w:val="none"/>
        </w:rPr>
        <w:t xml:space="preserve">甲方支付逾期金额万分之四的违约金。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7</w:t>
      </w:r>
      <w:r>
        <w:rPr>
          <w:rFonts w:hint="eastAsia" w:ascii="宋体" w:hAnsi="宋体" w:eastAsia="宋体" w:cs="宋体"/>
          <w:sz w:val="24"/>
          <w:highlight w:val="none"/>
        </w:rPr>
        <w:t xml:space="preserve">.</w:t>
      </w:r>
      <w:r>
        <w:rPr>
          <w:rFonts w:ascii="宋体" w:hAnsi="宋体" w:eastAsia="宋体" w:cs="宋体"/>
          <w:sz w:val="24"/>
          <w:highlight w:val="none"/>
        </w:rPr>
        <w:t xml:space="preserve">本合同约定的乙方应付违约金不足以弥补甲方一切直接或间接损失的，乙方应当足额赔偿。</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乙方对招</w:t>
      </w:r>
      <w:r>
        <w:rPr>
          <w:rFonts w:hint="eastAsia" w:ascii="宋体" w:hAnsi="宋体" w:eastAsia="宋体" w:cs="宋体"/>
          <w:sz w:val="24"/>
          <w:highlight w:val="none"/>
        </w:rPr>
        <w:t xml:space="preserve">响应文件</w:t>
      </w:r>
      <w:r>
        <w:rPr>
          <w:rFonts w:ascii="宋体" w:hAnsi="宋体" w:eastAsia="宋体" w:cs="宋体"/>
          <w:sz w:val="24"/>
          <w:highlight w:val="none"/>
        </w:rPr>
        <w:t xml:space="preserve">中承诺函所承诺的内容未按约定提供，甲方有权终止合同，并支付本合同总金额【20】%的违约金。</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十三、不可抗力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（一）合同一方因不可抗力不能履行合同的，根据不可抗力的影响，部分或者全部免除责任。但合同一方迟延履行后发生不可抗力的，不能免除责任。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（二）合同一方因不可抗力不能履行合同的，应当在不可抗力发生后3日内通知对方，以减轻可能给对方造成的损失，并应当在不可抗力通知发出后的7日内提供书面证明文件。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（三）不可抗力事由消除后，合同继续履行或解除等相关事宜，由合同双方协商解决。</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十四、索赔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（一）乙方交付的本合同货物的质量、数量、规格、性能等经检验、验收不合格的，甲方有权根据当地产品质量检验机构或其他有关部门出具的检验、验收证书向乙方提出索赔。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（二）在本合同规定的检验期限和质量保证期内，如果乙方对甲方提出的索赔或异议有责任，则乙方应按甲方同意的下列一种或多种方式解决索赔事宜：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乙方同意退货，并按本合同规定的货币形式将货款退还给甲方，并且承担由此发生的一切直接、间接损失和费用，包括利息、银行手续费、运费、总包配合费、保险费、检验费、仓储费、装卸费以及为保护退回货物所需的其他必要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根据货物的低劣程度、损坏程度以及甲方遭受损失的数额，经甲乙双方协商确定降低货物的价格。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乙方应在收到甲方书面索赔通知后7日内，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十五、合同的解除和转让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（一）除《政府采购法》第49条、第50条第二款规定的情形及本合同约定的情形外，本合同签订后，甲乙双方不得擅自变更、解除或终止本合同。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（二）有下列情形之一的，合同一方可以解除合同：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因不可抗力致使不能实现合同目的的，未受不可抗力影响的一方有权解除合同；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因合同一方违约导致合同不能履行的，另一方有权解除合同；</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.本合同约定或者法律规定一方可以解除的情形发生时；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有权解除合同的一方，应当在违约事实或不可抗力发生后30日内书面通知对方解除本合同，本合同在书面通知到达对方时解除。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（三）乙方不得将本合同的部分或全部义务转让给任何第三方。</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十六、合同的生效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本合同自甲乙双方法定（授权）代表人签字并盖章后生效。</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十七、争议解决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甲乙双方因履行本合同或与本合同有关的一切事项发生争议的，应友好协商解决；协商不成的，任何一方均有权向甲方所在地人民法院起诉。因乙方违约或乙方追究甲方违约但不成立，导致甲方为处理此纠纷产生的费用由乙方承担，该费用包括但不限于公证费、诉讼费、保全费、鉴定费、执行费、律师费、差旅费等。</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十八、其他附则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（一）合同份数：本合同一式</w:t>
      </w:r>
      <w:r>
        <w:rPr>
          <w:rFonts w:ascii="宋体" w:hAnsi="宋体" w:cs="宋体"/>
          <w:sz w:val="24"/>
          <w:highlight w:val="none"/>
        </w:rPr>
        <w:t xml:space="preserve">玖份</w:t>
      </w:r>
      <w:r>
        <w:rPr>
          <w:rFonts w:ascii="宋体" w:hAnsi="宋体" w:eastAsia="宋体" w:cs="宋体"/>
          <w:sz w:val="24"/>
          <w:highlight w:val="none"/>
        </w:rPr>
        <w:t xml:space="preserve">，甲方</w:t>
      </w:r>
      <w:r>
        <w:rPr>
          <w:rFonts w:hint="eastAsia" w:ascii="宋体" w:hAnsi="宋体" w:eastAsia="宋体" w:cs="宋体"/>
          <w:sz w:val="24"/>
          <w:szCs w:val="24"/>
          <w:highlight w:val="none"/>
        </w:rPr>
        <w:t xml:space="preserve">伍份</w:t>
      </w:r>
      <w:r>
        <w:rPr>
          <w:rFonts w:ascii="宋体" w:hAnsi="宋体" w:eastAsia="宋体" w:cs="宋体"/>
          <w:sz w:val="24"/>
          <w:highlight w:val="none"/>
        </w:rPr>
        <w:t xml:space="preserve">，乙方</w:t>
      </w:r>
      <w:r>
        <w:rPr>
          <w:rFonts w:ascii="宋体" w:hAnsi="宋体" w:cs="宋体"/>
          <w:sz w:val="24"/>
          <w:highlight w:val="none"/>
        </w:rPr>
        <w:t xml:space="preserve">叁份</w:t>
      </w:r>
      <w:r>
        <w:rPr>
          <w:rFonts w:ascii="宋体" w:hAnsi="宋体" w:eastAsia="宋体" w:cs="宋体"/>
          <w:sz w:val="24"/>
          <w:highlight w:val="none"/>
        </w:rPr>
        <w:t xml:space="preserve">，采购代理机构执壹份，各份合同具有同等法律效力。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本合同未尽事宜应按《中华人民共和国民法典》《中华人民共和国政府采购法》以及其它法律、法规之规定解释，在执行过程中甲乙双方应在不违背本合同和采购文件的原则下协商解决，协商结果以书面形式盖章记录，作为本合同的附件，与本合同具有同等法律效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（三）本合同首部所载明的双方地址为甲乙双方认可的相关文件、法律文书送达地址，任何一方如更换通信地址应于3日内书面通知另一方，未通知的自行承担送达不能等不利后果。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（以下无正文）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甲方（盖章）：</w:t>
      </w:r>
      <w:r>
        <w:rPr>
          <w:rFonts w:hint="eastAsia" w:ascii="宋体" w:hAnsi="宋体" w:eastAsia="宋体" w:cs="宋体"/>
          <w:sz w:val="24"/>
          <w:highlight w:val="none"/>
        </w:rPr>
        <w:t xml:space="preserve">苏州科技大学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法定（授权）代表人（签字）：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乙方（盖章）：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法定（授权）代表人（签字）：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rPr>
          <w:rFonts w:ascii="宋体" w:hAnsi="宋体" w:eastAsia="宋体" w:cs="宋体"/>
          <w:b/>
          <w:sz w:val="44"/>
          <w:highlight w:val="none"/>
        </w:rPr>
      </w:pPr>
      <w:r/>
      <w:bookmarkStart w:id="5" w:name="_Toc9204"/>
      <w:r>
        <w:rPr>
          <w:rFonts w:ascii="宋体" w:hAnsi="宋体" w:eastAsia="宋体" w:cs="宋体"/>
          <w:b/>
          <w:sz w:val="44"/>
          <w:highlight w:val="none"/>
        </w:rPr>
        <w:br w:type="page" w:clear="all"/>
      </w:r>
      <w:r/>
    </w:p>
    <w:p>
      <w:pPr>
        <w:pStyle w:val="752"/>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752"/>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第六章 评标办法及标准</w:t>
      </w:r>
      <w:bookmarkEnd w:id="5"/>
      <w:r/>
      <w:r/>
    </w:p>
    <w:p>
      <w:pPr>
        <w:ind w:firstLine="1968"/>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一、评标办法：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本次招标评标采用</w:t>
      </w:r>
      <w:r>
        <w:rPr>
          <w:rFonts w:ascii="宋体" w:hAnsi="宋体" w:eastAsia="宋体" w:cs="宋体"/>
          <w:sz w:val="24"/>
          <w:highlight w:val="none"/>
          <w:u w:val="single"/>
        </w:rPr>
        <w:t xml:space="preserve">综合评分法</w:t>
      </w:r>
      <w:r>
        <w:rPr>
          <w:rFonts w:ascii="宋体" w:hAnsi="宋体" w:eastAsia="宋体" w:cs="宋体"/>
          <w:sz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评标时，评标委员会成员按照招标文件规定的评分标准，独立对每个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的评标总得分。</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通过资格审查、符合性审查的不同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参加同一合同项下投标，提供的品牌相同的，按一家</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计算，评审后综合得分最高的同品牌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获得中标人推荐资格；评审综合得分相同的，由采购人或采购人委托评标委员会确定一个投标报价最低的同品牌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综合得分和投标报价均相同的，由评标委员会采取随机抽取方式确定获得中标人推荐资格的同品牌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，其他同品牌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不作为中标候选人。</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4.投标文件满足招标文件全部实质性要求，且按照前述综合评审得分由高到低的排序选择前三名供应商作为中标候选人。</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5.评标委员会根据采购人的授权，按照中标候选人的顺序在中标候选人中直接确定中标供应商。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w:t>
      </w:r>
      <w:r>
        <w:rPr>
          <w:rFonts w:hint="eastAsia" w:ascii="宋体" w:hAnsi="宋体" w:eastAsia="宋体" w:cs="宋体"/>
          <w:b/>
          <w:sz w:val="24"/>
          <w:highlight w:val="none"/>
        </w:rPr>
        <w:t xml:space="preserve">评审要求</w:t>
      </w:r>
      <w:r>
        <w:rPr>
          <w:rFonts w:ascii="宋体" w:hAnsi="宋体" w:eastAsia="宋体" w:cs="宋体"/>
          <w:b/>
          <w:sz w:val="24"/>
          <w:highlight w:val="none"/>
        </w:rPr>
        <w:t xml:space="preserve">：</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9"/>
        <w:ind w:left="0" w:right="0" w:firstLine="482"/>
        <w:rPr>
          <w:rFonts w:hint="default" w:ascii="宋体" w:hAnsi="宋体" w:eastAsia="宋体" w:cs="宋体"/>
          <w:b/>
          <w:bCs/>
          <w:sz w:val="24"/>
          <w:szCs w:val="24"/>
          <w:highlight w:val="none"/>
        </w:rPr>
      </w:pPr>
      <w:r>
        <w:rPr>
          <w:rFonts w:ascii="宋体" w:hAnsi="宋体" w:eastAsia="宋体" w:cs="宋体"/>
          <w:b/>
          <w:bCs/>
          <w:sz w:val="24"/>
          <w:szCs w:val="24"/>
          <w:highlight w:val="none"/>
        </w:rPr>
        <w:t xml:space="preserve">2.针对中小型企业、残疾人福利企业和监狱企业的评审：</w:t>
      </w:r>
      <w:r/>
    </w:p>
    <w:p>
      <w:pPr>
        <w:pStyle w:val="769"/>
        <w:ind w:left="0" w:right="0" w:firstLine="480"/>
        <w:rPr>
          <w:rFonts w:hint="default" w:ascii="宋体" w:hAnsi="宋体" w:eastAsia="宋体" w:cs="宋体"/>
          <w:b/>
          <w:bCs/>
          <w:sz w:val="24"/>
          <w:szCs w:val="24"/>
          <w:highlight w:val="none"/>
        </w:rPr>
      </w:pPr>
      <w:r>
        <w:rPr>
          <w:rFonts w:ascii="宋体" w:hAnsi="宋体" w:eastAsia="宋体" w:cs="宋体"/>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eastAsia="宋体" w:cs="宋体"/>
          <w:b/>
          <w:bCs/>
          <w:sz w:val="24"/>
          <w:szCs w:val="24"/>
          <w:highlight w:val="none"/>
        </w:rPr>
        <w:t xml:space="preserve">对小型和微型企业产品或服务的价格给予10%的扣除，用扣除后的价格参与评审。</w:t>
      </w:r>
      <w:r/>
    </w:p>
    <w:p>
      <w:pPr>
        <w:pStyle w:val="769"/>
        <w:ind w:left="0" w:right="0" w:firstLine="482"/>
        <w:rPr>
          <w:rFonts w:hint="default" w:ascii="宋体" w:hAnsi="宋体" w:eastAsia="宋体" w:cs="宋体"/>
          <w:b/>
          <w:bCs/>
          <w:sz w:val="24"/>
          <w:szCs w:val="24"/>
          <w:highlight w:val="none"/>
        </w:rPr>
      </w:pPr>
      <w:r>
        <w:rPr>
          <w:rFonts w:ascii="宋体" w:hAnsi="宋体" w:eastAsia="宋体" w:cs="宋体"/>
          <w:b/>
          <w:bCs/>
          <w:sz w:val="24"/>
          <w:szCs w:val="24"/>
          <w:highlight w:val="none"/>
        </w:rPr>
        <w:t xml:space="preserve">3.</w:t>
      </w:r>
      <w:r>
        <w:rPr>
          <w:rStyle w:val="793"/>
          <w:rFonts w:ascii="宋体" w:hAnsi="宋体" w:eastAsia="宋体" w:cs="宋体"/>
          <w:sz w:val="24"/>
          <w:szCs w:val="24"/>
          <w:highlight w:val="none"/>
          <w:shd w:val="clear" w:color="auto" w:fill="ffffff"/>
        </w:rPr>
        <w:t xml:space="preserve">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pStyle w:val="769"/>
        <w:ind w:left="0" w:right="0" w:firstLine="480"/>
        <w:rPr>
          <w:rFonts w:hint="default" w:ascii="宋体" w:hAnsi="宋体" w:eastAsia="宋体" w:cs="宋体"/>
          <w:sz w:val="24"/>
          <w:szCs w:val="24"/>
          <w:highlight w:val="none"/>
        </w:rPr>
      </w:pPr>
      <w:r>
        <w:rPr>
          <w:rFonts w:ascii="宋体" w:hAnsi="宋体" w:eastAsia="宋体" w:cs="宋体"/>
          <w:sz w:val="24"/>
          <w:highlight w:val="none"/>
        </w:rPr>
        <w:t xml:space="preserve">当采购项目或者采购包中含有多种产品，供应商为该采购项目或者采购包提供的</w:t>
      </w:r>
      <w:r>
        <w:rPr>
          <w:rFonts w:ascii="宋体" w:hAnsi="宋体" w:eastAsia="宋体" w:cs="宋体"/>
          <w:b/>
          <w:bCs/>
          <w:sz w:val="24"/>
          <w:highlight w:val="none"/>
        </w:rPr>
        <w:t xml:space="preserve">符合本国产品标准的产品成本之和占该供应商提供的全部产品成本之和的比例达到80%以上</w:t>
      </w:r>
      <w:r>
        <w:rPr>
          <w:rFonts w:ascii="宋体" w:hAnsi="宋体" w:eastAsia="宋体" w:cs="宋体"/>
          <w:sz w:val="24"/>
          <w:highlight w:val="none"/>
        </w:rPr>
        <w:t xml:space="preserve">时，依法对该供应商提供的全部产品给予价格评审优惠，即</w:t>
      </w:r>
      <w:r>
        <w:rPr>
          <w:rFonts w:ascii="宋体" w:hAnsi="宋体" w:eastAsia="宋体" w:cs="宋体"/>
          <w:b/>
          <w:bCs/>
          <w:sz w:val="24"/>
          <w:highlight w:val="none"/>
        </w:rPr>
        <w:t xml:space="preserve">对该供应商提供的全部产品的总报价给予20%的价格扣除</w:t>
      </w:r>
      <w:r>
        <w:rPr>
          <w:rFonts w:ascii="宋体" w:hAnsi="宋体" w:eastAsia="宋体" w:cs="宋体"/>
          <w:sz w:val="24"/>
          <w:highlight w:val="none"/>
        </w:rPr>
        <w:t xml:space="preserve">，用扣除后的价格参与评审。</w:t>
      </w:r>
      <w:r/>
    </w:p>
    <w:p>
      <w:pPr>
        <w:ind w:firstLine="482"/>
        <w:spacing w:line="360" w:lineRule="auto"/>
        <w:widowControl w:val="off"/>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三、评分标准</w:t>
      </w:r>
      <w:r/>
    </w:p>
    <w:tbl>
      <w:tblPr>
        <w:tblStyle w:val="762"/>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237"/>
        <w:gridCol w:w="709"/>
        <w:gridCol w:w="7327"/>
      </w:tblGrid>
      <w:tr>
        <w:trPr>
          <w:jc w:val="center"/>
          <w:trHeight w:val="600"/>
        </w:trPr>
        <w:tc>
          <w:tcPr>
            <w:tcMar>
              <w:left w:w="20" w:type="dxa"/>
              <w:top w:w="20" w:type="dxa"/>
              <w:right w:w="20" w:type="dxa"/>
              <w:bottom w:w="20" w:type="dxa"/>
            </w:tcMar>
            <w:tcW w:w="667" w:type="pct"/>
            <w:vAlign w:val="center"/>
            <w:textDirection w:val="lrTb"/>
            <w:noWrap w:val="false"/>
          </w:tcPr>
          <w:p>
            <w:pPr>
              <w:jc w:val="center"/>
              <w:spacing w:line="378"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评分因素</w:t>
            </w:r>
            <w:r/>
          </w:p>
        </w:tc>
        <w:tc>
          <w:tcPr>
            <w:tcMar>
              <w:left w:w="20" w:type="dxa"/>
              <w:top w:w="20" w:type="dxa"/>
              <w:right w:w="20" w:type="dxa"/>
              <w:bottom w:w="20" w:type="dxa"/>
            </w:tcMar>
            <w:tcW w:w="382" w:type="pct"/>
            <w:vAlign w:val="center"/>
            <w:textDirection w:val="lrTb"/>
            <w:noWrap w:val="false"/>
          </w:tcPr>
          <w:p>
            <w:pPr>
              <w:jc w:val="center"/>
              <w:spacing w:line="378"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分值</w:t>
            </w:r>
            <w:r/>
          </w:p>
        </w:tc>
        <w:tc>
          <w:tcPr>
            <w:tcMar>
              <w:left w:w="20" w:type="dxa"/>
              <w:top w:w="20" w:type="dxa"/>
              <w:right w:w="20" w:type="dxa"/>
              <w:bottom w:w="20" w:type="dxa"/>
            </w:tcMar>
            <w:tcW w:w="3949" w:type="pct"/>
            <w:vAlign w:val="center"/>
            <w:textDirection w:val="lrTb"/>
            <w:noWrap w:val="false"/>
          </w:tcPr>
          <w:p>
            <w:pPr>
              <w:jc w:val="center"/>
              <w:spacing w:line="378"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评分标准</w:t>
            </w:r>
            <w:r/>
          </w:p>
        </w:tc>
      </w:tr>
      <w:tr>
        <w:trPr>
          <w:jc w:val="center"/>
          <w:trHeight w:val="720"/>
        </w:trPr>
        <w:tc>
          <w:tcPr>
            <w:tcMar>
              <w:left w:w="20" w:type="dxa"/>
              <w:top w:w="20" w:type="dxa"/>
              <w:right w:w="20" w:type="dxa"/>
              <w:bottom w:w="20" w:type="dxa"/>
            </w:tcMar>
            <w:tcW w:w="667" w:type="pct"/>
            <w:vAlign w:val="center"/>
            <w:textDirection w:val="lrTb"/>
            <w:noWrap w:val="false"/>
          </w:tcPr>
          <w:p>
            <w:pPr>
              <w:jc w:val="cente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投标报价</w:t>
            </w:r>
            <w:r/>
          </w:p>
        </w:tc>
        <w:tc>
          <w:tcPr>
            <w:tcMar>
              <w:left w:w="20" w:type="dxa"/>
              <w:top w:w="20" w:type="dxa"/>
              <w:right w:w="20" w:type="dxa"/>
              <w:bottom w:w="20" w:type="dxa"/>
            </w:tcMar>
            <w:tcW w:w="382"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30</w:t>
            </w:r>
            <w:r/>
          </w:p>
        </w:tc>
        <w:tc>
          <w:tcPr>
            <w:tcMar>
              <w:left w:w="20" w:type="dxa"/>
              <w:top w:w="20" w:type="dxa"/>
              <w:right w:w="20" w:type="dxa"/>
              <w:bottom w:w="20" w:type="dxa"/>
            </w:tcMar>
            <w:tcW w:w="3949" w:type="pct"/>
            <w:textDirection w:val="lrTb"/>
            <w:noWrap w:val="false"/>
          </w:tcPr>
          <w:p>
            <w:pPr>
              <w:spacing w:line="378"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最低投标报价为评标基准价</w:t>
            </w:r>
            <w:r>
              <w:rPr>
                <w:rFonts w:hint="eastAsia" w:ascii="宋体" w:hAnsi="宋体" w:eastAsia="宋体" w:cs="宋体"/>
                <w:sz w:val="24"/>
                <w:szCs w:val="24"/>
                <w:highlight w:val="none"/>
              </w:rPr>
              <w:t xml:space="preserve">：满足招标文件要求且投标价格最低的投标报价为评标基准价，其价格分为满分。其他供应商的价格分统一按照下列公式计算：投标报价得分</w:t>
            </w:r>
            <w:bookmarkStart w:id="6" w:name="_GoBack"/>
            <w:r/>
            <w:bookmarkEnd w:id="6"/>
            <w:r>
              <w:rPr>
                <w:rFonts w:hint="eastAsia" w:ascii="宋体" w:hAnsi="宋体" w:eastAsia="宋体" w:cs="宋体"/>
                <w:sz w:val="24"/>
                <w:szCs w:val="24"/>
                <w:highlight w:val="none"/>
              </w:rPr>
              <w:t xml:space="preserve">=(评标基准价/投标报价)×30。</w:t>
            </w:r>
            <w:r/>
          </w:p>
        </w:tc>
      </w:tr>
      <w:tr>
        <w:trPr>
          <w:jc w:val="center"/>
          <w:trHeight w:val="720"/>
        </w:trPr>
        <w:tc>
          <w:tcPr>
            <w:tcMar>
              <w:left w:w="20" w:type="dxa"/>
              <w:top w:w="20" w:type="dxa"/>
              <w:right w:w="20" w:type="dxa"/>
              <w:bottom w:w="20" w:type="dxa"/>
            </w:tcMar>
            <w:tcW w:w="667" w:type="pct"/>
            <w:vAlign w:val="center"/>
            <w:textDirection w:val="lrTb"/>
            <w:noWrap w:val="false"/>
          </w:tcPr>
          <w:p>
            <w:pPr>
              <w:jc w:val="cente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技术参数及配置</w:t>
            </w:r>
            <w:r/>
          </w:p>
        </w:tc>
        <w:tc>
          <w:tcPr>
            <w:tcMar>
              <w:left w:w="20" w:type="dxa"/>
              <w:top w:w="20" w:type="dxa"/>
              <w:right w:w="20" w:type="dxa"/>
              <w:bottom w:w="20" w:type="dxa"/>
            </w:tcMar>
            <w:tcW w:w="382"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Mar>
              <w:left w:w="20" w:type="dxa"/>
              <w:top w:w="20" w:type="dxa"/>
              <w:right w:w="20" w:type="dxa"/>
              <w:bottom w:w="20" w:type="dxa"/>
            </w:tcMar>
            <w:tcW w:w="3949" w:type="pct"/>
            <w:textDirection w:val="lrTb"/>
            <w:noWrap w:val="false"/>
          </w:tcPr>
          <w:p>
            <w:pPr>
              <w:spacing w:line="378" w:lineRule="exact"/>
              <w:rPr>
                <w:rStyle w:val="797"/>
                <w:rFonts w:hint="eastAsia" w:eastAsia="宋体"/>
                <w:b w:val="0"/>
                <w:bCs/>
                <w:sz w:val="24"/>
                <w:szCs w:val="24"/>
                <w:highlight w:val="none"/>
              </w:rPr>
            </w:pPr>
            <w:r>
              <w:rPr>
                <w:rStyle w:val="797"/>
                <w:rFonts w:hint="eastAsia" w:eastAsia="宋体"/>
                <w:b w:val="0"/>
                <w:bCs/>
                <w:sz w:val="24"/>
                <w:szCs w:val="24"/>
                <w:highlight w:val="none"/>
              </w:rPr>
              <w:t xml:space="preserve">针对“第四章 采购内容”中采购清单及技术参数，以供应商提供的能直接反映该产品技术参数的认证证书、检测报告、产品说明书或彩页等作为主要评判依据，其他情况由评标委员会根据实际情况进行评判。</w:t>
            </w:r>
            <w:r/>
          </w:p>
          <w:p>
            <w:pPr>
              <w:spacing w:line="378" w:lineRule="exact"/>
              <w:rPr>
                <w:rFonts w:ascii="宋体" w:hAnsi="宋体" w:eastAsia="宋体" w:cs="宋体"/>
                <w:sz w:val="24"/>
                <w:szCs w:val="24"/>
                <w:highlight w:val="none"/>
              </w:rPr>
            </w:pPr>
            <w:r>
              <w:rPr>
                <w:rStyle w:val="797"/>
                <w:rFonts w:hint="eastAsia" w:eastAsia="宋体"/>
                <w:b w:val="0"/>
                <w:bCs/>
                <w:sz w:val="24"/>
                <w:szCs w:val="24"/>
                <w:highlight w:val="none"/>
              </w:rPr>
              <w:t xml:space="preserve">标“★”技术参数必须提供能直接反映该产品技术参数的认证证书、检测报告、产品说明书或彩页等</w:t>
            </w:r>
            <w:r>
              <w:rPr>
                <w:rStyle w:val="797"/>
                <w:rFonts w:hint="eastAsia" w:ascii="宋体" w:hAnsi="宋体" w:eastAsia="宋体" w:cs="宋体"/>
                <w:b w:val="0"/>
                <w:bCs/>
                <w:sz w:val="24"/>
                <w:szCs w:val="24"/>
                <w:highlight w:val="none"/>
              </w:rPr>
              <w:t xml:space="preserve">作为评判依据，未提供视为无效响应。其他参数若出现负偏离每项扣2分，</w:t>
            </w:r>
            <w:r>
              <w:rPr>
                <w:rStyle w:val="797"/>
                <w:rFonts w:hint="eastAsia" w:eastAsia="宋体"/>
                <w:b w:val="0"/>
                <w:bCs/>
                <w:sz w:val="24"/>
                <w:szCs w:val="24"/>
                <w:highlight w:val="none"/>
              </w:rPr>
              <w:t xml:space="preserve">扣完为止</w:t>
            </w:r>
            <w:r/>
          </w:p>
        </w:tc>
      </w:tr>
      <w:tr>
        <w:trPr>
          <w:jc w:val="center"/>
          <w:trHeight w:val="720"/>
        </w:trPr>
        <w:tc>
          <w:tcPr>
            <w:tcMar>
              <w:left w:w="20" w:type="dxa"/>
              <w:top w:w="20" w:type="dxa"/>
              <w:right w:w="20" w:type="dxa"/>
              <w:bottom w:w="20" w:type="dxa"/>
            </w:tcMar>
            <w:tcW w:w="667" w:type="pct"/>
            <w:vAlign w:val="center"/>
            <w:textDirection w:val="lrTb"/>
            <w:noWrap w:val="false"/>
          </w:tcPr>
          <w:p>
            <w:pPr>
              <w:jc w:val="cente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实施方案</w:t>
            </w:r>
            <w:r/>
          </w:p>
        </w:tc>
        <w:tc>
          <w:tcPr>
            <w:tcMar>
              <w:left w:w="20" w:type="dxa"/>
              <w:top w:w="20" w:type="dxa"/>
              <w:right w:w="20" w:type="dxa"/>
              <w:bottom w:w="20" w:type="dxa"/>
            </w:tcMar>
            <w:tcW w:w="382"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25</w:t>
            </w:r>
            <w:r/>
          </w:p>
        </w:tc>
        <w:tc>
          <w:tcPr>
            <w:tcMar>
              <w:left w:w="20" w:type="dxa"/>
              <w:top w:w="20" w:type="dxa"/>
              <w:right w:w="20" w:type="dxa"/>
              <w:bottom w:w="20" w:type="dxa"/>
            </w:tcMar>
            <w:tcW w:w="3949" w:type="pct"/>
            <w:textDirection w:val="lrTb"/>
            <w:noWrap w:val="false"/>
          </w:tcPr>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1.整体技术方案（7分）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应对本项目具有充分了解，针对项目实施过程可能出现的问题、潜在风险及应对策略进行深入分析，并提出科学合理的整体技术方案，避免因现场环境不符预期，导致工期延误或功能受限。对本项目充分了解，项目整体技术方案内容详细、科学合理，与现场环境适配性高、可操作性强的得7分；对本项目较了解，项目整体技术方案较详细、方案较合理，与现场环境适配性较高、可操作性较强的得4分；对本项目基本了解，项目整体技术方案一般的得1分；未提供不得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2.实施方案（18分）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2.1具体施工措施（5分）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根据供应商提供的施工方案、工艺流程、劳动力配备、机械投入等进行综合评定：方案阐述完整详细、科学合理、实用性强的得5分；方案可行、能满足项目需求的得3分；方案有所欠缺的得1分；未提供不得分。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2.2实施进度计划及保障措施（5分）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根据供应商提供的实施进度计划进行综合评定：计划完整详细、科学合理、切实可行的得5分；计划可行、能满足项目需求的得3分；计划有所欠缺的得1分；未提供不得分。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2.3现场安装调试方案（4分）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根据供应商提供的现场安装调试方案进行综合评定：方案阐述完整详细、科学合理、实用性强的得4分；方案可行、能满足项目需求的得2分；方案有所欠缺的得1分；未提供不得分。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2.4安全保障措施（4分）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根据供应商针对本项目提供的安全保障措施方案进行综合评定：方案阐述完整详细、保障措施完整可行的得4分；方案可行、保障措施较完整，能满足项目需求的得2分；方案有所欠缺的得1分；未提供不得分。</w:t>
            </w:r>
            <w:r/>
          </w:p>
        </w:tc>
      </w:tr>
      <w:tr>
        <w:trPr>
          <w:jc w:val="center"/>
          <w:trHeight w:val="720"/>
        </w:trPr>
        <w:tc>
          <w:tcPr>
            <w:tcMar>
              <w:left w:w="20" w:type="dxa"/>
              <w:top w:w="20" w:type="dxa"/>
              <w:right w:w="20" w:type="dxa"/>
              <w:bottom w:w="20" w:type="dxa"/>
            </w:tcMar>
            <w:tcW w:w="667" w:type="pct"/>
            <w:vAlign w:val="center"/>
            <w:textDirection w:val="lrTb"/>
            <w:noWrap w:val="false"/>
          </w:tcPr>
          <w:p>
            <w:pPr>
              <w:jc w:val="cente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综合能力</w:t>
            </w:r>
            <w:r/>
          </w:p>
        </w:tc>
        <w:tc>
          <w:tcPr>
            <w:tcMar>
              <w:left w:w="20" w:type="dxa"/>
              <w:top w:w="20" w:type="dxa"/>
              <w:right w:w="20" w:type="dxa"/>
              <w:bottom w:w="20" w:type="dxa"/>
            </w:tcMar>
            <w:tcW w:w="382"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23</w:t>
            </w:r>
            <w:r/>
          </w:p>
        </w:tc>
        <w:tc>
          <w:tcPr>
            <w:tcMar>
              <w:left w:w="20" w:type="dxa"/>
              <w:top w:w="20" w:type="dxa"/>
              <w:right w:w="20" w:type="dxa"/>
              <w:bottom w:w="20" w:type="dxa"/>
            </w:tcMar>
            <w:tcW w:w="3949" w:type="pct"/>
            <w:textDirection w:val="lrTb"/>
            <w:noWrap w:val="false"/>
          </w:tcPr>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1.项目经理（5分）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(1)注册消防工程师证书；</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(2)注册安全工程师证书；</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(3)注册信息安全专业人员（CISP）证书；</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(4)IT服务项目经理（ITSS）证书；</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(5)计算机技术与软件专业技术资格证书。</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以上证书每具备一项得1分，最高得5分。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注：投标文件内提供人员身份证扫描件、有效证书扫描件以及供应商为其缴纳的最新一期社保证明资料，否则不得分。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2.技术负责人（3分）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(1)注册信息安全专业人员（CISP）证书；</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(2)信息技术应用创新服务经理证书（ITSS）；</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(3)信息安全保障人员认证证书（CISAW）。</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以上证书每具备一项得1分，最高得3分。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注：投标文件内提供人员身份证扫描件、有效证书扫描件以及供应商为其缴纳的最新一期社保证明资料，否则不得分。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3.安全负责人（2分）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（1）注册消防工程师证书；</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（2）注册信息安全专业人员（CISP）证书等。</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以上证书每具备一项得1分，最高得2分。</w:t>
            </w:r>
            <w:r/>
          </w:p>
          <w:p>
            <w:pPr>
              <w:spacing w:line="378"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注：投标文件内提供人员身份证扫描件、有效证书扫描件以及供应商为其缴纳的最新一期社保证明资料，否则不得分</w:t>
            </w:r>
            <w:r>
              <w:rPr>
                <w:rFonts w:hint="eastAsia" w:ascii="宋体" w:hAnsi="宋体" w:eastAsia="宋体" w:cs="宋体"/>
                <w:sz w:val="24"/>
                <w:szCs w:val="24"/>
                <w:highlight w:val="none"/>
                <w:lang w:eastAsia="zh-CN"/>
              </w:rPr>
              <w:t xml:space="preserve">。</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4.体系认证(5分）</w:t>
            </w:r>
            <w:r/>
          </w:p>
          <w:p>
            <w:pPr>
              <w:spacing w:line="378" w:lineRule="exact"/>
              <w:rPr>
                <w:rFonts w:ascii="宋体" w:hAnsi="宋体" w:eastAsia="宋体" w:cs="宋体"/>
                <w:sz w:val="24"/>
                <w:szCs w:val="24"/>
                <w:highlight w:val="none"/>
              </w:rPr>
            </w:pPr>
            <w:r>
              <w:rPr>
                <w:rFonts w:hint="eastAsia" w:ascii="宋体" w:hAnsi="宋体" w:eastAsia="宋体" w:cs="宋体"/>
                <w:bCs/>
                <w:sz w:val="24"/>
                <w:szCs w:val="24"/>
                <w:highlight w:val="none"/>
              </w:rPr>
              <w:t xml:space="preserve">供应商</w:t>
            </w:r>
            <w:r>
              <w:rPr>
                <w:rFonts w:hint="eastAsia" w:ascii="宋体" w:hAnsi="宋体" w:eastAsia="宋体" w:cs="宋体"/>
                <w:sz w:val="24"/>
                <w:szCs w:val="24"/>
                <w:highlight w:val="none"/>
              </w:rPr>
              <w:t xml:space="preserve">具有有效期内的质量管理体系认证证书、信息技术服务管理体系认证证书、信息安全管理体系认证证书、合规管理体系认证证书、售后服务认证证书，每提供一份得1分，本项最高得5分。（投标文件中需提供证书扫描件</w:t>
            </w:r>
            <w:r>
              <w:rPr>
                <w:rFonts w:hint="eastAsia" w:ascii="宋体" w:hAnsi="宋体" w:eastAsia="宋体" w:cs="宋体"/>
                <w:sz w:val="24"/>
                <w:szCs w:val="24"/>
                <w:highlight w:val="none"/>
                <w:lang w:val="en-US" w:eastAsia="zh-CN"/>
              </w:rPr>
              <w:t xml:space="preserve">以及</w:t>
            </w:r>
            <w:r>
              <w:rPr>
                <w:rFonts w:hint="eastAsia"/>
                <w:sz w:val="24"/>
                <w:szCs w:val="24"/>
                <w:highlight w:val="none"/>
              </w:rPr>
              <w:t xml:space="preserve">中国认监委网站查询结果截图</w:t>
            </w:r>
            <w:r>
              <w:rPr>
                <w:rFonts w:hint="eastAsia" w:ascii="宋体" w:hAnsi="宋体" w:eastAsia="宋体" w:cs="宋体"/>
                <w:sz w:val="24"/>
                <w:szCs w:val="24"/>
                <w:highlight w:val="none"/>
              </w:rPr>
              <w:t xml:space="preserve">，否则不得分。）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5.ITSS信息技术服务标准认证（5分）</w:t>
            </w:r>
            <w:r/>
          </w:p>
          <w:p>
            <w:pPr>
              <w:spacing w:line="378" w:lineRule="exact"/>
              <w:rPr>
                <w:rFonts w:ascii="宋体" w:hAnsi="宋体" w:eastAsia="宋体" w:cs="宋体"/>
                <w:sz w:val="24"/>
                <w:szCs w:val="24"/>
                <w:highlight w:val="none"/>
              </w:rPr>
            </w:pPr>
            <w:r>
              <w:rPr>
                <w:rFonts w:hint="eastAsia" w:ascii="宋体" w:hAnsi="宋体" w:eastAsia="宋体" w:cs="宋体"/>
                <w:bCs/>
                <w:sz w:val="24"/>
                <w:szCs w:val="24"/>
                <w:highlight w:val="none"/>
              </w:rPr>
              <w:t xml:space="preserve">供应商</w:t>
            </w:r>
            <w:r>
              <w:rPr>
                <w:rFonts w:hint="eastAsia" w:ascii="宋体" w:hAnsi="宋体" w:eastAsia="宋体" w:cs="宋体"/>
                <w:sz w:val="24"/>
                <w:szCs w:val="24"/>
                <w:highlight w:val="none"/>
              </w:rPr>
              <w:t xml:space="preserve">具有有效期内的ITSS 信息技术服务标准3级及以上认证证书的，3级证书得1分，2级证书得3分，1级证书得5分，按</w:t>
            </w:r>
            <w:r>
              <w:rPr>
                <w:rFonts w:hint="eastAsia" w:ascii="宋体" w:hAnsi="宋体" w:eastAsia="宋体" w:cs="宋体"/>
                <w:bCs/>
                <w:sz w:val="24"/>
                <w:szCs w:val="24"/>
                <w:highlight w:val="none"/>
              </w:rPr>
              <w:t xml:space="preserve">供应商</w:t>
            </w:r>
            <w:r>
              <w:rPr>
                <w:rFonts w:hint="eastAsia" w:ascii="宋体" w:hAnsi="宋体" w:eastAsia="宋体" w:cs="宋体"/>
                <w:sz w:val="24"/>
                <w:szCs w:val="24"/>
                <w:highlight w:val="none"/>
              </w:rPr>
              <w:t xml:space="preserve">所持证书最高等级计分，本项最高得5分。（投标文件中需提供证书扫描件，否则不得分）。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6.软件著作权（3分）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或产品生产厂家）具有智慧消防相关的软件著作权（如消防软件平台、消防软件APP等）。每有一项得1分，非消防相关软件著作权不计分，本项最高得3分。（投标文件中需提供证书扫描件，否则不得分）。</w:t>
            </w:r>
            <w:r/>
          </w:p>
        </w:tc>
      </w:tr>
      <w:tr>
        <w:trPr>
          <w:jc w:val="center"/>
          <w:trHeight w:val="720"/>
        </w:trPr>
        <w:tc>
          <w:tcPr>
            <w:tcMar>
              <w:left w:w="20" w:type="dxa"/>
              <w:top w:w="20" w:type="dxa"/>
              <w:right w:w="20" w:type="dxa"/>
              <w:bottom w:w="20" w:type="dxa"/>
            </w:tcMar>
            <w:tcW w:w="667" w:type="pct"/>
            <w:vAlign w:val="center"/>
            <w:textDirection w:val="lrTb"/>
            <w:noWrap w:val="false"/>
          </w:tcPr>
          <w:p>
            <w:pPr>
              <w:jc w:val="cente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类似业绩</w:t>
            </w:r>
            <w:r/>
          </w:p>
        </w:tc>
        <w:tc>
          <w:tcPr>
            <w:tcMar>
              <w:left w:w="20" w:type="dxa"/>
              <w:top w:w="20" w:type="dxa"/>
              <w:right w:w="20" w:type="dxa"/>
              <w:bottom w:w="20" w:type="dxa"/>
            </w:tcMar>
            <w:tcW w:w="382"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20" w:type="dxa"/>
              <w:top w:w="20" w:type="dxa"/>
              <w:right w:w="20" w:type="dxa"/>
              <w:bottom w:w="20" w:type="dxa"/>
            </w:tcMar>
            <w:tcW w:w="3949" w:type="pct"/>
            <w:textDirection w:val="lrTb"/>
            <w:noWrap w:val="false"/>
          </w:tcPr>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供应商提供自2023年1月1日（含）之后承担过类似项目案例的，有一个得1分，本项最高得4分。</w:t>
            </w:r>
            <w:r/>
          </w:p>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（注：投标文件中需提供合同扫描件、项目验收单及发票扫描件，未提供或提供不全不得分。业绩日期认定：以签订合同日期为准。）</w:t>
            </w:r>
            <w:r/>
          </w:p>
        </w:tc>
      </w:tr>
      <w:tr>
        <w:trPr>
          <w:jc w:val="center"/>
          <w:trHeight w:val="720"/>
        </w:trPr>
        <w:tc>
          <w:tcPr>
            <w:tcMar>
              <w:left w:w="20" w:type="dxa"/>
              <w:top w:w="20" w:type="dxa"/>
              <w:right w:w="20" w:type="dxa"/>
              <w:bottom w:w="20" w:type="dxa"/>
            </w:tcMar>
            <w:tcW w:w="667" w:type="pct"/>
            <w:vAlign w:val="center"/>
            <w:textDirection w:val="lrTb"/>
            <w:noWrap w:val="false"/>
          </w:tcPr>
          <w:p>
            <w:pPr>
              <w:jc w:val="cente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售后服务</w:t>
            </w:r>
            <w:r/>
          </w:p>
          <w:p>
            <w:pPr>
              <w:jc w:val="cente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方案</w:t>
            </w:r>
            <w:r/>
          </w:p>
        </w:tc>
        <w:tc>
          <w:tcPr>
            <w:tcMar>
              <w:left w:w="20" w:type="dxa"/>
              <w:top w:w="20" w:type="dxa"/>
              <w:right w:w="20" w:type="dxa"/>
              <w:bottom w:w="20" w:type="dxa"/>
            </w:tcMar>
            <w:tcW w:w="382"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20" w:type="dxa"/>
              <w:top w:w="20" w:type="dxa"/>
              <w:right w:w="20" w:type="dxa"/>
              <w:bottom w:w="20" w:type="dxa"/>
            </w:tcMar>
            <w:tcW w:w="3949" w:type="pct"/>
            <w:textDirection w:val="lrTb"/>
            <w:noWrap w:val="false"/>
          </w:tcPr>
          <w:p>
            <w:pPr>
              <w:spacing w:line="378"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根据提供的服务团队、服务响应时间、排查故障时间、备品备件方案等内容进行综合评定，服务方案全面、可行性高的得3分；服务方案较全面、可行性较高的得2分；服务方案可行性一般的得1分；未提供不得分。</w:t>
            </w:r>
            <w:r/>
          </w:p>
        </w:tc>
      </w:tr>
      <w:tr>
        <w:trPr>
          <w:jc w:val="center"/>
          <w:trHeight w:val="30" w:hRule="exact"/>
        </w:trPr>
        <w:tc>
          <w:tcPr>
            <w:tcMar>
              <w:left w:w="20" w:type="dxa"/>
              <w:top w:w="20" w:type="dxa"/>
              <w:right w:w="20" w:type="dxa"/>
              <w:bottom w:w="20" w:type="dxa"/>
            </w:tcMar>
            <w:tcW w:w="667" w:type="pct"/>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20" w:type="dxa"/>
              <w:top w:w="20" w:type="dxa"/>
              <w:right w:w="20" w:type="dxa"/>
              <w:bottom w:w="20" w:type="dxa"/>
            </w:tcMar>
            <w:tcW w:w="382" w:type="pct"/>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20" w:type="dxa"/>
              <w:top w:w="20" w:type="dxa"/>
              <w:right w:w="20" w:type="dxa"/>
              <w:bottom w:w="20" w:type="dxa"/>
            </w:tcMar>
            <w:tcW w:w="3949" w:type="pct"/>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bl>
    <w:p>
      <w:pPr>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ind w:firstLine="482"/>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57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57</w:t>
                    </w:r>
                    <w:r>
                      <w:rPr>
                        <w:rFonts w:ascii="宋体" w:hAnsi="宋体" w:eastAsia="宋体" w:cs="宋体"/>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61"/>
    <w:link w:val="752"/>
    <w:uiPriority w:val="9"/>
    <w:rPr>
      <w:rFonts w:ascii="Arial" w:hAnsi="Arial" w:eastAsia="Arial" w:cs="Arial"/>
      <w:sz w:val="40"/>
      <w:szCs w:val="40"/>
    </w:rPr>
  </w:style>
  <w:style w:type="character" w:styleId="715">
    <w:name w:val="Heading 2 Char"/>
    <w:basedOn w:val="761"/>
    <w:link w:val="753"/>
    <w:uiPriority w:val="9"/>
    <w:rPr>
      <w:rFonts w:ascii="Arial" w:hAnsi="Arial" w:eastAsia="Arial" w:cs="Arial"/>
      <w:sz w:val="34"/>
    </w:rPr>
  </w:style>
  <w:style w:type="character" w:styleId="716">
    <w:name w:val="Heading 3 Char"/>
    <w:basedOn w:val="761"/>
    <w:link w:val="754"/>
    <w:uiPriority w:val="9"/>
    <w:rPr>
      <w:rFonts w:ascii="Arial" w:hAnsi="Arial" w:eastAsia="Arial" w:cs="Arial"/>
      <w:sz w:val="30"/>
      <w:szCs w:val="30"/>
    </w:rPr>
  </w:style>
  <w:style w:type="character" w:styleId="717">
    <w:name w:val="Heading 4 Char"/>
    <w:basedOn w:val="761"/>
    <w:link w:val="755"/>
    <w:uiPriority w:val="9"/>
    <w:rPr>
      <w:rFonts w:ascii="Arial" w:hAnsi="Arial" w:eastAsia="Arial" w:cs="Arial"/>
      <w:b/>
      <w:bCs/>
      <w:sz w:val="26"/>
      <w:szCs w:val="26"/>
    </w:rPr>
  </w:style>
  <w:style w:type="character" w:styleId="718">
    <w:name w:val="Heading 5 Char"/>
    <w:basedOn w:val="761"/>
    <w:link w:val="756"/>
    <w:uiPriority w:val="9"/>
    <w:rPr>
      <w:rFonts w:ascii="Arial" w:hAnsi="Arial" w:eastAsia="Arial" w:cs="Arial"/>
      <w:b/>
      <w:bCs/>
      <w:sz w:val="24"/>
      <w:szCs w:val="24"/>
    </w:rPr>
  </w:style>
  <w:style w:type="character" w:styleId="719">
    <w:name w:val="Heading 6 Char"/>
    <w:basedOn w:val="761"/>
    <w:link w:val="757"/>
    <w:uiPriority w:val="9"/>
    <w:rPr>
      <w:rFonts w:ascii="Arial" w:hAnsi="Arial" w:eastAsia="Arial" w:cs="Arial"/>
      <w:b/>
      <w:bCs/>
      <w:sz w:val="22"/>
      <w:szCs w:val="22"/>
    </w:rPr>
  </w:style>
  <w:style w:type="character" w:styleId="720">
    <w:name w:val="Heading 7 Char"/>
    <w:basedOn w:val="761"/>
    <w:link w:val="758"/>
    <w:uiPriority w:val="9"/>
    <w:rPr>
      <w:rFonts w:ascii="Arial" w:hAnsi="Arial" w:eastAsia="Arial" w:cs="Arial"/>
      <w:b/>
      <w:bCs/>
      <w:i/>
      <w:iCs/>
      <w:sz w:val="22"/>
      <w:szCs w:val="22"/>
    </w:rPr>
  </w:style>
  <w:style w:type="character" w:styleId="721">
    <w:name w:val="Heading 8 Char"/>
    <w:basedOn w:val="761"/>
    <w:link w:val="759"/>
    <w:uiPriority w:val="9"/>
    <w:rPr>
      <w:rFonts w:ascii="Arial" w:hAnsi="Arial" w:eastAsia="Arial" w:cs="Arial"/>
      <w:i/>
      <w:iCs/>
      <w:sz w:val="22"/>
      <w:szCs w:val="22"/>
    </w:rPr>
  </w:style>
  <w:style w:type="character" w:styleId="722">
    <w:name w:val="Heading 9 Char"/>
    <w:basedOn w:val="761"/>
    <w:link w:val="760"/>
    <w:uiPriority w:val="9"/>
    <w:rPr>
      <w:rFonts w:ascii="Arial" w:hAnsi="Arial" w:eastAsia="Arial" w:cs="Arial"/>
      <w:i/>
      <w:iCs/>
      <w:sz w:val="21"/>
      <w:szCs w:val="21"/>
    </w:rPr>
  </w:style>
  <w:style w:type="character" w:styleId="723">
    <w:name w:val="Title Char"/>
    <w:basedOn w:val="761"/>
    <w:link w:val="788"/>
    <w:uiPriority w:val="10"/>
    <w:rPr>
      <w:sz w:val="48"/>
      <w:szCs w:val="48"/>
    </w:rPr>
  </w:style>
  <w:style w:type="character" w:styleId="724">
    <w:name w:val="Subtitle Char"/>
    <w:basedOn w:val="761"/>
    <w:link w:val="781"/>
    <w:uiPriority w:val="11"/>
    <w:rPr>
      <w:sz w:val="24"/>
      <w:szCs w:val="24"/>
    </w:rPr>
  </w:style>
  <w:style w:type="character" w:styleId="725">
    <w:name w:val="Quote Char"/>
    <w:link w:val="812"/>
    <w:uiPriority w:val="29"/>
    <w:rPr>
      <w:i/>
    </w:rPr>
  </w:style>
  <w:style w:type="character" w:styleId="726">
    <w:name w:val="Intense Quote Char"/>
    <w:link w:val="814"/>
    <w:uiPriority w:val="30"/>
    <w:rPr>
      <w:i/>
    </w:rPr>
  </w:style>
  <w:style w:type="character" w:styleId="727">
    <w:name w:val="Header Char"/>
    <w:basedOn w:val="761"/>
    <w:link w:val="778"/>
    <w:uiPriority w:val="99"/>
  </w:style>
  <w:style w:type="character" w:styleId="728">
    <w:name w:val="Caption Char"/>
    <w:basedOn w:val="765"/>
    <w:link w:val="776"/>
    <w:uiPriority w:val="99"/>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82"/>
    <w:uiPriority w:val="99"/>
    <w:rPr>
      <w:sz w:val="18"/>
    </w:rPr>
  </w:style>
  <w:style w:type="character" w:styleId="749">
    <w:name w:val="Endnote Text Char"/>
    <w:link w:val="774"/>
    <w:uiPriority w:val="99"/>
    <w:rPr>
      <w:sz w:val="20"/>
    </w:rPr>
  </w:style>
  <w:style w:type="paragraph" w:styleId="750">
    <w:name w:val="TOC Heading"/>
    <w:uiPriority w:val="39"/>
    <w:unhideWhenUsed/>
  </w:style>
  <w:style w:type="paragraph" w:styleId="751" w:default="1">
    <w:name w:val="Normal"/>
    <w:uiPriority w:val="0"/>
    <w:qFormat/>
    <w:rPr>
      <w:rFonts w:asciiTheme="minorHAnsi" w:hAnsiTheme="minorHAnsi" w:eastAsiaTheme="minorEastAsia" w:cstheme="minorBidi"/>
      <w:sz w:val="21"/>
      <w:szCs w:val="22"/>
      <w:lang w:val="en-US" w:eastAsia="zh-CN" w:bidi="ar-SA"/>
    </w:rPr>
  </w:style>
  <w:style w:type="paragraph" w:styleId="752">
    <w:name w:val="Heading 1"/>
    <w:basedOn w:val="751"/>
    <w:next w:val="751"/>
    <w:link w:val="799"/>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800"/>
    <w:uiPriority w:val="9"/>
    <w:unhideWhenUsed/>
    <w:qFormat/>
    <w:pPr>
      <w:keepLines/>
      <w:keepNext/>
      <w:spacing w:before="360" w:after="200"/>
      <w:outlineLvl w:val="1"/>
    </w:pPr>
    <w:rPr>
      <w:rFonts w:ascii="Arial" w:hAnsi="Arial" w:eastAsia="Arial" w:cs="Arial"/>
      <w:sz w:val="34"/>
    </w:rPr>
  </w:style>
  <w:style w:type="paragraph" w:styleId="754">
    <w:name w:val="Heading 3"/>
    <w:link w:val="801"/>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55">
    <w:name w:val="Heading 4"/>
    <w:link w:val="802"/>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56">
    <w:name w:val="Heading 5"/>
    <w:link w:val="803"/>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7">
    <w:name w:val="Heading 6"/>
    <w:link w:val="804"/>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8">
    <w:name w:val="Heading 7"/>
    <w:link w:val="805"/>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9">
    <w:name w:val="Heading 8"/>
    <w:link w:val="806"/>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60">
    <w:name w:val="Heading 9"/>
    <w:link w:val="807"/>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64">
    <w:name w:val="Normal Indent"/>
    <w:basedOn w:val="751"/>
    <w:next w:val="751"/>
    <w:uiPriority w:val="0"/>
    <w:unhideWhenUsed/>
    <w:qFormat/>
    <w:pPr>
      <w:ind w:firstLine="420"/>
    </w:pPr>
    <w:rPr>
      <w:sz w:val="24"/>
    </w:rPr>
  </w:style>
  <w:style w:type="paragraph" w:styleId="76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66">
    <w:name w:val="annotation text"/>
    <w:basedOn w:val="751"/>
    <w:link w:val="962"/>
    <w:uiPriority w:val="99"/>
    <w:semiHidden/>
    <w:unhideWhenUsed/>
    <w:qFormat/>
    <w:rPr>
      <w:rFonts w:eastAsia="宋体"/>
      <w:b/>
      <w:sz w:val="24"/>
    </w:rPr>
  </w:style>
  <w:style w:type="paragraph" w:styleId="767">
    <w:name w:val="Body Text"/>
    <w:basedOn w:val="751"/>
    <w:next w:val="751"/>
    <w:uiPriority w:val="0"/>
    <w:unhideWhenUsed/>
    <w:qFormat/>
    <w:pPr>
      <w:spacing w:after="120"/>
    </w:pPr>
    <w:rPr>
      <w:rFonts w:ascii="Times New Roman" w:hAnsi="Times New Roman"/>
    </w:rPr>
  </w:style>
  <w:style w:type="paragraph" w:styleId="768">
    <w:name w:val="Body Text Indent"/>
    <w:basedOn w:val="751"/>
    <w:next w:val="751"/>
    <w:uiPriority w:val="0"/>
    <w:qFormat/>
    <w:pPr>
      <w:ind w:left="570"/>
      <w:spacing w:line="520" w:lineRule="exact"/>
    </w:pPr>
    <w:rPr>
      <w:rFonts w:ascii="方正仿宋简体" w:hAnsi="创艺简仿宋" w:eastAsia="方正仿宋简体"/>
      <w:sz w:val="24"/>
      <w:szCs w:val="20"/>
    </w:rPr>
  </w:style>
  <w:style w:type="paragraph" w:styleId="769">
    <w:name w:val="Block Text"/>
    <w:basedOn w:val="751"/>
    <w:uiPriority w:val="0"/>
    <w:qFormat/>
    <w:pPr>
      <w:ind w:left="630" w:right="-609" w:firstLine="420"/>
      <w:spacing w:line="360" w:lineRule="auto"/>
    </w:pPr>
    <w:rPr>
      <w:rFonts w:hint="eastAsia" w:ascii="仿宋_GB2312" w:eastAsia="仿宋_GB2312"/>
    </w:rPr>
  </w:style>
  <w:style w:type="paragraph" w:styleId="77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7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72">
    <w:name w:val="Plain Text"/>
    <w:basedOn w:val="751"/>
    <w:uiPriority w:val="0"/>
    <w:qFormat/>
    <w:rPr>
      <w:rFonts w:hint="eastAsia" w:ascii="宋体" w:hAnsi="Courier New"/>
    </w:rPr>
  </w:style>
  <w:style w:type="paragraph" w:styleId="77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74">
    <w:name w:val="endnote text"/>
    <w:link w:val="945"/>
    <w:uiPriority w:val="99"/>
    <w:semiHidden/>
    <w:unhideWhenUsed/>
    <w:qFormat/>
    <w:rPr>
      <w:rFonts w:asciiTheme="minorHAnsi" w:hAnsiTheme="minorHAnsi" w:eastAsiaTheme="minorEastAsia" w:cstheme="minorBidi"/>
      <w:szCs w:val="22"/>
      <w:lang w:val="en-US" w:eastAsia="zh-CN" w:bidi="ar-SA"/>
    </w:rPr>
  </w:style>
  <w:style w:type="paragraph" w:styleId="775">
    <w:name w:val="Balloon Text"/>
    <w:basedOn w:val="751"/>
    <w:link w:val="961"/>
    <w:uiPriority w:val="99"/>
    <w:semiHidden/>
    <w:unhideWhenUsed/>
    <w:qFormat/>
    <w:rPr>
      <w:sz w:val="18"/>
      <w:szCs w:val="18"/>
    </w:rPr>
  </w:style>
  <w:style w:type="paragraph" w:styleId="776">
    <w:name w:val="Footer"/>
    <w:link w:val="818"/>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7">
    <w:name w:val="envelope return"/>
    <w:basedOn w:val="751"/>
    <w:uiPriority w:val="0"/>
    <w:qFormat/>
    <w:rPr>
      <w:rFonts w:ascii="Arial" w:hAnsi="Arial" w:eastAsia="宋体"/>
      <w:szCs w:val="24"/>
    </w:rPr>
  </w:style>
  <w:style w:type="paragraph" w:styleId="778">
    <w:name w:val="Header"/>
    <w:link w:val="816"/>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8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81">
    <w:name w:val="Subtitle"/>
    <w:link w:val="811"/>
    <w:uiPriority w:val="11"/>
    <w:qFormat/>
    <w:pPr>
      <w:spacing w:before="200" w:after="200"/>
    </w:pPr>
    <w:rPr>
      <w:rFonts w:asciiTheme="minorHAnsi" w:hAnsiTheme="minorHAnsi" w:eastAsiaTheme="minorEastAsia" w:cstheme="minorBidi"/>
      <w:sz w:val="24"/>
      <w:szCs w:val="24"/>
      <w:lang w:val="en-US" w:eastAsia="zh-CN" w:bidi="ar-SA"/>
    </w:rPr>
  </w:style>
  <w:style w:type="paragraph" w:styleId="782">
    <w:name w:val="footnote text"/>
    <w:link w:val="944"/>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8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8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8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8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87">
    <w:name w:val="Normal (Web)"/>
    <w:basedOn w:val="751"/>
    <w:uiPriority w:val="0"/>
    <w:qFormat/>
    <w:pPr>
      <w:spacing w:before="100" w:beforeAutospacing="1" w:after="100" w:afterAutospacing="1"/>
    </w:pPr>
    <w:rPr>
      <w:rFonts w:cs="Times New Roman"/>
      <w:sz w:val="24"/>
    </w:rPr>
  </w:style>
  <w:style w:type="paragraph" w:styleId="788">
    <w:name w:val="Title"/>
    <w:link w:val="810"/>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89">
    <w:name w:val="annotation subject"/>
    <w:basedOn w:val="766"/>
    <w:next w:val="766"/>
    <w:link w:val="963"/>
    <w:uiPriority w:val="99"/>
    <w:semiHidden/>
    <w:unhideWhenUsed/>
    <w:qFormat/>
    <w:rPr>
      <w:rFonts w:eastAsiaTheme="minorEastAsia"/>
      <w:bCs/>
      <w:sz w:val="21"/>
    </w:rPr>
  </w:style>
  <w:style w:type="paragraph" w:styleId="790">
    <w:name w:val="Body Text First Indent"/>
    <w:basedOn w:val="767"/>
    <w:uiPriority w:val="0"/>
    <w:qFormat/>
    <w:pPr>
      <w:ind w:firstLine="420"/>
    </w:pPr>
  </w:style>
  <w:style w:type="paragraph" w:styleId="791">
    <w:name w:val="Body Text First Indent 2"/>
    <w:basedOn w:val="768"/>
    <w:next w:val="751"/>
    <w:uiPriority w:val="0"/>
    <w:qFormat/>
    <w:pPr>
      <w:ind w:firstLine="420"/>
    </w:p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Strong"/>
    <w:basedOn w:val="761"/>
    <w:uiPriority w:val="0"/>
    <w:qFormat/>
    <w:rPr>
      <w:b/>
    </w:rPr>
  </w:style>
  <w:style w:type="character" w:styleId="794">
    <w:name w:val="endnote reference"/>
    <w:uiPriority w:val="99"/>
    <w:semiHidden/>
    <w:unhideWhenUsed/>
    <w:qFormat/>
    <w:rPr>
      <w:vertAlign w:val="superscript"/>
    </w:rPr>
  </w:style>
  <w:style w:type="character" w:styleId="795">
    <w:name w:val="Emphasis"/>
    <w:basedOn w:val="761"/>
    <w:uiPriority w:val="0"/>
    <w:qFormat/>
    <w:rPr>
      <w:i/>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annotation reference"/>
    <w:basedOn w:val="761"/>
    <w:uiPriority w:val="0"/>
    <w:qFormat/>
    <w:rPr>
      <w:sz w:val="21"/>
      <w:szCs w:val="21"/>
    </w:rPr>
  </w:style>
  <w:style w:type="character" w:styleId="798">
    <w:name w:val="footnote reference"/>
    <w:uiPriority w:val="99"/>
    <w:unhideWhenUsed/>
    <w:qFormat/>
    <w:rPr>
      <w:vertAlign w:val="superscript"/>
    </w:rPr>
  </w:style>
  <w:style w:type="character" w:styleId="799" w:customStyle="1">
    <w:name w:val="标题 1 字符"/>
    <w:link w:val="752"/>
    <w:uiPriority w:val="9"/>
    <w:qFormat/>
    <w:rPr>
      <w:rFonts w:ascii="Arial" w:hAnsi="Arial" w:eastAsia="Arial" w:cs="Arial"/>
      <w:sz w:val="40"/>
      <w:szCs w:val="40"/>
    </w:rPr>
  </w:style>
  <w:style w:type="character" w:styleId="800" w:customStyle="1">
    <w:name w:val="标题 2 字符"/>
    <w:link w:val="753"/>
    <w:uiPriority w:val="9"/>
    <w:qFormat/>
    <w:rPr>
      <w:rFonts w:ascii="Arial" w:hAnsi="Arial" w:eastAsia="Arial" w:cs="Arial"/>
      <w:sz w:val="34"/>
    </w:rPr>
  </w:style>
  <w:style w:type="character" w:styleId="801" w:customStyle="1">
    <w:name w:val="标题 3 字符"/>
    <w:link w:val="754"/>
    <w:uiPriority w:val="9"/>
    <w:qFormat/>
    <w:rPr>
      <w:rFonts w:ascii="Arial" w:hAnsi="Arial" w:eastAsia="Arial" w:cs="Arial"/>
      <w:sz w:val="30"/>
      <w:szCs w:val="30"/>
    </w:rPr>
  </w:style>
  <w:style w:type="character" w:styleId="802" w:customStyle="1">
    <w:name w:val="标题 4 字符"/>
    <w:link w:val="755"/>
    <w:uiPriority w:val="9"/>
    <w:qFormat/>
    <w:rPr>
      <w:rFonts w:ascii="Arial" w:hAnsi="Arial" w:eastAsia="Arial" w:cs="Arial"/>
      <w:b/>
      <w:bCs/>
      <w:sz w:val="26"/>
      <w:szCs w:val="26"/>
    </w:rPr>
  </w:style>
  <w:style w:type="character" w:styleId="803" w:customStyle="1">
    <w:name w:val="标题 5 字符"/>
    <w:link w:val="756"/>
    <w:uiPriority w:val="9"/>
    <w:qFormat/>
    <w:rPr>
      <w:rFonts w:ascii="Arial" w:hAnsi="Arial" w:eastAsia="Arial" w:cs="Arial"/>
      <w:b/>
      <w:bCs/>
      <w:sz w:val="24"/>
      <w:szCs w:val="24"/>
    </w:rPr>
  </w:style>
  <w:style w:type="character" w:styleId="804" w:customStyle="1">
    <w:name w:val="标题 6 字符"/>
    <w:link w:val="757"/>
    <w:uiPriority w:val="9"/>
    <w:qFormat/>
    <w:rPr>
      <w:rFonts w:ascii="Arial" w:hAnsi="Arial" w:eastAsia="Arial" w:cs="Arial"/>
      <w:b/>
      <w:bCs/>
      <w:sz w:val="22"/>
      <w:szCs w:val="22"/>
    </w:rPr>
  </w:style>
  <w:style w:type="character" w:styleId="805" w:customStyle="1">
    <w:name w:val="标题 7 字符"/>
    <w:link w:val="758"/>
    <w:uiPriority w:val="9"/>
    <w:qFormat/>
    <w:rPr>
      <w:rFonts w:ascii="Arial" w:hAnsi="Arial" w:eastAsia="Arial" w:cs="Arial"/>
      <w:b/>
      <w:bCs/>
      <w:i/>
      <w:iCs/>
      <w:sz w:val="22"/>
      <w:szCs w:val="22"/>
    </w:rPr>
  </w:style>
  <w:style w:type="character" w:styleId="806" w:customStyle="1">
    <w:name w:val="标题 8 字符"/>
    <w:link w:val="759"/>
    <w:uiPriority w:val="9"/>
    <w:qFormat/>
    <w:rPr>
      <w:rFonts w:ascii="Arial" w:hAnsi="Arial" w:eastAsia="Arial" w:cs="Arial"/>
      <w:i/>
      <w:iCs/>
      <w:sz w:val="22"/>
      <w:szCs w:val="22"/>
    </w:rPr>
  </w:style>
  <w:style w:type="character" w:styleId="807" w:customStyle="1">
    <w:name w:val="标题 9 字符"/>
    <w:link w:val="760"/>
    <w:uiPriority w:val="9"/>
    <w:qFormat/>
    <w:rPr>
      <w:rFonts w:ascii="Arial" w:hAnsi="Arial" w:eastAsia="Arial" w:cs="Arial"/>
      <w:i/>
      <w:iCs/>
      <w:sz w:val="21"/>
      <w:szCs w:val="21"/>
    </w:rPr>
  </w:style>
  <w:style w:type="paragraph" w:styleId="808">
    <w:name w:val="List Paragraph"/>
    <w:basedOn w:val="751"/>
    <w:uiPriority w:val="34"/>
    <w:qFormat/>
    <w:pPr>
      <w:contextualSpacing/>
      <w:ind w:left="720"/>
    </w:pPr>
  </w:style>
  <w:style w:type="paragraph" w:styleId="809">
    <w:name w:val="No Spacing"/>
    <w:uiPriority w:val="1"/>
    <w:qFormat/>
    <w:rPr>
      <w:rFonts w:asciiTheme="minorHAnsi" w:hAnsiTheme="minorHAnsi" w:eastAsiaTheme="minorEastAsia" w:cstheme="minorBidi"/>
      <w:sz w:val="21"/>
      <w:szCs w:val="22"/>
      <w:lang w:val="en-US" w:eastAsia="zh-CN" w:bidi="ar-SA"/>
    </w:rPr>
  </w:style>
  <w:style w:type="character" w:styleId="810" w:customStyle="1">
    <w:name w:val="标题 字符"/>
    <w:link w:val="788"/>
    <w:uiPriority w:val="10"/>
    <w:qFormat/>
    <w:rPr>
      <w:sz w:val="48"/>
      <w:szCs w:val="48"/>
    </w:rPr>
  </w:style>
  <w:style w:type="character" w:styleId="811" w:customStyle="1">
    <w:name w:val="副标题 字符"/>
    <w:link w:val="781"/>
    <w:uiPriority w:val="11"/>
    <w:qFormat/>
    <w:rPr>
      <w:sz w:val="24"/>
      <w:szCs w:val="24"/>
    </w:rPr>
  </w:style>
  <w:style w:type="paragraph" w:styleId="812">
    <w:name w:val="Quote"/>
    <w:link w:val="813"/>
    <w:uiPriority w:val="29"/>
    <w:qFormat/>
    <w:pPr>
      <w:ind w:left="720" w:right="720"/>
    </w:pPr>
    <w:rPr>
      <w:rFonts w:asciiTheme="minorHAnsi" w:hAnsiTheme="minorHAnsi" w:eastAsiaTheme="minorEastAsia" w:cstheme="minorBidi"/>
      <w:i/>
      <w:sz w:val="21"/>
      <w:szCs w:val="22"/>
      <w:lang w:val="en-US" w:eastAsia="zh-CN" w:bidi="ar-SA"/>
    </w:rPr>
  </w:style>
  <w:style w:type="character" w:styleId="813" w:customStyle="1">
    <w:name w:val="引用 字符"/>
    <w:link w:val="812"/>
    <w:uiPriority w:val="29"/>
    <w:qFormat/>
    <w:rPr>
      <w:i/>
    </w:rPr>
  </w:style>
  <w:style w:type="paragraph" w:styleId="814">
    <w:name w:val="Intense Quote"/>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15" w:customStyle="1">
    <w:name w:val="明显引用 字符"/>
    <w:link w:val="814"/>
    <w:uiPriority w:val="30"/>
    <w:qFormat/>
    <w:rPr>
      <w:i/>
    </w:rPr>
  </w:style>
  <w:style w:type="character" w:styleId="816" w:customStyle="1">
    <w:name w:val="页眉 字符"/>
    <w:link w:val="778"/>
    <w:uiPriority w:val="99"/>
    <w:qFormat/>
  </w:style>
  <w:style w:type="character" w:styleId="817" w:customStyle="1">
    <w:name w:val="Footer Char"/>
    <w:uiPriority w:val="99"/>
    <w:qFormat/>
  </w:style>
  <w:style w:type="character" w:styleId="818" w:customStyle="1">
    <w:name w:val="页脚 字符"/>
    <w:link w:val="776"/>
    <w:uiPriority w:val="99"/>
    <w:qFormat/>
  </w:style>
  <w:style w:type="table" w:styleId="8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脚注文本 字符"/>
    <w:link w:val="782"/>
    <w:uiPriority w:val="99"/>
    <w:qFormat/>
    <w:rPr>
      <w:sz w:val="18"/>
    </w:rPr>
  </w:style>
  <w:style w:type="character" w:styleId="945" w:customStyle="1">
    <w:name w:val="尾注文本 字符"/>
    <w:link w:val="774"/>
    <w:uiPriority w:val="99"/>
    <w:qFormat/>
    <w:rPr>
      <w:sz w:val="20"/>
    </w:rPr>
  </w:style>
  <w:style w:type="paragraph" w:styleId="946"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47" w:customStyle="1">
    <w:name w:val="WPSOffice手动目录 1"/>
    <w:uiPriority w:val="0"/>
    <w:qFormat/>
    <w:rPr>
      <w:rFonts w:asciiTheme="minorHAnsi" w:hAnsiTheme="minorHAnsi" w:eastAsiaTheme="minorEastAsia" w:cstheme="minorBidi"/>
      <w:lang w:val="en-US" w:eastAsia="zh-CN" w:bidi="ar-SA"/>
    </w:rPr>
  </w:style>
  <w:style w:type="character" w:styleId="948" w:customStyle="1">
    <w:name w:val="font71"/>
    <w:basedOn w:val="761"/>
    <w:uiPriority w:val="0"/>
    <w:qFormat/>
    <w:rPr>
      <w:rFonts w:ascii="Arial" w:hAnsi="Arial" w:cs="Arial"/>
      <w:color w:val="000000"/>
      <w:sz w:val="20"/>
      <w:szCs w:val="20"/>
      <w:u w:val="none"/>
    </w:rPr>
  </w:style>
  <w:style w:type="character" w:styleId="949" w:customStyle="1">
    <w:name w:val="font11"/>
    <w:basedOn w:val="761"/>
    <w:uiPriority w:val="0"/>
    <w:qFormat/>
    <w:rPr>
      <w:rFonts w:hint="eastAsia" w:ascii="宋体" w:hAnsi="宋体" w:eastAsia="宋体" w:cs="宋体"/>
      <w:color w:val="000000"/>
      <w:sz w:val="20"/>
      <w:szCs w:val="20"/>
      <w:u w:val="none"/>
    </w:rPr>
  </w:style>
  <w:style w:type="character" w:styleId="950" w:customStyle="1">
    <w:name w:val="font81"/>
    <w:basedOn w:val="761"/>
    <w:uiPriority w:val="0"/>
    <w:qFormat/>
    <w:rPr>
      <w:rFonts w:hint="default" w:ascii="Times New Roman" w:hAnsi="Times New Roman" w:cs="Times New Roman"/>
      <w:color w:val="000000"/>
      <w:sz w:val="20"/>
      <w:szCs w:val="20"/>
      <w:u w:val="none"/>
    </w:rPr>
  </w:style>
  <w:style w:type="paragraph" w:styleId="951" w:customStyle="1">
    <w:name w:val="Normal_17"/>
    <w:uiPriority w:val="0"/>
    <w:qFormat/>
    <w:rPr>
      <w:rFonts w:ascii="Times New Roman" w:hAnsi="Times New Roman" w:eastAsia="Times New Roman" w:cs="Times New Roman"/>
      <w:sz w:val="24"/>
      <w:szCs w:val="24"/>
      <w:lang w:val="en-US" w:eastAsia="zh-CN" w:bidi="ar-SA"/>
    </w:rPr>
  </w:style>
  <w:style w:type="character" w:styleId="952" w:customStyle="1">
    <w:name w:val="font21"/>
    <w:basedOn w:val="761"/>
    <w:uiPriority w:val="0"/>
    <w:qFormat/>
    <w:rPr>
      <w:rFonts w:hint="eastAsia" w:ascii="宋体" w:hAnsi="宋体" w:eastAsia="宋体" w:cs="宋体"/>
      <w:color w:val="ff0000"/>
      <w:sz w:val="20"/>
      <w:szCs w:val="20"/>
      <w:u w:val="none"/>
    </w:rPr>
  </w:style>
  <w:style w:type="paragraph" w:styleId="953" w:customStyle="1">
    <w:name w:val="纯文本1"/>
    <w:basedOn w:val="751"/>
    <w:uiPriority w:val="0"/>
    <w:qFormat/>
    <w:rPr>
      <w:rFonts w:ascii="宋体" w:hAnsi="Courier New" w:eastAsia="楷体_GB2312"/>
      <w:sz w:val="26"/>
    </w:rPr>
  </w:style>
  <w:style w:type="character" w:styleId="954" w:customStyle="1">
    <w:name w:val="font51"/>
    <w:basedOn w:val="761"/>
    <w:uiPriority w:val="0"/>
    <w:qFormat/>
    <w:rPr>
      <w:rFonts w:hint="eastAsia" w:ascii="华文细黑" w:hAnsi="华文细黑" w:eastAsia="华文细黑" w:cs="华文细黑"/>
      <w:color w:val="000000"/>
      <w:sz w:val="20"/>
      <w:szCs w:val="20"/>
      <w:u w:val="none"/>
      <w:vertAlign w:val="superscript"/>
    </w:rPr>
  </w:style>
  <w:style w:type="paragraph" w:styleId="955" w:customStyle="1">
    <w:name w:val="标题 11"/>
    <w:basedOn w:val="751"/>
    <w:next w:val="751"/>
    <w:uiPriority w:val="0"/>
    <w:qFormat/>
    <w:pPr>
      <w:jc w:val="center"/>
      <w:keepNext/>
      <w:outlineLvl w:val="0"/>
    </w:pPr>
    <w:rPr>
      <w:rFonts w:ascii="楷体_GB2312" w:hAnsi="Times New Roman" w:eastAsia="楷体_GB2312" w:cs="Times New Roman"/>
      <w:sz w:val="28"/>
      <w:szCs w:val="28"/>
    </w:rPr>
  </w:style>
  <w:style w:type="paragraph" w:styleId="956" w:customStyle="1">
    <w:name w:val="Table Paragraph"/>
    <w:basedOn w:val="751"/>
    <w:uiPriority w:val="1"/>
    <w:qFormat/>
    <w:rPr>
      <w:sz w:val="24"/>
    </w:rPr>
  </w:style>
  <w:style w:type="paragraph" w:styleId="957" w:customStyle="1">
    <w:name w:val="首行缩进"/>
    <w:basedOn w:val="751"/>
    <w:uiPriority w:val="0"/>
    <w:qFormat/>
    <w:pPr>
      <w:ind w:firstLine="480"/>
    </w:pPr>
    <w:rPr>
      <w:lang w:val="zh-CN"/>
    </w:rPr>
  </w:style>
  <w:style w:type="paragraph" w:styleId="958" w:customStyle="1">
    <w:name w:val="Table Text"/>
    <w:basedOn w:val="751"/>
    <w:uiPriority w:val="0"/>
    <w:semiHidden/>
    <w:qFormat/>
    <w:rPr>
      <w:rFonts w:ascii="仿宋" w:hAnsi="仿宋" w:eastAsia="仿宋" w:cs="宋体"/>
      <w:color w:val="000000"/>
      <w:sz w:val="28"/>
      <w:szCs w:val="28"/>
    </w:rPr>
  </w:style>
  <w:style w:type="paragraph" w:styleId="959"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60"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961" w:customStyle="1">
    <w:name w:val="批注框文本 字符"/>
    <w:basedOn w:val="761"/>
    <w:link w:val="775"/>
    <w:uiPriority w:val="99"/>
    <w:semiHidden/>
    <w:qFormat/>
    <w:rPr>
      <w:rFonts w:asciiTheme="minorHAnsi" w:hAnsiTheme="minorHAnsi" w:eastAsiaTheme="minorEastAsia" w:cstheme="minorBidi"/>
      <w:sz w:val="18"/>
      <w:szCs w:val="18"/>
    </w:rPr>
  </w:style>
  <w:style w:type="character" w:styleId="962" w:customStyle="1">
    <w:name w:val="批注文字 字符"/>
    <w:basedOn w:val="761"/>
    <w:link w:val="766"/>
    <w:uiPriority w:val="99"/>
    <w:semiHidden/>
    <w:qFormat/>
    <w:rPr>
      <w:rFonts w:asciiTheme="minorHAnsi" w:hAnsiTheme="minorHAnsi" w:cstheme="minorBidi"/>
      <w:b/>
      <w:sz w:val="24"/>
      <w:szCs w:val="22"/>
    </w:rPr>
  </w:style>
  <w:style w:type="character" w:styleId="963" w:customStyle="1">
    <w:name w:val="批注主题 字符"/>
    <w:basedOn w:val="962"/>
    <w:link w:val="789"/>
    <w:uiPriority w:val="99"/>
    <w:semiHidden/>
    <w:qFormat/>
    <w:rPr>
      <w:rFonts w:asciiTheme="minorHAnsi" w:hAnsiTheme="minorHAnsi" w:eastAsiaTheme="minorEastAsia" w:cstheme="minorBidi"/>
      <w:bCs/>
      <w:sz w:val="21"/>
      <w:szCs w:val="22"/>
    </w:rPr>
  </w:style>
  <w:style w:type="character" w:styleId="964" w:customStyle="1">
    <w:name w:val="15"/>
    <w:basedOn w:val="761"/>
    <w:uiPriority w:val="0"/>
    <w:qFormat/>
    <w:rPr>
      <w:rFonts w:hint="default" w:ascii="Times New Roman" w:hAnsi="Times New Roman" w:cs="Times New Roman"/>
      <w:sz w:val="21"/>
      <w:szCs w:val="21"/>
    </w:rPr>
  </w:style>
  <w:style w:type="character" w:styleId="965" w:customStyle="1">
    <w:name w:val="10"/>
    <w:basedOn w:val="761"/>
    <w:uiPriority w:val="0"/>
    <w:qFormat/>
    <w:rPr>
      <w:rFonts w:hint="default" w:ascii="Times New Roman" w:hAnsi="Times New Roman" w:cs="Times New Roman"/>
    </w:rPr>
  </w:style>
  <w:style w:type="paragraph" w:styleId="966" w:customStyle="1">
    <w:name w:val="p0"/>
    <w:basedOn w:val="751"/>
    <w:uiPriority w:val="0"/>
    <w:qFormat/>
    <w:rPr>
      <w:rFonts w:eastAsia="宋体"/>
      <w:sz w:val="24"/>
      <w:szCs w:val="24"/>
    </w:rPr>
  </w:style>
  <w:style w:type="numbering" w:styleId="9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01291AF-0EA5-4865-8102-2DBC9123F3C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何磊</cp:lastModifiedBy>
  <cp:revision>4</cp:revision>
  <dcterms:created xsi:type="dcterms:W3CDTF">2026-10-10T01:06:00Z</dcterms:created>
  <dcterms:modified xsi:type="dcterms:W3CDTF">2026-10-16T08:42:44Z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795D8A42F9A647B3A8B29F53C982713E_13</vt:lpwstr>
  </property>
  <property fmtid="{D5CDD505-2E9C-101B-9397-08002B2CF9AE}" pid="4" name="KSOTemplateDocerSaveRecord">
    <vt:lpwstr>eyJoZGlkIjoiMmEwMTgwYmFhMTNmMWJiYWQyZGI4YmI5YWVhNmVkOWEiLCJ1c2VySWQiOiI0MzIyNTQ5MTkifQ==</vt:lpwstr>
  </property>
</Properties>
</file>