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65BF26">
      <w:pPr>
        <w:pStyle w:val="33"/>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5CCB6F00">
      <w:pPr>
        <w:pStyle w:val="33"/>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84"/>
          <w:szCs w:val="84"/>
          <w:highlight w:val="none"/>
        </w:rPr>
        <w:t>竞争性磋商文件</w:t>
      </w:r>
    </w:p>
    <w:p w14:paraId="04ADB4F7">
      <w:pPr>
        <w:pStyle w:val="33"/>
        <w:spacing w:before="120" w:beforeAutospacing="0" w:after="120" w:afterAutospacing="0" w:line="360" w:lineRule="auto"/>
        <w:rPr>
          <w:rFonts w:hint="eastAsia" w:ascii="宋体" w:hAnsi="宋体" w:eastAsia="宋体" w:cs="宋体"/>
          <w:b/>
          <w:color w:val="auto"/>
          <w:sz w:val="32"/>
          <w:szCs w:val="32"/>
          <w:highlight w:val="none"/>
        </w:rPr>
      </w:pPr>
    </w:p>
    <w:p w14:paraId="166F2C68">
      <w:pPr>
        <w:pStyle w:val="33"/>
        <w:spacing w:before="120" w:beforeAutospacing="0" w:after="120" w:afterAutospacing="0" w:line="360" w:lineRule="auto"/>
        <w:rPr>
          <w:rFonts w:hint="eastAsia" w:ascii="宋体" w:hAnsi="宋体" w:eastAsia="宋体" w:cs="宋体"/>
          <w:b/>
          <w:color w:val="auto"/>
          <w:sz w:val="32"/>
          <w:szCs w:val="32"/>
          <w:highlight w:val="none"/>
        </w:rPr>
      </w:pPr>
    </w:p>
    <w:p w14:paraId="28237B08">
      <w:pPr>
        <w:pStyle w:val="33"/>
        <w:spacing w:before="120" w:beforeAutospacing="0" w:after="120" w:afterAutospacing="0" w:line="360" w:lineRule="auto"/>
        <w:rPr>
          <w:rFonts w:hint="eastAsia" w:ascii="宋体" w:hAnsi="宋体" w:eastAsia="宋体" w:cs="宋体"/>
          <w:b/>
          <w:color w:val="auto"/>
          <w:sz w:val="32"/>
          <w:szCs w:val="32"/>
          <w:highlight w:val="none"/>
        </w:rPr>
      </w:pPr>
    </w:p>
    <w:p w14:paraId="6A2F0004">
      <w:pPr>
        <w:pStyle w:val="33"/>
        <w:spacing w:before="120" w:beforeAutospacing="0" w:after="120" w:afterAutospacing="0"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项目编号：</w:t>
      </w:r>
      <w:r>
        <w:rPr>
          <w:rFonts w:hint="eastAsia" w:ascii="宋体" w:hAnsi="宋体" w:eastAsia="宋体" w:cs="宋体"/>
          <w:b/>
          <w:color w:val="auto"/>
          <w:sz w:val="32"/>
          <w:szCs w:val="32"/>
          <w:highlight w:val="none"/>
          <w:lang w:val="en-US" w:eastAsia="zh-CN"/>
        </w:rPr>
        <w:t>JSZC-320924-HHGC-C2026-0003</w:t>
      </w:r>
    </w:p>
    <w:p w14:paraId="69D8D9F3">
      <w:pPr>
        <w:pStyle w:val="33"/>
        <w:spacing w:before="120" w:beforeAutospacing="0" w:after="120" w:afterAutospacing="0" w:line="360" w:lineRule="auto"/>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项目名称：</w:t>
      </w:r>
      <w:r>
        <w:rPr>
          <w:rFonts w:hint="eastAsia" w:ascii="宋体" w:hAnsi="宋体" w:eastAsia="宋体" w:cs="宋体"/>
          <w:b/>
          <w:color w:val="auto"/>
          <w:sz w:val="32"/>
          <w:szCs w:val="32"/>
          <w:highlight w:val="none"/>
          <w:lang w:val="en-US" w:eastAsia="zh-CN"/>
        </w:rPr>
        <w:t>射阳县残疾人联合会2026年射阳县0-74周岁残疾人意外伤害保险经办机构采购项目</w:t>
      </w:r>
    </w:p>
    <w:p w14:paraId="4D22637C">
      <w:pPr>
        <w:pStyle w:val="33"/>
        <w:spacing w:before="120" w:beforeAutospacing="0" w:after="120" w:afterAutospacing="0" w:line="360" w:lineRule="auto"/>
        <w:ind w:firstLine="2249"/>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  </w:t>
      </w:r>
    </w:p>
    <w:p w14:paraId="2D362595">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1610DC9F">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1F764DE7">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49085B39">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5EF85AD6">
      <w:pPr>
        <w:pStyle w:val="33"/>
        <w:spacing w:beforeAutospacing="0" w:afterAutospacing="0" w:line="360" w:lineRule="auto"/>
        <w:rPr>
          <w:rFonts w:hint="eastAsia" w:ascii="宋体" w:hAnsi="宋体" w:eastAsia="宋体" w:cs="宋体"/>
          <w:color w:val="auto"/>
          <w:highlight w:val="none"/>
        </w:rPr>
      </w:pPr>
    </w:p>
    <w:p w14:paraId="2E678AD4">
      <w:pPr>
        <w:pStyle w:val="33"/>
        <w:spacing w:beforeAutospacing="0" w:afterAutospacing="0" w:line="360" w:lineRule="auto"/>
        <w:rPr>
          <w:rFonts w:hint="eastAsia" w:ascii="宋体" w:hAnsi="宋体" w:eastAsia="宋体" w:cs="宋体"/>
          <w:color w:val="auto"/>
          <w:highlight w:val="none"/>
        </w:rPr>
      </w:pPr>
    </w:p>
    <w:p w14:paraId="145A13F1">
      <w:pPr>
        <w:pStyle w:val="33"/>
        <w:spacing w:beforeAutospacing="0" w:afterAutospacing="0" w:line="360" w:lineRule="auto"/>
        <w:rPr>
          <w:rFonts w:hint="eastAsia" w:ascii="宋体" w:hAnsi="宋体" w:eastAsia="宋体" w:cs="宋体"/>
          <w:color w:val="auto"/>
          <w:highlight w:val="none"/>
        </w:rPr>
      </w:pPr>
    </w:p>
    <w:p w14:paraId="274F5B8C">
      <w:pPr>
        <w:pStyle w:val="33"/>
        <w:spacing w:before="120" w:beforeAutospacing="0" w:after="120" w:afterAutospacing="0" w:line="360" w:lineRule="auto"/>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射阳县残疾人联合会</w:t>
      </w:r>
    </w:p>
    <w:p w14:paraId="64EB57C4">
      <w:pPr>
        <w:pStyle w:val="33"/>
        <w:spacing w:before="120" w:beforeAutospacing="0" w:after="120" w:afterAutospacing="0" w:line="360" w:lineRule="auto"/>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江苏华恒工程项目咨询管理有限公司</w:t>
      </w:r>
    </w:p>
    <w:p w14:paraId="3B5D0981">
      <w:pPr>
        <w:pStyle w:val="33"/>
        <w:spacing w:before="120" w:beforeAutospacing="0" w:after="120" w:afterAutospacing="0" w:line="360" w:lineRule="auto"/>
        <w:jc w:val="center"/>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lang w:val="en-US" w:eastAsia="zh-CN"/>
        </w:rPr>
        <w:t>2026</w:t>
      </w:r>
      <w:r>
        <w:rPr>
          <w:rFonts w:hint="eastAsia" w:ascii="宋体" w:hAnsi="宋体" w:eastAsia="宋体" w:cs="宋体"/>
          <w:b/>
          <w:color w:val="auto"/>
          <w:sz w:val="36"/>
          <w:szCs w:val="36"/>
          <w:highlight w:val="none"/>
        </w:rPr>
        <w:t>年</w:t>
      </w:r>
      <w:r>
        <w:rPr>
          <w:rFonts w:hint="eastAsia" w:ascii="宋体" w:hAnsi="宋体" w:eastAsia="宋体" w:cs="宋体"/>
          <w:b/>
          <w:color w:val="auto"/>
          <w:sz w:val="36"/>
          <w:szCs w:val="36"/>
          <w:highlight w:val="none"/>
          <w:lang w:val="en-US" w:eastAsia="zh-CN"/>
        </w:rPr>
        <w:t>10</w:t>
      </w:r>
      <w:r>
        <w:rPr>
          <w:rFonts w:hint="eastAsia" w:ascii="宋体" w:hAnsi="宋体" w:eastAsia="宋体" w:cs="宋体"/>
          <w:b/>
          <w:color w:val="auto"/>
          <w:sz w:val="36"/>
          <w:szCs w:val="36"/>
          <w:highlight w:val="none"/>
        </w:rPr>
        <w:t>月</w:t>
      </w:r>
    </w:p>
    <w:p w14:paraId="1852CA33">
      <w:pPr>
        <w:pStyle w:val="33"/>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w:t>
      </w:r>
      <w:bookmarkStart w:id="0" w:name="_Toc513029200"/>
      <w:bookmarkStart w:id="1" w:name="_Toc523127445"/>
      <w:bookmarkStart w:id="2" w:name="_Toc120614210"/>
      <w:bookmarkStart w:id="3" w:name="_Toc479757206"/>
      <w:bookmarkStart w:id="4" w:name="_Toc20823272"/>
      <w:bookmarkStart w:id="5" w:name="_Toc16938516"/>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11FC03BD">
      <w:pPr>
        <w:pStyle w:val="33"/>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sdt>
      <w:sdtPr>
        <w:rPr>
          <w:rFonts w:hint="default" w:ascii="宋体" w:hAnsi="宋体" w:eastAsia="宋体" w:cstheme="minorBidi"/>
          <w:color w:val="auto"/>
          <w:sz w:val="21"/>
          <w:szCs w:val="24"/>
          <w:lang w:val="en-US" w:eastAsia="zh-CN" w:bidi="ar-SA"/>
        </w:rPr>
        <w:id w:val="147480921"/>
        <w15:color w:val="DBDBDB"/>
        <w:docPartObj>
          <w:docPartGallery w:val="Table of Contents"/>
          <w:docPartUnique/>
        </w:docPartObj>
      </w:sdtPr>
      <w:sdtEndPr>
        <w:rPr>
          <w:rFonts w:hint="default" w:ascii="宋体" w:hAnsi="宋体" w:eastAsia="宋体" w:cstheme="minorBidi"/>
          <w:color w:val="auto"/>
          <w:sz w:val="21"/>
          <w:szCs w:val="24"/>
          <w:lang w:val="en-US" w:eastAsia="zh-CN" w:bidi="ar-SA"/>
        </w:rPr>
      </w:sdtEndPr>
      <w:sdtContent>
        <w:p w14:paraId="40FD2A4F">
          <w:pPr>
            <w:spacing w:before="0" w:beforeLines="0" w:after="0" w:afterLines="0" w:line="240" w:lineRule="auto"/>
            <w:ind w:left="0" w:leftChars="0" w:right="0" w:rightChars="0" w:firstLine="0" w:firstLineChars="0"/>
            <w:jc w:val="center"/>
            <w:rPr>
              <w:color w:val="auto"/>
            </w:rPr>
          </w:pPr>
        </w:p>
        <w:p w14:paraId="0B539C85">
          <w:pPr>
            <w:pStyle w:val="25"/>
            <w:tabs>
              <w:tab w:val="right" w:leader="dot" w:pos="9072"/>
            </w:tabs>
            <w:spacing w:line="360" w:lineRule="auto"/>
            <w:rPr>
              <w:color w:val="auto"/>
              <w:sz w:val="32"/>
              <w:szCs w:val="32"/>
            </w:rPr>
          </w:pPr>
          <w:r>
            <w:rPr>
              <w:color w:val="auto"/>
              <w:sz w:val="32"/>
              <w:szCs w:val="32"/>
            </w:rPr>
            <w:fldChar w:fldCharType="begin"/>
          </w:r>
          <w:r>
            <w:rPr>
              <w:color w:val="auto"/>
              <w:sz w:val="32"/>
              <w:szCs w:val="32"/>
            </w:rPr>
            <w:instrText xml:space="preserve">TOC \o "1-1" \h \u </w:instrText>
          </w:r>
          <w:r>
            <w:rPr>
              <w:color w:val="auto"/>
              <w:sz w:val="32"/>
              <w:szCs w:val="32"/>
            </w:rPr>
            <w:fldChar w:fldCharType="separate"/>
          </w:r>
          <w:r>
            <w:rPr>
              <w:color w:val="auto"/>
              <w:sz w:val="32"/>
              <w:szCs w:val="32"/>
            </w:rPr>
            <w:fldChar w:fldCharType="begin"/>
          </w:r>
          <w:r>
            <w:rPr>
              <w:color w:val="auto"/>
              <w:sz w:val="32"/>
              <w:szCs w:val="32"/>
            </w:rPr>
            <w:instrText xml:space="preserve"> HYPERLINK \l _Toc25428 </w:instrText>
          </w:r>
          <w:r>
            <w:rPr>
              <w:color w:val="auto"/>
              <w:sz w:val="32"/>
              <w:szCs w:val="32"/>
            </w:rPr>
            <w:fldChar w:fldCharType="separate"/>
          </w:r>
          <w:r>
            <w:rPr>
              <w:rFonts w:hint="eastAsia" w:ascii="宋体" w:hAnsi="宋体" w:eastAsia="宋体" w:cs="宋体"/>
              <w:color w:val="auto"/>
              <w:sz w:val="32"/>
              <w:szCs w:val="32"/>
              <w:highlight w:val="none"/>
            </w:rPr>
            <w:t xml:space="preserve">第一章  </w:t>
          </w:r>
          <w:r>
            <w:rPr>
              <w:rFonts w:hint="eastAsia" w:ascii="宋体" w:hAnsi="宋体" w:eastAsia="宋体" w:cs="宋体"/>
              <w:color w:val="auto"/>
              <w:sz w:val="32"/>
              <w:szCs w:val="32"/>
              <w:highlight w:val="none"/>
              <w:lang w:val="en-US" w:eastAsia="zh-CN"/>
            </w:rPr>
            <w:t>竞争性磋商公告</w:t>
          </w:r>
          <w:r>
            <w:rPr>
              <w:color w:val="auto"/>
              <w:sz w:val="32"/>
              <w:szCs w:val="32"/>
            </w:rPr>
            <w:tab/>
          </w:r>
          <w:r>
            <w:rPr>
              <w:color w:val="auto"/>
              <w:sz w:val="32"/>
              <w:szCs w:val="32"/>
            </w:rPr>
            <w:fldChar w:fldCharType="begin"/>
          </w:r>
          <w:r>
            <w:rPr>
              <w:color w:val="auto"/>
              <w:sz w:val="32"/>
              <w:szCs w:val="32"/>
            </w:rPr>
            <w:instrText xml:space="preserve"> PAGEREF _Toc25428 \h </w:instrText>
          </w:r>
          <w:r>
            <w:rPr>
              <w:color w:val="auto"/>
              <w:sz w:val="32"/>
              <w:szCs w:val="32"/>
            </w:rPr>
            <w:fldChar w:fldCharType="separate"/>
          </w:r>
          <w:r>
            <w:rPr>
              <w:color w:val="auto"/>
              <w:sz w:val="32"/>
              <w:szCs w:val="32"/>
            </w:rPr>
            <w:t>1</w:t>
          </w:r>
          <w:r>
            <w:rPr>
              <w:color w:val="auto"/>
              <w:sz w:val="32"/>
              <w:szCs w:val="32"/>
            </w:rPr>
            <w:fldChar w:fldCharType="end"/>
          </w:r>
          <w:r>
            <w:rPr>
              <w:color w:val="auto"/>
              <w:sz w:val="32"/>
              <w:szCs w:val="32"/>
            </w:rPr>
            <w:fldChar w:fldCharType="end"/>
          </w:r>
        </w:p>
        <w:p w14:paraId="3F7F982A">
          <w:pPr>
            <w:pStyle w:val="25"/>
            <w:tabs>
              <w:tab w:val="right" w:leader="dot" w:pos="9072"/>
            </w:tabs>
            <w:spacing w:line="360" w:lineRule="auto"/>
            <w:rPr>
              <w:color w:val="auto"/>
              <w:sz w:val="32"/>
              <w:szCs w:val="32"/>
            </w:rPr>
          </w:pPr>
          <w:r>
            <w:rPr>
              <w:color w:val="auto"/>
              <w:sz w:val="32"/>
              <w:szCs w:val="32"/>
            </w:rPr>
            <w:fldChar w:fldCharType="begin"/>
          </w:r>
          <w:r>
            <w:rPr>
              <w:color w:val="auto"/>
              <w:sz w:val="32"/>
              <w:szCs w:val="32"/>
            </w:rPr>
            <w:instrText xml:space="preserve"> HYPERLINK \l _Toc26370 </w:instrText>
          </w:r>
          <w:r>
            <w:rPr>
              <w:color w:val="auto"/>
              <w:sz w:val="32"/>
              <w:szCs w:val="32"/>
            </w:rPr>
            <w:fldChar w:fldCharType="separate"/>
          </w:r>
          <w:r>
            <w:rPr>
              <w:rFonts w:hint="eastAsia" w:ascii="宋体" w:hAnsi="宋体" w:eastAsia="宋体" w:cs="宋体"/>
              <w:color w:val="auto"/>
              <w:sz w:val="32"/>
              <w:szCs w:val="32"/>
              <w:highlight w:val="none"/>
            </w:rPr>
            <w:t>第二章  供应商须知</w:t>
          </w:r>
          <w:r>
            <w:rPr>
              <w:color w:val="auto"/>
              <w:sz w:val="32"/>
              <w:szCs w:val="32"/>
            </w:rPr>
            <w:tab/>
          </w:r>
          <w:r>
            <w:rPr>
              <w:color w:val="auto"/>
              <w:sz w:val="32"/>
              <w:szCs w:val="32"/>
            </w:rPr>
            <w:fldChar w:fldCharType="begin"/>
          </w:r>
          <w:r>
            <w:rPr>
              <w:color w:val="auto"/>
              <w:sz w:val="32"/>
              <w:szCs w:val="32"/>
            </w:rPr>
            <w:instrText xml:space="preserve"> PAGEREF _Toc26370 \h </w:instrText>
          </w:r>
          <w:r>
            <w:rPr>
              <w:color w:val="auto"/>
              <w:sz w:val="32"/>
              <w:szCs w:val="32"/>
            </w:rPr>
            <w:fldChar w:fldCharType="separate"/>
          </w:r>
          <w:r>
            <w:rPr>
              <w:color w:val="auto"/>
              <w:sz w:val="32"/>
              <w:szCs w:val="32"/>
            </w:rPr>
            <w:t>6</w:t>
          </w:r>
          <w:r>
            <w:rPr>
              <w:color w:val="auto"/>
              <w:sz w:val="32"/>
              <w:szCs w:val="32"/>
            </w:rPr>
            <w:fldChar w:fldCharType="end"/>
          </w:r>
          <w:r>
            <w:rPr>
              <w:color w:val="auto"/>
              <w:sz w:val="32"/>
              <w:szCs w:val="32"/>
            </w:rPr>
            <w:fldChar w:fldCharType="end"/>
          </w:r>
        </w:p>
        <w:p w14:paraId="54051EF0">
          <w:pPr>
            <w:pStyle w:val="25"/>
            <w:tabs>
              <w:tab w:val="right" w:leader="dot" w:pos="9072"/>
            </w:tabs>
            <w:spacing w:line="360" w:lineRule="auto"/>
            <w:rPr>
              <w:color w:val="auto"/>
              <w:sz w:val="32"/>
              <w:szCs w:val="32"/>
            </w:rPr>
          </w:pPr>
          <w:r>
            <w:rPr>
              <w:color w:val="auto"/>
              <w:sz w:val="32"/>
              <w:szCs w:val="32"/>
            </w:rPr>
            <w:fldChar w:fldCharType="begin"/>
          </w:r>
          <w:r>
            <w:rPr>
              <w:color w:val="auto"/>
              <w:sz w:val="32"/>
              <w:szCs w:val="32"/>
            </w:rPr>
            <w:instrText xml:space="preserve"> HYPERLINK \l _Toc31350 </w:instrText>
          </w:r>
          <w:r>
            <w:rPr>
              <w:color w:val="auto"/>
              <w:sz w:val="32"/>
              <w:szCs w:val="32"/>
            </w:rPr>
            <w:fldChar w:fldCharType="separate"/>
          </w:r>
          <w:r>
            <w:rPr>
              <w:rFonts w:hint="eastAsia" w:ascii="宋体" w:hAnsi="宋体" w:eastAsia="宋体" w:cs="宋体"/>
              <w:color w:val="auto"/>
              <w:sz w:val="32"/>
              <w:szCs w:val="32"/>
              <w:highlight w:val="none"/>
            </w:rPr>
            <w:t>第三章  合同文本 </w:t>
          </w:r>
          <w:r>
            <w:rPr>
              <w:color w:val="auto"/>
              <w:sz w:val="32"/>
              <w:szCs w:val="32"/>
            </w:rPr>
            <w:tab/>
          </w:r>
          <w:r>
            <w:rPr>
              <w:color w:val="auto"/>
              <w:sz w:val="32"/>
              <w:szCs w:val="32"/>
            </w:rPr>
            <w:fldChar w:fldCharType="begin"/>
          </w:r>
          <w:r>
            <w:rPr>
              <w:color w:val="auto"/>
              <w:sz w:val="32"/>
              <w:szCs w:val="32"/>
            </w:rPr>
            <w:instrText xml:space="preserve"> PAGEREF _Toc31350 \h </w:instrText>
          </w:r>
          <w:r>
            <w:rPr>
              <w:color w:val="auto"/>
              <w:sz w:val="32"/>
              <w:szCs w:val="32"/>
            </w:rPr>
            <w:fldChar w:fldCharType="separate"/>
          </w:r>
          <w:r>
            <w:rPr>
              <w:color w:val="auto"/>
              <w:sz w:val="32"/>
              <w:szCs w:val="32"/>
            </w:rPr>
            <w:t>19</w:t>
          </w:r>
          <w:r>
            <w:rPr>
              <w:color w:val="auto"/>
              <w:sz w:val="32"/>
              <w:szCs w:val="32"/>
            </w:rPr>
            <w:fldChar w:fldCharType="end"/>
          </w:r>
          <w:r>
            <w:rPr>
              <w:color w:val="auto"/>
              <w:sz w:val="32"/>
              <w:szCs w:val="32"/>
            </w:rPr>
            <w:fldChar w:fldCharType="end"/>
          </w:r>
        </w:p>
        <w:p w14:paraId="7523A8C5">
          <w:pPr>
            <w:pStyle w:val="25"/>
            <w:tabs>
              <w:tab w:val="right" w:leader="dot" w:pos="9072"/>
            </w:tabs>
            <w:spacing w:line="360" w:lineRule="auto"/>
            <w:rPr>
              <w:color w:val="auto"/>
              <w:sz w:val="32"/>
              <w:szCs w:val="32"/>
            </w:rPr>
          </w:pPr>
          <w:r>
            <w:rPr>
              <w:color w:val="auto"/>
              <w:sz w:val="32"/>
              <w:szCs w:val="32"/>
            </w:rPr>
            <w:fldChar w:fldCharType="begin"/>
          </w:r>
          <w:r>
            <w:rPr>
              <w:color w:val="auto"/>
              <w:sz w:val="32"/>
              <w:szCs w:val="32"/>
            </w:rPr>
            <w:instrText xml:space="preserve"> HYPERLINK \l _Toc25084 </w:instrText>
          </w:r>
          <w:r>
            <w:rPr>
              <w:color w:val="auto"/>
              <w:sz w:val="32"/>
              <w:szCs w:val="32"/>
            </w:rPr>
            <w:fldChar w:fldCharType="separate"/>
          </w:r>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四</w:t>
          </w:r>
          <w:r>
            <w:rPr>
              <w:rFonts w:hint="eastAsia" w:ascii="宋体" w:hAnsi="宋体" w:eastAsia="宋体" w:cs="宋体"/>
              <w:color w:val="auto"/>
              <w:sz w:val="32"/>
              <w:szCs w:val="32"/>
              <w:highlight w:val="none"/>
            </w:rPr>
            <w:t xml:space="preserve">章  </w:t>
          </w:r>
          <w:r>
            <w:rPr>
              <w:rFonts w:hint="eastAsia" w:ascii="宋体" w:hAnsi="宋体" w:eastAsia="宋体" w:cs="宋体"/>
              <w:color w:val="auto"/>
              <w:sz w:val="32"/>
              <w:szCs w:val="32"/>
              <w:highlight w:val="none"/>
              <w:lang w:val="en-US" w:eastAsia="zh-CN"/>
            </w:rPr>
            <w:t>项目需求</w:t>
          </w:r>
          <w:r>
            <w:rPr>
              <w:color w:val="auto"/>
              <w:sz w:val="32"/>
              <w:szCs w:val="32"/>
            </w:rPr>
            <w:tab/>
          </w:r>
          <w:r>
            <w:rPr>
              <w:color w:val="auto"/>
              <w:sz w:val="32"/>
              <w:szCs w:val="32"/>
            </w:rPr>
            <w:fldChar w:fldCharType="begin"/>
          </w:r>
          <w:r>
            <w:rPr>
              <w:color w:val="auto"/>
              <w:sz w:val="32"/>
              <w:szCs w:val="32"/>
            </w:rPr>
            <w:instrText xml:space="preserve"> PAGEREF _Toc25084 \h </w:instrText>
          </w:r>
          <w:r>
            <w:rPr>
              <w:color w:val="auto"/>
              <w:sz w:val="32"/>
              <w:szCs w:val="32"/>
            </w:rPr>
            <w:fldChar w:fldCharType="separate"/>
          </w:r>
          <w:r>
            <w:rPr>
              <w:color w:val="auto"/>
              <w:sz w:val="32"/>
              <w:szCs w:val="32"/>
            </w:rPr>
            <w:t>36</w:t>
          </w:r>
          <w:r>
            <w:rPr>
              <w:color w:val="auto"/>
              <w:sz w:val="32"/>
              <w:szCs w:val="32"/>
            </w:rPr>
            <w:fldChar w:fldCharType="end"/>
          </w:r>
          <w:r>
            <w:rPr>
              <w:color w:val="auto"/>
              <w:sz w:val="32"/>
              <w:szCs w:val="32"/>
            </w:rPr>
            <w:fldChar w:fldCharType="end"/>
          </w:r>
        </w:p>
        <w:p w14:paraId="2547CAFC">
          <w:pPr>
            <w:pStyle w:val="25"/>
            <w:tabs>
              <w:tab w:val="right" w:leader="dot" w:pos="9072"/>
            </w:tabs>
            <w:spacing w:line="360" w:lineRule="auto"/>
            <w:rPr>
              <w:color w:val="auto"/>
              <w:sz w:val="32"/>
              <w:szCs w:val="32"/>
            </w:rPr>
          </w:pPr>
          <w:r>
            <w:rPr>
              <w:color w:val="auto"/>
              <w:sz w:val="32"/>
              <w:szCs w:val="32"/>
            </w:rPr>
            <w:fldChar w:fldCharType="begin"/>
          </w:r>
          <w:r>
            <w:rPr>
              <w:color w:val="auto"/>
              <w:sz w:val="32"/>
              <w:szCs w:val="32"/>
            </w:rPr>
            <w:instrText xml:space="preserve"> HYPERLINK \l _Toc8460 </w:instrText>
          </w:r>
          <w:r>
            <w:rPr>
              <w:color w:val="auto"/>
              <w:sz w:val="32"/>
              <w:szCs w:val="32"/>
            </w:rPr>
            <w:fldChar w:fldCharType="separate"/>
          </w:r>
          <w:r>
            <w:rPr>
              <w:rFonts w:hint="eastAsia" w:ascii="宋体" w:hAnsi="宋体" w:eastAsia="宋体" w:cs="宋体"/>
              <w:color w:val="auto"/>
              <w:sz w:val="32"/>
              <w:szCs w:val="32"/>
              <w:highlight w:val="none"/>
            </w:rPr>
            <w:t>第五章  评审方法与评审标准</w:t>
          </w:r>
          <w:r>
            <w:rPr>
              <w:color w:val="auto"/>
              <w:sz w:val="32"/>
              <w:szCs w:val="32"/>
            </w:rPr>
            <w:tab/>
          </w:r>
          <w:r>
            <w:rPr>
              <w:color w:val="auto"/>
              <w:sz w:val="32"/>
              <w:szCs w:val="32"/>
            </w:rPr>
            <w:fldChar w:fldCharType="begin"/>
          </w:r>
          <w:r>
            <w:rPr>
              <w:color w:val="auto"/>
              <w:sz w:val="32"/>
              <w:szCs w:val="32"/>
            </w:rPr>
            <w:instrText xml:space="preserve"> PAGEREF _Toc8460 \h </w:instrText>
          </w:r>
          <w:r>
            <w:rPr>
              <w:color w:val="auto"/>
              <w:sz w:val="32"/>
              <w:szCs w:val="32"/>
            </w:rPr>
            <w:fldChar w:fldCharType="separate"/>
          </w:r>
          <w:r>
            <w:rPr>
              <w:color w:val="auto"/>
              <w:sz w:val="32"/>
              <w:szCs w:val="32"/>
            </w:rPr>
            <w:t>40</w:t>
          </w:r>
          <w:r>
            <w:rPr>
              <w:color w:val="auto"/>
              <w:sz w:val="32"/>
              <w:szCs w:val="32"/>
            </w:rPr>
            <w:fldChar w:fldCharType="end"/>
          </w:r>
          <w:r>
            <w:rPr>
              <w:color w:val="auto"/>
              <w:sz w:val="32"/>
              <w:szCs w:val="32"/>
            </w:rPr>
            <w:fldChar w:fldCharType="end"/>
          </w:r>
        </w:p>
        <w:p w14:paraId="38BD3433">
          <w:pPr>
            <w:pStyle w:val="25"/>
            <w:tabs>
              <w:tab w:val="right" w:leader="dot" w:pos="9072"/>
            </w:tabs>
            <w:spacing w:line="360" w:lineRule="auto"/>
            <w:rPr>
              <w:color w:val="auto"/>
              <w:sz w:val="32"/>
              <w:szCs w:val="32"/>
            </w:rPr>
          </w:pPr>
          <w:r>
            <w:rPr>
              <w:color w:val="auto"/>
              <w:sz w:val="32"/>
              <w:szCs w:val="32"/>
            </w:rPr>
            <w:fldChar w:fldCharType="begin"/>
          </w:r>
          <w:r>
            <w:rPr>
              <w:color w:val="auto"/>
              <w:sz w:val="32"/>
              <w:szCs w:val="32"/>
            </w:rPr>
            <w:instrText xml:space="preserve"> HYPERLINK \l _Toc28929 </w:instrText>
          </w:r>
          <w:r>
            <w:rPr>
              <w:color w:val="auto"/>
              <w:sz w:val="32"/>
              <w:szCs w:val="32"/>
            </w:rPr>
            <w:fldChar w:fldCharType="separate"/>
          </w:r>
          <w:r>
            <w:rPr>
              <w:rFonts w:hint="eastAsia" w:ascii="宋体" w:hAnsi="宋体" w:eastAsia="宋体" w:cs="宋体"/>
              <w:color w:val="auto"/>
              <w:sz w:val="32"/>
              <w:szCs w:val="32"/>
              <w:highlight w:val="none"/>
            </w:rPr>
            <w:t>第六章  响应文件格式</w:t>
          </w:r>
          <w:r>
            <w:rPr>
              <w:color w:val="auto"/>
              <w:sz w:val="32"/>
              <w:szCs w:val="32"/>
            </w:rPr>
            <w:tab/>
          </w:r>
          <w:r>
            <w:rPr>
              <w:color w:val="auto"/>
              <w:sz w:val="32"/>
              <w:szCs w:val="32"/>
            </w:rPr>
            <w:fldChar w:fldCharType="begin"/>
          </w:r>
          <w:r>
            <w:rPr>
              <w:color w:val="auto"/>
              <w:sz w:val="32"/>
              <w:szCs w:val="32"/>
            </w:rPr>
            <w:instrText xml:space="preserve"> PAGEREF _Toc28929 \h </w:instrText>
          </w:r>
          <w:r>
            <w:rPr>
              <w:color w:val="auto"/>
              <w:sz w:val="32"/>
              <w:szCs w:val="32"/>
            </w:rPr>
            <w:fldChar w:fldCharType="separate"/>
          </w:r>
          <w:r>
            <w:rPr>
              <w:color w:val="auto"/>
              <w:sz w:val="32"/>
              <w:szCs w:val="32"/>
            </w:rPr>
            <w:t>4</w:t>
          </w:r>
          <w:r>
            <w:rPr>
              <w:rFonts w:hint="eastAsia" w:eastAsia="宋体"/>
              <w:color w:val="auto"/>
              <w:sz w:val="32"/>
              <w:szCs w:val="32"/>
              <w:lang w:val="en-US" w:eastAsia="zh-CN"/>
            </w:rPr>
            <w:t>6</w:t>
          </w:r>
          <w:r>
            <w:rPr>
              <w:color w:val="auto"/>
              <w:sz w:val="32"/>
              <w:szCs w:val="32"/>
            </w:rPr>
            <w:fldChar w:fldCharType="end"/>
          </w:r>
          <w:r>
            <w:rPr>
              <w:color w:val="auto"/>
              <w:sz w:val="32"/>
              <w:szCs w:val="32"/>
            </w:rPr>
            <w:fldChar w:fldCharType="end"/>
          </w:r>
        </w:p>
        <w:p w14:paraId="51338079">
          <w:pPr>
            <w:rPr>
              <w:color w:val="auto"/>
            </w:rPr>
          </w:pPr>
          <w:r>
            <w:rPr>
              <w:color w:val="auto"/>
              <w:sz w:val="32"/>
              <w:szCs w:val="32"/>
            </w:rPr>
            <w:fldChar w:fldCharType="end"/>
          </w:r>
        </w:p>
      </w:sdtContent>
    </w:sdt>
    <w:p w14:paraId="5CA20FB0">
      <w:pPr>
        <w:rPr>
          <w:color w:val="auto"/>
        </w:rPr>
      </w:pPr>
    </w:p>
    <w:p w14:paraId="75B8384F">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B5CBE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66A6A9B">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16B5448">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71F5902">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91FB544">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7929F08">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43BBF0A">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6F25349">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F96A8EB">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FB5F6D4">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CF7030">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D1F70B">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020380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D17951B">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F789701">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4C7D3F0">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D21F284">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03D2F50">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58B8EC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C7718AD">
      <w:pPr>
        <w:pStyle w:val="33"/>
        <w:spacing w:beforeAutospacing="0" w:afterAutospacing="0"/>
        <w:jc w:val="both"/>
        <w:rPr>
          <w:rFonts w:hint="eastAsia" w:ascii="宋体" w:hAnsi="宋体" w:eastAsia="宋体" w:cs="宋体"/>
          <w:color w:val="auto"/>
          <w:highlight w:val="none"/>
        </w:rPr>
      </w:pPr>
    </w:p>
    <w:p w14:paraId="76183672">
      <w:pPr>
        <w:pStyle w:val="33"/>
        <w:keepNext/>
        <w:spacing w:beforeAutospacing="0" w:afterAutospacing="0"/>
        <w:jc w:val="center"/>
        <w:rPr>
          <w:rFonts w:hint="eastAsia" w:ascii="宋体" w:hAnsi="宋体" w:eastAsia="宋体" w:cs="宋体"/>
          <w:color w:val="auto"/>
          <w:sz w:val="44"/>
          <w:szCs w:val="44"/>
          <w:highlight w:val="none"/>
        </w:rPr>
        <w:sectPr>
          <w:headerReference r:id="rId3" w:type="default"/>
          <w:footerReference r:id="rId4" w:type="default"/>
          <w:pgSz w:w="11906" w:h="16838"/>
          <w:pgMar w:top="1440" w:right="1417" w:bottom="1440" w:left="1417" w:header="851" w:footer="992" w:gutter="0"/>
          <w:cols w:space="425" w:num="1"/>
          <w:docGrid w:linePitch="360" w:charSpace="0"/>
        </w:sectPr>
      </w:pPr>
      <w:bookmarkStart w:id="6" w:name="_Toc28359086"/>
    </w:p>
    <w:p w14:paraId="0E7BFECB">
      <w:pPr>
        <w:pStyle w:val="33"/>
        <w:keepNext/>
        <w:spacing w:beforeAutospacing="0" w:afterAutospacing="0"/>
        <w:jc w:val="center"/>
        <w:outlineLvl w:val="0"/>
        <w:rPr>
          <w:rFonts w:hint="eastAsia" w:ascii="宋体" w:hAnsi="宋体" w:eastAsia="宋体" w:cs="宋体"/>
          <w:color w:val="auto"/>
          <w:sz w:val="28"/>
          <w:szCs w:val="28"/>
          <w:highlight w:val="none"/>
          <w:lang w:val="en-US" w:eastAsia="zh-CN"/>
        </w:rPr>
      </w:pPr>
      <w:bookmarkStart w:id="7" w:name="_Toc25428"/>
      <w:r>
        <w:rPr>
          <w:rFonts w:hint="eastAsia" w:ascii="宋体" w:hAnsi="宋体" w:eastAsia="宋体" w:cs="宋体"/>
          <w:color w:val="auto"/>
          <w:sz w:val="44"/>
          <w:szCs w:val="44"/>
          <w:highlight w:val="none"/>
        </w:rPr>
        <w:t xml:space="preserve">第一章  </w:t>
      </w:r>
      <w:r>
        <w:rPr>
          <w:rFonts w:hint="eastAsia" w:ascii="宋体" w:hAnsi="宋体" w:eastAsia="宋体" w:cs="宋体"/>
          <w:color w:val="auto"/>
          <w:sz w:val="44"/>
          <w:szCs w:val="44"/>
          <w:highlight w:val="none"/>
          <w:lang w:val="en-US" w:eastAsia="zh-CN"/>
        </w:rPr>
        <w:t>竞争性磋商公告</w:t>
      </w:r>
      <w:bookmarkEnd w:id="7"/>
    </w:p>
    <w:p w14:paraId="01621C90">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rPr>
          <w:rFonts w:hint="eastAsia" w:ascii="宋体" w:hAnsi="宋体" w:eastAsia="宋体" w:cs="宋体"/>
          <w:color w:val="auto"/>
          <w:sz w:val="24"/>
          <w:szCs w:val="24"/>
          <w:highlight w:val="none"/>
        </w:rPr>
      </w:pPr>
      <w:bookmarkStart w:id="8" w:name="_Toc38985263"/>
      <w:bookmarkStart w:id="9" w:name="_Hlk24379207"/>
      <w:bookmarkStart w:id="10" w:name="_Toc28359079"/>
      <w:bookmarkStart w:id="11" w:name="_Toc35393621"/>
      <w:bookmarkStart w:id="12" w:name="_Toc28359002"/>
      <w:bookmarkStart w:id="13" w:name="_Toc35393790"/>
      <w:r>
        <w:rPr>
          <w:rFonts w:hint="eastAsia" w:ascii="宋体" w:hAnsi="宋体" w:eastAsia="宋体" w:cs="宋体"/>
          <w:color w:val="auto"/>
          <w:sz w:val="24"/>
          <w:szCs w:val="24"/>
          <w:highlight w:val="none"/>
        </w:rPr>
        <w:t>项目概况：</w:t>
      </w:r>
    </w:p>
    <w:p w14:paraId="4CB714BF">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射阳县残疾人联合会2026年射阳县0-74周岁残疾人意外伤害保险经办机构采购项目</w:t>
      </w:r>
      <w:r>
        <w:rPr>
          <w:rFonts w:hint="eastAsia" w:ascii="宋体" w:hAnsi="宋体" w:eastAsia="宋体" w:cs="宋体"/>
          <w:color w:val="auto"/>
          <w:sz w:val="24"/>
          <w:szCs w:val="24"/>
          <w:highlight w:val="none"/>
        </w:rPr>
        <w:t>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盐城市政府采购网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获取磋商</w:t>
      </w:r>
      <w:r>
        <w:rPr>
          <w:rFonts w:hint="eastAsia" w:ascii="宋体" w:hAnsi="宋体" w:eastAsia="宋体" w:cs="宋体"/>
          <w:color w:val="auto"/>
          <w:sz w:val="24"/>
          <w:szCs w:val="24"/>
          <w:highlight w:val="none"/>
        </w:rPr>
        <w:t>文件，并</w:t>
      </w:r>
      <w:r>
        <w:rPr>
          <w:rFonts w:hint="eastAsia" w:ascii="宋体" w:hAnsi="宋体" w:eastAsia="宋体" w:cs="宋体"/>
          <w:color w:val="auto"/>
          <w:sz w:val="24"/>
          <w:szCs w:val="24"/>
          <w:highlight w:val="none"/>
          <w:lang w:val="en-US" w:eastAsia="zh-CN"/>
        </w:rPr>
        <w:t>于2026年10月22日15点00分</w:t>
      </w:r>
      <w:r>
        <w:rPr>
          <w:rFonts w:hint="eastAsia" w:ascii="宋体" w:hAnsi="宋体" w:eastAsia="宋体" w:cs="宋体"/>
          <w:color w:val="auto"/>
          <w:sz w:val="24"/>
          <w:szCs w:val="24"/>
          <w:highlight w:val="none"/>
        </w:rPr>
        <w:t>（北京时间）前提交响应文件。</w:t>
      </w:r>
    </w:p>
    <w:p w14:paraId="57C0EB38">
      <w:pPr>
        <w:pStyle w:val="33"/>
        <w:keepNext/>
        <w:keepLines/>
        <w:pageBreakBefore w:val="0"/>
        <w:widowControl w:val="0"/>
        <w:kinsoku/>
        <w:wordWrap/>
        <w:overflowPunct/>
        <w:topLinePunct w:val="0"/>
        <w:autoSpaceDE/>
        <w:autoSpaceDN/>
        <w:bidi w:val="0"/>
        <w:adjustRightInd/>
        <w:snapToGrid/>
        <w:spacing w:beforeAutospacing="0" w:afterAutospacing="0" w:line="52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一、项目基本情况</w:t>
      </w:r>
      <w:bookmarkEnd w:id="8"/>
      <w:bookmarkEnd w:id="9"/>
      <w:bookmarkEnd w:id="10"/>
      <w:bookmarkEnd w:id="11"/>
      <w:bookmarkEnd w:id="12"/>
      <w:bookmarkEnd w:id="13"/>
    </w:p>
    <w:p w14:paraId="19771C79">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：JSZC-320924-HHGC-C2026-0003。</w:t>
      </w:r>
    </w:p>
    <w:p w14:paraId="509A3BE5">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射阳县残疾人联合会2026年射阳县0-74周岁残疾人意外伤害保险经办机构采购项目。</w:t>
      </w:r>
    </w:p>
    <w:p w14:paraId="7D301A00">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采购方式：竞争性磋商</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34CCA919">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预算金额：188.00万元。</w:t>
      </w:r>
    </w:p>
    <w:p w14:paraId="2B2E336B">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rPr>
        <w:t>最高限价</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如有</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w:t>
      </w:r>
      <w:r>
        <w:rPr>
          <w:rFonts w:hint="eastAsia" w:ascii="宋体" w:hAnsi="宋体" w:eastAsia="宋体" w:cs="宋体"/>
          <w:b w:val="0"/>
          <w:bCs w:val="0"/>
          <w:color w:val="auto"/>
          <w:sz w:val="24"/>
          <w:szCs w:val="24"/>
          <w:highlight w:val="none"/>
          <w:u w:val="none"/>
          <w:lang w:eastAsia="zh-CN"/>
        </w:rPr>
        <w:t>本项目</w:t>
      </w:r>
      <w:r>
        <w:rPr>
          <w:rFonts w:hint="eastAsia" w:ascii="宋体" w:hAnsi="宋体" w:eastAsia="宋体" w:cs="宋体"/>
          <w:b w:val="0"/>
          <w:bCs w:val="0"/>
          <w:color w:val="auto"/>
          <w:sz w:val="24"/>
          <w:szCs w:val="24"/>
          <w:highlight w:val="none"/>
          <w:u w:val="none"/>
          <w:lang w:val="en-US" w:eastAsia="zh-CN"/>
        </w:rPr>
        <w:t>按费率报价，</w:t>
      </w:r>
      <w:r>
        <w:rPr>
          <w:rFonts w:hint="eastAsia" w:ascii="宋体" w:hAnsi="宋体" w:eastAsia="宋体" w:cs="宋体"/>
          <w:b w:val="0"/>
          <w:bCs w:val="0"/>
          <w:color w:val="auto"/>
          <w:sz w:val="24"/>
          <w:szCs w:val="24"/>
          <w:highlight w:val="none"/>
          <w:u w:val="none"/>
          <w:lang w:eastAsia="zh-CN"/>
        </w:rPr>
        <w:t>残疾人意外伤害保险年赔付率拟不低于70%。</w:t>
      </w:r>
      <w:r>
        <w:rPr>
          <w:rFonts w:hint="eastAsia" w:ascii="宋体" w:hAnsi="宋体" w:eastAsia="宋体" w:cs="宋体"/>
          <w:b w:val="0"/>
          <w:bCs w:val="0"/>
          <w:color w:val="auto"/>
          <w:highlight w:val="none"/>
          <w:shd w:val="clear" w:color="auto" w:fill="FFFFFF"/>
          <w:lang w:val="en-US" w:eastAsia="zh-CN"/>
        </w:rPr>
        <w:t>采购包1：46.8万元/年，共93.6万元</w:t>
      </w:r>
      <w:r>
        <w:rPr>
          <w:rFonts w:hint="eastAsia" w:ascii="宋体" w:hAnsi="宋体" w:eastAsia="宋体" w:cs="宋体"/>
          <w:b w:val="0"/>
          <w:bCs w:val="0"/>
          <w:color w:val="auto"/>
          <w:sz w:val="24"/>
          <w:szCs w:val="24"/>
          <w:highlight w:val="none"/>
          <w:lang w:eastAsia="zh-CN"/>
        </w:rPr>
        <w:t>（范围：经济开发区、四明、临海、长荡、洋马、兴桥、新坍、港开区）</w:t>
      </w:r>
      <w:r>
        <w:rPr>
          <w:rFonts w:hint="eastAsia" w:ascii="宋体" w:hAnsi="宋体" w:eastAsia="宋体" w:cs="宋体"/>
          <w:b w:val="0"/>
          <w:bCs w:val="0"/>
          <w:color w:val="auto"/>
          <w:highlight w:val="none"/>
          <w:shd w:val="clear" w:color="auto" w:fill="FFFFFF"/>
          <w:lang w:eastAsia="zh-CN"/>
        </w:rPr>
        <w:t>，</w:t>
      </w:r>
      <w:r>
        <w:rPr>
          <w:rFonts w:hint="eastAsia" w:ascii="宋体" w:hAnsi="宋体" w:eastAsia="宋体" w:cs="宋体"/>
          <w:b w:val="0"/>
          <w:bCs w:val="0"/>
          <w:color w:val="auto"/>
          <w:highlight w:val="none"/>
          <w:shd w:val="clear" w:color="auto" w:fill="FFFFFF"/>
          <w:lang w:val="en-US" w:eastAsia="zh-CN"/>
        </w:rPr>
        <w:t>采购包2：47.2万元/年，共</w:t>
      </w:r>
      <w:r>
        <w:rPr>
          <w:rFonts w:hint="eastAsia" w:ascii="宋体" w:hAnsi="宋体" w:cs="宋体"/>
          <w:b w:val="0"/>
          <w:bCs w:val="0"/>
          <w:color w:val="auto"/>
          <w:sz w:val="24"/>
          <w:szCs w:val="24"/>
          <w:highlight w:val="none"/>
          <w:lang w:val="en-US" w:eastAsia="zh-CN"/>
        </w:rPr>
        <w:t>94.4</w:t>
      </w:r>
      <w:r>
        <w:rPr>
          <w:rFonts w:hint="eastAsia" w:ascii="宋体" w:hAnsi="宋体" w:eastAsia="宋体" w:cs="宋体"/>
          <w:b w:val="0"/>
          <w:bCs w:val="0"/>
          <w:color w:val="auto"/>
          <w:highlight w:val="none"/>
          <w:shd w:val="clear" w:color="auto" w:fill="FFFFFF"/>
          <w:lang w:val="en-US" w:eastAsia="zh-CN"/>
        </w:rPr>
        <w:t>万元</w:t>
      </w:r>
      <w:r>
        <w:rPr>
          <w:rFonts w:hint="eastAsia" w:ascii="宋体" w:hAnsi="宋体" w:eastAsia="宋体" w:cs="宋体"/>
          <w:b w:val="0"/>
          <w:bCs w:val="0"/>
          <w:color w:val="auto"/>
          <w:sz w:val="24"/>
          <w:szCs w:val="24"/>
          <w:highlight w:val="none"/>
          <w:lang w:eastAsia="zh-CN"/>
        </w:rPr>
        <w:t>（范围：合德、海河、特庸、盘湾、黄沙港、海通、千秋、盐场）</w:t>
      </w:r>
    </w:p>
    <w:p w14:paraId="4549BFB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rPr>
        <w:t>采购需求：</w:t>
      </w:r>
      <w:r>
        <w:rPr>
          <w:rFonts w:hint="eastAsia" w:ascii="宋体" w:hAnsi="宋体" w:eastAsia="宋体" w:cs="宋体"/>
          <w:i w:val="0"/>
          <w:iCs w:val="0"/>
          <w:caps w:val="0"/>
          <w:color w:val="auto"/>
          <w:spacing w:val="0"/>
          <w:sz w:val="24"/>
          <w:szCs w:val="24"/>
          <w:highlight w:val="none"/>
          <w:shd w:val="clear" w:color="auto" w:fill="FFFFFF"/>
          <w:lang w:val="en-US" w:eastAsia="zh-CN"/>
        </w:rPr>
        <w:t>根据《2019年市政府为民办实事“阳光助残行动”为残疾人购买意外伤害保险项目实施方案》以及《关于进一步做好残疾人意外伤害保险工作的通知》的文件精神，为全县0-74周岁持证残疾人购买意外伤害保险</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服务人数暂定23495人（采购包1：11700人、采购包2：11795人）</w:t>
      </w:r>
      <w:r>
        <w:rPr>
          <w:rFonts w:hint="eastAsia" w:ascii="宋体" w:hAnsi="宋体" w:eastAsia="宋体" w:cs="宋体"/>
          <w:color w:val="auto"/>
          <w:sz w:val="24"/>
          <w:szCs w:val="24"/>
          <w:highlight w:val="none"/>
        </w:rPr>
        <w:t>，</w:t>
      </w:r>
      <w:r>
        <w:rPr>
          <w:rFonts w:hint="eastAsia" w:ascii="宋体" w:hAnsi="宋体" w:eastAsia="宋体" w:cs="Arial"/>
          <w:bCs/>
          <w:color w:val="auto"/>
          <w:kern w:val="0"/>
          <w:sz w:val="24"/>
          <w:szCs w:val="20"/>
          <w:highlight w:val="none"/>
          <w:lang w:val="en-US" w:eastAsia="zh-CN" w:bidi="ar-SA"/>
        </w:rPr>
        <w:t>每人每年保费40元，每年具体人数以射阳县残疾人联合会实际提供人数为准，保单一年一出，保费一年一付，在保险期间内首次罹患重大疾病、因发生意外伤害导致伤残或身故的、非意外伤害导致死亡的，保险人按照保险合同的约定负责赔偿，具体保险补偿内容详见招标要求。</w:t>
      </w:r>
    </w:p>
    <w:p w14:paraId="55CBA34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highlight w:val="none"/>
          <w:lang w:eastAsia="zh-CN"/>
        </w:rPr>
      </w:pPr>
      <w:r>
        <w:rPr>
          <w:rFonts w:hint="default" w:ascii="宋体" w:hAnsi="宋体" w:eastAsia="宋体" w:cs="宋体"/>
          <w:color w:val="auto"/>
          <w:sz w:val="24"/>
          <w:szCs w:val="22"/>
          <w:u w:val="none"/>
          <w:lang w:val="en-US" w:eastAsia="zh-CN" w:bidi="ar-SA"/>
        </w:rPr>
        <w:t>注</w:t>
      </w:r>
      <w:r>
        <w:rPr>
          <w:rFonts w:hint="eastAsia" w:ascii="宋体" w:hAnsi="宋体" w:eastAsia="宋体" w:cs="宋体"/>
          <w:color w:val="auto"/>
          <w:sz w:val="24"/>
          <w:szCs w:val="22"/>
          <w:u w:val="none"/>
          <w:lang w:val="en-US" w:eastAsia="zh-CN" w:bidi="ar-SA"/>
        </w:rPr>
        <w:t>：本次招标项目划分为2个采购包，采用兼投不兼中原则，同一供应商可以同时参与2个采购包投标，若该供应商经评审后成为采购包一成交候选供应商排名的第一名时，则不再推荐该供应商为采购包二的成交候选供应商,开标、评标、定标顺序按采购包一至采购包二顺序依次进行。不因前面开标、评标确认的第一中标候选供应商因质疑、投诉、复议被取消第一中标候选供应商（或中标人）资格，而改变后面开标、评标确定的中标候选人结果。</w:t>
      </w:r>
    </w:p>
    <w:p w14:paraId="04156234">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default" w:ascii="宋体" w:hAnsi="宋体" w:eastAsia="宋体" w:cs="宋体"/>
          <w:i w:val="0"/>
          <w:iCs w:val="0"/>
          <w:caps w:val="0"/>
          <w:color w:val="auto"/>
          <w:spacing w:val="0"/>
          <w:sz w:val="24"/>
          <w:szCs w:val="24"/>
          <w:highlight w:val="none"/>
          <w:shd w:val="clear" w:color="auto" w:fill="FFFFFF"/>
          <w:lang w:val="en-US"/>
        </w:rPr>
      </w:pPr>
      <w:r>
        <w:rPr>
          <w:rFonts w:hint="eastAsia" w:ascii="宋体" w:hAnsi="宋体" w:eastAsia="宋体" w:cs="宋体"/>
          <w:i w:val="0"/>
          <w:iCs w:val="0"/>
          <w:caps w:val="0"/>
          <w:color w:val="auto"/>
          <w:spacing w:val="0"/>
          <w:sz w:val="24"/>
          <w:szCs w:val="24"/>
          <w:highlight w:val="none"/>
          <w:shd w:val="clear" w:color="auto" w:fill="FFFFFF"/>
        </w:rPr>
        <w:t>合同履行期限：</w:t>
      </w:r>
      <w:r>
        <w:rPr>
          <w:rFonts w:hint="eastAsia" w:ascii="宋体" w:hAnsi="宋体" w:eastAsia="宋体" w:cs="宋体"/>
          <w:bCs/>
          <w:color w:val="auto"/>
          <w:sz w:val="24"/>
          <w:szCs w:val="24"/>
          <w:highlight w:val="none"/>
          <w:lang w:val="en-US" w:eastAsia="zh-CN"/>
        </w:rPr>
        <w:t>2026年9月3日至2028年9月2日，合同一年一签，经采购人考核合格后方可续签下一年服务合同，否则采购人有权终止合同，重新组织招标。</w:t>
      </w:r>
    </w:p>
    <w:p w14:paraId="7E6CDB52">
      <w:pPr>
        <w:pStyle w:val="33"/>
        <w:keepNext/>
        <w:keepLines/>
        <w:pageBreakBefore w:val="0"/>
        <w:widowControl w:val="0"/>
        <w:kinsoku/>
        <w:wordWrap/>
        <w:overflowPunct/>
        <w:topLinePunct w:val="0"/>
        <w:autoSpaceDE/>
        <w:autoSpaceDN/>
        <w:bidi w:val="0"/>
        <w:adjustRightInd/>
        <w:snapToGrid/>
        <w:spacing w:beforeAutospacing="0" w:afterAutospacing="0" w:line="520" w:lineRule="exact"/>
        <w:ind w:firstLine="498"/>
        <w:jc w:val="both"/>
        <w:textAlignment w:val="auto"/>
        <w:rPr>
          <w:rFonts w:hint="eastAsia" w:ascii="宋体" w:hAnsi="宋体" w:eastAsia="宋体" w:cs="宋体"/>
          <w:bCs/>
          <w:color w:val="auto"/>
          <w:sz w:val="24"/>
          <w:szCs w:val="24"/>
          <w:highlight w:val="none"/>
          <w:lang w:eastAsia="zh-CN"/>
        </w:rPr>
      </w:pPr>
      <w:bookmarkStart w:id="14" w:name="_Toc28359080"/>
      <w:bookmarkStart w:id="15" w:name="_Toc35393791"/>
      <w:bookmarkStart w:id="16" w:name="_Toc28359003"/>
      <w:bookmarkStart w:id="17" w:name="_Toc38985264"/>
      <w:bookmarkStart w:id="18" w:name="_Toc35393622"/>
      <w:r>
        <w:rPr>
          <w:rFonts w:hint="eastAsia" w:ascii="宋体" w:hAnsi="宋体" w:eastAsia="宋体" w:cs="宋体"/>
          <w:bCs/>
          <w:color w:val="auto"/>
          <w:sz w:val="24"/>
          <w:szCs w:val="24"/>
          <w:highlight w:val="none"/>
        </w:rPr>
        <w:t>本项目不接受联合体</w:t>
      </w:r>
      <w:r>
        <w:rPr>
          <w:rFonts w:hint="eastAsia" w:ascii="宋体" w:hAnsi="宋体" w:eastAsia="宋体" w:cs="宋体"/>
          <w:bCs/>
          <w:color w:val="auto"/>
          <w:sz w:val="24"/>
          <w:szCs w:val="24"/>
          <w:highlight w:val="none"/>
          <w:lang w:eastAsia="zh-CN"/>
        </w:rPr>
        <w:t>。</w:t>
      </w:r>
    </w:p>
    <w:p w14:paraId="69D035E9">
      <w:pPr>
        <w:pStyle w:val="33"/>
        <w:keepNext/>
        <w:keepLines/>
        <w:pageBreakBefore w:val="0"/>
        <w:widowControl w:val="0"/>
        <w:kinsoku/>
        <w:wordWrap/>
        <w:overflowPunct/>
        <w:topLinePunct w:val="0"/>
        <w:autoSpaceDE/>
        <w:autoSpaceDN/>
        <w:bidi w:val="0"/>
        <w:adjustRightInd/>
        <w:snapToGrid/>
        <w:spacing w:beforeAutospacing="0" w:afterAutospacing="0" w:line="52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bookmarkEnd w:id="14"/>
      <w:bookmarkEnd w:id="15"/>
      <w:bookmarkEnd w:id="16"/>
      <w:bookmarkEnd w:id="17"/>
      <w:bookmarkEnd w:id="18"/>
    </w:p>
    <w:p w14:paraId="47F2E465">
      <w:pPr>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满足《中华人民共和国政府采购法》第二十二条规定，并提供下列材料</w:t>
      </w:r>
      <w:r>
        <w:rPr>
          <w:rFonts w:hint="eastAsia" w:ascii="宋体" w:hAnsi="宋体" w:eastAsia="宋体" w:cs="宋体"/>
          <w:color w:val="auto"/>
          <w:sz w:val="24"/>
          <w:szCs w:val="24"/>
          <w:highlight w:val="none"/>
          <w:lang w:eastAsia="zh-CN"/>
        </w:rPr>
        <w:t>：</w:t>
      </w:r>
    </w:p>
    <w:p w14:paraId="45EA5E5C">
      <w:pPr>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法人或者其他组织的营业执照等证明文件，自然人的身份证明</w:t>
      </w:r>
      <w:r>
        <w:rPr>
          <w:rFonts w:hint="eastAsia" w:ascii="宋体" w:hAnsi="宋体" w:eastAsia="宋体" w:cs="宋体"/>
          <w:color w:val="auto"/>
          <w:sz w:val="24"/>
          <w:szCs w:val="24"/>
          <w:highlight w:val="none"/>
          <w:lang w:eastAsia="zh-CN"/>
        </w:rPr>
        <w:t>；</w:t>
      </w:r>
    </w:p>
    <w:p w14:paraId="5D0570D4">
      <w:pPr>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上一年度的财务报表(成立不满一年不需提供)</w:t>
      </w:r>
      <w:r>
        <w:rPr>
          <w:rFonts w:hint="eastAsia" w:ascii="宋体" w:hAnsi="宋体" w:eastAsia="宋体" w:cs="宋体"/>
          <w:color w:val="auto"/>
          <w:sz w:val="24"/>
          <w:szCs w:val="24"/>
          <w:highlight w:val="none"/>
          <w:lang w:eastAsia="zh-CN"/>
        </w:rPr>
        <w:t>；</w:t>
      </w:r>
    </w:p>
    <w:p w14:paraId="4E7E5068">
      <w:pPr>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依法缴纳税收和社会保障资金的相关材料</w:t>
      </w:r>
      <w:r>
        <w:rPr>
          <w:rFonts w:hint="eastAsia" w:ascii="宋体" w:hAnsi="宋体" w:eastAsia="宋体" w:cs="宋体"/>
          <w:color w:val="auto"/>
          <w:sz w:val="24"/>
          <w:szCs w:val="24"/>
          <w:highlight w:val="none"/>
          <w:lang w:eastAsia="zh-CN"/>
        </w:rPr>
        <w:t>；</w:t>
      </w:r>
    </w:p>
    <w:p w14:paraId="2D337417">
      <w:pPr>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具备履行合同所必需的设备和专业技术能力的证明材料</w:t>
      </w:r>
      <w:r>
        <w:rPr>
          <w:rFonts w:hint="eastAsia" w:ascii="宋体" w:hAnsi="宋体" w:eastAsia="宋体" w:cs="宋体"/>
          <w:color w:val="auto"/>
          <w:sz w:val="24"/>
          <w:szCs w:val="24"/>
          <w:highlight w:val="none"/>
          <w:lang w:eastAsia="zh-CN"/>
        </w:rPr>
        <w:t>；</w:t>
      </w:r>
    </w:p>
    <w:p w14:paraId="296CD186">
      <w:pPr>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参加政府采购活动前3年内在经营活动中没有重大违法记录的书面声明</w:t>
      </w:r>
      <w:r>
        <w:rPr>
          <w:rFonts w:hint="eastAsia" w:ascii="宋体" w:hAnsi="宋体" w:eastAsia="宋体" w:cs="宋体"/>
          <w:color w:val="auto"/>
          <w:sz w:val="24"/>
          <w:szCs w:val="24"/>
          <w:highlight w:val="none"/>
          <w:lang w:eastAsia="zh-CN"/>
        </w:rPr>
        <w:t>；</w:t>
      </w:r>
    </w:p>
    <w:p w14:paraId="099026B7">
      <w:pPr>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4038CB68">
      <w:pPr>
        <w:pageBreakBefore w:val="0"/>
        <w:spacing w:line="520" w:lineRule="exact"/>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落实政府采购政策需满足的资格要求</w:t>
      </w:r>
      <w:r>
        <w:rPr>
          <w:rFonts w:hint="eastAsia" w:ascii="宋体" w:hAnsi="宋体" w:eastAsia="宋体" w:cs="宋体"/>
          <w:color w:val="auto"/>
          <w:sz w:val="24"/>
          <w:szCs w:val="24"/>
          <w:highlight w:val="none"/>
        </w:rPr>
        <w:t>：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08972266">
      <w:pPr>
        <w:pageBreakBefore w:val="0"/>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本项目的特定资格要求：</w:t>
      </w:r>
    </w:p>
    <w:p w14:paraId="5F91F78E">
      <w:pPr>
        <w:pageBreakBefore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1.投标人必须为未被列入“信用中国”网站(www.creditchina.gov.cn)、中国政</w:t>
      </w:r>
      <w:r>
        <w:rPr>
          <w:rFonts w:hint="eastAsia" w:ascii="宋体" w:hAnsi="宋体" w:eastAsia="宋体" w:cs="宋体"/>
          <w:color w:val="auto"/>
          <w:sz w:val="24"/>
          <w:szCs w:val="24"/>
          <w:highlight w:val="none"/>
        </w:rPr>
        <w:t>府采购网(www.ccgp.gov.cn)渠道信用记录失信被执行人、重大税收违法案件当事人名单、政府采购严重违法失信行为记录名单。</w:t>
      </w:r>
    </w:p>
    <w:p w14:paraId="0F4224F0">
      <w:pPr>
        <w:pageBreakBefore w:val="0"/>
        <w:numPr>
          <w:ilvl w:val="0"/>
          <w:numId w:val="0"/>
        </w:num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，不得参加同一合同项下的政府采购活动，否则均做无效标处理。</w:t>
      </w:r>
    </w:p>
    <w:p w14:paraId="77A27195">
      <w:pPr>
        <w:pStyle w:val="33"/>
        <w:keepNext/>
        <w:keepLines/>
        <w:pageBreakBefore w:val="0"/>
        <w:spacing w:beforeAutospacing="0" w:afterAutospacing="0" w:line="520" w:lineRule="exact"/>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rPr>
        <w:t>文件</w:t>
      </w:r>
    </w:p>
    <w:p w14:paraId="05D70F95">
      <w:pPr>
        <w:pageBreakBefore w:val="0"/>
        <w:widowControl/>
        <w:spacing w:line="520" w:lineRule="exact"/>
        <w:ind w:firstLine="480"/>
        <w:jc w:val="left"/>
        <w:rPr>
          <w:rFonts w:hint="eastAsia" w:ascii="宋体" w:hAnsi="宋体" w:eastAsia="宋体" w:cs="宋体"/>
          <w:color w:val="auto"/>
          <w:sz w:val="24"/>
          <w:szCs w:val="24"/>
          <w:highlight w:val="none"/>
          <w:lang w:val="en-US" w:eastAsia="zh-CN"/>
        </w:rPr>
      </w:pPr>
      <w:bookmarkStart w:id="19" w:name="_Toc38985266"/>
      <w:r>
        <w:rPr>
          <w:rFonts w:hint="eastAsia" w:ascii="宋体" w:hAnsi="宋体" w:eastAsia="宋体" w:cs="宋体"/>
          <w:color w:val="auto"/>
          <w:sz w:val="24"/>
          <w:szCs w:val="24"/>
          <w:highlight w:val="none"/>
          <w:lang w:val="en-US" w:eastAsia="zh-CN"/>
        </w:rPr>
        <w:t>时间：</w:t>
      </w:r>
      <w:bookmarkEnd w:id="19"/>
      <w:r>
        <w:rPr>
          <w:rFonts w:hint="eastAsia" w:ascii="宋体" w:hAnsi="宋体" w:eastAsia="宋体" w:cs="宋体"/>
          <w:color w:val="auto"/>
          <w:sz w:val="24"/>
          <w:szCs w:val="24"/>
          <w:highlight w:val="none"/>
          <w:lang w:val="en-US" w:eastAsia="zh-CN"/>
        </w:rPr>
        <w:t>2026年10月10日至2026年10月16日，每天上午00:00-12:00,下午12:00-23:59 （北京时间，法定节假日除外）；</w:t>
      </w:r>
    </w:p>
    <w:p w14:paraId="7B06366C">
      <w:pPr>
        <w:pageBreakBefore w:val="0"/>
        <w:widowControl/>
        <w:spacing w:line="52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地点：“中国政府采购网、江苏政府采购网、盐城市政府采购网”自行免费下载招标文件；</w:t>
      </w:r>
    </w:p>
    <w:p w14:paraId="44071D7A">
      <w:pPr>
        <w:pageBreakBefore w:val="0"/>
        <w:widowControl/>
        <w:spacing w:line="52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方式：网上注册登记成功后系统内免费下载</w:t>
      </w:r>
      <w:r>
        <w:rPr>
          <w:rFonts w:hint="eastAsia" w:ascii="宋体" w:hAnsi="宋体" w:eastAsia="宋体" w:cs="宋体"/>
          <w:color w:val="auto"/>
          <w:sz w:val="24"/>
          <w:szCs w:val="24"/>
          <w:highlight w:val="none"/>
          <w:lang w:eastAsia="zh-CN"/>
        </w:rPr>
        <w:t>；</w:t>
      </w:r>
    </w:p>
    <w:p w14:paraId="279003E4">
      <w:pPr>
        <w:pStyle w:val="33"/>
        <w:keepNext/>
        <w:keepLines/>
        <w:pageBreakBefore w:val="0"/>
        <w:spacing w:beforeAutospacing="0" w:afterAutospacing="0" w:line="520" w:lineRule="exact"/>
        <w:ind w:firstLine="49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售价：0元；</w:t>
      </w:r>
    </w:p>
    <w:p w14:paraId="78DE83AD">
      <w:pPr>
        <w:pStyle w:val="33"/>
        <w:keepNext/>
        <w:keepLines/>
        <w:pageBreakBefore w:val="0"/>
        <w:spacing w:beforeAutospacing="0" w:afterAutospacing="0" w:line="520" w:lineRule="exact"/>
        <w:ind w:firstLine="498"/>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四、响应文件</w:t>
      </w:r>
      <w:r>
        <w:rPr>
          <w:rFonts w:hint="eastAsia" w:ascii="宋体" w:hAnsi="宋体" w:eastAsia="宋体" w:cs="宋体"/>
          <w:b/>
          <w:color w:val="auto"/>
          <w:sz w:val="24"/>
          <w:szCs w:val="24"/>
          <w:highlight w:val="none"/>
          <w:lang w:val="en-US" w:eastAsia="zh-CN"/>
        </w:rPr>
        <w:t>提交</w:t>
      </w:r>
    </w:p>
    <w:p w14:paraId="107EA42C">
      <w:pPr>
        <w:pStyle w:val="33"/>
        <w:pageBreakBefore w:val="0"/>
        <w:spacing w:beforeAutospacing="0" w:afterAutospacing="0" w:line="520" w:lineRule="exact"/>
        <w:ind w:firstLine="480"/>
        <w:jc w:val="both"/>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rPr>
        <w:t>截止时间：</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22</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p>
    <w:p w14:paraId="3349D572">
      <w:pPr>
        <w:pageBreakBefore w:val="0"/>
        <w:widowControl/>
        <w:spacing w:line="520" w:lineRule="exact"/>
        <w:ind w:firstLine="480"/>
        <w:jc w:val="left"/>
        <w:rPr>
          <w:rFonts w:hint="eastAsia" w:ascii="宋体" w:hAnsi="宋体" w:eastAsia="宋体" w:cs="宋体"/>
          <w:color w:val="auto"/>
          <w:sz w:val="24"/>
          <w:szCs w:val="24"/>
          <w:highlight w:val="none"/>
          <w:shd w:val="clear" w:color="auto" w:fill="FFFF00"/>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地点：</w:t>
      </w:r>
      <w:r>
        <w:rPr>
          <w:rFonts w:hint="eastAsia" w:ascii="宋体" w:hAnsi="宋体" w:eastAsia="宋体" w:cs="宋体"/>
          <w:color w:val="auto"/>
          <w:sz w:val="24"/>
          <w:szCs w:val="24"/>
          <w:highlight w:val="none"/>
          <w:lang w:val="en-US" w:eastAsia="zh-CN"/>
        </w:rPr>
        <w:t>“苏采云”政府采购交易系统。</w:t>
      </w:r>
    </w:p>
    <w:p w14:paraId="7A018053">
      <w:pPr>
        <w:pStyle w:val="33"/>
        <w:keepNext/>
        <w:keepLines/>
        <w:pageBreakBefore w:val="0"/>
        <w:spacing w:beforeAutospacing="0" w:afterAutospacing="0" w:line="520" w:lineRule="exact"/>
        <w:ind w:firstLine="498"/>
        <w:jc w:val="both"/>
        <w:rPr>
          <w:rFonts w:hint="eastAsia" w:ascii="宋体" w:hAnsi="宋体" w:eastAsia="宋体" w:cs="宋体"/>
          <w:b/>
          <w:color w:val="auto"/>
          <w:sz w:val="24"/>
          <w:szCs w:val="24"/>
          <w:highlight w:val="none"/>
        </w:rPr>
      </w:pPr>
      <w:bookmarkStart w:id="20" w:name="_Toc35393626"/>
      <w:bookmarkStart w:id="21" w:name="_Toc38985268"/>
      <w:bookmarkStart w:id="22" w:name="_Toc35393795"/>
      <w:r>
        <w:rPr>
          <w:rFonts w:hint="eastAsia" w:ascii="宋体" w:hAnsi="宋体" w:eastAsia="宋体" w:cs="宋体"/>
          <w:b/>
          <w:color w:val="auto"/>
          <w:sz w:val="24"/>
          <w:szCs w:val="24"/>
          <w:highlight w:val="none"/>
        </w:rPr>
        <w:t>五、开启</w:t>
      </w:r>
    </w:p>
    <w:p w14:paraId="2E0CA6B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56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22</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 xml:space="preserve"> 分</w:t>
      </w:r>
      <w:r>
        <w:rPr>
          <w:rFonts w:hint="eastAsia" w:ascii="宋体" w:hAnsi="宋体" w:eastAsia="宋体" w:cs="宋体"/>
          <w:i w:val="0"/>
          <w:iCs w:val="0"/>
          <w:caps w:val="0"/>
          <w:color w:val="auto"/>
          <w:spacing w:val="0"/>
          <w:sz w:val="24"/>
          <w:szCs w:val="24"/>
          <w:highlight w:val="none"/>
          <w:shd w:val="clear" w:color="auto" w:fill="FFFFFF"/>
        </w:rPr>
        <w:t>（北京时间）</w:t>
      </w:r>
      <w:r>
        <w:rPr>
          <w:rFonts w:hint="eastAsia" w:ascii="宋体" w:hAnsi="宋体" w:eastAsia="宋体" w:cs="宋体"/>
          <w:color w:val="auto"/>
          <w:sz w:val="24"/>
          <w:szCs w:val="24"/>
          <w:highlight w:val="none"/>
        </w:rPr>
        <w:t>。</w:t>
      </w:r>
      <w:bookmarkEnd w:id="20"/>
      <w:bookmarkEnd w:id="21"/>
      <w:bookmarkEnd w:id="22"/>
    </w:p>
    <w:p w14:paraId="3A22521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val="en-US" w:eastAsia="zh-CN"/>
        </w:rPr>
        <w:t>“苏采云”政府采购交易系统网上开标大厅。</w:t>
      </w:r>
    </w:p>
    <w:p w14:paraId="39FC122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20" w:lineRule="exact"/>
        <w:ind w:right="0" w:firstLine="482"/>
        <w:jc w:val="both"/>
        <w:rPr>
          <w:rFonts w:hint="eastAsia" w:ascii="宋体" w:hAnsi="宋体" w:eastAsia="宋体" w:cs="宋体"/>
          <w:b/>
          <w:bCs w:val="0"/>
          <w:color w:val="auto"/>
          <w:sz w:val="24"/>
          <w:szCs w:val="24"/>
          <w:highlight w:val="none"/>
          <w:lang w:val="en-US" w:eastAsia="zh-CN" w:bidi="ar-SA"/>
        </w:rPr>
      </w:pPr>
      <w:bookmarkStart w:id="23" w:name="_Toc28359094"/>
      <w:r>
        <w:rPr>
          <w:rFonts w:hint="eastAsia" w:ascii="宋体" w:hAnsi="宋体" w:eastAsia="宋体" w:cs="宋体"/>
          <w:b/>
          <w:bCs w:val="0"/>
          <w:color w:val="auto"/>
          <w:sz w:val="24"/>
          <w:szCs w:val="24"/>
          <w:highlight w:val="none"/>
          <w:lang w:val="en-US" w:eastAsia="zh-CN" w:bidi="ar-SA"/>
        </w:rPr>
        <w:t>六、公告期限</w:t>
      </w:r>
      <w:bookmarkEnd w:id="23"/>
    </w:p>
    <w:p w14:paraId="3EC74C9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56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w:t>
      </w: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个工作日。</w:t>
      </w:r>
    </w:p>
    <w:p w14:paraId="30F716A1">
      <w:pPr>
        <w:pStyle w:val="33"/>
        <w:keepNext/>
        <w:keepLines/>
        <w:pageBreakBefore w:val="0"/>
        <w:spacing w:beforeAutospacing="0" w:afterAutospacing="0" w:line="520" w:lineRule="exact"/>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、其他补充事宜</w:t>
      </w:r>
    </w:p>
    <w:p w14:paraId="72FDB1F4">
      <w:pPr>
        <w:pageBreakBefore w:val="0"/>
        <w:widowControl/>
        <w:spacing w:line="520" w:lineRule="exact"/>
        <w:ind w:firstLine="480"/>
        <w:jc w:val="left"/>
        <w:rPr>
          <w:rFonts w:hint="eastAsia" w:ascii="宋体" w:hAnsi="宋体" w:eastAsia="宋体" w:cs="宋体"/>
          <w:color w:val="auto"/>
          <w:sz w:val="24"/>
          <w:szCs w:val="20"/>
          <w:highlight w:val="none"/>
        </w:rPr>
      </w:pPr>
      <w:bookmarkStart w:id="24" w:name="_Toc28359018"/>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本项目需要使用CA数字证书制作、上传电子投标文件完成电子投标，请供应商在参加投标活动前办理好CA数字证书申领及电子签章等操作。</w:t>
      </w:r>
    </w:p>
    <w:p w14:paraId="6623927A">
      <w:pPr>
        <w:pageBreakBefore w:val="0"/>
        <w:widowControl/>
        <w:spacing w:line="520" w:lineRule="exact"/>
        <w:ind w:firstLine="480"/>
        <w:jc w:val="left"/>
        <w:rPr>
          <w:rFonts w:hint="eastAsia" w:ascii="宋体" w:hAnsi="宋体" w:eastAsia="宋体" w:cs="宋体"/>
          <w:b/>
          <w:bCs/>
          <w:color w:val="auto"/>
          <w:szCs w:val="20"/>
          <w:highlight w:val="none"/>
        </w:rPr>
      </w:pP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本项目采用“全流程电子化不见面”开标模式</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投标人登录苏采云系统，点击开标大厅，选择开标项目，完成不见面开标流程。</w:t>
      </w:r>
    </w:p>
    <w:p w14:paraId="47154C49">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潜在供应商访问电子招标响应交易平台的网络地址和方法：“苏采云”系统用户注册--获取“CA数字证书”--CA绑定与登陆--网上报名--下载采购文件（后缀名为“.kedt”）--将后缀名为“.kedt”的采购文件导入政府采购客户端工具--制作响应文件--导出加密的响应文件（后缀名为zip）--通过“苏采云”系统上传响应文件。</w:t>
      </w:r>
    </w:p>
    <w:p w14:paraId="48036DCA">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具体见《江苏省政府采购管理交易系统（苏采云）供应商操作手册》（手册下载地址：http://czj.yancheng.gov.cn/art/2023/9/14/art_2407_4057499.html）；</w:t>
      </w:r>
    </w:p>
    <w:p w14:paraId="5F871745">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潜在供应商访问“苏采云”系统的网络地址和方法：“苏采云”系统的网址：http://jszfcg.jsczt.cn/jszc/login；</w:t>
      </w:r>
    </w:p>
    <w:p w14:paraId="19A261D6">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CA数字证书”的获取：供应商需办理CA锁，“苏采云”系统目前支持政务CA，省内各地区办理的用于“苏采云”平台的政务CA全省通用。“CA数字证书”的办理地点及联系方式（亭湖区政务服务中心二楼226窗口，联系电话：15051556883，办理邮箱：yancheng@ideabank.net.cn）；</w:t>
      </w:r>
    </w:p>
    <w:p w14:paraId="50B9420D">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采购文件及政府采购客户端工具可通过“苏采云”系统--已报名项目--报名详情页面内相应链接进行下载；</w:t>
      </w:r>
    </w:p>
    <w:p w14:paraId="40E6F129">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rPr>
        <w:t>采购文件将采用数据电文形式加载至“苏采云”系统，供潜在供应商下载或者查阅；</w:t>
      </w:r>
    </w:p>
    <w:p w14:paraId="04AF5151">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有关本次招标的事项若存在变动或修改，敬请及时关注采购代理机构在</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中国政府采购网</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“江苏政府采购网”</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盐城市政府采购网</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发布的更正公告。</w:t>
      </w:r>
    </w:p>
    <w:p w14:paraId="1FFDA78C">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9、</w:t>
      </w:r>
      <w:r>
        <w:rPr>
          <w:rFonts w:hint="eastAsia" w:ascii="宋体" w:hAnsi="宋体" w:eastAsia="宋体" w:cs="宋体"/>
          <w:color w:val="auto"/>
          <w:sz w:val="24"/>
          <w:szCs w:val="20"/>
          <w:highlight w:val="none"/>
        </w:rPr>
        <w:t>本次招标不收取投标保证金。</w:t>
      </w:r>
    </w:p>
    <w:p w14:paraId="78E3F286">
      <w:pPr>
        <w:pageBreakBefore w:val="0"/>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eastAsia="宋体" w:cs="宋体"/>
          <w:color w:val="auto"/>
          <w:sz w:val="24"/>
          <w:szCs w:val="20"/>
          <w:highlight w:val="none"/>
          <w:lang w:val="en-US" w:eastAsia="zh-CN"/>
        </w:rPr>
        <w:t>0</w:t>
      </w:r>
      <w:r>
        <w:rPr>
          <w:rFonts w:hint="eastAsia" w:ascii="宋体" w:hAnsi="宋体" w:eastAsia="宋体" w:cs="宋体"/>
          <w:color w:val="auto"/>
          <w:sz w:val="24"/>
          <w:szCs w:val="20"/>
          <w:highlight w:val="none"/>
        </w:rPr>
        <w:t>、电子投标文件一份(通过系统提交)；纸质投标文件正本一份，副本二份（评审结束后由中标候选人邮寄至采购代理机构，未中标单位不需要提供）。</w:t>
      </w:r>
    </w:p>
    <w:p w14:paraId="4D678354">
      <w:pPr>
        <w:pageBreakBefore w:val="0"/>
        <w:widowControl/>
        <w:spacing w:line="520" w:lineRule="exact"/>
        <w:ind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、投标人存在串通投标、以他人名义投标、弄虚作假等违法违规行为，或者无正当理由放弃投标、中标资格，造成项目招标失败的，不得参加该项目重新招标的投标。</w:t>
      </w:r>
    </w:p>
    <w:p w14:paraId="6E0034C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20" w:lineRule="exact"/>
        <w:ind w:left="0" w:right="0" w:firstLine="482"/>
        <w:jc w:val="both"/>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注意事项：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7A8E37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20" w:lineRule="exact"/>
        <w:ind w:left="0" w:right="0" w:firstLine="482"/>
        <w:jc w:val="both"/>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八、凡对本次采购提出询问，请按以下方式联系。</w:t>
      </w:r>
      <w:bookmarkEnd w:id="24"/>
    </w:p>
    <w:p w14:paraId="5BF3E17F">
      <w:pPr>
        <w:keepNext w:val="0"/>
        <w:keepLines w:val="0"/>
        <w:pageBreakBefore w:val="0"/>
        <w:widowControl w:val="0"/>
        <w:spacing w:line="520" w:lineRule="exact"/>
        <w:ind w:left="0" w:firstLine="480"/>
        <w:rPr>
          <w:rFonts w:hint="eastAsia" w:ascii="宋体" w:hAnsi="宋体" w:eastAsia="宋体" w:cs="宋体"/>
          <w:color w:val="auto"/>
          <w:sz w:val="24"/>
          <w:szCs w:val="24"/>
          <w:highlight w:val="none"/>
        </w:rPr>
      </w:pPr>
      <w:bookmarkStart w:id="25" w:name="_Toc35393806"/>
      <w:bookmarkStart w:id="26" w:name="_Toc28359019"/>
      <w:bookmarkStart w:id="27" w:name="_Toc28359096"/>
      <w:bookmarkStart w:id="28" w:name="_Toc35393637"/>
      <w:r>
        <w:rPr>
          <w:rFonts w:hint="eastAsia" w:ascii="宋体" w:hAnsi="宋体" w:eastAsia="宋体" w:cs="宋体"/>
          <w:color w:val="auto"/>
          <w:sz w:val="24"/>
          <w:szCs w:val="24"/>
          <w:highlight w:val="none"/>
        </w:rPr>
        <w:t>1.采购人信息</w:t>
      </w:r>
      <w:bookmarkEnd w:id="25"/>
      <w:bookmarkEnd w:id="26"/>
      <w:bookmarkEnd w:id="27"/>
      <w:bookmarkEnd w:id="28"/>
    </w:p>
    <w:p w14:paraId="4E9737F6">
      <w:pPr>
        <w:keepNext w:val="0"/>
        <w:keepLines w:val="0"/>
        <w:pageBreakBefore w:val="0"/>
        <w:widowControl w:val="0"/>
        <w:spacing w:line="52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射阳县残疾人联合会</w:t>
      </w:r>
    </w:p>
    <w:p w14:paraId="17DBA506">
      <w:pPr>
        <w:keepNext w:val="0"/>
        <w:keepLines w:val="0"/>
        <w:pageBreakBefore w:val="0"/>
        <w:widowControl w:val="0"/>
        <w:spacing w:line="52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址：射阳县合德镇解放东路</w:t>
      </w:r>
    </w:p>
    <w:p w14:paraId="555BCD84">
      <w:pPr>
        <w:keepNext w:val="0"/>
        <w:keepLines w:val="0"/>
        <w:pageBreakBefore w:val="0"/>
        <w:widowControl w:val="0"/>
        <w:spacing w:line="520" w:lineRule="exact"/>
        <w:ind w:lef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 系 人：</w:t>
      </w:r>
      <w:r>
        <w:rPr>
          <w:rFonts w:hint="eastAsia" w:hAnsi="宋体" w:cs="宋体"/>
          <w:color w:val="auto"/>
          <w:sz w:val="24"/>
          <w:szCs w:val="24"/>
          <w:highlight w:val="none"/>
          <w:u w:val="none"/>
          <w:lang w:val="en-US" w:eastAsia="zh-CN"/>
        </w:rPr>
        <w:t>朱主任</w:t>
      </w:r>
    </w:p>
    <w:p w14:paraId="54687DC6">
      <w:pPr>
        <w:keepNext w:val="0"/>
        <w:keepLines w:val="0"/>
        <w:pageBreakBefore w:val="0"/>
        <w:widowControl w:val="0"/>
        <w:spacing w:line="520" w:lineRule="exact"/>
        <w:ind w:left="0" w:firstLine="480"/>
        <w:rPr>
          <w:rFonts w:hint="default" w:ascii="宋体" w:hAnsi="宋体" w:eastAsia="宋体" w:cs="宋体"/>
          <w:color w:val="auto"/>
          <w:sz w:val="24"/>
          <w:highlight w:val="none"/>
          <w:u w:val="none"/>
          <w:lang w:val="en-US" w:eastAsia="zh-CN"/>
        </w:rPr>
      </w:pPr>
      <w:r>
        <w:rPr>
          <w:rFonts w:hint="eastAsia" w:ascii="宋体" w:hAnsi="宋体" w:eastAsia="宋体" w:cs="宋体"/>
          <w:color w:val="auto"/>
          <w:sz w:val="24"/>
          <w:szCs w:val="24"/>
          <w:highlight w:val="none"/>
        </w:rPr>
        <w:t>联系方式：</w:t>
      </w:r>
      <w:bookmarkStart w:id="29" w:name="_Toc28359097"/>
      <w:bookmarkStart w:id="30" w:name="_Toc35393638"/>
      <w:bookmarkStart w:id="31" w:name="_Toc28359020"/>
      <w:bookmarkStart w:id="32" w:name="_Toc35393807"/>
      <w:r>
        <w:rPr>
          <w:rFonts w:hint="eastAsia" w:ascii="宋体" w:hAnsi="宋体" w:eastAsia="宋体" w:cs="宋体"/>
          <w:color w:val="auto"/>
          <w:sz w:val="24"/>
          <w:highlight w:val="none"/>
          <w:u w:val="none"/>
          <w:lang w:val="en-US" w:eastAsia="zh-CN"/>
        </w:rPr>
        <w:t>18105115088</w:t>
      </w:r>
    </w:p>
    <w:p w14:paraId="67F02440">
      <w:pPr>
        <w:keepNext w:val="0"/>
        <w:keepLines w:val="0"/>
        <w:pageBreakBefore w:val="0"/>
        <w:widowControl w:val="0"/>
        <w:spacing w:line="52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bookmarkEnd w:id="29"/>
      <w:bookmarkEnd w:id="30"/>
      <w:bookmarkEnd w:id="31"/>
      <w:bookmarkEnd w:id="32"/>
    </w:p>
    <w:p w14:paraId="1432AB71">
      <w:pPr>
        <w:keepNext w:val="0"/>
        <w:keepLines w:val="0"/>
        <w:pageBreakBefore w:val="0"/>
        <w:widowControl w:val="0"/>
        <w:spacing w:line="520" w:lineRule="exact"/>
        <w:ind w:left="0" w:firstLine="480"/>
        <w:rPr>
          <w:rFonts w:hint="eastAsia" w:ascii="宋体" w:hAnsi="宋体" w:eastAsia="宋体" w:cs="宋体"/>
          <w:color w:val="auto"/>
          <w:sz w:val="24"/>
          <w:szCs w:val="24"/>
          <w:highlight w:val="none"/>
        </w:rPr>
      </w:pPr>
      <w:bookmarkStart w:id="33" w:name="_Toc35393808"/>
      <w:bookmarkStart w:id="34" w:name="_Toc28359098"/>
      <w:bookmarkStart w:id="35" w:name="_Toc28359021"/>
      <w:bookmarkStart w:id="36" w:name="_Toc35393639"/>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江苏华恒工程项目咨询管理有限公司</w:t>
      </w:r>
      <w:r>
        <w:rPr>
          <w:rFonts w:hint="eastAsia" w:ascii="宋体" w:hAnsi="宋体" w:eastAsia="宋体" w:cs="宋体"/>
          <w:color w:val="auto"/>
          <w:sz w:val="24"/>
          <w:szCs w:val="24"/>
          <w:highlight w:val="none"/>
        </w:rPr>
        <w:t xml:space="preserve"> </w:t>
      </w:r>
    </w:p>
    <w:p w14:paraId="25491DD8">
      <w:pPr>
        <w:keepNext w:val="0"/>
        <w:keepLines w:val="0"/>
        <w:pageBreakBefore w:val="0"/>
        <w:widowControl w:val="0"/>
        <w:spacing w:line="520" w:lineRule="exact"/>
        <w:ind w:left="0" w:firstLine="48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rPr>
        <w:t>地　  址：射阳县</w:t>
      </w:r>
      <w:r>
        <w:rPr>
          <w:rFonts w:hint="eastAsia" w:ascii="宋体" w:hAnsi="宋体" w:eastAsia="宋体" w:cs="宋体"/>
          <w:color w:val="auto"/>
          <w:sz w:val="24"/>
          <w:szCs w:val="24"/>
          <w:highlight w:val="none"/>
          <w:lang w:val="en-US" w:eastAsia="zh-CN"/>
        </w:rPr>
        <w:t>建工大厦9楼</w:t>
      </w:r>
    </w:p>
    <w:p w14:paraId="09903A71">
      <w:pPr>
        <w:keepNext w:val="0"/>
        <w:keepLines w:val="0"/>
        <w:pageBreakBefore w:val="0"/>
        <w:widowControl w:val="0"/>
        <w:spacing w:line="520" w:lineRule="exact"/>
        <w:ind w:left="0"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13851152972</w:t>
      </w:r>
      <w:r>
        <w:rPr>
          <w:rFonts w:hint="eastAsia" w:ascii="宋体" w:hAnsi="宋体" w:eastAsia="宋体" w:cs="宋体"/>
          <w:color w:val="auto"/>
          <w:sz w:val="24"/>
          <w:szCs w:val="24"/>
          <w:highlight w:val="none"/>
        </w:rPr>
        <w:t xml:space="preserve"> </w:t>
      </w:r>
    </w:p>
    <w:p w14:paraId="12431CF5">
      <w:pPr>
        <w:keepNext w:val="0"/>
        <w:keepLines w:val="0"/>
        <w:pageBreakBefore w:val="0"/>
        <w:widowControl w:val="0"/>
        <w:spacing w:line="52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bookmarkEnd w:id="33"/>
      <w:bookmarkEnd w:id="34"/>
      <w:bookmarkEnd w:id="35"/>
      <w:bookmarkEnd w:id="36"/>
    </w:p>
    <w:p w14:paraId="44FCFEB9">
      <w:pPr>
        <w:keepNext w:val="0"/>
        <w:keepLines w:val="0"/>
        <w:pageBreakBefore w:val="0"/>
        <w:widowControl w:val="0"/>
        <w:spacing w:line="52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w:t>
      </w:r>
      <w:r>
        <w:rPr>
          <w:rFonts w:hint="eastAsia" w:hAnsi="宋体" w:cs="宋体"/>
          <w:color w:val="auto"/>
          <w:sz w:val="24"/>
          <w:szCs w:val="24"/>
          <w:highlight w:val="none"/>
          <w:u w:val="none"/>
          <w:lang w:val="en-US" w:eastAsia="zh-CN"/>
        </w:rPr>
        <w:t>朱主任</w:t>
      </w:r>
    </w:p>
    <w:p w14:paraId="4C401742">
      <w:pPr>
        <w:keepNext w:val="0"/>
        <w:keepLines w:val="0"/>
        <w:pageBreakBefore w:val="0"/>
        <w:widowControl w:val="0"/>
        <w:spacing w:line="52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highlight w:val="none"/>
          <w:u w:val="none"/>
          <w:lang w:val="en-US" w:eastAsia="zh-CN"/>
        </w:rPr>
        <w:t>18105115088</w:t>
      </w:r>
    </w:p>
    <w:p w14:paraId="63ECD26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20" w:lineRule="exact"/>
        <w:ind w:left="0" w:right="0" w:firstLine="560"/>
        <w:jc w:val="both"/>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w:t>
      </w:r>
    </w:p>
    <w:p w14:paraId="4346DC7D">
      <w:pPr>
        <w:rPr>
          <w:rFonts w:hint="eastAsia" w:ascii="宋体" w:hAnsi="宋体" w:eastAsia="宋体" w:cs="宋体"/>
          <w:color w:val="auto"/>
          <w:highlight w:val="none"/>
        </w:rPr>
      </w:pPr>
      <w:r>
        <w:rPr>
          <w:rFonts w:hint="eastAsia" w:ascii="宋体" w:hAnsi="宋体" w:eastAsia="宋体" w:cs="宋体"/>
          <w:b/>
          <w:color w:val="auto"/>
          <w:sz w:val="28"/>
          <w:szCs w:val="28"/>
          <w:highlight w:val="none"/>
        </w:rPr>
        <w:br w:type="page" w:clear="all"/>
      </w:r>
    </w:p>
    <w:p w14:paraId="3E3481AF">
      <w:pPr>
        <w:pStyle w:val="33"/>
        <w:keepNext/>
        <w:keepLines/>
        <w:spacing w:before="260" w:beforeAutospacing="0" w:after="260" w:afterAutospacing="0" w:line="415" w:lineRule="auto"/>
        <w:jc w:val="center"/>
        <w:outlineLvl w:val="0"/>
        <w:rPr>
          <w:rFonts w:hint="eastAsia" w:ascii="宋体" w:hAnsi="宋体" w:eastAsia="宋体" w:cs="宋体"/>
          <w:color w:val="auto"/>
          <w:highlight w:val="none"/>
        </w:rPr>
      </w:pPr>
      <w:bookmarkStart w:id="37" w:name="_Toc120614211"/>
      <w:bookmarkStart w:id="38" w:name="_Toc26370"/>
      <w:r>
        <w:rPr>
          <w:rFonts w:hint="eastAsia" w:ascii="宋体" w:hAnsi="宋体" w:eastAsia="宋体" w:cs="宋体"/>
          <w:b/>
          <w:color w:val="auto"/>
          <w:sz w:val="44"/>
          <w:szCs w:val="44"/>
          <w:highlight w:val="none"/>
        </w:rPr>
        <w:t xml:space="preserve">第二章  </w:t>
      </w:r>
      <w:bookmarkEnd w:id="37"/>
      <w:r>
        <w:rPr>
          <w:rFonts w:hint="eastAsia" w:ascii="宋体" w:hAnsi="宋体" w:eastAsia="宋体" w:cs="宋体"/>
          <w:b/>
          <w:color w:val="auto"/>
          <w:sz w:val="44"/>
          <w:szCs w:val="44"/>
          <w:highlight w:val="none"/>
        </w:rPr>
        <w:t>供应商须知</w:t>
      </w:r>
      <w:bookmarkEnd w:id="38"/>
    </w:p>
    <w:p w14:paraId="4CB31E30">
      <w:pPr>
        <w:pStyle w:val="33"/>
        <w:keepNext/>
        <w:keepLines/>
        <w:pageBreakBefore w:val="0"/>
        <w:widowControl w:val="0"/>
        <w:spacing w:beforeAutospacing="0" w:afterAutospacing="0" w:line="500" w:lineRule="exact"/>
        <w:ind w:firstLine="498"/>
        <w:jc w:val="both"/>
        <w:rPr>
          <w:rFonts w:hint="eastAsia" w:ascii="宋体" w:hAnsi="宋体" w:eastAsia="宋体" w:cs="宋体"/>
          <w:color w:val="auto"/>
          <w:sz w:val="24"/>
          <w:szCs w:val="24"/>
          <w:highlight w:val="none"/>
        </w:rPr>
      </w:pPr>
      <w:bookmarkStart w:id="39" w:name="_Toc120614214"/>
      <w:bookmarkStart w:id="40" w:name="_Toc20823275"/>
      <w:bookmarkStart w:id="41" w:name="_Toc513029203"/>
      <w:bookmarkStart w:id="42" w:name="_Toc16938519"/>
      <w:r>
        <w:rPr>
          <w:rFonts w:hint="eastAsia" w:ascii="宋体" w:hAnsi="宋体" w:eastAsia="宋体" w:cs="宋体"/>
          <w:b/>
          <w:color w:val="auto"/>
          <w:sz w:val="24"/>
          <w:szCs w:val="24"/>
          <w:highlight w:val="none"/>
        </w:rPr>
        <w:t>一、总则</w:t>
      </w:r>
      <w:bookmarkEnd w:id="39"/>
      <w:bookmarkEnd w:id="40"/>
      <w:bookmarkEnd w:id="41"/>
      <w:bookmarkEnd w:id="42"/>
    </w:p>
    <w:p w14:paraId="1F3557B2">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43" w:name="_Toc20823276"/>
      <w:bookmarkStart w:id="44" w:name="_Toc513029204"/>
      <w:bookmarkStart w:id="45" w:name="_Toc16938520"/>
      <w:bookmarkStart w:id="46" w:name="_Toc458694821"/>
      <w:bookmarkStart w:id="47" w:name="_Hlt16619475"/>
      <w:r>
        <w:rPr>
          <w:rFonts w:hint="eastAsia" w:ascii="宋体" w:hAnsi="宋体" w:eastAsia="宋体" w:cs="宋体"/>
          <w:color w:val="auto"/>
          <w:sz w:val="24"/>
          <w:szCs w:val="24"/>
          <w:highlight w:val="none"/>
        </w:rPr>
        <w:t>1</w:t>
      </w:r>
      <w:bookmarkEnd w:id="43"/>
      <w:r>
        <w:rPr>
          <w:rFonts w:hint="eastAsia" w:ascii="宋体" w:hAnsi="宋体" w:eastAsia="宋体" w:cs="宋体"/>
          <w:color w:val="auto"/>
          <w:sz w:val="24"/>
          <w:szCs w:val="24"/>
          <w:highlight w:val="none"/>
        </w:rPr>
        <w:t>、采购方式</w:t>
      </w:r>
      <w:bookmarkEnd w:id="44"/>
      <w:bookmarkEnd w:id="45"/>
      <w:bookmarkEnd w:id="46"/>
    </w:p>
    <w:p w14:paraId="649B52F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4C488B40">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48" w:name="_Toc513029205"/>
      <w:bookmarkStart w:id="49" w:name="_Toc20823277"/>
      <w:bookmarkStart w:id="50" w:name="_Toc16938521"/>
      <w:r>
        <w:rPr>
          <w:rFonts w:hint="eastAsia" w:ascii="宋体" w:hAnsi="宋体" w:eastAsia="宋体" w:cs="宋体"/>
          <w:color w:val="auto"/>
          <w:sz w:val="24"/>
          <w:szCs w:val="24"/>
          <w:highlight w:val="none"/>
        </w:rPr>
        <w:t>2、合格的</w:t>
      </w:r>
      <w:bookmarkEnd w:id="48"/>
      <w:bookmarkEnd w:id="49"/>
      <w:bookmarkEnd w:id="50"/>
      <w:r>
        <w:rPr>
          <w:rFonts w:hint="eastAsia" w:ascii="宋体" w:hAnsi="宋体" w:eastAsia="宋体" w:cs="宋体"/>
          <w:color w:val="auto"/>
          <w:sz w:val="24"/>
          <w:szCs w:val="24"/>
          <w:highlight w:val="none"/>
        </w:rPr>
        <w:t>供应商</w:t>
      </w:r>
    </w:p>
    <w:p w14:paraId="4687E14E">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4D59F00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1616C1F2">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51" w:name="_Toc513029206"/>
      <w:bookmarkStart w:id="52" w:name="_Toc16938522"/>
      <w:bookmarkStart w:id="53" w:name="_Toc20823278"/>
      <w:r>
        <w:rPr>
          <w:rFonts w:hint="eastAsia" w:ascii="宋体" w:hAnsi="宋体" w:eastAsia="宋体" w:cs="宋体"/>
          <w:color w:val="auto"/>
          <w:sz w:val="24"/>
          <w:szCs w:val="24"/>
          <w:highlight w:val="none"/>
        </w:rPr>
        <w:t>3、适用法律</w:t>
      </w:r>
      <w:bookmarkEnd w:id="51"/>
      <w:bookmarkEnd w:id="52"/>
      <w:bookmarkEnd w:id="53"/>
    </w:p>
    <w:p w14:paraId="2BA29C67">
      <w:pPr>
        <w:pStyle w:val="33"/>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0A7DEF01">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54" w:name="_Toc20823279"/>
      <w:bookmarkStart w:id="55" w:name="_Toc462564067"/>
      <w:bookmarkStart w:id="56" w:name="_Toc16938523"/>
      <w:bookmarkStart w:id="57" w:name="_Toc513029207"/>
      <w:r>
        <w:rPr>
          <w:rFonts w:hint="eastAsia" w:ascii="宋体" w:hAnsi="宋体" w:eastAsia="宋体" w:cs="宋体"/>
          <w:color w:val="auto"/>
          <w:sz w:val="24"/>
          <w:szCs w:val="24"/>
          <w:highlight w:val="none"/>
        </w:rPr>
        <w:t>4、磋商费用</w:t>
      </w:r>
      <w:bookmarkEnd w:id="54"/>
      <w:bookmarkEnd w:id="55"/>
      <w:bookmarkEnd w:id="56"/>
      <w:bookmarkEnd w:id="57"/>
    </w:p>
    <w:p w14:paraId="7CEE1BC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在任何情况下均无义务和责任承担这些费用。</w:t>
      </w:r>
    </w:p>
    <w:p w14:paraId="7F3EA06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r>
        <w:rPr>
          <w:rFonts w:hint="eastAsia" w:ascii="宋体" w:hAnsi="宋体" w:eastAsia="宋体" w:cs="宋体"/>
          <w:b/>
          <w:bCs/>
          <w:color w:val="auto"/>
          <w:sz w:val="24"/>
          <w:szCs w:val="24"/>
          <w:highlight w:val="none"/>
        </w:rPr>
        <w:t>本项目采购代理服务费用按《江苏省政府采购代理服务收费指导意见》（苏政采协【2024】20号）收费标准进行计取。由成交供应商在领取成交通知书前向招标代理机构一次性支付（本条不单独列表报价，自行综合考虑在投标报价中）。</w:t>
      </w:r>
    </w:p>
    <w:p w14:paraId="5CF4F73B">
      <w:pPr>
        <w:pStyle w:val="33"/>
        <w:keepNext/>
        <w:keepLines/>
        <w:pageBreakBefore w:val="0"/>
        <w:widowControl w:val="0"/>
        <w:spacing w:beforeAutospacing="0" w:afterAutospacing="0" w:line="500" w:lineRule="exact"/>
        <w:ind w:firstLine="301"/>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color w:val="auto"/>
          <w:sz w:val="24"/>
          <w:szCs w:val="24"/>
          <w:highlight w:val="none"/>
        </w:rPr>
        <w:t>磋商文件的约束力</w:t>
      </w:r>
    </w:p>
    <w:p w14:paraId="2AFA973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2BCED254">
      <w:pPr>
        <w:pStyle w:val="33"/>
        <w:keepNext/>
        <w:keepLines/>
        <w:pageBreakBefore w:val="0"/>
        <w:widowControl w:val="0"/>
        <w:spacing w:beforeAutospacing="0" w:afterAutospacing="0" w:line="500" w:lineRule="exact"/>
        <w:ind w:firstLine="321"/>
        <w:jc w:val="both"/>
        <w:rPr>
          <w:rFonts w:hint="eastAsia" w:ascii="宋体" w:hAnsi="宋体" w:eastAsia="宋体" w:cs="宋体"/>
          <w:color w:val="auto"/>
          <w:sz w:val="24"/>
          <w:szCs w:val="24"/>
          <w:highlight w:val="none"/>
        </w:rPr>
      </w:pPr>
      <w:bookmarkStart w:id="58" w:name="_Toc120614215"/>
      <w:bookmarkStart w:id="59" w:name="_Toc20823281"/>
      <w:bookmarkStart w:id="60" w:name="_Toc16938525"/>
      <w:bookmarkStart w:id="61" w:name="_Toc513029209"/>
      <w:r>
        <w:rPr>
          <w:rFonts w:hint="eastAsia" w:ascii="宋体" w:hAnsi="宋体" w:eastAsia="宋体" w:cs="宋体"/>
          <w:b/>
          <w:color w:val="auto"/>
          <w:sz w:val="24"/>
          <w:szCs w:val="24"/>
          <w:highlight w:val="none"/>
        </w:rPr>
        <w:t>二、</w:t>
      </w:r>
      <w:bookmarkEnd w:id="58"/>
      <w:bookmarkEnd w:id="59"/>
      <w:bookmarkEnd w:id="60"/>
      <w:bookmarkEnd w:id="61"/>
      <w:r>
        <w:rPr>
          <w:rFonts w:hint="eastAsia" w:ascii="宋体" w:hAnsi="宋体" w:eastAsia="宋体" w:cs="宋体"/>
          <w:b/>
          <w:color w:val="auto"/>
          <w:sz w:val="24"/>
          <w:szCs w:val="24"/>
          <w:highlight w:val="none"/>
        </w:rPr>
        <w:t>磋商文件</w:t>
      </w:r>
    </w:p>
    <w:p w14:paraId="60341134">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62" w:name="_Toc16938526"/>
      <w:bookmarkStart w:id="63" w:name="_Toc20823282"/>
      <w:bookmarkStart w:id="64" w:name="_Toc513029210"/>
      <w:r>
        <w:rPr>
          <w:rFonts w:hint="eastAsia" w:ascii="宋体" w:hAnsi="宋体" w:eastAsia="宋体" w:cs="宋体"/>
          <w:color w:val="auto"/>
          <w:sz w:val="24"/>
          <w:szCs w:val="24"/>
          <w:highlight w:val="none"/>
        </w:rPr>
        <w:t>6、磋商文件构成</w:t>
      </w:r>
      <w:bookmarkEnd w:id="62"/>
      <w:bookmarkEnd w:id="63"/>
      <w:bookmarkEnd w:id="64"/>
    </w:p>
    <w:p w14:paraId="5B6FA52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6B983B56">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244E51BF">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6A7BFC64">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33E46250">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122C65C">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08C2E428">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7C635DF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联系解决。</w:t>
      </w:r>
    </w:p>
    <w:p w14:paraId="4D959D9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8669481">
      <w:pPr>
        <w:pStyle w:val="33"/>
        <w:keepNext/>
        <w:keepLines/>
        <w:pageBreakBefore w:val="0"/>
        <w:widowControl w:val="0"/>
        <w:spacing w:beforeAutospacing="0" w:afterAutospacing="0" w:line="500" w:lineRule="exact"/>
        <w:ind w:firstLine="560"/>
        <w:jc w:val="both"/>
        <w:rPr>
          <w:rFonts w:hint="eastAsia" w:ascii="宋体" w:hAnsi="宋体" w:eastAsia="宋体" w:cs="宋体"/>
          <w:color w:val="auto"/>
          <w:sz w:val="24"/>
          <w:szCs w:val="24"/>
          <w:highlight w:val="none"/>
        </w:rPr>
      </w:pPr>
      <w:bookmarkStart w:id="65" w:name="_Toc513029211"/>
      <w:bookmarkStart w:id="66" w:name="_Toc462564070"/>
      <w:bookmarkStart w:id="67" w:name="_Toc16938527"/>
      <w:bookmarkStart w:id="68" w:name="_Toc20823283"/>
      <w:r>
        <w:rPr>
          <w:rFonts w:hint="eastAsia" w:ascii="宋体" w:hAnsi="宋体" w:eastAsia="宋体" w:cs="宋体"/>
          <w:color w:val="auto"/>
          <w:sz w:val="24"/>
          <w:szCs w:val="24"/>
          <w:highlight w:val="none"/>
        </w:rPr>
        <w:t>7、磋商文件的澄清</w:t>
      </w:r>
      <w:bookmarkEnd w:id="65"/>
      <w:bookmarkEnd w:id="66"/>
      <w:bookmarkEnd w:id="67"/>
      <w:bookmarkEnd w:id="68"/>
    </w:p>
    <w:p w14:paraId="0FEB443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w:t>
      </w:r>
    </w:p>
    <w:p w14:paraId="6644947E">
      <w:pPr>
        <w:pStyle w:val="33"/>
        <w:keepNext/>
        <w:keepLines/>
        <w:pageBreakBefore w:val="0"/>
        <w:widowControl w:val="0"/>
        <w:spacing w:beforeAutospacing="0" w:afterAutospacing="0" w:line="500" w:lineRule="exact"/>
        <w:ind w:firstLine="560"/>
        <w:jc w:val="both"/>
        <w:rPr>
          <w:rFonts w:hint="eastAsia" w:ascii="宋体" w:hAnsi="宋体" w:eastAsia="宋体" w:cs="宋体"/>
          <w:color w:val="auto"/>
          <w:sz w:val="24"/>
          <w:szCs w:val="24"/>
          <w:highlight w:val="none"/>
        </w:rPr>
      </w:pPr>
      <w:bookmarkStart w:id="69" w:name="_Toc462564071"/>
      <w:bookmarkStart w:id="70" w:name="_Toc16938528"/>
      <w:bookmarkStart w:id="71" w:name="_Toc513029212"/>
      <w:bookmarkStart w:id="72" w:name="_Toc20823284"/>
      <w:r>
        <w:rPr>
          <w:rFonts w:hint="eastAsia" w:ascii="宋体" w:hAnsi="宋体" w:eastAsia="宋体" w:cs="宋体"/>
          <w:color w:val="auto"/>
          <w:sz w:val="24"/>
          <w:szCs w:val="24"/>
          <w:highlight w:val="none"/>
        </w:rPr>
        <w:t>8、磋商文件的澄清和修改</w:t>
      </w:r>
      <w:bookmarkEnd w:id="69"/>
      <w:bookmarkEnd w:id="70"/>
      <w:bookmarkEnd w:id="71"/>
      <w:bookmarkEnd w:id="72"/>
    </w:p>
    <w:p w14:paraId="7CEBF80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可以对磋商文件进行澄清和修改,澄清或者修改的内容作为磋商文件的组成部分。澄清或者修改的内容可能影响响应文件编制的，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将顺延提交首次响应文件截止时间。</w:t>
      </w:r>
    </w:p>
    <w:p w14:paraId="68742DA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29C08B1A">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73" w:name="_Toc462564072"/>
      <w:bookmarkStart w:id="74" w:name="_Toc16938529"/>
      <w:bookmarkStart w:id="75" w:name="_Toc20823285"/>
      <w:bookmarkStart w:id="76" w:name="_Toc513029213"/>
      <w:bookmarkStart w:id="77" w:name="_Toc120614216"/>
      <w:r>
        <w:rPr>
          <w:rFonts w:hint="eastAsia" w:ascii="宋体" w:hAnsi="宋体" w:eastAsia="宋体" w:cs="宋体"/>
          <w:b/>
          <w:color w:val="auto"/>
          <w:sz w:val="24"/>
          <w:szCs w:val="24"/>
          <w:highlight w:val="none"/>
        </w:rPr>
        <w:t>三、响应文件的编制</w:t>
      </w:r>
      <w:bookmarkEnd w:id="73"/>
      <w:bookmarkEnd w:id="74"/>
      <w:bookmarkEnd w:id="75"/>
      <w:bookmarkEnd w:id="76"/>
      <w:bookmarkEnd w:id="77"/>
    </w:p>
    <w:p w14:paraId="2E568451">
      <w:pPr>
        <w:pStyle w:val="33"/>
        <w:keepNext/>
        <w:keepLines/>
        <w:pageBreakBefore w:val="0"/>
        <w:widowControl w:val="0"/>
        <w:spacing w:beforeAutospacing="0" w:afterAutospacing="0" w:line="500" w:lineRule="exact"/>
        <w:ind w:firstLine="560"/>
        <w:jc w:val="both"/>
        <w:rPr>
          <w:rFonts w:hint="eastAsia" w:ascii="宋体" w:hAnsi="宋体" w:eastAsia="宋体" w:cs="宋体"/>
          <w:color w:val="auto"/>
          <w:sz w:val="24"/>
          <w:szCs w:val="24"/>
          <w:highlight w:val="none"/>
        </w:rPr>
      </w:pPr>
      <w:bookmarkStart w:id="78" w:name="_Toc462564073"/>
      <w:bookmarkStart w:id="79" w:name="_Toc20823286"/>
      <w:bookmarkStart w:id="80" w:name="_Toc16938530"/>
      <w:bookmarkStart w:id="81" w:name="_Toc513029214"/>
      <w:r>
        <w:rPr>
          <w:rFonts w:hint="eastAsia" w:ascii="宋体" w:hAnsi="宋体" w:eastAsia="宋体" w:cs="宋体"/>
          <w:color w:val="auto"/>
          <w:sz w:val="24"/>
          <w:szCs w:val="24"/>
          <w:highlight w:val="none"/>
        </w:rPr>
        <w:t>9、响应文件的语言及度量衡单位</w:t>
      </w:r>
      <w:bookmarkEnd w:id="78"/>
      <w:bookmarkEnd w:id="79"/>
      <w:bookmarkEnd w:id="80"/>
      <w:bookmarkEnd w:id="81"/>
    </w:p>
    <w:p w14:paraId="07D97FD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2E65E50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6BBBD4CF">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82" w:name="_Toc16938531"/>
      <w:bookmarkStart w:id="83" w:name="_Toc513029215"/>
      <w:bookmarkStart w:id="84" w:name="_Toc20823287"/>
      <w:bookmarkStart w:id="85" w:name="_Toc462564074"/>
      <w:r>
        <w:rPr>
          <w:rFonts w:hint="eastAsia" w:ascii="宋体" w:hAnsi="宋体" w:eastAsia="宋体" w:cs="宋体"/>
          <w:color w:val="auto"/>
          <w:sz w:val="24"/>
          <w:szCs w:val="24"/>
          <w:highlight w:val="none"/>
        </w:rPr>
        <w:t>10、响应文件构成</w:t>
      </w:r>
      <w:bookmarkEnd w:id="82"/>
      <w:bookmarkEnd w:id="83"/>
      <w:bookmarkEnd w:id="84"/>
      <w:bookmarkEnd w:id="85"/>
    </w:p>
    <w:p w14:paraId="0BD2E36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10.1供应商编写的响应文件应包括资格证明文件、符合性证明文件、商务要求响应及偏离表、其他证明文件、磋商响应函等部分。</w:t>
      </w:r>
    </w:p>
    <w:p w14:paraId="06FE505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“江苏政府采购网”、“盐城市政府采购网”发布的磋商文件不一致，请以“</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“江苏政府采购网”、“盐城市政府采购网”发布的磋商文件为准。</w:t>
      </w:r>
    </w:p>
    <w:p w14:paraId="64D5DBB1">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86" w:name="_Toc513029216"/>
      <w:bookmarkStart w:id="87" w:name="_Toc49090507"/>
      <w:bookmarkStart w:id="88" w:name="_Toc14577357"/>
      <w:bookmarkStart w:id="89" w:name="_Toc14577355"/>
      <w:bookmarkStart w:id="90" w:name="_Toc49090508"/>
      <w:bookmarkStart w:id="91" w:name="_Toc14577354"/>
      <w:bookmarkStart w:id="92" w:name="_Toc513029219"/>
      <w:bookmarkStart w:id="93" w:name="_Toc49090509"/>
      <w:bookmarkStart w:id="94" w:name="_Hlt26668975"/>
      <w:bookmarkStart w:id="95" w:name="_Hlt26670360"/>
      <w:bookmarkStart w:id="96" w:name="_Hlt26954838"/>
      <w:r>
        <w:rPr>
          <w:rFonts w:hint="eastAsia" w:ascii="宋体" w:hAnsi="宋体" w:eastAsia="宋体" w:cs="宋体"/>
          <w:color w:val="auto"/>
          <w:sz w:val="24"/>
          <w:szCs w:val="24"/>
          <w:highlight w:val="none"/>
        </w:rPr>
        <w:t>11、证明磋商响应标的符合磋商文件规定的文件</w:t>
      </w:r>
      <w:bookmarkEnd w:id="86"/>
      <w:bookmarkEnd w:id="87"/>
      <w:bookmarkEnd w:id="88"/>
      <w:bookmarkEnd w:id="89"/>
      <w:bookmarkEnd w:id="90"/>
      <w:bookmarkEnd w:id="91"/>
      <w:bookmarkEnd w:id="92"/>
      <w:bookmarkEnd w:id="93"/>
    </w:p>
    <w:p w14:paraId="123E000B">
      <w:pPr>
        <w:pStyle w:val="33"/>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11.1供应商应按照磋商文件要求提交证明文件，证明其及磋商响应标的符合磋商文件规定。</w:t>
      </w:r>
    </w:p>
    <w:p w14:paraId="0BCD020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234A09F2">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报价</w:t>
      </w:r>
    </w:p>
    <w:p w14:paraId="7FF8597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97" w:name="_Hlt26954846"/>
      <w:bookmarkStart w:id="98" w:name="_Hlt26670486"/>
      <w:bookmarkStart w:id="99" w:name="_Hlt26954731"/>
      <w:bookmarkStart w:id="100" w:name="_Hlt26670482"/>
      <w:bookmarkStart w:id="101" w:name="_Hlt26954848"/>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磋商货币。响应文件中的单价和总价无特殊规定的采用人民币报价，以元为单位标注。磋商文件中另有规定的按规定执行。</w:t>
      </w:r>
    </w:p>
    <w:p w14:paraId="3DBC0EAC">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12.2其他费用处理</w:t>
      </w:r>
    </w:p>
    <w:p w14:paraId="11AE8F2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本次采购磋商供应商的总报价应包括磋商供应商为完成竞争性磋商文件所确定的招标范围内的全部服务工作内容所发生的一切费用。</w:t>
      </w:r>
    </w:p>
    <w:p w14:paraId="0366E3A2">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13、商务要求响应及偏离表</w:t>
      </w:r>
    </w:p>
    <w:p w14:paraId="34521BF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13.1供应商需对磋商文件中的商务要求逐项作出响应或偏离，并说明原因。</w:t>
      </w:r>
    </w:p>
    <w:p w14:paraId="45B53C6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BAF566A">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338F4EE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16CB59CF">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278AE10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4E2C1825">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02" w:name="_Toc49090510"/>
      <w:bookmarkStart w:id="103" w:name="_Toc14577359"/>
      <w:r>
        <w:rPr>
          <w:rFonts w:hint="eastAsia" w:ascii="宋体" w:hAnsi="宋体" w:eastAsia="宋体" w:cs="宋体"/>
          <w:color w:val="auto"/>
          <w:sz w:val="24"/>
          <w:szCs w:val="24"/>
          <w:highlight w:val="none"/>
        </w:rPr>
        <w:t>15、磋商响应函</w:t>
      </w:r>
      <w:bookmarkEnd w:id="102"/>
      <w:bookmarkEnd w:id="103"/>
    </w:p>
    <w:p w14:paraId="5088DC9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12DF3148">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04" w:name="_Toc14577360"/>
      <w:bookmarkStart w:id="105" w:name="_Toc49090511"/>
      <w:r>
        <w:rPr>
          <w:rFonts w:hint="eastAsia" w:ascii="宋体" w:hAnsi="宋体" w:eastAsia="宋体" w:cs="宋体"/>
          <w:color w:val="auto"/>
          <w:sz w:val="24"/>
          <w:szCs w:val="24"/>
          <w:highlight w:val="none"/>
        </w:rPr>
        <w:t>16、磋商有效期</w:t>
      </w:r>
      <w:bookmarkEnd w:id="104"/>
      <w:bookmarkEnd w:id="105"/>
    </w:p>
    <w:p w14:paraId="0737043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color w:val="auto"/>
          <w:sz w:val="24"/>
          <w:szCs w:val="24"/>
          <w:highlight w:val="none"/>
          <w:u w:val="single"/>
        </w:rPr>
        <w:t>六十（60）天</w:t>
      </w:r>
      <w:r>
        <w:rPr>
          <w:rFonts w:hint="eastAsia" w:ascii="宋体" w:hAnsi="宋体" w:eastAsia="宋体" w:cs="宋体"/>
          <w:color w:val="auto"/>
          <w:sz w:val="24"/>
          <w:szCs w:val="24"/>
          <w:highlight w:val="none"/>
        </w:rPr>
        <w:t>。磋商有效期比规定短的将被视为非实质性响应磋商文件而予以拒绝。</w:t>
      </w:r>
    </w:p>
    <w:p w14:paraId="5922A5A0">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0650BE4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46126401">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106" w:name="_Toc120614217"/>
      <w:bookmarkStart w:id="107" w:name="_Toc513029224"/>
      <w:bookmarkStart w:id="108" w:name="_Toc20823296"/>
      <w:bookmarkStart w:id="109" w:name="_Toc16938540"/>
      <w:bookmarkStart w:id="110" w:name="_Hlt26954739"/>
      <w:bookmarkStart w:id="111" w:name="_Hlt26954852"/>
      <w:r>
        <w:rPr>
          <w:rFonts w:hint="eastAsia" w:ascii="宋体" w:hAnsi="宋体" w:eastAsia="宋体" w:cs="宋体"/>
          <w:b/>
          <w:color w:val="auto"/>
          <w:sz w:val="24"/>
          <w:szCs w:val="24"/>
          <w:highlight w:val="none"/>
        </w:rPr>
        <w:t>四、响应文件的递交</w:t>
      </w:r>
      <w:bookmarkEnd w:id="106"/>
      <w:bookmarkEnd w:id="107"/>
      <w:bookmarkEnd w:id="108"/>
      <w:bookmarkEnd w:id="109"/>
    </w:p>
    <w:p w14:paraId="008F6D17">
      <w:pPr>
        <w:pStyle w:val="33"/>
        <w:keepNext/>
        <w:keepLines/>
        <w:pageBreakBefore w:val="0"/>
        <w:widowControl w:val="0"/>
        <w:spacing w:beforeAutospacing="0" w:afterAutospacing="0" w:line="500" w:lineRule="exact"/>
        <w:ind w:firstLine="560"/>
        <w:jc w:val="both"/>
        <w:rPr>
          <w:rFonts w:hint="eastAsia" w:ascii="宋体" w:hAnsi="宋体" w:eastAsia="宋体" w:cs="宋体"/>
          <w:color w:val="auto"/>
          <w:sz w:val="24"/>
          <w:szCs w:val="24"/>
          <w:highlight w:val="none"/>
        </w:rPr>
      </w:pPr>
      <w:bookmarkStart w:id="112" w:name="_Toc513029225"/>
      <w:bookmarkStart w:id="113" w:name="_Toc462564084"/>
      <w:bookmarkStart w:id="114" w:name="_Toc16938541"/>
      <w:bookmarkStart w:id="115" w:name="_Toc20823297"/>
      <w:r>
        <w:rPr>
          <w:rFonts w:hint="eastAsia" w:ascii="宋体" w:hAnsi="宋体" w:eastAsia="宋体" w:cs="宋体"/>
          <w:color w:val="auto"/>
          <w:sz w:val="24"/>
          <w:szCs w:val="24"/>
          <w:highlight w:val="none"/>
        </w:rPr>
        <w:t>18、电子磋商</w:t>
      </w:r>
      <w:bookmarkEnd w:id="112"/>
      <w:bookmarkEnd w:id="113"/>
      <w:bookmarkEnd w:id="114"/>
      <w:bookmarkEnd w:id="115"/>
      <w:r>
        <w:rPr>
          <w:rFonts w:hint="eastAsia" w:ascii="宋体" w:hAnsi="宋体" w:eastAsia="宋体" w:cs="宋体"/>
          <w:color w:val="auto"/>
          <w:sz w:val="24"/>
          <w:szCs w:val="24"/>
          <w:highlight w:val="none"/>
        </w:rPr>
        <w:t>响应文件的递交</w:t>
      </w:r>
    </w:p>
    <w:p w14:paraId="1E567601">
      <w:pPr>
        <w:pStyle w:val="33"/>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16" w:name="_Toc16938542"/>
      <w:bookmarkEnd w:id="116"/>
      <w:bookmarkStart w:id="117" w:name="_Toc20823298"/>
      <w:bookmarkEnd w:id="117"/>
      <w:bookmarkStart w:id="118" w:name="_Toc513029226"/>
    </w:p>
    <w:p w14:paraId="7CC223DA">
      <w:pPr>
        <w:pStyle w:val="33"/>
        <w:keepNext/>
        <w:keepLines/>
        <w:pageBreakBefore w:val="0"/>
        <w:widowControl w:val="0"/>
        <w:spacing w:beforeAutospacing="0" w:afterAutospacing="0" w:line="500" w:lineRule="exact"/>
        <w:ind w:firstLine="5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000D3DC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3D6EFE7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70B6794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4EF9F0D8">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19" w:name="_Toc20823299"/>
      <w:bookmarkStart w:id="120" w:name="_Toc16938543"/>
      <w:bookmarkStart w:id="121" w:name="_Toc513029227"/>
      <w:r>
        <w:rPr>
          <w:rFonts w:hint="eastAsia" w:ascii="宋体" w:hAnsi="宋体" w:eastAsia="宋体" w:cs="宋体"/>
          <w:color w:val="auto"/>
          <w:sz w:val="24"/>
          <w:szCs w:val="24"/>
          <w:highlight w:val="none"/>
        </w:rPr>
        <w:t>20、响应文件</w:t>
      </w:r>
      <w:bookmarkEnd w:id="119"/>
      <w:bookmarkEnd w:id="120"/>
      <w:bookmarkEnd w:id="121"/>
      <w:r>
        <w:rPr>
          <w:rFonts w:hint="eastAsia" w:ascii="宋体" w:hAnsi="宋体" w:eastAsia="宋体" w:cs="宋体"/>
          <w:color w:val="auto"/>
          <w:sz w:val="24"/>
          <w:szCs w:val="24"/>
          <w:highlight w:val="none"/>
        </w:rPr>
        <w:t>的拒收</w:t>
      </w:r>
    </w:p>
    <w:p w14:paraId="33F715D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282E5019">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22" w:name="_Toc20823300"/>
      <w:bookmarkStart w:id="123" w:name="_Toc16938544"/>
      <w:bookmarkStart w:id="124" w:name="_Toc513029228"/>
      <w:r>
        <w:rPr>
          <w:rFonts w:hint="eastAsia" w:ascii="宋体" w:hAnsi="宋体" w:eastAsia="宋体" w:cs="宋体"/>
          <w:color w:val="auto"/>
          <w:sz w:val="24"/>
          <w:szCs w:val="24"/>
          <w:highlight w:val="none"/>
        </w:rPr>
        <w:t>21、响应文件的撤回和修改</w:t>
      </w:r>
      <w:bookmarkEnd w:id="122"/>
      <w:bookmarkEnd w:id="123"/>
      <w:bookmarkEnd w:id="124"/>
    </w:p>
    <w:p w14:paraId="7F79FB6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C1B594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40DD3B2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026D2DD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0EF4B22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0D211E3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5D9F935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3CC3A2C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1380801B">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125" w:name="_Toc16938545"/>
      <w:bookmarkStart w:id="126" w:name="_Toc20823301"/>
      <w:bookmarkStart w:id="127" w:name="_Toc513029229"/>
      <w:bookmarkStart w:id="128" w:name="_Toc120614218"/>
      <w:r>
        <w:rPr>
          <w:rFonts w:hint="eastAsia" w:ascii="宋体" w:hAnsi="宋体" w:eastAsia="宋体" w:cs="宋体"/>
          <w:b/>
          <w:color w:val="auto"/>
          <w:sz w:val="24"/>
          <w:szCs w:val="24"/>
          <w:highlight w:val="none"/>
        </w:rPr>
        <w:t>五、响应文件的解密与评审</w:t>
      </w:r>
      <w:bookmarkEnd w:id="125"/>
      <w:bookmarkEnd w:id="126"/>
      <w:bookmarkEnd w:id="127"/>
      <w:bookmarkEnd w:id="128"/>
    </w:p>
    <w:p w14:paraId="46752AE6">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29" w:name="_Toc513029230"/>
      <w:bookmarkStart w:id="130" w:name="_Toc20823302"/>
      <w:bookmarkStart w:id="131" w:name="_Toc16938546"/>
      <w:r>
        <w:rPr>
          <w:rFonts w:hint="eastAsia" w:ascii="宋体" w:hAnsi="宋体" w:eastAsia="宋体" w:cs="宋体"/>
          <w:color w:val="auto"/>
          <w:sz w:val="24"/>
          <w:szCs w:val="24"/>
          <w:highlight w:val="none"/>
        </w:rPr>
        <w:t>22、</w:t>
      </w:r>
      <w:bookmarkEnd w:id="129"/>
      <w:bookmarkEnd w:id="130"/>
      <w:bookmarkEnd w:id="131"/>
      <w:r>
        <w:rPr>
          <w:rFonts w:hint="eastAsia" w:ascii="宋体" w:hAnsi="宋体" w:eastAsia="宋体" w:cs="宋体"/>
          <w:color w:val="auto"/>
          <w:sz w:val="24"/>
          <w:szCs w:val="24"/>
          <w:highlight w:val="none"/>
        </w:rPr>
        <w:t>响应文件解密</w:t>
      </w:r>
    </w:p>
    <w:p w14:paraId="12F6BDF3">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22F6BB06">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32" w:name="_Toc16938547"/>
      <w:bookmarkStart w:id="133" w:name="_Toc513029231"/>
      <w:bookmarkStart w:id="134" w:name="_Toc20823303"/>
      <w:r>
        <w:rPr>
          <w:rFonts w:hint="eastAsia" w:ascii="宋体" w:hAnsi="宋体" w:eastAsia="宋体" w:cs="宋体"/>
          <w:color w:val="auto"/>
          <w:sz w:val="24"/>
          <w:szCs w:val="24"/>
          <w:highlight w:val="none"/>
        </w:rPr>
        <w:t>23、磋商小组</w:t>
      </w:r>
      <w:bookmarkEnd w:id="132"/>
      <w:bookmarkEnd w:id="133"/>
      <w:bookmarkEnd w:id="134"/>
    </w:p>
    <w:p w14:paraId="7FA9C9C8">
      <w:pPr>
        <w:pStyle w:val="33"/>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5139B383">
      <w:pPr>
        <w:pStyle w:val="33"/>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23.2磋商小组独立工作，负责评审所有响应文件并确定成交侯选人。</w:t>
      </w:r>
    </w:p>
    <w:p w14:paraId="0B5885C6">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5F4374A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3E65609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24.2在评审过程中，供应商不得以任何行为影响磋商评审过程，否则其响应文件将被作为无效响应文件。</w:t>
      </w:r>
    </w:p>
    <w:p w14:paraId="2406599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将设专门人员与供应商联系。</w:t>
      </w:r>
    </w:p>
    <w:p w14:paraId="6C51366F">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4E8761BD">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35" w:name="_Toc16938548"/>
      <w:bookmarkStart w:id="136" w:name="_Toc513029232"/>
      <w:bookmarkStart w:id="137" w:name="_Toc20823304"/>
      <w:r>
        <w:rPr>
          <w:rFonts w:hint="eastAsia" w:ascii="宋体" w:hAnsi="宋体" w:eastAsia="宋体" w:cs="宋体"/>
          <w:color w:val="auto"/>
          <w:sz w:val="24"/>
          <w:szCs w:val="24"/>
          <w:highlight w:val="none"/>
        </w:rPr>
        <w:t>25、评审过程中的的澄清</w:t>
      </w:r>
      <w:bookmarkEnd w:id="135"/>
      <w:bookmarkEnd w:id="136"/>
      <w:bookmarkEnd w:id="137"/>
    </w:p>
    <w:p w14:paraId="1F434D5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6C5993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40B21D09">
      <w:pPr>
        <w:pStyle w:val="33"/>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0877563">
      <w:pPr>
        <w:pStyle w:val="33"/>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 接到磋商小组澄清、说明和更正要求的供应商如未按规定做出澄清、说明和 更正，其风险由供应商自行承担。</w:t>
      </w:r>
    </w:p>
    <w:p w14:paraId="2BB146B7">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rPr>
          <w:color w:val="auto"/>
        </w:rPr>
      </w:pPr>
      <w:r>
        <w:rPr>
          <w:rFonts w:ascii="宋体" w:hAnsi="宋体" w:eastAsia="宋体" w:cs="宋体"/>
          <w:color w:val="auto"/>
          <w:sz w:val="24"/>
          <w:u w:val="none"/>
        </w:rPr>
        <w:t>26、对响应文件的审</w:t>
      </w:r>
      <w:r>
        <w:rPr>
          <w:rFonts w:ascii="宋体" w:hAnsi="宋体" w:eastAsia="宋体" w:cs="宋体"/>
          <w:color w:val="auto"/>
          <w:sz w:val="24"/>
        </w:rPr>
        <w:t>查</w:t>
      </w:r>
    </w:p>
    <w:p w14:paraId="11A60AB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26.1响应文件审查分为资格审查、符合性审查、异常低价审查。</w:t>
      </w:r>
    </w:p>
    <w:p w14:paraId="0B79A1F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26.1.1资格审查：由磋商小组依据法律法规和磋商文件的规定，对响应文件中的资格证明文件进行审查，以确定供应商是否具备参加磋商的资格。</w:t>
      </w:r>
    </w:p>
    <w:p w14:paraId="69DB16A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磋商小组在进行资格审查的同时，将在“信用中国”网站（www.creditchina.gov.cn）查询供应商的信用记录，以确定供应商是否具备磋商资格,查询结果留存并归档。</w:t>
      </w:r>
    </w:p>
    <w:p w14:paraId="5A260F2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26.1.2符合性审查：依据磋商文件的规定，由磋商小组从响应文件的有效性、完整性和对磋商文件的响应程度进行审查，以确定是否对磋商文件的实质性要求作出响应。</w:t>
      </w:r>
    </w:p>
    <w:p w14:paraId="256744B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26.1.3未通过资格审查或符合性审查或异常低价审查的供应商，磋商小组将在苏采云系统中告知未通过资格审查或符合性审查或异常低价审查的原因，评审结束后，磋商小组将不再告知未通过资格审查或符合性审查或异常低价审查的原因。</w:t>
      </w:r>
    </w:p>
    <w:p w14:paraId="40281F3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26.2在详细评审之前，磋商小组将首先审查每份响应文件是否实质性响应了磋商文件的要求。实质性响应的响应文件应该是与磋商文件要求的条款、条件和规格相符，没有重大偏离或保留。</w:t>
      </w:r>
    </w:p>
    <w:p w14:paraId="3482E58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1351D9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26.3未实质性响应磋商文件的情形</w:t>
      </w:r>
    </w:p>
    <w:p w14:paraId="2D3AB32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26.3.1供应商在苏采云系统规定的时间内未成功解密电子响应文件的。</w:t>
      </w:r>
    </w:p>
    <w:p w14:paraId="2CDB1CD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26.3.2供应商未按照磋商文件要求上传电子响应文件的。</w:t>
      </w:r>
    </w:p>
    <w:p w14:paraId="7365C54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26.3.3同一供应商提交两个（含两个）以上不同的响应文件或者最后报价的。</w:t>
      </w:r>
    </w:p>
    <w:p w14:paraId="2A1D6B3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26.3.4供应商不具备磋商文件中规定资格要求的。</w:t>
      </w:r>
    </w:p>
    <w:p w14:paraId="5340FC1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26.3.5供应商的最后报价超过了采购预算。</w:t>
      </w:r>
    </w:p>
    <w:p w14:paraId="6976399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26.3.6不符合磋商文件中规定的实质性要求和条件的。</w:t>
      </w:r>
    </w:p>
    <w:p w14:paraId="7C2DA75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C38E40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26.3.8响应文件含有采购人不能接受的附加条件的。</w:t>
      </w:r>
    </w:p>
    <w:p w14:paraId="5A55224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6A3F9E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26.3.10供应商不能证明其报价合理性的，磋商小组应当将其作为无效响应处理。</w:t>
      </w:r>
    </w:p>
    <w:p w14:paraId="191E6EA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（一）评审过程中出现下列情形之一的，磋商小组应当启动异常低价响应审查程序：</w:t>
      </w:r>
    </w:p>
    <w:p w14:paraId="6F5D36C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1.响应报价低于采购项目预算50%的，即响应报价&lt;采购项目预算×50%；</w:t>
      </w:r>
    </w:p>
    <w:p w14:paraId="28BB4C6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2.响应报价低于采购项目最高限价45%的，即响应报价&lt;采购项目最高限价×45%；</w:t>
      </w:r>
    </w:p>
    <w:p w14:paraId="1290BA5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3.磋商小组认定的供应商报价过低、有可能影响产品质量或者不能诚信履约的其他情形。</w:t>
      </w:r>
    </w:p>
    <w:p w14:paraId="6D2705C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73DEAEC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26.3.11响应文件未按照磋商文件要求加盖CA电子公章的。</w:t>
      </w:r>
    </w:p>
    <w:p w14:paraId="5BE38AF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26.4未实质性响应磋商文件的响应文件按无效响应处理。</w:t>
      </w:r>
    </w:p>
    <w:p w14:paraId="328C7E9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26.5如果响应文件实质上没有响应磋商文件的要求，磋商小组将予以拒绝，供应商不得通过修改或撤销不合要求的偏离或保留而使其成为实质性响应的文件。</w:t>
      </w:r>
    </w:p>
    <w:p w14:paraId="4ABC27E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ascii="宋体" w:hAnsi="宋体" w:eastAsia="宋体" w:cs="宋体"/>
          <w:color w:val="auto"/>
          <w:sz w:val="24"/>
          <w:u w:val="none"/>
        </w:rPr>
        <w:t>26.6供应商在项目评审全过程中应保持通讯畅通，并安排专人与</w:t>
      </w:r>
      <w:r>
        <w:rPr>
          <w:rFonts w:ascii="宋体" w:hAnsi="宋体" w:eastAsia="宋体" w:cs="宋体"/>
          <w:color w:val="auto"/>
          <w:sz w:val="24"/>
        </w:rPr>
        <w:t>采购人及磋商小组联系。</w:t>
      </w:r>
    </w:p>
    <w:p w14:paraId="5F62992D">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6F3130F0">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73112B2C">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8C683F1">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BC0B320">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3E9691A">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78"/>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auto"/>
          <w:sz w:val="24"/>
          <w:szCs w:val="24"/>
          <w:highlight w:val="none"/>
          <w:lang w:eastAsia="zh-CN"/>
        </w:rPr>
        <w:t>。</w:t>
      </w:r>
    </w:p>
    <w:p w14:paraId="5E66D9E1">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78"/>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(报价分二轮，第一轮报价做在响应文件中；第二轮报价在磋商现场网上填报，二轮报价为最后报价。</w:t>
      </w:r>
      <w:r>
        <w:rPr>
          <w:rFonts w:hint="eastAsia" w:ascii="宋体" w:hAnsi="宋体" w:eastAsia="宋体" w:cs="宋体"/>
          <w:b/>
          <w:bCs/>
          <w:color w:val="auto"/>
          <w:sz w:val="24"/>
          <w:szCs w:val="24"/>
          <w:highlight w:val="none"/>
          <w:lang w:eastAsia="zh-CN"/>
        </w:rPr>
        <w:t>）</w:t>
      </w:r>
    </w:p>
    <w:p w14:paraId="2791197D">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5F25AEC">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433D1C1">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40B94B74">
      <w:pPr>
        <w:pStyle w:val="33"/>
        <w:keepNext w:val="0"/>
        <w:keepLines w:val="0"/>
        <w:pageBreakBefore w:val="0"/>
        <w:widowControl w:val="0"/>
        <w:tabs>
          <w:tab w:val="left" w:pos="901"/>
        </w:tabs>
        <w:kinsoku/>
        <w:wordWrap/>
        <w:overflowPunct/>
        <w:topLinePunct w:val="0"/>
        <w:autoSpaceDE/>
        <w:autoSpaceDN/>
        <w:bidi w:val="0"/>
        <w:adjustRightInd/>
        <w:snapToGrid/>
        <w:spacing w:beforeAutospacing="0" w:afterAutospacing="0" w:line="52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188FCC99">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9A6F6F1">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3E16A87F">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090D1638">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45C9C8BD">
      <w:pPr>
        <w:pStyle w:val="33"/>
        <w:pageBreakBefore w:val="0"/>
        <w:widowControl w:val="0"/>
        <w:tabs>
          <w:tab w:val="left" w:pos="901"/>
        </w:tabs>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E36755D">
      <w:pPr>
        <w:pStyle w:val="33"/>
        <w:pageBreakBefore w:val="0"/>
        <w:widowControl w:val="0"/>
        <w:tabs>
          <w:tab w:val="left" w:pos="901"/>
        </w:tabs>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1AE2F0A3">
      <w:pPr>
        <w:pStyle w:val="33"/>
        <w:pageBreakBefore w:val="0"/>
        <w:widowControl w:val="0"/>
        <w:tabs>
          <w:tab w:val="left" w:pos="901"/>
        </w:tabs>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44A4F070">
      <w:pPr>
        <w:pStyle w:val="33"/>
        <w:pageBreakBefore w:val="0"/>
        <w:widowControl w:val="0"/>
        <w:tabs>
          <w:tab w:val="left" w:pos="901"/>
        </w:tabs>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27.3.3除本磋商文件第二章第27.1.2条第三款规定的情形外，在采购过程中符合要求的供应商或者最后报价未超过采购预算的供应商不足3家的。</w:t>
      </w:r>
    </w:p>
    <w:p w14:paraId="47A5B9D4">
      <w:pPr>
        <w:pStyle w:val="33"/>
        <w:pageBreakBefore w:val="0"/>
        <w:widowControl w:val="0"/>
        <w:tabs>
          <w:tab w:val="left" w:pos="901"/>
        </w:tabs>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5D7E2E34">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138" w:name="_Toc20823307"/>
      <w:bookmarkStart w:id="139" w:name="_Toc513029235"/>
      <w:bookmarkStart w:id="140" w:name="_Toc120614219"/>
      <w:bookmarkStart w:id="141" w:name="_Toc16938551"/>
      <w:r>
        <w:rPr>
          <w:rFonts w:hint="eastAsia" w:ascii="宋体" w:hAnsi="宋体" w:eastAsia="宋体" w:cs="宋体"/>
          <w:b/>
          <w:color w:val="auto"/>
          <w:sz w:val="24"/>
          <w:szCs w:val="24"/>
          <w:highlight w:val="none"/>
        </w:rPr>
        <w:t>六、</w:t>
      </w:r>
      <w:bookmarkEnd w:id="138"/>
      <w:bookmarkEnd w:id="139"/>
      <w:bookmarkEnd w:id="140"/>
      <w:bookmarkEnd w:id="141"/>
      <w:r>
        <w:rPr>
          <w:rFonts w:hint="eastAsia" w:ascii="宋体" w:hAnsi="宋体" w:eastAsia="宋体" w:cs="宋体"/>
          <w:b/>
          <w:color w:val="auto"/>
          <w:sz w:val="24"/>
          <w:szCs w:val="24"/>
          <w:highlight w:val="none"/>
        </w:rPr>
        <w:t>成交</w:t>
      </w:r>
    </w:p>
    <w:p w14:paraId="3EDFD914">
      <w:pPr>
        <w:pStyle w:val="33"/>
        <w:keepNext/>
        <w:keepLines/>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bookmarkStart w:id="142" w:name="_Toc20823310"/>
      <w:bookmarkStart w:id="143" w:name="_Toc16938554"/>
      <w:bookmarkStart w:id="144" w:name="_Toc513029238"/>
      <w:r>
        <w:rPr>
          <w:rFonts w:hint="eastAsia" w:ascii="宋体" w:hAnsi="宋体" w:eastAsia="宋体" w:cs="宋体"/>
          <w:color w:val="auto"/>
          <w:sz w:val="24"/>
          <w:szCs w:val="24"/>
          <w:highlight w:val="none"/>
        </w:rPr>
        <w:t>28、</w:t>
      </w:r>
      <w:bookmarkEnd w:id="142"/>
      <w:r>
        <w:rPr>
          <w:rFonts w:hint="eastAsia" w:ascii="宋体" w:hAnsi="宋体" w:eastAsia="宋体" w:cs="宋体"/>
          <w:color w:val="auto"/>
          <w:sz w:val="24"/>
          <w:szCs w:val="24"/>
          <w:highlight w:val="none"/>
        </w:rPr>
        <w:t>确定</w:t>
      </w:r>
      <w:bookmarkEnd w:id="143"/>
      <w:bookmarkEnd w:id="144"/>
      <w:r>
        <w:rPr>
          <w:rFonts w:hint="eastAsia" w:ascii="宋体" w:hAnsi="宋体" w:eastAsia="宋体" w:cs="宋体"/>
          <w:color w:val="auto"/>
          <w:sz w:val="24"/>
          <w:szCs w:val="24"/>
          <w:highlight w:val="none"/>
        </w:rPr>
        <w:t>成交单位</w:t>
      </w:r>
    </w:p>
    <w:p w14:paraId="12C6CD30">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69872F2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026548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“江苏政府采购网”、“盐城市政府采购网”发布成交结果公告，公告期限为1个工作日。</w:t>
      </w:r>
    </w:p>
    <w:p w14:paraId="37E5DFE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6F8CA04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9313AE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工作人员恶意串通的。</w:t>
      </w:r>
    </w:p>
    <w:p w14:paraId="3E6B4CC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工作人员行贿或者提供其他不正当利益的。</w:t>
      </w:r>
    </w:p>
    <w:p w14:paraId="281BF94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389A7D4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35DAD1AF">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63D027C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7ECC761A">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45" w:name="_Toc200451960"/>
      <w:r>
        <w:rPr>
          <w:rFonts w:hint="eastAsia" w:ascii="宋体" w:hAnsi="宋体" w:eastAsia="宋体" w:cs="宋体"/>
          <w:color w:val="auto"/>
          <w:sz w:val="24"/>
          <w:szCs w:val="24"/>
          <w:highlight w:val="none"/>
        </w:rPr>
        <w:t>29、质疑处理</w:t>
      </w:r>
      <w:bookmarkEnd w:id="145"/>
    </w:p>
    <w:p w14:paraId="2C540FB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32A9761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提出质疑。上述应知其权益受到损害之日，是指：</w:t>
      </w:r>
    </w:p>
    <w:p w14:paraId="07C4F03A">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425018C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29.2.2对采购过程提出质疑的，为各采购程序环节结束之日。</w:t>
      </w:r>
    </w:p>
    <w:p w14:paraId="74A9807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29.2.3对成交结果提出质疑的，为成交结果公告期限届满之日。</w:t>
      </w:r>
    </w:p>
    <w:p w14:paraId="5AA5C54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、采购人将只对供应商第一次质疑作出答复。</w:t>
      </w:r>
    </w:p>
    <w:p w14:paraId="283D3FD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《质疑函范本》要求的格式和内容进行填写。供应商如组成联合体参加磋商，则《质疑函范本》中要求签字、盖章、加盖公章之处，联合体各方均须按要求签字、盖章、加盖公章。</w:t>
      </w:r>
    </w:p>
    <w:p w14:paraId="3A5764B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负责答复。</w:t>
      </w:r>
    </w:p>
    <w:p w14:paraId="11D13E67">
      <w:pPr>
        <w:pageBreakBefore w:val="0"/>
        <w:spacing w:line="560" w:lineRule="exact"/>
        <w:ind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采购人</w:t>
      </w:r>
      <w:r>
        <w:rPr>
          <w:rFonts w:hint="eastAsia" w:ascii="宋体" w:hAnsi="宋体" w:eastAsia="宋体" w:cs="宋体"/>
          <w:color w:val="auto"/>
          <w:sz w:val="24"/>
          <w:szCs w:val="24"/>
          <w:highlight w:val="none"/>
          <w:lang w:val="en-US" w:eastAsia="zh-CN" w:bidi="ar"/>
        </w:rPr>
        <w:t>及</w:t>
      </w:r>
      <w:r>
        <w:rPr>
          <w:rFonts w:hint="eastAsia" w:ascii="宋体" w:hAnsi="宋体" w:eastAsia="宋体" w:cs="宋体"/>
          <w:color w:val="auto"/>
          <w:sz w:val="24"/>
          <w:szCs w:val="24"/>
          <w:highlight w:val="none"/>
          <w:lang w:bidi="ar"/>
        </w:rPr>
        <w:t>采购代理机构只接收以纸质原件形式送达的质疑,建议供应商尽量通过邮寄方式提交质疑</w:t>
      </w:r>
      <w:r>
        <w:rPr>
          <w:rFonts w:hint="eastAsia" w:ascii="宋体" w:hAnsi="宋体" w:eastAsia="宋体" w:cs="宋体"/>
          <w:color w:val="auto"/>
          <w:sz w:val="24"/>
          <w:szCs w:val="24"/>
          <w:highlight w:val="none"/>
          <w:lang w:val="en-US" w:eastAsia="zh-CN" w:bidi="ar"/>
        </w:rPr>
        <w:t>函；</w:t>
      </w:r>
      <w:r>
        <w:rPr>
          <w:rFonts w:hint="eastAsia" w:ascii="宋体" w:hAnsi="宋体" w:eastAsia="宋体" w:cs="宋体"/>
          <w:color w:val="auto"/>
          <w:sz w:val="24"/>
          <w:szCs w:val="24"/>
          <w:highlight w:val="none"/>
          <w:lang w:eastAsia="zh-CN" w:bidi="ar"/>
        </w:rPr>
        <w:t>采购人</w:t>
      </w:r>
      <w:r>
        <w:rPr>
          <w:rFonts w:hint="eastAsia" w:ascii="宋体" w:hAnsi="宋体" w:eastAsia="宋体" w:cs="宋体"/>
          <w:color w:val="auto"/>
          <w:sz w:val="24"/>
          <w:szCs w:val="24"/>
          <w:highlight w:val="none"/>
          <w:lang w:bidi="ar"/>
        </w:rPr>
        <w:t>和采购代理机构不接受未填写快递运单的快件。</w:t>
      </w:r>
    </w:p>
    <w:p w14:paraId="5151A699">
      <w:pPr>
        <w:pageBreakBefore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采购人</w:t>
      </w:r>
      <w:r>
        <w:rPr>
          <w:rFonts w:hint="eastAsia" w:ascii="宋体" w:hAnsi="宋体" w:eastAsia="宋体" w:cs="宋体"/>
          <w:color w:val="auto"/>
          <w:sz w:val="24"/>
          <w:szCs w:val="24"/>
          <w:highlight w:val="none"/>
          <w:lang w:val="en-US" w:eastAsia="zh-CN" w:bidi="ar"/>
        </w:rPr>
        <w:t>及</w:t>
      </w:r>
      <w:r>
        <w:rPr>
          <w:rFonts w:hint="eastAsia" w:ascii="宋体" w:hAnsi="宋体" w:eastAsia="宋体" w:cs="宋体"/>
          <w:color w:val="auto"/>
          <w:sz w:val="24"/>
          <w:szCs w:val="24"/>
          <w:highlight w:val="none"/>
          <w:lang w:bidi="ar"/>
        </w:rPr>
        <w:t>采购代理机构质疑接收人及联系方式见本</w:t>
      </w:r>
      <w:r>
        <w:rPr>
          <w:rFonts w:hint="eastAsia" w:ascii="宋体" w:hAnsi="宋体" w:eastAsia="宋体" w:cs="宋体"/>
          <w:color w:val="auto"/>
          <w:sz w:val="24"/>
          <w:szCs w:val="24"/>
          <w:highlight w:val="none"/>
          <w:lang w:val="en-US" w:eastAsia="zh-CN" w:bidi="ar"/>
        </w:rPr>
        <w:t>磋商文件</w:t>
      </w:r>
      <w:r>
        <w:rPr>
          <w:rFonts w:hint="eastAsia" w:ascii="宋体" w:hAnsi="宋体" w:eastAsia="宋体" w:cs="宋体"/>
          <w:color w:val="auto"/>
          <w:sz w:val="24"/>
          <w:szCs w:val="24"/>
          <w:highlight w:val="none"/>
          <w:lang w:bidi="ar"/>
        </w:rPr>
        <w:t>第一章。</w:t>
      </w:r>
    </w:p>
    <w:p w14:paraId="35BB5F2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76809B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2D54526A">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58A8671E">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1E3C4AA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1D71830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38F07988">
      <w:pPr>
        <w:pStyle w:val="33"/>
        <w:pageBreakBefore w:val="0"/>
        <w:widowControl w:val="0"/>
        <w:spacing w:beforeAutospacing="0" w:afterAutospacing="0" w:line="500" w:lineRule="exact"/>
        <w:ind w:firstLine="4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1A495F17">
      <w:pPr>
        <w:pStyle w:val="33"/>
        <w:keepNext/>
        <w:keepLines/>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012E1181">
      <w:pPr>
        <w:pStyle w:val="33"/>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0E9A7AB">
      <w:pPr>
        <w:pStyle w:val="33"/>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6A1692FD">
      <w:pPr>
        <w:pStyle w:val="33"/>
        <w:keepNext/>
        <w:keepLines/>
        <w:pageBreakBefore w:val="0"/>
        <w:widowControl w:val="0"/>
        <w:spacing w:beforeAutospacing="0" w:afterAutospacing="0" w:line="500" w:lineRule="exact"/>
        <w:jc w:val="both"/>
        <w:rPr>
          <w:rFonts w:hint="eastAsia" w:ascii="宋体" w:hAnsi="宋体" w:eastAsia="宋体" w:cs="宋体"/>
          <w:color w:val="auto"/>
          <w:sz w:val="24"/>
          <w:szCs w:val="24"/>
          <w:highlight w:val="none"/>
        </w:rPr>
      </w:pPr>
      <w:bookmarkStart w:id="146" w:name="_Toc513029236"/>
      <w:bookmarkStart w:id="147" w:name="_Toc20823308"/>
      <w:bookmarkStart w:id="148" w:name="_Toc16938552"/>
      <w:bookmarkStart w:id="149" w:name="_Toc120614220"/>
      <w:r>
        <w:rPr>
          <w:rFonts w:hint="eastAsia" w:ascii="宋体" w:hAnsi="宋体" w:eastAsia="宋体" w:cs="宋体"/>
          <w:b/>
          <w:color w:val="auto"/>
          <w:sz w:val="24"/>
          <w:szCs w:val="24"/>
          <w:highlight w:val="none"/>
        </w:rPr>
        <w:t>七、授予合同</w:t>
      </w:r>
      <w:bookmarkEnd w:id="146"/>
      <w:bookmarkEnd w:id="147"/>
      <w:bookmarkEnd w:id="148"/>
      <w:bookmarkEnd w:id="149"/>
    </w:p>
    <w:p w14:paraId="6EAF0866">
      <w:pPr>
        <w:pStyle w:val="33"/>
        <w:keepNext/>
        <w:keepLines/>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bookmarkStart w:id="150" w:name="_Toc20823309"/>
      <w:bookmarkStart w:id="151" w:name="_Toc513029237"/>
      <w:bookmarkStart w:id="152" w:name="_Toc16938553"/>
      <w:r>
        <w:rPr>
          <w:rFonts w:hint="eastAsia" w:ascii="宋体" w:hAnsi="宋体" w:eastAsia="宋体" w:cs="宋体"/>
          <w:color w:val="auto"/>
          <w:sz w:val="24"/>
          <w:szCs w:val="24"/>
          <w:highlight w:val="none"/>
        </w:rPr>
        <w:t>31. 签订合同</w:t>
      </w:r>
      <w:bookmarkEnd w:id="150"/>
      <w:bookmarkEnd w:id="151"/>
      <w:bookmarkEnd w:id="152"/>
    </w:p>
    <w:p w14:paraId="7971D117">
      <w:pPr>
        <w:pStyle w:val="33"/>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原则上应在15日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，按照磋商文件确定的事项与采购人签订政府采购合同。</w:t>
      </w:r>
    </w:p>
    <w:p w14:paraId="68FBB9FB">
      <w:pPr>
        <w:pStyle w:val="33"/>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752B905D">
      <w:pPr>
        <w:pStyle w:val="33"/>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。未经采购人同意，成交供应商也不得采用分包形式履行合同,否则采购人有权终止合同。转包或分包造成采购人损失的，成交供应商应承担相应赔偿责任。</w:t>
      </w:r>
      <w:r>
        <w:rPr>
          <w:rFonts w:hint="eastAsia" w:ascii="宋体" w:hAnsi="宋体"/>
          <w:color w:val="auto"/>
          <w:sz w:val="24"/>
          <w:szCs w:val="24"/>
          <w:highlight w:val="none"/>
        </w:rPr>
        <w:t>合同签订后2个工作日内合同公示</w:t>
      </w:r>
      <w:r>
        <w:rPr>
          <w:rFonts w:hint="eastAsia" w:ascii="宋体" w:hAnsi="宋体"/>
          <w:color w:val="auto"/>
          <w:sz w:val="24"/>
          <w:szCs w:val="24"/>
          <w:highlight w:val="none"/>
          <w:lang w:eastAsia="zh-CN"/>
        </w:rPr>
        <w:t>。</w:t>
      </w:r>
    </w:p>
    <w:p w14:paraId="13647BF8">
      <w:pPr>
        <w:pStyle w:val="33"/>
        <w:keepNext/>
        <w:keepLines/>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32、标的物的追加</w:t>
      </w:r>
    </w:p>
    <w:p w14:paraId="142576B0">
      <w:pPr>
        <w:pStyle w:val="33"/>
        <w:pageBreakBefore w:val="0"/>
        <w:widowControl w:val="0"/>
        <w:spacing w:beforeAutospacing="0" w:afterAutospacing="0" w:line="500" w:lineRule="exact"/>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4D6BAB75">
      <w:pPr>
        <w:pStyle w:val="33"/>
        <w:keepNext/>
        <w:keepLines/>
        <w:pageBreakBefore w:val="0"/>
        <w:widowControl w:val="0"/>
        <w:spacing w:beforeAutospacing="0" w:afterAutospacing="0" w:line="500" w:lineRule="exact"/>
        <w:ind w:firstLine="600"/>
        <w:jc w:val="both"/>
        <w:rPr>
          <w:rFonts w:hint="eastAsia" w:ascii="宋体" w:hAnsi="宋体" w:eastAsia="宋体" w:cs="宋体"/>
          <w:color w:val="auto"/>
          <w:sz w:val="24"/>
          <w:szCs w:val="24"/>
          <w:highlight w:val="none"/>
        </w:rPr>
      </w:pPr>
      <w:bookmarkStart w:id="153" w:name="_Toc22536"/>
      <w:bookmarkStart w:id="154" w:name="_Toc7364"/>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履约保证金</w:t>
      </w:r>
      <w:bookmarkEnd w:id="153"/>
      <w:bookmarkEnd w:id="154"/>
    </w:p>
    <w:p w14:paraId="30B6C83A">
      <w:pPr>
        <w:pageBreakBefore w:val="0"/>
        <w:spacing w:line="560" w:lineRule="exact"/>
        <w:ind w:firstLine="480"/>
        <w:rPr>
          <w:rFonts w:hint="eastAsia" w:ascii="宋体" w:hAnsi="宋体" w:eastAsia="宋体" w:cs="宋体"/>
          <w:color w:val="auto"/>
          <w:sz w:val="24"/>
          <w:szCs w:val="24"/>
          <w:highlight w:val="none"/>
        </w:rPr>
      </w:pPr>
      <w:bookmarkStart w:id="155" w:name="_Toc120614221"/>
      <w:bookmarkStart w:id="156" w:name="_Toc479757207"/>
      <w:bookmarkStart w:id="157" w:name="_Toc513029242"/>
      <w:bookmarkStart w:id="158" w:name="_Toc16938558"/>
      <w:bookmarkStart w:id="159" w:name="_Toc20823314"/>
      <w:r>
        <w:rPr>
          <w:rFonts w:hint="eastAsia" w:ascii="宋体" w:hAnsi="宋体" w:eastAsia="宋体" w:cs="宋体"/>
          <w:color w:val="auto"/>
          <w:sz w:val="24"/>
          <w:szCs w:val="24"/>
          <w:highlight w:val="none"/>
        </w:rPr>
        <w:t>签订合同前中标方须交纳</w:t>
      </w:r>
      <w:r>
        <w:rPr>
          <w:rFonts w:hint="eastAsia" w:ascii="宋体" w:hAnsi="宋体" w:eastAsia="宋体" w:cs="宋体"/>
          <w:b/>
          <w:bCs/>
          <w:color w:val="auto"/>
          <w:sz w:val="24"/>
          <w:szCs w:val="24"/>
          <w:highlight w:val="none"/>
        </w:rPr>
        <w:t>中标额</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的履约保证金到</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指定账户；允许</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自主选择以支票、汇票、本票、保函</w:t>
      </w:r>
      <w:r>
        <w:rPr>
          <w:rFonts w:hint="eastAsia" w:ascii="宋体" w:hAnsi="宋体" w:eastAsia="宋体" w:cs="宋体"/>
          <w:color w:val="auto"/>
          <w:sz w:val="24"/>
          <w:szCs w:val="24"/>
          <w:highlight w:val="none"/>
          <w:lang w:eastAsia="zh-CN"/>
        </w:rPr>
        <w:t>、</w:t>
      </w:r>
      <w:r>
        <w:rPr>
          <w:rFonts w:ascii="宋体" w:hAnsi="宋体" w:eastAsia="宋体" w:cs="宋体"/>
          <w:color w:val="auto"/>
          <w:sz w:val="24"/>
          <w:highlight w:val="none"/>
        </w:rPr>
        <w:t>政府采购电子履约保函（保险）平台（www.jsdzbh.com）在线申请履约保函（保险）</w:t>
      </w:r>
      <w:r>
        <w:rPr>
          <w:rFonts w:hint="eastAsia" w:ascii="宋体" w:hAnsi="宋体" w:eastAsia="宋体" w:cs="宋体"/>
          <w:color w:val="auto"/>
          <w:sz w:val="24"/>
          <w:szCs w:val="24"/>
          <w:highlight w:val="none"/>
        </w:rPr>
        <w:t>等非现金形式缴纳或提交</w:t>
      </w:r>
      <w:r>
        <w:rPr>
          <w:rFonts w:ascii="宋体" w:hAnsi="宋体" w:eastAsia="宋体" w:cs="宋体"/>
          <w:color w:val="auto"/>
          <w:sz w:val="24"/>
          <w:highlight w:val="none"/>
        </w:rPr>
        <w:t>。</w:t>
      </w:r>
      <w:r>
        <w:rPr>
          <w:rFonts w:hint="eastAsia" w:ascii="宋体" w:hAnsi="宋体" w:eastAsia="宋体" w:cs="宋体"/>
          <w:color w:val="auto"/>
          <w:sz w:val="24"/>
          <w:szCs w:val="24"/>
          <w:highlight w:val="none"/>
        </w:rPr>
        <w:t>根据合同履行情况，中标单位在履约期内无违约行为的，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在验收合格后15日内全额退还履约保证金，不计利息。</w:t>
      </w:r>
    </w:p>
    <w:p w14:paraId="1B2DDFD0">
      <w:pPr>
        <w:pageBreakBefore w:val="0"/>
        <w:spacing w:line="560" w:lineRule="exact"/>
        <w:ind w:firstLine="480"/>
        <w:rPr>
          <w:rFonts w:ascii="宋体" w:hAnsi="宋体" w:eastAsia="宋体" w:cs="宋体"/>
          <w:color w:val="auto"/>
          <w:sz w:val="24"/>
          <w:highlight w:val="none"/>
        </w:rPr>
      </w:pP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对第三方信用服务机构依据标准规范评定为AA级及以上的政府采购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（需在签订采购合同前提供信用管理部门备案的第三方信用报告，且信用报告通过“信用盐城网”可查实），</w:t>
      </w:r>
      <w:r>
        <w:rPr>
          <w:rFonts w:ascii="宋体" w:hAnsi="宋体" w:eastAsia="宋体" w:cs="宋体"/>
          <w:color w:val="auto"/>
          <w:sz w:val="24"/>
          <w:highlight w:val="none"/>
        </w:rPr>
        <w:t>可免收履约保证金或降低履约保证金缴纳比例。具体操作流程请按射财库【2021】17号文和射财库【2021】20号文执行。</w:t>
      </w:r>
    </w:p>
    <w:p w14:paraId="2949289A">
      <w:pPr>
        <w:pageBreakBefore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依据《关于在全省政府采购领域推行电子履约保函（保险）的通知》，鼓励供应商自愿使用履约保函（保险）代替缴纳履约保证金。</w:t>
      </w:r>
    </w:p>
    <w:p w14:paraId="7906EA3B">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、政府采购履约资金扶持政策</w:t>
      </w:r>
      <w:bookmarkEnd w:id="155"/>
      <w:bookmarkEnd w:id="156"/>
      <w:bookmarkEnd w:id="157"/>
      <w:bookmarkEnd w:id="158"/>
      <w:bookmarkEnd w:id="159"/>
    </w:p>
    <w:p w14:paraId="5F231F3C">
      <w:pPr>
        <w:pStyle w:val="33"/>
        <w:keepNext/>
        <w:pageBreakBefore w:val="0"/>
        <w:widowControl w:val="0"/>
        <w:spacing w:beforeAutospacing="0" w:afterAutospacing="0"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792238E5">
      <w:pPr>
        <w:pStyle w:val="33"/>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95F7A7">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6E9D273">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705AF1B">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C9455F2">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4DBC96">
      <w:pPr>
        <w:pStyle w:val="33"/>
        <w:keepNext/>
        <w:keepLines/>
        <w:spacing w:before="260" w:beforeAutospacing="0" w:after="260" w:afterAutospacing="0" w:line="415" w:lineRule="auto"/>
        <w:jc w:val="center"/>
        <w:outlineLvl w:val="0"/>
        <w:rPr>
          <w:rFonts w:hint="default" w:ascii="宋体" w:hAnsi="宋体" w:eastAsia="宋体" w:cs="宋体"/>
          <w:color w:val="auto"/>
          <w:highlight w:val="none"/>
          <w:lang w:val="en-US" w:eastAsia="zh-CN"/>
        </w:rPr>
      </w:pPr>
      <w:bookmarkStart w:id="160" w:name="_Toc16938559"/>
      <w:bookmarkStart w:id="161" w:name="_Toc513029243"/>
      <w:bookmarkStart w:id="162" w:name="_Toc20823315"/>
      <w:bookmarkStart w:id="163" w:name="_Toc31350"/>
      <w:r>
        <w:rPr>
          <w:rFonts w:hint="eastAsia" w:ascii="宋体" w:hAnsi="宋体" w:eastAsia="宋体" w:cs="宋体"/>
          <w:b/>
          <w:color w:val="auto"/>
          <w:sz w:val="44"/>
          <w:szCs w:val="44"/>
          <w:highlight w:val="none"/>
        </w:rPr>
        <w:t>第三章  合同文本</w:t>
      </w:r>
      <w:bookmarkEnd w:id="160"/>
      <w:bookmarkEnd w:id="161"/>
      <w:bookmarkEnd w:id="162"/>
      <w:r>
        <w:rPr>
          <w:rFonts w:hint="eastAsia" w:ascii="宋体" w:hAnsi="宋体" w:eastAsia="宋体" w:cs="宋体"/>
          <w:color w:val="auto"/>
          <w:highlight w:val="none"/>
        </w:rPr>
        <w:t> </w:t>
      </w:r>
      <w:bookmarkEnd w:id="163"/>
    </w:p>
    <w:p w14:paraId="26E3F60B">
      <w:pPr>
        <w:spacing w:before="120" w:after="120" w:line="360" w:lineRule="auto"/>
        <w:jc w:val="center"/>
        <w:outlineLvl w:val="0"/>
        <w:rPr>
          <w:rFonts w:hint="eastAsia" w:ascii="黑体" w:hAnsi="宋体" w:eastAsia="黑体" w:cs="黑体"/>
          <w:color w:val="auto"/>
          <w:sz w:val="44"/>
          <w:szCs w:val="44"/>
          <w:highlight w:val="none"/>
        </w:rPr>
      </w:pPr>
      <w:bookmarkStart w:id="164" w:name="_Toc276"/>
      <w:bookmarkStart w:id="165" w:name="_Toc120614244"/>
      <w:bookmarkStart w:id="166" w:name="_Toc20823346"/>
      <w:bookmarkStart w:id="167" w:name="_Toc479757211"/>
      <w:bookmarkStart w:id="168" w:name="_Toc462564139"/>
      <w:bookmarkStart w:id="169" w:name="_Toc16938590"/>
      <w:bookmarkStart w:id="170" w:name="_Hlt16619350"/>
      <w:bookmarkStart w:id="171" w:name="_Hlt16619369"/>
      <w:r>
        <w:rPr>
          <w:rFonts w:hint="eastAsia" w:ascii="黑体" w:hAnsi="黑体" w:eastAsia="黑体" w:cs="黑体"/>
          <w:bCs/>
          <w:color w:val="auto"/>
          <w:sz w:val="30"/>
          <w:szCs w:val="30"/>
          <w:highlight w:val="none"/>
        </w:rPr>
        <w:t>政府采购合同（服务）</w:t>
      </w:r>
      <w:bookmarkEnd w:id="164"/>
    </w:p>
    <w:p w14:paraId="36F9DE2C">
      <w:pPr>
        <w:spacing w:before="120" w:after="120" w:line="360" w:lineRule="auto"/>
        <w:jc w:val="center"/>
        <w:outlineLvl w:val="0"/>
        <w:rPr>
          <w:rFonts w:hint="eastAsia" w:ascii="黑体" w:hAnsi="黑体" w:eastAsia="黑体" w:cs="黑体"/>
          <w:bCs/>
          <w:color w:val="auto"/>
          <w:sz w:val="30"/>
          <w:szCs w:val="30"/>
          <w:highlight w:val="none"/>
        </w:rPr>
      </w:pPr>
      <w:bookmarkStart w:id="172" w:name="_Toc5369"/>
      <w:r>
        <w:rPr>
          <w:rFonts w:hint="eastAsia" w:ascii="黑体" w:hAnsi="黑体" w:eastAsia="黑体" w:cs="黑体"/>
          <w:bCs/>
          <w:color w:val="auto"/>
          <w:sz w:val="30"/>
          <w:szCs w:val="30"/>
          <w:highlight w:val="none"/>
        </w:rPr>
        <w:t>（项目编号：）</w:t>
      </w:r>
      <w:bookmarkEnd w:id="172"/>
    </w:p>
    <w:p w14:paraId="4B183D3D">
      <w:pPr>
        <w:pStyle w:val="206"/>
        <w:keepNext w:val="0"/>
        <w:keepLines w:val="0"/>
        <w:pageBreakBefore w:val="0"/>
        <w:spacing w:line="360" w:lineRule="auto"/>
        <w:ind w:firstLine="480"/>
        <w:rPr>
          <w:rFonts w:ascii="新宋体" w:hAnsi="新宋体" w:eastAsia="新宋体" w:cs="新宋体"/>
          <w:color w:val="auto"/>
          <w:sz w:val="24"/>
          <w:highlight w:val="none"/>
        </w:rPr>
      </w:pPr>
      <w:r>
        <w:rPr>
          <w:rFonts w:ascii="新宋体" w:hAnsi="新宋体" w:eastAsia="新宋体" w:cs="新宋体"/>
          <w:color w:val="auto"/>
          <w:sz w:val="24"/>
          <w:highlight w:val="none"/>
        </w:rPr>
        <w:t>项目名称：</w:t>
      </w:r>
    </w:p>
    <w:p w14:paraId="5BA259DC">
      <w:pPr>
        <w:pStyle w:val="206"/>
        <w:keepNext w:val="0"/>
        <w:keepLines w:val="0"/>
        <w:pageBreakBefore w:val="0"/>
        <w:spacing w:line="360" w:lineRule="auto"/>
        <w:ind w:firstLine="480"/>
        <w:rPr>
          <w:rFonts w:ascii="新宋体" w:hAnsi="新宋体" w:eastAsia="新宋体" w:cs="新宋体"/>
          <w:color w:val="auto"/>
          <w:sz w:val="24"/>
          <w:highlight w:val="none"/>
        </w:rPr>
      </w:pPr>
      <w:r>
        <w:rPr>
          <w:rFonts w:ascii="新宋体" w:hAnsi="新宋体" w:eastAsia="新宋体" w:cs="新宋体"/>
          <w:color w:val="auto"/>
          <w:sz w:val="24"/>
          <w:highlight w:val="none"/>
        </w:rPr>
        <w:t xml:space="preserve">甲方：（买方）                          </w:t>
      </w:r>
    </w:p>
    <w:p w14:paraId="7E3313AD">
      <w:pPr>
        <w:pStyle w:val="206"/>
        <w:keepNext w:val="0"/>
        <w:keepLines w:val="0"/>
        <w:pageBreakBefore w:val="0"/>
        <w:spacing w:line="360" w:lineRule="auto"/>
        <w:ind w:firstLine="480"/>
        <w:rPr>
          <w:rFonts w:ascii="新宋体" w:hAnsi="新宋体" w:eastAsia="新宋体" w:cs="新宋体"/>
          <w:color w:val="auto"/>
          <w:sz w:val="24"/>
          <w:highlight w:val="none"/>
        </w:rPr>
      </w:pPr>
      <w:r>
        <w:rPr>
          <w:rFonts w:ascii="新宋体" w:hAnsi="新宋体" w:eastAsia="新宋体" w:cs="新宋体"/>
          <w:color w:val="auto"/>
          <w:sz w:val="24"/>
          <w:highlight w:val="none"/>
        </w:rPr>
        <w:t xml:space="preserve">乙方：（卖方）                         </w:t>
      </w:r>
    </w:p>
    <w:p w14:paraId="5387A8C7">
      <w:pPr>
        <w:pStyle w:val="206"/>
        <w:keepNext w:val="0"/>
        <w:keepLines w:val="0"/>
        <w:pageBreakBefore w:val="0"/>
        <w:spacing w:line="360" w:lineRule="auto"/>
        <w:ind w:firstLine="480"/>
        <w:rPr>
          <w:rFonts w:ascii="新宋体" w:hAnsi="新宋体" w:eastAsia="新宋体" w:cs="新宋体"/>
          <w:color w:val="auto"/>
          <w:sz w:val="24"/>
          <w:highlight w:val="none"/>
        </w:rPr>
      </w:pPr>
      <w:r>
        <w:rPr>
          <w:rFonts w:ascii="新宋体" w:hAnsi="新宋体" w:eastAsia="新宋体" w:cs="新宋体"/>
          <w:color w:val="auto"/>
          <w:sz w:val="24"/>
          <w:highlight w:val="none"/>
        </w:rPr>
        <w:t>甲、乙双方根据</w:t>
      </w:r>
      <w:r>
        <w:rPr>
          <w:rFonts w:hint="eastAsia" w:ascii="宋体" w:hAnsi="宋体" w:cs="宋体"/>
          <w:b w:val="0"/>
          <w:bCs/>
          <w:color w:val="auto"/>
          <w:sz w:val="24"/>
          <w:szCs w:val="24"/>
          <w:highlight w:val="none"/>
          <w:u w:val="single"/>
          <w:lang w:val="en-US" w:eastAsia="zh-CN"/>
        </w:rPr>
        <w:t>射阳县残疾人联合会2026年射阳县0-74周岁残疾人意外伤害保险经办机构采购项目</w:t>
      </w:r>
      <w:r>
        <w:rPr>
          <w:rFonts w:hint="eastAsia" w:ascii="宋体" w:hAnsi="宋体" w:eastAsia="宋体" w:cs="宋体"/>
          <w:i w:val="0"/>
          <w:iCs w:val="0"/>
          <w:caps w:val="0"/>
          <w:color w:val="auto"/>
          <w:spacing w:val="0"/>
          <w:sz w:val="24"/>
          <w:szCs w:val="24"/>
          <w:highlight w:val="none"/>
          <w:shd w:val="clear" w:color="auto" w:fill="FFFFFF"/>
        </w:rPr>
        <w:t>竞争性磋商</w:t>
      </w:r>
      <w:r>
        <w:rPr>
          <w:rFonts w:ascii="新宋体" w:hAnsi="新宋体" w:eastAsia="新宋体" w:cs="新宋体"/>
          <w:color w:val="auto"/>
          <w:sz w:val="24"/>
          <w:highlight w:val="none"/>
        </w:rPr>
        <w:t>的结果，签署本合同。</w:t>
      </w:r>
    </w:p>
    <w:p w14:paraId="7DEE20D6">
      <w:pPr>
        <w:keepNext w:val="0"/>
        <w:keepLines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合同内容</w:t>
      </w:r>
    </w:p>
    <w:p w14:paraId="7C71F9FC">
      <w:pPr>
        <w:tabs>
          <w:tab w:val="left" w:pos="720"/>
        </w:tabs>
        <w:spacing w:before="120" w:beforeLines="50" w:after="120" w:afterLines="50" w:line="360" w:lineRule="auto"/>
        <w:rPr>
          <w:rFonts w:hint="eastAsia" w:hAnsi="宋体" w:eastAsia="宋体" w:cs="宋体"/>
          <w:b/>
          <w:color w:val="auto"/>
          <w:sz w:val="24"/>
          <w:szCs w:val="24"/>
          <w:highlight w:val="none"/>
        </w:rPr>
      </w:pPr>
      <w:bookmarkStart w:id="173" w:name="_Toc3972"/>
      <w:bookmarkStart w:id="174" w:name="_Toc15235"/>
      <w:r>
        <w:rPr>
          <w:rFonts w:hint="eastAsia" w:hAnsi="宋体" w:eastAsia="宋体" w:cs="宋体"/>
          <w:b/>
          <w:color w:val="auto"/>
          <w:sz w:val="24"/>
          <w:szCs w:val="24"/>
          <w:highlight w:val="none"/>
        </w:rPr>
        <w:t>一、基本事项</w:t>
      </w:r>
      <w:bookmarkEnd w:id="173"/>
      <w:bookmarkEnd w:id="174"/>
    </w:p>
    <w:p w14:paraId="4B29EA08">
      <w:pPr>
        <w:tabs>
          <w:tab w:val="left" w:pos="900"/>
        </w:tabs>
        <w:spacing w:after="120" w:afterLines="50" w:line="360" w:lineRule="auto"/>
        <w:ind w:firstLine="480" w:firstLineChars="200"/>
        <w:rPr>
          <w:rFonts w:hint="eastAsia" w:hAnsi="宋体" w:eastAsia="宋体" w:cs="宋体"/>
          <w:color w:val="auto"/>
          <w:sz w:val="24"/>
          <w:szCs w:val="24"/>
          <w:highlight w:val="none"/>
        </w:rPr>
      </w:pPr>
      <w:bookmarkStart w:id="175" w:name="_Toc906"/>
      <w:bookmarkStart w:id="176" w:name="_Toc19973"/>
      <w:r>
        <w:rPr>
          <w:rFonts w:hint="eastAsia" w:hAnsi="宋体" w:eastAsia="宋体" w:cs="宋体"/>
          <w:color w:val="auto"/>
          <w:sz w:val="24"/>
          <w:szCs w:val="24"/>
          <w:highlight w:val="none"/>
        </w:rPr>
        <w:t>（一）投保人</w:t>
      </w:r>
      <w:bookmarkEnd w:id="175"/>
      <w:bookmarkEnd w:id="176"/>
    </w:p>
    <w:p w14:paraId="7371E3EE">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甲方为投保人，承担本协议约定的缴纳保险费义务。</w:t>
      </w:r>
    </w:p>
    <w:p w14:paraId="079226B2">
      <w:pPr>
        <w:tabs>
          <w:tab w:val="left" w:pos="900"/>
        </w:tabs>
        <w:spacing w:after="120" w:afterLines="50" w:line="360" w:lineRule="auto"/>
        <w:ind w:firstLine="480" w:firstLineChars="200"/>
        <w:rPr>
          <w:rFonts w:hint="eastAsia" w:hAnsi="宋体" w:eastAsia="宋体" w:cs="宋体"/>
          <w:color w:val="auto"/>
          <w:sz w:val="24"/>
          <w:szCs w:val="24"/>
          <w:highlight w:val="none"/>
        </w:rPr>
      </w:pPr>
      <w:bookmarkStart w:id="177" w:name="_Toc18482"/>
      <w:bookmarkStart w:id="178" w:name="_Toc22833"/>
      <w:r>
        <w:rPr>
          <w:rFonts w:hint="eastAsia" w:hAnsi="宋体" w:eastAsia="宋体" w:cs="宋体"/>
          <w:color w:val="auto"/>
          <w:sz w:val="24"/>
          <w:szCs w:val="24"/>
          <w:highlight w:val="none"/>
        </w:rPr>
        <w:t>（二）被保险人</w:t>
      </w:r>
      <w:bookmarkEnd w:id="177"/>
      <w:bookmarkEnd w:id="178"/>
    </w:p>
    <w:p w14:paraId="67B9CA0A">
      <w:pPr>
        <w:tabs>
          <w:tab w:val="left" w:pos="900"/>
        </w:tabs>
        <w:spacing w:after="120" w:afterLines="50" w:line="360" w:lineRule="auto"/>
        <w:ind w:firstLine="480" w:firstLineChars="200"/>
        <w:rPr>
          <w:rFonts w:hint="eastAsia" w:ascii="宋体" w:hAnsi="宋体" w:eastAsia="宋体" w:cs="宋体"/>
          <w:color w:val="auto"/>
          <w:sz w:val="24"/>
          <w:szCs w:val="24"/>
          <w:highlight w:val="none"/>
        </w:rPr>
      </w:pPr>
      <w:bookmarkStart w:id="179" w:name="_Toc292456781"/>
      <w:bookmarkStart w:id="180" w:name="_Toc292456862"/>
      <w:r>
        <w:rPr>
          <w:rFonts w:hint="eastAsia" w:ascii="宋体" w:hAnsi="宋体" w:eastAsia="宋体" w:cs="宋体"/>
          <w:color w:val="auto"/>
          <w:sz w:val="24"/>
          <w:szCs w:val="24"/>
          <w:highlight w:val="none"/>
        </w:rPr>
        <w:t>具有盐城市射阳县户籍、在本县因学习、婚姻、就业居住一年以上，年龄符合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-74周岁，持有有效期内的第二代、第三代《</w:t>
      </w:r>
      <w:r>
        <w:rPr>
          <w:rFonts w:hint="eastAsia" w:ascii="宋体" w:hAnsi="宋体" w:eastAsia="宋体" w:cs="宋体"/>
          <w:color w:val="auto"/>
          <w:sz w:val="24"/>
          <w:szCs w:val="24"/>
          <w:highlight w:val="none"/>
          <w:lang w:eastAsia="zh-CN"/>
        </w:rPr>
        <w:t>中华人民共和国</w:t>
      </w:r>
      <w:r>
        <w:rPr>
          <w:rFonts w:hint="eastAsia" w:ascii="宋体" w:hAnsi="宋体" w:eastAsia="宋体" w:cs="宋体"/>
          <w:color w:val="auto"/>
          <w:sz w:val="24"/>
          <w:szCs w:val="24"/>
          <w:highlight w:val="none"/>
        </w:rPr>
        <w:t>残疾人证》，未享受政府有关部门购买意外伤害险的各类残疾人</w:t>
      </w:r>
      <w:r>
        <w:rPr>
          <w:rFonts w:hint="eastAsia" w:ascii="宋体" w:hAnsi="宋体" w:eastAsia="宋体" w:cs="宋体"/>
          <w:color w:val="auto"/>
          <w:sz w:val="24"/>
          <w:szCs w:val="24"/>
          <w:highlight w:val="none"/>
          <w:lang w:eastAsia="zh-CN"/>
        </w:rPr>
        <w:t>（含合同期内新评残的人员）</w:t>
      </w:r>
      <w:r>
        <w:rPr>
          <w:rFonts w:hint="eastAsia" w:ascii="宋体" w:hAnsi="宋体" w:eastAsia="宋体" w:cs="宋体"/>
          <w:color w:val="auto"/>
          <w:sz w:val="24"/>
          <w:szCs w:val="24"/>
          <w:highlight w:val="none"/>
        </w:rPr>
        <w:t>。</w:t>
      </w:r>
    </w:p>
    <w:p w14:paraId="4007443F">
      <w:pPr>
        <w:tabs>
          <w:tab w:val="left" w:pos="900"/>
        </w:tabs>
        <w:spacing w:after="120" w:afterLines="50" w:line="360" w:lineRule="auto"/>
        <w:ind w:firstLine="480" w:firstLineChars="200"/>
        <w:rPr>
          <w:rFonts w:hint="eastAsia" w:hAnsi="宋体" w:eastAsia="宋体" w:cs="宋体"/>
          <w:color w:val="auto"/>
          <w:sz w:val="24"/>
          <w:szCs w:val="24"/>
          <w:highlight w:val="none"/>
        </w:rPr>
      </w:pPr>
      <w:bookmarkStart w:id="181" w:name="_Toc16142"/>
      <w:bookmarkStart w:id="182" w:name="_Toc7477"/>
      <w:r>
        <w:rPr>
          <w:rFonts w:hint="eastAsia" w:hAnsi="宋体" w:eastAsia="宋体" w:cs="宋体"/>
          <w:color w:val="auto"/>
          <w:sz w:val="24"/>
          <w:szCs w:val="24"/>
          <w:highlight w:val="none"/>
        </w:rPr>
        <w:t>（三）</w:t>
      </w:r>
      <w:bookmarkEnd w:id="179"/>
      <w:bookmarkEnd w:id="180"/>
      <w:r>
        <w:rPr>
          <w:rFonts w:hint="eastAsia" w:hAnsi="宋体" w:eastAsia="宋体" w:cs="宋体"/>
          <w:color w:val="auto"/>
          <w:sz w:val="24"/>
          <w:szCs w:val="24"/>
          <w:highlight w:val="none"/>
        </w:rPr>
        <w:t>保险公司</w:t>
      </w:r>
      <w:bookmarkEnd w:id="181"/>
      <w:bookmarkEnd w:id="182"/>
    </w:p>
    <w:p w14:paraId="6151C7F2">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乙方为保险公司，承担本协议约定的各项保险责任。</w:t>
      </w:r>
    </w:p>
    <w:p w14:paraId="53072169">
      <w:pPr>
        <w:tabs>
          <w:tab w:val="left" w:pos="720"/>
        </w:tabs>
        <w:spacing w:before="120" w:beforeLines="50" w:after="120" w:afterLines="50" w:line="360" w:lineRule="auto"/>
        <w:rPr>
          <w:rFonts w:hint="eastAsia" w:hAnsi="宋体" w:eastAsia="宋体" w:cs="宋体"/>
          <w:b/>
          <w:color w:val="auto"/>
          <w:sz w:val="24"/>
          <w:szCs w:val="24"/>
          <w:highlight w:val="none"/>
        </w:rPr>
      </w:pPr>
      <w:bookmarkStart w:id="183" w:name="_Toc22273"/>
      <w:bookmarkStart w:id="184" w:name="_Toc22453"/>
      <w:r>
        <w:rPr>
          <w:rFonts w:hint="eastAsia" w:hAnsi="宋体" w:eastAsia="宋体" w:cs="宋体"/>
          <w:b/>
          <w:color w:val="auto"/>
          <w:sz w:val="24"/>
          <w:szCs w:val="24"/>
          <w:highlight w:val="none"/>
        </w:rPr>
        <w:t>二、保险合同的构成及效力</w:t>
      </w:r>
      <w:bookmarkEnd w:id="183"/>
      <w:bookmarkEnd w:id="184"/>
    </w:p>
    <w:p w14:paraId="6E63A59A">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保险合同由以下部分构成：</w:t>
      </w:r>
    </w:p>
    <w:p w14:paraId="1EAA0C21">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（一）本保险协议及形成协议的其他有关文件；</w:t>
      </w:r>
    </w:p>
    <w:p w14:paraId="1CFAF88F">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（二）保险服务协议；</w:t>
      </w:r>
    </w:p>
    <w:p w14:paraId="611F0B9B">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（三）保险单及保险条款、批单； </w:t>
      </w:r>
    </w:p>
    <w:p w14:paraId="2BD423B7">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（四）甲方投保材料；</w:t>
      </w:r>
    </w:p>
    <w:p w14:paraId="0CF4B04B">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（五）磋商文件及磋商文件澄清、响应文件及响应文件澄清、中标通知书、公开磋商达成的书面文件、承诺书等保险采购等所有的附件文件。</w:t>
      </w:r>
    </w:p>
    <w:p w14:paraId="15570873">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上述文件互为补充和解释，如有相互矛盾之处，以本协议为准。</w:t>
      </w:r>
    </w:p>
    <w:p w14:paraId="31746199">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协议的适用保险条款和保险费率应符合中国银行保险监督管理委员会关于保险条款和保险费率的相关规定，若有必要应由乙方负责将适用保险条款和保险费率报送中国银行保险监督管理委员会审批或者备案，乙方对适用保险条款和保险费率合规性负责。</w:t>
      </w:r>
    </w:p>
    <w:p w14:paraId="51A894CE">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特别约定：本协议约定事项（除责任免除、保全及理赔事项外）与适用保险条款不一致时，以本协议为准，本协议约定事项（除责任免除、保全及理赔事项外）与适用保险条款相比存在未尽事宜，以适用保险条款为准。本协议约定的责任免除、保全及理赔事项与适用保险条款不一致时，适用保险条款所列的责任免除、保全及理赔事项无效。</w:t>
      </w:r>
    </w:p>
    <w:p w14:paraId="5AB72838">
      <w:pPr>
        <w:tabs>
          <w:tab w:val="left" w:pos="720"/>
        </w:tabs>
        <w:spacing w:before="120" w:beforeLines="50" w:after="120" w:afterLines="50" w:line="360" w:lineRule="auto"/>
        <w:rPr>
          <w:rFonts w:hint="eastAsia" w:hAnsi="宋体" w:eastAsia="宋体" w:cs="宋体"/>
          <w:b/>
          <w:color w:val="auto"/>
          <w:sz w:val="24"/>
          <w:szCs w:val="24"/>
          <w:highlight w:val="none"/>
        </w:rPr>
      </w:pPr>
      <w:bookmarkStart w:id="185" w:name="_Toc21382"/>
      <w:bookmarkStart w:id="186" w:name="_Toc21568"/>
      <w:r>
        <w:rPr>
          <w:rFonts w:hint="eastAsia" w:hAnsi="宋体" w:eastAsia="宋体" w:cs="宋体"/>
          <w:b/>
          <w:color w:val="auto"/>
          <w:sz w:val="24"/>
          <w:szCs w:val="24"/>
          <w:highlight w:val="none"/>
        </w:rPr>
        <w:t>三、保险期间</w:t>
      </w:r>
      <w:bookmarkEnd w:id="185"/>
      <w:bookmarkEnd w:id="186"/>
    </w:p>
    <w:p w14:paraId="28F6091A">
      <w:pPr>
        <w:tabs>
          <w:tab w:val="left" w:pos="720"/>
        </w:tabs>
        <w:spacing w:before="120" w:beforeLines="50" w:after="120" w:afterLines="50" w:line="360" w:lineRule="auto"/>
        <w:rPr>
          <w:rFonts w:hint="eastAsia" w:hAnsi="宋体" w:eastAsia="宋体" w:cs="宋体"/>
          <w:color w:val="auto"/>
          <w:sz w:val="24"/>
          <w:szCs w:val="24"/>
          <w:highlight w:val="none"/>
        </w:rPr>
      </w:pPr>
      <w:bookmarkStart w:id="187" w:name="_Toc23405"/>
      <w:bookmarkStart w:id="188" w:name="_Toc8969"/>
      <w:r>
        <w:rPr>
          <w:rFonts w:hint="eastAsia" w:hAnsi="宋体" w:eastAsia="宋体" w:cs="宋体"/>
          <w:color w:val="auto"/>
          <w:sz w:val="24"/>
          <w:szCs w:val="24"/>
          <w:highlight w:val="none"/>
        </w:rPr>
        <w:t>保期：</w:t>
      </w:r>
      <w:r>
        <w:rPr>
          <w:rFonts w:hint="eastAsia" w:ascii="宋体" w:hAnsi="宋体" w:eastAsia="宋体" w:cs="宋体"/>
          <w:bCs/>
          <w:color w:val="auto"/>
          <w:sz w:val="24"/>
          <w:szCs w:val="24"/>
          <w:highlight w:val="none"/>
          <w:lang w:val="en-US" w:eastAsia="zh-CN"/>
        </w:rPr>
        <w:t>2026年9月3日至2028年9月2日，合同一年一签，经采购人考核合格后方可续签下一年服务合同，否则采购人有权终止合同，重新组织招标。</w:t>
      </w:r>
    </w:p>
    <w:p w14:paraId="3257C610">
      <w:pPr>
        <w:tabs>
          <w:tab w:val="left" w:pos="720"/>
        </w:tabs>
        <w:spacing w:before="120" w:beforeLines="50" w:after="120" w:afterLines="50"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四、保险费</w:t>
      </w:r>
      <w:bookmarkEnd w:id="187"/>
      <w:bookmarkEnd w:id="188"/>
    </w:p>
    <w:p w14:paraId="264F7511">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被保险人保险费为 40 元/人/年，保险费总计为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元。</w:t>
      </w:r>
    </w:p>
    <w:p w14:paraId="72AE25D5">
      <w:pPr>
        <w:tabs>
          <w:tab w:val="left" w:pos="720"/>
        </w:tabs>
        <w:spacing w:before="120" w:beforeLines="50" w:after="120" w:afterLines="50" w:line="360" w:lineRule="auto"/>
        <w:rPr>
          <w:rFonts w:hint="eastAsia" w:hAnsi="宋体" w:eastAsia="宋体" w:cs="宋体"/>
          <w:b/>
          <w:color w:val="auto"/>
          <w:sz w:val="24"/>
          <w:szCs w:val="24"/>
          <w:highlight w:val="none"/>
        </w:rPr>
      </w:pPr>
      <w:bookmarkStart w:id="189" w:name="_Toc28342"/>
      <w:bookmarkStart w:id="190" w:name="_Toc3245"/>
      <w:r>
        <w:rPr>
          <w:rFonts w:hint="eastAsia" w:hAnsi="宋体" w:eastAsia="宋体" w:cs="宋体"/>
          <w:b/>
          <w:color w:val="auto"/>
          <w:sz w:val="24"/>
          <w:szCs w:val="24"/>
          <w:highlight w:val="none"/>
        </w:rPr>
        <w:t>五、投保、出单与保险费支付</w:t>
      </w:r>
      <w:bookmarkEnd w:id="189"/>
      <w:bookmarkEnd w:id="190"/>
    </w:p>
    <w:p w14:paraId="5FBD1025">
      <w:pPr>
        <w:tabs>
          <w:tab w:val="left" w:pos="900"/>
        </w:tabs>
        <w:spacing w:after="120" w:afterLines="50" w:line="360" w:lineRule="auto"/>
        <w:ind w:firstLine="480" w:firstLineChars="200"/>
        <w:rPr>
          <w:rFonts w:hint="eastAsia" w:hAnsi="宋体" w:eastAsia="宋体" w:cs="宋体"/>
          <w:color w:val="auto"/>
          <w:sz w:val="24"/>
          <w:szCs w:val="24"/>
          <w:highlight w:val="none"/>
        </w:rPr>
      </w:pPr>
      <w:bookmarkStart w:id="191" w:name="_Toc11526"/>
      <w:bookmarkStart w:id="192" w:name="_Toc192"/>
      <w:r>
        <w:rPr>
          <w:rFonts w:hint="eastAsia" w:hAnsi="宋体" w:eastAsia="宋体" w:cs="宋体"/>
          <w:color w:val="auto"/>
          <w:sz w:val="24"/>
          <w:szCs w:val="24"/>
          <w:highlight w:val="none"/>
        </w:rPr>
        <w:t>（一）投保</w:t>
      </w:r>
      <w:bookmarkEnd w:id="191"/>
      <w:bookmarkEnd w:id="192"/>
    </w:p>
    <w:p w14:paraId="7F99EADD">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甲方投保时，须向乙方提供以下材料：</w:t>
      </w:r>
    </w:p>
    <w:p w14:paraId="63773C98">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1、投保单（须加盖甲方公章）。</w:t>
      </w:r>
    </w:p>
    <w:p w14:paraId="0B27AD0A">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2、被保险人清单（须加盖甲方公章）。</w:t>
      </w:r>
    </w:p>
    <w:p w14:paraId="16299ECF">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被保险人信息包括姓名、身份证号码或其他有效证件号码（如无法提供身份证号码或其他有效证件号码，则提供性别、出生日期）、人员类别等</w:t>
      </w:r>
      <w:r>
        <w:rPr>
          <w:rFonts w:hint="eastAsia" w:hAnsi="宋体" w:eastAsia="宋体" w:cs="宋体"/>
          <w:color w:val="auto"/>
          <w:sz w:val="24"/>
          <w:szCs w:val="24"/>
          <w:highlight w:val="none"/>
          <w:lang w:eastAsia="zh-CN"/>
        </w:rPr>
        <w:t>（在合同期内，新评残疾证人员视同列入被保险人清单，以甲方单位发放的残疾证为准）</w:t>
      </w:r>
      <w:r>
        <w:rPr>
          <w:rFonts w:hint="eastAsia" w:hAnsi="宋体" w:eastAsia="宋体" w:cs="宋体"/>
          <w:color w:val="auto"/>
          <w:sz w:val="24"/>
          <w:szCs w:val="24"/>
          <w:highlight w:val="none"/>
        </w:rPr>
        <w:t>。</w:t>
      </w:r>
    </w:p>
    <w:p w14:paraId="0E9247AD">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本协议生效后，每个保险期间的被保险人数由甲方根据最新统计数据整理确定。</w:t>
      </w:r>
    </w:p>
    <w:p w14:paraId="5423B34A">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在保险期间内，若发现被保险人实际情况（姓名、身份证号码或其他有效证件号码、人员类别等）与投保时提供的被保险人清单中的信息不一致时，由甲方开具证明，乙方进行相应信息变更处理。</w:t>
      </w:r>
    </w:p>
    <w:p w14:paraId="0A3AC773">
      <w:pPr>
        <w:tabs>
          <w:tab w:val="left" w:pos="900"/>
        </w:tabs>
        <w:spacing w:after="120" w:afterLines="50" w:line="360" w:lineRule="auto"/>
        <w:ind w:firstLine="480" w:firstLineChars="200"/>
        <w:rPr>
          <w:rFonts w:hint="eastAsia" w:hAnsi="宋体" w:eastAsia="宋体" w:cs="宋体"/>
          <w:color w:val="auto"/>
          <w:sz w:val="24"/>
          <w:szCs w:val="24"/>
          <w:highlight w:val="none"/>
        </w:rPr>
      </w:pPr>
      <w:bookmarkStart w:id="193" w:name="_Toc16480"/>
      <w:r>
        <w:rPr>
          <w:rFonts w:hint="eastAsia" w:hAnsi="宋体" w:eastAsia="宋体" w:cs="宋体"/>
          <w:color w:val="auto"/>
          <w:sz w:val="24"/>
          <w:szCs w:val="24"/>
          <w:highlight w:val="none"/>
        </w:rPr>
        <w:t>（二）出单</w:t>
      </w:r>
      <w:bookmarkEnd w:id="193"/>
    </w:p>
    <w:p w14:paraId="73CE826B">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乙方在收到甲方投保材料及保险费后</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日内，根据本协议的有关内容为甲方出具保险单，并开具保险费增值税发票。</w:t>
      </w:r>
    </w:p>
    <w:p w14:paraId="030F42CD">
      <w:pPr>
        <w:tabs>
          <w:tab w:val="left" w:pos="900"/>
        </w:tabs>
        <w:spacing w:after="120" w:afterLines="50" w:line="360" w:lineRule="auto"/>
        <w:ind w:firstLine="480" w:firstLineChars="200"/>
        <w:rPr>
          <w:rFonts w:hint="eastAsia" w:hAnsi="宋体" w:eastAsia="宋体" w:cs="宋体"/>
          <w:color w:val="auto"/>
          <w:sz w:val="24"/>
          <w:szCs w:val="24"/>
          <w:highlight w:val="none"/>
        </w:rPr>
      </w:pPr>
      <w:bookmarkStart w:id="194" w:name="_Toc24950"/>
      <w:bookmarkStart w:id="195" w:name="_Toc1821"/>
      <w:r>
        <w:rPr>
          <w:rFonts w:hint="eastAsia" w:hAnsi="宋体" w:eastAsia="宋体" w:cs="宋体"/>
          <w:color w:val="auto"/>
          <w:sz w:val="24"/>
          <w:szCs w:val="24"/>
          <w:highlight w:val="none"/>
        </w:rPr>
        <w:t>（三）保险费支付</w:t>
      </w:r>
      <w:bookmarkEnd w:id="194"/>
    </w:p>
    <w:bookmarkEnd w:id="195"/>
    <w:p w14:paraId="23F062F4">
      <w:pPr>
        <w:tabs>
          <w:tab w:val="left" w:pos="900"/>
        </w:tabs>
        <w:spacing w:after="120" w:afterLines="50" w:line="360" w:lineRule="auto"/>
        <w:ind w:firstLine="480" w:firstLineChars="200"/>
        <w:rPr>
          <w:rFonts w:hint="eastAsia" w:hAnsi="宋体" w:eastAsia="宋体" w:cs="宋体"/>
          <w:color w:val="auto"/>
          <w:sz w:val="24"/>
          <w:szCs w:val="24"/>
          <w:highlight w:val="none"/>
        </w:rPr>
      </w:pPr>
      <w:bookmarkStart w:id="196" w:name="_Toc292455829"/>
      <w:r>
        <w:rPr>
          <w:rFonts w:hint="eastAsia" w:hAnsi="宋体" w:eastAsia="宋体" w:cs="宋体"/>
          <w:color w:val="auto"/>
          <w:sz w:val="24"/>
          <w:szCs w:val="24"/>
          <w:highlight w:val="none"/>
          <w:lang w:val="en-US" w:eastAsia="zh-CN"/>
        </w:rPr>
        <w:t>合同签订后，支付实际保费的30%作为预付款。</w:t>
      </w:r>
      <w:r>
        <w:rPr>
          <w:rFonts w:hint="eastAsia" w:hAnsi="宋体" w:eastAsia="宋体" w:cs="宋体"/>
          <w:color w:val="auto"/>
          <w:sz w:val="24"/>
          <w:szCs w:val="24"/>
          <w:highlight w:val="none"/>
        </w:rPr>
        <w:t>被保险人的保险费由甲方全额承担，</w:t>
      </w:r>
      <w:r>
        <w:rPr>
          <w:rFonts w:hint="eastAsia" w:hAnsi="宋体" w:eastAsia="宋体" w:cs="宋体"/>
          <w:color w:val="auto"/>
          <w:sz w:val="24"/>
          <w:szCs w:val="24"/>
          <w:highlight w:val="none"/>
          <w:lang w:eastAsia="zh-CN"/>
        </w:rPr>
        <w:t>在</w:t>
      </w:r>
      <w:r>
        <w:rPr>
          <w:rFonts w:hint="eastAsia" w:hAnsi="宋体" w:eastAsia="宋体" w:cs="宋体"/>
          <w:color w:val="auto"/>
          <w:sz w:val="24"/>
          <w:szCs w:val="24"/>
          <w:highlight w:val="none"/>
        </w:rPr>
        <w:t>本协议签署后</w:t>
      </w:r>
      <w:r>
        <w:rPr>
          <w:rFonts w:hint="eastAsia" w:hAnsi="宋体" w:eastAsia="宋体" w:cs="宋体"/>
          <w:color w:val="auto"/>
          <w:sz w:val="24"/>
          <w:szCs w:val="24"/>
          <w:highlight w:val="none"/>
          <w:lang w:val="en-US" w:eastAsia="zh-CN"/>
        </w:rPr>
        <w:t>6个月内，给付至本年度保险费的50%，本年度的合同履行结束后一个月，经甲方考核认可，且赔付率差额全部对接到位的情况下，结清剩余保险费。（如合同签订后，中标单位书面明确表示无需预付款或者主动要求降低预付款比例的，由双方另行商定）</w:t>
      </w:r>
    </w:p>
    <w:p w14:paraId="06670B39">
      <w:pPr>
        <w:tabs>
          <w:tab w:val="left" w:pos="900"/>
        </w:tabs>
        <w:spacing w:after="120" w:afterLines="50"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六、保险保障内容</w:t>
      </w:r>
      <w:bookmarkEnd w:id="196"/>
    </w:p>
    <w:tbl>
      <w:tblPr>
        <w:tblStyle w:val="37"/>
        <w:tblW w:w="0" w:type="auto"/>
        <w:jc w:val="center"/>
        <w:tblLayout w:type="fixed"/>
        <w:tblCellMar>
          <w:top w:w="0" w:type="dxa"/>
          <w:left w:w="0" w:type="dxa"/>
          <w:bottom w:w="0" w:type="dxa"/>
          <w:right w:w="0" w:type="dxa"/>
        </w:tblCellMar>
      </w:tblPr>
      <w:tblGrid>
        <w:gridCol w:w="1890"/>
        <w:gridCol w:w="1564"/>
        <w:gridCol w:w="2100"/>
        <w:gridCol w:w="4560"/>
      </w:tblGrid>
      <w:tr w14:paraId="3D8D93A6">
        <w:tblPrEx>
          <w:tblCellMar>
            <w:top w:w="0" w:type="dxa"/>
            <w:left w:w="0" w:type="dxa"/>
            <w:bottom w:w="0" w:type="dxa"/>
            <w:right w:w="0" w:type="dxa"/>
          </w:tblCellMar>
        </w:tblPrEx>
        <w:trPr>
          <w:trHeight w:val="520" w:hRule="atLeast"/>
          <w:jc w:val="center"/>
        </w:trPr>
        <w:tc>
          <w:tcPr>
            <w:tcW w:w="189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F8D4637">
            <w:pPr>
              <w:widowControl/>
              <w:spacing w:line="360" w:lineRule="auto"/>
              <w:jc w:val="center"/>
              <w:textAlignment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险种</w:t>
            </w:r>
          </w:p>
        </w:tc>
        <w:tc>
          <w:tcPr>
            <w:tcW w:w="3664" w:type="dxa"/>
            <w:gridSpan w:val="2"/>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B800372">
            <w:pPr>
              <w:widowControl/>
              <w:spacing w:line="360" w:lineRule="auto"/>
              <w:jc w:val="center"/>
              <w:textAlignment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项目</w:t>
            </w:r>
          </w:p>
        </w:tc>
        <w:tc>
          <w:tcPr>
            <w:tcW w:w="456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65E4CB0">
            <w:pPr>
              <w:widowControl/>
              <w:spacing w:line="360" w:lineRule="auto"/>
              <w:jc w:val="center"/>
              <w:textAlignment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保险条件</w:t>
            </w:r>
          </w:p>
        </w:tc>
      </w:tr>
      <w:tr w14:paraId="397DD5DE">
        <w:tblPrEx>
          <w:tblCellMar>
            <w:top w:w="0" w:type="dxa"/>
            <w:left w:w="0" w:type="dxa"/>
            <w:bottom w:w="0" w:type="dxa"/>
            <w:right w:w="0" w:type="dxa"/>
          </w:tblCellMar>
        </w:tblPrEx>
        <w:trPr>
          <w:trHeight w:val="557" w:hRule="atLeast"/>
          <w:jc w:val="center"/>
        </w:trPr>
        <w:tc>
          <w:tcPr>
            <w:tcW w:w="189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A54DEDB">
            <w:pPr>
              <w:widowControl/>
              <w:spacing w:line="360" w:lineRule="auto"/>
              <w:jc w:val="center"/>
              <w:textAlignment w:val="center"/>
              <w:rPr>
                <w:rFonts w:hint="eastAsia" w:hAnsi="宋体" w:eastAsia="宋体" w:cs="宋体"/>
                <w:b/>
                <w:bCs/>
                <w:color w:val="auto"/>
                <w:sz w:val="24"/>
                <w:szCs w:val="24"/>
                <w:highlight w:val="none"/>
              </w:rPr>
            </w:pPr>
            <w:r>
              <w:rPr>
                <w:rFonts w:hint="eastAsia" w:hAnsi="宋体" w:eastAsia="宋体" w:cs="宋体"/>
                <w:b/>
                <w:color w:val="auto"/>
                <w:sz w:val="24"/>
                <w:szCs w:val="24"/>
                <w:highlight w:val="none"/>
              </w:rPr>
              <w:t>残疾人意外伤害险</w:t>
            </w:r>
          </w:p>
        </w:tc>
        <w:tc>
          <w:tcPr>
            <w:tcW w:w="3664"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46237AD">
            <w:pPr>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保险对象</w:t>
            </w:r>
          </w:p>
        </w:tc>
        <w:tc>
          <w:tcPr>
            <w:tcW w:w="4560" w:type="dxa"/>
            <w:tcBorders>
              <w:top w:val="single" w:color="auto" w:sz="4" w:space="0"/>
              <w:left w:val="single" w:color="auto" w:sz="4" w:space="0"/>
              <w:bottom w:val="single" w:color="000000" w:sz="4" w:space="0"/>
              <w:right w:val="single" w:color="auto" w:sz="4" w:space="0"/>
            </w:tcBorders>
            <w:noWrap w:val="0"/>
            <w:tcMar>
              <w:top w:w="15" w:type="dxa"/>
              <w:left w:w="15" w:type="dxa"/>
              <w:right w:w="15" w:type="dxa"/>
            </w:tcMar>
            <w:vAlign w:val="center"/>
          </w:tcPr>
          <w:p w14:paraId="652EB425">
            <w:pPr>
              <w:numPr>
                <w:ilvl w:val="0"/>
                <w:numId w:val="0"/>
              </w:numPr>
              <w:spacing w:line="360" w:lineRule="auto"/>
              <w:rPr>
                <w:rFonts w:hint="eastAsia"/>
                <w:color w:val="auto"/>
                <w:highlight w:val="none"/>
              </w:rPr>
            </w:pPr>
            <w:r>
              <w:rPr>
                <w:rFonts w:hint="eastAsia" w:hAnsi="宋体" w:eastAsia="宋体" w:cs="宋体"/>
                <w:color w:val="auto"/>
                <w:sz w:val="24"/>
                <w:szCs w:val="24"/>
                <w:highlight w:val="none"/>
              </w:rPr>
              <w:t>具有盐城市射阳县户籍、在本县因学习、婚姻、就业居住一年以上，年龄符合</w:t>
            </w:r>
            <w:r>
              <w:rPr>
                <w:rFonts w:hint="eastAsia" w:hAnsi="宋体" w:eastAsia="宋体" w:cs="宋体"/>
                <w:color w:val="auto"/>
                <w:sz w:val="24"/>
                <w:szCs w:val="24"/>
                <w:highlight w:val="none"/>
                <w:lang w:val="en-US" w:eastAsia="zh-CN"/>
              </w:rPr>
              <w:t>0</w:t>
            </w:r>
            <w:r>
              <w:rPr>
                <w:rFonts w:hint="eastAsia" w:hAnsi="宋体" w:eastAsia="宋体" w:cs="宋体"/>
                <w:color w:val="auto"/>
                <w:sz w:val="24"/>
                <w:szCs w:val="24"/>
                <w:highlight w:val="none"/>
              </w:rPr>
              <w:t>-74周岁，持有有效期内的第二代、第三代《</w:t>
            </w:r>
            <w:r>
              <w:rPr>
                <w:rFonts w:hint="eastAsia" w:hAnsi="宋体" w:eastAsia="宋体" w:cs="宋体"/>
                <w:color w:val="auto"/>
                <w:sz w:val="24"/>
                <w:szCs w:val="24"/>
                <w:highlight w:val="none"/>
                <w:lang w:eastAsia="zh-CN"/>
              </w:rPr>
              <w:t>中华人民共和国</w:t>
            </w:r>
            <w:r>
              <w:rPr>
                <w:rFonts w:hint="eastAsia" w:hAnsi="宋体" w:eastAsia="宋体" w:cs="宋体"/>
                <w:color w:val="auto"/>
                <w:sz w:val="24"/>
                <w:szCs w:val="24"/>
                <w:highlight w:val="none"/>
              </w:rPr>
              <w:t>残疾人证》，未享受政府有关部门购买意外伤害险的各类残疾人</w:t>
            </w:r>
            <w:r>
              <w:rPr>
                <w:rFonts w:hint="eastAsia"/>
                <w:color w:val="auto"/>
                <w:highlight w:val="none"/>
              </w:rPr>
              <w:t>。</w:t>
            </w:r>
          </w:p>
          <w:p w14:paraId="283B5EB5">
            <w:pPr>
              <w:pStyle w:val="35"/>
              <w:spacing w:line="360" w:lineRule="auto"/>
              <w:ind w:firstLine="0" w:firstLineChars="0"/>
              <w:rPr>
                <w:rFonts w:hint="eastAsia"/>
                <w:color w:val="auto"/>
                <w:highlight w:val="none"/>
              </w:rPr>
            </w:pPr>
          </w:p>
        </w:tc>
      </w:tr>
      <w:tr w14:paraId="194187E0">
        <w:tblPrEx>
          <w:tblCellMar>
            <w:top w:w="0" w:type="dxa"/>
            <w:left w:w="0" w:type="dxa"/>
            <w:bottom w:w="0" w:type="dxa"/>
            <w:right w:w="0" w:type="dxa"/>
          </w:tblCellMar>
        </w:tblPrEx>
        <w:trPr>
          <w:trHeight w:val="639" w:hRule="atLeast"/>
          <w:jc w:val="center"/>
        </w:trPr>
        <w:tc>
          <w:tcPr>
            <w:tcW w:w="189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BFBA380">
            <w:pPr>
              <w:spacing w:line="360" w:lineRule="auto"/>
              <w:jc w:val="center"/>
              <w:rPr>
                <w:rFonts w:hint="eastAsia" w:hAnsi="宋体" w:eastAsia="宋体" w:cs="宋体"/>
                <w:b/>
                <w:bCs/>
                <w:color w:val="auto"/>
                <w:sz w:val="24"/>
                <w:szCs w:val="24"/>
                <w:highlight w:val="none"/>
              </w:rPr>
            </w:pPr>
          </w:p>
        </w:tc>
        <w:tc>
          <w:tcPr>
            <w:tcW w:w="1564"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textDirection w:val="tbRlV"/>
            <w:vAlign w:val="center"/>
          </w:tcPr>
          <w:p w14:paraId="56A2384B">
            <w:pPr>
              <w:spacing w:line="360" w:lineRule="auto"/>
              <w:ind w:left="113" w:right="113" w:firstLine="240" w:firstLineChars="10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保 障 内 容 及 标 准</w:t>
            </w:r>
          </w:p>
        </w:tc>
        <w:tc>
          <w:tcPr>
            <w:tcW w:w="210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EF0BBD7">
            <w:pPr>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基础保险项目</w:t>
            </w:r>
          </w:p>
        </w:tc>
        <w:tc>
          <w:tcPr>
            <w:tcW w:w="4560"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14:paraId="2D7C50B5">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1.意外身故保险金额：1.2万元/人</w:t>
            </w:r>
          </w:p>
        </w:tc>
      </w:tr>
      <w:tr w14:paraId="45EB2B35">
        <w:tblPrEx>
          <w:tblCellMar>
            <w:top w:w="0" w:type="dxa"/>
            <w:left w:w="0" w:type="dxa"/>
            <w:bottom w:w="0" w:type="dxa"/>
            <w:right w:w="0" w:type="dxa"/>
          </w:tblCellMar>
        </w:tblPrEx>
        <w:trPr>
          <w:trHeight w:val="526" w:hRule="atLeast"/>
          <w:jc w:val="center"/>
        </w:trPr>
        <w:tc>
          <w:tcPr>
            <w:tcW w:w="189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F4FE58F">
            <w:pPr>
              <w:spacing w:line="360" w:lineRule="auto"/>
              <w:jc w:val="center"/>
              <w:rPr>
                <w:rFonts w:hint="eastAsia" w:hAnsi="宋体" w:eastAsia="宋体" w:cs="宋体"/>
                <w:b/>
                <w:bCs/>
                <w:color w:val="auto"/>
                <w:sz w:val="24"/>
                <w:szCs w:val="24"/>
                <w:highlight w:val="none"/>
              </w:rPr>
            </w:pPr>
          </w:p>
        </w:tc>
        <w:tc>
          <w:tcPr>
            <w:tcW w:w="1564"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0AA2F2C">
            <w:pPr>
              <w:spacing w:line="360" w:lineRule="auto"/>
              <w:rPr>
                <w:rFonts w:hint="eastAsia" w:hAnsi="宋体" w:eastAsia="宋体" w:cs="宋体"/>
                <w:color w:val="auto"/>
                <w:sz w:val="24"/>
                <w:szCs w:val="24"/>
                <w:highlight w:val="none"/>
              </w:rPr>
            </w:pPr>
          </w:p>
        </w:tc>
        <w:tc>
          <w:tcPr>
            <w:tcW w:w="210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1A480EE">
            <w:pPr>
              <w:spacing w:line="360" w:lineRule="auto"/>
              <w:rPr>
                <w:rFonts w:hint="eastAsia" w:hAnsi="宋体" w:eastAsia="宋体" w:cs="宋体"/>
                <w:color w:val="auto"/>
                <w:sz w:val="24"/>
                <w:szCs w:val="24"/>
                <w:highlight w:val="none"/>
              </w:rPr>
            </w:pPr>
          </w:p>
        </w:tc>
        <w:tc>
          <w:tcPr>
            <w:tcW w:w="4560" w:type="dxa"/>
            <w:tcBorders>
              <w:top w:val="single" w:color="000000" w:sz="4" w:space="0"/>
              <w:left w:val="single" w:color="auto" w:sz="4" w:space="0"/>
              <w:right w:val="single" w:color="auto" w:sz="4" w:space="0"/>
            </w:tcBorders>
            <w:noWrap w:val="0"/>
            <w:tcMar>
              <w:top w:w="15" w:type="dxa"/>
              <w:left w:w="15" w:type="dxa"/>
              <w:right w:w="15" w:type="dxa"/>
            </w:tcMar>
            <w:vAlign w:val="center"/>
          </w:tcPr>
          <w:p w14:paraId="3CD7BD9F">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2.意外伤残保险金额： 3+X 万元/人</w:t>
            </w:r>
          </w:p>
        </w:tc>
      </w:tr>
      <w:tr w14:paraId="4B7E7552">
        <w:tblPrEx>
          <w:tblCellMar>
            <w:top w:w="0" w:type="dxa"/>
            <w:left w:w="0" w:type="dxa"/>
            <w:bottom w:w="0" w:type="dxa"/>
            <w:right w:w="0" w:type="dxa"/>
          </w:tblCellMar>
        </w:tblPrEx>
        <w:trPr>
          <w:trHeight w:val="719" w:hRule="atLeast"/>
          <w:jc w:val="center"/>
        </w:trPr>
        <w:tc>
          <w:tcPr>
            <w:tcW w:w="189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1A53A2F">
            <w:pPr>
              <w:spacing w:line="360" w:lineRule="auto"/>
              <w:jc w:val="center"/>
              <w:rPr>
                <w:rFonts w:hint="eastAsia" w:hAnsi="宋体" w:eastAsia="宋体" w:cs="宋体"/>
                <w:b/>
                <w:bCs/>
                <w:color w:val="auto"/>
                <w:sz w:val="24"/>
                <w:szCs w:val="24"/>
                <w:highlight w:val="none"/>
              </w:rPr>
            </w:pPr>
          </w:p>
        </w:tc>
        <w:tc>
          <w:tcPr>
            <w:tcW w:w="1564"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E024650">
            <w:pPr>
              <w:spacing w:line="360" w:lineRule="auto"/>
              <w:rPr>
                <w:rFonts w:hint="eastAsia" w:hAnsi="宋体" w:eastAsia="宋体" w:cs="宋体"/>
                <w:color w:val="auto"/>
                <w:sz w:val="24"/>
                <w:szCs w:val="24"/>
                <w:highlight w:val="none"/>
              </w:rPr>
            </w:pPr>
          </w:p>
        </w:tc>
        <w:tc>
          <w:tcPr>
            <w:tcW w:w="210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1F7132E">
            <w:pPr>
              <w:spacing w:line="360" w:lineRule="auto"/>
              <w:rPr>
                <w:rFonts w:hint="eastAsia" w:hAnsi="宋体" w:eastAsia="宋体" w:cs="宋体"/>
                <w:color w:val="auto"/>
                <w:sz w:val="24"/>
                <w:szCs w:val="24"/>
                <w:highlight w:val="none"/>
              </w:rPr>
            </w:pPr>
          </w:p>
        </w:tc>
        <w:tc>
          <w:tcPr>
            <w:tcW w:w="4560"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14:paraId="1270AB30">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3.意外医疗保险金额</w:t>
            </w:r>
            <w:r>
              <w:rPr>
                <w:rFonts w:hint="eastAsia" w:hAnsi="宋体" w:eastAsia="宋体" w:cs="宋体"/>
                <w:color w:val="auto"/>
                <w:sz w:val="24"/>
                <w:szCs w:val="24"/>
                <w:highlight w:val="none"/>
                <w:u w:val="single"/>
              </w:rPr>
              <w:t>6500</w:t>
            </w:r>
            <w:r>
              <w:rPr>
                <w:rFonts w:hint="eastAsia" w:hAnsi="宋体" w:eastAsia="宋体" w:cs="宋体"/>
                <w:color w:val="auto"/>
                <w:sz w:val="24"/>
                <w:szCs w:val="24"/>
                <w:highlight w:val="none"/>
              </w:rPr>
              <w:t>元/人（医疗费用在经医保、农保报销后100%赔付）</w:t>
            </w:r>
          </w:p>
        </w:tc>
      </w:tr>
      <w:tr w14:paraId="59AC587C">
        <w:tblPrEx>
          <w:tblCellMar>
            <w:top w:w="0" w:type="dxa"/>
            <w:left w:w="0" w:type="dxa"/>
            <w:bottom w:w="0" w:type="dxa"/>
            <w:right w:w="0" w:type="dxa"/>
          </w:tblCellMar>
        </w:tblPrEx>
        <w:trPr>
          <w:trHeight w:val="663" w:hRule="atLeast"/>
          <w:jc w:val="center"/>
        </w:trPr>
        <w:tc>
          <w:tcPr>
            <w:tcW w:w="189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AF0E4AA">
            <w:pPr>
              <w:spacing w:line="360" w:lineRule="auto"/>
              <w:jc w:val="center"/>
              <w:rPr>
                <w:rFonts w:hint="eastAsia" w:hAnsi="宋体" w:eastAsia="宋体" w:cs="宋体"/>
                <w:b/>
                <w:bCs/>
                <w:color w:val="auto"/>
                <w:sz w:val="24"/>
                <w:szCs w:val="24"/>
                <w:highlight w:val="none"/>
              </w:rPr>
            </w:pPr>
          </w:p>
        </w:tc>
        <w:tc>
          <w:tcPr>
            <w:tcW w:w="1564"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DF2367B">
            <w:pPr>
              <w:spacing w:line="360" w:lineRule="auto"/>
              <w:rPr>
                <w:rFonts w:hint="eastAsia" w:hAnsi="宋体" w:eastAsia="宋体" w:cs="宋体"/>
                <w:color w:val="auto"/>
                <w:sz w:val="24"/>
                <w:szCs w:val="24"/>
                <w:highlight w:val="none"/>
              </w:rPr>
            </w:pPr>
          </w:p>
        </w:tc>
        <w:tc>
          <w:tcPr>
            <w:tcW w:w="210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50C87F7">
            <w:pPr>
              <w:spacing w:line="360" w:lineRule="auto"/>
              <w:rPr>
                <w:rFonts w:hint="eastAsia" w:hAnsi="宋体" w:eastAsia="宋体" w:cs="宋体"/>
                <w:color w:val="auto"/>
                <w:sz w:val="24"/>
                <w:szCs w:val="24"/>
                <w:highlight w:val="none"/>
              </w:rPr>
            </w:pPr>
          </w:p>
        </w:tc>
        <w:tc>
          <w:tcPr>
            <w:tcW w:w="4560" w:type="dxa"/>
            <w:tcBorders>
              <w:top w:val="single" w:color="000000" w:sz="4" w:space="0"/>
              <w:left w:val="single" w:color="auto" w:sz="4" w:space="0"/>
              <w:right w:val="single" w:color="auto" w:sz="4" w:space="0"/>
            </w:tcBorders>
            <w:noWrap w:val="0"/>
            <w:tcMar>
              <w:top w:w="15" w:type="dxa"/>
              <w:left w:w="15" w:type="dxa"/>
              <w:right w:w="15" w:type="dxa"/>
            </w:tcMar>
            <w:vAlign w:val="center"/>
          </w:tcPr>
          <w:p w14:paraId="6C8C977B">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4.意外住院津贴30元/天/人（单次90天，累计给付天数180天)</w:t>
            </w:r>
          </w:p>
        </w:tc>
      </w:tr>
      <w:tr w14:paraId="010C4FE0">
        <w:tblPrEx>
          <w:tblCellMar>
            <w:top w:w="0" w:type="dxa"/>
            <w:left w:w="0" w:type="dxa"/>
            <w:bottom w:w="0" w:type="dxa"/>
            <w:right w:w="0" w:type="dxa"/>
          </w:tblCellMar>
        </w:tblPrEx>
        <w:trPr>
          <w:trHeight w:val="478" w:hRule="atLeast"/>
          <w:jc w:val="center"/>
        </w:trPr>
        <w:tc>
          <w:tcPr>
            <w:tcW w:w="189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077F64A">
            <w:pPr>
              <w:spacing w:line="360" w:lineRule="auto"/>
              <w:jc w:val="center"/>
              <w:rPr>
                <w:rFonts w:hint="eastAsia" w:hAnsi="宋体" w:eastAsia="宋体" w:cs="宋体"/>
                <w:b/>
                <w:bCs/>
                <w:color w:val="auto"/>
                <w:sz w:val="24"/>
                <w:szCs w:val="24"/>
                <w:highlight w:val="none"/>
              </w:rPr>
            </w:pPr>
          </w:p>
        </w:tc>
        <w:tc>
          <w:tcPr>
            <w:tcW w:w="1564"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8C87879">
            <w:pPr>
              <w:spacing w:line="360" w:lineRule="auto"/>
              <w:rPr>
                <w:rFonts w:hint="eastAsia" w:hAnsi="宋体" w:eastAsia="宋体" w:cs="宋体"/>
                <w:color w:val="auto"/>
                <w:sz w:val="24"/>
                <w:szCs w:val="24"/>
                <w:highlight w:val="none"/>
              </w:rPr>
            </w:pPr>
          </w:p>
        </w:tc>
        <w:tc>
          <w:tcPr>
            <w:tcW w:w="210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29E3DB5">
            <w:pPr>
              <w:spacing w:line="360" w:lineRule="auto"/>
              <w:ind w:left="480" w:hanging="480" w:hanging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可拓展的保险项目</w:t>
            </w:r>
          </w:p>
          <w:p w14:paraId="4EADF202">
            <w:pPr>
              <w:spacing w:line="360" w:lineRule="auto"/>
              <w:ind w:left="480" w:hanging="480" w:hangingChars="200"/>
              <w:jc w:val="lef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（待中标结果确定保险项目） </w:t>
            </w:r>
          </w:p>
        </w:tc>
        <w:tc>
          <w:tcPr>
            <w:tcW w:w="4560"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14:paraId="1FE49EE4">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5.疾病身故保险金额</w:t>
            </w:r>
            <w:r>
              <w:rPr>
                <w:rFonts w:hint="eastAsia" w:hAnsi="宋体" w:eastAsia="宋体" w:cs="宋体"/>
                <w:color w:val="auto"/>
                <w:sz w:val="24"/>
                <w:szCs w:val="24"/>
                <w:highlight w:val="none"/>
                <w:lang w:val="en-US" w:eastAsia="zh-CN"/>
              </w:rPr>
              <w:t>4</w:t>
            </w:r>
            <w:r>
              <w:rPr>
                <w:rFonts w:hint="eastAsia" w:hAnsi="宋体" w:eastAsia="宋体" w:cs="宋体"/>
                <w:color w:val="auto"/>
                <w:sz w:val="24"/>
                <w:szCs w:val="24"/>
                <w:highlight w:val="none"/>
              </w:rPr>
              <w:t>000元</w:t>
            </w:r>
          </w:p>
        </w:tc>
      </w:tr>
      <w:tr w14:paraId="58D4B352">
        <w:tblPrEx>
          <w:tblCellMar>
            <w:top w:w="0" w:type="dxa"/>
            <w:left w:w="0" w:type="dxa"/>
            <w:bottom w:w="0" w:type="dxa"/>
            <w:right w:w="0" w:type="dxa"/>
          </w:tblCellMar>
        </w:tblPrEx>
        <w:trPr>
          <w:trHeight w:val="441" w:hRule="atLeast"/>
          <w:jc w:val="center"/>
        </w:trPr>
        <w:tc>
          <w:tcPr>
            <w:tcW w:w="189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2A383279">
            <w:pPr>
              <w:spacing w:line="360" w:lineRule="auto"/>
              <w:jc w:val="center"/>
              <w:rPr>
                <w:rFonts w:hint="eastAsia" w:hAnsi="宋体" w:eastAsia="宋体" w:cs="宋体"/>
                <w:b/>
                <w:bCs/>
                <w:color w:val="auto"/>
                <w:sz w:val="24"/>
                <w:szCs w:val="24"/>
                <w:highlight w:val="none"/>
              </w:rPr>
            </w:pPr>
          </w:p>
        </w:tc>
        <w:tc>
          <w:tcPr>
            <w:tcW w:w="1564"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5BF4D7FE">
            <w:pPr>
              <w:spacing w:line="360" w:lineRule="auto"/>
              <w:rPr>
                <w:rFonts w:hint="eastAsia" w:hAnsi="宋体" w:eastAsia="宋体" w:cs="宋体"/>
                <w:color w:val="auto"/>
                <w:sz w:val="24"/>
                <w:szCs w:val="24"/>
                <w:highlight w:val="none"/>
              </w:rPr>
            </w:pPr>
          </w:p>
        </w:tc>
        <w:tc>
          <w:tcPr>
            <w:tcW w:w="2100" w:type="dxa"/>
            <w:vMerge w:val="continue"/>
            <w:tcBorders>
              <w:top w:val="single" w:color="auto" w:sz="4" w:space="0"/>
              <w:left w:val="single" w:color="000000" w:sz="4" w:space="0"/>
              <w:bottom w:val="single" w:color="auto" w:sz="4" w:space="0"/>
              <w:right w:val="single" w:color="auto" w:sz="4" w:space="0"/>
            </w:tcBorders>
            <w:noWrap w:val="0"/>
            <w:tcMar>
              <w:top w:w="15" w:type="dxa"/>
              <w:left w:w="15" w:type="dxa"/>
              <w:right w:w="15" w:type="dxa"/>
            </w:tcMar>
            <w:vAlign w:val="center"/>
          </w:tcPr>
          <w:p w14:paraId="3FDBB32A">
            <w:pPr>
              <w:spacing w:line="360" w:lineRule="auto"/>
              <w:rPr>
                <w:rFonts w:hint="eastAsia" w:hAnsi="宋体" w:eastAsia="宋体" w:cs="宋体"/>
                <w:color w:val="auto"/>
                <w:sz w:val="24"/>
                <w:szCs w:val="24"/>
                <w:highlight w:val="none"/>
              </w:rPr>
            </w:pPr>
          </w:p>
        </w:tc>
        <w:tc>
          <w:tcPr>
            <w:tcW w:w="4560"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14:paraId="09DF268E">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6.重大疾病保险金额15000元（罹患40种重大疾病定额给付，首次确诊）</w:t>
            </w:r>
          </w:p>
        </w:tc>
      </w:tr>
      <w:tr w14:paraId="7674BD3B">
        <w:tblPrEx>
          <w:tblCellMar>
            <w:top w:w="0" w:type="dxa"/>
            <w:left w:w="0" w:type="dxa"/>
            <w:bottom w:w="0" w:type="dxa"/>
            <w:right w:w="0" w:type="dxa"/>
          </w:tblCellMar>
        </w:tblPrEx>
        <w:trPr>
          <w:trHeight w:val="587" w:hRule="atLeast"/>
          <w:jc w:val="center"/>
        </w:trPr>
        <w:tc>
          <w:tcPr>
            <w:tcW w:w="189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58716226">
            <w:pPr>
              <w:spacing w:line="360" w:lineRule="auto"/>
              <w:jc w:val="center"/>
              <w:rPr>
                <w:rFonts w:hint="eastAsia" w:hAnsi="宋体" w:eastAsia="宋体" w:cs="宋体"/>
                <w:b/>
                <w:bCs/>
                <w:color w:val="auto"/>
                <w:sz w:val="24"/>
                <w:szCs w:val="24"/>
                <w:highlight w:val="none"/>
              </w:rPr>
            </w:pPr>
          </w:p>
        </w:tc>
        <w:tc>
          <w:tcPr>
            <w:tcW w:w="1564"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764463D">
            <w:pPr>
              <w:spacing w:line="360" w:lineRule="auto"/>
              <w:rPr>
                <w:rFonts w:hint="eastAsia" w:hAnsi="宋体" w:eastAsia="宋体" w:cs="宋体"/>
                <w:color w:val="auto"/>
                <w:sz w:val="24"/>
                <w:szCs w:val="24"/>
                <w:highlight w:val="none"/>
              </w:rPr>
            </w:pPr>
          </w:p>
        </w:tc>
        <w:tc>
          <w:tcPr>
            <w:tcW w:w="2100" w:type="dxa"/>
            <w:vMerge w:val="continue"/>
            <w:tcBorders>
              <w:top w:val="single" w:color="auto" w:sz="4" w:space="0"/>
              <w:left w:val="single" w:color="000000" w:sz="4" w:space="0"/>
              <w:bottom w:val="single" w:color="auto" w:sz="4" w:space="0"/>
              <w:right w:val="single" w:color="auto" w:sz="4" w:space="0"/>
            </w:tcBorders>
            <w:noWrap w:val="0"/>
            <w:tcMar>
              <w:top w:w="15" w:type="dxa"/>
              <w:left w:w="15" w:type="dxa"/>
              <w:right w:w="15" w:type="dxa"/>
            </w:tcMar>
            <w:vAlign w:val="center"/>
          </w:tcPr>
          <w:p w14:paraId="6C4C315B">
            <w:pPr>
              <w:spacing w:line="360" w:lineRule="auto"/>
              <w:rPr>
                <w:rFonts w:hint="eastAsia" w:hAnsi="宋体" w:eastAsia="宋体" w:cs="宋体"/>
                <w:color w:val="auto"/>
                <w:sz w:val="24"/>
                <w:szCs w:val="24"/>
                <w:highlight w:val="none"/>
              </w:rPr>
            </w:pPr>
          </w:p>
        </w:tc>
        <w:tc>
          <w:tcPr>
            <w:tcW w:w="4560"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14:paraId="4DD26C91">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7.重大疾病住院津贴40元/天/人（单次90天，累计给付天数180天）</w:t>
            </w:r>
          </w:p>
        </w:tc>
      </w:tr>
      <w:tr w14:paraId="3C0BA1A9">
        <w:tblPrEx>
          <w:tblCellMar>
            <w:top w:w="0" w:type="dxa"/>
            <w:left w:w="0" w:type="dxa"/>
            <w:bottom w:w="0" w:type="dxa"/>
            <w:right w:w="0" w:type="dxa"/>
          </w:tblCellMar>
        </w:tblPrEx>
        <w:trPr>
          <w:trHeight w:val="371" w:hRule="atLeast"/>
          <w:jc w:val="center"/>
        </w:trPr>
        <w:tc>
          <w:tcPr>
            <w:tcW w:w="189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72CE5834">
            <w:pPr>
              <w:spacing w:line="360" w:lineRule="auto"/>
              <w:jc w:val="center"/>
              <w:rPr>
                <w:rFonts w:hint="eastAsia" w:hAnsi="宋体" w:eastAsia="宋体" w:cs="宋体"/>
                <w:b/>
                <w:bCs/>
                <w:color w:val="auto"/>
                <w:sz w:val="24"/>
                <w:szCs w:val="24"/>
                <w:highlight w:val="none"/>
              </w:rPr>
            </w:pPr>
          </w:p>
        </w:tc>
        <w:tc>
          <w:tcPr>
            <w:tcW w:w="1564"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488D995">
            <w:pPr>
              <w:spacing w:line="360" w:lineRule="auto"/>
              <w:rPr>
                <w:rFonts w:hint="eastAsia" w:hAnsi="宋体" w:eastAsia="宋体" w:cs="宋体"/>
                <w:color w:val="auto"/>
                <w:sz w:val="24"/>
                <w:szCs w:val="24"/>
                <w:highlight w:val="none"/>
              </w:rPr>
            </w:pPr>
          </w:p>
        </w:tc>
        <w:tc>
          <w:tcPr>
            <w:tcW w:w="2100" w:type="dxa"/>
            <w:vMerge w:val="continue"/>
            <w:tcBorders>
              <w:top w:val="single" w:color="auto" w:sz="4" w:space="0"/>
              <w:left w:val="single" w:color="000000" w:sz="4" w:space="0"/>
              <w:bottom w:val="single" w:color="auto" w:sz="4" w:space="0"/>
              <w:right w:val="single" w:color="auto" w:sz="4" w:space="0"/>
            </w:tcBorders>
            <w:noWrap w:val="0"/>
            <w:tcMar>
              <w:top w:w="15" w:type="dxa"/>
              <w:left w:w="15" w:type="dxa"/>
              <w:right w:w="15" w:type="dxa"/>
            </w:tcMar>
            <w:vAlign w:val="center"/>
          </w:tcPr>
          <w:p w14:paraId="03A686C9">
            <w:pPr>
              <w:spacing w:line="360" w:lineRule="auto"/>
              <w:rPr>
                <w:rFonts w:hint="eastAsia" w:hAnsi="宋体" w:eastAsia="宋体" w:cs="宋体"/>
                <w:color w:val="auto"/>
                <w:sz w:val="24"/>
                <w:szCs w:val="24"/>
                <w:highlight w:val="none"/>
              </w:rPr>
            </w:pPr>
          </w:p>
        </w:tc>
        <w:tc>
          <w:tcPr>
            <w:tcW w:w="4560" w:type="dxa"/>
            <w:tcBorders>
              <w:top w:val="single" w:color="000000" w:sz="4" w:space="0"/>
              <w:left w:val="single" w:color="auto" w:sz="4" w:space="0"/>
              <w:right w:val="single" w:color="auto" w:sz="4" w:space="0"/>
            </w:tcBorders>
            <w:noWrap w:val="0"/>
            <w:tcMar>
              <w:top w:w="15" w:type="dxa"/>
              <w:left w:w="15" w:type="dxa"/>
              <w:right w:w="15" w:type="dxa"/>
            </w:tcMar>
            <w:vAlign w:val="center"/>
          </w:tcPr>
          <w:p w14:paraId="624F3778">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8. 重大疾病医疗补偿保险金额10000元（医疗费用在经医保、农保报销后100%赔付）</w:t>
            </w:r>
          </w:p>
        </w:tc>
      </w:tr>
      <w:tr w14:paraId="150A3A1C">
        <w:tblPrEx>
          <w:tblCellMar>
            <w:top w:w="0" w:type="dxa"/>
            <w:left w:w="0" w:type="dxa"/>
            <w:bottom w:w="0" w:type="dxa"/>
            <w:right w:w="0" w:type="dxa"/>
          </w:tblCellMar>
        </w:tblPrEx>
        <w:trPr>
          <w:trHeight w:val="701" w:hRule="atLeast"/>
          <w:jc w:val="center"/>
        </w:trPr>
        <w:tc>
          <w:tcPr>
            <w:tcW w:w="1890" w:type="dxa"/>
            <w:vMerge w:val="continue"/>
            <w:tcBorders>
              <w:top w:val="single" w:color="auto" w:sz="4" w:space="0"/>
              <w:left w:val="single" w:color="auto" w:sz="4" w:space="0"/>
              <w:right w:val="single" w:color="000000" w:sz="4" w:space="0"/>
            </w:tcBorders>
            <w:noWrap w:val="0"/>
            <w:tcMar>
              <w:top w:w="15" w:type="dxa"/>
              <w:left w:w="15" w:type="dxa"/>
              <w:right w:w="15" w:type="dxa"/>
            </w:tcMar>
            <w:vAlign w:val="center"/>
          </w:tcPr>
          <w:p w14:paraId="7F88F53C">
            <w:pPr>
              <w:spacing w:line="360" w:lineRule="auto"/>
              <w:jc w:val="center"/>
              <w:rPr>
                <w:rFonts w:hint="eastAsia" w:hAnsi="宋体" w:eastAsia="宋体" w:cs="宋体"/>
                <w:b/>
                <w:bCs/>
                <w:color w:val="auto"/>
                <w:sz w:val="24"/>
                <w:szCs w:val="24"/>
                <w:highlight w:val="none"/>
              </w:rPr>
            </w:pPr>
          </w:p>
        </w:tc>
        <w:tc>
          <w:tcPr>
            <w:tcW w:w="3664" w:type="dxa"/>
            <w:gridSpan w:val="2"/>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054DE3">
            <w:pPr>
              <w:spacing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特别约定</w:t>
            </w:r>
          </w:p>
        </w:tc>
        <w:tc>
          <w:tcPr>
            <w:tcW w:w="456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5CDDF60">
            <w:pPr>
              <w:numPr>
                <w:ilvl w:val="0"/>
                <w:numId w:val="3"/>
              </w:num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保险期内，被保险人遭受意外伤害事故，并因该事故致新的残疾，保险人按残疾等级对应的比例给付残疾保险金，或导致原残疾程度加重的，保险人按新评的残疾等级对应的给付比例给付残疾保险金。</w:t>
            </w:r>
          </w:p>
          <w:p w14:paraId="7E68883C">
            <w:pPr>
              <w:numPr>
                <w:ilvl w:val="0"/>
                <w:numId w:val="3"/>
              </w:numPr>
              <w:spacing w:line="360" w:lineRule="auto"/>
              <w:rPr>
                <w:rFonts w:hint="eastAsia" w:hAnsi="宋体" w:eastAsia="宋体" w:cs="宋体"/>
                <w:color w:val="auto"/>
                <w:szCs w:val="24"/>
                <w:highlight w:val="none"/>
              </w:rPr>
            </w:pPr>
            <w:r>
              <w:rPr>
                <w:rFonts w:hint="eastAsia" w:hAnsi="宋体" w:eastAsia="宋体" w:cs="宋体"/>
                <w:color w:val="auto"/>
                <w:sz w:val="24"/>
                <w:szCs w:val="24"/>
                <w:highlight w:val="none"/>
              </w:rPr>
              <w:t>兹经双方约定，在保险期内若有新增或变更的被保险人，需提供新增/变更人员清单，新增人员保费按照日比例计收。</w:t>
            </w:r>
          </w:p>
        </w:tc>
      </w:tr>
      <w:tr w14:paraId="54486309">
        <w:tblPrEx>
          <w:tblCellMar>
            <w:top w:w="0" w:type="dxa"/>
            <w:left w:w="0" w:type="dxa"/>
            <w:bottom w:w="0" w:type="dxa"/>
            <w:right w:w="0" w:type="dxa"/>
          </w:tblCellMar>
        </w:tblPrEx>
        <w:trPr>
          <w:trHeight w:val="1082" w:hRule="atLeast"/>
          <w:jc w:val="center"/>
        </w:trPr>
        <w:tc>
          <w:tcPr>
            <w:tcW w:w="1890" w:type="dxa"/>
            <w:vMerge w:val="continue"/>
            <w:tcBorders>
              <w:left w:val="single" w:color="auto" w:sz="4" w:space="0"/>
              <w:bottom w:val="single" w:color="auto" w:sz="4" w:space="0"/>
              <w:right w:val="single" w:color="000000" w:sz="4" w:space="0"/>
            </w:tcBorders>
            <w:noWrap w:val="0"/>
            <w:tcMar>
              <w:top w:w="15" w:type="dxa"/>
              <w:left w:w="15" w:type="dxa"/>
              <w:right w:w="15" w:type="dxa"/>
            </w:tcMar>
            <w:vAlign w:val="center"/>
          </w:tcPr>
          <w:p w14:paraId="18F7C75F">
            <w:pPr>
              <w:spacing w:line="360" w:lineRule="auto"/>
              <w:jc w:val="center"/>
              <w:rPr>
                <w:rFonts w:hint="eastAsia" w:hAnsi="宋体" w:eastAsia="宋体" w:cs="宋体"/>
                <w:b/>
                <w:bCs/>
                <w:color w:val="auto"/>
                <w:sz w:val="24"/>
                <w:szCs w:val="24"/>
                <w:highlight w:val="none"/>
              </w:rPr>
            </w:pPr>
          </w:p>
        </w:tc>
        <w:tc>
          <w:tcPr>
            <w:tcW w:w="3664" w:type="dxa"/>
            <w:gridSpan w:val="2"/>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D019AA3">
            <w:pPr>
              <w:spacing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保险费</w:t>
            </w:r>
          </w:p>
        </w:tc>
        <w:tc>
          <w:tcPr>
            <w:tcW w:w="4560"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2879E1C3">
            <w:p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RMB 40元/人/年</w:t>
            </w:r>
          </w:p>
        </w:tc>
      </w:tr>
    </w:tbl>
    <w:p w14:paraId="1A9D19AE">
      <w:pPr>
        <w:pStyle w:val="35"/>
        <w:spacing w:line="360" w:lineRule="auto"/>
        <w:ind w:firstLine="0" w:firstLineChars="0"/>
        <w:rPr>
          <w:rFonts w:hint="eastAsia" w:hAnsi="宋体" w:eastAsia="宋体" w:cs="宋体"/>
          <w:color w:val="auto"/>
          <w:szCs w:val="24"/>
          <w:highlight w:val="none"/>
        </w:rPr>
      </w:pPr>
      <w:bookmarkStart w:id="197" w:name="_Toc17417"/>
    </w:p>
    <w:p w14:paraId="033366B8">
      <w:pPr>
        <w:tabs>
          <w:tab w:val="left" w:pos="900"/>
        </w:tabs>
        <w:snapToGrid w:val="0"/>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（一）保险责任</w:t>
      </w:r>
    </w:p>
    <w:p w14:paraId="20B11F2A">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1、意外伤害保险责任：</w:t>
      </w:r>
    </w:p>
    <w:p w14:paraId="0B25F6F4">
      <w:pPr>
        <w:tabs>
          <w:tab w:val="left" w:pos="900"/>
        </w:tabs>
        <w:snapToGrid w:val="0"/>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（1）意外伤害身故责任</w:t>
      </w:r>
    </w:p>
    <w:p w14:paraId="52FD182E">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遭受意外伤害(指遭受外来的、突发的、非本意的、非疾病的客观事件直接致使身体受到的伤害)，并自该意外伤害发生之日起180日内因该意外伤害导致身故的，乙方按该被保险人的保险金额扣除已给付伤残保险金后的余额给付身故保险金。</w:t>
      </w:r>
    </w:p>
    <w:p w14:paraId="1D7CF1B1">
      <w:pPr>
        <w:tabs>
          <w:tab w:val="left" w:pos="900"/>
        </w:tabs>
        <w:snapToGrid w:val="0"/>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遭受意外伤害，且自该意外伤害发生之日起下落不明，后经人民法院宣告死亡的，乙方按约定的意外伤害保险金额给付意外伤害身故保险金。但若被保险人被宣告死亡后生还的，保险金受益人应于知道或应当知道被保险人生还后30日内退还乙方已给付的意外伤害身故保险金。</w:t>
      </w:r>
    </w:p>
    <w:p w14:paraId="1EC56C34">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被保险人意外伤害身故前乙方已给付意外伤害伤残保险金的，给付意外伤害身故保险金时应扣除已给付的意外伤害伤残保险金。</w:t>
      </w:r>
    </w:p>
    <w:p w14:paraId="2654B57C">
      <w:pPr>
        <w:tabs>
          <w:tab w:val="left" w:pos="900"/>
        </w:tabs>
        <w:snapToGrid w:val="0"/>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（2）意外伤害伤残责任</w:t>
      </w:r>
    </w:p>
    <w:p w14:paraId="4E75F8C4">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在保险期间内，被保险人遭受意外伤害，且自该意外伤害发生之日起180日（含）内，因该意外伤害造成《人身保险伤残评定标准及代码》（保监发【2014】6号 国家金融行业标准编号 JR/T 0083-2013）（以下简称《行业标准》）所列伤残的，乙方按《行业标准》所列给付比例乘以约定的意外伤害保险金额给付意外伤害伤残保险金；与人身保险伤残程度等级相对应的保险金给付比例分为十档，伤残程度第一级对应的保险金给付比例为100%，伤残程度第十级对应的保险金给付比例为10%，每级相差10%。若自意外伤害发生之日起180日内治疗仍未结束的，则按第180日身体情况进行伤残评定，并据此给付意外伤害伤残保险金。</w:t>
      </w:r>
    </w:p>
    <w:p w14:paraId="6B7A6FCE">
      <w:pPr>
        <w:pStyle w:val="35"/>
        <w:spacing w:line="360" w:lineRule="auto"/>
        <w:ind w:firstLine="240"/>
        <w:rPr>
          <w:rFonts w:hint="eastAsia" w:hAnsi="宋体" w:eastAsia="宋体" w:cs="宋体"/>
          <w:color w:val="auto"/>
          <w:szCs w:val="24"/>
          <w:highlight w:val="none"/>
        </w:rPr>
      </w:pPr>
      <w:r>
        <w:rPr>
          <w:rFonts w:hint="eastAsia" w:hAnsi="宋体" w:eastAsia="宋体" w:cs="宋体"/>
          <w:color w:val="auto"/>
          <w:szCs w:val="24"/>
          <w:highlight w:val="none"/>
        </w:rPr>
        <w:t>附表：                  人身保险伤残评定标准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9"/>
        <w:gridCol w:w="2132"/>
        <w:gridCol w:w="2132"/>
        <w:gridCol w:w="2132"/>
      </w:tblGrid>
      <w:tr w14:paraId="2B1C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49" w:type="dxa"/>
            <w:noWrap w:val="0"/>
            <w:vAlign w:val="center"/>
          </w:tcPr>
          <w:p w14:paraId="20C0A6B6">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伤残等级</w:t>
            </w:r>
          </w:p>
        </w:tc>
        <w:tc>
          <w:tcPr>
            <w:tcW w:w="2132" w:type="dxa"/>
            <w:noWrap w:val="0"/>
            <w:vAlign w:val="center"/>
          </w:tcPr>
          <w:p w14:paraId="6D7940F4">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给付比例</w:t>
            </w:r>
          </w:p>
        </w:tc>
        <w:tc>
          <w:tcPr>
            <w:tcW w:w="2132" w:type="dxa"/>
            <w:noWrap w:val="0"/>
            <w:vAlign w:val="center"/>
          </w:tcPr>
          <w:p w14:paraId="2466288C">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伤残等级</w:t>
            </w:r>
          </w:p>
        </w:tc>
        <w:tc>
          <w:tcPr>
            <w:tcW w:w="2132" w:type="dxa"/>
            <w:noWrap w:val="0"/>
            <w:vAlign w:val="center"/>
          </w:tcPr>
          <w:p w14:paraId="3A0C4026">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给付比例</w:t>
            </w:r>
          </w:p>
        </w:tc>
      </w:tr>
      <w:tr w14:paraId="128E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49" w:type="dxa"/>
            <w:noWrap w:val="0"/>
            <w:vAlign w:val="center"/>
          </w:tcPr>
          <w:p w14:paraId="1B0A1CD3">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一</w:t>
            </w:r>
          </w:p>
        </w:tc>
        <w:tc>
          <w:tcPr>
            <w:tcW w:w="2132" w:type="dxa"/>
            <w:noWrap w:val="0"/>
            <w:vAlign w:val="center"/>
          </w:tcPr>
          <w:p w14:paraId="045CD704">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100%</w:t>
            </w:r>
          </w:p>
        </w:tc>
        <w:tc>
          <w:tcPr>
            <w:tcW w:w="2132" w:type="dxa"/>
            <w:noWrap w:val="0"/>
            <w:vAlign w:val="center"/>
          </w:tcPr>
          <w:p w14:paraId="3800B562">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六</w:t>
            </w:r>
          </w:p>
        </w:tc>
        <w:tc>
          <w:tcPr>
            <w:tcW w:w="2132" w:type="dxa"/>
            <w:noWrap w:val="0"/>
            <w:vAlign w:val="center"/>
          </w:tcPr>
          <w:p w14:paraId="79A5354D">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50%</w:t>
            </w:r>
          </w:p>
        </w:tc>
      </w:tr>
      <w:tr w14:paraId="360C5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49" w:type="dxa"/>
            <w:noWrap w:val="0"/>
            <w:vAlign w:val="center"/>
          </w:tcPr>
          <w:p w14:paraId="2D3B247A">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二</w:t>
            </w:r>
          </w:p>
        </w:tc>
        <w:tc>
          <w:tcPr>
            <w:tcW w:w="2132" w:type="dxa"/>
            <w:noWrap w:val="0"/>
            <w:vAlign w:val="center"/>
          </w:tcPr>
          <w:p w14:paraId="16656E99">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90%</w:t>
            </w:r>
          </w:p>
        </w:tc>
        <w:tc>
          <w:tcPr>
            <w:tcW w:w="2132" w:type="dxa"/>
            <w:noWrap w:val="0"/>
            <w:vAlign w:val="center"/>
          </w:tcPr>
          <w:p w14:paraId="61A98E6D">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七</w:t>
            </w:r>
          </w:p>
        </w:tc>
        <w:tc>
          <w:tcPr>
            <w:tcW w:w="2132" w:type="dxa"/>
            <w:noWrap w:val="0"/>
            <w:vAlign w:val="center"/>
          </w:tcPr>
          <w:p w14:paraId="157B8FFC">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40%</w:t>
            </w:r>
          </w:p>
        </w:tc>
      </w:tr>
      <w:tr w14:paraId="697C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49" w:type="dxa"/>
            <w:noWrap w:val="0"/>
            <w:vAlign w:val="center"/>
          </w:tcPr>
          <w:p w14:paraId="3E337789">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三</w:t>
            </w:r>
          </w:p>
        </w:tc>
        <w:tc>
          <w:tcPr>
            <w:tcW w:w="2132" w:type="dxa"/>
            <w:noWrap w:val="0"/>
            <w:vAlign w:val="center"/>
          </w:tcPr>
          <w:p w14:paraId="6011AD45">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80%</w:t>
            </w:r>
          </w:p>
        </w:tc>
        <w:tc>
          <w:tcPr>
            <w:tcW w:w="2132" w:type="dxa"/>
            <w:noWrap w:val="0"/>
            <w:vAlign w:val="center"/>
          </w:tcPr>
          <w:p w14:paraId="7227037F">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八</w:t>
            </w:r>
          </w:p>
        </w:tc>
        <w:tc>
          <w:tcPr>
            <w:tcW w:w="2132" w:type="dxa"/>
            <w:noWrap w:val="0"/>
            <w:vAlign w:val="center"/>
          </w:tcPr>
          <w:p w14:paraId="2EB4A756">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30%</w:t>
            </w:r>
          </w:p>
        </w:tc>
      </w:tr>
      <w:tr w14:paraId="0AC2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49" w:type="dxa"/>
            <w:noWrap w:val="0"/>
            <w:vAlign w:val="center"/>
          </w:tcPr>
          <w:p w14:paraId="0BAD2B4C">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四</w:t>
            </w:r>
          </w:p>
        </w:tc>
        <w:tc>
          <w:tcPr>
            <w:tcW w:w="2132" w:type="dxa"/>
            <w:noWrap w:val="0"/>
            <w:vAlign w:val="center"/>
          </w:tcPr>
          <w:p w14:paraId="767EB9DD">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70%</w:t>
            </w:r>
          </w:p>
        </w:tc>
        <w:tc>
          <w:tcPr>
            <w:tcW w:w="2132" w:type="dxa"/>
            <w:noWrap w:val="0"/>
            <w:vAlign w:val="center"/>
          </w:tcPr>
          <w:p w14:paraId="4EFD2D86">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九</w:t>
            </w:r>
          </w:p>
        </w:tc>
        <w:tc>
          <w:tcPr>
            <w:tcW w:w="2132" w:type="dxa"/>
            <w:noWrap w:val="0"/>
            <w:vAlign w:val="center"/>
          </w:tcPr>
          <w:p w14:paraId="06A95DC5">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20%</w:t>
            </w:r>
          </w:p>
        </w:tc>
      </w:tr>
      <w:tr w14:paraId="2A70E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49" w:type="dxa"/>
            <w:noWrap w:val="0"/>
            <w:vAlign w:val="center"/>
          </w:tcPr>
          <w:p w14:paraId="57D8BD97">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五</w:t>
            </w:r>
          </w:p>
        </w:tc>
        <w:tc>
          <w:tcPr>
            <w:tcW w:w="2132" w:type="dxa"/>
            <w:noWrap w:val="0"/>
            <w:vAlign w:val="center"/>
          </w:tcPr>
          <w:p w14:paraId="738F7EBF">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60%</w:t>
            </w:r>
          </w:p>
        </w:tc>
        <w:tc>
          <w:tcPr>
            <w:tcW w:w="2132" w:type="dxa"/>
            <w:noWrap w:val="0"/>
            <w:vAlign w:val="center"/>
          </w:tcPr>
          <w:p w14:paraId="7BA56122">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十</w:t>
            </w:r>
          </w:p>
        </w:tc>
        <w:tc>
          <w:tcPr>
            <w:tcW w:w="2132" w:type="dxa"/>
            <w:noWrap w:val="0"/>
            <w:vAlign w:val="center"/>
          </w:tcPr>
          <w:p w14:paraId="3CBA36E1">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10%</w:t>
            </w:r>
          </w:p>
        </w:tc>
      </w:tr>
    </w:tbl>
    <w:p w14:paraId="7C26F50A">
      <w:pPr>
        <w:pStyle w:val="35"/>
        <w:spacing w:line="360" w:lineRule="auto"/>
        <w:ind w:firstLine="240"/>
        <w:rPr>
          <w:rFonts w:hint="eastAsia" w:hAnsi="宋体" w:eastAsia="宋体" w:cs="宋体"/>
          <w:color w:val="auto"/>
          <w:szCs w:val="24"/>
          <w:highlight w:val="none"/>
        </w:rPr>
      </w:pPr>
    </w:p>
    <w:p w14:paraId="1839E091">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当同一意外伤害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同一部位和性质的伤残，不应采用《行业标准》条文两条以上或者同一条文两次以上进行评定。</w:t>
      </w:r>
    </w:p>
    <w:p w14:paraId="7CFDF975">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若在保险期间开始之前被保险人同一部位已有伤残，或在保险期间内被保险人因不同意外伤害导致同一部位多次伤残（不含因责任免除事项所致伤残，下同），而在保险期间内被保险人因本次意外伤害导致同一部位伤残的，乙方按被保险人上述已有伤残、多次伤残、本次伤残中最重的伤残等级对应《行业标准》所列给付比例计算伤残保险金，但上述已有伤残、多次伤残视同已按约定的保险金额给付伤残保险金，在给付本次意外伤害伤残保险金时应予以扣除。</w:t>
      </w:r>
    </w:p>
    <w:p w14:paraId="02CF1FAE">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被保险人意外伤害身故保险金和意外伤害伤残保险金的给付总额，以约定的该被保险人意外伤害保险的保险金额为限。单次或累计给付的意外伤害伤残保险金达到约定的该被保险人意外伤害保险的保险金额时，乙方对该被保险人的意外伤害保险责任终止。</w:t>
      </w:r>
    </w:p>
    <w:p w14:paraId="4AB62AB9">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2、意外医疗保险责任：</w:t>
      </w:r>
    </w:p>
    <w:p w14:paraId="48615A87">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因遭受意外伤害，且自该意外伤害发生之日起180日（含）内因该意外伤害在二级以上(含二级)医院住院或门急诊就，发生的符合当地社会基本医疗保险机构规定的合理医疗费用（不包括基本医疗保险规定的由个人先行自付部分的医疗费用以及基本医疗保险规定的应当由个人全额负担的自费费用），乙方扣除被保险人已通过其他途径（包括社会保险经办机构、意外伤害事故责任方、被保险人工作单位、含乙方在内的任何商业保险机构等）获得的医疗费用补偿及约定的免赔额后，按照约定的比例给付意外伤害医疗保险金，累计给付金额以约定的意外伤害医疗保险金额为限。</w:t>
      </w:r>
    </w:p>
    <w:p w14:paraId="53389C8E">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3、意外住院津贴保险责任：</w:t>
      </w:r>
    </w:p>
    <w:p w14:paraId="677AB022">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因意外伤害在二级以上(含二级)医院住院就诊，乙方按每次住院发生的合理住院天数扣除约定的每次住院免赔天数后，乘以约定的每日住院津贴给付意外伤害住院津贴保险金，乙方对被保险人每次住院给付的意外伤害住院津贴保险金天数以约定的每次住院津贴最高给付天数为限，乙方对被保险人累计给付的意外伤害住院津贴保险金天数以约定的累计住院津贴最高给付天数为限。</w:t>
      </w:r>
    </w:p>
    <w:p w14:paraId="73DBE7A7">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4、重大疾病保险责任：</w:t>
      </w:r>
    </w:p>
    <w:p w14:paraId="745CBAB8">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经二级（含）以上基本医疗保险定点医疗机构诊断初次患本协议约定的一种或一种以上重大疾病（重大疾病共40种），乙方按约定的保险金额给付重大疾病保险金，同时对该被保险人本项保险责任终止。</w:t>
      </w:r>
    </w:p>
    <w:p w14:paraId="2E3D2675">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40种重大疾病包括：恶性肿瘤、急性心肌梗塞、脑中风后遗症、重大器官移植术或造血干细胞移植术、冠状动脉搭桥术(或称冠状动脉旁路移植术)、终末期肾病(或称慢性肾功能衰竭尿毒症期)、多个肢体缺失、急性或亚急性重症肝炎、良性脑舯瘤、慢性肝功能衰竭失代偿期、脑炎后遗症或脑膜炎后遗症、深度昏迷、双耳失聪、双目失明、瘫瘓、心脏瓣膜手术、严重阿尔茨海默病、严重脑损伤、严重帕金森病、严重Ⅲ度烧伤、严重原发性肺动脉高压、严重运动神经元病、语言能力丧失、重型再生障碍性贫血、主动脉手术、脑动脉瘤开颅手术、严重多发性硬化症、严重系统性红斑狼疮性肾病、严重重症肌无力、终末期肺病、肌营养不良症、细菌性脑脊髓膜炎、胰岛素依赖型糖屎病、急性坏死性胰腺炎、经输血感染艾滋病病毒、侵蚀性葡萄胎(或称恶性葡萄胎)、脊髓灰质炎、原发性心肌病、植物人、严重溃疡性结肠炎（以上40种重大疾病释义以中国保险行业协会与中国医师协会制定的规范定义为准。）</w:t>
      </w:r>
    </w:p>
    <w:p w14:paraId="5792D9E5">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5、重疾住院津贴保险责任：</w:t>
      </w:r>
    </w:p>
    <w:p w14:paraId="443D20E3">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经二级（含）以上基本医疗保险定点医疗机构诊断初次患本协议约定的一种或一种以上重大疾病（重大疾病共40种，详见附件），并因该疾病在二级以上(含二级)医院住院诊疗，乙方按每次住院发生的合理住院天数扣除约定的每次住院免赔天数后，乘以约定的每日住院津贴给付重大疾病住院津贴保险金，乙方对被保险人每次住院给付的重大疾病住院津贴保险金天数以约定的每次住院津贴最高给付天数为限，乙方对被保险人累计给付的重大疾病住院津贴保险金天数以约定的累计住院津贴最高给付天数为限。</w:t>
      </w:r>
    </w:p>
    <w:p w14:paraId="73FE6C20">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6、疾病身故保险责任：</w:t>
      </w:r>
    </w:p>
    <w:p w14:paraId="3E3348B1">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在保险期间内，被保险人自保险期间开始之日起患有疾病，并在保险期间内因该疾病导致身故的，一次性给予受益人</w:t>
      </w:r>
      <w:r>
        <w:rPr>
          <w:rFonts w:hint="eastAsia" w:hAnsi="宋体" w:eastAsia="宋体" w:cs="宋体"/>
          <w:color w:val="auto"/>
          <w:sz w:val="24"/>
          <w:szCs w:val="24"/>
          <w:highlight w:val="none"/>
          <w:lang w:val="en-US" w:eastAsia="zh-CN"/>
        </w:rPr>
        <w:t>4</w:t>
      </w:r>
      <w:r>
        <w:rPr>
          <w:rFonts w:hint="eastAsia" w:hAnsi="宋体" w:eastAsia="宋体" w:cs="宋体"/>
          <w:color w:val="auto"/>
          <w:sz w:val="24"/>
          <w:szCs w:val="24"/>
          <w:highlight w:val="none"/>
        </w:rPr>
        <w:t>000元死亡补偿金。</w:t>
      </w:r>
    </w:p>
    <w:p w14:paraId="6A8482BE">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7、重大疾病医疗补偿责任：</w:t>
      </w:r>
    </w:p>
    <w:p w14:paraId="517BC41B">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期间内，被保险人经二级（含）以上基本医疗保险定点医疗机构诊断初次患本协议约定的一种或一种以上重大疾病（重大疾病共40种，详见附件），并因该疾病在二级以上(含二级)医院门诊或住院治疗，发生的医疗费用乙方扣除被保险人已通过其他途径（包括社会保险经办机构、意外伤害事故责任方、被保险人工作单位、含乙方在内的任何商业保险机构等）获得的医疗费用补偿及约定的免赔额后，按照约定的比例给付重大疾病医疗补偿保险金，累计给付金额以约定的重大疾病医疗补偿保险金额为限。</w:t>
      </w:r>
    </w:p>
    <w:p w14:paraId="4BB6B97C">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8</w:t>
      </w:r>
      <w:r>
        <w:rPr>
          <w:rFonts w:hint="eastAsia" w:hAnsi="宋体" w:eastAsia="宋体" w:cs="宋体"/>
          <w:color w:val="auto"/>
          <w:sz w:val="24"/>
          <w:szCs w:val="24"/>
          <w:highlight w:val="none"/>
        </w:rPr>
        <w:t>、</w:t>
      </w:r>
      <w:r>
        <w:rPr>
          <w:rFonts w:hint="eastAsia" w:hAnsi="宋体" w:eastAsia="宋体" w:cs="宋体"/>
          <w:color w:val="auto"/>
          <w:sz w:val="24"/>
          <w:szCs w:val="24"/>
          <w:highlight w:val="none"/>
          <w:lang w:eastAsia="zh-CN"/>
        </w:rPr>
        <w:t>特别说明：考虑到残疾人出险后面临的住院治疗时间，出险后不一定立即报案，保险理赔时间可放宽至合同签定前一年内（以出险日期为准）。</w:t>
      </w:r>
    </w:p>
    <w:p w14:paraId="21922C7F">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（二）释义及特别约定</w:t>
      </w:r>
    </w:p>
    <w:p w14:paraId="2CEABA2D">
      <w:pPr>
        <w:tabs>
          <w:tab w:val="left" w:pos="900"/>
        </w:tabs>
        <w:spacing w:after="120" w:afterLines="50" w:line="360" w:lineRule="auto"/>
        <w:ind w:firstLine="560"/>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1、意外伤害约定</w:t>
      </w:r>
    </w:p>
    <w:p w14:paraId="0181AE5E">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意外伤害指遭受外来的、突发的、非本意的、非疾病的使身体受到伤害的客观事件。</w:t>
      </w:r>
    </w:p>
    <w:p w14:paraId="318B88FD">
      <w:pPr>
        <w:tabs>
          <w:tab w:val="left" w:pos="900"/>
        </w:tabs>
        <w:snapToGrid w:val="0"/>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若被保险人遭受的意外伤害事故类型属于基本医疗保险规定不予支付的范围（如交通事故或者其他责任事故等），但符合本协议约定的意外伤害定义的，乙方对该类型意外伤害事故承担保险责任。</w:t>
      </w:r>
    </w:p>
    <w:p w14:paraId="1FA3A64B">
      <w:pPr>
        <w:tabs>
          <w:tab w:val="left" w:pos="900"/>
        </w:tabs>
        <w:snapToGrid w:val="0"/>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若导致被保险人发生责任事故的责任方逃逸、无赔偿能力或拒不赔偿时，乙方应及时履行对应的保险金给付责任，不得以有责任方为由拒绝或延缓给付保险金。</w:t>
      </w:r>
    </w:p>
    <w:p w14:paraId="05733B68">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2、合理医疗费用</w:t>
      </w:r>
    </w:p>
    <w:p w14:paraId="2DABBE67">
      <w:pPr>
        <w:tabs>
          <w:tab w:val="left" w:pos="900"/>
        </w:tabs>
        <w:snapToGrid w:val="0"/>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合理医疗费用指符合保单签发地基本医疗保险规定的药品目录、诊疗项目目录、服务设施范围和支付标准的医疗费用。</w:t>
      </w:r>
    </w:p>
    <w:p w14:paraId="5F683AF4">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3、费用补偿约定</w:t>
      </w:r>
    </w:p>
    <w:p w14:paraId="60E675EA">
      <w:pPr>
        <w:tabs>
          <w:tab w:val="left" w:pos="900"/>
        </w:tabs>
        <w:snapToGrid w:val="0"/>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被保险人已通过其他途径（包括社会保险经办机构、意外伤害事故责任方、被保险人工作单位、含乙方在内的任何商业保险机构等）获得医疗费用补偿的，乙方按保险责任约定仅承担剩余部分医疗费用的保险责任，并以医疗费用发票复印件和原始医疗费用发票留存单位出具的医疗费用分割单作为给付保险金依据。</w:t>
      </w:r>
    </w:p>
    <w:p w14:paraId="4E1AA3C2">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4、合理住院天数约定</w:t>
      </w:r>
    </w:p>
    <w:p w14:paraId="48156E74">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合理住院天数指被保险人因意外伤害到基本医疗保险定点医疗机构办理入出院手续，并全日24小时入住病房进行检查、诊断、治疗，不包括入住家庭病房、门急诊部（如观察室、输液室等）的天数，也不包括住院期间的挂床行为的天数，但基本医疗保险另有规定的除外。</w:t>
      </w:r>
    </w:p>
    <w:p w14:paraId="0D6BCD01">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入住家庭病房指被保险人未入住医疗机构病房，由医护人员以出诊形式上门对被保险人进行检查、诊断、治疗；或被保险人未入住医疗机构病房，由其它人员以转述形式讲述病情，医护人员对被保险人进行诊断、治疗。</w:t>
      </w:r>
    </w:p>
    <w:p w14:paraId="3CE1F208">
      <w:pPr>
        <w:tabs>
          <w:tab w:val="left" w:pos="900"/>
        </w:tabs>
        <w:spacing w:after="120" w:afterLines="50" w:line="360" w:lineRule="auto"/>
        <w:ind w:firstLine="560"/>
        <w:rPr>
          <w:rFonts w:hint="eastAsia" w:hAnsi="宋体" w:eastAsia="宋体" w:cs="宋体"/>
          <w:color w:val="auto"/>
          <w:sz w:val="24"/>
          <w:szCs w:val="24"/>
          <w:highlight w:val="none"/>
        </w:rPr>
      </w:pPr>
      <w:r>
        <w:rPr>
          <w:rFonts w:hint="eastAsia" w:hAnsi="宋体" w:eastAsia="宋体" w:cs="宋体"/>
          <w:color w:val="auto"/>
          <w:sz w:val="24"/>
          <w:szCs w:val="24"/>
          <w:highlight w:val="none"/>
        </w:rPr>
        <w:t>挂床指被保险人在住院期间24小时内未接受检查和治疗，或同一自然日内住在医院不满24小时（办理入、出院手续日以及遵医嘱在外接受临时诊疗的除外）。</w:t>
      </w:r>
    </w:p>
    <w:p w14:paraId="2FBF4FAA">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5、每次住院约定</w:t>
      </w:r>
    </w:p>
    <w:p w14:paraId="3B23F034">
      <w:pPr>
        <w:tabs>
          <w:tab w:val="left" w:pos="900"/>
        </w:tabs>
        <w:spacing w:line="360" w:lineRule="auto"/>
        <w:ind w:firstLine="560"/>
        <w:rPr>
          <w:rFonts w:hint="eastAsia" w:hAnsi="宋体" w:eastAsia="宋体" w:cs="宋体"/>
          <w:color w:val="auto"/>
          <w:sz w:val="24"/>
          <w:szCs w:val="24"/>
          <w:highlight w:val="none"/>
        </w:rPr>
      </w:pPr>
      <w:r>
        <w:rPr>
          <w:rFonts w:hint="eastAsia" w:hAnsi="宋体" w:eastAsia="宋体" w:cs="宋体"/>
          <w:color w:val="auto"/>
          <w:sz w:val="24"/>
          <w:szCs w:val="24"/>
          <w:highlight w:val="none"/>
        </w:rPr>
        <w:t>每次住院指被保险人因意外伤害到基本医疗保险定点医疗机构住院治疗，自办理入院手续日起至办理出院手续日止的期间；若被保险人因同一意外伤害而入住基本医疗保险定点医疗机构两次（含）以上，而其前次住院办理出院手续日与下次住院办理入院手续日的间隔期间未超过30 日，视为同一次住院。</w:t>
      </w:r>
    </w:p>
    <w:p w14:paraId="114A4B17">
      <w:pPr>
        <w:tabs>
          <w:tab w:val="left" w:pos="900"/>
        </w:tabs>
        <w:spacing w:after="120" w:afterLines="50" w:line="360" w:lineRule="auto"/>
        <w:ind w:firstLine="560"/>
        <w:rPr>
          <w:rFonts w:hint="eastAsia" w:hAnsi="宋体" w:eastAsia="宋体" w:cs="宋体"/>
          <w:color w:val="auto"/>
          <w:sz w:val="24"/>
          <w:szCs w:val="24"/>
          <w:highlight w:val="none"/>
        </w:rPr>
      </w:pPr>
      <w:r>
        <w:rPr>
          <w:rFonts w:hint="eastAsia" w:hAnsi="宋体" w:eastAsia="宋体" w:cs="宋体"/>
          <w:color w:val="auto"/>
          <w:sz w:val="24"/>
          <w:szCs w:val="24"/>
          <w:highlight w:val="none"/>
        </w:rPr>
        <w:t>6、跨保险期间住院约定</w:t>
      </w:r>
    </w:p>
    <w:p w14:paraId="235379B1">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若被保险人在保险责任开始之前已办理入院手续，乙方对保险责任开始之前发生的住院天数不承担保险责任，对保险期间内发生的住院天数承担保险责任。</w:t>
      </w:r>
    </w:p>
    <w:p w14:paraId="46D9AF3A">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被保险人在保险期间内已办理入院手续，至保险责任终止日住院治疗仍未结束，乙方对保险责任终止日后30日（含）内发生的住院天数继续承担保险责任；且乙方对被保险人给付的该次住院津贴保险金的天数以约定的每次意外伤害住院津贴最高给付天数为限。  </w:t>
      </w:r>
    </w:p>
    <w:p w14:paraId="4F5655FD">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7、恶性肿瘤诊断约定 </w:t>
      </w:r>
    </w:p>
    <w:p w14:paraId="6B6D869B">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乙方确认被保险人患恶性肿瘤的诊断时间，以二级（含）以上基本医疗保险定点医疗机构初次病理检查报告结论出具日为准。</w:t>
      </w:r>
    </w:p>
    <w:p w14:paraId="2556DDC8">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8、重大疾病保险、重大疾病住院津贴保险既往症约定</w:t>
      </w:r>
    </w:p>
    <w:p w14:paraId="01AA1210">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在保险责任生效之日前，被保险人已诊断患本协议约定的重大疾病，且在保险期间内因上述重大疾病的复发、转移、并发症，导致被保险人患本协议约定的重大疾病，乙方不承担重大疾病保险责任。</w:t>
      </w:r>
    </w:p>
    <w:p w14:paraId="4A135DAB">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在保险责任生效之日前，被保险人已诊断患本协议约定的重大疾病，在保险期间内被保险人诊断初次患上述重大疾病之外的本协议约定的重大疾病，乙方承担重大疾病保险责任。</w:t>
      </w:r>
    </w:p>
    <w:p w14:paraId="3A8B375A">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在保险责任生效之日前，被保险人已诊断患本协议约定的重大疾病之外的既往症，在保险期间内因上述既往症导致被保险人初次诊断患本协议约定的重大疾病的，乙方不承担重大疾病保险责任。</w:t>
      </w:r>
    </w:p>
    <w:p w14:paraId="0DA0E835">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既往症指保险责任生效之日前被保险人已患且未治愈的疾病、症状、体征、伤残，已患且已治愈的的疾病、症状、体征、伤残不属于既往症范围。</w:t>
      </w:r>
    </w:p>
    <w:p w14:paraId="5EF429B2">
      <w:pPr>
        <w:tabs>
          <w:tab w:val="left" w:pos="900"/>
        </w:tabs>
        <w:snapToGrid w:val="0"/>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(三)责任免除</w:t>
      </w:r>
    </w:p>
    <w:p w14:paraId="1C6FEDAA">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除上述特别约定及释义以外的其他情况按承保单位签发保险单所附承保条款中列明的责任免除项执行。</w:t>
      </w:r>
    </w:p>
    <w:p w14:paraId="1A4E1A07">
      <w:pPr>
        <w:tabs>
          <w:tab w:val="left" w:pos="720"/>
        </w:tabs>
        <w:spacing w:before="120" w:beforeLines="50" w:after="120" w:afterLines="50" w:line="360" w:lineRule="auto"/>
        <w:ind w:left="420" w:leftChars="200"/>
        <w:rPr>
          <w:rFonts w:hint="eastAsia" w:hAnsi="宋体" w:eastAsia="宋体" w:cs="宋体"/>
          <w:b/>
          <w:color w:val="auto"/>
          <w:sz w:val="24"/>
          <w:szCs w:val="24"/>
          <w:highlight w:val="none"/>
        </w:rPr>
      </w:pPr>
      <w:r>
        <w:rPr>
          <w:rFonts w:hint="eastAsia" w:hAnsi="宋体" w:eastAsia="宋体" w:cs="宋体"/>
          <w:b/>
          <w:color w:val="auto"/>
          <w:sz w:val="24"/>
          <w:szCs w:val="24"/>
          <w:highlight w:val="none"/>
        </w:rPr>
        <w:t>七、</w:t>
      </w:r>
      <w:bookmarkEnd w:id="197"/>
      <w:bookmarkStart w:id="198" w:name="_Toc402512990"/>
      <w:bookmarkStart w:id="199" w:name="_Toc5993"/>
      <w:r>
        <w:rPr>
          <w:rFonts w:hint="eastAsia" w:hAnsi="宋体" w:eastAsia="宋体" w:cs="宋体"/>
          <w:b/>
          <w:color w:val="auto"/>
          <w:sz w:val="24"/>
          <w:szCs w:val="24"/>
          <w:highlight w:val="none"/>
        </w:rPr>
        <w:t>保单退保</w:t>
      </w:r>
      <w:bookmarkEnd w:id="198"/>
      <w:bookmarkEnd w:id="199"/>
    </w:p>
    <w:p w14:paraId="44B31FDF">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甲方可随时要求乙方终止本协议，甲方申请退保时应提供以下材料：</w:t>
      </w:r>
    </w:p>
    <w:p w14:paraId="60F4FF0F">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1、退保申请书；</w:t>
      </w:r>
    </w:p>
    <w:p w14:paraId="466D4250">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2、保险单原件。</w:t>
      </w:r>
    </w:p>
    <w:p w14:paraId="1944A5C3">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乙方在收到甲方退保材料之日起终止保险合同，并于30日内向甲方退还未满期净保费。</w:t>
      </w:r>
    </w:p>
    <w:p w14:paraId="5B99A140">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未满期净保费＝保单总保险费×（1－保险期间已经过天数÷保险期间天数）</w:t>
      </w:r>
    </w:p>
    <w:p w14:paraId="14CB5152">
      <w:pPr>
        <w:tabs>
          <w:tab w:val="left" w:pos="720"/>
        </w:tabs>
        <w:spacing w:before="120" w:beforeLines="50" w:after="120" w:afterLines="50" w:line="360" w:lineRule="auto"/>
        <w:ind w:left="420" w:leftChars="200"/>
        <w:rPr>
          <w:rFonts w:hint="eastAsia" w:hAnsi="宋体" w:eastAsia="宋体" w:cs="宋体"/>
          <w:b/>
          <w:color w:val="auto"/>
          <w:sz w:val="24"/>
          <w:szCs w:val="24"/>
          <w:highlight w:val="none"/>
        </w:rPr>
      </w:pPr>
      <w:bookmarkStart w:id="200" w:name="_Toc402512991"/>
      <w:bookmarkStart w:id="201" w:name="_Toc16787"/>
      <w:r>
        <w:rPr>
          <w:rFonts w:hint="eastAsia" w:hAnsi="宋体" w:eastAsia="宋体" w:cs="宋体"/>
          <w:b/>
          <w:color w:val="auto"/>
          <w:sz w:val="24"/>
          <w:szCs w:val="24"/>
          <w:highlight w:val="none"/>
        </w:rPr>
        <w:t>八、理赔</w:t>
      </w:r>
      <w:bookmarkEnd w:id="200"/>
      <w:r>
        <w:rPr>
          <w:rFonts w:hint="eastAsia" w:hAnsi="宋体" w:eastAsia="宋体" w:cs="宋体"/>
          <w:b/>
          <w:color w:val="auto"/>
          <w:sz w:val="24"/>
          <w:szCs w:val="24"/>
          <w:highlight w:val="none"/>
        </w:rPr>
        <w:t>服务</w:t>
      </w:r>
      <w:bookmarkEnd w:id="201"/>
    </w:p>
    <w:p w14:paraId="52F935DE">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02" w:name="_Toc5969"/>
      <w:bookmarkStart w:id="203" w:name="_Toc402512992"/>
      <w:r>
        <w:rPr>
          <w:rFonts w:hint="eastAsia" w:hAnsi="宋体" w:eastAsia="宋体" w:cs="宋体"/>
          <w:b/>
          <w:bCs/>
          <w:color w:val="auto"/>
          <w:sz w:val="24"/>
          <w:szCs w:val="24"/>
          <w:highlight w:val="none"/>
        </w:rPr>
        <w:t>（一）理赔申请</w:t>
      </w:r>
      <w:bookmarkEnd w:id="202"/>
      <w:r>
        <w:rPr>
          <w:rFonts w:hint="eastAsia" w:hAnsi="宋体" w:eastAsia="宋体" w:cs="宋体"/>
          <w:b/>
          <w:bCs/>
          <w:color w:val="auto"/>
          <w:sz w:val="24"/>
          <w:szCs w:val="24"/>
          <w:highlight w:val="none"/>
        </w:rPr>
        <w:t xml:space="preserve">  </w:t>
      </w:r>
    </w:p>
    <w:p w14:paraId="34BE5682">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乙方需积极响应甲方提出的临时申请要求。</w:t>
      </w:r>
    </w:p>
    <w:p w14:paraId="6B1133CC">
      <w:pPr>
        <w:numPr>
          <w:ilvl w:val="0"/>
          <w:numId w:val="4"/>
        </w:num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04" w:name="_Toc29141"/>
      <w:r>
        <w:rPr>
          <w:rFonts w:hint="eastAsia" w:hAnsi="宋体" w:eastAsia="宋体" w:cs="宋体"/>
          <w:b/>
          <w:bCs/>
          <w:color w:val="auto"/>
          <w:sz w:val="24"/>
          <w:szCs w:val="24"/>
          <w:highlight w:val="none"/>
        </w:rPr>
        <w:t>理赔单证</w:t>
      </w:r>
      <w:bookmarkEnd w:id="204"/>
    </w:p>
    <w:p w14:paraId="04448A43">
      <w:pPr>
        <w:pStyle w:val="35"/>
        <w:spacing w:line="360" w:lineRule="auto"/>
        <w:ind w:firstLine="0" w:firstLineChars="0"/>
        <w:rPr>
          <w:rFonts w:hint="eastAsia" w:hAnsi="宋体" w:eastAsia="宋体" w:cs="宋体"/>
          <w:color w:val="auto"/>
          <w:szCs w:val="24"/>
          <w:highlight w:val="non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627"/>
        <w:gridCol w:w="6344"/>
      </w:tblGrid>
      <w:tr w14:paraId="64E9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9286" w:type="dxa"/>
            <w:gridSpan w:val="3"/>
            <w:tcBorders>
              <w:top w:val="single" w:color="auto" w:sz="4" w:space="0"/>
              <w:left w:val="single" w:color="auto" w:sz="4" w:space="0"/>
              <w:bottom w:val="single" w:color="auto" w:sz="4" w:space="0"/>
              <w:right w:val="single" w:color="auto" w:sz="4" w:space="0"/>
            </w:tcBorders>
            <w:shd w:val="clear" w:color="auto" w:fill="B3B3B3"/>
            <w:noWrap w:val="0"/>
            <w:vAlign w:val="center"/>
          </w:tcPr>
          <w:p w14:paraId="076C5C92">
            <w:pPr>
              <w:tabs>
                <w:tab w:val="left" w:pos="900"/>
              </w:tabs>
              <w:spacing w:after="120" w:afterLines="50" w:line="360" w:lineRule="auto"/>
              <w:ind w:firstLine="482" w:firstLineChars="200"/>
              <w:rPr>
                <w:rFonts w:hint="eastAsia" w:hAnsi="宋体" w:eastAsia="宋体" w:cs="宋体"/>
                <w:color w:val="auto"/>
                <w:sz w:val="24"/>
                <w:szCs w:val="24"/>
                <w:highlight w:val="none"/>
              </w:rPr>
            </w:pPr>
            <w:r>
              <w:rPr>
                <w:rFonts w:hint="eastAsia" w:hAnsi="宋体" w:eastAsia="宋体" w:cs="宋体"/>
                <w:b/>
                <w:bCs/>
                <w:color w:val="auto"/>
                <w:sz w:val="24"/>
                <w:szCs w:val="24"/>
                <w:highlight w:val="none"/>
              </w:rPr>
              <w:t>基本理赔单证（供参考，具体以保险人理赔规范为准）</w:t>
            </w:r>
          </w:p>
        </w:tc>
      </w:tr>
      <w:tr w14:paraId="4E6C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9286" w:type="dxa"/>
            <w:gridSpan w:val="3"/>
            <w:tcBorders>
              <w:top w:val="single" w:color="auto" w:sz="4" w:space="0"/>
              <w:left w:val="single" w:color="auto" w:sz="4" w:space="0"/>
              <w:bottom w:val="single" w:color="auto" w:sz="4" w:space="0"/>
              <w:right w:val="single" w:color="auto" w:sz="4" w:space="0"/>
            </w:tcBorders>
            <w:noWrap w:val="0"/>
            <w:vAlign w:val="center"/>
          </w:tcPr>
          <w:p w14:paraId="70C4120D">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1、理赔申请书；</w:t>
            </w:r>
          </w:p>
          <w:p w14:paraId="108DDD7E">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2、被保险人身份证明复印件；</w:t>
            </w:r>
          </w:p>
          <w:p w14:paraId="57648AD4">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3、转账账户复印件，并注明开户行（转账账户姓名需与身份证件姓名相同）。</w:t>
            </w:r>
          </w:p>
        </w:tc>
      </w:tr>
      <w:tr w14:paraId="4B88C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286" w:type="dxa"/>
            <w:gridSpan w:val="3"/>
            <w:tcBorders>
              <w:top w:val="single" w:color="auto" w:sz="4" w:space="0"/>
              <w:left w:val="single" w:color="auto" w:sz="4" w:space="0"/>
              <w:bottom w:val="single" w:color="auto" w:sz="4" w:space="0"/>
              <w:right w:val="single" w:color="auto" w:sz="4" w:space="0"/>
            </w:tcBorders>
            <w:shd w:val="clear" w:color="auto" w:fill="B3B3B3"/>
            <w:noWrap w:val="0"/>
            <w:vAlign w:val="center"/>
          </w:tcPr>
          <w:p w14:paraId="1C72B903">
            <w:pPr>
              <w:tabs>
                <w:tab w:val="left" w:pos="900"/>
              </w:tabs>
              <w:spacing w:after="120" w:afterLines="50" w:line="360" w:lineRule="auto"/>
              <w:ind w:firstLine="482" w:firstLineChars="200"/>
              <w:rPr>
                <w:rFonts w:hint="eastAsia" w:hAnsi="宋体" w:eastAsia="宋体" w:cs="宋体"/>
                <w:color w:val="auto"/>
                <w:sz w:val="24"/>
                <w:szCs w:val="24"/>
                <w:highlight w:val="none"/>
              </w:rPr>
            </w:pPr>
            <w:r>
              <w:rPr>
                <w:rFonts w:hint="eastAsia" w:hAnsi="宋体" w:eastAsia="宋体" w:cs="宋体"/>
                <w:b/>
                <w:bCs/>
                <w:color w:val="auto"/>
                <w:sz w:val="24"/>
                <w:szCs w:val="24"/>
                <w:highlight w:val="none"/>
              </w:rPr>
              <w:t>根据申请项目，需额外提供的单证</w:t>
            </w:r>
          </w:p>
        </w:tc>
      </w:tr>
      <w:tr w14:paraId="5B80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942" w:type="dxa"/>
            <w:gridSpan w:val="2"/>
            <w:tcBorders>
              <w:top w:val="single" w:color="auto" w:sz="4" w:space="0"/>
              <w:left w:val="single" w:color="auto" w:sz="4" w:space="0"/>
              <w:bottom w:val="single" w:color="auto" w:sz="4" w:space="0"/>
              <w:right w:val="single" w:color="auto" w:sz="4" w:space="0"/>
            </w:tcBorders>
            <w:noWrap w:val="0"/>
            <w:vAlign w:val="center"/>
          </w:tcPr>
          <w:p w14:paraId="6EA8E618">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意外伤害身故</w:t>
            </w:r>
          </w:p>
          <w:p w14:paraId="5489FE9F">
            <w:pPr>
              <w:pStyle w:val="35"/>
              <w:spacing w:line="360" w:lineRule="auto"/>
              <w:ind w:firstLine="480" w:firstLineChars="200"/>
              <w:rPr>
                <w:rFonts w:hint="eastAsia" w:hAnsi="宋体" w:eastAsia="宋体" w:cs="宋体"/>
                <w:color w:val="auto"/>
                <w:szCs w:val="24"/>
                <w:highlight w:val="none"/>
              </w:rPr>
            </w:pPr>
            <w:r>
              <w:rPr>
                <w:rFonts w:hint="eastAsia" w:hAnsi="宋体" w:eastAsia="宋体" w:cs="宋体"/>
                <w:color w:val="auto"/>
                <w:szCs w:val="24"/>
                <w:highlight w:val="none"/>
              </w:rPr>
              <w:t>疾病身故</w:t>
            </w:r>
          </w:p>
        </w:tc>
        <w:tc>
          <w:tcPr>
            <w:tcW w:w="6344" w:type="dxa"/>
            <w:tcBorders>
              <w:top w:val="single" w:color="auto" w:sz="4" w:space="0"/>
              <w:left w:val="single" w:color="auto" w:sz="4" w:space="0"/>
              <w:bottom w:val="single" w:color="auto" w:sz="4" w:space="0"/>
              <w:right w:val="single" w:color="auto" w:sz="4" w:space="0"/>
            </w:tcBorders>
            <w:noWrap w:val="0"/>
            <w:vAlign w:val="center"/>
          </w:tcPr>
          <w:p w14:paraId="76256FD9">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1、意外伤害事故证明；</w:t>
            </w:r>
          </w:p>
          <w:p w14:paraId="07E5431C">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2、公安部门、国家卫生行政部门认定的医疗机构或其他相关机构出具的被保险人死亡证明书，或人民法院出具的宣告死亡证明文件；</w:t>
            </w:r>
          </w:p>
          <w:p w14:paraId="51EBF15C">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3、殡仪馆、当地民政局或相关部门出具丧葬证明，或公安部门出具的户籍注销证明；</w:t>
            </w:r>
          </w:p>
          <w:p w14:paraId="3A2B831E">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4、可证明合法继承权的相关权利文件：</w:t>
            </w:r>
          </w:p>
          <w:p w14:paraId="5A690D4B">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（1）按法定继承的，需提供：</w:t>
            </w:r>
          </w:p>
          <w:p w14:paraId="4C31DCDF">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a、法定继承人身份认证文件原件（以公证部门、公安户籍部门、街道或社区居委会、被保险人单位等相关部门出具的与被保险人有法定继承关系的关系证明书为准，如法定继承关系中有已身故者，需在关系证明表中注明继承人先身故的情况）；</w:t>
            </w:r>
          </w:p>
          <w:p w14:paraId="768BA2F5">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b、法定继承人的身份证明；</w:t>
            </w:r>
          </w:p>
          <w:p w14:paraId="79B2C6A0">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c、法定继承人签字确认的理赔金银行转账授权书原件及银行账户；</w:t>
            </w:r>
          </w:p>
          <w:p w14:paraId="6FECF5FC">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（2）按遗嘱继承的，需提供：</w:t>
            </w:r>
          </w:p>
          <w:p w14:paraId="025EC8C9">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a、公证部门出具的遗嘱继承权公证书原件；</w:t>
            </w:r>
          </w:p>
          <w:p w14:paraId="3EAEFC8C">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b、遗嘱继承人的身份证明；</w:t>
            </w:r>
          </w:p>
          <w:p w14:paraId="1ABD48F1">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c、遗嘱继承人签字确认的理赔金银行转账授权书原件及银行账户。</w:t>
            </w:r>
          </w:p>
        </w:tc>
      </w:tr>
      <w:tr w14:paraId="4ECB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2942" w:type="dxa"/>
            <w:gridSpan w:val="2"/>
            <w:tcBorders>
              <w:top w:val="single" w:color="auto" w:sz="4" w:space="0"/>
              <w:left w:val="single" w:color="auto" w:sz="4" w:space="0"/>
              <w:bottom w:val="single" w:color="auto" w:sz="4" w:space="0"/>
              <w:right w:val="single" w:color="auto" w:sz="4" w:space="0"/>
            </w:tcBorders>
            <w:noWrap w:val="0"/>
            <w:vAlign w:val="center"/>
          </w:tcPr>
          <w:p w14:paraId="47D623B2">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意外伤害伤残</w:t>
            </w:r>
          </w:p>
        </w:tc>
        <w:tc>
          <w:tcPr>
            <w:tcW w:w="6344" w:type="dxa"/>
            <w:tcBorders>
              <w:top w:val="single" w:color="auto" w:sz="4" w:space="0"/>
              <w:left w:val="single" w:color="auto" w:sz="4" w:space="0"/>
              <w:bottom w:val="single" w:color="auto" w:sz="4" w:space="0"/>
              <w:right w:val="single" w:color="auto" w:sz="4" w:space="0"/>
            </w:tcBorders>
            <w:noWrap w:val="0"/>
            <w:vAlign w:val="center"/>
          </w:tcPr>
          <w:p w14:paraId="25830203">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1、意外伤害事故证明；</w:t>
            </w:r>
          </w:p>
          <w:p w14:paraId="60601D26">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2、有资质的伤残评定机构出具的被保险人伤残程度评定书；</w:t>
            </w:r>
          </w:p>
        </w:tc>
      </w:tr>
      <w:tr w14:paraId="030B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1315" w:type="dxa"/>
            <w:vMerge w:val="restart"/>
            <w:tcBorders>
              <w:top w:val="single" w:color="auto" w:sz="4" w:space="0"/>
              <w:left w:val="single" w:color="auto" w:sz="4" w:space="0"/>
              <w:right w:val="single" w:color="auto" w:sz="4" w:space="0"/>
            </w:tcBorders>
            <w:noWrap w:val="0"/>
            <w:vAlign w:val="center"/>
          </w:tcPr>
          <w:p w14:paraId="257AD601">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意外伤害医疗</w:t>
            </w:r>
          </w:p>
        </w:tc>
        <w:tc>
          <w:tcPr>
            <w:tcW w:w="1627" w:type="dxa"/>
            <w:tcBorders>
              <w:top w:val="single" w:color="auto" w:sz="4" w:space="0"/>
              <w:left w:val="single" w:color="auto" w:sz="4" w:space="0"/>
              <w:bottom w:val="single" w:color="auto" w:sz="4" w:space="0"/>
              <w:right w:val="single" w:color="auto" w:sz="4" w:space="0"/>
            </w:tcBorders>
            <w:noWrap w:val="0"/>
            <w:vAlign w:val="center"/>
          </w:tcPr>
          <w:p w14:paraId="753F3940">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门、急诊医疗</w:t>
            </w:r>
          </w:p>
        </w:tc>
        <w:tc>
          <w:tcPr>
            <w:tcW w:w="6344" w:type="dxa"/>
            <w:tcBorders>
              <w:top w:val="single" w:color="auto" w:sz="4" w:space="0"/>
              <w:left w:val="single" w:color="auto" w:sz="4" w:space="0"/>
              <w:bottom w:val="single" w:color="auto" w:sz="4" w:space="0"/>
              <w:right w:val="single" w:color="auto" w:sz="4" w:space="0"/>
            </w:tcBorders>
            <w:noWrap w:val="0"/>
            <w:vAlign w:val="center"/>
          </w:tcPr>
          <w:p w14:paraId="0DDF57FE">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1、意外伤害事故证明；</w:t>
            </w:r>
          </w:p>
          <w:p w14:paraId="3E3D7848">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2、门、急诊费用原始发票/收据原件；</w:t>
            </w:r>
          </w:p>
          <w:p w14:paraId="74B4B8D6">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3、门、急诊病历或诊断证明书；</w:t>
            </w:r>
          </w:p>
          <w:p w14:paraId="7920488C">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4、门、急诊处方或费用明细清单。</w:t>
            </w:r>
          </w:p>
        </w:tc>
      </w:tr>
      <w:tr w14:paraId="58BE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1315" w:type="dxa"/>
            <w:vMerge w:val="continue"/>
            <w:tcBorders>
              <w:left w:val="single" w:color="auto" w:sz="4" w:space="0"/>
              <w:bottom w:val="single" w:color="auto" w:sz="4" w:space="0"/>
              <w:right w:val="single" w:color="auto" w:sz="4" w:space="0"/>
            </w:tcBorders>
            <w:noWrap w:val="0"/>
            <w:vAlign w:val="center"/>
          </w:tcPr>
          <w:p w14:paraId="4BDFD791">
            <w:pPr>
              <w:tabs>
                <w:tab w:val="left" w:pos="900"/>
              </w:tabs>
              <w:spacing w:after="120" w:afterLines="50" w:line="360" w:lineRule="auto"/>
              <w:ind w:firstLine="480" w:firstLineChars="200"/>
              <w:rPr>
                <w:rFonts w:hint="eastAsia"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6C4EA930">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住院医疗</w:t>
            </w:r>
          </w:p>
        </w:tc>
        <w:tc>
          <w:tcPr>
            <w:tcW w:w="6344" w:type="dxa"/>
            <w:tcBorders>
              <w:top w:val="single" w:color="auto" w:sz="4" w:space="0"/>
              <w:left w:val="single" w:color="auto" w:sz="4" w:space="0"/>
              <w:bottom w:val="single" w:color="auto" w:sz="4" w:space="0"/>
              <w:right w:val="single" w:color="auto" w:sz="4" w:space="0"/>
            </w:tcBorders>
            <w:noWrap w:val="0"/>
            <w:vAlign w:val="center"/>
          </w:tcPr>
          <w:p w14:paraId="38BE26A2">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1、意外伤害事故证明；</w:t>
            </w:r>
          </w:p>
          <w:p w14:paraId="4ED0E07C">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2、住院费用原始发票/收据原件；</w:t>
            </w:r>
          </w:p>
          <w:p w14:paraId="27BA9E21">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3、住院费用结算单原件；</w:t>
            </w:r>
          </w:p>
          <w:p w14:paraId="24D88A28">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4、住院费用明细清单（非医疗机构实时结算，采用基本医疗经办机构结算基本医疗费用的，可提供此项复印件）；</w:t>
            </w:r>
          </w:p>
          <w:p w14:paraId="374C462B">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5、住院病历（包括首页、出院记录）或出院小结。</w:t>
            </w:r>
          </w:p>
        </w:tc>
      </w:tr>
      <w:tr w14:paraId="3FBB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2942" w:type="dxa"/>
            <w:gridSpan w:val="2"/>
            <w:tcBorders>
              <w:top w:val="single" w:color="auto" w:sz="4" w:space="0"/>
              <w:left w:val="single" w:color="auto" w:sz="4" w:space="0"/>
              <w:bottom w:val="single" w:color="auto" w:sz="4" w:space="0"/>
              <w:right w:val="single" w:color="auto" w:sz="4" w:space="0"/>
            </w:tcBorders>
            <w:noWrap w:val="0"/>
            <w:vAlign w:val="center"/>
          </w:tcPr>
          <w:p w14:paraId="406B498E">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意外伤害住院津贴</w:t>
            </w:r>
          </w:p>
        </w:tc>
        <w:tc>
          <w:tcPr>
            <w:tcW w:w="6344" w:type="dxa"/>
            <w:tcBorders>
              <w:top w:val="single" w:color="auto" w:sz="4" w:space="0"/>
              <w:left w:val="single" w:color="auto" w:sz="4" w:space="0"/>
              <w:bottom w:val="single" w:color="auto" w:sz="4" w:space="0"/>
              <w:right w:val="single" w:color="auto" w:sz="4" w:space="0"/>
            </w:tcBorders>
            <w:noWrap w:val="0"/>
            <w:vAlign w:val="center"/>
          </w:tcPr>
          <w:p w14:paraId="351A65E3">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1、意外伤害事故证明；</w:t>
            </w:r>
          </w:p>
          <w:p w14:paraId="4B87EB23">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2、住院病历（包括首页、出院记录）或出院小结；</w:t>
            </w:r>
          </w:p>
          <w:p w14:paraId="513F4371">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3、被保险人银行账户。</w:t>
            </w:r>
          </w:p>
        </w:tc>
      </w:tr>
      <w:tr w14:paraId="2EAF3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2942" w:type="dxa"/>
            <w:gridSpan w:val="2"/>
            <w:tcBorders>
              <w:top w:val="single" w:color="auto" w:sz="4" w:space="0"/>
              <w:left w:val="single" w:color="auto" w:sz="4" w:space="0"/>
              <w:bottom w:val="single" w:color="auto" w:sz="4" w:space="0"/>
              <w:right w:val="single" w:color="auto" w:sz="4" w:space="0"/>
            </w:tcBorders>
            <w:noWrap w:val="0"/>
            <w:vAlign w:val="center"/>
          </w:tcPr>
          <w:p w14:paraId="32730D33">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重大疾病</w:t>
            </w:r>
          </w:p>
        </w:tc>
        <w:tc>
          <w:tcPr>
            <w:tcW w:w="6344" w:type="dxa"/>
            <w:tcBorders>
              <w:top w:val="single" w:color="auto" w:sz="4" w:space="0"/>
              <w:left w:val="single" w:color="auto" w:sz="4" w:space="0"/>
              <w:bottom w:val="single" w:color="auto" w:sz="4" w:space="0"/>
              <w:right w:val="single" w:color="auto" w:sz="4" w:space="0"/>
            </w:tcBorders>
            <w:noWrap w:val="0"/>
            <w:vAlign w:val="center"/>
          </w:tcPr>
          <w:p w14:paraId="2B972B9B">
            <w:pPr>
              <w:tabs>
                <w:tab w:val="left" w:pos="900"/>
              </w:tabs>
              <w:spacing w:line="360" w:lineRule="auto"/>
              <w:rPr>
                <w:rFonts w:hint="eastAsia" w:hAnsi="宋体" w:eastAsia="宋体" w:cs="宋体"/>
                <w:color w:val="auto"/>
                <w:kern w:val="0"/>
                <w:sz w:val="24"/>
                <w:szCs w:val="24"/>
                <w:highlight w:val="none"/>
              </w:rPr>
            </w:pPr>
            <w:r>
              <w:rPr>
                <w:rFonts w:hint="eastAsia" w:hAnsi="宋体" w:eastAsia="宋体" w:cs="宋体"/>
                <w:color w:val="auto"/>
                <w:sz w:val="24"/>
                <w:szCs w:val="24"/>
                <w:highlight w:val="none"/>
              </w:rPr>
              <w:t>1、</w:t>
            </w:r>
            <w:r>
              <w:rPr>
                <w:rFonts w:hint="eastAsia" w:hAnsi="宋体" w:eastAsia="宋体" w:cs="宋体"/>
                <w:color w:val="auto"/>
                <w:kern w:val="0"/>
                <w:sz w:val="24"/>
                <w:szCs w:val="24"/>
                <w:highlight w:val="none"/>
              </w:rPr>
              <w:t>二级（含）以上基本医疗保险定点医疗机构出具的病理显微镜检验、血液检验及其他检验报告；</w:t>
            </w:r>
          </w:p>
          <w:p w14:paraId="68AB8F6F">
            <w:pPr>
              <w:tabs>
                <w:tab w:val="left" w:pos="900"/>
              </w:tabs>
              <w:spacing w:line="360" w:lineRule="auto"/>
              <w:rPr>
                <w:rFonts w:hint="eastAsia" w:hAnsi="宋体" w:eastAsia="宋体" w:cs="宋体"/>
                <w:color w:val="auto"/>
                <w:kern w:val="0"/>
                <w:sz w:val="24"/>
                <w:szCs w:val="24"/>
                <w:highlight w:val="none"/>
              </w:rPr>
            </w:pPr>
            <w:r>
              <w:rPr>
                <w:rFonts w:hint="eastAsia" w:hAnsi="宋体" w:eastAsia="宋体" w:cs="宋体"/>
                <w:color w:val="auto"/>
                <w:kern w:val="0"/>
                <w:sz w:val="24"/>
                <w:szCs w:val="24"/>
                <w:highlight w:val="none"/>
              </w:rPr>
              <w:t>2、二级（含）以上基本医疗保险定点医疗机构出具的疾病诊断证明书；</w:t>
            </w:r>
          </w:p>
          <w:p w14:paraId="7229E73C">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kern w:val="0"/>
                <w:sz w:val="24"/>
                <w:szCs w:val="24"/>
                <w:highlight w:val="none"/>
              </w:rPr>
              <w:t>3、门、急诊病历或</w:t>
            </w:r>
            <w:r>
              <w:rPr>
                <w:rFonts w:hint="eastAsia" w:hAnsi="宋体" w:eastAsia="宋体" w:cs="宋体"/>
                <w:color w:val="auto"/>
                <w:sz w:val="24"/>
                <w:szCs w:val="24"/>
                <w:highlight w:val="none"/>
              </w:rPr>
              <w:t>住院病历（包括首页、出院记录）或出院小结。</w:t>
            </w:r>
          </w:p>
        </w:tc>
      </w:tr>
      <w:tr w14:paraId="7838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2942" w:type="dxa"/>
            <w:gridSpan w:val="2"/>
            <w:tcBorders>
              <w:top w:val="single" w:color="auto" w:sz="4" w:space="0"/>
              <w:left w:val="single" w:color="auto" w:sz="4" w:space="0"/>
              <w:bottom w:val="single" w:color="auto" w:sz="4" w:space="0"/>
              <w:right w:val="single" w:color="auto" w:sz="4" w:space="0"/>
            </w:tcBorders>
            <w:noWrap w:val="0"/>
            <w:vAlign w:val="center"/>
          </w:tcPr>
          <w:p w14:paraId="646D9FEF">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重大疾病住院津贴</w:t>
            </w:r>
          </w:p>
        </w:tc>
        <w:tc>
          <w:tcPr>
            <w:tcW w:w="6344" w:type="dxa"/>
            <w:tcBorders>
              <w:top w:val="single" w:color="auto" w:sz="4" w:space="0"/>
              <w:left w:val="single" w:color="auto" w:sz="4" w:space="0"/>
              <w:bottom w:val="single" w:color="auto" w:sz="4" w:space="0"/>
              <w:right w:val="single" w:color="auto" w:sz="4" w:space="0"/>
            </w:tcBorders>
            <w:noWrap w:val="0"/>
            <w:vAlign w:val="center"/>
          </w:tcPr>
          <w:p w14:paraId="3C8B575E">
            <w:pPr>
              <w:tabs>
                <w:tab w:val="left" w:pos="900"/>
              </w:tabs>
              <w:spacing w:line="360" w:lineRule="auto"/>
              <w:rPr>
                <w:rFonts w:hint="eastAsia" w:hAnsi="宋体" w:eastAsia="宋体" w:cs="宋体"/>
                <w:color w:val="auto"/>
                <w:kern w:val="0"/>
                <w:sz w:val="24"/>
                <w:szCs w:val="24"/>
                <w:highlight w:val="none"/>
              </w:rPr>
            </w:pPr>
            <w:r>
              <w:rPr>
                <w:rFonts w:hint="eastAsia" w:hAnsi="宋体" w:eastAsia="宋体" w:cs="宋体"/>
                <w:color w:val="auto"/>
                <w:sz w:val="24"/>
                <w:szCs w:val="24"/>
                <w:highlight w:val="none"/>
              </w:rPr>
              <w:t>1、</w:t>
            </w:r>
            <w:r>
              <w:rPr>
                <w:rFonts w:hint="eastAsia" w:hAnsi="宋体" w:eastAsia="宋体" w:cs="宋体"/>
                <w:color w:val="auto"/>
                <w:kern w:val="0"/>
                <w:sz w:val="24"/>
                <w:szCs w:val="24"/>
                <w:highlight w:val="none"/>
              </w:rPr>
              <w:t>二级（含）以上基本医疗保险定点医疗机构出具的病理显微镜检验、血液检验及其他检验报告；</w:t>
            </w:r>
          </w:p>
          <w:p w14:paraId="0780FC7E">
            <w:pPr>
              <w:tabs>
                <w:tab w:val="left" w:pos="900"/>
              </w:tabs>
              <w:spacing w:line="360" w:lineRule="auto"/>
              <w:rPr>
                <w:rFonts w:hint="eastAsia" w:hAnsi="宋体" w:eastAsia="宋体" w:cs="宋体"/>
                <w:color w:val="auto"/>
                <w:kern w:val="0"/>
                <w:sz w:val="24"/>
                <w:szCs w:val="24"/>
                <w:highlight w:val="none"/>
              </w:rPr>
            </w:pPr>
            <w:r>
              <w:rPr>
                <w:rFonts w:hint="eastAsia" w:hAnsi="宋体" w:eastAsia="宋体" w:cs="宋体"/>
                <w:color w:val="auto"/>
                <w:kern w:val="0"/>
                <w:sz w:val="24"/>
                <w:szCs w:val="24"/>
                <w:highlight w:val="none"/>
              </w:rPr>
              <w:t>2、二级（含）以上基本医疗保险定点医疗机构出具的疾病诊断证明书；</w:t>
            </w:r>
          </w:p>
          <w:p w14:paraId="2261F87E">
            <w:pPr>
              <w:tabs>
                <w:tab w:val="left" w:pos="900"/>
              </w:tabs>
              <w:spacing w:after="120" w:afterLines="50" w:line="360" w:lineRule="auto"/>
              <w:rPr>
                <w:rFonts w:hint="eastAsia" w:hAnsi="宋体" w:eastAsia="宋体" w:cs="宋体"/>
                <w:color w:val="auto"/>
                <w:kern w:val="0"/>
                <w:sz w:val="24"/>
                <w:szCs w:val="24"/>
                <w:highlight w:val="none"/>
              </w:rPr>
            </w:pPr>
            <w:r>
              <w:rPr>
                <w:rFonts w:hint="eastAsia" w:hAnsi="宋体" w:eastAsia="宋体" w:cs="宋体"/>
                <w:color w:val="auto"/>
                <w:kern w:val="0"/>
                <w:sz w:val="24"/>
                <w:szCs w:val="24"/>
                <w:highlight w:val="none"/>
              </w:rPr>
              <w:t>3、</w:t>
            </w:r>
            <w:r>
              <w:rPr>
                <w:rFonts w:hint="eastAsia" w:hAnsi="宋体" w:eastAsia="宋体" w:cs="宋体"/>
                <w:color w:val="auto"/>
                <w:sz w:val="24"/>
                <w:szCs w:val="24"/>
                <w:highlight w:val="none"/>
              </w:rPr>
              <w:t>住院病历（包括首页、出院记录）或出院小结。</w:t>
            </w:r>
          </w:p>
        </w:tc>
      </w:tr>
      <w:tr w14:paraId="1ABA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2942" w:type="dxa"/>
            <w:gridSpan w:val="2"/>
            <w:tcBorders>
              <w:top w:val="single" w:color="auto" w:sz="4" w:space="0"/>
              <w:left w:val="single" w:color="auto" w:sz="4" w:space="0"/>
              <w:bottom w:val="single" w:color="auto" w:sz="4" w:space="0"/>
              <w:right w:val="single" w:color="auto" w:sz="4" w:space="0"/>
            </w:tcBorders>
            <w:noWrap w:val="0"/>
            <w:vAlign w:val="center"/>
          </w:tcPr>
          <w:p w14:paraId="2D8E1C71">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重大疾病医疗补偿</w:t>
            </w:r>
          </w:p>
        </w:tc>
        <w:tc>
          <w:tcPr>
            <w:tcW w:w="6344" w:type="dxa"/>
            <w:tcBorders>
              <w:top w:val="single" w:color="auto" w:sz="4" w:space="0"/>
              <w:left w:val="single" w:color="auto" w:sz="4" w:space="0"/>
              <w:bottom w:val="single" w:color="auto" w:sz="4" w:space="0"/>
              <w:right w:val="single" w:color="auto" w:sz="4" w:space="0"/>
            </w:tcBorders>
            <w:noWrap w:val="0"/>
            <w:vAlign w:val="center"/>
          </w:tcPr>
          <w:p w14:paraId="65D978F1">
            <w:pPr>
              <w:tabs>
                <w:tab w:val="left" w:pos="900"/>
              </w:tabs>
              <w:spacing w:line="360" w:lineRule="auto"/>
              <w:rPr>
                <w:rFonts w:hint="eastAsia" w:hAnsi="宋体" w:eastAsia="宋体" w:cs="宋体"/>
                <w:color w:val="auto"/>
                <w:kern w:val="0"/>
                <w:sz w:val="24"/>
                <w:szCs w:val="24"/>
                <w:highlight w:val="none"/>
              </w:rPr>
            </w:pPr>
            <w:r>
              <w:rPr>
                <w:rFonts w:hint="eastAsia" w:hAnsi="宋体" w:eastAsia="宋体" w:cs="宋体"/>
                <w:color w:val="auto"/>
                <w:sz w:val="24"/>
                <w:szCs w:val="24"/>
                <w:highlight w:val="none"/>
              </w:rPr>
              <w:t>1、</w:t>
            </w:r>
            <w:r>
              <w:rPr>
                <w:rFonts w:hint="eastAsia" w:hAnsi="宋体" w:eastAsia="宋体" w:cs="宋体"/>
                <w:color w:val="auto"/>
                <w:kern w:val="0"/>
                <w:sz w:val="24"/>
                <w:szCs w:val="24"/>
                <w:highlight w:val="none"/>
              </w:rPr>
              <w:t>二级（含）以上基本医疗保险定点医疗机构出具的病理显微镜检验、血液检验及其他检验报告；</w:t>
            </w:r>
          </w:p>
          <w:p w14:paraId="281F6480">
            <w:pPr>
              <w:tabs>
                <w:tab w:val="left" w:pos="900"/>
              </w:tabs>
              <w:spacing w:line="360" w:lineRule="auto"/>
              <w:rPr>
                <w:rFonts w:hint="eastAsia" w:hAnsi="宋体" w:eastAsia="宋体" w:cs="宋体"/>
                <w:color w:val="auto"/>
                <w:kern w:val="0"/>
                <w:sz w:val="24"/>
                <w:szCs w:val="24"/>
                <w:highlight w:val="none"/>
              </w:rPr>
            </w:pPr>
            <w:r>
              <w:rPr>
                <w:rFonts w:hint="eastAsia" w:hAnsi="宋体" w:eastAsia="宋体" w:cs="宋体"/>
                <w:color w:val="auto"/>
                <w:kern w:val="0"/>
                <w:sz w:val="24"/>
                <w:szCs w:val="24"/>
                <w:highlight w:val="none"/>
              </w:rPr>
              <w:t>2、二级（含）以上基本医疗保险定点医疗机构出具的疾病诊断证明书；</w:t>
            </w:r>
          </w:p>
          <w:p w14:paraId="38A6B81E">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kern w:val="0"/>
                <w:sz w:val="24"/>
                <w:szCs w:val="24"/>
                <w:highlight w:val="none"/>
              </w:rPr>
              <w:t>3、</w:t>
            </w:r>
            <w:r>
              <w:rPr>
                <w:rFonts w:hint="eastAsia" w:hAnsi="宋体" w:eastAsia="宋体" w:cs="宋体"/>
                <w:color w:val="auto"/>
                <w:sz w:val="24"/>
                <w:szCs w:val="24"/>
                <w:highlight w:val="none"/>
              </w:rPr>
              <w:t>门、急诊费用或原始发票/收据原件；</w:t>
            </w:r>
          </w:p>
          <w:p w14:paraId="4E32498E">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4、住院费用结算单原件；</w:t>
            </w:r>
          </w:p>
          <w:p w14:paraId="15A4023F">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5、住院费用明细清单（非医疗机构实时结算，采用基本医疗经办机构结算基本医疗费用的，可提供此项复印件）；</w:t>
            </w:r>
          </w:p>
          <w:p w14:paraId="4919DFDD">
            <w:pPr>
              <w:tabs>
                <w:tab w:val="left" w:pos="900"/>
              </w:tabs>
              <w:spacing w:after="120" w:afterLines="50" w:line="360" w:lineRule="auto"/>
              <w:rPr>
                <w:rFonts w:hint="eastAsia" w:hAnsi="宋体" w:eastAsia="宋体" w:cs="宋体"/>
                <w:color w:val="auto"/>
                <w:kern w:val="0"/>
                <w:sz w:val="24"/>
                <w:szCs w:val="24"/>
                <w:highlight w:val="none"/>
              </w:rPr>
            </w:pPr>
            <w:r>
              <w:rPr>
                <w:rFonts w:hint="eastAsia" w:hAnsi="宋体" w:eastAsia="宋体" w:cs="宋体"/>
                <w:color w:val="auto"/>
                <w:sz w:val="24"/>
                <w:szCs w:val="24"/>
                <w:highlight w:val="none"/>
              </w:rPr>
              <w:t>6、住院病历（包括首页、出院记录）或出院小结。</w:t>
            </w:r>
          </w:p>
        </w:tc>
      </w:tr>
    </w:tbl>
    <w:p w14:paraId="4B65C333">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05" w:name="_Toc1472"/>
      <w:r>
        <w:rPr>
          <w:rFonts w:hint="eastAsia" w:hAnsi="宋体" w:eastAsia="宋体" w:cs="宋体"/>
          <w:b/>
          <w:bCs/>
          <w:color w:val="auto"/>
          <w:sz w:val="24"/>
          <w:szCs w:val="24"/>
          <w:highlight w:val="none"/>
        </w:rPr>
        <w:t>（三）出险通知</w:t>
      </w:r>
      <w:bookmarkEnd w:id="205"/>
    </w:p>
    <w:p w14:paraId="107B00E0">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针对意外伤害保险，甲方、被保险人或受益人应于知道意外伤害发生后及时通知乙方，乙方出险报案电话：</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。乙方应在每月</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日前将上月报案信息以书面形式告知甲方。</w:t>
      </w:r>
    </w:p>
    <w:p w14:paraId="08DFFBDC">
      <w:pPr>
        <w:tabs>
          <w:tab w:val="left" w:pos="900"/>
        </w:tabs>
        <w:spacing w:after="120" w:afterLines="50" w:line="360" w:lineRule="auto"/>
        <w:ind w:firstLine="480" w:firstLineChars="200"/>
        <w:rPr>
          <w:rFonts w:hint="eastAsia" w:hAnsi="宋体" w:eastAsia="宋体" w:cs="宋体"/>
          <w:color w:val="auto"/>
          <w:sz w:val="24"/>
          <w:szCs w:val="24"/>
          <w:highlight w:val="none"/>
        </w:rPr>
      </w:pPr>
      <w:bookmarkStart w:id="206" w:name="_Toc31627"/>
      <w:r>
        <w:rPr>
          <w:rFonts w:hint="eastAsia" w:hAnsi="宋体" w:eastAsia="宋体" w:cs="宋体"/>
          <w:color w:val="auto"/>
          <w:sz w:val="24"/>
          <w:szCs w:val="24"/>
          <w:highlight w:val="none"/>
        </w:rPr>
        <w:t>单个案件理赔时效</w:t>
      </w:r>
      <w:bookmarkEnd w:id="206"/>
      <w:r>
        <w:rPr>
          <w:rFonts w:hint="eastAsia" w:hAnsi="宋体" w:eastAsia="宋体" w:cs="宋体"/>
          <w:color w:val="auto"/>
          <w:sz w:val="24"/>
          <w:szCs w:val="24"/>
          <w:highlight w:val="none"/>
        </w:rPr>
        <w:t>（按中标结果执行）</w:t>
      </w:r>
    </w:p>
    <w:p w14:paraId="561DC16B">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赔款人民币3000元以下，</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天内结案；</w:t>
      </w:r>
    </w:p>
    <w:p w14:paraId="1DD26208">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赔款人民币3000-10000元之间的，</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天内结案；</w:t>
      </w:r>
    </w:p>
    <w:p w14:paraId="5A34FB4E">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赔款人民币10000-20000元之间的，</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天内结案；</w:t>
      </w:r>
    </w:p>
    <w:p w14:paraId="4E4EC9B7">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赔款人民币20000元以上的，</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天内结案。 </w:t>
      </w:r>
    </w:p>
    <w:p w14:paraId="772197E6">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如乙方未按承诺天数支付赔款，则按实际拖延天数支付违约金。保险年度终了违约金据实统计，按应付赔款金额×实际违约天数×2‰支付给甲方。全年因赔付时效发生有效投诉30件以上，取消下一年度投标资格。      </w:t>
      </w:r>
    </w:p>
    <w:p w14:paraId="40139D9C">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07" w:name="_Toc15389"/>
      <w:r>
        <w:rPr>
          <w:rFonts w:hint="eastAsia" w:hAnsi="宋体" w:eastAsia="宋体" w:cs="宋体"/>
          <w:b/>
          <w:bCs/>
          <w:color w:val="auto"/>
          <w:sz w:val="24"/>
          <w:szCs w:val="24"/>
          <w:highlight w:val="none"/>
        </w:rPr>
        <w:t>（五）理赔结果通知</w:t>
      </w:r>
      <w:bookmarkEnd w:id="207"/>
    </w:p>
    <w:p w14:paraId="64F3960B">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为每一申请人分别出具《理赔决定通知书》（以下简称“《通知书》”），《通知书》中需列明赔付险种、理算过程、赔付金额或拒赔原因等，并提供自动短信通知服务。同时，乙方在每月10日将前期理赔情况进行汇总并提供给甲方，由甲方整理并核实数据后与乙方核对，理赔情况数据包括被保险人姓名、身份证号、赔付案件数量及累计赔付金额等。</w:t>
      </w:r>
    </w:p>
    <w:p w14:paraId="361EE4E4">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08" w:name="_Toc7538"/>
      <w:r>
        <w:rPr>
          <w:rFonts w:hint="eastAsia" w:hAnsi="宋体" w:eastAsia="宋体" w:cs="宋体"/>
          <w:b/>
          <w:bCs/>
          <w:color w:val="auto"/>
          <w:sz w:val="24"/>
          <w:szCs w:val="24"/>
          <w:highlight w:val="none"/>
        </w:rPr>
        <w:t>（六）诉讼时效</w:t>
      </w:r>
      <w:bookmarkEnd w:id="208"/>
    </w:p>
    <w:p w14:paraId="43028BF0">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被保险人或者受益人向乙方请求给付保险金的诉讼时效法定。</w:t>
      </w:r>
    </w:p>
    <w:p w14:paraId="28677709">
      <w:pPr>
        <w:numPr>
          <w:ilvl w:val="0"/>
          <w:numId w:val="5"/>
        </w:num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09" w:name="_Toc6213"/>
      <w:r>
        <w:rPr>
          <w:rFonts w:hint="eastAsia" w:hAnsi="宋体" w:eastAsia="宋体" w:cs="宋体"/>
          <w:b/>
          <w:bCs/>
          <w:color w:val="auto"/>
          <w:sz w:val="24"/>
          <w:szCs w:val="24"/>
          <w:highlight w:val="none"/>
        </w:rPr>
        <w:t>理赔约定</w:t>
      </w:r>
      <w:bookmarkEnd w:id="209"/>
    </w:p>
    <w:p w14:paraId="2141D642">
      <w:pPr>
        <w:numPr>
          <w:ilvl w:val="0"/>
          <w:numId w:val="0"/>
        </w:numPr>
        <w:tabs>
          <w:tab w:val="left" w:pos="900"/>
        </w:tabs>
        <w:spacing w:after="120" w:afterLines="50" w:line="360" w:lineRule="auto"/>
        <w:ind w:firstLine="720" w:firstLineChars="300"/>
        <w:rPr>
          <w:rFonts w:hint="eastAsia" w:hAnsi="宋体" w:eastAsia="宋体" w:cs="宋体"/>
          <w:color w:val="auto"/>
          <w:sz w:val="24"/>
          <w:szCs w:val="24"/>
          <w:highlight w:val="none"/>
          <w:lang w:eastAsia="zh-CN"/>
        </w:rPr>
      </w:pPr>
      <w:r>
        <w:rPr>
          <w:rFonts w:hint="eastAsia" w:hAnsi="宋体" w:eastAsia="宋体" w:cs="宋体" w:asciiTheme="minorHAnsi"/>
          <w:color w:val="auto"/>
          <w:sz w:val="24"/>
          <w:szCs w:val="24"/>
          <w:highlight w:val="none"/>
          <w:lang w:val="en-US" w:eastAsia="zh-CN" w:bidi="ar-SA"/>
        </w:rPr>
        <w:t>1、</w:t>
      </w:r>
      <w:r>
        <w:rPr>
          <w:rFonts w:hint="eastAsia" w:hAnsi="宋体" w:eastAsia="宋体" w:cs="宋体"/>
          <w:color w:val="auto"/>
          <w:sz w:val="24"/>
          <w:szCs w:val="24"/>
          <w:highlight w:val="none"/>
        </w:rPr>
        <w:t>乙方承诺本项目残疾人意外伤害保险年赔付率为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，实际赔付率与乙方承诺赔付率之间的差额部分，由于该险种存在一定的报案滞后性，因此最终的年实际赔付率以年度保单结束后三个月为时间节点计算，不足年赔付率</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w:t>
      </w:r>
      <w:r>
        <w:rPr>
          <w:rFonts w:hint="eastAsia" w:hAnsi="宋体" w:eastAsia="宋体" w:cs="宋体"/>
          <w:color w:val="auto"/>
          <w:sz w:val="24"/>
          <w:szCs w:val="24"/>
          <w:highlight w:val="none"/>
          <w:lang w:eastAsia="zh-CN"/>
        </w:rPr>
        <w:t>差额部分直接返还</w:t>
      </w:r>
      <w:r>
        <w:rPr>
          <w:rFonts w:hint="eastAsia" w:hAnsi="宋体" w:eastAsia="宋体" w:cs="宋体"/>
          <w:color w:val="auto"/>
          <w:sz w:val="24"/>
          <w:szCs w:val="24"/>
          <w:highlight w:val="none"/>
          <w:lang w:val="en-US" w:eastAsia="zh-CN"/>
        </w:rPr>
        <w:t>至甲方</w:t>
      </w:r>
      <w:r>
        <w:rPr>
          <w:rFonts w:hint="eastAsia" w:hAnsi="宋体" w:eastAsia="宋体" w:cs="宋体"/>
          <w:color w:val="auto"/>
          <w:sz w:val="24"/>
          <w:szCs w:val="24"/>
          <w:highlight w:val="none"/>
          <w:lang w:eastAsia="zh-CN"/>
        </w:rPr>
        <w:t>指定账户，</w:t>
      </w:r>
      <w:r>
        <w:rPr>
          <w:rFonts w:hint="eastAsia" w:hAnsi="宋体" w:eastAsia="宋体" w:cs="宋体"/>
          <w:color w:val="auto"/>
          <w:sz w:val="24"/>
          <w:szCs w:val="24"/>
          <w:highlight w:val="none"/>
          <w:lang w:val="en-US" w:eastAsia="zh-CN"/>
        </w:rPr>
        <w:t>由甲方</w:t>
      </w:r>
      <w:r>
        <w:rPr>
          <w:rFonts w:hint="eastAsia" w:hAnsi="宋体" w:eastAsia="宋体" w:cs="宋体"/>
          <w:color w:val="auto"/>
          <w:sz w:val="24"/>
          <w:szCs w:val="24"/>
          <w:highlight w:val="none"/>
          <w:lang w:eastAsia="zh-CN"/>
        </w:rPr>
        <w:t>用于残疾人事业发展相关费用支出。</w:t>
      </w:r>
    </w:p>
    <w:p w14:paraId="6755DB83">
      <w:pPr>
        <w:numPr>
          <w:ilvl w:val="0"/>
          <w:numId w:val="0"/>
        </w:numPr>
        <w:tabs>
          <w:tab w:val="left" w:pos="900"/>
        </w:tabs>
        <w:spacing w:after="120" w:afterLines="50" w:line="360" w:lineRule="auto"/>
        <w:rPr>
          <w:rFonts w:hint="default"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保险期内</w:t>
      </w:r>
      <w:r>
        <w:rPr>
          <w:rFonts w:hint="eastAsia" w:ascii="宋体" w:hAnsi="宋体" w:eastAsia="宋体" w:cs="宋体"/>
          <w:color w:val="auto"/>
          <w:sz w:val="24"/>
          <w:szCs w:val="24"/>
          <w:highlight w:val="none"/>
          <w:lang w:val="en-US" w:eastAsia="zh-CN"/>
        </w:rPr>
        <w:t>新增残疾人均纳入保险名单。</w:t>
      </w:r>
    </w:p>
    <w:p w14:paraId="42B292B6">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3</w:t>
      </w:r>
      <w:r>
        <w:rPr>
          <w:rFonts w:hint="eastAsia" w:hAnsi="宋体" w:eastAsia="宋体" w:cs="宋体"/>
          <w:color w:val="auto"/>
          <w:sz w:val="24"/>
          <w:szCs w:val="24"/>
          <w:highlight w:val="none"/>
        </w:rPr>
        <w:t>、乙方承诺当被保险人发生意外伤残事故，在事实清楚的情况下，在事故发生的2个工作日内预付</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w:t>
      </w:r>
    </w:p>
    <w:p w14:paraId="76C4F1E4">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4</w:t>
      </w:r>
      <w:r>
        <w:rPr>
          <w:rFonts w:hint="eastAsia" w:hAnsi="宋体" w:eastAsia="宋体" w:cs="宋体"/>
          <w:color w:val="auto"/>
          <w:sz w:val="24"/>
          <w:szCs w:val="24"/>
          <w:highlight w:val="none"/>
        </w:rPr>
        <w:t>、被保险人发生意外伤残事故，涉及第三方的，乙方不得以追偿权为由，影响足额快速赔付。</w:t>
      </w:r>
    </w:p>
    <w:p w14:paraId="02AE4C68">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5</w:t>
      </w:r>
      <w:r>
        <w:rPr>
          <w:rFonts w:hint="eastAsia" w:hAnsi="宋体" w:eastAsia="宋体" w:cs="宋体"/>
          <w:color w:val="auto"/>
          <w:sz w:val="24"/>
          <w:szCs w:val="24"/>
          <w:highlight w:val="none"/>
        </w:rPr>
        <w:t xml:space="preserve">、乙方不得以执行商业条款为由，实行任何形式的免赔操作。           </w:t>
      </w:r>
    </w:p>
    <w:p w14:paraId="36C90946">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6</w:t>
      </w:r>
      <w:r>
        <w:rPr>
          <w:rFonts w:hint="eastAsia" w:hAnsi="宋体" w:eastAsia="宋体" w:cs="宋体"/>
          <w:color w:val="auto"/>
          <w:sz w:val="24"/>
          <w:szCs w:val="24"/>
          <w:highlight w:val="none"/>
        </w:rPr>
        <w:t>、若基本医疗经办机构出具单证与理赔所需单证不一致，或不能出具理赔所需单证，由甲、乙双方以补充协议的方式另行约定。</w:t>
      </w:r>
    </w:p>
    <w:p w14:paraId="00A09ECE">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7</w:t>
      </w:r>
      <w:r>
        <w:rPr>
          <w:rFonts w:hint="eastAsia" w:hAnsi="宋体" w:eastAsia="宋体" w:cs="宋体"/>
          <w:color w:val="auto"/>
          <w:sz w:val="24"/>
          <w:szCs w:val="24"/>
          <w:highlight w:val="none"/>
        </w:rPr>
        <w:t>、乙方不得要求申请人上述理赔单证之外的其他单证。</w:t>
      </w:r>
    </w:p>
    <w:p w14:paraId="48EF7BFC">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10" w:name="_Toc22984"/>
      <w:r>
        <w:rPr>
          <w:rFonts w:hint="eastAsia" w:hAnsi="宋体" w:eastAsia="宋体" w:cs="宋体"/>
          <w:b/>
          <w:bCs/>
          <w:color w:val="auto"/>
          <w:sz w:val="24"/>
          <w:szCs w:val="24"/>
          <w:highlight w:val="none"/>
        </w:rPr>
        <w:t>（八）受益人</w:t>
      </w:r>
      <w:bookmarkEnd w:id="210"/>
    </w:p>
    <w:p w14:paraId="58E24CFC">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1、如果被保险人未指定受益人的，身故保险金作为被保险人的遗产处理，身故保险金之外的受益人为被保险人本人。</w:t>
      </w:r>
    </w:p>
    <w:p w14:paraId="3120C47A">
      <w:pPr>
        <w:tabs>
          <w:tab w:val="left" w:pos="900"/>
        </w:tabs>
        <w:spacing w:after="120" w:afterLines="50" w:line="360" w:lineRule="auto"/>
        <w:ind w:firstLine="720" w:firstLineChars="300"/>
        <w:rPr>
          <w:rFonts w:hint="eastAsia" w:hAnsi="宋体" w:eastAsia="宋体" w:cs="宋体"/>
          <w:color w:val="auto"/>
          <w:sz w:val="24"/>
          <w:szCs w:val="24"/>
          <w:highlight w:val="none"/>
        </w:rPr>
      </w:pPr>
      <w:r>
        <w:rPr>
          <w:rFonts w:hint="eastAsia" w:hAnsi="宋体" w:eastAsia="宋体" w:cs="宋体"/>
          <w:color w:val="auto"/>
          <w:sz w:val="24"/>
          <w:szCs w:val="24"/>
          <w:highlight w:val="none"/>
        </w:rPr>
        <w:t>2、受益人故意造成被保险人死亡、伤残、疾病的，或者故意杀害被保险人未遂的，该受益人丧失受益权。</w:t>
      </w:r>
    </w:p>
    <w:p w14:paraId="10F8EEE1">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11" w:name="_Toc5112"/>
      <w:r>
        <w:rPr>
          <w:rFonts w:hint="eastAsia" w:hAnsi="宋体" w:eastAsia="宋体" w:cs="宋体"/>
          <w:b/>
          <w:bCs/>
          <w:color w:val="auto"/>
          <w:sz w:val="24"/>
          <w:szCs w:val="24"/>
          <w:highlight w:val="none"/>
        </w:rPr>
        <w:t>（九）道德公约</w:t>
      </w:r>
      <w:bookmarkEnd w:id="211"/>
    </w:p>
    <w:p w14:paraId="29D12EA9">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若经核实被保险人有冒名就医、虚开发票等保险欺诈行为，乙方有权对该被保险人拒赔，并应由甲方对该被保险人进行批评教育。若被保险人上述行为情节严重或发生两次及以上的，乙方有权对该被保险人拒赔，并由甲方申请办理减少该被保险人，乙方按本协议约定终止其保险责任。</w:t>
      </w:r>
    </w:p>
    <w:bookmarkEnd w:id="203"/>
    <w:p w14:paraId="42342816">
      <w:pPr>
        <w:tabs>
          <w:tab w:val="left" w:pos="720"/>
        </w:tabs>
        <w:spacing w:before="120" w:beforeLines="50" w:after="120" w:afterLines="50" w:line="360" w:lineRule="auto"/>
        <w:ind w:left="420" w:leftChars="200"/>
        <w:rPr>
          <w:rFonts w:hint="eastAsia" w:hAnsi="宋体" w:eastAsia="宋体" w:cs="宋体"/>
          <w:b/>
          <w:color w:val="auto"/>
          <w:sz w:val="24"/>
          <w:szCs w:val="24"/>
          <w:highlight w:val="none"/>
        </w:rPr>
      </w:pPr>
      <w:bookmarkStart w:id="212" w:name="_Toc446491891"/>
      <w:bookmarkStart w:id="213" w:name="_Toc402512997"/>
      <w:r>
        <w:rPr>
          <w:rFonts w:hint="eastAsia" w:hAnsi="宋体" w:eastAsia="宋体" w:cs="宋体"/>
          <w:b/>
          <w:color w:val="auto"/>
          <w:sz w:val="24"/>
          <w:szCs w:val="24"/>
          <w:highlight w:val="none"/>
        </w:rPr>
        <w:t>九、服务要求</w:t>
      </w:r>
      <w:bookmarkEnd w:id="212"/>
    </w:p>
    <w:p w14:paraId="07DE5040">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14" w:name="_Toc446491892"/>
      <w:bookmarkStart w:id="215" w:name="_Toc19717"/>
      <w:r>
        <w:rPr>
          <w:rFonts w:hint="eastAsia" w:hAnsi="宋体" w:eastAsia="宋体" w:cs="宋体"/>
          <w:b/>
          <w:bCs/>
          <w:color w:val="auto"/>
          <w:sz w:val="24"/>
          <w:szCs w:val="24"/>
          <w:highlight w:val="none"/>
        </w:rPr>
        <w:t>乙方服务要求</w:t>
      </w:r>
      <w:bookmarkEnd w:id="214"/>
      <w:r>
        <w:rPr>
          <w:rFonts w:hint="eastAsia" w:hAnsi="宋体" w:eastAsia="宋体" w:cs="宋体"/>
          <w:b/>
          <w:bCs/>
          <w:color w:val="auto"/>
          <w:sz w:val="24"/>
          <w:szCs w:val="24"/>
          <w:highlight w:val="none"/>
        </w:rPr>
        <w:t>（按中标保险人承诺执行）</w:t>
      </w:r>
      <w:bookmarkEnd w:id="215"/>
    </w:p>
    <w:p w14:paraId="64464C33">
      <w:pPr>
        <w:tabs>
          <w:tab w:val="left" w:pos="900"/>
        </w:tabs>
        <w:spacing w:after="120" w:afterLines="50" w:line="360" w:lineRule="auto"/>
        <w:ind w:firstLine="720" w:firstLineChars="300"/>
        <w:rPr>
          <w:rFonts w:hint="eastAsia" w:hAnsi="宋体" w:eastAsia="宋体" w:cs="宋体"/>
          <w:color w:val="auto"/>
          <w:sz w:val="24"/>
          <w:szCs w:val="24"/>
          <w:highlight w:val="none"/>
          <w:lang w:val="zh-CN"/>
        </w:rPr>
      </w:pPr>
      <w:bookmarkStart w:id="216" w:name="_Toc23069"/>
      <w:r>
        <w:rPr>
          <w:rFonts w:hint="eastAsia" w:hAnsi="宋体" w:eastAsia="宋体" w:cs="宋体"/>
          <w:color w:val="auto"/>
          <w:sz w:val="24"/>
          <w:szCs w:val="24"/>
          <w:highlight w:val="none"/>
          <w:lang w:val="zh-CN"/>
        </w:rPr>
        <w:t>1、成立专项服务小组</w:t>
      </w:r>
      <w:bookmarkEnd w:id="216"/>
    </w:p>
    <w:p w14:paraId="7A8EC6DC">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应为甲方的保险项目设立专项服务小组（应含专业的健康管理人员、医护人员）并确定服务小组的组员，由其为甲方提供保险承保、理赔等一系列保险服务。对于服务小组组长的更换，应事先征得甲方的同意，对于组员的更换，应及时通知甲方。</w:t>
      </w:r>
    </w:p>
    <w:p w14:paraId="55FBC015">
      <w:pPr>
        <w:tabs>
          <w:tab w:val="left" w:pos="900"/>
        </w:tabs>
        <w:spacing w:after="120" w:afterLines="50" w:line="360" w:lineRule="auto"/>
        <w:ind w:firstLine="720" w:firstLineChars="300"/>
        <w:rPr>
          <w:rFonts w:hint="eastAsia" w:hAnsi="宋体" w:eastAsia="宋体" w:cs="宋体"/>
          <w:color w:val="auto"/>
          <w:sz w:val="24"/>
          <w:szCs w:val="24"/>
          <w:highlight w:val="none"/>
        </w:rPr>
      </w:pPr>
      <w:bookmarkStart w:id="217" w:name="_Toc18559"/>
      <w:r>
        <w:rPr>
          <w:rFonts w:hint="eastAsia" w:hAnsi="宋体" w:eastAsia="宋体" w:cs="宋体"/>
          <w:color w:val="auto"/>
          <w:sz w:val="24"/>
          <w:szCs w:val="24"/>
          <w:highlight w:val="none"/>
        </w:rPr>
        <w:t>2、提供理赔服务</w:t>
      </w:r>
      <w:bookmarkEnd w:id="217"/>
    </w:p>
    <w:p w14:paraId="0B950138">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乙方按照约定提供保险理赔服务。</w:t>
      </w:r>
    </w:p>
    <w:p w14:paraId="173220BF">
      <w:pPr>
        <w:tabs>
          <w:tab w:val="left" w:pos="900"/>
        </w:tabs>
        <w:spacing w:after="120" w:afterLines="50" w:line="360" w:lineRule="auto"/>
        <w:ind w:firstLine="720" w:firstLineChars="300"/>
        <w:rPr>
          <w:rFonts w:hint="eastAsia" w:hAnsi="宋体" w:eastAsia="宋体" w:cs="宋体"/>
          <w:color w:val="auto"/>
          <w:sz w:val="24"/>
          <w:szCs w:val="24"/>
          <w:highlight w:val="none"/>
        </w:rPr>
      </w:pPr>
      <w:bookmarkStart w:id="218" w:name="_Toc31049"/>
      <w:r>
        <w:rPr>
          <w:rFonts w:hint="eastAsia" w:hAnsi="宋体" w:eastAsia="宋体" w:cs="宋体"/>
          <w:color w:val="auto"/>
          <w:sz w:val="24"/>
          <w:szCs w:val="24"/>
          <w:highlight w:val="none"/>
        </w:rPr>
        <w:t>3、提供理赔数据</w:t>
      </w:r>
      <w:bookmarkEnd w:id="218"/>
    </w:p>
    <w:p w14:paraId="435B5EFC">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乙方须每</w:t>
      </w:r>
      <w:r>
        <w:rPr>
          <w:rFonts w:hint="eastAsia" w:hAnsi="宋体" w:eastAsia="宋体" w:cs="宋体"/>
          <w:color w:val="auto"/>
          <w:sz w:val="24"/>
          <w:szCs w:val="24"/>
          <w:highlight w:val="none"/>
          <w:lang w:eastAsia="zh-CN"/>
        </w:rPr>
        <w:t>月</w:t>
      </w: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lang w:val="en-US" w:eastAsia="zh-CN"/>
        </w:rPr>
        <w:t>15</w:t>
      </w:r>
      <w:r>
        <w:rPr>
          <w:rFonts w:hint="eastAsia" w:hAnsi="宋体" w:eastAsia="宋体" w:cs="宋体"/>
          <w:color w:val="auto"/>
          <w:sz w:val="24"/>
          <w:szCs w:val="24"/>
          <w:highlight w:val="none"/>
        </w:rPr>
        <w:t xml:space="preserve">  日前向甲方提供本项目上</w:t>
      </w:r>
      <w:r>
        <w:rPr>
          <w:rFonts w:hint="eastAsia" w:hAnsi="宋体" w:eastAsia="宋体" w:cs="宋体"/>
          <w:color w:val="auto"/>
          <w:sz w:val="24"/>
          <w:szCs w:val="24"/>
          <w:highlight w:val="none"/>
          <w:lang w:eastAsia="zh-CN"/>
        </w:rPr>
        <w:t>月</w:t>
      </w:r>
      <w:r>
        <w:rPr>
          <w:rFonts w:hint="eastAsia" w:hAnsi="宋体" w:eastAsia="宋体" w:cs="宋体"/>
          <w:color w:val="auto"/>
          <w:sz w:val="24"/>
          <w:szCs w:val="24"/>
          <w:highlight w:val="none"/>
        </w:rPr>
        <w:t>的理赔数据。理赔数据必备要素（包括不限于）：报案时间、出险人、身份证号、身份类别、出险原因、出险时间、出险地址、出险经过、联系方式、赔付类型、赔付金额、赔付时间。</w:t>
      </w:r>
    </w:p>
    <w:p w14:paraId="74B121F4">
      <w:pPr>
        <w:tabs>
          <w:tab w:val="left" w:pos="900"/>
        </w:tabs>
        <w:spacing w:after="120" w:afterLines="50" w:line="360" w:lineRule="auto"/>
        <w:ind w:firstLine="720" w:firstLineChars="3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val="en-US" w:eastAsia="zh-CN"/>
        </w:rPr>
        <w:t>4、</w:t>
      </w:r>
      <w:r>
        <w:rPr>
          <w:rFonts w:hint="eastAsia" w:hAnsi="宋体" w:eastAsia="宋体" w:cs="宋体"/>
          <w:color w:val="auto"/>
          <w:sz w:val="24"/>
          <w:szCs w:val="24"/>
          <w:highlight w:val="none"/>
          <w:lang w:eastAsia="zh-CN"/>
        </w:rPr>
        <w:t>加强宣传</w:t>
      </w:r>
    </w:p>
    <w:p w14:paraId="35090522">
      <w:pPr>
        <w:tabs>
          <w:tab w:val="left" w:pos="900"/>
        </w:tabs>
        <w:spacing w:after="120" w:afterLines="50" w:line="360" w:lineRule="auto"/>
        <w:ind w:firstLine="480" w:firstLineChars="200"/>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乙方通过媒体、网站、微信等方式加强宣传。签约后两周内按投保人数印发宣传单，宣传单上包含保险项目内容、理赔流程、赔付金额及具体服务人员姓名、电话等信息，宣传单交由县残联，通过县、镇（区）、村（居）三级发放，确保残疾人人人知晓。</w:t>
      </w:r>
    </w:p>
    <w:p w14:paraId="26F96A24">
      <w:pPr>
        <w:tabs>
          <w:tab w:val="left" w:pos="900"/>
        </w:tabs>
        <w:spacing w:after="120" w:afterLines="50" w:line="360" w:lineRule="auto"/>
        <w:ind w:firstLine="720" w:firstLineChars="3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val="en-US" w:eastAsia="zh-CN"/>
        </w:rPr>
        <w:t>5、人员要求</w:t>
      </w:r>
    </w:p>
    <w:p w14:paraId="1C99E109">
      <w:pPr>
        <w:tabs>
          <w:tab w:val="left" w:pos="900"/>
        </w:tabs>
        <w:spacing w:after="120" w:afterLines="50"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5.1 乙方承诺，其投标文件中所列项目负责人及团队人员，在合同履行期间为本单位正式在职人员，且全程实际履职。</w:t>
      </w:r>
      <w:r>
        <w:rPr>
          <w:rFonts w:hint="eastAsia" w:ascii="宋体" w:hAnsi="宋体" w:eastAsia="宋体" w:cs="宋体"/>
          <w:bCs/>
          <w:color w:val="auto"/>
          <w:sz w:val="24"/>
          <w:szCs w:val="24"/>
          <w:highlight w:val="none"/>
          <w:lang w:val="en-US" w:eastAsia="zh-CN"/>
        </w:rPr>
        <w:br w:type="textWrapping"/>
      </w:r>
      <w:r>
        <w:rPr>
          <w:rFonts w:hint="eastAsia" w:ascii="宋体" w:hAnsi="宋体" w:eastAsia="宋体" w:cs="宋体"/>
          <w:bCs/>
          <w:color w:val="auto"/>
          <w:sz w:val="24"/>
          <w:szCs w:val="24"/>
          <w:highlight w:val="none"/>
          <w:lang w:val="en-US" w:eastAsia="zh-CN"/>
        </w:rPr>
        <w:t xml:space="preserve">    5.2 乙方应在进场服务之前，向甲方提供上述人员由乙方为其缴纳社会保险的证明（缴费单位名称须与乙方一致）。乙方未按期提供的，甲方有权暂停支付首期服务款，直至提供为止。</w:t>
      </w:r>
    </w:p>
    <w:p w14:paraId="3EB3D9B2">
      <w:pPr>
        <w:tabs>
          <w:tab w:val="left" w:pos="900"/>
        </w:tabs>
        <w:spacing w:after="120" w:afterLines="50"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5.3 乙方人员发生变更的，须提前向甲方书面报备，并保证替换人员的资质水平不低于原人员。替换人员同样适用本条关于社保核验的约定。</w:t>
      </w:r>
    </w:p>
    <w:p w14:paraId="6B719CEE">
      <w:pPr>
        <w:pStyle w:val="209"/>
        <w:spacing w:line="360" w:lineRule="auto"/>
        <w:ind w:firstLine="482"/>
        <w:rPr>
          <w:rFonts w:hint="eastAsia" w:eastAsia="宋体"/>
          <w:b/>
          <w:bCs/>
          <w:color w:val="auto"/>
          <w:szCs w:val="24"/>
          <w:highlight w:val="none"/>
        </w:rPr>
      </w:pPr>
      <w:r>
        <w:rPr>
          <w:rFonts w:hint="eastAsia" w:eastAsia="宋体"/>
          <w:b/>
          <w:bCs/>
          <w:color w:val="auto"/>
          <w:szCs w:val="24"/>
          <w:highlight w:val="none"/>
        </w:rPr>
        <w:t>十、考核指标</w:t>
      </w:r>
    </w:p>
    <w:p w14:paraId="47730A5B">
      <w:pPr>
        <w:pStyle w:val="209"/>
        <w:spacing w:line="360" w:lineRule="auto"/>
        <w:rPr>
          <w:rFonts w:hint="eastAsia" w:eastAsia="宋体"/>
          <w:b/>
          <w:bCs/>
          <w:color w:val="auto"/>
          <w:szCs w:val="24"/>
          <w:highlight w:val="none"/>
        </w:rPr>
      </w:pPr>
      <w:r>
        <w:rPr>
          <w:rFonts w:hint="eastAsia" w:eastAsia="宋体"/>
          <w:color w:val="auto"/>
          <w:kern w:val="2"/>
          <w:szCs w:val="24"/>
          <w:highlight w:val="none"/>
        </w:rPr>
        <w:t>乙方需接受甲方的监督检查及考核评价，未能达到考核标准的将扣除履约保证金。</w:t>
      </w:r>
    </w:p>
    <w:p w14:paraId="06F07935">
      <w:pPr>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（一）承保公司</w:t>
      </w:r>
      <w:r>
        <w:rPr>
          <w:rFonts w:hint="eastAsia" w:hAnsi="宋体" w:eastAsia="宋体" w:cs="宋体"/>
          <w:color w:val="auto"/>
          <w:kern w:val="2"/>
          <w:sz w:val="24"/>
          <w:szCs w:val="24"/>
          <w:highlight w:val="none"/>
        </w:rPr>
        <w:t>因不配合监督检查或经营服务不到位造成群体上访、产生极大影响的，扣除全部履约保证金</w:t>
      </w:r>
      <w:r>
        <w:rPr>
          <w:rFonts w:hint="eastAsia" w:hAnsi="宋体" w:eastAsia="宋体" w:cs="宋体"/>
          <w:color w:val="auto"/>
          <w:sz w:val="24"/>
          <w:szCs w:val="24"/>
          <w:highlight w:val="none"/>
        </w:rPr>
        <w:t>取消承保资格，终止合同。</w:t>
      </w:r>
    </w:p>
    <w:p w14:paraId="30607D50">
      <w:pPr>
        <w:spacing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（二）承保公司未能完成响应文件中所承诺的服务，扣罚履约保证金，且需在一个月内补齐罚没的履约保证金。</w:t>
      </w:r>
    </w:p>
    <w:p w14:paraId="5A7F2BDC">
      <w:pPr>
        <w:pStyle w:val="209"/>
        <w:spacing w:line="360" w:lineRule="auto"/>
        <w:rPr>
          <w:rFonts w:hint="eastAsia" w:eastAsia="宋体"/>
          <w:color w:val="auto"/>
          <w:szCs w:val="24"/>
          <w:highlight w:val="none"/>
        </w:rPr>
      </w:pPr>
      <w:r>
        <w:rPr>
          <w:rFonts w:hint="eastAsia" w:eastAsia="宋体"/>
          <w:color w:val="auto"/>
          <w:szCs w:val="24"/>
          <w:highlight w:val="none"/>
        </w:rPr>
        <w:t>1、未按承诺时效支付赔款金额，将在履约保证金中扣除相应金额支付赔款；</w:t>
      </w:r>
    </w:p>
    <w:p w14:paraId="2DA7394E">
      <w:pPr>
        <w:pStyle w:val="209"/>
        <w:spacing w:line="360" w:lineRule="auto"/>
        <w:rPr>
          <w:rFonts w:hint="eastAsia" w:eastAsia="宋体"/>
          <w:color w:val="auto"/>
          <w:szCs w:val="24"/>
          <w:highlight w:val="none"/>
        </w:rPr>
      </w:pPr>
      <w:r>
        <w:rPr>
          <w:rFonts w:hint="eastAsia" w:eastAsia="宋体"/>
          <w:color w:val="auto"/>
          <w:szCs w:val="24"/>
          <w:highlight w:val="none"/>
        </w:rPr>
        <w:t>2、未向每位理赔申请人出具列明赔付险种、理算过程、赔付金额或拒赔原因的《理赔决定通知书》，扣除履约保证金的10%；</w:t>
      </w:r>
    </w:p>
    <w:p w14:paraId="54E3FB14">
      <w:pPr>
        <w:pStyle w:val="209"/>
        <w:spacing w:line="360" w:lineRule="auto"/>
        <w:rPr>
          <w:rFonts w:hint="eastAsia" w:eastAsia="宋体"/>
          <w:color w:val="auto"/>
          <w:szCs w:val="24"/>
          <w:highlight w:val="none"/>
        </w:rPr>
      </w:pPr>
      <w:r>
        <w:rPr>
          <w:rFonts w:hint="eastAsia" w:eastAsia="宋体"/>
          <w:color w:val="auto"/>
          <w:szCs w:val="24"/>
          <w:highlight w:val="none"/>
        </w:rPr>
        <w:t>3、未建立规范承保、理赔台账，扣除履约保证金的10%；</w:t>
      </w:r>
    </w:p>
    <w:p w14:paraId="1DAE53B3">
      <w:pPr>
        <w:pStyle w:val="209"/>
        <w:spacing w:line="360" w:lineRule="auto"/>
        <w:rPr>
          <w:rFonts w:hint="eastAsia" w:eastAsia="宋体"/>
          <w:color w:val="auto"/>
          <w:szCs w:val="24"/>
          <w:highlight w:val="none"/>
        </w:rPr>
      </w:pPr>
      <w:r>
        <w:rPr>
          <w:rFonts w:hint="eastAsia" w:eastAsia="宋体"/>
          <w:color w:val="auto"/>
          <w:szCs w:val="24"/>
          <w:highlight w:val="none"/>
        </w:rPr>
        <w:t>4、未在每月规定时间报送理赔情况，</w:t>
      </w:r>
      <w:r>
        <w:rPr>
          <w:rFonts w:hint="eastAsia" w:eastAsia="宋体"/>
          <w:color w:val="auto"/>
          <w:szCs w:val="24"/>
          <w:highlight w:val="none"/>
          <w:lang w:eastAsia="zh-CN"/>
        </w:rPr>
        <w:t>有一次</w:t>
      </w:r>
      <w:r>
        <w:rPr>
          <w:rFonts w:hint="eastAsia" w:eastAsia="宋体"/>
          <w:color w:val="auto"/>
          <w:szCs w:val="24"/>
          <w:highlight w:val="none"/>
        </w:rPr>
        <w:t>扣除履约保证金的</w:t>
      </w:r>
      <w:r>
        <w:rPr>
          <w:rFonts w:hint="eastAsia" w:eastAsia="宋体"/>
          <w:color w:val="auto"/>
          <w:szCs w:val="24"/>
          <w:highlight w:val="none"/>
          <w:lang w:val="en-US" w:eastAsia="zh-CN"/>
        </w:rPr>
        <w:t>1</w:t>
      </w:r>
      <w:r>
        <w:rPr>
          <w:rFonts w:hint="eastAsia" w:eastAsia="宋体"/>
          <w:color w:val="auto"/>
          <w:szCs w:val="24"/>
          <w:highlight w:val="none"/>
        </w:rPr>
        <w:t>%；</w:t>
      </w:r>
    </w:p>
    <w:p w14:paraId="7AB6651F">
      <w:pPr>
        <w:pStyle w:val="209"/>
        <w:spacing w:line="360" w:lineRule="auto"/>
        <w:rPr>
          <w:rFonts w:hint="eastAsia" w:eastAsia="宋体"/>
          <w:color w:val="auto"/>
          <w:szCs w:val="24"/>
          <w:highlight w:val="none"/>
        </w:rPr>
      </w:pPr>
      <w:r>
        <w:rPr>
          <w:rFonts w:hint="eastAsia" w:eastAsia="宋体"/>
          <w:color w:val="auto"/>
          <w:szCs w:val="24"/>
          <w:highlight w:val="none"/>
        </w:rPr>
        <w:t>5、被保险人拨打报案电话后，未能及时提供服务的，扣除履约保证金的10%；</w:t>
      </w:r>
    </w:p>
    <w:p w14:paraId="47E84EF7">
      <w:pPr>
        <w:pStyle w:val="209"/>
        <w:spacing w:line="360" w:lineRule="auto"/>
        <w:rPr>
          <w:rFonts w:hint="eastAsia" w:eastAsia="宋体"/>
          <w:color w:val="auto"/>
          <w:szCs w:val="24"/>
          <w:highlight w:val="none"/>
        </w:rPr>
      </w:pPr>
      <w:r>
        <w:rPr>
          <w:rFonts w:hint="eastAsia" w:eastAsia="宋体"/>
          <w:color w:val="auto"/>
          <w:szCs w:val="24"/>
          <w:highlight w:val="none"/>
        </w:rPr>
        <w:t>6、未按响应文件承诺配备服务人员的，扣除履约保证金的10%；</w:t>
      </w:r>
    </w:p>
    <w:p w14:paraId="70043F3A">
      <w:pPr>
        <w:pStyle w:val="209"/>
        <w:spacing w:line="360" w:lineRule="auto"/>
        <w:rPr>
          <w:rFonts w:hint="eastAsia" w:eastAsia="宋体"/>
          <w:color w:val="auto"/>
          <w:szCs w:val="24"/>
          <w:highlight w:val="none"/>
        </w:rPr>
      </w:pPr>
      <w:r>
        <w:rPr>
          <w:rFonts w:hint="eastAsia" w:eastAsia="宋体"/>
          <w:color w:val="auto"/>
          <w:szCs w:val="24"/>
          <w:highlight w:val="none"/>
        </w:rPr>
        <w:t>7、未完成残联交办的其他重要工作内容，每次扣除履约保证金的10%；</w:t>
      </w:r>
    </w:p>
    <w:p w14:paraId="7FC370F1">
      <w:pPr>
        <w:pStyle w:val="209"/>
        <w:spacing w:line="360" w:lineRule="auto"/>
        <w:rPr>
          <w:rFonts w:hint="eastAsia" w:eastAsia="宋体"/>
          <w:color w:val="auto"/>
          <w:szCs w:val="24"/>
          <w:highlight w:val="none"/>
        </w:rPr>
      </w:pPr>
      <w:r>
        <w:rPr>
          <w:rFonts w:hint="eastAsia" w:eastAsia="宋体"/>
          <w:color w:val="auto"/>
          <w:szCs w:val="24"/>
          <w:highlight w:val="none"/>
        </w:rPr>
        <w:t>8、未按时间要求完成赔付率差额用于困难残疾人购买所需商品或其他服务项目支出的，将在履约保证金中扣除相应金额支付</w:t>
      </w:r>
      <w:r>
        <w:rPr>
          <w:rFonts w:hint="eastAsia" w:eastAsia="宋体"/>
          <w:color w:val="auto"/>
          <w:szCs w:val="24"/>
          <w:highlight w:val="none"/>
          <w:lang w:eastAsia="zh-CN"/>
        </w:rPr>
        <w:t>，不足部分在保险费尾款中扣除。如乙方拒不接受且造成纠纷，不得参加下一轮投标。</w:t>
      </w:r>
    </w:p>
    <w:p w14:paraId="3B30F535">
      <w:pPr>
        <w:tabs>
          <w:tab w:val="left" w:pos="720"/>
        </w:tabs>
        <w:spacing w:before="120" w:beforeLines="50" w:after="120" w:afterLines="50" w:line="360" w:lineRule="auto"/>
        <w:ind w:left="420" w:leftChars="200"/>
        <w:rPr>
          <w:rFonts w:hint="eastAsia" w:hAnsi="宋体" w:eastAsia="宋体" w:cs="宋体"/>
          <w:b/>
          <w:color w:val="auto"/>
          <w:sz w:val="24"/>
          <w:szCs w:val="24"/>
          <w:highlight w:val="none"/>
        </w:rPr>
      </w:pPr>
      <w:bookmarkStart w:id="219" w:name="_Toc3679"/>
      <w:r>
        <w:rPr>
          <w:rFonts w:hint="eastAsia" w:hAnsi="宋体" w:eastAsia="宋体" w:cs="宋体"/>
          <w:b/>
          <w:color w:val="auto"/>
          <w:sz w:val="24"/>
          <w:szCs w:val="24"/>
          <w:highlight w:val="none"/>
        </w:rPr>
        <w:t>十一、其他事项</w:t>
      </w:r>
      <w:bookmarkEnd w:id="213"/>
      <w:bookmarkEnd w:id="219"/>
    </w:p>
    <w:p w14:paraId="0F69002F">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20" w:name="_Toc15298"/>
      <w:bookmarkStart w:id="221" w:name="_Toc402512998"/>
      <w:r>
        <w:rPr>
          <w:rFonts w:hint="eastAsia" w:hAnsi="宋体" w:eastAsia="宋体" w:cs="宋体"/>
          <w:b/>
          <w:bCs/>
          <w:color w:val="auto"/>
          <w:sz w:val="24"/>
          <w:szCs w:val="24"/>
          <w:highlight w:val="none"/>
        </w:rPr>
        <w:t>（一）协议适用条款</w:t>
      </w:r>
      <w:bookmarkEnd w:id="220"/>
      <w:bookmarkStart w:id="222" w:name="_Toc403054885"/>
      <w:bookmarkStart w:id="223" w:name="_Toc405457137"/>
      <w:bookmarkStart w:id="224" w:name="_Toc402972361"/>
    </w:p>
    <w:p w14:paraId="3C73C8F5">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本协议的适用保险条款为：</w:t>
      </w:r>
      <w:bookmarkEnd w:id="222"/>
      <w:bookmarkEnd w:id="223"/>
      <w:bookmarkEnd w:id="224"/>
      <w:r>
        <w:rPr>
          <w:rFonts w:hint="eastAsia" w:hAnsi="宋体" w:eastAsia="宋体" w:cs="宋体"/>
          <w:color w:val="auto"/>
          <w:sz w:val="24"/>
          <w:szCs w:val="24"/>
          <w:highlight w:val="none"/>
        </w:rPr>
        <w:t>《XX团体意外伤害保险条款》、《XX团体意外伤害医疗保险条款》、《XX团体意外伤害住院津贴保险条款》、《XX重大疾病保险条款》、《XX重大疾病住院津贴保险条款》。</w:t>
      </w:r>
    </w:p>
    <w:p w14:paraId="7578067B">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25" w:name="_Toc31355"/>
      <w:r>
        <w:rPr>
          <w:rFonts w:hint="eastAsia" w:hAnsi="宋体" w:eastAsia="宋体" w:cs="宋体"/>
          <w:b/>
          <w:bCs/>
          <w:color w:val="auto"/>
          <w:sz w:val="24"/>
          <w:szCs w:val="24"/>
          <w:highlight w:val="none"/>
        </w:rPr>
        <w:t>（二）协议有效期</w:t>
      </w:r>
      <w:bookmarkEnd w:id="221"/>
      <w:bookmarkEnd w:id="225"/>
    </w:p>
    <w:p w14:paraId="60BBB124">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本协议自双方签字并盖章之日起生效，乙方自本协议约定的保险起期开始承担各项保险责任，并至履行完毕时终止，对于本协议约定的保险期间结束后未尽的保险责任和遗留问题，仍按本协议相关规定处理。</w:t>
      </w:r>
    </w:p>
    <w:p w14:paraId="052FCE92">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26" w:name="_Toc402512999"/>
      <w:bookmarkStart w:id="227" w:name="_Toc1687"/>
      <w:r>
        <w:rPr>
          <w:rFonts w:hint="eastAsia" w:hAnsi="宋体" w:eastAsia="宋体" w:cs="宋体"/>
          <w:b/>
          <w:bCs/>
          <w:color w:val="auto"/>
          <w:sz w:val="24"/>
          <w:szCs w:val="24"/>
          <w:highlight w:val="none"/>
        </w:rPr>
        <w:t>（三）协议变更</w:t>
      </w:r>
      <w:bookmarkEnd w:id="226"/>
      <w:bookmarkEnd w:id="227"/>
    </w:p>
    <w:p w14:paraId="29D8309F">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本协议实施过程中，经甲乙双方协商一致可对本协议内容进行修订或补充，并就所修订或补充的内容签署补充协议，作为本协议的组成部分。补充协议约定内容与本协议约定不一致时，以补充协议为准。</w:t>
      </w:r>
    </w:p>
    <w:p w14:paraId="7B308559">
      <w:pPr>
        <w:tabs>
          <w:tab w:val="left" w:pos="900"/>
        </w:tabs>
        <w:spacing w:after="120" w:afterLines="50" w:line="360" w:lineRule="auto"/>
        <w:ind w:firstLine="482" w:firstLineChars="200"/>
        <w:rPr>
          <w:rFonts w:hint="eastAsia" w:hAnsi="宋体" w:eastAsia="宋体" w:cs="宋体"/>
          <w:color w:val="auto"/>
          <w:sz w:val="24"/>
          <w:szCs w:val="24"/>
          <w:highlight w:val="none"/>
        </w:rPr>
      </w:pPr>
      <w:bookmarkStart w:id="228" w:name="_Toc402513000"/>
      <w:bookmarkStart w:id="229" w:name="_Toc29337"/>
      <w:r>
        <w:rPr>
          <w:rFonts w:hint="eastAsia" w:hAnsi="宋体" w:eastAsia="宋体" w:cs="宋体"/>
          <w:b/>
          <w:bCs/>
          <w:color w:val="auto"/>
          <w:sz w:val="24"/>
          <w:szCs w:val="24"/>
          <w:highlight w:val="none"/>
        </w:rPr>
        <w:t>（四）保密条款</w:t>
      </w:r>
      <w:bookmarkEnd w:id="228"/>
      <w:bookmarkEnd w:id="229"/>
      <w:r>
        <w:rPr>
          <w:rFonts w:hint="eastAsia" w:hAnsi="宋体" w:eastAsia="宋体" w:cs="宋体"/>
          <w:color w:val="auto"/>
          <w:sz w:val="24"/>
          <w:szCs w:val="24"/>
          <w:highlight w:val="none"/>
        </w:rPr>
        <w:tab/>
      </w:r>
    </w:p>
    <w:p w14:paraId="5339A088">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除非下列情况，自本协议生效之日起，甲、乙双方不得将本协议涉及的所有有形、无形的信息及资料（包括但不限于双方的往来书面文字文件、电子邮件及信息、软盘资料等）泄露给第三方：</w:t>
      </w:r>
    </w:p>
    <w:p w14:paraId="3A45383D">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1、为执行本协议而提供相关服务的雇员、顾问、再保险人；</w:t>
      </w:r>
    </w:p>
    <w:p w14:paraId="7D871F39">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2、应法律或司法管辖要求提供；</w:t>
      </w:r>
    </w:p>
    <w:p w14:paraId="454F0328">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3、经甲、乙双方书面同意。</w:t>
      </w:r>
    </w:p>
    <w:p w14:paraId="79BA09A4">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本协议一方因过错造成泄密而给另一方造成损失的，由过错一方承担经济赔偿责任。本协议终止时本条款继续并长期有效。</w:t>
      </w:r>
    </w:p>
    <w:p w14:paraId="7D233386">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30" w:name="_Toc512"/>
      <w:r>
        <w:rPr>
          <w:rFonts w:hint="eastAsia" w:hAnsi="宋体" w:eastAsia="宋体" w:cs="宋体"/>
          <w:b/>
          <w:bCs/>
          <w:color w:val="auto"/>
          <w:sz w:val="24"/>
          <w:szCs w:val="24"/>
          <w:highlight w:val="none"/>
        </w:rPr>
        <w:t>（五）法律责任</w:t>
      </w:r>
      <w:bookmarkEnd w:id="230"/>
    </w:p>
    <w:p w14:paraId="698AA6E8">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由于本协议一方当事人的过错，造成本协议不能履行或者不能完全履行的，由有过错的一方依法承担违约责任；如属双方当事人的过错，则根据双方当事人过错的实际情况，由双方当事人分别承担各自应负的违约责任。</w:t>
      </w:r>
    </w:p>
    <w:p w14:paraId="317138D5">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若发生违约情形，违约方依法依约承担其相应法律责任后，除非守约方同意终止本协议的，本协议仍须继续履行。</w:t>
      </w:r>
    </w:p>
    <w:p w14:paraId="1C2380E8">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31" w:name="_Toc402513001"/>
      <w:bookmarkStart w:id="232" w:name="_Toc63489826"/>
      <w:bookmarkStart w:id="233" w:name="_Toc3126"/>
      <w:r>
        <w:rPr>
          <w:rFonts w:hint="eastAsia" w:hAnsi="宋体" w:eastAsia="宋体" w:cs="宋体"/>
          <w:b/>
          <w:bCs/>
          <w:color w:val="auto"/>
          <w:sz w:val="24"/>
          <w:szCs w:val="24"/>
          <w:highlight w:val="none"/>
        </w:rPr>
        <w:t>（六）争议解决</w:t>
      </w:r>
      <w:bookmarkEnd w:id="231"/>
      <w:bookmarkEnd w:id="232"/>
      <w:bookmarkEnd w:id="233"/>
    </w:p>
    <w:p w14:paraId="25FD32F2">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甲、乙双方之间的一切有关本协议的争议应通过友好协商解决。如果协商不成，可向甲方所在地法院提起诉讼。</w:t>
      </w:r>
    </w:p>
    <w:p w14:paraId="09F6F5A6">
      <w:pPr>
        <w:tabs>
          <w:tab w:val="left" w:pos="900"/>
        </w:tabs>
        <w:spacing w:after="120" w:afterLines="50" w:line="360" w:lineRule="auto"/>
        <w:ind w:firstLine="482" w:firstLineChars="200"/>
        <w:rPr>
          <w:rFonts w:hint="eastAsia" w:hAnsi="宋体" w:eastAsia="宋体" w:cs="宋体"/>
          <w:b/>
          <w:bCs/>
          <w:color w:val="auto"/>
          <w:sz w:val="24"/>
          <w:szCs w:val="24"/>
          <w:highlight w:val="none"/>
        </w:rPr>
      </w:pPr>
      <w:bookmarkStart w:id="234" w:name="_Toc402513002"/>
      <w:bookmarkStart w:id="235" w:name="_Toc27719"/>
      <w:r>
        <w:rPr>
          <w:rFonts w:hint="eastAsia" w:hAnsi="宋体" w:eastAsia="宋体" w:cs="宋体"/>
          <w:b/>
          <w:bCs/>
          <w:color w:val="auto"/>
          <w:sz w:val="24"/>
          <w:szCs w:val="24"/>
          <w:highlight w:val="none"/>
        </w:rPr>
        <w:t>（七）其他</w:t>
      </w:r>
      <w:bookmarkEnd w:id="234"/>
      <w:bookmarkEnd w:id="235"/>
    </w:p>
    <w:p w14:paraId="7EE39FC7">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本协议正本肆份，甲方、乙方各执正本贰份。</w:t>
      </w:r>
    </w:p>
    <w:p w14:paraId="420EF27B">
      <w:pPr>
        <w:pStyle w:val="35"/>
        <w:spacing w:line="360" w:lineRule="auto"/>
        <w:ind w:firstLine="0" w:firstLineChars="0"/>
        <w:rPr>
          <w:rFonts w:hint="eastAsia" w:hAnsi="宋体" w:eastAsia="宋体" w:cs="宋体"/>
          <w:color w:val="auto"/>
          <w:szCs w:val="24"/>
          <w:highlight w:val="none"/>
        </w:rPr>
      </w:pPr>
    </w:p>
    <w:p w14:paraId="0A47C564">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甲方： （盖章）</w:t>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 xml:space="preserve">               </w:t>
      </w:r>
    </w:p>
    <w:p w14:paraId="3CD3690C">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授权代表: </w:t>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 xml:space="preserve">   </w:t>
      </w:r>
    </w:p>
    <w:p w14:paraId="40F72563">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日期：    年     月     日</w:t>
      </w:r>
    </w:p>
    <w:p w14:paraId="0355DFF4">
      <w:pPr>
        <w:tabs>
          <w:tab w:val="left" w:pos="900"/>
        </w:tabs>
        <w:spacing w:after="120" w:afterLines="5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乙方： （盖章）</w:t>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 xml:space="preserve">    </w:t>
      </w:r>
    </w:p>
    <w:p w14:paraId="68D77542">
      <w:pPr>
        <w:tabs>
          <w:tab w:val="left" w:pos="900"/>
        </w:tabs>
        <w:spacing w:after="120" w:afterLines="50" w:line="360" w:lineRule="auto"/>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授权代表: </w:t>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 xml:space="preserve">   </w:t>
      </w:r>
    </w:p>
    <w:p w14:paraId="0EDFCD7E">
      <w:pPr>
        <w:tabs>
          <w:tab w:val="left" w:pos="900"/>
        </w:tabs>
        <w:spacing w:after="120" w:afterLines="50" w:line="360" w:lineRule="auto"/>
        <w:ind w:firstLine="480" w:firstLineChars="200"/>
        <w:rPr>
          <w:rFonts w:hint="eastAsia" w:hAnsi="宋体" w:eastAsia="宋体" w:cs="宋体"/>
          <w:color w:val="auto"/>
          <w:sz w:val="24"/>
          <w:szCs w:val="24"/>
          <w:highlight w:val="none"/>
          <w:lang w:val="zh-TW" w:eastAsia="zh-TW"/>
        </w:rPr>
      </w:pPr>
      <w:r>
        <w:rPr>
          <w:rFonts w:hint="eastAsia" w:hAnsi="宋体" w:eastAsia="宋体" w:cs="宋体"/>
          <w:color w:val="auto"/>
          <w:sz w:val="24"/>
          <w:szCs w:val="24"/>
          <w:highlight w:val="none"/>
        </w:rPr>
        <w:t>日期：    年     月     日</w:t>
      </w:r>
    </w:p>
    <w:p w14:paraId="248EB276">
      <w:pPr>
        <w:pStyle w:val="33"/>
        <w:spacing w:before="120" w:beforeAutospacing="0" w:after="120" w:afterAutospacing="0" w:line="0" w:lineRule="atLeast"/>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w:t>
      </w:r>
    </w:p>
    <w:p w14:paraId="64432607">
      <w:pPr>
        <w:pStyle w:val="33"/>
        <w:numPr>
          <w:ilvl w:val="0"/>
          <w:numId w:val="0"/>
        </w:numPr>
        <w:spacing w:before="120" w:beforeAutospacing="0" w:after="120" w:afterAutospacing="0" w:line="0" w:lineRule="atLeast"/>
        <w:ind w:left="3106" w:firstLine="0"/>
        <w:jc w:val="center"/>
        <w:rPr>
          <w:rFonts w:hint="eastAsia" w:ascii="宋体" w:hAnsi="宋体" w:eastAsia="宋体" w:cs="宋体"/>
          <w:b/>
          <w:color w:val="auto"/>
          <w:sz w:val="44"/>
          <w:szCs w:val="44"/>
          <w:highlight w:val="none"/>
          <w:lang w:val="en-US" w:eastAsia="zh-CN" w:bidi="ar-SA"/>
        </w:rPr>
      </w:pPr>
    </w:p>
    <w:bookmarkEnd w:id="165"/>
    <w:bookmarkEnd w:id="166"/>
    <w:bookmarkEnd w:id="167"/>
    <w:bookmarkEnd w:id="168"/>
    <w:bookmarkEnd w:id="169"/>
    <w:p w14:paraId="70D5F5A1">
      <w:pPr>
        <w:pStyle w:val="33"/>
        <w:numPr>
          <w:ilvl w:val="0"/>
          <w:numId w:val="0"/>
        </w:numPr>
        <w:spacing w:before="120" w:beforeAutospacing="0" w:after="120" w:afterAutospacing="0" w:line="0" w:lineRule="atLeast"/>
        <w:jc w:val="center"/>
        <w:outlineLvl w:val="0"/>
        <w:rPr>
          <w:rFonts w:hint="eastAsia" w:ascii="宋体" w:hAnsi="宋体" w:eastAsia="宋体" w:cs="宋体"/>
          <w:b/>
          <w:color w:val="auto"/>
          <w:sz w:val="44"/>
          <w:szCs w:val="44"/>
          <w:highlight w:val="none"/>
          <w:lang w:val="en-US" w:eastAsia="zh-CN"/>
        </w:rPr>
      </w:pPr>
      <w:bookmarkStart w:id="236" w:name="_Toc26554093"/>
      <w:bookmarkEnd w:id="236"/>
      <w:bookmarkStart w:id="237" w:name="_Toc49090575"/>
      <w:bookmarkEnd w:id="237"/>
      <w:bookmarkStart w:id="238" w:name="_Toc25084"/>
      <w:r>
        <w:rPr>
          <w:rFonts w:hint="eastAsia" w:ascii="宋体" w:hAnsi="宋体" w:eastAsia="宋体" w:cs="宋体"/>
          <w:b/>
          <w:color w:val="auto"/>
          <w:sz w:val="44"/>
          <w:szCs w:val="44"/>
          <w:highlight w:val="none"/>
        </w:rPr>
        <w:t>第</w:t>
      </w:r>
      <w:r>
        <w:rPr>
          <w:rFonts w:hint="eastAsia" w:ascii="宋体" w:hAnsi="宋体" w:eastAsia="宋体" w:cs="宋体"/>
          <w:b/>
          <w:color w:val="auto"/>
          <w:sz w:val="44"/>
          <w:szCs w:val="44"/>
          <w:highlight w:val="none"/>
          <w:lang w:val="en-US" w:eastAsia="zh-CN"/>
        </w:rPr>
        <w:t>四</w:t>
      </w:r>
      <w:r>
        <w:rPr>
          <w:rFonts w:hint="eastAsia" w:ascii="宋体" w:hAnsi="宋体" w:eastAsia="宋体" w:cs="宋体"/>
          <w:b/>
          <w:color w:val="auto"/>
          <w:sz w:val="44"/>
          <w:szCs w:val="44"/>
          <w:highlight w:val="none"/>
        </w:rPr>
        <w:t xml:space="preserve">章  </w:t>
      </w:r>
      <w:r>
        <w:rPr>
          <w:rFonts w:hint="eastAsia" w:ascii="宋体" w:hAnsi="宋体" w:eastAsia="宋体" w:cs="宋体"/>
          <w:b/>
          <w:color w:val="auto"/>
          <w:sz w:val="44"/>
          <w:szCs w:val="44"/>
          <w:highlight w:val="none"/>
          <w:lang w:val="en-US" w:eastAsia="zh-CN"/>
        </w:rPr>
        <w:t>项目需求</w:t>
      </w:r>
      <w:bookmarkEnd w:id="238"/>
    </w:p>
    <w:p w14:paraId="7847CA5E">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根据《2019年市政府为民办实事“阳光助残行动”为残疾人购买意外伤害保险项目实施方案》</w:t>
      </w:r>
      <w:r>
        <w:rPr>
          <w:rFonts w:hint="eastAsia" w:ascii="宋体" w:hAnsi="宋体" w:eastAsia="宋体" w:cs="宋体"/>
          <w:i w:val="0"/>
          <w:iCs w:val="0"/>
          <w:caps w:val="0"/>
          <w:color w:val="auto"/>
          <w:spacing w:val="0"/>
          <w:sz w:val="24"/>
          <w:szCs w:val="24"/>
          <w:highlight w:val="none"/>
          <w:shd w:val="clear" w:color="auto" w:fill="FFFFFF"/>
          <w:lang w:val="en-US" w:eastAsia="zh-CN"/>
        </w:rPr>
        <w:t>以及《关于进一步做好残疾人意外伤害保险工作的通知》的文件精神，</w:t>
      </w:r>
      <w:r>
        <w:rPr>
          <w:rFonts w:hint="eastAsia" w:ascii="宋体" w:hAnsi="宋体" w:eastAsia="宋体" w:cs="宋体"/>
          <w:bCs/>
          <w:color w:val="auto"/>
          <w:sz w:val="24"/>
          <w:szCs w:val="24"/>
          <w:highlight w:val="none"/>
          <w:lang w:val="en-US" w:eastAsia="zh-CN"/>
        </w:rPr>
        <w:t>为全县0-74周岁持证残疾人购买意外伤害保险，按 40 元/人.年的标准投保。</w:t>
      </w:r>
    </w:p>
    <w:p w14:paraId="4412D88D">
      <w:pPr>
        <w:spacing w:line="520" w:lineRule="exact"/>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其中，采购包1的保险范围为：经济开发区、四明、临海、长荡、洋马、兴桥、新坍、港开区，采购包2的保险范围为：合德、海河、特庸、盘湾、黄沙港、海通、千秋、盐场。</w:t>
      </w:r>
    </w:p>
    <w:p w14:paraId="33D8CA67">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一、任务目标：</w:t>
      </w:r>
    </w:p>
    <w:p w14:paraId="4F330E15">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为全县一定年龄范围内的持证残疾人按市定标准购买意外伤害保险，发挥残疾人意外伤害保险在为残疾人群体抵御风险、弥补损失，减轻家庭负担等方面作用，增强残疾人的获得感、幸福感和安全感。</w:t>
      </w:r>
    </w:p>
    <w:p w14:paraId="6B6482C9">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二、参保对象：</w:t>
      </w:r>
    </w:p>
    <w:p w14:paraId="29D1C125">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具有盐城市射阳县户籍、在本县因学习、婚姻、就业居住一年以上，年龄符合0-74周岁，持有有效期内的第二代、第三代《中华人民共和国残疾人证》，未享受政府有关部门购买意外伤害险的各类残疾人。</w:t>
      </w:r>
    </w:p>
    <w:p w14:paraId="452B9577">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三、保障内容：</w:t>
      </w:r>
    </w:p>
    <w:p w14:paraId="1D5C5286">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保险范围：在保险期间内发生的意外身故、意外伤残、意外医疗、意外住院补贴等意外情形，拓展“疾病身故保险”、“重大疾病保险”、“疾病住院补贴”、“重大疾病医疗补偿”残疾人适用的保险项目，逐步提高保险项目的赔付比例。具体保障内容及标准等详见残疾人意外保险方案及相关附表。</w:t>
      </w:r>
    </w:p>
    <w:p w14:paraId="6A4BDFC7">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附：                  </w:t>
      </w:r>
    </w:p>
    <w:p w14:paraId="5E9F192E">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常见保险项目</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698"/>
        <w:gridCol w:w="4547"/>
        <w:gridCol w:w="2887"/>
      </w:tblGrid>
      <w:tr w14:paraId="3CCAA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38" w:type="dxa"/>
            <w:noWrap w:val="0"/>
            <w:vAlign w:val="top"/>
          </w:tcPr>
          <w:p w14:paraId="760F31B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top"/>
          </w:tcPr>
          <w:p w14:paraId="78605D2A">
            <w:pPr>
              <w:keepNext w:val="0"/>
              <w:keepLines w:val="0"/>
              <w:pageBreakBefore w:val="0"/>
              <w:widowControl w:val="0"/>
              <w:kinsoku/>
              <w:wordWrap/>
              <w:overflowPunct/>
              <w:topLinePunct w:val="0"/>
              <w:autoSpaceDE/>
              <w:autoSpaceDN/>
              <w:bidi w:val="0"/>
              <w:adjustRightInd w:val="0"/>
              <w:snapToGrid/>
              <w:spacing w:line="48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547" w:type="dxa"/>
            <w:noWrap w:val="0"/>
            <w:vAlign w:val="top"/>
          </w:tcPr>
          <w:p w14:paraId="5479519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保障项目</w:t>
            </w:r>
          </w:p>
        </w:tc>
        <w:tc>
          <w:tcPr>
            <w:tcW w:w="2887" w:type="dxa"/>
            <w:noWrap w:val="0"/>
            <w:vAlign w:val="top"/>
          </w:tcPr>
          <w:p w14:paraId="0FDC382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保障内容</w:t>
            </w:r>
          </w:p>
        </w:tc>
      </w:tr>
      <w:tr w14:paraId="3D54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138" w:type="dxa"/>
            <w:vMerge w:val="restart"/>
            <w:noWrap w:val="0"/>
            <w:vAlign w:val="top"/>
          </w:tcPr>
          <w:p w14:paraId="42E7E79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p w14:paraId="18A3766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p w14:paraId="2457599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p w14:paraId="08978666">
            <w:pPr>
              <w:keepNext w:val="0"/>
              <w:keepLines w:val="0"/>
              <w:pageBreakBefore w:val="0"/>
              <w:widowControl w:val="0"/>
              <w:kinsoku/>
              <w:wordWrap/>
              <w:overflowPunct/>
              <w:topLinePunct w:val="0"/>
              <w:autoSpaceDE/>
              <w:autoSpaceDN/>
              <w:bidi w:val="0"/>
              <w:adjustRightInd w:val="0"/>
              <w:snapToGrid/>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基础保险项目</w:t>
            </w:r>
          </w:p>
        </w:tc>
        <w:tc>
          <w:tcPr>
            <w:tcW w:w="698" w:type="dxa"/>
            <w:noWrap w:val="0"/>
            <w:vAlign w:val="center"/>
          </w:tcPr>
          <w:p w14:paraId="246760F8">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47" w:type="dxa"/>
            <w:noWrap w:val="0"/>
            <w:vAlign w:val="center"/>
          </w:tcPr>
          <w:p w14:paraId="55ED045C">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意外身故保险（设最高赔付金额、不宜高）</w:t>
            </w:r>
          </w:p>
        </w:tc>
        <w:tc>
          <w:tcPr>
            <w:tcW w:w="2887" w:type="dxa"/>
            <w:noWrap w:val="0"/>
            <w:vAlign w:val="center"/>
          </w:tcPr>
          <w:p w14:paraId="546BFA25">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因意外伤害导致身故</w:t>
            </w:r>
          </w:p>
        </w:tc>
      </w:tr>
      <w:tr w14:paraId="3E54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138" w:type="dxa"/>
            <w:vMerge w:val="continue"/>
            <w:noWrap w:val="0"/>
            <w:vAlign w:val="top"/>
          </w:tcPr>
          <w:p w14:paraId="0EE7D72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57DD1DF0">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547" w:type="dxa"/>
            <w:noWrap w:val="0"/>
            <w:vAlign w:val="center"/>
          </w:tcPr>
          <w:p w14:paraId="0E60E51C">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意外伤残保险（建议较高赔付金额，保障被保险人现时利益）</w:t>
            </w:r>
          </w:p>
        </w:tc>
        <w:tc>
          <w:tcPr>
            <w:tcW w:w="2887" w:type="dxa"/>
            <w:noWrap w:val="0"/>
            <w:vAlign w:val="center"/>
          </w:tcPr>
          <w:p w14:paraId="1AAE2C3E">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因意外伤残保险</w:t>
            </w:r>
          </w:p>
        </w:tc>
      </w:tr>
      <w:tr w14:paraId="33BC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0E21A29E">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1E6AD2EF">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547" w:type="dxa"/>
            <w:noWrap w:val="0"/>
            <w:vAlign w:val="center"/>
          </w:tcPr>
          <w:p w14:paraId="45FD9DBC">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意外医疗费用补贴</w:t>
            </w:r>
          </w:p>
        </w:tc>
        <w:tc>
          <w:tcPr>
            <w:tcW w:w="2887" w:type="dxa"/>
            <w:noWrap w:val="0"/>
            <w:vAlign w:val="center"/>
          </w:tcPr>
          <w:p w14:paraId="091FC961">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因意外导致的医疗费用补偿</w:t>
            </w:r>
          </w:p>
        </w:tc>
      </w:tr>
      <w:tr w14:paraId="2F762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7259841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06E8D0E9">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47" w:type="dxa"/>
            <w:noWrap w:val="0"/>
            <w:vAlign w:val="center"/>
          </w:tcPr>
          <w:p w14:paraId="77118F2B">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意外住院定额津贴</w:t>
            </w:r>
          </w:p>
        </w:tc>
        <w:tc>
          <w:tcPr>
            <w:tcW w:w="2887" w:type="dxa"/>
            <w:noWrap w:val="0"/>
            <w:vAlign w:val="center"/>
          </w:tcPr>
          <w:p w14:paraId="7C38BC76">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意外伤害住院医疗定额补贴</w:t>
            </w:r>
          </w:p>
        </w:tc>
      </w:tr>
      <w:tr w14:paraId="79BA0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restart"/>
            <w:noWrap w:val="0"/>
            <w:vAlign w:val="top"/>
          </w:tcPr>
          <w:p w14:paraId="22A5E6E5">
            <w:pPr>
              <w:keepNext w:val="0"/>
              <w:keepLines w:val="0"/>
              <w:pageBreakBefore w:val="0"/>
              <w:widowControl w:val="0"/>
              <w:kinsoku/>
              <w:wordWrap/>
              <w:overflowPunct/>
              <w:topLinePunct w:val="0"/>
              <w:autoSpaceDE/>
              <w:autoSpaceDN/>
              <w:bidi w:val="0"/>
              <w:adjustRightInd w:val="0"/>
              <w:snapToGrid/>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可拓展的保险项目</w:t>
            </w:r>
          </w:p>
        </w:tc>
        <w:tc>
          <w:tcPr>
            <w:tcW w:w="698" w:type="dxa"/>
            <w:noWrap w:val="0"/>
            <w:vAlign w:val="center"/>
          </w:tcPr>
          <w:p w14:paraId="3F8EFCC4">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47" w:type="dxa"/>
            <w:noWrap w:val="0"/>
            <w:vAlign w:val="center"/>
          </w:tcPr>
          <w:p w14:paraId="7AC9E77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疾病身故保险</w:t>
            </w:r>
          </w:p>
        </w:tc>
        <w:tc>
          <w:tcPr>
            <w:tcW w:w="2887" w:type="dxa"/>
            <w:noWrap w:val="0"/>
            <w:vAlign w:val="center"/>
          </w:tcPr>
          <w:p w14:paraId="4E7E4AA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p>
        </w:tc>
      </w:tr>
      <w:tr w14:paraId="4A91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51F53D6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547DD74F">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547" w:type="dxa"/>
            <w:noWrap w:val="0"/>
            <w:vAlign w:val="center"/>
          </w:tcPr>
          <w:p w14:paraId="0E2EDDA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重大疾病保险</w:t>
            </w:r>
          </w:p>
        </w:tc>
        <w:tc>
          <w:tcPr>
            <w:tcW w:w="2887" w:type="dxa"/>
            <w:noWrap w:val="0"/>
            <w:vAlign w:val="center"/>
          </w:tcPr>
          <w:p w14:paraId="7B926298">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p>
        </w:tc>
      </w:tr>
      <w:tr w14:paraId="4F0A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6A5315A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0D4C72F9">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547" w:type="dxa"/>
            <w:noWrap w:val="0"/>
            <w:vAlign w:val="center"/>
          </w:tcPr>
          <w:p w14:paraId="196E79E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重大疾病住院补贴</w:t>
            </w:r>
          </w:p>
        </w:tc>
        <w:tc>
          <w:tcPr>
            <w:tcW w:w="2887" w:type="dxa"/>
            <w:noWrap w:val="0"/>
            <w:vAlign w:val="center"/>
          </w:tcPr>
          <w:p w14:paraId="5B59125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p>
        </w:tc>
      </w:tr>
      <w:tr w14:paraId="45616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058F16F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273C314C">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47" w:type="dxa"/>
            <w:noWrap w:val="0"/>
            <w:vAlign w:val="center"/>
          </w:tcPr>
          <w:p w14:paraId="6F5C1F5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重大疾病医疗补偿</w:t>
            </w:r>
          </w:p>
        </w:tc>
        <w:tc>
          <w:tcPr>
            <w:tcW w:w="2887" w:type="dxa"/>
            <w:noWrap w:val="0"/>
            <w:vAlign w:val="center"/>
          </w:tcPr>
          <w:p w14:paraId="1EC6300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p>
        </w:tc>
      </w:tr>
    </w:tbl>
    <w:p w14:paraId="0574AD3D">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2、保费标准：残疾人意外伤害保险保费标准为每人每年40元。</w:t>
      </w:r>
    </w:p>
    <w:p w14:paraId="57A05D74">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3、保险期限：2026年9月3日至2028年9月2日，合同一年一签，经采购人考核合格后方可续签下一年服务合同，否则采购人有权终止合同，重新组织招标。</w:t>
      </w:r>
    </w:p>
    <w:p w14:paraId="489E48F7">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4、资金来源：由射阳县财政统筹安排。</w:t>
      </w:r>
    </w:p>
    <w:p w14:paraId="0935D628">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四、工作要求</w:t>
      </w:r>
    </w:p>
    <w:p w14:paraId="69F1AABC">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项目承保残疾人意外伤害保险的保险机构应当具备的要求：在中标后、合同履行前，在项目所在区域设立专门服务团队或服务网点，确保接到报案后能在约定时限内到达现场，便于为残疾人就近就便投保、理赔、咨询等服务；有参与政府民生保险项目的经验，所承保的项目绩效评价满意度较高；承保公司具有积善助困、扶残助残或热心社会公益的企业文化，社会美誉度较高等。</w:t>
      </w:r>
    </w:p>
    <w:p w14:paraId="2B581F4D">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本项目定额赔付比例：残疾人意外伤害保险年赔付率拟不低于70%，如年度赔付率超过供应商承诺的年度赔付率的，由承保公司据实赔付；如年度赔付率低于供应商承诺的年度赔付率的，实际赔付率与供应商承诺的年度赔付率之间的差额部分，由残联同承保公司商谈用于困难残疾人购买所需商品或其他服务项目支出。</w:t>
      </w:r>
    </w:p>
    <w:p w14:paraId="0C8A10A9">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承保单位要通过媒体、网站、微信等方式加强宣传，努力让每一名参保对象都能知晓保险项目内容、理赔流程及赔付金额等信息。及时做好对残联工作人员保险政策学习和业务培训工作全面精准掌握。为残疾人开通绿色理赔通道，提供“一站式”理赔服务，确保应保尽保、应赔尽赔，一户不落、一个不少。</w:t>
      </w:r>
    </w:p>
    <w:p w14:paraId="6FCE7045">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承保单位要通过媒体、网站、微信等方式加强宣传，签约后两周内按投保人数印发宣传单，宣传单上包含保险项目内容、理赔流程、赔付金额及具体服务人员姓名、电话等信息，宣传单交由县残联，通过县、镇（区）、村（居）三级发放，确保残疾人人人知晓。及时做好对残联工作人员保险政策学习和业务培训工作全面精准掌握。为残疾人开通绿色理赔通道，提供“一站式”理赔服务，确保应保尽保、应赔尽赔，一户不落、一个不少。</w:t>
      </w:r>
    </w:p>
    <w:p w14:paraId="516EE1F5">
      <w:pPr>
        <w:spacing w:line="520" w:lineRule="exact"/>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成交供应商应在合同签订前，须向采购人提供拟投入本项目人员的社保缴纳证明（缴费单位须与中标人一致，或提供隶属关系证明），作为履约能力核验材料。未能提供的，视为不具备履约能力，采购人有权取消其中标资格或解除合同。</w:t>
      </w:r>
    </w:p>
    <w:p w14:paraId="77CA1EFE">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五、残疾人意外伤害保险方案：</w:t>
      </w:r>
    </w:p>
    <w:p w14:paraId="6E74927F">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残疾人意外保险方案</w:t>
      </w:r>
    </w:p>
    <w:tbl>
      <w:tblPr>
        <w:tblStyle w:val="37"/>
        <w:tblW w:w="0" w:type="auto"/>
        <w:jc w:val="center"/>
        <w:tblLayout w:type="fixed"/>
        <w:tblCellMar>
          <w:top w:w="0" w:type="dxa"/>
          <w:left w:w="0" w:type="dxa"/>
          <w:bottom w:w="0" w:type="dxa"/>
          <w:right w:w="0" w:type="dxa"/>
        </w:tblCellMar>
      </w:tblPr>
      <w:tblGrid>
        <w:gridCol w:w="1500"/>
        <w:gridCol w:w="715"/>
        <w:gridCol w:w="1816"/>
        <w:gridCol w:w="5135"/>
      </w:tblGrid>
      <w:tr w14:paraId="5A508790">
        <w:tblPrEx>
          <w:tblCellMar>
            <w:top w:w="0" w:type="dxa"/>
            <w:left w:w="0" w:type="dxa"/>
            <w:bottom w:w="0" w:type="dxa"/>
            <w:right w:w="0" w:type="dxa"/>
          </w:tblCellMar>
        </w:tblPrEx>
        <w:trPr>
          <w:trHeight w:val="520" w:hRule="atLeast"/>
          <w:jc w:val="center"/>
        </w:trPr>
        <w:tc>
          <w:tcPr>
            <w:tcW w:w="150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455034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险种</w:t>
            </w:r>
          </w:p>
        </w:tc>
        <w:tc>
          <w:tcPr>
            <w:tcW w:w="2531" w:type="dxa"/>
            <w:gridSpan w:val="2"/>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94E83A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5135"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25556A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保险条件</w:t>
            </w:r>
          </w:p>
        </w:tc>
      </w:tr>
      <w:tr w14:paraId="41793E38">
        <w:tblPrEx>
          <w:tblCellMar>
            <w:top w:w="0" w:type="dxa"/>
            <w:left w:w="0" w:type="dxa"/>
            <w:bottom w:w="0" w:type="dxa"/>
            <w:right w:w="0" w:type="dxa"/>
          </w:tblCellMar>
        </w:tblPrEx>
        <w:trPr>
          <w:trHeight w:val="557" w:hRule="atLeast"/>
          <w:jc w:val="center"/>
        </w:trPr>
        <w:tc>
          <w:tcPr>
            <w:tcW w:w="150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0841670">
            <w:pPr>
              <w:keepNext w:val="0"/>
              <w:keepLines w:val="0"/>
              <w:pageBreakBefore w:val="0"/>
              <w:widowControl w:val="0"/>
              <w:kinsoku/>
              <w:wordWrap/>
              <w:overflowPunct/>
              <w:topLinePunct w:val="0"/>
              <w:autoSpaceDE/>
              <w:autoSpaceDN/>
              <w:bidi w:val="0"/>
              <w:adjustRightInd w:val="0"/>
              <w:snapToGrid/>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残疾人意外伤害险</w:t>
            </w:r>
          </w:p>
        </w:tc>
        <w:tc>
          <w:tcPr>
            <w:tcW w:w="2531"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4ED03E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保险对象</w:t>
            </w:r>
          </w:p>
        </w:tc>
        <w:tc>
          <w:tcPr>
            <w:tcW w:w="5135" w:type="dxa"/>
            <w:tcBorders>
              <w:top w:val="single" w:color="auto" w:sz="4" w:space="0"/>
              <w:left w:val="single" w:color="auto" w:sz="4" w:space="0"/>
              <w:bottom w:val="single" w:color="000000" w:sz="4" w:space="0"/>
              <w:right w:val="single" w:color="auto" w:sz="4" w:space="0"/>
            </w:tcBorders>
            <w:noWrap w:val="0"/>
            <w:tcMar>
              <w:top w:w="15" w:type="dxa"/>
              <w:left w:w="15" w:type="dxa"/>
              <w:right w:w="15" w:type="dxa"/>
            </w:tcMar>
            <w:vAlign w:val="center"/>
          </w:tcPr>
          <w:p w14:paraId="1B2C0A81">
            <w:pPr>
              <w:keepNext w:val="0"/>
              <w:keepLines w:val="0"/>
              <w:pageBreakBefore w:val="0"/>
              <w:widowControl w:val="0"/>
              <w:numPr>
                <w:ilvl w:val="0"/>
                <w:numId w:val="0"/>
              </w:numPr>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具有盐城市</w:t>
            </w:r>
            <w:r>
              <w:rPr>
                <w:rFonts w:hint="eastAsia" w:ascii="宋体" w:hAnsi="宋体" w:eastAsia="宋体" w:cs="宋体"/>
                <w:color w:val="auto"/>
                <w:sz w:val="24"/>
                <w:szCs w:val="24"/>
                <w:highlight w:val="none"/>
                <w:lang w:eastAsia="zh-CN"/>
              </w:rPr>
              <w:t>射阳县</w:t>
            </w:r>
            <w:r>
              <w:rPr>
                <w:rFonts w:hint="eastAsia" w:ascii="宋体" w:hAnsi="宋体" w:eastAsia="宋体" w:cs="宋体"/>
                <w:color w:val="auto"/>
                <w:sz w:val="24"/>
                <w:szCs w:val="24"/>
                <w:highlight w:val="none"/>
              </w:rPr>
              <w:t>户籍、在本</w:t>
            </w:r>
            <w:r>
              <w:rPr>
                <w:rFonts w:hint="eastAsia" w:ascii="宋体" w:hAnsi="宋体" w:eastAsia="宋体" w:cs="宋体"/>
                <w:color w:val="auto"/>
                <w:sz w:val="24"/>
                <w:szCs w:val="24"/>
                <w:highlight w:val="none"/>
                <w:lang w:val="en-US" w:eastAsia="zh-CN"/>
              </w:rPr>
              <w:t>县</w:t>
            </w:r>
            <w:r>
              <w:rPr>
                <w:rFonts w:hint="eastAsia" w:ascii="宋体" w:hAnsi="宋体" w:eastAsia="宋体" w:cs="宋体"/>
                <w:color w:val="auto"/>
                <w:sz w:val="24"/>
                <w:szCs w:val="24"/>
                <w:highlight w:val="none"/>
              </w:rPr>
              <w:t>因学习、婚姻、就业居住一年以上，年龄符合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-74周岁，持有有效期内的第二代、第三代《</w:t>
            </w:r>
            <w:r>
              <w:rPr>
                <w:rFonts w:hint="eastAsia" w:ascii="宋体" w:hAnsi="宋体" w:eastAsia="宋体" w:cs="宋体"/>
                <w:color w:val="auto"/>
                <w:sz w:val="24"/>
                <w:szCs w:val="24"/>
                <w:highlight w:val="none"/>
                <w:lang w:eastAsia="zh-CN"/>
              </w:rPr>
              <w:t>中华人民共和国</w:t>
            </w:r>
            <w:r>
              <w:rPr>
                <w:rFonts w:hint="eastAsia" w:ascii="宋体" w:hAnsi="宋体" w:eastAsia="宋体" w:cs="宋体"/>
                <w:color w:val="auto"/>
                <w:sz w:val="24"/>
                <w:szCs w:val="24"/>
                <w:highlight w:val="none"/>
              </w:rPr>
              <w:t>残疾人证》，未享受政府有关部门购买意外伤害险的各类残疾人。</w:t>
            </w:r>
          </w:p>
        </w:tc>
      </w:tr>
      <w:tr w14:paraId="5C6AE2D3">
        <w:tblPrEx>
          <w:tblCellMar>
            <w:top w:w="0" w:type="dxa"/>
            <w:left w:w="0" w:type="dxa"/>
            <w:bottom w:w="0" w:type="dxa"/>
            <w:right w:w="0" w:type="dxa"/>
          </w:tblCellMar>
        </w:tblPrEx>
        <w:trPr>
          <w:trHeight w:val="602"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52BDB31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restart"/>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textDirection w:val="tbRlV"/>
            <w:vAlign w:val="center"/>
          </w:tcPr>
          <w:p w14:paraId="578D0F5E">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 障 内 容 及 标 准</w:t>
            </w:r>
          </w:p>
        </w:tc>
        <w:tc>
          <w:tcPr>
            <w:tcW w:w="1816" w:type="dxa"/>
            <w:vMerge w:val="restart"/>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5020DD60">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基础保险项目</w:t>
            </w: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BE1F64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1.意外身故保险金额：1.2万元/人</w:t>
            </w:r>
          </w:p>
        </w:tc>
      </w:tr>
      <w:tr w14:paraId="76364B04">
        <w:tblPrEx>
          <w:tblCellMar>
            <w:top w:w="0" w:type="dxa"/>
            <w:left w:w="0" w:type="dxa"/>
            <w:bottom w:w="0" w:type="dxa"/>
            <w:right w:w="0" w:type="dxa"/>
          </w:tblCellMar>
        </w:tblPrEx>
        <w:trPr>
          <w:trHeight w:val="526"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6D870E8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5CCAA8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E83CF3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right w:val="single" w:color="auto" w:sz="4" w:space="0"/>
            </w:tcBorders>
            <w:noWrap w:val="0"/>
            <w:tcMar>
              <w:top w:w="15" w:type="dxa"/>
              <w:left w:w="15" w:type="dxa"/>
              <w:right w:w="15" w:type="dxa"/>
            </w:tcMar>
            <w:vAlign w:val="center"/>
          </w:tcPr>
          <w:p w14:paraId="250B7893">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2.意外伤残保险金额：3+X 万元/人</w:t>
            </w:r>
          </w:p>
        </w:tc>
      </w:tr>
      <w:tr w14:paraId="19045D6F">
        <w:tblPrEx>
          <w:tblCellMar>
            <w:top w:w="0" w:type="dxa"/>
            <w:left w:w="0" w:type="dxa"/>
            <w:bottom w:w="0" w:type="dxa"/>
            <w:right w:w="0" w:type="dxa"/>
          </w:tblCellMar>
        </w:tblPrEx>
        <w:trPr>
          <w:trHeight w:val="719"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4956E63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CE7F5B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82C61F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FE8D3F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3.意外医疗保险金额6500元/人（医疗费用在经医保、农保报销后100%赔付）</w:t>
            </w:r>
          </w:p>
        </w:tc>
      </w:tr>
      <w:tr w14:paraId="3208E532">
        <w:tblPrEx>
          <w:tblCellMar>
            <w:top w:w="0" w:type="dxa"/>
            <w:left w:w="0" w:type="dxa"/>
            <w:bottom w:w="0" w:type="dxa"/>
            <w:right w:w="0" w:type="dxa"/>
          </w:tblCellMar>
        </w:tblPrEx>
        <w:trPr>
          <w:trHeight w:val="663"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6D1909B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07C0CC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AA4E1B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right w:val="single" w:color="auto" w:sz="4" w:space="0"/>
            </w:tcBorders>
            <w:noWrap w:val="0"/>
            <w:tcMar>
              <w:top w:w="15" w:type="dxa"/>
              <w:left w:w="15" w:type="dxa"/>
              <w:right w:w="15" w:type="dxa"/>
            </w:tcMar>
            <w:vAlign w:val="center"/>
          </w:tcPr>
          <w:p w14:paraId="1A583A43">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4.意外住院津贴30元/天/人（单次90天，累计给付天数180天)</w:t>
            </w:r>
          </w:p>
        </w:tc>
      </w:tr>
      <w:tr w14:paraId="5F1775BB">
        <w:tblPrEx>
          <w:tblCellMar>
            <w:top w:w="0" w:type="dxa"/>
            <w:left w:w="0" w:type="dxa"/>
            <w:bottom w:w="0" w:type="dxa"/>
            <w:right w:w="0" w:type="dxa"/>
          </w:tblCellMar>
        </w:tblPrEx>
        <w:trPr>
          <w:trHeight w:val="478"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33E9FA8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FF2AF8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restart"/>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C3B26B5">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可拓展的保险项目</w:t>
            </w:r>
          </w:p>
          <w:p w14:paraId="6DD2AA69">
            <w:pPr>
              <w:keepNext w:val="0"/>
              <w:keepLines w:val="0"/>
              <w:pageBreakBefore w:val="0"/>
              <w:widowControl w:val="0"/>
              <w:kinsoku/>
              <w:wordWrap/>
              <w:overflowPunct/>
              <w:topLinePunct w:val="0"/>
              <w:autoSpaceDE/>
              <w:autoSpaceDN/>
              <w:bidi w:val="0"/>
              <w:adjustRightInd w:val="0"/>
              <w:snapToGrid/>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（待中标结果确定保险项目）</w:t>
            </w: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A16A54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5.疾病身故保险金额</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000元</w:t>
            </w:r>
          </w:p>
        </w:tc>
      </w:tr>
      <w:tr w14:paraId="4E4AF6CB">
        <w:tblPrEx>
          <w:tblCellMar>
            <w:top w:w="0" w:type="dxa"/>
            <w:left w:w="0" w:type="dxa"/>
            <w:bottom w:w="0" w:type="dxa"/>
            <w:right w:w="0" w:type="dxa"/>
          </w:tblCellMar>
        </w:tblPrEx>
        <w:trPr>
          <w:trHeight w:val="441"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64B9E79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52D6BC8">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13E3F4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C61B8F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6.重大疾病保险金额15000元（罹患40种重大疾病定额给付，首次确诊）</w:t>
            </w:r>
          </w:p>
        </w:tc>
      </w:tr>
      <w:tr w14:paraId="586906CF">
        <w:tblPrEx>
          <w:tblCellMar>
            <w:top w:w="0" w:type="dxa"/>
            <w:left w:w="0" w:type="dxa"/>
            <w:bottom w:w="0" w:type="dxa"/>
            <w:right w:w="0" w:type="dxa"/>
          </w:tblCellMar>
        </w:tblPrEx>
        <w:trPr>
          <w:trHeight w:val="587"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301BD2EE">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BAC5A7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5997E2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171478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7.重大疾病住院津贴40元/天/人（单次90天，累计给付天数180天）</w:t>
            </w:r>
          </w:p>
        </w:tc>
      </w:tr>
      <w:tr w14:paraId="64AF82FB">
        <w:tblPrEx>
          <w:tblCellMar>
            <w:top w:w="0" w:type="dxa"/>
            <w:left w:w="0" w:type="dxa"/>
            <w:bottom w:w="0" w:type="dxa"/>
            <w:right w:w="0" w:type="dxa"/>
          </w:tblCellMar>
        </w:tblPrEx>
        <w:trPr>
          <w:trHeight w:val="371"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3536CB3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5E5BE7B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FEDD4B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right w:val="single" w:color="auto" w:sz="4" w:space="0"/>
            </w:tcBorders>
            <w:noWrap w:val="0"/>
            <w:tcMar>
              <w:top w:w="15" w:type="dxa"/>
              <w:left w:w="15" w:type="dxa"/>
              <w:right w:w="15" w:type="dxa"/>
            </w:tcMar>
            <w:vAlign w:val="center"/>
          </w:tcPr>
          <w:p w14:paraId="7B0773B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 重大疾病医疗补偿保险金额10000元（医疗费用在经医保、农保报销后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0%赔付）</w:t>
            </w:r>
            <w:r>
              <w:rPr>
                <w:rFonts w:hint="eastAsia" w:ascii="宋体" w:hAnsi="宋体" w:eastAsia="宋体" w:cs="宋体"/>
                <w:color w:val="auto"/>
                <w:sz w:val="24"/>
                <w:szCs w:val="24"/>
                <w:highlight w:val="none"/>
                <w:lang w:eastAsia="zh-CN"/>
              </w:rPr>
              <w:t>。</w:t>
            </w:r>
          </w:p>
        </w:tc>
      </w:tr>
      <w:tr w14:paraId="4DB1A3F9">
        <w:tblPrEx>
          <w:tblCellMar>
            <w:top w:w="0" w:type="dxa"/>
            <w:left w:w="0" w:type="dxa"/>
            <w:bottom w:w="0" w:type="dxa"/>
            <w:right w:w="0" w:type="dxa"/>
          </w:tblCellMar>
        </w:tblPrEx>
        <w:trPr>
          <w:trHeight w:val="810" w:hRule="atLeast"/>
          <w:jc w:val="center"/>
        </w:trPr>
        <w:tc>
          <w:tcPr>
            <w:tcW w:w="1500" w:type="dxa"/>
            <w:vMerge w:val="continue"/>
            <w:tcBorders>
              <w:top w:val="single" w:color="auto" w:sz="4" w:space="0"/>
              <w:left w:val="single" w:color="auto" w:sz="4" w:space="0"/>
              <w:right w:val="single" w:color="000000" w:sz="4" w:space="0"/>
            </w:tcBorders>
            <w:noWrap w:val="0"/>
            <w:tcMar>
              <w:top w:w="15" w:type="dxa"/>
              <w:left w:w="15" w:type="dxa"/>
              <w:right w:w="15" w:type="dxa"/>
            </w:tcMar>
            <w:vAlign w:val="center"/>
          </w:tcPr>
          <w:p w14:paraId="6EB4BFC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2531" w:type="dxa"/>
            <w:gridSpan w:val="2"/>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B94E12">
            <w:pPr>
              <w:keepNext w:val="0"/>
              <w:keepLines w:val="0"/>
              <w:pageBreakBefore w:val="0"/>
              <w:widowControl w:val="0"/>
              <w:kinsoku/>
              <w:wordWrap/>
              <w:overflowPunct/>
              <w:topLinePunct w:val="0"/>
              <w:autoSpaceDE/>
              <w:autoSpaceDN/>
              <w:bidi w:val="0"/>
              <w:adjustRightInd w:val="0"/>
              <w:snapToGrid/>
              <w:spacing w:line="480" w:lineRule="exact"/>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特别约定</w:t>
            </w: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B004313">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保险期内，被保险人遭受意外伤害事故，并因该事故致新的残疾，保险人按残疾等级对应的比例给付残疾保险金，或导致原残疾程度加重的，保险人按新评的残疾等级对应的给付比例给付残疾保险金。</w:t>
            </w:r>
          </w:p>
          <w:p w14:paraId="06D80F7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保险期内</w:t>
            </w:r>
            <w:r>
              <w:rPr>
                <w:rFonts w:hint="eastAsia" w:ascii="宋体" w:hAnsi="宋体" w:eastAsia="宋体" w:cs="宋体"/>
                <w:color w:val="auto"/>
                <w:sz w:val="24"/>
                <w:szCs w:val="24"/>
                <w:highlight w:val="none"/>
                <w:lang w:val="en-US" w:eastAsia="zh-CN"/>
              </w:rPr>
              <w:t>新增残疾人均纳入保险名单。</w:t>
            </w:r>
          </w:p>
        </w:tc>
      </w:tr>
      <w:tr w14:paraId="71E428A6">
        <w:tblPrEx>
          <w:tblCellMar>
            <w:top w:w="0" w:type="dxa"/>
            <w:left w:w="0" w:type="dxa"/>
            <w:bottom w:w="0" w:type="dxa"/>
            <w:right w:w="0" w:type="dxa"/>
          </w:tblCellMar>
        </w:tblPrEx>
        <w:trPr>
          <w:trHeight w:val="832" w:hRule="atLeast"/>
          <w:jc w:val="center"/>
        </w:trPr>
        <w:tc>
          <w:tcPr>
            <w:tcW w:w="1500" w:type="dxa"/>
            <w:vMerge w:val="continue"/>
            <w:tcBorders>
              <w:left w:val="single" w:color="auto" w:sz="4" w:space="0"/>
              <w:bottom w:val="single" w:color="auto" w:sz="4" w:space="0"/>
              <w:right w:val="single" w:color="000000" w:sz="4" w:space="0"/>
            </w:tcBorders>
            <w:noWrap w:val="0"/>
            <w:tcMar>
              <w:top w:w="15" w:type="dxa"/>
              <w:left w:w="15" w:type="dxa"/>
              <w:right w:w="15" w:type="dxa"/>
            </w:tcMar>
            <w:vAlign w:val="center"/>
          </w:tcPr>
          <w:p w14:paraId="79524D7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2531" w:type="dxa"/>
            <w:gridSpan w:val="2"/>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5DD2FF11">
            <w:pPr>
              <w:keepNext w:val="0"/>
              <w:keepLines w:val="0"/>
              <w:pageBreakBefore w:val="0"/>
              <w:widowControl w:val="0"/>
              <w:kinsoku/>
              <w:wordWrap/>
              <w:overflowPunct/>
              <w:topLinePunct w:val="0"/>
              <w:autoSpaceDE/>
              <w:autoSpaceDN/>
              <w:bidi w:val="0"/>
              <w:adjustRightInd w:val="0"/>
              <w:snapToGrid/>
              <w:spacing w:line="480" w:lineRule="exact"/>
              <w:ind w:firstLine="720" w:firstLineChars="3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保险费</w:t>
            </w:r>
          </w:p>
        </w:tc>
        <w:tc>
          <w:tcPr>
            <w:tcW w:w="5135"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4725DFF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RMB 40元/人/年</w:t>
            </w:r>
          </w:p>
        </w:tc>
      </w:tr>
    </w:tbl>
    <w:p w14:paraId="3A299F96">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六、结算及支付方法： </w:t>
      </w:r>
    </w:p>
    <w:p w14:paraId="72A35047">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（1）结算方式：按实结算，按照实际参保人数，进行核对和结算。 </w:t>
      </w:r>
    </w:p>
    <w:p w14:paraId="2037E5BF">
      <w:pPr>
        <w:spacing w:line="57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（2）付款方式：</w:t>
      </w:r>
      <w:r>
        <w:rPr>
          <w:rFonts w:hint="eastAsia" w:hAnsi="宋体" w:eastAsia="宋体" w:cs="宋体"/>
          <w:color w:val="auto"/>
          <w:sz w:val="24"/>
          <w:szCs w:val="24"/>
          <w:highlight w:val="none"/>
          <w:lang w:val="en-US" w:eastAsia="zh-CN"/>
        </w:rPr>
        <w:t>合同签订后，支付实际保费的30%作为预付款。</w:t>
      </w:r>
      <w:r>
        <w:rPr>
          <w:rFonts w:hint="eastAsia" w:hAnsi="宋体" w:eastAsia="宋体" w:cs="宋体"/>
          <w:color w:val="auto"/>
          <w:sz w:val="24"/>
          <w:szCs w:val="24"/>
          <w:highlight w:val="none"/>
        </w:rPr>
        <w:t>被保险人的保险费由甲方全额承担，</w:t>
      </w:r>
      <w:r>
        <w:rPr>
          <w:rFonts w:hint="eastAsia" w:hAnsi="宋体" w:eastAsia="宋体" w:cs="宋体"/>
          <w:color w:val="auto"/>
          <w:sz w:val="24"/>
          <w:szCs w:val="24"/>
          <w:highlight w:val="none"/>
          <w:lang w:eastAsia="zh-CN"/>
        </w:rPr>
        <w:t>在</w:t>
      </w:r>
      <w:r>
        <w:rPr>
          <w:rFonts w:hint="eastAsia" w:hAnsi="宋体" w:eastAsia="宋体" w:cs="宋体"/>
          <w:color w:val="auto"/>
          <w:sz w:val="24"/>
          <w:szCs w:val="24"/>
          <w:highlight w:val="none"/>
        </w:rPr>
        <w:t>本协议签署后</w:t>
      </w:r>
      <w:r>
        <w:rPr>
          <w:rFonts w:hint="eastAsia" w:hAnsi="宋体" w:eastAsia="宋体" w:cs="宋体"/>
          <w:color w:val="auto"/>
          <w:sz w:val="24"/>
          <w:szCs w:val="24"/>
          <w:highlight w:val="none"/>
          <w:lang w:val="en-US" w:eastAsia="zh-CN"/>
        </w:rPr>
        <w:t>6个月内，给付至本年度保险费的50%，本年度的合同履行结束后一个月，经甲方考核认可，且赔付率差额全部对接到位的情况下，结清剩余保险费。（如合同签订后，中标单位书面明确表示无需预付款或者主动要求降低预付款比例的，由双方另行商定）</w:t>
      </w:r>
    </w:p>
    <w:p w14:paraId="7C113148">
      <w:pPr>
        <w:pStyle w:val="33"/>
        <w:spacing w:beforeAutospacing="0" w:afterAutospacing="0" w:line="0" w:lineRule="atLeast"/>
        <w:ind w:firstLine="480"/>
        <w:jc w:val="both"/>
        <w:rPr>
          <w:rFonts w:hint="eastAsia" w:ascii="宋体" w:hAnsi="宋体" w:eastAsia="宋体" w:cs="宋体"/>
          <w:color w:val="auto"/>
          <w:highlight w:val="none"/>
        </w:rPr>
      </w:pPr>
    </w:p>
    <w:p w14:paraId="0D2D6B63">
      <w:pPr>
        <w:pStyle w:val="33"/>
        <w:spacing w:beforeAutospacing="0" w:afterAutospacing="0" w:line="0" w:lineRule="atLeast"/>
        <w:ind w:firstLine="480"/>
        <w:jc w:val="both"/>
        <w:rPr>
          <w:rFonts w:hint="eastAsia" w:ascii="宋体" w:hAnsi="宋体" w:eastAsia="宋体" w:cs="宋体"/>
          <w:color w:val="auto"/>
          <w:highlight w:val="none"/>
        </w:rPr>
      </w:pPr>
    </w:p>
    <w:p w14:paraId="3339F426">
      <w:pPr>
        <w:pStyle w:val="33"/>
        <w:spacing w:beforeAutospacing="0" w:afterAutospacing="0" w:line="0" w:lineRule="atLeast"/>
        <w:ind w:firstLine="480"/>
        <w:jc w:val="both"/>
        <w:rPr>
          <w:rFonts w:hint="eastAsia" w:ascii="宋体" w:hAnsi="宋体" w:eastAsia="宋体" w:cs="宋体"/>
          <w:color w:val="auto"/>
          <w:highlight w:val="none"/>
        </w:rPr>
      </w:pPr>
    </w:p>
    <w:p w14:paraId="19345955">
      <w:pPr>
        <w:pStyle w:val="33"/>
        <w:spacing w:beforeAutospacing="0" w:afterAutospacing="0" w:line="0" w:lineRule="atLeast"/>
        <w:ind w:firstLine="480"/>
        <w:jc w:val="both"/>
        <w:rPr>
          <w:rFonts w:hint="eastAsia" w:ascii="宋体" w:hAnsi="宋体" w:eastAsia="宋体" w:cs="宋体"/>
          <w:color w:val="auto"/>
          <w:highlight w:val="none"/>
        </w:rPr>
      </w:pPr>
    </w:p>
    <w:p w14:paraId="7BC168C1">
      <w:pPr>
        <w:pStyle w:val="33"/>
        <w:spacing w:beforeAutospacing="0" w:afterAutospacing="0" w:line="0" w:lineRule="atLeast"/>
        <w:ind w:firstLine="480"/>
        <w:jc w:val="both"/>
        <w:rPr>
          <w:rFonts w:hint="eastAsia" w:ascii="宋体" w:hAnsi="宋体" w:eastAsia="宋体" w:cs="宋体"/>
          <w:color w:val="auto"/>
          <w:highlight w:val="none"/>
        </w:rPr>
      </w:pPr>
    </w:p>
    <w:p w14:paraId="53FFD557">
      <w:pPr>
        <w:pStyle w:val="33"/>
        <w:spacing w:beforeAutospacing="0" w:afterAutospacing="0" w:line="0" w:lineRule="atLeast"/>
        <w:ind w:firstLine="480"/>
        <w:jc w:val="both"/>
        <w:rPr>
          <w:rFonts w:hint="eastAsia" w:ascii="宋体" w:hAnsi="宋体" w:eastAsia="宋体" w:cs="宋体"/>
          <w:color w:val="auto"/>
          <w:highlight w:val="none"/>
        </w:rPr>
      </w:pPr>
    </w:p>
    <w:p w14:paraId="477692C0">
      <w:pPr>
        <w:pStyle w:val="33"/>
        <w:spacing w:beforeAutospacing="0" w:afterAutospacing="0" w:line="0" w:lineRule="atLeast"/>
        <w:ind w:firstLine="480"/>
        <w:jc w:val="both"/>
        <w:rPr>
          <w:rFonts w:hint="eastAsia" w:ascii="宋体" w:hAnsi="宋体" w:eastAsia="宋体" w:cs="宋体"/>
          <w:color w:val="auto"/>
          <w:highlight w:val="none"/>
        </w:rPr>
      </w:pPr>
    </w:p>
    <w:p w14:paraId="15DB935B">
      <w:pPr>
        <w:pStyle w:val="33"/>
        <w:spacing w:beforeAutospacing="0" w:afterAutospacing="0" w:line="0" w:lineRule="atLeast"/>
        <w:ind w:firstLine="480"/>
        <w:jc w:val="both"/>
        <w:rPr>
          <w:rFonts w:hint="eastAsia" w:ascii="宋体" w:hAnsi="宋体" w:eastAsia="宋体" w:cs="宋体"/>
          <w:color w:val="auto"/>
          <w:highlight w:val="none"/>
        </w:rPr>
      </w:pPr>
    </w:p>
    <w:p w14:paraId="28911A95">
      <w:pPr>
        <w:pStyle w:val="33"/>
        <w:spacing w:beforeAutospacing="0" w:afterAutospacing="0" w:line="0" w:lineRule="atLeast"/>
        <w:ind w:firstLine="480"/>
        <w:jc w:val="both"/>
        <w:rPr>
          <w:rFonts w:hint="eastAsia" w:ascii="宋体" w:hAnsi="宋体" w:eastAsia="宋体" w:cs="宋体"/>
          <w:color w:val="auto"/>
          <w:highlight w:val="none"/>
        </w:rPr>
      </w:pPr>
    </w:p>
    <w:p w14:paraId="090E9988">
      <w:pPr>
        <w:pStyle w:val="33"/>
        <w:spacing w:beforeAutospacing="0" w:afterAutospacing="0" w:line="0" w:lineRule="atLeast"/>
        <w:ind w:firstLine="480"/>
        <w:jc w:val="both"/>
        <w:rPr>
          <w:rFonts w:hint="eastAsia" w:ascii="宋体" w:hAnsi="宋体" w:eastAsia="宋体" w:cs="宋体"/>
          <w:color w:val="auto"/>
          <w:highlight w:val="none"/>
        </w:rPr>
      </w:pPr>
    </w:p>
    <w:p w14:paraId="39D3C594">
      <w:pPr>
        <w:pStyle w:val="33"/>
        <w:spacing w:beforeAutospacing="0" w:afterAutospacing="0" w:line="0" w:lineRule="atLeast"/>
        <w:ind w:firstLine="480"/>
        <w:jc w:val="both"/>
        <w:rPr>
          <w:rFonts w:hint="eastAsia" w:ascii="宋体" w:hAnsi="宋体" w:eastAsia="宋体" w:cs="宋体"/>
          <w:color w:val="auto"/>
          <w:highlight w:val="none"/>
        </w:rPr>
      </w:pPr>
    </w:p>
    <w:p w14:paraId="748F3BE0">
      <w:pPr>
        <w:pStyle w:val="33"/>
        <w:spacing w:beforeAutospacing="0" w:afterAutospacing="0" w:line="0" w:lineRule="atLeast"/>
        <w:ind w:firstLine="480"/>
        <w:jc w:val="both"/>
        <w:rPr>
          <w:rFonts w:hint="eastAsia" w:ascii="宋体" w:hAnsi="宋体" w:eastAsia="宋体" w:cs="宋体"/>
          <w:color w:val="auto"/>
          <w:highlight w:val="none"/>
        </w:rPr>
      </w:pPr>
    </w:p>
    <w:p w14:paraId="6921C587">
      <w:pPr>
        <w:pStyle w:val="33"/>
        <w:spacing w:beforeAutospacing="0" w:afterAutospacing="0" w:line="0" w:lineRule="atLeast"/>
        <w:ind w:firstLine="480"/>
        <w:jc w:val="both"/>
        <w:rPr>
          <w:rFonts w:hint="eastAsia" w:ascii="宋体" w:hAnsi="宋体" w:eastAsia="宋体" w:cs="宋体"/>
          <w:color w:val="auto"/>
          <w:highlight w:val="none"/>
        </w:rPr>
      </w:pPr>
    </w:p>
    <w:p w14:paraId="0DC72C4A">
      <w:pPr>
        <w:pStyle w:val="33"/>
        <w:spacing w:beforeAutospacing="0" w:afterAutospacing="0" w:line="0" w:lineRule="atLeast"/>
        <w:ind w:firstLine="480"/>
        <w:jc w:val="both"/>
        <w:rPr>
          <w:rFonts w:hint="eastAsia" w:ascii="宋体" w:hAnsi="宋体" w:eastAsia="宋体" w:cs="宋体"/>
          <w:color w:val="auto"/>
          <w:highlight w:val="none"/>
        </w:rPr>
      </w:pPr>
    </w:p>
    <w:p w14:paraId="16B0650D">
      <w:pPr>
        <w:pStyle w:val="33"/>
        <w:spacing w:beforeAutospacing="0" w:afterAutospacing="0"/>
        <w:jc w:val="center"/>
        <w:outlineLvl w:val="0"/>
        <w:rPr>
          <w:rFonts w:hint="eastAsia" w:ascii="宋体" w:hAnsi="宋体" w:eastAsia="宋体" w:cs="宋体"/>
          <w:b/>
          <w:color w:val="auto"/>
          <w:sz w:val="44"/>
          <w:szCs w:val="44"/>
          <w:highlight w:val="none"/>
        </w:rPr>
      </w:pPr>
      <w:bookmarkStart w:id="239" w:name="_Toc8460"/>
      <w:bookmarkStart w:id="240" w:name="_Toc120614281"/>
      <w:r>
        <w:rPr>
          <w:rFonts w:hint="eastAsia" w:ascii="宋体" w:hAnsi="宋体" w:eastAsia="宋体" w:cs="宋体"/>
          <w:b/>
          <w:color w:val="auto"/>
          <w:sz w:val="44"/>
          <w:szCs w:val="44"/>
          <w:highlight w:val="none"/>
        </w:rPr>
        <w:t>第五章  评审方法与评审标准</w:t>
      </w:r>
      <w:bookmarkEnd w:id="239"/>
      <w:bookmarkEnd w:id="240"/>
    </w:p>
    <w:p w14:paraId="485C0B79">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160BC5D">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一、评标方法与定标原则</w:t>
      </w:r>
    </w:p>
    <w:p w14:paraId="1B6C2939">
      <w:pPr>
        <w:spacing w:line="360" w:lineRule="auto"/>
        <w:ind w:firstLine="480"/>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0"/>
          <w:highlight w:val="none"/>
        </w:rPr>
        <w:t>经磋商确定最终采购需求和提交最后报价的供应商后，由磋商小组采用综合评分法对提交最后报价的供应商的响应文件和最后报价进行综合评分。</w:t>
      </w:r>
    </w:p>
    <w:p w14:paraId="77E0E9B6">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24"/>
          <w:highlight w:val="none"/>
        </w:rPr>
        <w:t xml:space="preserve">    本次采购采用综合评分法。评标结果按评审后得分由高到低顺序排列。得分相同的，按投标报价由低到高顺序排列。得分和投标报价均相同的并列。投标文件满足磋商文件全部实质性要求，且按照评审因素的量化指标评审得分最高的投标人为排名第一的中标候选供应商。本项目</w:t>
      </w:r>
      <w:r>
        <w:rPr>
          <w:rFonts w:hint="eastAsia" w:ascii="宋体" w:hAnsi="宋体" w:eastAsia="宋体" w:cs="宋体"/>
          <w:i w:val="0"/>
          <w:iCs w:val="0"/>
          <w:color w:val="auto"/>
          <w:sz w:val="24"/>
          <w:highlight w:val="none"/>
          <w:lang w:val="en-US" w:eastAsia="zh-CN"/>
        </w:rPr>
        <w:t>采购包1和采购包2分别</w:t>
      </w:r>
      <w:r>
        <w:rPr>
          <w:rFonts w:hint="eastAsia" w:ascii="宋体" w:hAnsi="宋体" w:eastAsia="宋体" w:cs="宋体"/>
          <w:i w:val="0"/>
          <w:iCs w:val="0"/>
          <w:color w:val="auto"/>
          <w:sz w:val="24"/>
          <w:highlight w:val="none"/>
        </w:rPr>
        <w:t>选取1家中标候选人。</w:t>
      </w:r>
    </w:p>
    <w:p w14:paraId="47BDE7A4">
      <w:pPr>
        <w:spacing w:line="480" w:lineRule="exact"/>
        <w:ind w:firstLine="480"/>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排名第一的中标候选</w:t>
      </w:r>
      <w:r>
        <w:rPr>
          <w:rFonts w:hint="eastAsia" w:ascii="宋体" w:hAnsi="宋体" w:eastAsia="宋体" w:cs="宋体"/>
          <w:bCs/>
          <w:i w:val="0"/>
          <w:iCs w:val="0"/>
          <w:color w:val="auto"/>
          <w:sz w:val="24"/>
          <w:szCs w:val="24"/>
          <w:highlight w:val="none"/>
          <w:lang w:val="en-US" w:eastAsia="zh-CN"/>
        </w:rPr>
        <w:t>供应商</w:t>
      </w:r>
      <w:r>
        <w:rPr>
          <w:rFonts w:hint="eastAsia" w:ascii="宋体" w:hAnsi="宋体" w:eastAsia="宋体" w:cs="宋体"/>
          <w:bCs/>
          <w:i w:val="0"/>
          <w:iCs w:val="0"/>
          <w:color w:val="auto"/>
          <w:sz w:val="24"/>
          <w:szCs w:val="24"/>
          <w:highlight w:val="none"/>
        </w:rPr>
        <w:t>放弃中标，或因不可抗力提出不能履行合同，或者被查实存在影响中标结果的违法行为等情形，不符合中标条件的，采购人根据实际情况在第一中标候选</w:t>
      </w:r>
      <w:r>
        <w:rPr>
          <w:rFonts w:hint="eastAsia" w:ascii="宋体" w:hAnsi="宋体" w:eastAsia="宋体" w:cs="宋体"/>
          <w:bCs/>
          <w:i w:val="0"/>
          <w:iCs w:val="0"/>
          <w:color w:val="auto"/>
          <w:sz w:val="24"/>
          <w:szCs w:val="24"/>
          <w:highlight w:val="none"/>
          <w:lang w:val="en-US" w:eastAsia="zh-CN"/>
        </w:rPr>
        <w:t>供应商</w:t>
      </w:r>
      <w:r>
        <w:rPr>
          <w:rFonts w:hint="eastAsia" w:ascii="宋体" w:hAnsi="宋体" w:eastAsia="宋体" w:cs="宋体"/>
          <w:bCs/>
          <w:i w:val="0"/>
          <w:iCs w:val="0"/>
          <w:color w:val="auto"/>
          <w:sz w:val="24"/>
          <w:szCs w:val="24"/>
          <w:highlight w:val="none"/>
        </w:rPr>
        <w:t>被取消中标资格后，有权决定依推荐顺序或重新招标。</w:t>
      </w:r>
    </w:p>
    <w:p w14:paraId="784E373D">
      <w:pPr>
        <w:spacing w:line="480" w:lineRule="exact"/>
        <w:ind w:firstLine="480"/>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采用综合评分法的，最低报价及任何单项因素的最优均不作为中标的必要条件。</w:t>
      </w:r>
    </w:p>
    <w:p w14:paraId="7CA2C54C">
      <w:pPr>
        <w:spacing w:line="480" w:lineRule="exact"/>
        <w:ind w:firstLine="480"/>
        <w:rPr>
          <w:rFonts w:hint="eastAsia" w:ascii="宋体" w:hAnsi="宋体" w:eastAsia="宋体" w:cs="宋体"/>
          <w:b/>
          <w:i w:val="0"/>
          <w:iCs w:val="0"/>
          <w:color w:val="auto"/>
          <w:highlight w:val="none"/>
          <w:lang w:val="en-US" w:eastAsia="zh-CN"/>
        </w:rPr>
      </w:pPr>
      <w:r>
        <w:rPr>
          <w:rFonts w:hint="eastAsia" w:ascii="宋体" w:hAnsi="宋体" w:eastAsia="宋体" w:cs="宋体"/>
          <w:bCs/>
          <w:i w:val="0"/>
          <w:iCs w:val="0"/>
          <w:color w:val="auto"/>
          <w:sz w:val="24"/>
          <w:szCs w:val="24"/>
          <w:highlight w:val="none"/>
        </w:rPr>
        <w:t>各供应商应当以合理的报价参加竞争。</w:t>
      </w:r>
      <w:r>
        <w:rPr>
          <w:rFonts w:hint="eastAsia" w:ascii="宋体" w:hAnsi="宋体" w:eastAsia="宋体" w:cs="宋体"/>
          <w:bCs/>
          <w:i w:val="0"/>
          <w:iCs w:val="0"/>
          <w:color w:val="auto"/>
          <w:sz w:val="24"/>
          <w:szCs w:val="24"/>
          <w:highlight w:val="none"/>
          <w:lang w:eastAsia="zh-CN"/>
        </w:rPr>
        <w:t>磋商小组</w:t>
      </w:r>
      <w:r>
        <w:rPr>
          <w:rFonts w:hint="eastAsia" w:ascii="宋体" w:hAnsi="宋体" w:eastAsia="宋体" w:cs="宋体"/>
          <w:bCs/>
          <w:i w:val="0"/>
          <w:iCs w:val="0"/>
          <w:color w:val="auto"/>
          <w:sz w:val="24"/>
          <w:szCs w:val="24"/>
          <w:highlight w:val="none"/>
        </w:rPr>
        <w:t>认为供应商的报价明显低于其他通过符合性审查供应商的报价，有可能影响产品质量或者不能诚信履约的，</w:t>
      </w:r>
      <w:r>
        <w:rPr>
          <w:rFonts w:hint="eastAsia" w:ascii="宋体" w:hAnsi="宋体" w:eastAsia="宋体" w:cs="宋体"/>
          <w:bCs/>
          <w:i w:val="0"/>
          <w:iCs w:val="0"/>
          <w:color w:val="auto"/>
          <w:sz w:val="24"/>
          <w:szCs w:val="24"/>
          <w:highlight w:val="none"/>
          <w:lang w:eastAsia="zh-CN"/>
        </w:rPr>
        <w:t>磋商小组</w:t>
      </w:r>
      <w:r>
        <w:rPr>
          <w:rFonts w:hint="eastAsia" w:ascii="宋体" w:hAnsi="宋体" w:eastAsia="宋体" w:cs="宋体"/>
          <w:bCs/>
          <w:i w:val="0"/>
          <w:iCs w:val="0"/>
          <w:color w:val="auto"/>
          <w:sz w:val="24"/>
          <w:szCs w:val="24"/>
          <w:highlight w:val="none"/>
        </w:rPr>
        <w:t>有权要求该供应商在接到通知半小时内向</w:t>
      </w:r>
      <w:r>
        <w:rPr>
          <w:rFonts w:hint="eastAsia" w:ascii="宋体" w:hAnsi="宋体" w:eastAsia="宋体" w:cs="宋体"/>
          <w:bCs/>
          <w:i w:val="0"/>
          <w:iCs w:val="0"/>
          <w:color w:val="auto"/>
          <w:sz w:val="24"/>
          <w:szCs w:val="24"/>
          <w:highlight w:val="none"/>
          <w:lang w:eastAsia="zh-CN"/>
        </w:rPr>
        <w:t>磋商小组</w:t>
      </w:r>
      <w:r>
        <w:rPr>
          <w:rFonts w:hint="eastAsia" w:ascii="宋体" w:hAnsi="宋体" w:eastAsia="宋体" w:cs="宋体"/>
          <w:bCs/>
          <w:i w:val="0"/>
          <w:iCs w:val="0"/>
          <w:color w:val="auto"/>
          <w:sz w:val="24"/>
          <w:szCs w:val="24"/>
          <w:highlight w:val="none"/>
        </w:rPr>
        <w:t>提供书面说明及相关证明材料原件加盖公章的扫描件；供应商不能证明（未能及时证明）其报价合理性的，</w:t>
      </w:r>
      <w:r>
        <w:rPr>
          <w:rFonts w:hint="eastAsia" w:ascii="宋体" w:hAnsi="宋体" w:eastAsia="宋体" w:cs="宋体"/>
          <w:bCs/>
          <w:i w:val="0"/>
          <w:iCs w:val="0"/>
          <w:color w:val="auto"/>
          <w:sz w:val="24"/>
          <w:szCs w:val="24"/>
          <w:highlight w:val="none"/>
          <w:lang w:eastAsia="zh-CN"/>
        </w:rPr>
        <w:t>磋商小组</w:t>
      </w:r>
      <w:r>
        <w:rPr>
          <w:rFonts w:hint="eastAsia" w:ascii="宋体" w:hAnsi="宋体" w:eastAsia="宋体" w:cs="宋体"/>
          <w:bCs/>
          <w:i w:val="0"/>
          <w:iCs w:val="0"/>
          <w:color w:val="auto"/>
          <w:sz w:val="24"/>
          <w:szCs w:val="24"/>
          <w:highlight w:val="none"/>
        </w:rPr>
        <w:t>有权视为“报价明显不合理或者低于成本，有可能影响商品质量和不能诚信履约的（本采购文件约定条款）”，将其作为无效投标（报价）处理。</w:t>
      </w:r>
    </w:p>
    <w:p w14:paraId="588E5DDF">
      <w:pPr>
        <w:pStyle w:val="33"/>
        <w:spacing w:before="120" w:beforeAutospacing="0" w:after="120" w:afterAutospacing="0" w:line="360" w:lineRule="auto"/>
        <w:ind w:firstLine="441"/>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二、</w:t>
      </w:r>
      <w:r>
        <w:rPr>
          <w:rFonts w:hint="eastAsia" w:ascii="宋体" w:hAnsi="宋体" w:eastAsia="宋体" w:cs="宋体"/>
          <w:b/>
          <w:color w:val="auto"/>
          <w:highlight w:val="none"/>
        </w:rPr>
        <w:t>政府采购政策功能落实</w:t>
      </w:r>
    </w:p>
    <w:p w14:paraId="0D75A8F9">
      <w:pPr>
        <w:pStyle w:val="203"/>
        <w:numPr>
          <w:ilvl w:val="0"/>
          <w:numId w:val="6"/>
        </w:numPr>
        <w:spacing w:line="50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小微型企业价格扣除</w:t>
      </w:r>
    </w:p>
    <w:p w14:paraId="782AD1AA">
      <w:pPr>
        <w:pStyle w:val="203"/>
        <w:numPr>
          <w:ilvl w:val="0"/>
          <w:numId w:val="7"/>
        </w:numPr>
        <w:spacing w:line="50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本项目对小型和微型企业</w:t>
      </w:r>
      <w:r>
        <w:rPr>
          <w:rFonts w:hint="eastAsia" w:ascii="新宋体" w:hAnsi="新宋体" w:eastAsia="新宋体" w:cs="新宋体"/>
          <w:b w:val="0"/>
          <w:bCs/>
          <w:color w:val="auto"/>
          <w:sz w:val="24"/>
          <w:szCs w:val="24"/>
          <w:highlight w:val="none"/>
        </w:rPr>
        <w:t>最后</w:t>
      </w:r>
      <w:r>
        <w:rPr>
          <w:rFonts w:hint="eastAsia" w:ascii="新宋体" w:hAnsi="新宋体" w:eastAsia="新宋体" w:cs="新宋体"/>
          <w:b w:val="0"/>
          <w:bCs/>
          <w:color w:val="auto"/>
          <w:sz w:val="24"/>
          <w:szCs w:val="24"/>
          <w:highlight w:val="none"/>
          <w:lang w:val="en-US" w:eastAsia="zh-CN"/>
        </w:rPr>
        <w:t>报价</w:t>
      </w:r>
      <w:r>
        <w:rPr>
          <w:rFonts w:hint="eastAsia" w:ascii="宋体" w:hAnsi="宋体" w:eastAsia="宋体" w:cs="宋体"/>
          <w:color w:val="auto"/>
          <w:sz w:val="24"/>
          <w:szCs w:val="24"/>
          <w:highlight w:val="none"/>
        </w:rPr>
        <w:t>给予20%的价格扣除，用扣除后的价格参与评审。</w:t>
      </w:r>
    </w:p>
    <w:p w14:paraId="3033D190">
      <w:pPr>
        <w:pStyle w:val="203"/>
        <w:spacing w:line="50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（2）供应商需按照采购文件的要求提供相应的《小微企业声明函》。</w:t>
      </w:r>
    </w:p>
    <w:p w14:paraId="6581657C">
      <w:pPr>
        <w:pStyle w:val="203"/>
        <w:spacing w:line="50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7455B0EA">
      <w:pPr>
        <w:pStyle w:val="203"/>
        <w:spacing w:line="500" w:lineRule="exact"/>
        <w:ind w:firstLine="480"/>
        <w:rPr>
          <w:rFonts w:ascii="宋体" w:hAnsi="宋体" w:eastAsia="宋体" w:cs="宋体"/>
          <w:b/>
          <w:bCs/>
          <w:color w:val="auto"/>
          <w:sz w:val="24"/>
          <w:highlight w:val="none"/>
        </w:rPr>
      </w:pPr>
      <w:r>
        <w:rPr>
          <w:rFonts w:hint="eastAsia" w:ascii="宋体" w:hAnsi="宋体" w:eastAsia="宋体" w:cs="宋体"/>
          <w:b/>
          <w:bCs/>
          <w:color w:val="auto"/>
          <w:sz w:val="24"/>
          <w:highlight w:val="none"/>
        </w:rPr>
        <w:t>2、残疾人福利单位</w:t>
      </w:r>
    </w:p>
    <w:p w14:paraId="6A089B63">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（1）本项目对残疾人福利性单位视同小型、微型企业。</w:t>
      </w:r>
    </w:p>
    <w:p w14:paraId="0CD7D1D6">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（2）残疾人福利单位需按照采购文件的要求提供《残疾人福利性单位声明函》。</w:t>
      </w:r>
    </w:p>
    <w:p w14:paraId="6ED94F04">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（3）残疾人福利单位标准请参照《关于促进残疾人就业政府采购政策的通知》（财库〔2017〕141号）。</w:t>
      </w:r>
    </w:p>
    <w:p w14:paraId="5D07079C">
      <w:pPr>
        <w:pStyle w:val="203"/>
        <w:spacing w:line="500" w:lineRule="exact"/>
        <w:ind w:firstLine="480"/>
        <w:rPr>
          <w:rFonts w:ascii="宋体" w:hAnsi="宋体" w:eastAsia="宋体" w:cs="宋体"/>
          <w:b/>
          <w:bCs/>
          <w:color w:val="auto"/>
          <w:sz w:val="24"/>
          <w:highlight w:val="none"/>
        </w:rPr>
      </w:pPr>
      <w:r>
        <w:rPr>
          <w:rFonts w:hint="eastAsia" w:ascii="宋体" w:hAnsi="宋体" w:eastAsia="宋体" w:cs="宋体"/>
          <w:b/>
          <w:bCs/>
          <w:color w:val="auto"/>
          <w:sz w:val="24"/>
          <w:highlight w:val="none"/>
        </w:rPr>
        <w:t>3、监狱和戒毒企业</w:t>
      </w:r>
    </w:p>
    <w:p w14:paraId="4E09D5B2">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（1）本项目对监狱和戒毒企业（简称监狱企业）视同小型、微型企业。</w:t>
      </w:r>
    </w:p>
    <w:p w14:paraId="009D0534">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F12716C">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（3）监狱企业标准请参照《关于政府采购支持监狱企业发展有关问题的通知》（财库[2014]68号）。</w:t>
      </w:r>
    </w:p>
    <w:p w14:paraId="620BF965">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4、残疾人福利单位、监狱企业属于小型、微型企业的，不重复享受政策。</w:t>
      </w:r>
    </w:p>
    <w:p w14:paraId="4E93FBAC">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659D8F6">
      <w:pPr>
        <w:pStyle w:val="203"/>
        <w:spacing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6、供应商对于投标产品的商品包装、快递包装应按照“财办库〔2020〕123号《关于印发《商品包装政府采购需求标准（试行）》、《快递包装政府采购需求标准（试行）》的通知》”执行。</w:t>
      </w:r>
    </w:p>
    <w:p w14:paraId="63E17BE2">
      <w:pPr>
        <w:pStyle w:val="203"/>
        <w:spacing w:line="500" w:lineRule="exact"/>
        <w:ind w:firstLine="480"/>
        <w:rPr>
          <w:rFonts w:hint="eastAsia" w:ascii="宋体" w:hAnsi="宋体" w:cs="宋体"/>
          <w:b/>
          <w:bCs/>
          <w:color w:val="auto"/>
          <w:sz w:val="24"/>
          <w:highlight w:val="none"/>
          <w:lang w:val="en-US" w:eastAsia="zh-CN"/>
        </w:rPr>
      </w:pPr>
      <w:r>
        <w:rPr>
          <w:rFonts w:hint="eastAsia" w:ascii="宋体" w:hAnsi="宋体" w:eastAsia="宋体" w:cs="宋体"/>
          <w:color w:val="auto"/>
          <w:sz w:val="24"/>
          <w:highlight w:val="none"/>
        </w:rPr>
        <w:t>7、本文件中若涉及到数据中心采购，应按照《&lt;绿色数据中心政府采购需求标准（试行）&gt;的通知》（财库〔2023〕7号）执行。</w:t>
      </w:r>
    </w:p>
    <w:p w14:paraId="6D4BA14C">
      <w:pPr>
        <w:tabs>
          <w:tab w:val="left" w:pos="900"/>
        </w:tabs>
        <w:spacing w:line="450" w:lineRule="exact"/>
        <w:rPr>
          <w:rFonts w:hint="eastAsia" w:ascii="宋体" w:hAnsi="宋体" w:cs="宋体"/>
          <w:b/>
          <w:bCs/>
          <w:color w:val="auto"/>
          <w:sz w:val="24"/>
          <w:highlight w:val="none"/>
          <w:lang w:val="en-US" w:eastAsia="zh-CN"/>
        </w:rPr>
      </w:pPr>
    </w:p>
    <w:p w14:paraId="5D7DA9A6">
      <w:pPr>
        <w:tabs>
          <w:tab w:val="left" w:pos="900"/>
        </w:tabs>
        <w:spacing w:line="450" w:lineRule="exact"/>
        <w:ind w:firstLine="477"/>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、评标标准</w:t>
      </w:r>
    </w:p>
    <w:p w14:paraId="74F9ED7A">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shd w:val="clear" w:color="auto" w:fill="FFFFFF"/>
          <w:lang w:val="en-US" w:eastAsia="zh-CN"/>
        </w:rPr>
        <w:t>采购包1、采购包2</w:t>
      </w:r>
    </w:p>
    <w:p w14:paraId="64A88648">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37"/>
        <w:tblW w:w="954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0"/>
        <w:gridCol w:w="1020"/>
        <w:gridCol w:w="7508"/>
      </w:tblGrid>
      <w:tr w14:paraId="48376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4EE3">
            <w:pPr>
              <w:keepNext w:val="0"/>
              <w:keepLines w:val="0"/>
              <w:widowControl/>
              <w:suppressLineNumbers w:val="0"/>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项目</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C080">
            <w:pPr>
              <w:keepNext w:val="0"/>
              <w:keepLines w:val="0"/>
              <w:widowControl/>
              <w:suppressLineNumbers w:val="0"/>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分值</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8710B">
            <w:pPr>
              <w:keepNext w:val="0"/>
              <w:keepLines w:val="0"/>
              <w:widowControl/>
              <w:suppressLineNumbers w:val="0"/>
              <w:spacing w:line="360"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评分依据</w:t>
            </w:r>
          </w:p>
        </w:tc>
      </w:tr>
      <w:tr w14:paraId="3427F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7"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0867">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赔付率</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8E85">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43C4">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本项目定额赔付比例：残疾人意外伤害保险年赔付率拟不低于70%。</w:t>
            </w:r>
          </w:p>
          <w:p w14:paraId="0CD5B88D">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若供应商承诺本项目残疾人意外伤害保险年赔付率每高于定额赔付比例70%一个百分点（即1%）即得2分。                                                                 计算方法：若供应商承诺本项目残疾人意外伤害保险年赔付率为X%，得分=（X-70）×2（不足1%按线性插入法计算）本项最高得30分。</w:t>
            </w:r>
          </w:p>
          <w:p w14:paraId="38AAE966">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注：实际赔付率与供应商承诺本项目残疾人意外伤害保险年赔付率之间的差额部分由承保公司打入残联指定财政账号。</w:t>
            </w:r>
          </w:p>
        </w:tc>
      </w:tr>
      <w:tr w14:paraId="28881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5B54">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意外伤残项目</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EABC">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8479">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意外伤残基础保险金额为每人3万元，供应商保额每提高2000元加1分，累计加分不超过5分，未提高保额的此项不得分。</w:t>
            </w:r>
          </w:p>
        </w:tc>
      </w:tr>
      <w:tr w14:paraId="5618A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E94E">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可拓展的项目</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50498">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9ABC">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1、响应疾病身故保险得1分；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2、响应重大疾病保险金得2分；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3、响应重大疾病住院补贴金得1分；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4、响应重大疾病医疗补偿得2分；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（投标公司根据自身情况，对4个拓展保险项目进行选择性承保，本项目最高得6分。未选择保险项目的该项不得分。）</w:t>
            </w:r>
          </w:p>
        </w:tc>
      </w:tr>
      <w:tr w14:paraId="62BCC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4C4F">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预付赔款</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3C96B">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F112">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被保险人发生意外伤害伤残事故后，在事实清楚的情况下，保险人迅速启用理赔绿色通道，积极实施预付赔款服务。事故发生后2个工作日内，承诺预付50%赔款的得2分，承诺预付60%赔款的得3分，承诺预付70%的得5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（供应商投标时提供格式自拟的理赔承诺函加盖供应商公章，未提供理赔承诺函的不得分。）</w:t>
            </w:r>
          </w:p>
        </w:tc>
      </w:tr>
      <w:tr w14:paraId="470D2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8077">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单个案件赔案时效</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9331">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4E0DB">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1、赔款人民币3000元以下，1天内结案得2分，每增加1天扣1分，扣完为止。                                                                                  2、赔款人民币3000-10000元之间的，3天内结案的得2分，每增加1天扣1分，扣完为止。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3、赔款人民币10000元-20000元之间的，5天内结案的得2分，每增加1天扣1分，扣完为止。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4、赔款人民币20000元以上的，10天内结案的得2分，每增加1天扣1分，扣完为止。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（供应商投标时提供格式自拟的赔案时效承诺函加盖供应商公章，未提供赔案时效承诺函的不得分。）</w:t>
            </w:r>
          </w:p>
        </w:tc>
      </w:tr>
      <w:tr w14:paraId="50E96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AA6A8">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理赔承诺</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9EB4">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9FB40">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1、承诺为因出行不便导致无法办理理赔手续的残疾人提供上门服务，协助其理赔，承诺的得1分。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2、被保险人发生意外伤残事故，涉及第三方的，保险人不得以追偿权为由，影响足额快速赔付，承诺的得1分。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3、因本项目被保险人为特殊对象，故在发生保险事故后，保险人不得以执行商业保险条款为由，对各项保险责任设置免赔额、免赔率、免赔天数、等待期，承诺的得1分。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（供应商投标时提供格式自拟的理赔承诺函加盖供应商公章，未提供以上承诺函的不得分。）</w:t>
            </w:r>
          </w:p>
        </w:tc>
      </w:tr>
      <w:tr w14:paraId="30721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1"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65CB9">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公司机构落地便民服务能力</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7D50">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6A39">
            <w:pPr>
              <w:keepNext w:val="0"/>
              <w:keepLines w:val="0"/>
              <w:widowControl/>
              <w:suppressLineNumbers w:val="0"/>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为有利于项目的落地便民服务，以及项目的宣传、承保、理赔等，保险公司接到报案后需在30分钟内指派保险服务专员服务被保险人。有明确且稳定的保险服务专员1人加1分，最高8分。</w:t>
            </w:r>
          </w:p>
          <w:p w14:paraId="130AC257">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（供应商投标时提供包括保险服务专员的基本信息（包括姓名、身份证号、联系方式等，合同期内未经甲方同意不得更换）在内的承诺函，承诺函格式自拟并加盖供应商公章，未提供诺函的不得分。）</w:t>
            </w:r>
          </w:p>
        </w:tc>
      </w:tr>
      <w:tr w14:paraId="4055A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50A33">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综合偿付能力充足率</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FF81">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5A40">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150%以上得4分，100%--150%（含）得2分，低于100%（含）得0分。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（以2024年经审计的总公司财务报表及总公司偿付能力报告为准，需加盖供应商公章，未提供的不得分。）</w:t>
            </w:r>
          </w:p>
        </w:tc>
      </w:tr>
      <w:tr w14:paraId="6EA23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AF9E">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业绩</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DCF81">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71A06">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供应商自2023年1月1日（以签订合同或保单协议日期为准）以来，每承保过类似民生保险项目的，每项得2分，最高得6分。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（供应商投标时提供相关合同材料或保单协议复印件加盖供应商公章，未提供的不得分。）</w:t>
            </w:r>
          </w:p>
        </w:tc>
      </w:tr>
      <w:tr w14:paraId="565FE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6"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87EE6">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理赔服务方案</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6DCE">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B400B">
            <w:pP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理赔服务方案内容应包括但不限于：①拟任的项目负责人独立理赔决策权；②理赔服务方案关于本项目的准确性、合理性和可行性。③独立理赔决策权、理赔时效、理赔流程、理赔数据反馈；④特殊案件理赔处理、理赔投诉案件处理机制和处理时效。</w:t>
            </w:r>
          </w:p>
          <w:p w14:paraId="35D4C8C3">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lang w:val="en-US" w:eastAsia="zh-CN" w:bidi="ar"/>
              </w:rPr>
              <w:t>（1）</w:t>
            </w:r>
            <w:r>
              <w:rPr>
                <w:rFonts w:hint="default" w:ascii="宋体" w:hAnsi="宋体" w:eastAsia="宋体" w:cs="宋体"/>
                <w:i w:val="0"/>
                <w:iCs w:val="0"/>
                <w:color w:val="auto"/>
                <w:kern w:val="0"/>
                <w:sz w:val="24"/>
                <w:szCs w:val="24"/>
                <w:highlight w:val="none"/>
                <w:u w:val="none"/>
                <w:lang w:val="en-US" w:eastAsia="zh-CN" w:bidi="ar"/>
              </w:rPr>
              <w:t>方案</w:t>
            </w:r>
            <w:r>
              <w:rPr>
                <w:rFonts w:hint="eastAsia" w:ascii="宋体" w:hAnsi="宋体" w:eastAsia="宋体" w:cs="宋体"/>
                <w:i w:val="0"/>
                <w:iCs w:val="0"/>
                <w:color w:val="auto"/>
                <w:kern w:val="0"/>
                <w:sz w:val="24"/>
                <w:szCs w:val="24"/>
                <w:highlight w:val="none"/>
                <w:u w:val="none"/>
                <w:lang w:val="en-US" w:eastAsia="zh-CN" w:bidi="ar"/>
              </w:rPr>
              <w:t>合理可行、内容齐全准确</w:t>
            </w:r>
            <w:r>
              <w:rPr>
                <w:rFonts w:hint="default" w:ascii="宋体" w:hAnsi="宋体" w:eastAsia="宋体" w:cs="宋体"/>
                <w:i w:val="0"/>
                <w:iCs w:val="0"/>
                <w:color w:val="auto"/>
                <w:kern w:val="0"/>
                <w:sz w:val="24"/>
                <w:szCs w:val="24"/>
                <w:highlight w:val="none"/>
                <w:u w:val="none"/>
                <w:lang w:val="en-US" w:eastAsia="zh-CN" w:bidi="ar"/>
              </w:rPr>
              <w:t>得</w:t>
            </w:r>
            <w:r>
              <w:rPr>
                <w:rFonts w:hint="eastAsia" w:ascii="宋体" w:hAnsi="宋体" w:eastAsia="宋体" w:cs="宋体"/>
                <w:i w:val="0"/>
                <w:iCs w:val="0"/>
                <w:color w:val="auto"/>
                <w:kern w:val="0"/>
                <w:sz w:val="24"/>
                <w:szCs w:val="24"/>
                <w:highlight w:val="none"/>
                <w:u w:val="none"/>
                <w:lang w:val="en-US" w:eastAsia="zh-CN" w:bidi="ar"/>
              </w:rPr>
              <w:t>6</w:t>
            </w:r>
            <w:r>
              <w:rPr>
                <w:rFonts w:hint="default" w:ascii="宋体" w:hAnsi="宋体" w:eastAsia="宋体" w:cs="宋体"/>
                <w:i w:val="0"/>
                <w:iCs w:val="0"/>
                <w:color w:val="auto"/>
                <w:kern w:val="0"/>
                <w:sz w:val="24"/>
                <w:szCs w:val="24"/>
                <w:highlight w:val="none"/>
                <w:u w:val="none"/>
                <w:lang w:val="en-US" w:eastAsia="zh-CN" w:bidi="ar"/>
              </w:rPr>
              <w:t>分；</w:t>
            </w:r>
          </w:p>
          <w:p w14:paraId="0D778604">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（2）每有一项内容缺失的扣</w:t>
            </w:r>
            <w:r>
              <w:rPr>
                <w:rFonts w:hint="eastAsia" w:ascii="宋体" w:hAnsi="宋体" w:eastAsia="宋体" w:cs="宋体"/>
                <w:i w:val="0"/>
                <w:iCs w:val="0"/>
                <w:color w:val="auto"/>
                <w:kern w:val="0"/>
                <w:sz w:val="24"/>
                <w:szCs w:val="24"/>
                <w:highlight w:val="none"/>
                <w:u w:val="none"/>
                <w:lang w:val="en-US" w:eastAsia="zh-CN" w:bidi="ar"/>
              </w:rPr>
              <w:t>1.5</w:t>
            </w:r>
            <w:r>
              <w:rPr>
                <w:rFonts w:hint="default" w:ascii="宋体" w:hAnsi="宋体" w:eastAsia="宋体" w:cs="宋体"/>
                <w:i w:val="0"/>
                <w:iCs w:val="0"/>
                <w:color w:val="auto"/>
                <w:kern w:val="0"/>
                <w:sz w:val="24"/>
                <w:szCs w:val="24"/>
                <w:highlight w:val="none"/>
                <w:u w:val="none"/>
                <w:lang w:val="en-US" w:eastAsia="zh-CN" w:bidi="ar"/>
              </w:rPr>
              <w:t xml:space="preserve">分； </w:t>
            </w:r>
          </w:p>
          <w:p w14:paraId="557FF1EA">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 xml:space="preserve">（3）每有一处内容存在缺陷或不满足要求的扣0.5分，扣完为止； </w:t>
            </w:r>
          </w:p>
          <w:p w14:paraId="0904E934">
            <w:pPr>
              <w:numPr>
                <w:ilvl w:val="0"/>
                <w:numId w:val="0"/>
              </w:numPr>
              <w:spacing w:line="360" w:lineRule="auto"/>
              <w:rPr>
                <w:rFonts w:hint="default" w:ascii="宋体" w:hAnsi="宋体" w:eastAsia="宋体" w:cs="宋体"/>
                <w:i w:val="0"/>
                <w:iCs w:val="0"/>
                <w:color w:val="auto"/>
                <w:sz w:val="24"/>
                <w:szCs w:val="24"/>
                <w:highlight w:val="none"/>
                <w:u w:val="none"/>
                <w:lang w:val="en-US"/>
              </w:rPr>
            </w:pPr>
            <w:r>
              <w:rPr>
                <w:rFonts w:hint="default" w:ascii="宋体" w:hAnsi="宋体" w:eastAsia="宋体" w:cs="宋体"/>
                <w:i w:val="0"/>
                <w:iCs w:val="0"/>
                <w:color w:val="auto"/>
                <w:kern w:val="0"/>
                <w:sz w:val="24"/>
                <w:szCs w:val="24"/>
                <w:highlight w:val="none"/>
                <w:u w:val="none"/>
                <w:lang w:val="en-US" w:eastAsia="zh-CN" w:bidi="ar"/>
              </w:rPr>
              <w:t>（4）未提供方案不得分。</w:t>
            </w:r>
          </w:p>
        </w:tc>
      </w:tr>
      <w:tr w14:paraId="2BF89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6"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0795">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项目服务小组</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674AF">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5094">
            <w:pP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目服务小组的方案内容应包括但不限于：①项目负责人的专业经验和服务能力；②服务团队配置人员的整体专业经验和服务能力。③供应商提供残疾人意外险项目服务人员的计划。④响应机制、案件核查的配合措施。</w:t>
            </w:r>
          </w:p>
          <w:p w14:paraId="25F394B0">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lang w:val="en-US" w:eastAsia="zh-CN" w:bidi="ar"/>
              </w:rPr>
              <w:t>（1）</w:t>
            </w:r>
            <w:r>
              <w:rPr>
                <w:rFonts w:hint="default" w:ascii="宋体" w:hAnsi="宋体" w:eastAsia="宋体" w:cs="宋体"/>
                <w:i w:val="0"/>
                <w:iCs w:val="0"/>
                <w:color w:val="auto"/>
                <w:kern w:val="0"/>
                <w:sz w:val="24"/>
                <w:szCs w:val="24"/>
                <w:highlight w:val="none"/>
                <w:u w:val="none"/>
                <w:lang w:val="en-US" w:eastAsia="zh-CN" w:bidi="ar"/>
              </w:rPr>
              <w:t>方案内容描述全面合理符合采购需求的得</w:t>
            </w:r>
            <w:r>
              <w:rPr>
                <w:rFonts w:hint="eastAsia" w:ascii="宋体" w:hAnsi="宋体" w:eastAsia="宋体" w:cs="宋体"/>
                <w:i w:val="0"/>
                <w:iCs w:val="0"/>
                <w:color w:val="auto"/>
                <w:kern w:val="0"/>
                <w:sz w:val="24"/>
                <w:szCs w:val="24"/>
                <w:highlight w:val="none"/>
                <w:u w:val="none"/>
                <w:lang w:val="en-US" w:eastAsia="zh-CN" w:bidi="ar"/>
              </w:rPr>
              <w:t>6</w:t>
            </w:r>
            <w:r>
              <w:rPr>
                <w:rFonts w:hint="default" w:ascii="宋体" w:hAnsi="宋体" w:eastAsia="宋体" w:cs="宋体"/>
                <w:i w:val="0"/>
                <w:iCs w:val="0"/>
                <w:color w:val="auto"/>
                <w:kern w:val="0"/>
                <w:sz w:val="24"/>
                <w:szCs w:val="24"/>
                <w:highlight w:val="none"/>
                <w:u w:val="none"/>
                <w:lang w:val="en-US" w:eastAsia="zh-CN" w:bidi="ar"/>
              </w:rPr>
              <w:t>分；</w:t>
            </w:r>
          </w:p>
          <w:p w14:paraId="288535BB">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（2）每有一项内容缺失的扣</w:t>
            </w:r>
            <w:r>
              <w:rPr>
                <w:rFonts w:hint="eastAsia" w:ascii="宋体" w:hAnsi="宋体" w:eastAsia="宋体" w:cs="宋体"/>
                <w:i w:val="0"/>
                <w:iCs w:val="0"/>
                <w:color w:val="auto"/>
                <w:kern w:val="0"/>
                <w:sz w:val="24"/>
                <w:szCs w:val="24"/>
                <w:highlight w:val="none"/>
                <w:u w:val="none"/>
                <w:lang w:val="en-US" w:eastAsia="zh-CN" w:bidi="ar"/>
              </w:rPr>
              <w:t>1.5</w:t>
            </w:r>
            <w:r>
              <w:rPr>
                <w:rFonts w:hint="default" w:ascii="宋体" w:hAnsi="宋体" w:eastAsia="宋体" w:cs="宋体"/>
                <w:i w:val="0"/>
                <w:iCs w:val="0"/>
                <w:color w:val="auto"/>
                <w:kern w:val="0"/>
                <w:sz w:val="24"/>
                <w:szCs w:val="24"/>
                <w:highlight w:val="none"/>
                <w:u w:val="none"/>
                <w:lang w:val="en-US" w:eastAsia="zh-CN" w:bidi="ar"/>
              </w:rPr>
              <w:t xml:space="preserve">分； </w:t>
            </w:r>
          </w:p>
          <w:p w14:paraId="131293BC">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 xml:space="preserve">（3）每有一处内容存在缺陷或不满足要求的扣0.5分，扣完为止； </w:t>
            </w:r>
          </w:p>
          <w:p w14:paraId="508C4643">
            <w:pPr>
              <w:numPr>
                <w:ilvl w:val="0"/>
                <w:numId w:val="0"/>
              </w:numPr>
              <w:spacing w:line="360" w:lineRule="auto"/>
              <w:ind w:left="0" w:leftChars="0" w:firstLine="0" w:firstLineChars="0"/>
              <w:rPr>
                <w:rFonts w:hint="default" w:ascii="宋体" w:hAnsi="宋体" w:eastAsia="宋体" w:cs="宋体"/>
                <w:i w:val="0"/>
                <w:iCs w:val="0"/>
                <w:color w:val="auto"/>
                <w:sz w:val="24"/>
                <w:szCs w:val="24"/>
                <w:highlight w:val="none"/>
                <w:u w:val="none"/>
                <w:lang w:val="en-US" w:eastAsia="zh-CN" w:bidi="ar-SA"/>
              </w:rPr>
            </w:pPr>
            <w:r>
              <w:rPr>
                <w:rFonts w:hint="default" w:ascii="宋体" w:hAnsi="宋体" w:eastAsia="宋体" w:cs="宋体"/>
                <w:i w:val="0"/>
                <w:iCs w:val="0"/>
                <w:color w:val="auto"/>
                <w:kern w:val="0"/>
                <w:sz w:val="24"/>
                <w:szCs w:val="24"/>
                <w:highlight w:val="none"/>
                <w:u w:val="none"/>
                <w:lang w:val="en-US" w:eastAsia="zh-CN" w:bidi="ar"/>
              </w:rPr>
              <w:t>（4）未提供方案不得分。</w:t>
            </w:r>
          </w:p>
        </w:tc>
      </w:tr>
      <w:tr w14:paraId="18D39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EB1AA">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风险管控服务方案</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BC9A">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F81B">
            <w:pP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风险管控服务方案包括但不限于：①供应商对本项目风险认知水平；②风险管控服务方案的科学性、合理性、可行性。</w:t>
            </w:r>
          </w:p>
          <w:p w14:paraId="76F119A4">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lang w:val="en-US" w:eastAsia="zh-CN" w:bidi="ar"/>
              </w:rPr>
              <w:t>（1）</w:t>
            </w:r>
            <w:r>
              <w:rPr>
                <w:rFonts w:hint="default" w:ascii="宋体" w:hAnsi="宋体" w:eastAsia="宋体" w:cs="宋体"/>
                <w:i w:val="0"/>
                <w:iCs w:val="0"/>
                <w:color w:val="auto"/>
                <w:kern w:val="0"/>
                <w:sz w:val="24"/>
                <w:szCs w:val="24"/>
                <w:highlight w:val="none"/>
                <w:u w:val="none"/>
                <w:lang w:val="en-US" w:eastAsia="zh-CN" w:bidi="ar"/>
              </w:rPr>
              <w:t>方案</w:t>
            </w:r>
            <w:r>
              <w:rPr>
                <w:rFonts w:hint="eastAsia" w:ascii="宋体" w:hAnsi="宋体" w:eastAsia="宋体" w:cs="宋体"/>
                <w:i w:val="0"/>
                <w:iCs w:val="0"/>
                <w:color w:val="auto"/>
                <w:kern w:val="0"/>
                <w:sz w:val="24"/>
                <w:szCs w:val="24"/>
                <w:highlight w:val="none"/>
                <w:u w:val="none"/>
                <w:lang w:val="en-US" w:eastAsia="zh-CN" w:bidi="ar"/>
              </w:rPr>
              <w:t>切实可行、内容科学合理的</w:t>
            </w:r>
            <w:r>
              <w:rPr>
                <w:rFonts w:hint="default" w:ascii="宋体" w:hAnsi="宋体" w:eastAsia="宋体" w:cs="宋体"/>
                <w:i w:val="0"/>
                <w:iCs w:val="0"/>
                <w:color w:val="auto"/>
                <w:kern w:val="0"/>
                <w:sz w:val="24"/>
                <w:szCs w:val="24"/>
                <w:highlight w:val="none"/>
                <w:u w:val="none"/>
                <w:lang w:val="en-US" w:eastAsia="zh-CN" w:bidi="ar"/>
              </w:rPr>
              <w:t>得</w:t>
            </w:r>
            <w:r>
              <w:rPr>
                <w:rFonts w:hint="eastAsia" w:ascii="宋体" w:hAnsi="宋体" w:eastAsia="宋体" w:cs="宋体"/>
                <w:i w:val="0"/>
                <w:iCs w:val="0"/>
                <w:color w:val="auto"/>
                <w:kern w:val="0"/>
                <w:sz w:val="24"/>
                <w:szCs w:val="24"/>
                <w:highlight w:val="none"/>
                <w:u w:val="none"/>
                <w:lang w:val="en-US" w:eastAsia="zh-CN" w:bidi="ar"/>
              </w:rPr>
              <w:t>6</w:t>
            </w:r>
            <w:r>
              <w:rPr>
                <w:rFonts w:hint="default" w:ascii="宋体" w:hAnsi="宋体" w:eastAsia="宋体" w:cs="宋体"/>
                <w:i w:val="0"/>
                <w:iCs w:val="0"/>
                <w:color w:val="auto"/>
                <w:kern w:val="0"/>
                <w:sz w:val="24"/>
                <w:szCs w:val="24"/>
                <w:highlight w:val="none"/>
                <w:u w:val="none"/>
                <w:lang w:val="en-US" w:eastAsia="zh-CN" w:bidi="ar"/>
              </w:rPr>
              <w:t>分；</w:t>
            </w:r>
          </w:p>
          <w:p w14:paraId="3ECC6F48">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（2）每有一项内容缺失的扣</w:t>
            </w:r>
            <w:r>
              <w:rPr>
                <w:rFonts w:hint="eastAsia" w:ascii="宋体" w:hAnsi="宋体" w:eastAsia="宋体" w:cs="宋体"/>
                <w:i w:val="0"/>
                <w:iCs w:val="0"/>
                <w:color w:val="auto"/>
                <w:kern w:val="0"/>
                <w:sz w:val="24"/>
                <w:szCs w:val="24"/>
                <w:highlight w:val="none"/>
                <w:u w:val="none"/>
                <w:lang w:val="en-US" w:eastAsia="zh-CN" w:bidi="ar"/>
              </w:rPr>
              <w:t>3</w:t>
            </w:r>
            <w:r>
              <w:rPr>
                <w:rFonts w:hint="default" w:ascii="宋体" w:hAnsi="宋体" w:eastAsia="宋体" w:cs="宋体"/>
                <w:i w:val="0"/>
                <w:iCs w:val="0"/>
                <w:color w:val="auto"/>
                <w:kern w:val="0"/>
                <w:sz w:val="24"/>
                <w:szCs w:val="24"/>
                <w:highlight w:val="none"/>
                <w:u w:val="none"/>
                <w:lang w:val="en-US" w:eastAsia="zh-CN" w:bidi="ar"/>
              </w:rPr>
              <w:t xml:space="preserve">分； </w:t>
            </w:r>
          </w:p>
          <w:p w14:paraId="0A73C99A">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 xml:space="preserve">（3）每有一处内容存在缺陷或不满足要求的扣0.5分，扣完为止； </w:t>
            </w:r>
          </w:p>
          <w:p w14:paraId="6269B898">
            <w:pPr>
              <w:numPr>
                <w:ilvl w:val="0"/>
                <w:numId w:val="0"/>
              </w:numPr>
              <w:spacing w:line="360" w:lineRule="auto"/>
              <w:rPr>
                <w:rFonts w:hint="eastAsia" w:ascii="宋体" w:hAnsi="宋体" w:eastAsia="宋体" w:cs="宋体"/>
                <w:i w:val="0"/>
                <w:iCs w:val="0"/>
                <w:color w:val="auto"/>
                <w:sz w:val="24"/>
                <w:szCs w:val="24"/>
                <w:highlight w:val="none"/>
                <w:u w:val="none"/>
              </w:rPr>
            </w:pPr>
            <w:r>
              <w:rPr>
                <w:rFonts w:hint="default" w:ascii="宋体" w:hAnsi="宋体" w:eastAsia="宋体" w:cs="宋体"/>
                <w:i w:val="0"/>
                <w:iCs w:val="0"/>
                <w:color w:val="auto"/>
                <w:kern w:val="0"/>
                <w:sz w:val="24"/>
                <w:szCs w:val="24"/>
                <w:highlight w:val="none"/>
                <w:u w:val="none"/>
                <w:lang w:val="en-US" w:eastAsia="zh-CN" w:bidi="ar"/>
              </w:rPr>
              <w:t>（4）未提供方案不得分。</w:t>
            </w:r>
          </w:p>
        </w:tc>
      </w:tr>
      <w:tr w14:paraId="2AA51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1"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10882">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保险培训方案</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FFBBE">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C9004">
            <w:p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保险培训方案应当包括培训内容的科学性、合理性、可行性。</w:t>
            </w:r>
          </w:p>
          <w:p w14:paraId="41DD4E3F">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lang w:val="en-US" w:eastAsia="zh-CN" w:bidi="ar"/>
              </w:rPr>
              <w:t>（1）</w:t>
            </w:r>
            <w:r>
              <w:rPr>
                <w:rFonts w:hint="default" w:ascii="宋体" w:hAnsi="宋体" w:eastAsia="宋体" w:cs="宋体"/>
                <w:i w:val="0"/>
                <w:iCs w:val="0"/>
                <w:color w:val="auto"/>
                <w:kern w:val="0"/>
                <w:sz w:val="24"/>
                <w:szCs w:val="24"/>
                <w:highlight w:val="none"/>
                <w:u w:val="none"/>
                <w:lang w:val="en-US" w:eastAsia="zh-CN" w:bidi="ar"/>
              </w:rPr>
              <w:t>方案内容</w:t>
            </w:r>
            <w:r>
              <w:rPr>
                <w:rFonts w:hint="eastAsia" w:ascii="宋体" w:hAnsi="宋体" w:eastAsia="宋体" w:cs="宋体"/>
                <w:i w:val="0"/>
                <w:iCs w:val="0"/>
                <w:color w:val="auto"/>
                <w:kern w:val="0"/>
                <w:sz w:val="24"/>
                <w:szCs w:val="24"/>
                <w:highlight w:val="none"/>
                <w:u w:val="none"/>
                <w:lang w:val="en-US" w:eastAsia="zh-CN" w:bidi="ar"/>
              </w:rPr>
              <w:t>切实可行、内容科学合理的</w:t>
            </w:r>
            <w:r>
              <w:rPr>
                <w:rFonts w:hint="default" w:ascii="宋体" w:hAnsi="宋体" w:eastAsia="宋体" w:cs="宋体"/>
                <w:i w:val="0"/>
                <w:iCs w:val="0"/>
                <w:color w:val="auto"/>
                <w:kern w:val="0"/>
                <w:sz w:val="24"/>
                <w:szCs w:val="24"/>
                <w:highlight w:val="none"/>
                <w:u w:val="none"/>
                <w:lang w:val="en-US" w:eastAsia="zh-CN" w:bidi="ar"/>
              </w:rPr>
              <w:t>得</w:t>
            </w:r>
            <w:r>
              <w:rPr>
                <w:rFonts w:hint="eastAsia" w:ascii="宋体" w:hAnsi="宋体" w:eastAsia="宋体" w:cs="宋体"/>
                <w:i w:val="0"/>
                <w:iCs w:val="0"/>
                <w:color w:val="auto"/>
                <w:kern w:val="0"/>
                <w:sz w:val="24"/>
                <w:szCs w:val="24"/>
                <w:highlight w:val="none"/>
                <w:u w:val="none"/>
                <w:lang w:val="en-US" w:eastAsia="zh-CN" w:bidi="ar"/>
              </w:rPr>
              <w:t>3</w:t>
            </w:r>
            <w:r>
              <w:rPr>
                <w:rFonts w:hint="default" w:ascii="宋体" w:hAnsi="宋体" w:eastAsia="宋体" w:cs="宋体"/>
                <w:i w:val="0"/>
                <w:iCs w:val="0"/>
                <w:color w:val="auto"/>
                <w:kern w:val="0"/>
                <w:sz w:val="24"/>
                <w:szCs w:val="24"/>
                <w:highlight w:val="none"/>
                <w:u w:val="none"/>
                <w:lang w:val="en-US" w:eastAsia="zh-CN" w:bidi="ar"/>
              </w:rPr>
              <w:t>分；</w:t>
            </w:r>
          </w:p>
          <w:p w14:paraId="57583CA5">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（2）每有一项内容缺失的扣</w:t>
            </w:r>
            <w:r>
              <w:rPr>
                <w:rFonts w:hint="eastAsia" w:ascii="宋体" w:hAnsi="宋体" w:eastAsia="宋体" w:cs="宋体"/>
                <w:i w:val="0"/>
                <w:iCs w:val="0"/>
                <w:color w:val="auto"/>
                <w:kern w:val="0"/>
                <w:sz w:val="24"/>
                <w:szCs w:val="24"/>
                <w:highlight w:val="none"/>
                <w:u w:val="none"/>
                <w:lang w:val="en-US" w:eastAsia="zh-CN" w:bidi="ar"/>
              </w:rPr>
              <w:t>1</w:t>
            </w:r>
            <w:r>
              <w:rPr>
                <w:rFonts w:hint="default" w:ascii="宋体" w:hAnsi="宋体" w:eastAsia="宋体" w:cs="宋体"/>
                <w:i w:val="0"/>
                <w:iCs w:val="0"/>
                <w:color w:val="auto"/>
                <w:kern w:val="0"/>
                <w:sz w:val="24"/>
                <w:szCs w:val="24"/>
                <w:highlight w:val="none"/>
                <w:u w:val="none"/>
                <w:lang w:val="en-US" w:eastAsia="zh-CN" w:bidi="ar"/>
              </w:rPr>
              <w:t xml:space="preserve">分； </w:t>
            </w:r>
          </w:p>
          <w:p w14:paraId="04F9511A">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 xml:space="preserve">（3）每有一处内容存在缺陷或不满足要求的扣0.5分，扣完为止； </w:t>
            </w:r>
          </w:p>
          <w:p w14:paraId="7AB607F5">
            <w:pPr>
              <w:numPr>
                <w:ilvl w:val="0"/>
                <w:numId w:val="0"/>
              </w:numPr>
              <w:spacing w:line="360" w:lineRule="auto"/>
              <w:rPr>
                <w:rFonts w:hint="eastAsia" w:ascii="宋体" w:hAnsi="宋体" w:eastAsia="宋体" w:cs="宋体"/>
                <w:i w:val="0"/>
                <w:iCs w:val="0"/>
                <w:color w:val="auto"/>
                <w:sz w:val="24"/>
                <w:szCs w:val="24"/>
                <w:highlight w:val="none"/>
                <w:u w:val="none"/>
              </w:rPr>
            </w:pPr>
            <w:r>
              <w:rPr>
                <w:rFonts w:hint="default" w:ascii="宋体" w:hAnsi="宋体" w:eastAsia="宋体" w:cs="宋体"/>
                <w:i w:val="0"/>
                <w:iCs w:val="0"/>
                <w:color w:val="auto"/>
                <w:kern w:val="0"/>
                <w:sz w:val="24"/>
                <w:szCs w:val="24"/>
                <w:highlight w:val="none"/>
                <w:u w:val="none"/>
                <w:lang w:val="en-US" w:eastAsia="zh-CN" w:bidi="ar"/>
              </w:rPr>
              <w:t>（4）未提供方案不得分。</w:t>
            </w:r>
          </w:p>
        </w:tc>
      </w:tr>
      <w:tr w14:paraId="7CD11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8"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C9CC">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助残宣传服务</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B0102">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4分</w:t>
            </w:r>
          </w:p>
        </w:tc>
        <w:tc>
          <w:tcPr>
            <w:tcW w:w="7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2988D">
            <w:pPr>
              <w:numPr>
                <w:ilvl w:val="0"/>
                <w:numId w:val="0"/>
              </w:numPr>
              <w:spacing w:line="360" w:lineRule="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助残宣传服务方案包括但不限于：①为投保人发放助残宣传手册及残联日常需要的其他宣传服务；②助残宣传服务方案的合理性及可行性。</w:t>
            </w:r>
          </w:p>
          <w:p w14:paraId="7EB2EAFE">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lang w:val="en-US" w:eastAsia="zh-CN" w:bidi="ar"/>
              </w:rPr>
              <w:t>（1）</w:t>
            </w:r>
            <w:r>
              <w:rPr>
                <w:rFonts w:hint="default" w:ascii="宋体" w:hAnsi="宋体" w:eastAsia="宋体" w:cs="宋体"/>
                <w:i w:val="0"/>
                <w:iCs w:val="0"/>
                <w:color w:val="auto"/>
                <w:kern w:val="0"/>
                <w:sz w:val="24"/>
                <w:szCs w:val="24"/>
                <w:highlight w:val="none"/>
                <w:u w:val="none"/>
                <w:lang w:val="en-US" w:eastAsia="zh-CN" w:bidi="ar"/>
              </w:rPr>
              <w:t>方案内容</w:t>
            </w:r>
            <w:r>
              <w:rPr>
                <w:rFonts w:hint="eastAsia" w:ascii="宋体" w:hAnsi="宋体" w:eastAsia="宋体" w:cs="宋体"/>
                <w:i w:val="0"/>
                <w:iCs w:val="0"/>
                <w:color w:val="auto"/>
                <w:kern w:val="0"/>
                <w:sz w:val="24"/>
                <w:szCs w:val="24"/>
                <w:highlight w:val="none"/>
                <w:u w:val="none"/>
                <w:lang w:val="en-US" w:eastAsia="zh-CN" w:bidi="ar"/>
              </w:rPr>
              <w:t>切实可行、内容科学合理的</w:t>
            </w:r>
            <w:r>
              <w:rPr>
                <w:rFonts w:hint="default" w:ascii="宋体" w:hAnsi="宋体" w:eastAsia="宋体" w:cs="宋体"/>
                <w:i w:val="0"/>
                <w:iCs w:val="0"/>
                <w:color w:val="auto"/>
                <w:kern w:val="0"/>
                <w:sz w:val="24"/>
                <w:szCs w:val="24"/>
                <w:highlight w:val="none"/>
                <w:u w:val="none"/>
                <w:lang w:val="en-US" w:eastAsia="zh-CN" w:bidi="ar"/>
              </w:rPr>
              <w:t>得</w:t>
            </w:r>
            <w:r>
              <w:rPr>
                <w:rFonts w:hint="eastAsia" w:ascii="宋体" w:hAnsi="宋体" w:eastAsia="宋体" w:cs="宋体"/>
                <w:i w:val="0"/>
                <w:iCs w:val="0"/>
                <w:color w:val="auto"/>
                <w:kern w:val="0"/>
                <w:sz w:val="24"/>
                <w:szCs w:val="24"/>
                <w:highlight w:val="none"/>
                <w:u w:val="none"/>
                <w:lang w:val="en-US" w:eastAsia="zh-CN" w:bidi="ar"/>
              </w:rPr>
              <w:t>4</w:t>
            </w:r>
            <w:r>
              <w:rPr>
                <w:rFonts w:hint="default" w:ascii="宋体" w:hAnsi="宋体" w:eastAsia="宋体" w:cs="宋体"/>
                <w:i w:val="0"/>
                <w:iCs w:val="0"/>
                <w:color w:val="auto"/>
                <w:kern w:val="0"/>
                <w:sz w:val="24"/>
                <w:szCs w:val="24"/>
                <w:highlight w:val="none"/>
                <w:u w:val="none"/>
                <w:lang w:val="en-US" w:eastAsia="zh-CN" w:bidi="ar"/>
              </w:rPr>
              <w:t>分；</w:t>
            </w:r>
          </w:p>
          <w:p w14:paraId="585F8C83">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（2）每有一项内容缺失的扣</w:t>
            </w:r>
            <w:r>
              <w:rPr>
                <w:rFonts w:hint="eastAsia" w:ascii="宋体" w:hAnsi="宋体" w:eastAsia="宋体" w:cs="宋体"/>
                <w:i w:val="0"/>
                <w:iCs w:val="0"/>
                <w:color w:val="auto"/>
                <w:kern w:val="0"/>
                <w:sz w:val="24"/>
                <w:szCs w:val="24"/>
                <w:highlight w:val="none"/>
                <w:u w:val="none"/>
                <w:lang w:val="en-US" w:eastAsia="zh-CN" w:bidi="ar"/>
              </w:rPr>
              <w:t>2</w:t>
            </w:r>
            <w:r>
              <w:rPr>
                <w:rFonts w:hint="default" w:ascii="宋体" w:hAnsi="宋体" w:eastAsia="宋体" w:cs="宋体"/>
                <w:i w:val="0"/>
                <w:iCs w:val="0"/>
                <w:color w:val="auto"/>
                <w:kern w:val="0"/>
                <w:sz w:val="24"/>
                <w:szCs w:val="24"/>
                <w:highlight w:val="none"/>
                <w:u w:val="none"/>
                <w:lang w:val="en-US" w:eastAsia="zh-CN" w:bidi="ar"/>
              </w:rPr>
              <w:t xml:space="preserve">分； </w:t>
            </w:r>
          </w:p>
          <w:p w14:paraId="3FF2D1BF">
            <w:pPr>
              <w:numPr>
                <w:ilvl w:val="0"/>
                <w:numId w:val="0"/>
              </w:numPr>
              <w:spacing w:line="360" w:lineRule="auto"/>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 xml:space="preserve">（3）每有一处内容存在缺陷或不满足要求的扣0.5分，扣完为止； </w:t>
            </w:r>
          </w:p>
          <w:p w14:paraId="2B644B6C">
            <w:pPr>
              <w:numPr>
                <w:ilvl w:val="0"/>
                <w:numId w:val="0"/>
              </w:numPr>
              <w:spacing w:line="360" w:lineRule="auto"/>
              <w:rPr>
                <w:rFonts w:hint="eastAsia" w:ascii="宋体" w:hAnsi="宋体" w:eastAsia="宋体" w:cs="宋体"/>
                <w:i w:val="0"/>
                <w:iCs w:val="0"/>
                <w:color w:val="auto"/>
                <w:sz w:val="24"/>
                <w:szCs w:val="24"/>
                <w:highlight w:val="none"/>
                <w:u w:val="none"/>
              </w:rPr>
            </w:pPr>
            <w:r>
              <w:rPr>
                <w:rFonts w:hint="default" w:ascii="宋体" w:hAnsi="宋体" w:eastAsia="宋体" w:cs="宋体"/>
                <w:i w:val="0"/>
                <w:iCs w:val="0"/>
                <w:color w:val="auto"/>
                <w:kern w:val="0"/>
                <w:sz w:val="24"/>
                <w:szCs w:val="24"/>
                <w:highlight w:val="none"/>
                <w:u w:val="none"/>
                <w:lang w:val="en-US" w:eastAsia="zh-CN" w:bidi="ar"/>
              </w:rPr>
              <w:t>（4）未提供方案不得分。</w:t>
            </w:r>
          </w:p>
        </w:tc>
      </w:tr>
    </w:tbl>
    <w:p w14:paraId="5C5A8813">
      <w:pPr>
        <w:pStyle w:val="33"/>
        <w:spacing w:before="120" w:beforeAutospacing="0" w:after="120" w:afterAutospacing="0" w:line="0" w:lineRule="atLeast"/>
        <w:jc w:val="center"/>
        <w:rPr>
          <w:rFonts w:hint="eastAsia" w:ascii="宋体" w:hAnsi="宋体" w:eastAsia="宋体" w:cs="宋体"/>
          <w:color w:val="auto"/>
          <w:highlight w:val="none"/>
        </w:rPr>
      </w:pPr>
    </w:p>
    <w:p w14:paraId="08EABDA5">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r>
        <w:rPr>
          <w:rFonts w:hint="eastAsia" w:ascii="宋体" w:hAnsi="宋体" w:eastAsia="宋体" w:cs="宋体"/>
          <w:color w:val="auto"/>
          <w:highlight w:val="none"/>
        </w:rPr>
        <w:t> </w:t>
      </w:r>
    </w:p>
    <w:p w14:paraId="2321591D">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29504091">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68AB25EC">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05AAE8F6">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07F73BF0">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10A916F5">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6255C4A0">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5A88E3BC">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0A4CA83D">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42B11C89">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115800DB">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2677B739">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22B983F1">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5B534775">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63BBBBF3">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166B98A6">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p>
    <w:p w14:paraId="255B3976">
      <w:pPr>
        <w:pStyle w:val="33"/>
        <w:spacing w:before="120" w:beforeAutospacing="0" w:after="120" w:afterAutospacing="0" w:line="0" w:lineRule="atLeast"/>
        <w:jc w:val="center"/>
        <w:outlineLvl w:val="0"/>
        <w:rPr>
          <w:rFonts w:hint="eastAsia" w:ascii="宋体" w:hAnsi="宋体" w:eastAsia="宋体" w:cs="宋体"/>
          <w:b/>
          <w:color w:val="auto"/>
          <w:sz w:val="44"/>
          <w:szCs w:val="44"/>
          <w:highlight w:val="none"/>
        </w:rPr>
      </w:pPr>
      <w:bookmarkStart w:id="241" w:name="_Toc28929"/>
      <w:r>
        <w:rPr>
          <w:rFonts w:hint="eastAsia" w:ascii="宋体" w:hAnsi="宋体" w:eastAsia="宋体" w:cs="宋体"/>
          <w:b/>
          <w:color w:val="auto"/>
          <w:sz w:val="44"/>
          <w:szCs w:val="44"/>
          <w:highlight w:val="none"/>
        </w:rPr>
        <w:t>第六章  响应文件格式</w:t>
      </w:r>
      <w:bookmarkEnd w:id="241"/>
      <w:r>
        <w:rPr>
          <w:rFonts w:hint="eastAsia" w:ascii="宋体" w:hAnsi="宋体" w:eastAsia="宋体" w:cs="宋体"/>
          <w:b/>
          <w:color w:val="auto"/>
          <w:sz w:val="44"/>
          <w:szCs w:val="44"/>
          <w:highlight w:val="none"/>
        </w:rPr>
        <w:t xml:space="preserve"> </w:t>
      </w:r>
    </w:p>
    <w:p w14:paraId="5207698C">
      <w:pPr>
        <w:pStyle w:val="33"/>
        <w:spacing w:beforeAutospacing="0" w:afterAutospacing="0"/>
        <w:jc w:val="center"/>
        <w:rPr>
          <w:rFonts w:hint="eastAsia" w:ascii="宋体" w:hAnsi="宋体" w:eastAsia="宋体" w:cs="宋体"/>
          <w:b/>
          <w:color w:val="auto"/>
          <w:sz w:val="72"/>
          <w:szCs w:val="72"/>
          <w:highlight w:val="none"/>
        </w:rPr>
      </w:pPr>
      <w:bookmarkStart w:id="242" w:name="_Toc49090576"/>
      <w:bookmarkEnd w:id="242"/>
      <w:bookmarkStart w:id="243" w:name="_Toc120614282"/>
      <w:bookmarkEnd w:id="243"/>
      <w:bookmarkStart w:id="244" w:name="_Hlt26955039"/>
      <w:bookmarkStart w:id="245" w:name="_Toc26554094"/>
      <w:bookmarkStart w:id="246" w:name="_Hlt26671244"/>
    </w:p>
    <w:p w14:paraId="1BA9DC25">
      <w:pPr>
        <w:pStyle w:val="33"/>
        <w:spacing w:beforeAutospacing="0" w:afterAutospacing="0"/>
        <w:jc w:val="center"/>
        <w:rPr>
          <w:rFonts w:hint="eastAsia" w:ascii="宋体" w:hAnsi="宋体" w:eastAsia="宋体" w:cs="宋体"/>
          <w:b/>
          <w:color w:val="auto"/>
          <w:sz w:val="72"/>
          <w:szCs w:val="72"/>
          <w:highlight w:val="none"/>
        </w:rPr>
      </w:pPr>
    </w:p>
    <w:p w14:paraId="2D55EC44">
      <w:pPr>
        <w:pStyle w:val="33"/>
        <w:spacing w:beforeAutospacing="0" w:afterAutospacing="0"/>
        <w:jc w:val="both"/>
        <w:rPr>
          <w:rFonts w:hint="eastAsia" w:ascii="宋体" w:hAnsi="宋体" w:eastAsia="宋体" w:cs="宋体"/>
          <w:b/>
          <w:color w:val="auto"/>
          <w:sz w:val="72"/>
          <w:szCs w:val="72"/>
          <w:highlight w:val="none"/>
        </w:rPr>
      </w:pPr>
    </w:p>
    <w:p w14:paraId="5E9583AC">
      <w:pPr>
        <w:pStyle w:val="33"/>
        <w:spacing w:beforeAutospacing="0" w:afterAutospacing="0"/>
        <w:jc w:val="center"/>
        <w:rPr>
          <w:rFonts w:hint="eastAsia" w:ascii="宋体" w:hAnsi="宋体" w:eastAsia="宋体" w:cs="宋体"/>
          <w:b/>
          <w:color w:val="auto"/>
          <w:sz w:val="72"/>
          <w:szCs w:val="72"/>
          <w:highlight w:val="none"/>
        </w:rPr>
      </w:pPr>
    </w:p>
    <w:p w14:paraId="1D52E1BA">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72"/>
          <w:szCs w:val="72"/>
          <w:highlight w:val="none"/>
        </w:rPr>
        <w:t>响  应  文  件</w:t>
      </w:r>
    </w:p>
    <w:p w14:paraId="0EA810FA">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8203AC8">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467BF81">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B38ABF5">
      <w:pPr>
        <w:pStyle w:val="33"/>
        <w:spacing w:beforeAutospacing="0" w:afterAutospacing="0"/>
        <w:jc w:val="center"/>
        <w:rPr>
          <w:rFonts w:hint="eastAsia" w:ascii="宋体" w:hAnsi="宋体" w:eastAsia="宋体" w:cs="宋体"/>
          <w:color w:val="auto"/>
          <w:highlight w:val="none"/>
        </w:rPr>
      </w:pPr>
    </w:p>
    <w:p w14:paraId="5D812EE1">
      <w:pPr>
        <w:pStyle w:val="33"/>
        <w:spacing w:beforeAutospacing="0" w:afterAutospacing="0"/>
        <w:jc w:val="center"/>
        <w:rPr>
          <w:rFonts w:hint="eastAsia" w:ascii="宋体" w:hAnsi="宋体" w:eastAsia="宋体" w:cs="宋体"/>
          <w:color w:val="auto"/>
          <w:highlight w:val="none"/>
        </w:rPr>
      </w:pPr>
    </w:p>
    <w:p w14:paraId="0B00CCBA">
      <w:pPr>
        <w:pStyle w:val="33"/>
        <w:spacing w:beforeAutospacing="0" w:afterAutospacing="0"/>
        <w:jc w:val="center"/>
        <w:rPr>
          <w:rFonts w:hint="eastAsia" w:ascii="宋体" w:hAnsi="宋体" w:eastAsia="宋体" w:cs="宋体"/>
          <w:color w:val="auto"/>
          <w:highlight w:val="none"/>
        </w:rPr>
      </w:pPr>
    </w:p>
    <w:p w14:paraId="26B0A8CD">
      <w:pPr>
        <w:pStyle w:val="33"/>
        <w:spacing w:beforeAutospacing="0" w:afterAutospacing="0"/>
        <w:jc w:val="center"/>
        <w:rPr>
          <w:rFonts w:hint="eastAsia" w:ascii="宋体" w:hAnsi="宋体" w:eastAsia="宋体" w:cs="宋体"/>
          <w:color w:val="auto"/>
          <w:highlight w:val="none"/>
        </w:rPr>
      </w:pPr>
    </w:p>
    <w:p w14:paraId="099B710D">
      <w:pPr>
        <w:pStyle w:val="33"/>
        <w:spacing w:beforeAutospacing="0" w:afterAutospacing="0"/>
        <w:jc w:val="center"/>
        <w:rPr>
          <w:rFonts w:hint="eastAsia" w:ascii="宋体" w:hAnsi="宋体" w:eastAsia="宋体" w:cs="宋体"/>
          <w:color w:val="auto"/>
          <w:highlight w:val="none"/>
        </w:rPr>
      </w:pPr>
    </w:p>
    <w:p w14:paraId="0C289658">
      <w:pPr>
        <w:pStyle w:val="33"/>
        <w:spacing w:beforeAutospacing="0" w:afterAutospacing="0"/>
        <w:jc w:val="center"/>
        <w:rPr>
          <w:rFonts w:hint="eastAsia" w:ascii="宋体" w:hAnsi="宋体" w:eastAsia="宋体" w:cs="宋体"/>
          <w:color w:val="auto"/>
          <w:highlight w:val="none"/>
        </w:rPr>
      </w:pPr>
    </w:p>
    <w:p w14:paraId="1457A193">
      <w:pPr>
        <w:pStyle w:val="33"/>
        <w:spacing w:beforeAutospacing="0" w:afterAutospacing="0"/>
        <w:jc w:val="both"/>
        <w:rPr>
          <w:rFonts w:hint="eastAsia" w:ascii="宋体" w:hAnsi="宋体" w:eastAsia="宋体" w:cs="宋体"/>
          <w:color w:val="auto"/>
          <w:highlight w:val="none"/>
        </w:rPr>
      </w:pPr>
    </w:p>
    <w:p w14:paraId="68F6BB5F">
      <w:pPr>
        <w:pStyle w:val="33"/>
        <w:spacing w:beforeAutospacing="0" w:afterAutospacing="0"/>
        <w:jc w:val="center"/>
        <w:rPr>
          <w:rFonts w:hint="eastAsia" w:ascii="宋体" w:hAnsi="宋体" w:eastAsia="宋体" w:cs="宋体"/>
          <w:color w:val="auto"/>
          <w:highlight w:val="none"/>
        </w:rPr>
      </w:pPr>
    </w:p>
    <w:p w14:paraId="041C76CA">
      <w:pPr>
        <w:pStyle w:val="33"/>
        <w:spacing w:beforeAutospacing="0" w:afterAutospacing="0"/>
        <w:jc w:val="center"/>
        <w:rPr>
          <w:rFonts w:hint="eastAsia" w:ascii="宋体" w:hAnsi="宋体" w:eastAsia="宋体" w:cs="宋体"/>
          <w:color w:val="auto"/>
          <w:highlight w:val="none"/>
        </w:rPr>
      </w:pPr>
    </w:p>
    <w:p w14:paraId="4F193E8C">
      <w:pPr>
        <w:pStyle w:val="33"/>
        <w:spacing w:beforeAutospacing="0" w:afterAutospacing="0"/>
        <w:jc w:val="center"/>
        <w:rPr>
          <w:rFonts w:hint="eastAsia" w:ascii="宋体" w:hAnsi="宋体" w:eastAsia="宋体" w:cs="宋体"/>
          <w:color w:val="auto"/>
          <w:highlight w:val="none"/>
        </w:rPr>
      </w:pPr>
    </w:p>
    <w:p w14:paraId="52FE706B">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4D1648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165F8A4">
      <w:pPr>
        <w:pStyle w:val="33"/>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w:t>
      </w:r>
    </w:p>
    <w:p w14:paraId="347CB6E1">
      <w:pPr>
        <w:pStyle w:val="33"/>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w:t>
      </w:r>
    </w:p>
    <w:p w14:paraId="656DCDB9">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p>
    <w:p w14:paraId="7B3C6A1D">
      <w:pPr>
        <w:pStyle w:val="33"/>
        <w:spacing w:beforeAutospacing="0" w:afterAutospacing="0"/>
        <w:jc w:val="both"/>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2F6AB429">
      <w:pPr>
        <w:pStyle w:val="33"/>
        <w:spacing w:beforeAutospacing="0" w:afterAutospacing="0" w:line="0" w:lineRule="atLeast"/>
        <w:jc w:val="center"/>
        <w:rPr>
          <w:rFonts w:hint="eastAsia" w:ascii="宋体" w:hAnsi="宋体" w:eastAsia="宋体" w:cs="宋体"/>
          <w:b/>
          <w:color w:val="auto"/>
          <w:sz w:val="32"/>
          <w:szCs w:val="32"/>
          <w:highlight w:val="none"/>
        </w:rPr>
      </w:pPr>
    </w:p>
    <w:p w14:paraId="36BF990D">
      <w:pPr>
        <w:pStyle w:val="33"/>
        <w:spacing w:beforeAutospacing="0" w:afterAutospacing="0" w:line="0" w:lineRule="atLeast"/>
        <w:jc w:val="center"/>
        <w:rPr>
          <w:rFonts w:hint="eastAsia" w:ascii="宋体" w:hAnsi="宋体" w:eastAsia="宋体" w:cs="宋体"/>
          <w:b/>
          <w:color w:val="auto"/>
          <w:sz w:val="32"/>
          <w:szCs w:val="32"/>
          <w:highlight w:val="none"/>
        </w:rPr>
      </w:pPr>
    </w:p>
    <w:p w14:paraId="6392575C">
      <w:pPr>
        <w:pStyle w:val="33"/>
        <w:spacing w:beforeAutospacing="0" w:afterAutospacing="0" w:line="0" w:lineRule="atLeast"/>
        <w:jc w:val="center"/>
        <w:rPr>
          <w:rFonts w:hint="eastAsia" w:ascii="宋体" w:hAnsi="宋体" w:eastAsia="宋体" w:cs="宋体"/>
          <w:b/>
          <w:color w:val="auto"/>
          <w:sz w:val="32"/>
          <w:szCs w:val="32"/>
          <w:highlight w:val="none"/>
        </w:rPr>
      </w:pPr>
    </w:p>
    <w:p w14:paraId="496C5ABD">
      <w:pPr>
        <w:pStyle w:val="33"/>
        <w:spacing w:beforeAutospacing="0" w:afterAutospacing="0" w:line="0" w:lineRule="atLeast"/>
        <w:jc w:val="center"/>
        <w:rPr>
          <w:rFonts w:hint="eastAsia" w:ascii="宋体" w:hAnsi="宋体" w:eastAsia="宋体" w:cs="宋体"/>
          <w:b/>
          <w:color w:val="auto"/>
          <w:sz w:val="32"/>
          <w:szCs w:val="32"/>
          <w:highlight w:val="none"/>
        </w:rPr>
      </w:pPr>
    </w:p>
    <w:p w14:paraId="68AC1C3C">
      <w:pPr>
        <w:pStyle w:val="33"/>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0AC2832A">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6DC797C">
      <w:pPr>
        <w:pStyle w:val="33"/>
        <w:spacing w:beforeAutospacing="0" w:afterAutospacing="0"/>
        <w:ind w:left="48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u w:val="none"/>
        </w:rPr>
        <w:t>一、</w:t>
      </w:r>
      <w:r>
        <w:rPr>
          <w:rFonts w:hint="eastAsia" w:ascii="宋体" w:hAnsi="宋体" w:eastAsia="宋体" w:cs="宋体"/>
          <w:i w:val="0"/>
          <w:iCs/>
          <w:color w:val="auto"/>
          <w:highlight w:val="none"/>
          <w:u w:val="single"/>
        </w:rPr>
        <w:t>法人或者其他组织的营业执照等证明文件，自然人的身份证明</w:t>
      </w:r>
    </w:p>
    <w:p w14:paraId="24FC58A6">
      <w:pPr>
        <w:pStyle w:val="33"/>
        <w:spacing w:beforeAutospacing="0" w:afterAutospacing="0"/>
        <w:ind w:left="480"/>
        <w:jc w:val="both"/>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none"/>
        </w:rPr>
        <w:t>二、</w:t>
      </w:r>
      <w:r>
        <w:rPr>
          <w:rFonts w:hint="eastAsia" w:ascii="宋体" w:hAnsi="宋体" w:eastAsia="宋体" w:cs="宋体"/>
          <w:i w:val="0"/>
          <w:iCs/>
          <w:color w:val="auto"/>
          <w:highlight w:val="none"/>
          <w:u w:val="single"/>
        </w:rPr>
        <w:t>上一年度的财务状况报表（成立不满一年无需提供）</w:t>
      </w:r>
    </w:p>
    <w:p w14:paraId="78E0644A">
      <w:pPr>
        <w:pStyle w:val="33"/>
        <w:spacing w:beforeAutospacing="0" w:afterAutospacing="0"/>
        <w:ind w:left="480"/>
        <w:jc w:val="both"/>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single"/>
        </w:rPr>
        <w:t>具备履行合同所必需的设备和专业技术能力的书面声明</w:t>
      </w:r>
    </w:p>
    <w:p w14:paraId="2551B412">
      <w:pPr>
        <w:pStyle w:val="33"/>
        <w:spacing w:beforeAutospacing="0" w:afterAutospacing="0"/>
        <w:ind w:left="48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singl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6A04EE82">
      <w:pPr>
        <w:pStyle w:val="33"/>
        <w:spacing w:beforeAutospacing="0" w:afterAutospacing="0" w:line="0" w:lineRule="atLeast"/>
        <w:ind w:firstLine="48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u w:val="none"/>
        </w:rPr>
        <w:t>五、</w:t>
      </w:r>
      <w:r>
        <w:rPr>
          <w:rFonts w:hint="eastAsia" w:ascii="宋体" w:hAnsi="宋体" w:eastAsia="宋体" w:cs="宋体"/>
          <w:i w:val="0"/>
          <w:iCs/>
          <w:color w:val="auto"/>
          <w:highlight w:val="none"/>
          <w:u w:val="single"/>
        </w:rPr>
        <w:t>参加政府采购活动前 3 年内在经营活动中没有重大违法记录的书面声明</w:t>
      </w:r>
    </w:p>
    <w:p w14:paraId="457A3434">
      <w:pPr>
        <w:pStyle w:val="33"/>
        <w:spacing w:beforeAutospacing="0" w:afterAutospacing="0" w:line="0" w:lineRule="atLeast"/>
        <w:ind w:firstLine="480"/>
        <w:jc w:val="both"/>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none"/>
        </w:rPr>
        <w:t>六、</w:t>
      </w:r>
      <w:r>
        <w:rPr>
          <w:rFonts w:hint="eastAsia" w:ascii="宋体" w:hAnsi="宋体" w:eastAsia="宋体" w:cs="宋体"/>
          <w:i w:val="0"/>
          <w:iCs/>
          <w:color w:val="auto"/>
          <w:highlight w:val="none"/>
          <w:u w:val="single"/>
        </w:rPr>
        <w:t>在“信用中国”网站查询，无被列入失信被执行人、重大税收违法案件当事人名单、政府采购严重失信行为记录名单及其他不符合《中华人民共和国政府采购法》第二十二条规定条件的信用记录。</w:t>
      </w:r>
    </w:p>
    <w:p w14:paraId="2E8B749D">
      <w:pPr>
        <w:pStyle w:val="33"/>
        <w:spacing w:beforeAutospacing="0" w:afterAutospacing="0" w:line="0" w:lineRule="atLeast"/>
        <w:ind w:firstLine="480"/>
        <w:jc w:val="both"/>
        <w:rPr>
          <w:rFonts w:hint="eastAsia" w:ascii="宋体" w:hAnsi="宋体" w:eastAsia="宋体" w:cs="宋体"/>
          <w:i w:val="0"/>
          <w:iCs/>
          <w:color w:val="auto"/>
          <w:highlight w:val="none"/>
          <w:u w:val="single"/>
          <w:lang w:val="en-US" w:eastAsia="zh-CN"/>
        </w:rPr>
      </w:pPr>
      <w:r>
        <w:rPr>
          <w:rFonts w:hint="eastAsia" w:ascii="宋体" w:hAnsi="宋体" w:eastAsia="宋体" w:cs="宋体"/>
          <w:i w:val="0"/>
          <w:iCs/>
          <w:color w:val="auto"/>
          <w:highlight w:val="none"/>
          <w:u w:val="single"/>
          <w:lang w:val="en-US" w:eastAsia="zh-CN"/>
        </w:rPr>
        <w:t>七、</w:t>
      </w:r>
      <w:r>
        <w:rPr>
          <w:rFonts w:hint="eastAsia" w:ascii="宋体" w:hAnsi="宋体" w:cs="宋体"/>
          <w:i/>
          <w:color w:val="auto"/>
          <w:highlight w:val="none"/>
          <w:u w:val="single"/>
        </w:rPr>
        <w:t>单位负责人为同一人或者存在直接控股、服务关系的不同供应商，不得参加同一合同项下的政府采购活动。</w:t>
      </w:r>
    </w:p>
    <w:p w14:paraId="3207AC06">
      <w:pPr>
        <w:pStyle w:val="33"/>
        <w:spacing w:beforeAutospacing="0" w:afterAutospacing="0" w:line="0" w:lineRule="atLeast"/>
        <w:ind w:firstLine="48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u w:val="none"/>
          <w:lang w:val="en-US" w:eastAsia="zh-CN"/>
        </w:rPr>
        <w:t>八</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single"/>
        </w:rPr>
        <w:t>法人授权书</w:t>
      </w:r>
    </w:p>
    <w:p w14:paraId="148E0D52">
      <w:pPr>
        <w:pStyle w:val="33"/>
        <w:spacing w:beforeAutospacing="0" w:afterAutospacing="0" w:line="0" w:lineRule="atLeast"/>
        <w:ind w:firstLine="48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u w:val="none"/>
          <w:lang w:val="en-US" w:eastAsia="zh-CN"/>
        </w:rPr>
        <w:t>九</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single"/>
        </w:rPr>
        <w:t>磋商响应函</w:t>
      </w:r>
    </w:p>
    <w:p w14:paraId="3E0AF664">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十</w:t>
      </w:r>
      <w:r>
        <w:rPr>
          <w:rFonts w:hint="eastAsia" w:ascii="宋体" w:hAnsi="宋体" w:eastAsia="宋体" w:cs="宋体"/>
          <w:color w:val="auto"/>
          <w:highlight w:val="none"/>
        </w:rPr>
        <w:t>、小微企业声明函</w:t>
      </w:r>
    </w:p>
    <w:p w14:paraId="3AB105CE">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、残疾人福利性单位声明函</w:t>
      </w:r>
    </w:p>
    <w:p w14:paraId="68D54DDC">
      <w:pPr>
        <w:pStyle w:val="33"/>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开标一览表</w:t>
      </w:r>
    </w:p>
    <w:p w14:paraId="022EAD89">
      <w:pPr>
        <w:pStyle w:val="33"/>
        <w:spacing w:beforeAutospacing="0" w:afterAutospacing="0" w:line="0" w:lineRule="atLeast"/>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开标一览表（最终报价）</w:t>
      </w:r>
    </w:p>
    <w:p w14:paraId="6B75A8DA">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、商务要求响应及偏离表</w:t>
      </w:r>
    </w:p>
    <w:p w14:paraId="44BA2EE3">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、其他材料</w:t>
      </w:r>
    </w:p>
    <w:p w14:paraId="6AA7BC55">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项目需求承诺函</w:t>
      </w:r>
    </w:p>
    <w:p w14:paraId="34605A18">
      <w:pPr>
        <w:pStyle w:val="33"/>
        <w:spacing w:beforeAutospacing="0" w:afterAutospacing="0" w:line="0" w:lineRule="atLeas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七</w:t>
      </w:r>
      <w:r>
        <w:rPr>
          <w:rFonts w:hint="eastAsia" w:ascii="宋体" w:hAnsi="宋体" w:eastAsia="宋体" w:cs="宋体"/>
          <w:color w:val="auto"/>
          <w:sz w:val="24"/>
          <w:highlight w:val="none"/>
        </w:rPr>
        <w:t>、</w:t>
      </w:r>
      <w:r>
        <w:rPr>
          <w:rFonts w:hint="eastAsia" w:ascii="宋体" w:hAnsi="宋体" w:eastAsia="宋体" w:cs="宋体"/>
          <w:color w:val="auto"/>
          <w:highlight w:val="none"/>
        </w:rPr>
        <w:t>盐城市政府采购事前信用承诺书</w:t>
      </w:r>
    </w:p>
    <w:p w14:paraId="60DAEBBA">
      <w:pPr>
        <w:pStyle w:val="33"/>
        <w:spacing w:beforeAutospacing="0" w:afterAutospacing="0" w:line="0" w:lineRule="atLeast"/>
        <w:ind w:firstLine="480"/>
        <w:jc w:val="both"/>
        <w:rPr>
          <w:rFonts w:hint="eastAsia" w:ascii="宋体" w:hAnsi="宋体" w:eastAsia="宋体" w:cs="宋体"/>
          <w:color w:val="auto"/>
          <w:highlight w:val="none"/>
        </w:rPr>
      </w:pPr>
    </w:p>
    <w:p w14:paraId="37792598">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688BECB">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B2B787E">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34E8078">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AA70937">
      <w:pPr>
        <w:pStyle w:val="33"/>
        <w:spacing w:beforeAutospacing="0" w:afterAutospacing="0" w:line="0" w:lineRule="atLeast"/>
        <w:ind w:firstLine="480"/>
        <w:jc w:val="both"/>
        <w:rPr>
          <w:rFonts w:hint="eastAsia" w:ascii="宋体" w:hAnsi="宋体" w:eastAsia="宋体" w:cs="宋体"/>
          <w:color w:val="auto"/>
          <w:highlight w:val="none"/>
        </w:rPr>
      </w:pPr>
    </w:p>
    <w:p w14:paraId="6129C8E0">
      <w:pPr>
        <w:pStyle w:val="33"/>
        <w:spacing w:beforeAutospacing="0" w:afterAutospacing="0" w:line="0" w:lineRule="atLeast"/>
        <w:ind w:firstLine="480"/>
        <w:jc w:val="both"/>
        <w:rPr>
          <w:rFonts w:hint="eastAsia" w:ascii="宋体" w:hAnsi="宋体" w:eastAsia="宋体" w:cs="宋体"/>
          <w:color w:val="auto"/>
          <w:highlight w:val="none"/>
        </w:rPr>
      </w:pPr>
    </w:p>
    <w:p w14:paraId="52B95DFD">
      <w:pPr>
        <w:pStyle w:val="33"/>
        <w:spacing w:beforeAutospacing="0" w:afterAutospacing="0" w:line="0" w:lineRule="atLeast"/>
        <w:ind w:firstLine="480"/>
        <w:jc w:val="both"/>
        <w:rPr>
          <w:rFonts w:hint="eastAsia" w:ascii="宋体" w:hAnsi="宋体" w:eastAsia="宋体" w:cs="宋体"/>
          <w:color w:val="auto"/>
          <w:highlight w:val="none"/>
        </w:rPr>
      </w:pPr>
    </w:p>
    <w:p w14:paraId="445BCB8A">
      <w:pPr>
        <w:pStyle w:val="33"/>
        <w:spacing w:beforeAutospacing="0" w:afterAutospacing="0" w:line="0" w:lineRule="atLeast"/>
        <w:ind w:firstLine="480"/>
        <w:jc w:val="both"/>
        <w:rPr>
          <w:rFonts w:hint="eastAsia" w:ascii="宋体" w:hAnsi="宋体" w:eastAsia="宋体" w:cs="宋体"/>
          <w:color w:val="auto"/>
          <w:highlight w:val="none"/>
        </w:rPr>
      </w:pPr>
    </w:p>
    <w:p w14:paraId="6B50462E">
      <w:pPr>
        <w:pStyle w:val="33"/>
        <w:spacing w:beforeAutospacing="0" w:afterAutospacing="0" w:line="0" w:lineRule="atLeast"/>
        <w:ind w:firstLine="480"/>
        <w:jc w:val="both"/>
        <w:rPr>
          <w:rFonts w:hint="eastAsia" w:ascii="宋体" w:hAnsi="宋体" w:eastAsia="宋体" w:cs="宋体"/>
          <w:color w:val="auto"/>
          <w:highlight w:val="none"/>
        </w:rPr>
      </w:pPr>
    </w:p>
    <w:p w14:paraId="3FDB9B54">
      <w:pPr>
        <w:pStyle w:val="33"/>
        <w:spacing w:beforeAutospacing="0" w:afterAutospacing="0" w:line="0" w:lineRule="atLeast"/>
        <w:ind w:firstLine="480"/>
        <w:jc w:val="both"/>
        <w:rPr>
          <w:rFonts w:hint="eastAsia" w:ascii="宋体" w:hAnsi="宋体" w:eastAsia="宋体" w:cs="宋体"/>
          <w:color w:val="auto"/>
          <w:highlight w:val="none"/>
        </w:rPr>
      </w:pPr>
    </w:p>
    <w:p w14:paraId="4ED97CDD">
      <w:pPr>
        <w:pStyle w:val="33"/>
        <w:spacing w:beforeAutospacing="0" w:afterAutospacing="0" w:line="0" w:lineRule="atLeast"/>
        <w:ind w:firstLine="480"/>
        <w:jc w:val="both"/>
        <w:rPr>
          <w:rFonts w:hint="eastAsia" w:ascii="宋体" w:hAnsi="宋体" w:eastAsia="宋体" w:cs="宋体"/>
          <w:color w:val="auto"/>
          <w:highlight w:val="none"/>
        </w:rPr>
      </w:pPr>
    </w:p>
    <w:p w14:paraId="1EDF5713">
      <w:pPr>
        <w:pStyle w:val="33"/>
        <w:spacing w:beforeAutospacing="0" w:afterAutospacing="0" w:line="0" w:lineRule="atLeast"/>
        <w:ind w:firstLine="480"/>
        <w:jc w:val="both"/>
        <w:rPr>
          <w:rFonts w:hint="eastAsia" w:ascii="宋体" w:hAnsi="宋体" w:eastAsia="宋体" w:cs="宋体"/>
          <w:color w:val="auto"/>
          <w:highlight w:val="none"/>
        </w:rPr>
      </w:pPr>
    </w:p>
    <w:p w14:paraId="13967D3B">
      <w:pPr>
        <w:pStyle w:val="33"/>
        <w:spacing w:beforeAutospacing="0" w:afterAutospacing="0" w:line="0" w:lineRule="atLeast"/>
        <w:ind w:firstLine="480"/>
        <w:jc w:val="both"/>
        <w:rPr>
          <w:rFonts w:hint="eastAsia" w:ascii="宋体" w:hAnsi="宋体" w:eastAsia="宋体" w:cs="宋体"/>
          <w:color w:val="auto"/>
          <w:highlight w:val="none"/>
        </w:rPr>
      </w:pPr>
    </w:p>
    <w:p w14:paraId="641DB835">
      <w:pPr>
        <w:pStyle w:val="33"/>
        <w:spacing w:beforeAutospacing="0" w:afterAutospacing="0" w:line="0" w:lineRule="atLeast"/>
        <w:ind w:firstLine="480"/>
        <w:jc w:val="both"/>
        <w:rPr>
          <w:rFonts w:hint="eastAsia" w:ascii="宋体" w:hAnsi="宋体" w:eastAsia="宋体" w:cs="宋体"/>
          <w:color w:val="auto"/>
          <w:highlight w:val="none"/>
        </w:rPr>
      </w:pPr>
    </w:p>
    <w:p w14:paraId="2B5E62E6">
      <w:pPr>
        <w:pStyle w:val="33"/>
        <w:spacing w:beforeAutospacing="0" w:afterAutospacing="0" w:line="0" w:lineRule="atLeast"/>
        <w:ind w:firstLine="480"/>
        <w:jc w:val="both"/>
        <w:rPr>
          <w:rFonts w:hint="eastAsia" w:ascii="宋体" w:hAnsi="宋体" w:eastAsia="宋体" w:cs="宋体"/>
          <w:color w:val="auto"/>
          <w:highlight w:val="none"/>
        </w:rPr>
      </w:pPr>
    </w:p>
    <w:p w14:paraId="356106F9">
      <w:pPr>
        <w:pStyle w:val="33"/>
        <w:spacing w:beforeAutospacing="0" w:afterAutospacing="0" w:line="0" w:lineRule="atLeast"/>
        <w:ind w:firstLine="480"/>
        <w:jc w:val="both"/>
        <w:rPr>
          <w:rFonts w:hint="eastAsia" w:ascii="宋体" w:hAnsi="宋体" w:eastAsia="宋体" w:cs="宋体"/>
          <w:color w:val="auto"/>
          <w:highlight w:val="none"/>
        </w:rPr>
      </w:pPr>
    </w:p>
    <w:p w14:paraId="07ABC21B">
      <w:pPr>
        <w:pStyle w:val="33"/>
        <w:spacing w:beforeAutospacing="0" w:afterAutospacing="0" w:line="0" w:lineRule="atLeast"/>
        <w:ind w:firstLine="480"/>
        <w:jc w:val="both"/>
        <w:rPr>
          <w:rFonts w:hint="eastAsia" w:ascii="宋体" w:hAnsi="宋体" w:eastAsia="宋体" w:cs="宋体"/>
          <w:color w:val="auto"/>
          <w:highlight w:val="none"/>
        </w:rPr>
      </w:pPr>
    </w:p>
    <w:p w14:paraId="7D9498DE">
      <w:pPr>
        <w:pStyle w:val="33"/>
        <w:spacing w:beforeAutospacing="0" w:afterAutospacing="0"/>
        <w:jc w:val="both"/>
        <w:rPr>
          <w:rFonts w:hint="eastAsia" w:ascii="宋体" w:hAnsi="宋体" w:eastAsia="宋体" w:cs="宋体"/>
          <w:i w:val="0"/>
          <w:iCs w:val="0"/>
          <w:color w:val="auto"/>
          <w:sz w:val="32"/>
          <w:szCs w:val="32"/>
          <w:highlight w:val="none"/>
          <w:u w:val="single"/>
        </w:rPr>
      </w:pPr>
    </w:p>
    <w:p w14:paraId="112C6781">
      <w:pPr>
        <w:pStyle w:val="33"/>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一、法人或者其他组织的营业执照等证明文件，自然人的身份证明</w:t>
      </w:r>
    </w:p>
    <w:p w14:paraId="63235B96">
      <w:pPr>
        <w:pStyle w:val="33"/>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DEF5AC1">
      <w:pPr>
        <w:pStyle w:val="33"/>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二、上一年度的财务状况报表</w:t>
      </w:r>
    </w:p>
    <w:p w14:paraId="745AF075">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供应商成立不满一年无需提供</w:t>
      </w:r>
    </w:p>
    <w:p w14:paraId="7E634795">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E4E0D4F">
      <w:pPr>
        <w:pStyle w:val="33"/>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三</w:t>
      </w:r>
      <w:r>
        <w:rPr>
          <w:rFonts w:hint="eastAsia" w:ascii="宋体" w:hAnsi="宋体" w:eastAsia="宋体" w:cs="宋体"/>
          <w:i w:val="0"/>
          <w:iCs w:val="0"/>
          <w:color w:val="auto"/>
          <w:sz w:val="32"/>
          <w:szCs w:val="32"/>
          <w:highlight w:val="none"/>
          <w:u w:val="single"/>
        </w:rPr>
        <w:t>、具备履行合同所必需的设备和专业技术能力的书面声明</w:t>
      </w:r>
    </w:p>
    <w:p w14:paraId="62F7ADB1">
      <w:pPr>
        <w:pStyle w:val="33"/>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515CF283">
      <w:pPr>
        <w:pStyle w:val="33"/>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6E73FE2">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F39E24A">
      <w:pPr>
        <w:pStyle w:val="33"/>
        <w:spacing w:beforeAutospacing="0" w:afterAutospacing="0"/>
        <w:jc w:val="both"/>
        <w:rPr>
          <w:rFonts w:hint="eastAsia" w:ascii="宋体" w:hAnsi="宋体" w:eastAsia="宋体" w:cs="宋体"/>
          <w:i/>
          <w:color w:val="auto"/>
          <w:sz w:val="32"/>
          <w:szCs w:val="32"/>
          <w:highlight w:val="none"/>
          <w:u w:val="single"/>
          <w:lang w:val="en-US" w:eastAsia="zh-CN"/>
        </w:rPr>
      </w:pPr>
    </w:p>
    <w:p w14:paraId="21730599">
      <w:pPr>
        <w:pStyle w:val="33"/>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四</w:t>
      </w:r>
      <w:r>
        <w:rPr>
          <w:rFonts w:hint="eastAsia" w:ascii="宋体" w:hAnsi="宋体" w:eastAsia="宋体" w:cs="宋体"/>
          <w:i w:val="0"/>
          <w:iCs w:val="0"/>
          <w:color w:val="auto"/>
          <w:sz w:val="32"/>
          <w:szCs w:val="32"/>
          <w:highlight w:val="none"/>
          <w:u w:val="single"/>
        </w:rPr>
        <w:t>、依法缴纳税收和社会保障资金的相关材料</w:t>
      </w:r>
    </w:p>
    <w:p w14:paraId="6CE207BE">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2A9589C1">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DD3CB12">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DC5B44F">
      <w:pPr>
        <w:pStyle w:val="33"/>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五、参加政府采购活动前 3 年内在经营活动中没有重大违法记录的书面声明</w:t>
      </w:r>
    </w:p>
    <w:p w14:paraId="0D9BAF89">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声  明</w:t>
      </w:r>
    </w:p>
    <w:p w14:paraId="6CEB5966">
      <w:pPr>
        <w:pStyle w:val="33"/>
        <w:spacing w:beforeAutospacing="0" w:afterAutospacing="0" w:line="0" w:lineRule="atLeast"/>
        <w:ind w:firstLine="863"/>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428B065">
      <w:pPr>
        <w:pStyle w:val="33"/>
        <w:spacing w:beforeAutospacing="0" w:afterAutospacing="0" w:line="0" w:lineRule="atLeast"/>
        <w:ind w:firstLine="863"/>
        <w:jc w:val="both"/>
        <w:rPr>
          <w:rFonts w:hint="eastAsia" w:ascii="宋体" w:hAnsi="宋体" w:eastAsia="宋体" w:cs="宋体"/>
          <w:color w:val="auto"/>
          <w:highlight w:val="none"/>
        </w:rPr>
      </w:pPr>
    </w:p>
    <w:p w14:paraId="5EA56A7E">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cs="黑体"/>
          <w:i/>
          <w:color w:val="auto"/>
          <w:sz w:val="32"/>
          <w:szCs w:val="32"/>
          <w:highlight w:val="none"/>
          <w:u w:val="single"/>
        </w:rPr>
        <w:t>六、在“信用中国”网站查询，无被列入失信被执行人、重大税收违法案件当事人名单、政府采购严重失信行为记录名单及其他不符合《中华人民共和国政府采购法》第二十二条规定条件的信用记录。</w:t>
      </w:r>
    </w:p>
    <w:p w14:paraId="370FF2A9">
      <w:pPr>
        <w:pStyle w:val="33"/>
        <w:spacing w:beforeAutospacing="0" w:afterAutospacing="0"/>
        <w:jc w:val="both"/>
        <w:rPr>
          <w:rFonts w:hint="eastAsia" w:ascii="宋体" w:hAnsi="宋体" w:eastAsia="宋体" w:cs="宋体"/>
          <w:color w:val="auto"/>
          <w:highlight w:val="none"/>
        </w:rPr>
      </w:pPr>
    </w:p>
    <w:p w14:paraId="2DDC2EDA">
      <w:pPr>
        <w:pStyle w:val="33"/>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七</w:t>
      </w:r>
      <w:r>
        <w:rPr>
          <w:rFonts w:hint="eastAsia" w:ascii="宋体" w:hAnsi="宋体" w:eastAsia="宋体" w:cs="宋体"/>
          <w:i w:val="0"/>
          <w:iCs w:val="0"/>
          <w:color w:val="auto"/>
          <w:sz w:val="32"/>
          <w:szCs w:val="32"/>
          <w:highlight w:val="none"/>
          <w:u w:val="single"/>
        </w:rPr>
        <w:t>、</w:t>
      </w:r>
      <w:r>
        <w:rPr>
          <w:rFonts w:hint="eastAsia" w:ascii="宋体" w:hAnsi="宋体" w:cs="宋体"/>
          <w:i/>
          <w:color w:val="auto"/>
          <w:highlight w:val="none"/>
          <w:u w:val="single"/>
        </w:rPr>
        <w:t>单位负责人为同一人或者存在直接控股、服务关系的不同供应商，不得参加同一合同项下的政府采购活动。</w:t>
      </w:r>
    </w:p>
    <w:p w14:paraId="1F227CC6">
      <w:pPr>
        <w:pStyle w:val="33"/>
        <w:spacing w:beforeAutospacing="0" w:afterAutospacing="0" w:line="0" w:lineRule="atLeast"/>
        <w:ind w:firstLine="3092"/>
        <w:jc w:val="both"/>
        <w:rPr>
          <w:rFonts w:ascii="宋体" w:hAnsi="宋体"/>
          <w:color w:val="auto"/>
          <w:highlight w:val="none"/>
        </w:rPr>
      </w:pPr>
      <w:r>
        <w:rPr>
          <w:rFonts w:hint="eastAsia" w:ascii="宋体" w:hAnsi="宋体" w:eastAsia="宋体" w:cs="宋体"/>
          <w:color w:val="auto"/>
          <w:highlight w:val="none"/>
        </w:rPr>
        <w:t xml:space="preserve">   </w:t>
      </w:r>
      <w:r>
        <w:rPr>
          <w:rFonts w:hint="eastAsia" w:ascii="宋体" w:hAnsi="宋体" w:cs="宋体"/>
          <w:b/>
          <w:color w:val="auto"/>
          <w:sz w:val="44"/>
          <w:szCs w:val="44"/>
          <w:highlight w:val="none"/>
        </w:rPr>
        <w:t>声  明</w:t>
      </w:r>
    </w:p>
    <w:p w14:paraId="1C3BFFF6">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我单位不存在：单位负责人为同一人或者存在直接控股、服务关系的不同供应商同时参加同一合同项下的政府采购活动。</w:t>
      </w:r>
    </w:p>
    <w:p w14:paraId="1130A15F">
      <w:pPr>
        <w:pStyle w:val="33"/>
        <w:spacing w:beforeAutospacing="0" w:afterAutospacing="0"/>
        <w:jc w:val="center"/>
        <w:rPr>
          <w:rFonts w:hint="eastAsia" w:ascii="宋体" w:hAnsi="宋体" w:eastAsia="宋体" w:cs="宋体"/>
          <w:i/>
          <w:color w:val="auto"/>
          <w:sz w:val="32"/>
          <w:szCs w:val="32"/>
          <w:highlight w:val="none"/>
          <w:u w:val="single"/>
        </w:rPr>
      </w:pPr>
      <w:bookmarkStart w:id="247" w:name="_Toc120614284"/>
    </w:p>
    <w:p w14:paraId="42C6083B">
      <w:pPr>
        <w:pStyle w:val="33"/>
        <w:spacing w:beforeAutospacing="0" w:afterAutospacing="0"/>
        <w:jc w:val="center"/>
        <w:rPr>
          <w:rFonts w:hint="eastAsia" w:ascii="宋体" w:hAnsi="宋体" w:eastAsia="宋体" w:cs="宋体"/>
          <w:i/>
          <w:color w:val="auto"/>
          <w:sz w:val="32"/>
          <w:szCs w:val="32"/>
          <w:highlight w:val="none"/>
          <w:u w:val="single"/>
        </w:rPr>
      </w:pPr>
    </w:p>
    <w:p w14:paraId="2CAA8F04">
      <w:pPr>
        <w:pStyle w:val="33"/>
        <w:spacing w:beforeAutospacing="0" w:afterAutospacing="0"/>
        <w:jc w:val="center"/>
        <w:rPr>
          <w:rFonts w:hint="eastAsia" w:ascii="宋体" w:hAnsi="宋体" w:eastAsia="宋体" w:cs="宋体"/>
          <w:i/>
          <w:color w:val="auto"/>
          <w:sz w:val="32"/>
          <w:szCs w:val="32"/>
          <w:highlight w:val="none"/>
          <w:u w:val="single"/>
        </w:rPr>
      </w:pPr>
    </w:p>
    <w:p w14:paraId="53332C3C">
      <w:pPr>
        <w:pStyle w:val="33"/>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八</w:t>
      </w:r>
      <w:r>
        <w:rPr>
          <w:rFonts w:hint="eastAsia" w:ascii="宋体" w:hAnsi="宋体" w:eastAsia="宋体" w:cs="宋体"/>
          <w:i w:val="0"/>
          <w:iCs w:val="0"/>
          <w:color w:val="auto"/>
          <w:sz w:val="32"/>
          <w:szCs w:val="32"/>
          <w:highlight w:val="none"/>
          <w:u w:val="single"/>
        </w:rPr>
        <w:t>、法人授权书</w:t>
      </w:r>
    </w:p>
    <w:p w14:paraId="4A62E88A">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rPr>
      </w:pPr>
      <w:bookmarkStart w:id="248" w:name="_Hlt26955070"/>
      <w:bookmarkStart w:id="249" w:name="_格式3__银行出具的资信证明"/>
      <w:bookmarkStart w:id="250" w:name="_Hlt26671380"/>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4A3FCBC6">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268086AC">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6A1BC428">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0D8DD2D9">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盖章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          </w:t>
      </w:r>
    </w:p>
    <w:p w14:paraId="1B1A9D52">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w:t>
      </w:r>
    </w:p>
    <w:p w14:paraId="470BCFB3">
      <w:pPr>
        <w:pStyle w:val="33"/>
        <w:keepNext w:val="0"/>
        <w:keepLines w:val="0"/>
        <w:pageBreakBefore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w:t>
      </w:r>
    </w:p>
    <w:p w14:paraId="1FE3B0F6">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897818">
      <w:pPr>
        <w:pStyle w:val="33"/>
        <w:keepNext/>
        <w:keepLines/>
        <w:spacing w:before="260" w:beforeAutospacing="0" w:after="260" w:afterAutospacing="0" w:line="415" w:lineRule="auto"/>
        <w:ind w:firstLine="3390"/>
        <w:jc w:val="both"/>
        <w:rPr>
          <w:rFonts w:hint="eastAsia" w:ascii="宋体" w:hAnsi="宋体" w:eastAsia="宋体" w:cs="宋体"/>
          <w:i w:val="0"/>
          <w:iCs w:val="0"/>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val="0"/>
          <w:iCs w:val="0"/>
          <w:color w:val="auto"/>
          <w:highlight w:val="none"/>
        </w:rPr>
        <w:t> </w:t>
      </w:r>
      <w:r>
        <w:rPr>
          <w:rFonts w:hint="eastAsia" w:ascii="宋体" w:hAnsi="宋体" w:eastAsia="宋体" w:cs="宋体"/>
          <w:b/>
          <w:i w:val="0"/>
          <w:iCs w:val="0"/>
          <w:color w:val="auto"/>
          <w:sz w:val="32"/>
          <w:szCs w:val="32"/>
          <w:highlight w:val="none"/>
          <w:u w:val="single"/>
          <w:lang w:val="en-US" w:eastAsia="zh-CN"/>
        </w:rPr>
        <w:t>九</w:t>
      </w:r>
      <w:r>
        <w:rPr>
          <w:rFonts w:hint="eastAsia" w:ascii="宋体" w:hAnsi="宋体" w:eastAsia="宋体" w:cs="宋体"/>
          <w:b/>
          <w:i w:val="0"/>
          <w:iCs w:val="0"/>
          <w:color w:val="auto"/>
          <w:sz w:val="32"/>
          <w:szCs w:val="32"/>
          <w:highlight w:val="none"/>
          <w:u w:val="single"/>
        </w:rPr>
        <w:t>、磋商响应函</w:t>
      </w:r>
    </w:p>
    <w:p w14:paraId="2A60D861">
      <w:pPr>
        <w:pStyle w:val="33"/>
        <w:keepNext w:val="0"/>
        <w:keepLines w:val="0"/>
        <w:pageBreakBefore w:val="0"/>
        <w:widowControl w:val="0"/>
        <w:spacing w:beforeAutospacing="0" w:afterAutospacing="0" w:line="500" w:lineRule="exact"/>
        <w:ind w:left="0"/>
        <w:rPr>
          <w:rFonts w:hint="default" w:ascii="宋体" w:hAnsi="宋体" w:eastAsia="宋体" w:cs="宋体"/>
          <w:color w:val="auto"/>
          <w:sz w:val="24"/>
          <w:highlight w:val="none"/>
          <w:u w:val="singl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（采购人）</w:t>
      </w:r>
      <w:r>
        <w:rPr>
          <w:rFonts w:hint="eastAsia" w:ascii="宋体" w:hAnsi="宋体" w:cs="宋体"/>
          <w:color w:val="auto"/>
          <w:sz w:val="24"/>
          <w:highlight w:val="none"/>
          <w:u w:val="none"/>
          <w:lang w:val="en-US" w:eastAsia="zh-CN"/>
        </w:rPr>
        <w:t xml:space="preserve">  </w:t>
      </w:r>
    </w:p>
    <w:p w14:paraId="49C327D1">
      <w:pPr>
        <w:pStyle w:val="204"/>
        <w:keepNext w:val="0"/>
        <w:keepLines w:val="0"/>
        <w:pageBreakBefore w:val="0"/>
        <w:widowControl w:val="0"/>
        <w:spacing w:before="0" w:after="0" w:line="480" w:lineRule="exact"/>
        <w:ind w:firstLine="482"/>
        <w:rPr>
          <w:rFonts w:ascii="宋体" w:hAnsi="宋体" w:cs="宋体"/>
          <w:color w:val="auto"/>
          <w:sz w:val="24"/>
          <w:highlight w:val="none"/>
        </w:rPr>
      </w:pPr>
      <w:r>
        <w:rPr>
          <w:rFonts w:hint="eastAsia" w:ascii="宋体" w:hAnsi="宋体" w:cs="宋体"/>
          <w:color w:val="auto"/>
          <w:sz w:val="24"/>
          <w:highlight w:val="none"/>
        </w:rPr>
        <w:t>根据贵方的_____________号磋商文件，正式授权下述签字_____________(姓名)代表我方______________（供应商的名称），全权处理本次项目磋商采购的有关事宜。</w:t>
      </w:r>
    </w:p>
    <w:p w14:paraId="5AD3BA02">
      <w:pPr>
        <w:pStyle w:val="204"/>
        <w:keepNext w:val="0"/>
        <w:keepLines w:val="0"/>
        <w:pageBreakBefore w:val="0"/>
        <w:widowControl w:val="0"/>
        <w:spacing w:before="0" w:after="0" w:line="480" w:lineRule="exact"/>
        <w:ind w:firstLine="482"/>
        <w:rPr>
          <w:rFonts w:ascii="宋体" w:hAnsi="宋体" w:cs="宋体"/>
          <w:color w:val="auto"/>
          <w:sz w:val="24"/>
          <w:highlight w:val="none"/>
        </w:rPr>
      </w:pPr>
      <w:r>
        <w:rPr>
          <w:rFonts w:hint="eastAsia" w:ascii="宋体" w:hAnsi="宋体" w:cs="宋体"/>
          <w:color w:val="auto"/>
          <w:sz w:val="24"/>
          <w:highlight w:val="none"/>
        </w:rPr>
        <w:t>据此函，__________签字人兹宣布同意如下：</w:t>
      </w:r>
    </w:p>
    <w:p w14:paraId="4A56587F">
      <w:pPr>
        <w:pStyle w:val="205"/>
        <w:keepNext w:val="0"/>
        <w:keepLines w:val="0"/>
        <w:pageBreakBefore w:val="0"/>
        <w:widowControl w:val="0"/>
        <w:spacing w:before="0" w:beforeAutospacing="0" w:after="0" w:afterAutospacing="0" w:line="480" w:lineRule="exact"/>
        <w:ind w:firstLine="482"/>
        <w:rPr>
          <w:rFonts w:eastAsia="宋体"/>
          <w:color w:val="auto"/>
          <w:szCs w:val="24"/>
          <w:highlight w:val="none"/>
        </w:rPr>
      </w:pPr>
      <w:r>
        <w:rPr>
          <w:rFonts w:hint="eastAsia" w:eastAsia="宋体"/>
          <w:color w:val="auto"/>
          <w:szCs w:val="24"/>
          <w:highlight w:val="none"/>
        </w:rPr>
        <w:t>1.按磋商文件规定的各项要求，向买方提供所需货物、服务（包含与货物相关的服务及与服务相关的货物）。</w:t>
      </w:r>
    </w:p>
    <w:p w14:paraId="1DBAEA3C">
      <w:pPr>
        <w:pStyle w:val="205"/>
        <w:keepNext w:val="0"/>
        <w:keepLines w:val="0"/>
        <w:pageBreakBefore w:val="0"/>
        <w:widowControl w:val="0"/>
        <w:spacing w:before="0" w:beforeAutospacing="0" w:after="0" w:afterAutospacing="0" w:line="480" w:lineRule="exact"/>
        <w:ind w:firstLine="482"/>
        <w:outlineLvl w:val="2"/>
        <w:rPr>
          <w:rFonts w:eastAsia="宋体"/>
          <w:color w:val="auto"/>
          <w:szCs w:val="24"/>
          <w:highlight w:val="none"/>
        </w:rPr>
      </w:pPr>
      <w:r>
        <w:rPr>
          <w:rFonts w:hint="eastAsia" w:eastAsia="宋体"/>
          <w:color w:val="auto"/>
          <w:szCs w:val="24"/>
          <w:highlight w:val="none"/>
        </w:rPr>
        <w:t>2.我们完全理解贵方不一定将合同授予最低报价的供应商。</w:t>
      </w:r>
    </w:p>
    <w:p w14:paraId="305FC08F">
      <w:pPr>
        <w:pStyle w:val="205"/>
        <w:keepNext w:val="0"/>
        <w:keepLines w:val="0"/>
        <w:pageBreakBefore w:val="0"/>
        <w:widowControl w:val="0"/>
        <w:spacing w:before="0" w:beforeAutospacing="0" w:after="0" w:afterAutospacing="0" w:line="480" w:lineRule="exact"/>
        <w:ind w:firstLine="482"/>
        <w:rPr>
          <w:rFonts w:eastAsia="宋体"/>
          <w:color w:val="auto"/>
          <w:szCs w:val="24"/>
          <w:highlight w:val="none"/>
        </w:rPr>
      </w:pPr>
      <w:r>
        <w:rPr>
          <w:rFonts w:hint="eastAsia" w:eastAsia="宋体"/>
          <w:color w:val="auto"/>
          <w:szCs w:val="24"/>
          <w:highlight w:val="none"/>
        </w:rPr>
        <w:t>3.我们已详细审核全部磋商文件及其有效补充文件，我们知道必须放弃提出含糊不清或误解问题的权利。</w:t>
      </w:r>
    </w:p>
    <w:p w14:paraId="0F408DE2">
      <w:pPr>
        <w:pStyle w:val="205"/>
        <w:keepNext w:val="0"/>
        <w:keepLines w:val="0"/>
        <w:pageBreakBefore w:val="0"/>
        <w:widowControl w:val="0"/>
        <w:spacing w:before="0" w:beforeAutospacing="0" w:after="0" w:afterAutospacing="0" w:line="480" w:lineRule="exact"/>
        <w:ind w:firstLine="482"/>
        <w:rPr>
          <w:rFonts w:eastAsia="宋体"/>
          <w:color w:val="auto"/>
          <w:szCs w:val="24"/>
          <w:highlight w:val="none"/>
        </w:rPr>
      </w:pPr>
      <w:r>
        <w:rPr>
          <w:rFonts w:hint="eastAsia" w:eastAsia="宋体"/>
          <w:color w:val="auto"/>
          <w:szCs w:val="24"/>
          <w:highlight w:val="none"/>
        </w:rPr>
        <w:t>4.我们同意从规定的开标日期起遵循本响应文件，并在规定的磋商有效期期满之前均具有约束力。</w:t>
      </w:r>
    </w:p>
    <w:p w14:paraId="5E0A04CC">
      <w:pPr>
        <w:pStyle w:val="205"/>
        <w:keepNext w:val="0"/>
        <w:keepLines w:val="0"/>
        <w:pageBreakBefore w:val="0"/>
        <w:widowControl w:val="0"/>
        <w:spacing w:before="0" w:beforeAutospacing="0" w:after="0" w:afterAutospacing="0" w:line="480" w:lineRule="exact"/>
        <w:ind w:firstLine="482"/>
        <w:rPr>
          <w:rFonts w:eastAsia="宋体"/>
          <w:color w:val="auto"/>
          <w:szCs w:val="24"/>
          <w:highlight w:val="none"/>
        </w:rPr>
      </w:pPr>
      <w:r>
        <w:rPr>
          <w:rFonts w:hint="eastAsia" w:eastAsia="宋体"/>
          <w:color w:val="auto"/>
          <w:szCs w:val="24"/>
          <w:highlight w:val="none"/>
        </w:rPr>
        <w:t>5.同意向贵方提供贵方可能另外要求的与磋商有关的任何证据或资料，并保证我方已提供和将要提供的文件是真实的、准确的。</w:t>
      </w:r>
    </w:p>
    <w:p w14:paraId="0B09ABB7">
      <w:pPr>
        <w:pStyle w:val="205"/>
        <w:keepNext w:val="0"/>
        <w:keepLines w:val="0"/>
        <w:pageBreakBefore w:val="0"/>
        <w:widowControl w:val="0"/>
        <w:spacing w:before="0" w:beforeAutospacing="0" w:after="0" w:afterAutospacing="0" w:line="480" w:lineRule="exact"/>
        <w:ind w:firstLine="482"/>
        <w:rPr>
          <w:rFonts w:eastAsia="宋体"/>
          <w:color w:val="auto"/>
          <w:szCs w:val="24"/>
          <w:highlight w:val="none"/>
        </w:rPr>
      </w:pPr>
      <w:r>
        <w:rPr>
          <w:rFonts w:hint="eastAsia" w:eastAsia="宋体"/>
          <w:color w:val="auto"/>
          <w:szCs w:val="24"/>
          <w:highlight w:val="none"/>
        </w:rPr>
        <w:t>6.一旦我方成交,我方将根据磋商文件的规定，严格履行合同的责任和义务,并保证在磋商文件规定的时间完成项目，交付买方验收、使用。</w:t>
      </w:r>
    </w:p>
    <w:p w14:paraId="193C7B93">
      <w:pPr>
        <w:pStyle w:val="33"/>
        <w:keepNext w:val="0"/>
        <w:keepLines w:val="0"/>
        <w:pageBreakBefore w:val="0"/>
        <w:widowControl w:val="0"/>
        <w:spacing w:beforeAutospacing="0" w:afterAutospacing="0" w:line="480" w:lineRule="exact"/>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.我方与本磋商有关的正式通讯地址为：</w:t>
      </w:r>
    </w:p>
    <w:p w14:paraId="61AD3A7B">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auto"/>
          <w:highlight w:val="none"/>
        </w:rPr>
      </w:pPr>
      <w:r>
        <w:rPr>
          <w:rFonts w:hint="eastAsia" w:ascii="宋体" w:hAnsi="宋体" w:eastAsia="宋体" w:cs="宋体"/>
          <w:color w:val="auto"/>
          <w:highlight w:val="none"/>
        </w:rPr>
        <w:t>地   址：</w:t>
      </w:r>
    </w:p>
    <w:p w14:paraId="52753475">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auto"/>
          <w:highlight w:val="none"/>
        </w:rPr>
      </w:pPr>
      <w:r>
        <w:rPr>
          <w:rFonts w:hint="eastAsia" w:ascii="宋体" w:hAnsi="宋体" w:eastAsia="宋体" w:cs="宋体"/>
          <w:color w:val="auto"/>
          <w:highlight w:val="none"/>
        </w:rPr>
        <w:t>邮   编：</w:t>
      </w:r>
    </w:p>
    <w:p w14:paraId="30A5F8CB">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auto"/>
          <w:highlight w:val="none"/>
        </w:rPr>
      </w:pPr>
      <w:r>
        <w:rPr>
          <w:rFonts w:hint="eastAsia" w:ascii="宋体" w:hAnsi="宋体" w:eastAsia="宋体" w:cs="宋体"/>
          <w:color w:val="auto"/>
          <w:highlight w:val="none"/>
        </w:rPr>
        <w:t>电   话：</w:t>
      </w:r>
    </w:p>
    <w:p w14:paraId="571366C3">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auto"/>
          <w:highlight w:val="none"/>
        </w:rPr>
      </w:pPr>
      <w:r>
        <w:rPr>
          <w:rFonts w:hint="eastAsia" w:ascii="宋体" w:hAnsi="宋体" w:eastAsia="宋体" w:cs="宋体"/>
          <w:color w:val="auto"/>
          <w:highlight w:val="none"/>
        </w:rPr>
        <w:t>传   真：</w:t>
      </w:r>
    </w:p>
    <w:p w14:paraId="3895BFEA">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auto"/>
          <w:highlight w:val="none"/>
        </w:rPr>
      </w:pPr>
      <w:r>
        <w:rPr>
          <w:rFonts w:hint="eastAsia" w:ascii="宋体" w:hAnsi="宋体" w:eastAsia="宋体" w:cs="宋体"/>
          <w:color w:val="auto"/>
          <w:highlight w:val="none"/>
        </w:rPr>
        <w:t>供应商开户行：</w:t>
      </w:r>
    </w:p>
    <w:p w14:paraId="3E82B248">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auto"/>
          <w:highlight w:val="none"/>
        </w:rPr>
      </w:pPr>
      <w:r>
        <w:rPr>
          <w:rFonts w:hint="eastAsia" w:ascii="宋体" w:hAnsi="宋体" w:eastAsia="宋体" w:cs="宋体"/>
          <w:color w:val="auto"/>
          <w:highlight w:val="none"/>
        </w:rPr>
        <w:t>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w:t>
      </w:r>
    </w:p>
    <w:p w14:paraId="4C86A531">
      <w:pPr>
        <w:pStyle w:val="33"/>
        <w:tabs>
          <w:tab w:val="left" w:pos="4864"/>
        </w:tabs>
        <w:spacing w:beforeAutospacing="0" w:afterAutospacing="0" w:line="0" w:lineRule="atLeast"/>
        <w:ind w:right="1560" w:firstLine="624"/>
        <w:jc w:val="center"/>
        <w:rPr>
          <w:rFonts w:hint="eastAsia" w:ascii="宋体" w:hAnsi="宋体" w:eastAsia="宋体" w:cs="宋体"/>
          <w:color w:val="auto"/>
          <w:highlight w:val="none"/>
        </w:rPr>
      </w:pPr>
    </w:p>
    <w:p w14:paraId="63E9CB42">
      <w:pPr>
        <w:pStyle w:val="33"/>
        <w:tabs>
          <w:tab w:val="left" w:pos="4864"/>
        </w:tabs>
        <w:spacing w:beforeAutospacing="0" w:afterAutospacing="0" w:line="0" w:lineRule="atLeast"/>
        <w:ind w:right="1560" w:firstLine="480"/>
        <w:jc w:val="both"/>
        <w:rPr>
          <w:rFonts w:hint="eastAsia" w:ascii="宋体" w:hAnsi="宋体" w:eastAsia="宋体" w:cs="宋体"/>
          <w:color w:val="auto"/>
          <w:highlight w:val="none"/>
        </w:rPr>
      </w:pPr>
    </w:p>
    <w:p w14:paraId="2354B3AA">
      <w:pPr>
        <w:pStyle w:val="33"/>
        <w:tabs>
          <w:tab w:val="left" w:pos="4864"/>
        </w:tabs>
        <w:spacing w:beforeAutospacing="0" w:afterAutospacing="0" w:line="360" w:lineRule="auto"/>
        <w:ind w:right="1560"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供应商全称（加盖CA电子公章）：</w:t>
      </w:r>
    </w:p>
    <w:p w14:paraId="125FC47A">
      <w:pPr>
        <w:pStyle w:val="33"/>
        <w:tabs>
          <w:tab w:val="left" w:pos="4864"/>
        </w:tabs>
        <w:spacing w:beforeAutospacing="0" w:afterAutospacing="0" w:line="360" w:lineRule="auto"/>
        <w:ind w:right="156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法定代表人或授权代表（签字）：</w:t>
      </w:r>
    </w:p>
    <w:p w14:paraId="278A185D">
      <w:pPr>
        <w:pStyle w:val="33"/>
        <w:keepNext w:val="0"/>
        <w:keepLines w:val="0"/>
        <w:pageBreakBefore w:val="0"/>
        <w:widowControl w:val="0"/>
        <w:spacing w:beforeAutospacing="0" w:afterAutospacing="0" w:line="360" w:lineRule="auto"/>
        <w:ind w:left="0" w:firstLine="480"/>
        <w:rPr>
          <w:rFonts w:hint="eastAsia" w:ascii="宋体" w:hAnsi="宋体" w:eastAsia="宋体" w:cs="宋体"/>
          <w:color w:val="auto"/>
          <w:highlight w:val="none"/>
        </w:rPr>
      </w:pPr>
      <w:r>
        <w:rPr>
          <w:rFonts w:hint="eastAsia" w:ascii="宋体" w:hAnsi="宋体" w:eastAsia="宋体" w:cs="宋体"/>
          <w:color w:val="auto"/>
          <w:highlight w:val="none"/>
        </w:rPr>
        <w:t>日   期：________年____月____日</w:t>
      </w:r>
    </w:p>
    <w:p w14:paraId="458A808C">
      <w:pPr>
        <w:pStyle w:val="33"/>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F202885">
      <w:pPr>
        <w:pStyle w:val="33"/>
        <w:keepNext w:val="0"/>
        <w:keepLines w:val="0"/>
        <w:pageBreakBefore w:val="0"/>
        <w:widowControl w:val="0"/>
        <w:spacing w:beforeAutospacing="0" w:afterAutospacing="0" w:line="500" w:lineRule="exact"/>
        <w:ind w:right="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十</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小微</w:t>
      </w:r>
      <w:r>
        <w:rPr>
          <w:rFonts w:hint="eastAsia" w:ascii="宋体" w:hAnsi="宋体" w:eastAsia="宋体" w:cs="宋体"/>
          <w:b/>
          <w:color w:val="auto"/>
          <w:sz w:val="32"/>
          <w:szCs w:val="32"/>
          <w:highlight w:val="none"/>
        </w:rPr>
        <w:t>企业声明函</w:t>
      </w:r>
    </w:p>
    <w:p w14:paraId="3A21691B">
      <w:pPr>
        <w:pStyle w:val="33"/>
        <w:keepNext w:val="0"/>
        <w:keepLines w:val="0"/>
        <w:pageBreakBefore w:val="0"/>
        <w:widowControl w:val="0"/>
        <w:spacing w:beforeAutospacing="0" w:afterAutospacing="0" w:line="500" w:lineRule="exact"/>
        <w:ind w:righ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采购人</w:t>
      </w:r>
      <w:r>
        <w:rPr>
          <w:rFonts w:hint="eastAsia" w:ascii="宋体" w:hAnsi="宋体" w:eastAsia="宋体" w:cs="宋体"/>
          <w:color w:val="auto"/>
          <w:sz w:val="24"/>
          <w:szCs w:val="24"/>
          <w:highlight w:val="none"/>
          <w:u w:val="single"/>
        </w:rPr>
        <w:t>）</w:t>
      </w:r>
      <w:r>
        <w:rPr>
          <w:rFonts w:hint="eastAsia" w:ascii="宋体" w:hAnsi="宋体" w:eastAsia="宋体" w:cs="宋体"/>
          <w:color w:val="auto"/>
          <w:highlight w:val="none"/>
        </w:rPr>
        <w:t>组织的</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项目</w:t>
      </w:r>
      <w:r>
        <w:rPr>
          <w:rFonts w:hint="eastAsia" w:ascii="宋体" w:hAnsi="宋体" w:eastAsia="宋体" w:cs="宋体"/>
          <w:color w:val="auto"/>
          <w:highlight w:val="none"/>
          <w:u w:val="single"/>
        </w:rPr>
        <w:t>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ED708F1">
      <w:pPr>
        <w:pStyle w:val="33"/>
        <w:keepNext w:val="0"/>
        <w:keepLines w:val="0"/>
        <w:pageBreakBefore w:val="0"/>
        <w:widowControl w:val="0"/>
        <w:spacing w:beforeAutospacing="0" w:afterAutospacing="0" w:line="500" w:lineRule="exact"/>
        <w:ind w:righ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（采购文件中明确的所属行业）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sz w:val="24"/>
          <w:szCs w:val="24"/>
          <w:highlight w:val="none"/>
          <w:u w:val="single"/>
        </w:rPr>
        <w:t>（小型企业、微型企业）</w:t>
      </w:r>
      <w:r>
        <w:rPr>
          <w:rFonts w:hint="eastAsia" w:ascii="宋体" w:hAnsi="宋体" w:eastAsia="宋体" w:cs="宋体"/>
          <w:color w:val="auto"/>
          <w:highlight w:val="none"/>
          <w:u w:val="single"/>
        </w:rPr>
        <w:t>；</w:t>
      </w:r>
    </w:p>
    <w:p w14:paraId="69C9F47A">
      <w:pPr>
        <w:pStyle w:val="33"/>
        <w:keepNext w:val="0"/>
        <w:keepLines w:val="0"/>
        <w:pageBreakBefore w:val="0"/>
        <w:widowControl w:val="0"/>
        <w:spacing w:beforeAutospacing="0" w:afterAutospacing="0" w:line="500" w:lineRule="exact"/>
        <w:ind w:righ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667C57DD">
      <w:pPr>
        <w:pStyle w:val="33"/>
        <w:keepNext w:val="0"/>
        <w:keepLines w:val="0"/>
        <w:pageBreakBefore w:val="0"/>
        <w:widowControl w:val="0"/>
        <w:spacing w:beforeAutospacing="0" w:afterAutospacing="0" w:line="500" w:lineRule="exact"/>
        <w:ind w:righ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1061C30">
      <w:pPr>
        <w:pStyle w:val="33"/>
        <w:keepNext w:val="0"/>
        <w:keepLines w:val="0"/>
        <w:pageBreakBefore w:val="0"/>
        <w:widowControl w:val="0"/>
        <w:spacing w:beforeAutospacing="0" w:afterAutospacing="0" w:line="500" w:lineRule="exact"/>
        <w:ind w:right="0" w:firstLine="36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本企业对上述声明内容的真实性负责。如有虚假，将依法承担相应责任</w:t>
      </w:r>
      <w:r>
        <w:rPr>
          <w:rFonts w:hint="eastAsia" w:ascii="宋体" w:hAnsi="宋体" w:eastAsia="宋体" w:cs="宋体"/>
          <w:color w:val="auto"/>
          <w:highlight w:val="none"/>
          <w:lang w:eastAsia="zh-CN"/>
        </w:rPr>
        <w:t>。</w:t>
      </w:r>
    </w:p>
    <w:p w14:paraId="116AEA13">
      <w:pPr>
        <w:pStyle w:val="33"/>
        <w:keepNext w:val="0"/>
        <w:keepLines w:val="0"/>
        <w:pageBreakBefore w:val="0"/>
        <w:widowControl w:val="0"/>
        <w:spacing w:beforeAutospacing="0" w:afterAutospacing="0" w:line="500" w:lineRule="exact"/>
        <w:ind w:right="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15DD307">
      <w:pPr>
        <w:pStyle w:val="33"/>
        <w:keepNext w:val="0"/>
        <w:keepLines w:val="0"/>
        <w:pageBreakBefore w:val="0"/>
        <w:widowControl w:val="0"/>
        <w:spacing w:beforeAutospacing="0" w:afterAutospacing="0" w:line="500" w:lineRule="exact"/>
        <w:ind w:right="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5C6F9EDC">
      <w:pPr>
        <w:pStyle w:val="33"/>
        <w:keepNext w:val="0"/>
        <w:keepLines w:val="0"/>
        <w:pageBreakBefore w:val="0"/>
        <w:widowControl w:val="0"/>
        <w:spacing w:beforeAutospacing="0" w:afterAutospacing="0" w:line="500" w:lineRule="exact"/>
        <w:ind w:right="0" w:firstLine="641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3879EFBB">
      <w:pPr>
        <w:pStyle w:val="33"/>
        <w:keepNext w:val="0"/>
        <w:keepLines w:val="0"/>
        <w:pageBreakBefore w:val="0"/>
        <w:widowControl w:val="0"/>
        <w:spacing w:beforeAutospacing="0" w:afterAutospacing="0" w:line="500" w:lineRule="exact"/>
        <w:ind w:right="0"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5FEC3C5">
      <w:pPr>
        <w:pStyle w:val="33"/>
        <w:keepNext w:val="0"/>
        <w:keepLines w:val="0"/>
        <w:pageBreakBefore w:val="0"/>
        <w:widowControl w:val="0"/>
        <w:spacing w:beforeAutospacing="0" w:afterAutospacing="0" w:line="500" w:lineRule="exact"/>
        <w:ind w:righ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6FBD24A1">
      <w:pPr>
        <w:pStyle w:val="33"/>
        <w:keepNext w:val="0"/>
        <w:keepLines w:val="0"/>
        <w:pageBreakBefore w:val="0"/>
        <w:widowControl w:val="0"/>
        <w:spacing w:beforeAutospacing="0" w:afterAutospacing="0" w:line="500" w:lineRule="exact"/>
        <w:ind w:righ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w:t>
      </w:r>
      <w:r>
        <w:rPr>
          <w:rFonts w:hint="eastAsia" w:ascii="新宋体" w:hAnsi="新宋体" w:eastAsia="新宋体" w:cs="新宋体"/>
          <w:b w:val="0"/>
          <w:bCs/>
          <w:color w:val="auto"/>
          <w:sz w:val="24"/>
          <w:szCs w:val="24"/>
          <w:highlight w:val="none"/>
        </w:rPr>
        <w:t>不享受中小企业扶持政策，价格不作相应扣除。</w:t>
      </w:r>
    </w:p>
    <w:p w14:paraId="49896851">
      <w:pPr>
        <w:pStyle w:val="33"/>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十</w:t>
      </w:r>
      <w:r>
        <w:rPr>
          <w:rFonts w:hint="eastAsia" w:ascii="宋体" w:hAnsi="宋体" w:eastAsia="宋体" w:cs="宋体"/>
          <w:b/>
          <w:color w:val="auto"/>
          <w:sz w:val="32"/>
          <w:szCs w:val="32"/>
          <w:highlight w:val="none"/>
          <w:lang w:val="en-US" w:eastAsia="zh-CN"/>
        </w:rPr>
        <w:t>一</w:t>
      </w:r>
      <w:r>
        <w:rPr>
          <w:rFonts w:hint="eastAsia" w:ascii="宋体" w:hAnsi="宋体" w:eastAsia="宋体" w:cs="宋体"/>
          <w:b/>
          <w:color w:val="auto"/>
          <w:sz w:val="32"/>
          <w:szCs w:val="32"/>
          <w:highlight w:val="none"/>
        </w:rPr>
        <w:t>、残疾人福利性单位声明函</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如有</w:t>
      </w:r>
      <w:r>
        <w:rPr>
          <w:rFonts w:hint="eastAsia" w:ascii="宋体" w:hAnsi="宋体" w:eastAsia="宋体" w:cs="宋体"/>
          <w:b/>
          <w:color w:val="auto"/>
          <w:sz w:val="32"/>
          <w:szCs w:val="32"/>
          <w:highlight w:val="none"/>
          <w:lang w:eastAsia="zh-CN"/>
        </w:rPr>
        <w:t>）</w:t>
      </w:r>
    </w:p>
    <w:p w14:paraId="335A3F76">
      <w:pPr>
        <w:pStyle w:val="33"/>
        <w:keepNext w:val="0"/>
        <w:keepLines w:val="0"/>
        <w:pageBreakBefore w:val="0"/>
        <w:widowControl w:val="0"/>
        <w:spacing w:beforeAutospacing="0" w:afterAutospacing="0" w:line="500" w:lineRule="exact"/>
        <w:ind w:righ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w:t>
      </w:r>
      <w:r>
        <w:rPr>
          <w:rFonts w:hint="eastAsia" w:ascii="宋体" w:hAnsi="宋体" w:eastAsia="宋体" w:cs="宋体"/>
          <w:color w:val="auto"/>
          <w:highlight w:val="none"/>
        </w:rPr>
        <w:t xml:space="preserve"> 项目（分包号：**）采购活动提供本单位制造的货物，或者提供其他残疾人福利性单位制造的货物（不包括使用非残疾人福利性单位注册商标的货物）。</w:t>
      </w:r>
    </w:p>
    <w:p w14:paraId="620D15FB">
      <w:pPr>
        <w:pStyle w:val="33"/>
        <w:keepNext w:val="0"/>
        <w:keepLines w:val="0"/>
        <w:pageBreakBefore w:val="0"/>
        <w:widowControl w:val="0"/>
        <w:spacing w:beforeAutospacing="0" w:afterAutospacing="0" w:line="500" w:lineRule="exact"/>
        <w:ind w:righ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2333A11C">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176613">
      <w:pPr>
        <w:pStyle w:val="33"/>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064B3DC">
      <w:pPr>
        <w:pStyle w:val="33"/>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highlight w:val="none"/>
        </w:rPr>
        <w:t>供应商全称（加盖CA电子公章）：</w:t>
      </w:r>
    </w:p>
    <w:p w14:paraId="22F2EBBC">
      <w:pPr>
        <w:pStyle w:val="33"/>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15592771">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CD8D3A3">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1D9D213">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DD10C67">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74F6E14">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22402C1">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8A0BEC0">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13108A7">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77D3151">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919F7B9">
      <w:pPr>
        <w:pStyle w:val="33"/>
        <w:spacing w:beforeAutospacing="0" w:afterAutospacing="0" w:line="0" w:lineRule="atLeast"/>
        <w:jc w:val="center"/>
        <w:rPr>
          <w:rFonts w:hint="eastAsia" w:ascii="宋体" w:hAnsi="宋体" w:eastAsia="宋体" w:cs="宋体"/>
          <w:color w:val="auto"/>
          <w:highlight w:val="none"/>
        </w:rPr>
      </w:pPr>
    </w:p>
    <w:p w14:paraId="0616B58F">
      <w:pPr>
        <w:pStyle w:val="33"/>
        <w:spacing w:beforeAutospacing="0" w:afterAutospacing="0" w:line="0" w:lineRule="atLeast"/>
        <w:jc w:val="center"/>
        <w:rPr>
          <w:rFonts w:hint="eastAsia" w:ascii="宋体" w:hAnsi="宋体" w:eastAsia="宋体" w:cs="宋体"/>
          <w:color w:val="auto"/>
          <w:highlight w:val="none"/>
        </w:rPr>
      </w:pPr>
    </w:p>
    <w:p w14:paraId="5F848C3D">
      <w:pPr>
        <w:pStyle w:val="33"/>
        <w:spacing w:beforeAutospacing="0" w:afterAutospacing="0" w:line="0" w:lineRule="atLeast"/>
        <w:jc w:val="center"/>
        <w:rPr>
          <w:rFonts w:hint="eastAsia" w:ascii="宋体" w:hAnsi="宋体" w:eastAsia="宋体" w:cs="宋体"/>
          <w:color w:val="auto"/>
          <w:highlight w:val="none"/>
        </w:rPr>
      </w:pPr>
    </w:p>
    <w:p w14:paraId="34864ABB">
      <w:pPr>
        <w:pStyle w:val="33"/>
        <w:spacing w:beforeAutospacing="0" w:afterAutospacing="0" w:line="0" w:lineRule="atLeast"/>
        <w:jc w:val="center"/>
        <w:rPr>
          <w:rFonts w:hint="eastAsia" w:ascii="宋体" w:hAnsi="宋体" w:eastAsia="宋体" w:cs="宋体"/>
          <w:color w:val="auto"/>
          <w:highlight w:val="none"/>
        </w:rPr>
      </w:pPr>
    </w:p>
    <w:p w14:paraId="12BC8C71">
      <w:pPr>
        <w:pStyle w:val="33"/>
        <w:spacing w:beforeAutospacing="0" w:afterAutospacing="0" w:line="0" w:lineRule="atLeast"/>
        <w:jc w:val="center"/>
        <w:rPr>
          <w:rFonts w:hint="eastAsia" w:ascii="宋体" w:hAnsi="宋体" w:eastAsia="宋体" w:cs="宋体"/>
          <w:color w:val="auto"/>
          <w:highlight w:val="none"/>
        </w:rPr>
      </w:pPr>
    </w:p>
    <w:p w14:paraId="45A2A509">
      <w:pPr>
        <w:pStyle w:val="33"/>
        <w:spacing w:beforeAutospacing="0" w:afterAutospacing="0" w:line="0" w:lineRule="atLeast"/>
        <w:jc w:val="center"/>
        <w:rPr>
          <w:rFonts w:hint="eastAsia" w:ascii="宋体" w:hAnsi="宋体" w:eastAsia="宋体" w:cs="宋体"/>
          <w:color w:val="auto"/>
          <w:highlight w:val="none"/>
        </w:rPr>
      </w:pPr>
    </w:p>
    <w:p w14:paraId="11FAFF68">
      <w:pPr>
        <w:pStyle w:val="33"/>
        <w:spacing w:beforeAutospacing="0" w:afterAutospacing="0" w:line="0" w:lineRule="atLeast"/>
        <w:jc w:val="center"/>
        <w:rPr>
          <w:rFonts w:hint="eastAsia" w:ascii="宋体" w:hAnsi="宋体" w:eastAsia="宋体" w:cs="宋体"/>
          <w:color w:val="auto"/>
          <w:highlight w:val="none"/>
        </w:rPr>
      </w:pPr>
    </w:p>
    <w:p w14:paraId="33D0F447">
      <w:pPr>
        <w:pStyle w:val="33"/>
        <w:spacing w:beforeAutospacing="0" w:afterAutospacing="0" w:line="0" w:lineRule="atLeast"/>
        <w:jc w:val="center"/>
        <w:rPr>
          <w:rFonts w:hint="eastAsia" w:ascii="宋体" w:hAnsi="宋体" w:eastAsia="宋体" w:cs="宋体"/>
          <w:color w:val="auto"/>
          <w:highlight w:val="none"/>
        </w:rPr>
      </w:pPr>
    </w:p>
    <w:p w14:paraId="0DF24C6B">
      <w:pPr>
        <w:pStyle w:val="33"/>
        <w:spacing w:beforeAutospacing="0" w:afterAutospacing="0" w:line="0" w:lineRule="atLeast"/>
        <w:jc w:val="center"/>
        <w:rPr>
          <w:rFonts w:hint="eastAsia" w:ascii="宋体" w:hAnsi="宋体" w:eastAsia="宋体" w:cs="宋体"/>
          <w:color w:val="auto"/>
          <w:highlight w:val="none"/>
        </w:rPr>
      </w:pPr>
    </w:p>
    <w:p w14:paraId="412C89EA">
      <w:pPr>
        <w:pStyle w:val="33"/>
        <w:spacing w:beforeAutospacing="0" w:afterAutospacing="0" w:line="0" w:lineRule="atLeast"/>
        <w:jc w:val="center"/>
        <w:rPr>
          <w:rFonts w:hint="eastAsia" w:ascii="宋体" w:hAnsi="宋体" w:eastAsia="宋体" w:cs="宋体"/>
          <w:color w:val="auto"/>
          <w:highlight w:val="none"/>
        </w:rPr>
      </w:pPr>
    </w:p>
    <w:p w14:paraId="75CA6C35">
      <w:pPr>
        <w:pStyle w:val="33"/>
        <w:spacing w:beforeAutospacing="0" w:afterAutospacing="0" w:line="0" w:lineRule="atLeast"/>
        <w:jc w:val="center"/>
        <w:rPr>
          <w:rFonts w:hint="eastAsia" w:ascii="宋体" w:hAnsi="宋体" w:eastAsia="宋体" w:cs="宋体"/>
          <w:color w:val="auto"/>
          <w:highlight w:val="none"/>
        </w:rPr>
      </w:pPr>
    </w:p>
    <w:p w14:paraId="76F765B2">
      <w:pPr>
        <w:pStyle w:val="33"/>
        <w:spacing w:beforeAutospacing="0" w:afterAutospacing="0" w:line="0" w:lineRule="atLeast"/>
        <w:jc w:val="center"/>
        <w:rPr>
          <w:rFonts w:hint="eastAsia" w:ascii="宋体" w:hAnsi="宋体" w:eastAsia="宋体" w:cs="宋体"/>
          <w:color w:val="auto"/>
          <w:highlight w:val="none"/>
        </w:rPr>
      </w:pPr>
    </w:p>
    <w:p w14:paraId="216FFF20">
      <w:pPr>
        <w:pStyle w:val="33"/>
        <w:spacing w:beforeAutospacing="0" w:afterAutospacing="0" w:line="0" w:lineRule="atLeast"/>
        <w:jc w:val="center"/>
        <w:rPr>
          <w:rFonts w:hint="eastAsia" w:ascii="宋体" w:hAnsi="宋体" w:eastAsia="宋体" w:cs="宋体"/>
          <w:color w:val="auto"/>
          <w:highlight w:val="none"/>
        </w:rPr>
      </w:pPr>
    </w:p>
    <w:p w14:paraId="198CA571">
      <w:pPr>
        <w:pStyle w:val="33"/>
        <w:spacing w:beforeAutospacing="0" w:afterAutospacing="0" w:line="0" w:lineRule="atLeast"/>
        <w:jc w:val="center"/>
        <w:rPr>
          <w:rFonts w:hint="eastAsia" w:ascii="宋体" w:hAnsi="宋体" w:eastAsia="宋体" w:cs="宋体"/>
          <w:color w:val="auto"/>
          <w:highlight w:val="none"/>
        </w:rPr>
      </w:pPr>
    </w:p>
    <w:p w14:paraId="33974CBA">
      <w:pPr>
        <w:pStyle w:val="33"/>
        <w:spacing w:beforeAutospacing="0" w:afterAutospacing="0" w:line="0" w:lineRule="atLeast"/>
        <w:jc w:val="center"/>
        <w:rPr>
          <w:rFonts w:hint="eastAsia" w:ascii="宋体" w:hAnsi="宋体" w:eastAsia="宋体" w:cs="宋体"/>
          <w:color w:val="auto"/>
          <w:highlight w:val="none"/>
        </w:rPr>
      </w:pPr>
    </w:p>
    <w:p w14:paraId="7F4A9F82">
      <w:pPr>
        <w:pStyle w:val="33"/>
        <w:spacing w:beforeAutospacing="0" w:afterAutospacing="0" w:line="0" w:lineRule="atLeast"/>
        <w:jc w:val="center"/>
        <w:rPr>
          <w:rFonts w:hint="eastAsia" w:ascii="宋体" w:hAnsi="宋体" w:eastAsia="宋体" w:cs="宋体"/>
          <w:color w:val="auto"/>
          <w:highlight w:val="none"/>
        </w:rPr>
      </w:pPr>
    </w:p>
    <w:p w14:paraId="5096757D">
      <w:pPr>
        <w:jc w:val="center"/>
        <w:rPr>
          <w:rFonts w:hint="eastAsia" w:ascii="宋体" w:hAnsi="宋体" w:eastAsia="宋体" w:cs="宋体"/>
          <w:b/>
          <w:bCs/>
          <w:color w:val="auto"/>
          <w:highlight w:val="none"/>
          <w:lang w:val="en-US" w:eastAsia="zh-CN"/>
        </w:rPr>
      </w:pPr>
    </w:p>
    <w:p w14:paraId="43F5CF9C">
      <w:pPr>
        <w:jc w:val="center"/>
        <w:rPr>
          <w:rFonts w:hint="eastAsia" w:ascii="宋体" w:hAnsi="宋体" w:eastAsia="宋体" w:cs="宋体"/>
          <w:b/>
          <w:bCs/>
          <w:color w:val="auto"/>
          <w:highlight w:val="none"/>
          <w:lang w:val="en-US" w:eastAsia="zh-CN"/>
        </w:rPr>
      </w:pPr>
    </w:p>
    <w:p w14:paraId="0B94FE3D">
      <w:pPr>
        <w:jc w:val="center"/>
        <w:rPr>
          <w:rFonts w:hint="eastAsia" w:ascii="宋体" w:hAnsi="宋体" w:eastAsia="宋体" w:cs="宋体"/>
          <w:b/>
          <w:bCs/>
          <w:color w:val="auto"/>
          <w:highlight w:val="none"/>
          <w:lang w:val="en-US" w:eastAsia="zh-CN"/>
        </w:rPr>
      </w:pPr>
    </w:p>
    <w:p w14:paraId="4FAAEF53">
      <w:pPr>
        <w:jc w:val="center"/>
        <w:rPr>
          <w:rFonts w:hint="eastAsia" w:ascii="宋体" w:hAnsi="宋体" w:eastAsia="宋体" w:cs="宋体"/>
          <w:b/>
          <w:bCs/>
          <w:color w:val="auto"/>
          <w:highlight w:val="none"/>
          <w:lang w:val="en-US" w:eastAsia="zh-CN"/>
        </w:rPr>
      </w:pPr>
    </w:p>
    <w:p w14:paraId="3C2A669A">
      <w:pPr>
        <w:jc w:val="center"/>
        <w:rPr>
          <w:rFonts w:hint="eastAsia" w:ascii="宋体" w:hAnsi="宋体" w:eastAsia="宋体" w:cs="宋体"/>
          <w:b/>
          <w:bCs/>
          <w:color w:val="auto"/>
          <w:highlight w:val="none"/>
          <w:lang w:val="en-US" w:eastAsia="zh-CN"/>
        </w:rPr>
      </w:pPr>
    </w:p>
    <w:p w14:paraId="3E94C82B">
      <w:pPr>
        <w:pStyle w:val="33"/>
        <w:spacing w:beforeAutospacing="0" w:afterAutospacing="0" w:line="0" w:lineRule="atLeast"/>
        <w:jc w:val="center"/>
        <w:rPr>
          <w:rFonts w:hint="eastAsia" w:ascii="宋体" w:hAnsi="宋体" w:eastAsia="宋体" w:cs="宋体"/>
          <w:b/>
          <w:color w:val="auto"/>
          <w:sz w:val="32"/>
          <w:szCs w:val="32"/>
          <w:highlight w:val="none"/>
          <w:lang w:val="en-US" w:eastAsia="zh-CN"/>
        </w:rPr>
      </w:pPr>
    </w:p>
    <w:p w14:paraId="07E46D7D">
      <w:pPr>
        <w:pStyle w:val="33"/>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十二、</w:t>
      </w:r>
      <w:r>
        <w:rPr>
          <w:rFonts w:hint="eastAsia" w:ascii="宋体" w:hAnsi="宋体" w:eastAsia="宋体" w:cs="宋体"/>
          <w:b/>
          <w:color w:val="auto"/>
          <w:sz w:val="32"/>
          <w:szCs w:val="32"/>
          <w:highlight w:val="none"/>
        </w:rPr>
        <w:t>开标一览表</w:t>
      </w:r>
    </w:p>
    <w:p w14:paraId="4FB72131">
      <w:pPr>
        <w:jc w:val="right"/>
        <w:rPr>
          <w:rFonts w:hint="eastAsia" w:ascii="宋体" w:hAnsi="宋体" w:eastAsia="宋体" w:cs="宋体"/>
          <w:b/>
          <w:bCs/>
          <w:color w:val="auto"/>
          <w:highlight w:val="none"/>
        </w:rPr>
      </w:pPr>
    </w:p>
    <w:tbl>
      <w:tblPr>
        <w:tblStyle w:val="37"/>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8214"/>
      </w:tblGrid>
      <w:tr w14:paraId="63F48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506" w:type="dxa"/>
            <w:noWrap/>
            <w:vAlign w:val="center"/>
          </w:tcPr>
          <w:p w14:paraId="31A13E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8214" w:type="dxa"/>
            <w:noWrap/>
            <w:vAlign w:val="center"/>
          </w:tcPr>
          <w:p w14:paraId="4BBEE780">
            <w:pPr>
              <w:rPr>
                <w:rFonts w:hint="eastAsia" w:ascii="宋体" w:hAnsi="宋体" w:eastAsia="宋体" w:cs="宋体"/>
                <w:color w:val="auto"/>
                <w:sz w:val="24"/>
                <w:szCs w:val="24"/>
                <w:highlight w:val="none"/>
              </w:rPr>
            </w:pPr>
          </w:p>
        </w:tc>
      </w:tr>
      <w:tr w14:paraId="3BF26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trPr>
        <w:tc>
          <w:tcPr>
            <w:tcW w:w="1506" w:type="dxa"/>
            <w:noWrap/>
            <w:vAlign w:val="center"/>
          </w:tcPr>
          <w:p w14:paraId="3C458A4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8214" w:type="dxa"/>
            <w:noWrap/>
            <w:vAlign w:val="center"/>
          </w:tcPr>
          <w:p w14:paraId="2B1316D2">
            <w:pPr>
              <w:rPr>
                <w:rFonts w:hint="eastAsia" w:ascii="宋体" w:hAnsi="宋体" w:eastAsia="宋体" w:cs="宋体"/>
                <w:color w:val="auto"/>
                <w:sz w:val="24"/>
                <w:szCs w:val="24"/>
                <w:highlight w:val="none"/>
              </w:rPr>
            </w:pPr>
          </w:p>
        </w:tc>
      </w:tr>
      <w:tr w14:paraId="28A51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trPr>
        <w:tc>
          <w:tcPr>
            <w:tcW w:w="9720" w:type="dxa"/>
            <w:gridSpan w:val="2"/>
            <w:noWrap/>
            <w:vAlign w:val="center"/>
          </w:tcPr>
          <w:p w14:paraId="24C927D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优惠率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w:t>
            </w:r>
          </w:p>
        </w:tc>
      </w:tr>
    </w:tbl>
    <w:p w14:paraId="3FF529DF">
      <w:pPr>
        <w:rPr>
          <w:rFonts w:hint="eastAsia" w:ascii="宋体" w:hAnsi="宋体" w:eastAsia="宋体" w:cs="宋体"/>
          <w:color w:val="auto"/>
          <w:sz w:val="24"/>
          <w:szCs w:val="24"/>
          <w:highlight w:val="none"/>
        </w:rPr>
      </w:pPr>
    </w:p>
    <w:p w14:paraId="62BAC506">
      <w:pPr>
        <w:rPr>
          <w:rFonts w:hint="eastAsia" w:ascii="宋体" w:hAnsi="宋体" w:eastAsia="宋体" w:cs="宋体"/>
          <w:b/>
          <w:color w:val="auto"/>
          <w:sz w:val="24"/>
          <w:szCs w:val="24"/>
          <w:highlight w:val="none"/>
        </w:rPr>
      </w:pPr>
    </w:p>
    <w:p w14:paraId="7959DBD4">
      <w:pPr>
        <w:ind w:firstLine="646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投标人（单位公章）：</w:t>
      </w:r>
    </w:p>
    <w:p w14:paraId="0E8CA925">
      <w:pPr>
        <w:pStyle w:val="33"/>
        <w:spacing w:beforeAutospacing="0" w:afterAutospacing="0" w:line="0" w:lineRule="atLeast"/>
        <w:jc w:val="center"/>
        <w:rPr>
          <w:rFonts w:hint="eastAsia" w:ascii="宋体" w:hAnsi="宋体" w:eastAsia="宋体" w:cs="宋体"/>
          <w:color w:val="auto"/>
          <w:highlight w:val="none"/>
        </w:rPr>
      </w:pPr>
    </w:p>
    <w:p w14:paraId="2CC54EC7">
      <w:pPr>
        <w:pStyle w:val="33"/>
        <w:spacing w:beforeAutospacing="0" w:afterAutospacing="0" w:line="0" w:lineRule="atLeast"/>
        <w:jc w:val="both"/>
        <w:rPr>
          <w:rFonts w:hint="eastAsia" w:ascii="宋体" w:hAnsi="宋体" w:eastAsia="宋体" w:cs="宋体"/>
          <w:color w:val="auto"/>
          <w:highlight w:val="none"/>
        </w:rPr>
      </w:pPr>
      <w:bookmarkStart w:id="258" w:name="_GoBack"/>
      <w:bookmarkEnd w:id="258"/>
    </w:p>
    <w:p w14:paraId="7AEEB9EB">
      <w:pPr>
        <w:pStyle w:val="33"/>
        <w:spacing w:beforeAutospacing="0" w:afterAutospacing="0" w:line="0" w:lineRule="atLeas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p w14:paraId="6534FAB4">
      <w:pPr>
        <w:pStyle w:val="33"/>
        <w:spacing w:beforeAutospacing="0" w:afterAutospacing="0" w:line="0" w:lineRule="atLeas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     十三、二轮报价表（</w:t>
      </w:r>
      <w:r>
        <w:rPr>
          <w:rFonts w:hint="eastAsia" w:ascii="宋体" w:hAnsi="宋体" w:eastAsia="宋体" w:cs="宋体"/>
          <w:b/>
          <w:color w:val="auto"/>
          <w:sz w:val="32"/>
          <w:szCs w:val="32"/>
          <w:highlight w:val="none"/>
        </w:rPr>
        <w:t>最终报价</w:t>
      </w:r>
      <w:r>
        <w:rPr>
          <w:rFonts w:hint="eastAsia" w:ascii="宋体" w:hAnsi="宋体" w:eastAsia="宋体" w:cs="宋体"/>
          <w:b/>
          <w:color w:val="auto"/>
          <w:sz w:val="32"/>
          <w:szCs w:val="32"/>
          <w:highlight w:val="none"/>
          <w:lang w:val="en-US" w:eastAsia="zh-CN"/>
        </w:rPr>
        <w:t>）</w:t>
      </w:r>
    </w:p>
    <w:p w14:paraId="1394A425">
      <w:pPr>
        <w:jc w:val="right"/>
        <w:rPr>
          <w:rFonts w:hint="eastAsia" w:ascii="宋体" w:hAnsi="宋体" w:eastAsia="宋体" w:cs="宋体"/>
          <w:color w:val="auto"/>
          <w:sz w:val="24"/>
          <w:szCs w:val="24"/>
          <w:highlight w:val="none"/>
        </w:rPr>
      </w:pPr>
    </w:p>
    <w:p w14:paraId="47675B59">
      <w:pPr>
        <w:jc w:val="right"/>
        <w:rPr>
          <w:rFonts w:hint="eastAsia" w:ascii="宋体" w:hAnsi="宋体" w:eastAsia="宋体" w:cs="宋体"/>
          <w:color w:val="auto"/>
          <w:sz w:val="24"/>
          <w:szCs w:val="24"/>
          <w:highlight w:val="none"/>
        </w:rPr>
      </w:pPr>
    </w:p>
    <w:tbl>
      <w:tblPr>
        <w:tblStyle w:val="37"/>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8214"/>
      </w:tblGrid>
      <w:tr w14:paraId="39A5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506" w:type="dxa"/>
            <w:noWrap/>
            <w:vAlign w:val="center"/>
          </w:tcPr>
          <w:p w14:paraId="3777821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8214" w:type="dxa"/>
            <w:noWrap/>
            <w:vAlign w:val="center"/>
          </w:tcPr>
          <w:p w14:paraId="46FF2759">
            <w:pPr>
              <w:rPr>
                <w:rFonts w:hint="eastAsia" w:ascii="宋体" w:hAnsi="宋体" w:eastAsia="宋体" w:cs="宋体"/>
                <w:color w:val="auto"/>
                <w:sz w:val="24"/>
                <w:szCs w:val="24"/>
                <w:highlight w:val="none"/>
              </w:rPr>
            </w:pPr>
          </w:p>
        </w:tc>
      </w:tr>
      <w:tr w14:paraId="11359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trPr>
        <w:tc>
          <w:tcPr>
            <w:tcW w:w="1506" w:type="dxa"/>
            <w:noWrap/>
            <w:vAlign w:val="center"/>
          </w:tcPr>
          <w:p w14:paraId="1EC9F1A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8214" w:type="dxa"/>
            <w:noWrap/>
            <w:vAlign w:val="center"/>
          </w:tcPr>
          <w:p w14:paraId="5FE80098">
            <w:pPr>
              <w:rPr>
                <w:rFonts w:hint="eastAsia" w:ascii="宋体" w:hAnsi="宋体" w:eastAsia="宋体" w:cs="宋体"/>
                <w:color w:val="auto"/>
                <w:sz w:val="24"/>
                <w:szCs w:val="24"/>
                <w:highlight w:val="none"/>
              </w:rPr>
            </w:pPr>
          </w:p>
        </w:tc>
      </w:tr>
      <w:tr w14:paraId="5D807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trPr>
        <w:tc>
          <w:tcPr>
            <w:tcW w:w="9720" w:type="dxa"/>
            <w:gridSpan w:val="2"/>
            <w:noWrap/>
            <w:vAlign w:val="center"/>
          </w:tcPr>
          <w:p w14:paraId="6B6D480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优惠率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w:t>
            </w:r>
          </w:p>
        </w:tc>
      </w:tr>
    </w:tbl>
    <w:p w14:paraId="2870BF7A">
      <w:pPr>
        <w:pStyle w:val="33"/>
        <w:spacing w:beforeAutospacing="0" w:afterAutospacing="0" w:line="0" w:lineRule="atLeast"/>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p w14:paraId="6DEE1335">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投标人（单位公章）：</w:t>
      </w:r>
    </w:p>
    <w:p w14:paraId="44F1553E">
      <w:pPr>
        <w:pStyle w:val="200"/>
        <w:rPr>
          <w:color w:val="auto"/>
          <w:highlight w:val="none"/>
        </w:rPr>
      </w:pPr>
    </w:p>
    <w:p w14:paraId="13646AC9">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注：1、供应商的二轮报价在</w:t>
      </w:r>
      <w:r>
        <w:rPr>
          <w:rFonts w:hint="eastAsia" w:ascii="宋体" w:hAnsi="宋体" w:eastAsia="宋体" w:cs="宋体"/>
          <w:color w:val="auto"/>
          <w:sz w:val="24"/>
          <w:szCs w:val="24"/>
          <w:highlight w:val="none"/>
        </w:rPr>
        <w:t>磋商结束后</w:t>
      </w:r>
      <w:r>
        <w:rPr>
          <w:rFonts w:hint="eastAsia" w:ascii="宋体" w:hAnsi="宋体" w:eastAsia="宋体" w:cs="宋体"/>
          <w:color w:val="auto"/>
          <w:sz w:val="24"/>
          <w:highlight w:val="none"/>
        </w:rPr>
        <w:t>根据磋商小组要求或代理机构的通知后填报。</w:t>
      </w:r>
    </w:p>
    <w:p w14:paraId="4DF76CAD">
      <w:pPr>
        <w:numPr>
          <w:ilvl w:val="0"/>
          <w:numId w:val="8"/>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供应商须在规定时间内</w:t>
      </w:r>
      <w:r>
        <w:rPr>
          <w:rFonts w:hint="eastAsia" w:ascii="宋体" w:hAnsi="宋体" w:eastAsia="宋体" w:cs="宋体"/>
          <w:color w:val="auto"/>
          <w:sz w:val="24"/>
          <w:szCs w:val="24"/>
          <w:highlight w:val="none"/>
        </w:rPr>
        <w:t>提交最后报价</w:t>
      </w:r>
      <w:r>
        <w:rPr>
          <w:rFonts w:hint="eastAsia" w:ascii="宋体" w:hAnsi="宋体" w:eastAsia="宋体" w:cs="宋体"/>
          <w:color w:val="auto"/>
          <w:sz w:val="24"/>
          <w:highlight w:val="none"/>
        </w:rPr>
        <w:t>。</w:t>
      </w:r>
    </w:p>
    <w:p w14:paraId="3E8B740D">
      <w:pPr>
        <w:pStyle w:val="33"/>
        <w:spacing w:beforeAutospacing="0" w:afterAutospacing="0" w:line="0" w:lineRule="atLeast"/>
        <w:ind w:firstLine="480"/>
        <w:jc w:val="both"/>
        <w:rPr>
          <w:rFonts w:hint="eastAsia" w:ascii="宋体" w:hAnsi="宋体" w:eastAsia="宋体" w:cs="宋体"/>
          <w:color w:val="auto"/>
          <w:sz w:val="24"/>
          <w:highlight w:val="none"/>
          <w:lang w:val="en-US" w:eastAsia="zh-CN"/>
        </w:rPr>
      </w:pPr>
    </w:p>
    <w:p w14:paraId="0EFD4087">
      <w:pPr>
        <w:pStyle w:val="33"/>
        <w:spacing w:beforeAutospacing="0" w:afterAutospacing="0" w:line="0" w:lineRule="atLeast"/>
        <w:ind w:firstLine="480"/>
        <w:jc w:val="both"/>
        <w:rPr>
          <w:rFonts w:hint="eastAsia" w:ascii="宋体" w:hAnsi="宋体" w:eastAsia="宋体" w:cs="宋体"/>
          <w:color w:val="auto"/>
          <w:sz w:val="24"/>
          <w:highlight w:val="none"/>
          <w:lang w:val="en-US" w:eastAsia="zh-CN"/>
        </w:rPr>
      </w:pPr>
    </w:p>
    <w:p w14:paraId="3D303DC1">
      <w:pPr>
        <w:pStyle w:val="33"/>
        <w:spacing w:beforeAutospacing="0" w:afterAutospacing="0" w:line="0" w:lineRule="atLeast"/>
        <w:ind w:firstLine="480"/>
        <w:jc w:val="both"/>
        <w:rPr>
          <w:rFonts w:hint="eastAsia" w:ascii="宋体" w:hAnsi="宋体" w:eastAsia="宋体" w:cs="宋体"/>
          <w:color w:val="auto"/>
          <w:sz w:val="24"/>
          <w:highlight w:val="none"/>
          <w:lang w:val="en-US" w:eastAsia="zh-CN"/>
        </w:rPr>
      </w:pPr>
    </w:p>
    <w:p w14:paraId="0ABF1F20">
      <w:pPr>
        <w:pStyle w:val="33"/>
        <w:spacing w:beforeAutospacing="0" w:afterAutospacing="0" w:line="0" w:lineRule="atLeast"/>
        <w:ind w:firstLine="480"/>
        <w:jc w:val="both"/>
        <w:rPr>
          <w:rFonts w:hint="eastAsia" w:ascii="宋体" w:hAnsi="宋体" w:eastAsia="宋体" w:cs="宋体"/>
          <w:color w:val="auto"/>
          <w:sz w:val="24"/>
          <w:highlight w:val="none"/>
          <w:lang w:val="en-US" w:eastAsia="zh-CN"/>
        </w:rPr>
      </w:pPr>
    </w:p>
    <w:p w14:paraId="755CFECE">
      <w:pPr>
        <w:pStyle w:val="33"/>
        <w:spacing w:beforeAutospacing="0" w:afterAutospacing="0" w:line="0" w:lineRule="atLeast"/>
        <w:jc w:val="center"/>
        <w:rPr>
          <w:rFonts w:hint="eastAsia" w:ascii="宋体" w:hAnsi="宋体" w:eastAsia="宋体" w:cs="宋体"/>
          <w:color w:val="auto"/>
          <w:highlight w:val="none"/>
        </w:rPr>
      </w:pPr>
    </w:p>
    <w:p w14:paraId="036AA5F0">
      <w:pPr>
        <w:pStyle w:val="33"/>
        <w:spacing w:beforeAutospacing="0" w:afterAutospacing="0" w:line="0" w:lineRule="atLeast"/>
        <w:jc w:val="center"/>
        <w:rPr>
          <w:rFonts w:hint="eastAsia" w:ascii="宋体" w:hAnsi="宋体" w:eastAsia="宋体" w:cs="宋体"/>
          <w:color w:val="auto"/>
          <w:highlight w:val="none"/>
        </w:rPr>
      </w:pPr>
    </w:p>
    <w:p w14:paraId="0A9FCED1">
      <w:pPr>
        <w:pStyle w:val="33"/>
        <w:spacing w:beforeAutospacing="0" w:afterAutospacing="0" w:line="0" w:lineRule="atLeast"/>
        <w:jc w:val="center"/>
        <w:rPr>
          <w:rFonts w:hint="eastAsia" w:ascii="宋体" w:hAnsi="宋体" w:eastAsia="宋体" w:cs="宋体"/>
          <w:color w:val="auto"/>
          <w:highlight w:val="none"/>
        </w:rPr>
      </w:pPr>
    </w:p>
    <w:p w14:paraId="38A62977">
      <w:pPr>
        <w:pStyle w:val="33"/>
        <w:spacing w:beforeAutospacing="0" w:afterAutospacing="0" w:line="0" w:lineRule="atLeast"/>
        <w:jc w:val="center"/>
        <w:rPr>
          <w:rFonts w:hint="eastAsia" w:ascii="宋体" w:hAnsi="宋体" w:eastAsia="宋体" w:cs="宋体"/>
          <w:color w:val="auto"/>
          <w:highlight w:val="none"/>
        </w:rPr>
      </w:pPr>
    </w:p>
    <w:p w14:paraId="453422D8">
      <w:pPr>
        <w:pStyle w:val="33"/>
        <w:spacing w:beforeAutospacing="0" w:afterAutospacing="0" w:line="0" w:lineRule="atLeast"/>
        <w:jc w:val="center"/>
        <w:rPr>
          <w:rFonts w:hint="eastAsia" w:ascii="宋体" w:hAnsi="宋体" w:eastAsia="宋体" w:cs="宋体"/>
          <w:color w:val="auto"/>
          <w:highlight w:val="none"/>
        </w:rPr>
      </w:pPr>
    </w:p>
    <w:p w14:paraId="712CB897">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702A40E">
      <w:pPr>
        <w:pStyle w:val="33"/>
        <w:spacing w:beforeAutospacing="0" w:afterAutospacing="0"/>
        <w:jc w:val="both"/>
        <w:rPr>
          <w:rFonts w:hint="eastAsia" w:ascii="宋体" w:hAnsi="宋体" w:eastAsia="宋体" w:cs="宋体"/>
          <w:color w:val="auto"/>
          <w:highlight w:val="none"/>
        </w:rPr>
      </w:pPr>
    </w:p>
    <w:p w14:paraId="300EAF22">
      <w:pPr>
        <w:pStyle w:val="33"/>
        <w:spacing w:beforeAutospacing="0" w:afterAutospacing="0"/>
        <w:jc w:val="both"/>
        <w:rPr>
          <w:rFonts w:hint="eastAsia" w:ascii="宋体" w:hAnsi="宋体" w:eastAsia="宋体" w:cs="宋体"/>
          <w:color w:val="auto"/>
          <w:highlight w:val="none"/>
        </w:rPr>
      </w:pPr>
    </w:p>
    <w:p w14:paraId="2A6136CB">
      <w:pPr>
        <w:pStyle w:val="33"/>
        <w:spacing w:beforeAutospacing="0" w:afterAutospacing="0"/>
        <w:jc w:val="both"/>
        <w:rPr>
          <w:rFonts w:hint="eastAsia" w:ascii="宋体" w:hAnsi="宋体" w:eastAsia="宋体" w:cs="宋体"/>
          <w:b/>
          <w:color w:val="auto"/>
          <w:sz w:val="32"/>
          <w:szCs w:val="32"/>
          <w:highlight w:val="none"/>
        </w:rPr>
      </w:pPr>
      <w:r>
        <w:rPr>
          <w:rFonts w:hint="eastAsia" w:ascii="宋体" w:hAnsi="宋体" w:eastAsia="宋体" w:cs="宋体"/>
          <w:color w:val="auto"/>
          <w:highlight w:val="none"/>
        </w:rPr>
        <w:t> </w:t>
      </w:r>
      <w:bookmarkStart w:id="251" w:name="_Hlt26955054"/>
    </w:p>
    <w:p w14:paraId="3FA8C3C3">
      <w:pPr>
        <w:pStyle w:val="33"/>
        <w:numPr>
          <w:ilvl w:val="0"/>
          <w:numId w:val="0"/>
        </w:numPr>
        <w:spacing w:beforeAutospacing="0" w:afterAutospacing="0"/>
        <w:ind w:left="0" w:leftChars="0" w:firstLine="0" w:firstLine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bidi="ar-SA"/>
        </w:rPr>
        <w:t>十四、</w:t>
      </w:r>
      <w:r>
        <w:rPr>
          <w:rFonts w:hint="eastAsia" w:ascii="宋体" w:hAnsi="宋体" w:eastAsia="宋体" w:cs="宋体"/>
          <w:b/>
          <w:color w:val="auto"/>
          <w:sz w:val="32"/>
          <w:szCs w:val="32"/>
          <w:highlight w:val="none"/>
        </w:rPr>
        <w:t>商务要求响应及偏离表</w:t>
      </w:r>
    </w:p>
    <w:p w14:paraId="04B24A32">
      <w:pPr>
        <w:pStyle w:val="33"/>
        <w:numPr>
          <w:ilvl w:val="0"/>
          <w:numId w:val="0"/>
        </w:numPr>
        <w:spacing w:beforeAutospacing="0" w:afterAutospacing="0"/>
        <w:jc w:val="both"/>
        <w:rPr>
          <w:rFonts w:hint="eastAsia" w:ascii="宋体" w:hAnsi="宋体" w:eastAsia="宋体" w:cs="宋体"/>
          <w:b/>
          <w:color w:val="auto"/>
          <w:sz w:val="32"/>
          <w:szCs w:val="32"/>
          <w:highlight w:val="none"/>
        </w:rPr>
      </w:pPr>
    </w:p>
    <w:p w14:paraId="1118138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供应商全称（加盖公章）：        </w:t>
      </w:r>
    </w:p>
    <w:tbl>
      <w:tblPr>
        <w:tblStyle w:val="37"/>
        <w:tblW w:w="982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8"/>
        <w:gridCol w:w="5036"/>
        <w:gridCol w:w="1410"/>
        <w:gridCol w:w="1830"/>
      </w:tblGrid>
      <w:tr w14:paraId="0E7256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8" w:type="dxa"/>
            <w:tcBorders>
              <w:top w:val="single" w:color="auto" w:sz="4" w:space="0"/>
              <w:left w:val="single" w:color="auto" w:sz="4" w:space="0"/>
              <w:bottom w:val="single" w:color="auto" w:sz="4" w:space="0"/>
              <w:right w:val="single" w:color="auto" w:sz="4" w:space="0"/>
            </w:tcBorders>
            <w:noWrap w:val="0"/>
          </w:tcPr>
          <w:p w14:paraId="52B28B44">
            <w:pPr>
              <w:spacing w:before="120" w:line="24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highlight w:val="none"/>
                <w:lang w:val="en-US" w:eastAsia="zh-CN"/>
              </w:rPr>
              <w:t>序号</w:t>
            </w:r>
          </w:p>
        </w:tc>
        <w:tc>
          <w:tcPr>
            <w:tcW w:w="5036" w:type="dxa"/>
            <w:tcBorders>
              <w:top w:val="single" w:color="auto" w:sz="4" w:space="0"/>
              <w:left w:val="single" w:color="auto" w:sz="4" w:space="0"/>
              <w:bottom w:val="single" w:color="auto" w:sz="4" w:space="0"/>
              <w:right w:val="single" w:color="auto" w:sz="4" w:space="0"/>
            </w:tcBorders>
            <w:noWrap w:val="0"/>
          </w:tcPr>
          <w:p w14:paraId="63381E40">
            <w:pPr>
              <w:spacing w:before="120" w:line="240" w:lineRule="auto"/>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竞争性磋商</w:t>
            </w:r>
            <w:r>
              <w:rPr>
                <w:rFonts w:hint="eastAsia" w:ascii="宋体" w:hAnsi="宋体" w:eastAsia="宋体" w:cs="宋体"/>
                <w:color w:val="auto"/>
                <w:sz w:val="24"/>
                <w:highlight w:val="none"/>
              </w:rPr>
              <w:t>文件要求</w:t>
            </w:r>
          </w:p>
        </w:tc>
        <w:tc>
          <w:tcPr>
            <w:tcW w:w="1410" w:type="dxa"/>
            <w:tcBorders>
              <w:top w:val="single" w:color="auto" w:sz="4" w:space="0"/>
              <w:left w:val="single" w:color="auto" w:sz="4" w:space="0"/>
              <w:bottom w:val="single" w:color="auto" w:sz="4" w:space="0"/>
              <w:right w:val="single" w:color="auto" w:sz="4" w:space="0"/>
            </w:tcBorders>
            <w:noWrap w:val="0"/>
          </w:tcPr>
          <w:p w14:paraId="15726875">
            <w:pPr>
              <w:spacing w:before="120" w:line="24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是否响应</w:t>
            </w:r>
          </w:p>
        </w:tc>
        <w:tc>
          <w:tcPr>
            <w:tcW w:w="1830" w:type="dxa"/>
            <w:tcBorders>
              <w:top w:val="single" w:color="auto" w:sz="4" w:space="0"/>
              <w:left w:val="single" w:color="auto" w:sz="4" w:space="0"/>
              <w:bottom w:val="single" w:color="auto" w:sz="4" w:space="0"/>
              <w:right w:val="single" w:color="auto" w:sz="4" w:space="0"/>
            </w:tcBorders>
            <w:noWrap w:val="0"/>
          </w:tcPr>
          <w:p w14:paraId="39AA26AA">
            <w:pPr>
              <w:spacing w:before="120" w:line="24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投标人的承诺或说明</w:t>
            </w:r>
          </w:p>
        </w:tc>
      </w:tr>
      <w:tr w14:paraId="3BA0A3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54CE1BCE">
            <w:pPr>
              <w:spacing w:before="120" w:line="240" w:lineRule="auto"/>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w:t>
            </w:r>
          </w:p>
        </w:tc>
        <w:tc>
          <w:tcPr>
            <w:tcW w:w="5036" w:type="dxa"/>
            <w:tcBorders>
              <w:top w:val="single" w:color="auto" w:sz="4" w:space="0"/>
              <w:left w:val="single" w:color="auto" w:sz="4" w:space="0"/>
              <w:bottom w:val="single" w:color="auto" w:sz="4" w:space="0"/>
              <w:right w:val="single" w:color="auto" w:sz="4" w:space="0"/>
            </w:tcBorders>
            <w:noWrap w:val="0"/>
          </w:tcPr>
          <w:p w14:paraId="6CF0A8F6">
            <w:pPr>
              <w:spacing w:before="120"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投标报价</w:t>
            </w:r>
          </w:p>
        </w:tc>
        <w:tc>
          <w:tcPr>
            <w:tcW w:w="1410" w:type="dxa"/>
            <w:tcBorders>
              <w:top w:val="single" w:color="auto" w:sz="4" w:space="0"/>
              <w:left w:val="single" w:color="auto" w:sz="4" w:space="0"/>
              <w:bottom w:val="single" w:color="auto" w:sz="4" w:space="0"/>
              <w:right w:val="single" w:color="auto" w:sz="4" w:space="0"/>
            </w:tcBorders>
            <w:noWrap w:val="0"/>
          </w:tcPr>
          <w:p w14:paraId="041D6002">
            <w:pPr>
              <w:spacing w:before="120" w:line="240" w:lineRule="auto"/>
              <w:rPr>
                <w:rFonts w:hint="eastAsia" w:ascii="宋体" w:hAnsi="宋体" w:eastAsia="宋体" w:cs="宋体"/>
                <w:color w:val="auto"/>
                <w:sz w:val="24"/>
                <w:szCs w:val="20"/>
                <w:highlight w:val="none"/>
              </w:rPr>
            </w:pPr>
          </w:p>
        </w:tc>
        <w:tc>
          <w:tcPr>
            <w:tcW w:w="1830" w:type="dxa"/>
            <w:tcBorders>
              <w:top w:val="single" w:color="auto" w:sz="4" w:space="0"/>
              <w:left w:val="single" w:color="auto" w:sz="4" w:space="0"/>
              <w:bottom w:val="single" w:color="auto" w:sz="4" w:space="0"/>
              <w:right w:val="single" w:color="auto" w:sz="4" w:space="0"/>
            </w:tcBorders>
            <w:noWrap w:val="0"/>
          </w:tcPr>
          <w:p w14:paraId="46BB72C7">
            <w:pPr>
              <w:spacing w:before="120" w:line="240" w:lineRule="auto"/>
              <w:rPr>
                <w:rFonts w:hint="eastAsia" w:ascii="宋体" w:hAnsi="宋体" w:eastAsia="宋体" w:cs="宋体"/>
                <w:color w:val="auto"/>
                <w:sz w:val="24"/>
                <w:szCs w:val="20"/>
                <w:highlight w:val="none"/>
              </w:rPr>
            </w:pPr>
          </w:p>
        </w:tc>
      </w:tr>
      <w:tr w14:paraId="334DC4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264EABEA">
            <w:pPr>
              <w:spacing w:before="120" w:line="240" w:lineRule="auto"/>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w:t>
            </w:r>
          </w:p>
        </w:tc>
        <w:tc>
          <w:tcPr>
            <w:tcW w:w="5036" w:type="dxa"/>
            <w:tcBorders>
              <w:top w:val="single" w:color="auto" w:sz="4" w:space="0"/>
              <w:left w:val="single" w:color="auto" w:sz="4" w:space="0"/>
              <w:bottom w:val="single" w:color="auto" w:sz="4" w:space="0"/>
              <w:right w:val="single" w:color="auto" w:sz="4" w:space="0"/>
            </w:tcBorders>
            <w:noWrap w:val="0"/>
          </w:tcPr>
          <w:p w14:paraId="277FE19B">
            <w:pPr>
              <w:spacing w:before="120"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合同履行期限</w:t>
            </w:r>
          </w:p>
        </w:tc>
        <w:tc>
          <w:tcPr>
            <w:tcW w:w="1410" w:type="dxa"/>
            <w:tcBorders>
              <w:top w:val="single" w:color="auto" w:sz="4" w:space="0"/>
              <w:left w:val="single" w:color="auto" w:sz="4" w:space="0"/>
              <w:bottom w:val="single" w:color="auto" w:sz="4" w:space="0"/>
              <w:right w:val="single" w:color="auto" w:sz="4" w:space="0"/>
            </w:tcBorders>
            <w:noWrap w:val="0"/>
          </w:tcPr>
          <w:p w14:paraId="04EE6C60">
            <w:pPr>
              <w:spacing w:before="120" w:line="240" w:lineRule="auto"/>
              <w:rPr>
                <w:rFonts w:hint="eastAsia" w:ascii="宋体" w:hAnsi="宋体" w:eastAsia="宋体" w:cs="宋体"/>
                <w:color w:val="auto"/>
                <w:sz w:val="24"/>
                <w:szCs w:val="20"/>
                <w:highlight w:val="none"/>
              </w:rPr>
            </w:pPr>
          </w:p>
        </w:tc>
        <w:tc>
          <w:tcPr>
            <w:tcW w:w="1830" w:type="dxa"/>
            <w:tcBorders>
              <w:top w:val="single" w:color="auto" w:sz="4" w:space="0"/>
              <w:left w:val="single" w:color="auto" w:sz="4" w:space="0"/>
              <w:bottom w:val="single" w:color="auto" w:sz="4" w:space="0"/>
              <w:right w:val="single" w:color="auto" w:sz="4" w:space="0"/>
            </w:tcBorders>
            <w:noWrap w:val="0"/>
          </w:tcPr>
          <w:p w14:paraId="3C782874">
            <w:pPr>
              <w:spacing w:before="120" w:line="240" w:lineRule="auto"/>
              <w:rPr>
                <w:rFonts w:hint="eastAsia" w:ascii="宋体" w:hAnsi="宋体" w:eastAsia="宋体" w:cs="宋体"/>
                <w:color w:val="auto"/>
                <w:sz w:val="24"/>
                <w:szCs w:val="20"/>
                <w:highlight w:val="none"/>
              </w:rPr>
            </w:pPr>
          </w:p>
        </w:tc>
      </w:tr>
      <w:tr w14:paraId="03CB8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5A224D81">
            <w:pPr>
              <w:spacing w:before="120" w:line="240" w:lineRule="auto"/>
              <w:rPr>
                <w:rFonts w:hint="default" w:hAnsi="宋体" w:eastAsia="宋体" w:cs="宋体"/>
                <w:iCs/>
                <w:color w:val="auto"/>
                <w:sz w:val="24"/>
                <w:szCs w:val="24"/>
                <w:highlight w:val="none"/>
                <w:lang w:val="en-US" w:eastAsia="zh-CN"/>
              </w:rPr>
            </w:pPr>
            <w:r>
              <w:rPr>
                <w:rFonts w:hint="eastAsia" w:hAnsi="宋体" w:eastAsia="宋体" w:cs="宋体"/>
                <w:iCs/>
                <w:color w:val="auto"/>
                <w:sz w:val="24"/>
                <w:szCs w:val="24"/>
                <w:highlight w:val="none"/>
                <w:lang w:val="en-US" w:eastAsia="zh-CN"/>
              </w:rPr>
              <w:t>3</w:t>
            </w:r>
          </w:p>
        </w:tc>
        <w:tc>
          <w:tcPr>
            <w:tcW w:w="5036" w:type="dxa"/>
            <w:tcBorders>
              <w:top w:val="single" w:color="auto" w:sz="4" w:space="0"/>
              <w:left w:val="single" w:color="auto" w:sz="4" w:space="0"/>
              <w:bottom w:val="single" w:color="auto" w:sz="4" w:space="0"/>
              <w:right w:val="single" w:color="auto" w:sz="4" w:space="0"/>
            </w:tcBorders>
            <w:noWrap w:val="0"/>
          </w:tcPr>
          <w:p w14:paraId="3E7BBD6F">
            <w:pPr>
              <w:spacing w:before="120"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付款方式</w:t>
            </w:r>
          </w:p>
        </w:tc>
        <w:tc>
          <w:tcPr>
            <w:tcW w:w="1410" w:type="dxa"/>
            <w:tcBorders>
              <w:top w:val="single" w:color="auto" w:sz="4" w:space="0"/>
              <w:left w:val="single" w:color="auto" w:sz="4" w:space="0"/>
              <w:bottom w:val="single" w:color="auto" w:sz="4" w:space="0"/>
              <w:right w:val="single" w:color="auto" w:sz="4" w:space="0"/>
            </w:tcBorders>
            <w:noWrap w:val="0"/>
          </w:tcPr>
          <w:p w14:paraId="7A170E7A">
            <w:pPr>
              <w:spacing w:before="120" w:line="240" w:lineRule="auto"/>
              <w:ind w:left="43"/>
              <w:rPr>
                <w:rFonts w:hint="eastAsia" w:ascii="宋体" w:hAnsi="宋体" w:eastAsia="宋体" w:cs="宋体"/>
                <w:color w:val="auto"/>
                <w:sz w:val="24"/>
                <w:szCs w:val="20"/>
                <w:highlight w:val="none"/>
              </w:rPr>
            </w:pPr>
          </w:p>
        </w:tc>
        <w:tc>
          <w:tcPr>
            <w:tcW w:w="1830" w:type="dxa"/>
            <w:tcBorders>
              <w:top w:val="single" w:color="auto" w:sz="4" w:space="0"/>
              <w:left w:val="single" w:color="auto" w:sz="4" w:space="0"/>
              <w:bottom w:val="single" w:color="auto" w:sz="4" w:space="0"/>
              <w:right w:val="single" w:color="auto" w:sz="4" w:space="0"/>
            </w:tcBorders>
            <w:noWrap w:val="0"/>
          </w:tcPr>
          <w:p w14:paraId="7353BA57">
            <w:pPr>
              <w:spacing w:before="120" w:line="240" w:lineRule="auto"/>
              <w:ind w:left="43"/>
              <w:rPr>
                <w:rFonts w:hint="eastAsia" w:ascii="宋体" w:hAnsi="宋体" w:eastAsia="宋体" w:cs="宋体"/>
                <w:color w:val="auto"/>
                <w:sz w:val="24"/>
                <w:szCs w:val="20"/>
                <w:highlight w:val="none"/>
              </w:rPr>
            </w:pPr>
          </w:p>
        </w:tc>
      </w:tr>
      <w:tr w14:paraId="573E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40CEFC4A">
            <w:pPr>
              <w:spacing w:before="120"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5036" w:type="dxa"/>
            <w:tcBorders>
              <w:top w:val="single" w:color="auto" w:sz="4" w:space="0"/>
              <w:left w:val="single" w:color="auto" w:sz="4" w:space="0"/>
              <w:bottom w:val="single" w:color="auto" w:sz="4" w:space="0"/>
              <w:right w:val="single" w:color="auto" w:sz="4" w:space="0"/>
            </w:tcBorders>
            <w:noWrap w:val="0"/>
          </w:tcPr>
          <w:p w14:paraId="112D8B75">
            <w:pPr>
              <w:spacing w:before="120"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开标一览表</w:t>
            </w:r>
          </w:p>
        </w:tc>
        <w:tc>
          <w:tcPr>
            <w:tcW w:w="1410" w:type="dxa"/>
            <w:tcBorders>
              <w:top w:val="single" w:color="auto" w:sz="4" w:space="0"/>
              <w:left w:val="single" w:color="auto" w:sz="4" w:space="0"/>
              <w:bottom w:val="single" w:color="auto" w:sz="4" w:space="0"/>
              <w:right w:val="single" w:color="auto" w:sz="4" w:space="0"/>
            </w:tcBorders>
            <w:noWrap w:val="0"/>
          </w:tcPr>
          <w:p w14:paraId="093800EC">
            <w:pPr>
              <w:spacing w:before="120" w:line="240" w:lineRule="auto"/>
              <w:ind w:left="43"/>
              <w:rPr>
                <w:rFonts w:hint="eastAsia" w:ascii="宋体" w:hAnsi="宋体" w:eastAsia="宋体" w:cs="宋体"/>
                <w:color w:val="auto"/>
                <w:sz w:val="24"/>
                <w:szCs w:val="20"/>
                <w:highlight w:val="none"/>
              </w:rPr>
            </w:pPr>
          </w:p>
        </w:tc>
        <w:tc>
          <w:tcPr>
            <w:tcW w:w="1830" w:type="dxa"/>
            <w:tcBorders>
              <w:top w:val="single" w:color="auto" w:sz="4" w:space="0"/>
              <w:left w:val="single" w:color="auto" w:sz="4" w:space="0"/>
              <w:bottom w:val="single" w:color="auto" w:sz="4" w:space="0"/>
              <w:right w:val="single" w:color="auto" w:sz="4" w:space="0"/>
            </w:tcBorders>
            <w:noWrap w:val="0"/>
          </w:tcPr>
          <w:p w14:paraId="61F060A0">
            <w:pPr>
              <w:spacing w:before="120" w:line="240" w:lineRule="auto"/>
              <w:ind w:left="43"/>
              <w:rPr>
                <w:rFonts w:hint="eastAsia" w:ascii="宋体" w:hAnsi="宋体" w:eastAsia="宋体" w:cs="宋体"/>
                <w:color w:val="auto"/>
                <w:sz w:val="24"/>
                <w:szCs w:val="20"/>
                <w:highlight w:val="none"/>
              </w:rPr>
            </w:pPr>
          </w:p>
        </w:tc>
      </w:tr>
      <w:tr w14:paraId="317A01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796CCB05">
            <w:pPr>
              <w:spacing w:before="120"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5036" w:type="dxa"/>
            <w:tcBorders>
              <w:top w:val="single" w:color="auto" w:sz="4" w:space="0"/>
              <w:left w:val="single" w:color="auto" w:sz="4" w:space="0"/>
              <w:bottom w:val="single" w:color="auto" w:sz="4" w:space="0"/>
              <w:right w:val="single" w:color="auto" w:sz="4" w:space="0"/>
            </w:tcBorders>
            <w:noWrap w:val="0"/>
          </w:tcPr>
          <w:p w14:paraId="57EE5C9C">
            <w:pPr>
              <w:spacing w:before="120"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法人授权书</w:t>
            </w:r>
          </w:p>
        </w:tc>
        <w:tc>
          <w:tcPr>
            <w:tcW w:w="1410" w:type="dxa"/>
            <w:tcBorders>
              <w:top w:val="single" w:color="auto" w:sz="4" w:space="0"/>
              <w:left w:val="single" w:color="auto" w:sz="4" w:space="0"/>
              <w:bottom w:val="single" w:color="auto" w:sz="4" w:space="0"/>
              <w:right w:val="single" w:color="auto" w:sz="4" w:space="0"/>
            </w:tcBorders>
            <w:noWrap w:val="0"/>
          </w:tcPr>
          <w:p w14:paraId="5C99E6F9">
            <w:pPr>
              <w:spacing w:before="120" w:line="240" w:lineRule="auto"/>
              <w:ind w:left="43"/>
              <w:rPr>
                <w:rFonts w:hint="eastAsia" w:ascii="宋体" w:hAnsi="宋体" w:eastAsia="宋体" w:cs="宋体"/>
                <w:color w:val="auto"/>
                <w:sz w:val="24"/>
                <w:szCs w:val="20"/>
                <w:highlight w:val="none"/>
              </w:rPr>
            </w:pPr>
          </w:p>
        </w:tc>
        <w:tc>
          <w:tcPr>
            <w:tcW w:w="1830" w:type="dxa"/>
            <w:tcBorders>
              <w:top w:val="single" w:color="auto" w:sz="4" w:space="0"/>
              <w:left w:val="single" w:color="auto" w:sz="4" w:space="0"/>
              <w:bottom w:val="single" w:color="auto" w:sz="4" w:space="0"/>
              <w:right w:val="single" w:color="auto" w:sz="4" w:space="0"/>
            </w:tcBorders>
            <w:noWrap w:val="0"/>
          </w:tcPr>
          <w:p w14:paraId="64E3F9EA">
            <w:pPr>
              <w:spacing w:before="120" w:line="240" w:lineRule="auto"/>
              <w:ind w:left="43"/>
              <w:rPr>
                <w:rFonts w:hint="eastAsia" w:ascii="宋体" w:hAnsi="宋体" w:eastAsia="宋体" w:cs="宋体"/>
                <w:color w:val="auto"/>
                <w:sz w:val="24"/>
                <w:szCs w:val="20"/>
                <w:highlight w:val="none"/>
              </w:rPr>
            </w:pPr>
          </w:p>
        </w:tc>
      </w:tr>
      <w:tr w14:paraId="569EEF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1454D99B">
            <w:pPr>
              <w:spacing w:before="120" w:line="24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6</w:t>
            </w:r>
          </w:p>
        </w:tc>
        <w:tc>
          <w:tcPr>
            <w:tcW w:w="5036" w:type="dxa"/>
            <w:tcBorders>
              <w:top w:val="single" w:color="auto" w:sz="4" w:space="0"/>
              <w:left w:val="single" w:color="auto" w:sz="4" w:space="0"/>
              <w:bottom w:val="single" w:color="auto" w:sz="4" w:space="0"/>
              <w:right w:val="single" w:color="auto" w:sz="4" w:space="0"/>
            </w:tcBorders>
            <w:noWrap w:val="0"/>
          </w:tcPr>
          <w:p w14:paraId="0B04135E">
            <w:pPr>
              <w:spacing w:before="120"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磋商响应函</w:t>
            </w:r>
          </w:p>
        </w:tc>
        <w:tc>
          <w:tcPr>
            <w:tcW w:w="1410" w:type="dxa"/>
            <w:tcBorders>
              <w:top w:val="single" w:color="auto" w:sz="4" w:space="0"/>
              <w:left w:val="single" w:color="auto" w:sz="4" w:space="0"/>
              <w:bottom w:val="single" w:color="auto" w:sz="4" w:space="0"/>
              <w:right w:val="single" w:color="auto" w:sz="4" w:space="0"/>
            </w:tcBorders>
            <w:noWrap w:val="0"/>
          </w:tcPr>
          <w:p w14:paraId="3B05DE53">
            <w:pPr>
              <w:spacing w:before="120" w:line="240" w:lineRule="auto"/>
              <w:rPr>
                <w:rFonts w:hint="eastAsia" w:ascii="宋体" w:hAnsi="宋体" w:eastAsia="宋体" w:cs="宋体"/>
                <w:color w:val="auto"/>
                <w:sz w:val="24"/>
                <w:szCs w:val="20"/>
                <w:highlight w:val="none"/>
              </w:rPr>
            </w:pPr>
          </w:p>
        </w:tc>
        <w:tc>
          <w:tcPr>
            <w:tcW w:w="1830" w:type="dxa"/>
            <w:tcBorders>
              <w:top w:val="single" w:color="auto" w:sz="4" w:space="0"/>
              <w:left w:val="single" w:color="auto" w:sz="4" w:space="0"/>
              <w:bottom w:val="single" w:color="auto" w:sz="4" w:space="0"/>
              <w:right w:val="single" w:color="auto" w:sz="4" w:space="0"/>
            </w:tcBorders>
            <w:noWrap w:val="0"/>
          </w:tcPr>
          <w:p w14:paraId="1F18F594">
            <w:pPr>
              <w:spacing w:before="120" w:line="240" w:lineRule="auto"/>
              <w:rPr>
                <w:rFonts w:hint="eastAsia" w:ascii="宋体" w:hAnsi="宋体" w:eastAsia="宋体" w:cs="宋体"/>
                <w:color w:val="auto"/>
                <w:sz w:val="24"/>
                <w:szCs w:val="20"/>
                <w:highlight w:val="none"/>
              </w:rPr>
            </w:pPr>
          </w:p>
        </w:tc>
      </w:tr>
      <w:tr w14:paraId="4759D7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395289C5">
            <w:pPr>
              <w:spacing w:before="120" w:line="240" w:lineRule="auto"/>
              <w:rPr>
                <w:rFonts w:hint="eastAsia" w:ascii="宋体" w:hAnsi="宋体" w:eastAsia="宋体" w:cs="宋体"/>
                <w:color w:val="auto"/>
                <w:sz w:val="24"/>
                <w:szCs w:val="20"/>
                <w:highlight w:val="none"/>
                <w:lang w:val="en-US" w:eastAsia="zh-CN"/>
              </w:rPr>
            </w:pPr>
          </w:p>
        </w:tc>
        <w:tc>
          <w:tcPr>
            <w:tcW w:w="5036" w:type="dxa"/>
            <w:tcBorders>
              <w:top w:val="single" w:color="auto" w:sz="4" w:space="0"/>
              <w:left w:val="single" w:color="auto" w:sz="4" w:space="0"/>
              <w:bottom w:val="single" w:color="auto" w:sz="4" w:space="0"/>
              <w:right w:val="single" w:color="auto" w:sz="4" w:space="0"/>
            </w:tcBorders>
            <w:noWrap w:val="0"/>
          </w:tcPr>
          <w:p w14:paraId="12202C59">
            <w:pPr>
              <w:spacing w:before="120"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0"/>
                <w:highlight w:val="none"/>
              </w:rPr>
              <w:t>……</w:t>
            </w:r>
          </w:p>
        </w:tc>
        <w:tc>
          <w:tcPr>
            <w:tcW w:w="1410" w:type="dxa"/>
            <w:tcBorders>
              <w:top w:val="single" w:color="auto" w:sz="4" w:space="0"/>
              <w:left w:val="single" w:color="auto" w:sz="4" w:space="0"/>
              <w:bottom w:val="single" w:color="auto" w:sz="4" w:space="0"/>
              <w:right w:val="single" w:color="auto" w:sz="4" w:space="0"/>
            </w:tcBorders>
            <w:noWrap w:val="0"/>
          </w:tcPr>
          <w:p w14:paraId="462B8B91">
            <w:pPr>
              <w:spacing w:before="120" w:line="240" w:lineRule="auto"/>
              <w:rPr>
                <w:rFonts w:hint="eastAsia" w:ascii="宋体" w:hAnsi="宋体" w:eastAsia="宋体" w:cs="宋体"/>
                <w:color w:val="auto"/>
                <w:sz w:val="24"/>
                <w:szCs w:val="20"/>
                <w:highlight w:val="none"/>
              </w:rPr>
            </w:pPr>
          </w:p>
        </w:tc>
        <w:tc>
          <w:tcPr>
            <w:tcW w:w="1830" w:type="dxa"/>
            <w:tcBorders>
              <w:top w:val="single" w:color="auto" w:sz="4" w:space="0"/>
              <w:left w:val="single" w:color="auto" w:sz="4" w:space="0"/>
              <w:bottom w:val="single" w:color="auto" w:sz="4" w:space="0"/>
              <w:right w:val="single" w:color="auto" w:sz="4" w:space="0"/>
            </w:tcBorders>
            <w:noWrap w:val="0"/>
          </w:tcPr>
          <w:p w14:paraId="3AA5145C">
            <w:pPr>
              <w:spacing w:before="120" w:line="240" w:lineRule="auto"/>
              <w:rPr>
                <w:rFonts w:hint="eastAsia" w:ascii="宋体" w:hAnsi="宋体" w:eastAsia="宋体" w:cs="宋体"/>
                <w:color w:val="auto"/>
                <w:sz w:val="24"/>
                <w:szCs w:val="20"/>
                <w:highlight w:val="none"/>
              </w:rPr>
            </w:pPr>
          </w:p>
        </w:tc>
      </w:tr>
    </w:tbl>
    <w:p w14:paraId="5F90A842">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注：以上表格可根据项目需求、合同条款及格式中相关内容有负偏离或不响应的自行增</w:t>
      </w:r>
    </w:p>
    <w:p w14:paraId="67A3D34E">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加。</w:t>
      </w:r>
    </w:p>
    <w:p w14:paraId="2F2C28BA">
      <w:pPr>
        <w:spacing w:line="560" w:lineRule="exact"/>
        <w:ind w:firstLine="3120"/>
        <w:rPr>
          <w:rFonts w:hint="eastAsia" w:ascii="宋体" w:hAnsi="宋体" w:eastAsia="宋体" w:cs="宋体"/>
          <w:color w:val="auto"/>
          <w:sz w:val="24"/>
          <w:highlight w:val="none"/>
        </w:rPr>
      </w:pPr>
    </w:p>
    <w:p w14:paraId="02E26BDA">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  </w:t>
      </w:r>
    </w:p>
    <w:p w14:paraId="1AD60E8E">
      <w:pPr>
        <w:pStyle w:val="3"/>
        <w:numPr>
          <w:ilvl w:val="0"/>
          <w:numId w:val="0"/>
        </w:numPr>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                          </w:t>
      </w:r>
      <w:bookmarkStart w:id="252" w:name="_Toc7570"/>
      <w:r>
        <w:rPr>
          <w:rFonts w:hint="eastAsia" w:ascii="宋体" w:hAnsi="宋体" w:eastAsia="宋体" w:cs="宋体"/>
          <w:b w:val="0"/>
          <w:bCs w:val="0"/>
          <w:color w:val="auto"/>
          <w:sz w:val="24"/>
          <w:szCs w:val="21"/>
          <w:highlight w:val="none"/>
        </w:rPr>
        <w:t>日期：       年   月   日</w:t>
      </w:r>
      <w:bookmarkEnd w:id="252"/>
    </w:p>
    <w:p w14:paraId="11B90B90">
      <w:pPr>
        <w:pStyle w:val="33"/>
        <w:spacing w:beforeAutospacing="0" w:afterAutospacing="0"/>
        <w:jc w:val="both"/>
        <w:rPr>
          <w:rFonts w:hint="eastAsia" w:ascii="宋体" w:hAnsi="宋体" w:eastAsia="宋体" w:cs="宋体"/>
          <w:color w:val="auto"/>
          <w:highlight w:val="none"/>
        </w:rPr>
      </w:pPr>
    </w:p>
    <w:p w14:paraId="0F46DFD0">
      <w:pPr>
        <w:pStyle w:val="33"/>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63C065">
      <w:pPr>
        <w:pStyle w:val="33"/>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C5A7B98">
      <w:pPr>
        <w:pStyle w:val="33"/>
        <w:spacing w:beforeAutospacing="0" w:afterAutospacing="0"/>
        <w:jc w:val="center"/>
        <w:rPr>
          <w:rFonts w:hint="eastAsia" w:ascii="宋体" w:hAnsi="宋体" w:eastAsia="宋体" w:cs="宋体"/>
          <w:color w:val="auto"/>
          <w:highlight w:val="none"/>
        </w:rPr>
      </w:pPr>
      <w:bookmarkStart w:id="253" w:name="_Hlt26609389"/>
      <w:bookmarkStart w:id="254" w:name="_Hlt26955066"/>
      <w:bookmarkStart w:id="255" w:name="_格式2__法定代表人授权书"/>
      <w:bookmarkStart w:id="256" w:name="_Toc462564146"/>
      <w:bookmarkStart w:id="257" w:name="_Hlt26671374"/>
    </w:p>
    <w:p w14:paraId="07166BB2">
      <w:pPr>
        <w:pStyle w:val="33"/>
        <w:spacing w:beforeAutospacing="0" w:afterAutospacing="0"/>
        <w:jc w:val="center"/>
        <w:rPr>
          <w:rFonts w:hint="eastAsia" w:ascii="宋体" w:hAnsi="宋体" w:eastAsia="宋体" w:cs="宋体"/>
          <w:color w:val="auto"/>
          <w:highlight w:val="none"/>
        </w:rPr>
      </w:pPr>
    </w:p>
    <w:p w14:paraId="16E1988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5D734D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9C91FA2">
      <w:pPr>
        <w:pStyle w:val="33"/>
        <w:spacing w:beforeAutospacing="0" w:afterAutospacing="0"/>
        <w:jc w:val="center"/>
        <w:rPr>
          <w:rFonts w:hint="eastAsia" w:ascii="宋体" w:hAnsi="宋体" w:eastAsia="宋体" w:cs="宋体"/>
          <w:color w:val="auto"/>
          <w:highlight w:val="none"/>
        </w:rPr>
      </w:pPr>
    </w:p>
    <w:p w14:paraId="10B76AD1">
      <w:pPr>
        <w:pStyle w:val="33"/>
        <w:spacing w:beforeAutospacing="0" w:afterAutospacing="0"/>
        <w:jc w:val="center"/>
        <w:rPr>
          <w:rFonts w:hint="eastAsia" w:ascii="宋体" w:hAnsi="宋体" w:eastAsia="宋体" w:cs="宋体"/>
          <w:color w:val="auto"/>
          <w:highlight w:val="none"/>
        </w:rPr>
      </w:pPr>
    </w:p>
    <w:p w14:paraId="6B50511D">
      <w:pPr>
        <w:pStyle w:val="33"/>
        <w:spacing w:beforeAutospacing="0" w:afterAutospacing="0"/>
        <w:jc w:val="center"/>
        <w:rPr>
          <w:rFonts w:hint="eastAsia" w:ascii="宋体" w:hAnsi="宋体" w:eastAsia="宋体" w:cs="宋体"/>
          <w:color w:val="auto"/>
          <w:highlight w:val="none"/>
        </w:rPr>
      </w:pPr>
    </w:p>
    <w:p w14:paraId="38644B14">
      <w:pPr>
        <w:pStyle w:val="33"/>
        <w:spacing w:beforeAutospacing="0" w:afterAutospacing="0"/>
        <w:jc w:val="center"/>
        <w:rPr>
          <w:rFonts w:hint="eastAsia" w:ascii="宋体" w:hAnsi="宋体" w:eastAsia="宋体" w:cs="宋体"/>
          <w:color w:val="auto"/>
          <w:highlight w:val="none"/>
        </w:rPr>
      </w:pPr>
    </w:p>
    <w:p w14:paraId="4F8EC289">
      <w:pPr>
        <w:pStyle w:val="33"/>
        <w:spacing w:beforeAutospacing="0" w:afterAutospacing="0"/>
        <w:jc w:val="center"/>
        <w:rPr>
          <w:rFonts w:hint="eastAsia" w:ascii="宋体" w:hAnsi="宋体" w:eastAsia="宋体" w:cs="宋体"/>
          <w:color w:val="auto"/>
          <w:sz w:val="32"/>
          <w:szCs w:val="32"/>
          <w:highlight w:val="none"/>
        </w:rPr>
      </w:pPr>
      <w:r>
        <w:rPr>
          <w:rFonts w:hint="eastAsia" w:ascii="宋体" w:hAnsi="宋体" w:eastAsia="宋体" w:cs="宋体"/>
          <w:color w:val="auto"/>
          <w:highlight w:val="none"/>
        </w:rPr>
        <w:t> </w:t>
      </w:r>
    </w:p>
    <w:p w14:paraId="05D56372">
      <w:pPr>
        <w:pStyle w:val="33"/>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、其他材料</w:t>
      </w:r>
    </w:p>
    <w:p w14:paraId="031EAED2">
      <w:pPr>
        <w:rPr>
          <w:rFonts w:hint="eastAsia" w:ascii="宋体" w:hAnsi="宋体" w:eastAsia="宋体" w:cs="宋体"/>
          <w:color w:val="auto"/>
          <w:sz w:val="21"/>
          <w:szCs w:val="24"/>
          <w:highlight w:val="none"/>
        </w:rPr>
      </w:pPr>
    </w:p>
    <w:p w14:paraId="1DCB7480">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投标人认为应提交的其他资料：</w:t>
      </w:r>
      <w:r>
        <w:rPr>
          <w:rFonts w:hint="eastAsia" w:ascii="宋体" w:hAnsi="宋体" w:eastAsia="宋体" w:cs="宋体"/>
          <w:color w:val="auto"/>
          <w:sz w:val="24"/>
          <w:highlight w:val="none"/>
          <w:lang w:val="en-US" w:eastAsia="zh-CN"/>
        </w:rPr>
        <w:t>实施方案</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业绩等证明材</w:t>
      </w:r>
      <w:r>
        <w:rPr>
          <w:rFonts w:hint="eastAsia" w:ascii="宋体" w:hAnsi="宋体" w:eastAsia="宋体" w:cs="宋体"/>
          <w:color w:val="auto"/>
          <w:sz w:val="24"/>
          <w:highlight w:val="none"/>
        </w:rPr>
        <w:t>料（投标人按</w:t>
      </w:r>
      <w:r>
        <w:rPr>
          <w:rFonts w:hint="eastAsia" w:ascii="宋体" w:hAnsi="宋体" w:eastAsia="宋体" w:cs="宋体"/>
          <w:color w:val="auto"/>
          <w:sz w:val="24"/>
          <w:highlight w:val="none"/>
          <w:lang w:val="en-US" w:eastAsia="zh-CN"/>
        </w:rPr>
        <w:t>招标文件的要求及</w:t>
      </w:r>
      <w:r>
        <w:rPr>
          <w:rFonts w:hint="eastAsia" w:ascii="宋体" w:hAnsi="宋体" w:eastAsia="宋体" w:cs="宋体"/>
          <w:color w:val="auto"/>
          <w:sz w:val="24"/>
          <w:highlight w:val="none"/>
        </w:rPr>
        <w:t>评分标准要求分点表述，格式自拟）均应加盖</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单位公章。</w:t>
      </w:r>
    </w:p>
    <w:p w14:paraId="4A7216A8">
      <w:pPr>
        <w:pStyle w:val="33"/>
        <w:tabs>
          <w:tab w:val="left" w:pos="2160"/>
        </w:tabs>
        <w:spacing w:beforeAutospacing="0" w:afterAutospacing="0"/>
        <w:jc w:val="both"/>
        <w:rPr>
          <w:rFonts w:hint="eastAsia" w:ascii="宋体" w:hAnsi="宋体" w:eastAsia="宋体" w:cs="宋体"/>
          <w:color w:val="auto"/>
          <w:highlight w:val="none"/>
        </w:rPr>
      </w:pPr>
    </w:p>
    <w:p w14:paraId="5377A201">
      <w:pPr>
        <w:widowControl/>
        <w:spacing w:line="499" w:lineRule="atLeast"/>
        <w:ind w:firstLine="1600"/>
        <w:rPr>
          <w:rFonts w:hint="eastAsia" w:ascii="宋体" w:hAnsi="宋体" w:eastAsia="宋体" w:cs="宋体"/>
          <w:color w:val="auto"/>
          <w:sz w:val="32"/>
          <w:szCs w:val="32"/>
          <w:highlight w:val="none"/>
        </w:rPr>
      </w:pPr>
    </w:p>
    <w:p w14:paraId="7294B54F">
      <w:pPr>
        <w:widowControl/>
        <w:spacing w:line="499" w:lineRule="atLeast"/>
        <w:ind w:firstLine="1600"/>
        <w:rPr>
          <w:rFonts w:hint="eastAsia" w:ascii="宋体" w:hAnsi="宋体" w:eastAsia="宋体" w:cs="宋体"/>
          <w:color w:val="auto"/>
          <w:sz w:val="32"/>
          <w:szCs w:val="32"/>
          <w:highlight w:val="none"/>
        </w:rPr>
      </w:pPr>
    </w:p>
    <w:p w14:paraId="368DC44D">
      <w:pPr>
        <w:widowControl/>
        <w:spacing w:line="499" w:lineRule="atLeast"/>
        <w:ind w:firstLine="1600"/>
        <w:rPr>
          <w:rFonts w:hint="eastAsia" w:ascii="宋体" w:hAnsi="宋体" w:eastAsia="宋体" w:cs="宋体"/>
          <w:color w:val="auto"/>
          <w:sz w:val="32"/>
          <w:szCs w:val="32"/>
          <w:highlight w:val="none"/>
        </w:rPr>
      </w:pPr>
    </w:p>
    <w:p w14:paraId="1078EE1C">
      <w:pPr>
        <w:widowControl/>
        <w:spacing w:line="499" w:lineRule="atLeast"/>
        <w:ind w:firstLine="1600"/>
        <w:rPr>
          <w:rFonts w:hint="eastAsia" w:ascii="宋体" w:hAnsi="宋体" w:eastAsia="宋体" w:cs="宋体"/>
          <w:color w:val="auto"/>
          <w:sz w:val="32"/>
          <w:szCs w:val="32"/>
          <w:highlight w:val="none"/>
        </w:rPr>
      </w:pPr>
    </w:p>
    <w:p w14:paraId="2B81158E">
      <w:pPr>
        <w:widowControl/>
        <w:spacing w:line="499" w:lineRule="atLeast"/>
        <w:ind w:firstLine="1600"/>
        <w:rPr>
          <w:rFonts w:hint="eastAsia" w:ascii="宋体" w:hAnsi="宋体" w:eastAsia="宋体" w:cs="宋体"/>
          <w:color w:val="auto"/>
          <w:sz w:val="32"/>
          <w:szCs w:val="32"/>
          <w:highlight w:val="none"/>
        </w:rPr>
      </w:pPr>
    </w:p>
    <w:p w14:paraId="168897B3">
      <w:pPr>
        <w:widowControl/>
        <w:spacing w:line="499" w:lineRule="atLeast"/>
        <w:ind w:firstLine="1600"/>
        <w:rPr>
          <w:rFonts w:hint="eastAsia" w:ascii="宋体" w:hAnsi="宋体" w:eastAsia="宋体" w:cs="宋体"/>
          <w:color w:val="auto"/>
          <w:sz w:val="32"/>
          <w:szCs w:val="32"/>
          <w:highlight w:val="none"/>
        </w:rPr>
      </w:pPr>
    </w:p>
    <w:p w14:paraId="75656506">
      <w:pPr>
        <w:widowControl/>
        <w:spacing w:line="499" w:lineRule="atLeast"/>
        <w:ind w:firstLine="1600"/>
        <w:rPr>
          <w:rFonts w:hint="eastAsia" w:ascii="宋体" w:hAnsi="宋体" w:eastAsia="宋体" w:cs="宋体"/>
          <w:color w:val="auto"/>
          <w:sz w:val="32"/>
          <w:szCs w:val="32"/>
          <w:highlight w:val="none"/>
        </w:rPr>
      </w:pPr>
    </w:p>
    <w:p w14:paraId="0976BB4A">
      <w:pPr>
        <w:widowControl/>
        <w:spacing w:line="499" w:lineRule="atLeast"/>
        <w:ind w:firstLine="1600"/>
        <w:rPr>
          <w:rFonts w:hint="eastAsia" w:ascii="宋体" w:hAnsi="宋体" w:eastAsia="宋体" w:cs="宋体"/>
          <w:color w:val="auto"/>
          <w:sz w:val="32"/>
          <w:szCs w:val="32"/>
          <w:highlight w:val="none"/>
        </w:rPr>
      </w:pPr>
    </w:p>
    <w:p w14:paraId="413DF20A">
      <w:pPr>
        <w:widowControl/>
        <w:spacing w:line="499" w:lineRule="atLeast"/>
        <w:ind w:firstLine="1600"/>
        <w:rPr>
          <w:rFonts w:hint="eastAsia" w:ascii="宋体" w:hAnsi="宋体" w:eastAsia="宋体" w:cs="宋体"/>
          <w:color w:val="auto"/>
          <w:sz w:val="32"/>
          <w:szCs w:val="32"/>
          <w:highlight w:val="none"/>
        </w:rPr>
      </w:pPr>
    </w:p>
    <w:p w14:paraId="1E6920A4">
      <w:pPr>
        <w:widowControl/>
        <w:spacing w:line="499" w:lineRule="atLeast"/>
        <w:ind w:firstLine="1600"/>
        <w:rPr>
          <w:rFonts w:hint="eastAsia" w:ascii="宋体" w:hAnsi="宋体" w:eastAsia="宋体" w:cs="宋体"/>
          <w:color w:val="auto"/>
          <w:sz w:val="32"/>
          <w:szCs w:val="32"/>
          <w:highlight w:val="none"/>
        </w:rPr>
      </w:pPr>
    </w:p>
    <w:p w14:paraId="64585637">
      <w:pPr>
        <w:widowControl/>
        <w:spacing w:line="499" w:lineRule="atLeast"/>
        <w:ind w:firstLine="1600"/>
        <w:rPr>
          <w:rFonts w:hint="eastAsia" w:ascii="宋体" w:hAnsi="宋体" w:eastAsia="宋体" w:cs="宋体"/>
          <w:color w:val="auto"/>
          <w:sz w:val="32"/>
          <w:szCs w:val="32"/>
          <w:highlight w:val="none"/>
        </w:rPr>
      </w:pPr>
    </w:p>
    <w:p w14:paraId="10F16F64">
      <w:pPr>
        <w:widowControl/>
        <w:spacing w:line="499" w:lineRule="atLeast"/>
        <w:ind w:firstLine="1600"/>
        <w:rPr>
          <w:rFonts w:hint="eastAsia" w:ascii="宋体" w:hAnsi="宋体" w:eastAsia="宋体" w:cs="宋体"/>
          <w:color w:val="auto"/>
          <w:sz w:val="32"/>
          <w:szCs w:val="32"/>
          <w:highlight w:val="none"/>
        </w:rPr>
      </w:pPr>
    </w:p>
    <w:p w14:paraId="5C273622">
      <w:pPr>
        <w:widowControl/>
        <w:spacing w:line="499" w:lineRule="atLeast"/>
        <w:ind w:firstLine="1600"/>
        <w:rPr>
          <w:rFonts w:hint="eastAsia" w:ascii="宋体" w:hAnsi="宋体" w:eastAsia="宋体" w:cs="宋体"/>
          <w:color w:val="auto"/>
          <w:sz w:val="32"/>
          <w:szCs w:val="32"/>
          <w:highlight w:val="none"/>
        </w:rPr>
      </w:pPr>
    </w:p>
    <w:p w14:paraId="5F572B25">
      <w:pPr>
        <w:widowControl/>
        <w:spacing w:line="499" w:lineRule="atLeast"/>
        <w:ind w:firstLine="1600"/>
        <w:rPr>
          <w:rFonts w:hint="eastAsia" w:ascii="宋体" w:hAnsi="宋体" w:eastAsia="宋体" w:cs="宋体"/>
          <w:color w:val="auto"/>
          <w:sz w:val="32"/>
          <w:szCs w:val="32"/>
          <w:highlight w:val="none"/>
        </w:rPr>
      </w:pPr>
    </w:p>
    <w:p w14:paraId="6B382250">
      <w:pPr>
        <w:pStyle w:val="36"/>
        <w:widowControl w:val="0"/>
        <w:numPr>
          <w:ilvl w:val="0"/>
          <w:numId w:val="0"/>
        </w:numPr>
        <w:spacing w:before="0" w:after="120" w:line="240" w:lineRule="auto"/>
        <w:jc w:val="both"/>
        <w:rPr>
          <w:rFonts w:hint="eastAsia" w:ascii="宋体" w:hAnsi="宋体" w:eastAsia="宋体" w:cs="宋体"/>
          <w:color w:val="auto"/>
          <w:sz w:val="32"/>
          <w:szCs w:val="32"/>
          <w:highlight w:val="none"/>
        </w:rPr>
      </w:pPr>
    </w:p>
    <w:p w14:paraId="3912BE45">
      <w:pPr>
        <w:pStyle w:val="36"/>
        <w:widowControl w:val="0"/>
        <w:numPr>
          <w:ilvl w:val="0"/>
          <w:numId w:val="0"/>
        </w:numPr>
        <w:spacing w:before="0" w:after="120" w:line="240" w:lineRule="auto"/>
        <w:jc w:val="both"/>
        <w:rPr>
          <w:rFonts w:hint="eastAsia" w:ascii="宋体" w:hAnsi="宋体" w:eastAsia="宋体" w:cs="宋体"/>
          <w:color w:val="auto"/>
          <w:sz w:val="32"/>
          <w:szCs w:val="32"/>
          <w:highlight w:val="none"/>
        </w:rPr>
      </w:pPr>
    </w:p>
    <w:p w14:paraId="0FBD85AF">
      <w:pPr>
        <w:pStyle w:val="36"/>
        <w:widowControl w:val="0"/>
        <w:numPr>
          <w:ilvl w:val="0"/>
          <w:numId w:val="0"/>
        </w:numPr>
        <w:spacing w:before="0" w:after="120" w:line="240" w:lineRule="auto"/>
        <w:jc w:val="both"/>
        <w:rPr>
          <w:rFonts w:hint="eastAsia" w:ascii="宋体" w:hAnsi="宋体" w:eastAsia="宋体" w:cs="宋体"/>
          <w:color w:val="auto"/>
          <w:sz w:val="32"/>
          <w:szCs w:val="32"/>
          <w:highlight w:val="none"/>
        </w:rPr>
      </w:pPr>
    </w:p>
    <w:p w14:paraId="13E324C0">
      <w:pPr>
        <w:widowControl/>
        <w:spacing w:line="499" w:lineRule="atLeast"/>
        <w:ind w:firstLine="1600"/>
        <w:rPr>
          <w:rFonts w:hint="eastAsia" w:ascii="宋体" w:hAnsi="宋体" w:eastAsia="宋体" w:cs="宋体"/>
          <w:color w:val="auto"/>
          <w:sz w:val="32"/>
          <w:szCs w:val="32"/>
          <w:highlight w:val="none"/>
        </w:rPr>
      </w:pPr>
    </w:p>
    <w:p w14:paraId="30ED5FA7">
      <w:pPr>
        <w:widowControl/>
        <w:spacing w:line="499" w:lineRule="atLeast"/>
        <w:ind w:firstLine="1600"/>
        <w:rPr>
          <w:rFonts w:hint="eastAsia" w:ascii="宋体" w:hAnsi="宋体" w:eastAsia="宋体" w:cs="宋体"/>
          <w:color w:val="auto"/>
          <w:sz w:val="32"/>
          <w:szCs w:val="32"/>
          <w:highlight w:val="none"/>
        </w:rPr>
      </w:pPr>
    </w:p>
    <w:p w14:paraId="73816E47">
      <w:pPr>
        <w:pStyle w:val="4"/>
        <w:rPr>
          <w:rFonts w:hint="eastAsia" w:ascii="宋体" w:hAnsi="宋体" w:eastAsia="宋体" w:cs="宋体"/>
          <w:color w:val="auto"/>
          <w:highlight w:val="none"/>
        </w:rPr>
      </w:pPr>
    </w:p>
    <w:p w14:paraId="3DE83EF4">
      <w:pPr>
        <w:rPr>
          <w:rFonts w:hint="eastAsia"/>
          <w:color w:val="auto"/>
        </w:rPr>
      </w:pPr>
    </w:p>
    <w:p w14:paraId="42B8D02C">
      <w:pPr>
        <w:pStyle w:val="33"/>
        <w:spacing w:beforeAutospacing="0" w:afterAutospacing="0"/>
        <w:jc w:val="both"/>
        <w:rPr>
          <w:rFonts w:hint="eastAsia" w:ascii="宋体" w:hAnsi="宋体" w:eastAsia="宋体" w:cs="宋体"/>
          <w:b/>
          <w:color w:val="auto"/>
          <w:sz w:val="32"/>
          <w:szCs w:val="32"/>
          <w:highlight w:val="none"/>
        </w:rPr>
      </w:pPr>
    </w:p>
    <w:p w14:paraId="724D75B8">
      <w:pPr>
        <w:numPr>
          <w:ilvl w:val="0"/>
          <w:numId w:val="0"/>
        </w:numPr>
        <w:spacing w:line="520" w:lineRule="exact"/>
        <w:ind w:left="0" w:leftChars="0" w:firstLine="0" w:firstLineChars="0"/>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bidi="ar-SA"/>
        </w:rPr>
        <w:t>十六、</w:t>
      </w:r>
      <w:r>
        <w:rPr>
          <w:rFonts w:hint="eastAsia" w:ascii="宋体" w:hAnsi="宋体" w:eastAsia="宋体" w:cs="宋体"/>
          <w:b/>
          <w:color w:val="auto"/>
          <w:sz w:val="32"/>
          <w:szCs w:val="32"/>
          <w:highlight w:val="none"/>
          <w:lang w:val="en-US" w:eastAsia="zh-CN"/>
        </w:rPr>
        <w:t>项目需求承诺函</w:t>
      </w:r>
    </w:p>
    <w:p w14:paraId="5EC554A3">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rPr>
        <w:t>根据《2019年市政府为民办实事“阳光助残行动”为残疾人购买意外伤害保险项目实施方案》</w:t>
      </w:r>
      <w:r>
        <w:rPr>
          <w:rFonts w:hint="eastAsia" w:ascii="宋体" w:hAnsi="宋体" w:eastAsia="宋体" w:cs="宋体"/>
          <w:i w:val="0"/>
          <w:iCs w:val="0"/>
          <w:caps w:val="0"/>
          <w:color w:val="auto"/>
          <w:spacing w:val="0"/>
          <w:sz w:val="24"/>
          <w:szCs w:val="24"/>
          <w:highlight w:val="none"/>
          <w:shd w:val="clear" w:color="auto" w:fill="FFFFFF"/>
          <w:lang w:val="en-US" w:eastAsia="zh-CN"/>
        </w:rPr>
        <w:t>以及《关于进一步做好残疾人意外伤害保险工作的通知》的文件精神，</w:t>
      </w:r>
      <w:r>
        <w:rPr>
          <w:rFonts w:hint="eastAsia" w:ascii="宋体" w:hAnsi="宋体" w:eastAsia="宋体" w:cs="宋体"/>
          <w:bCs/>
          <w:color w:val="auto"/>
          <w:sz w:val="24"/>
          <w:szCs w:val="24"/>
          <w:highlight w:val="none"/>
          <w:lang w:val="en-US" w:eastAsia="zh-CN"/>
        </w:rPr>
        <w:t>为全县0-74周岁持证残疾人购买意外伤害保险，按 40 元/人.年的标准投保。</w:t>
      </w:r>
    </w:p>
    <w:p w14:paraId="71CC2FDA">
      <w:pPr>
        <w:spacing w:line="520" w:lineRule="exact"/>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其中，采购包1的保险范围为：经济开发区、四明、临海、长荡、洋马、兴桥、新坍、港开区，采购包2的保险范围为：合德、海河、特庸、盘湾、黄沙港、海通、千秋、盐场。</w:t>
      </w:r>
    </w:p>
    <w:p w14:paraId="3DF2F515">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一、任务目标：</w:t>
      </w:r>
    </w:p>
    <w:p w14:paraId="1F8F9F10">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为全县一定年龄范围内的持证残疾人按市定标准购买意外伤害保险，发挥残疾人意外伤害保险在为残疾人群体抵御风险、弥补损失，减轻家庭负担等方面作用，增强残疾人的获得感、幸福感和安全感。</w:t>
      </w:r>
    </w:p>
    <w:p w14:paraId="3AFA6E4D">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二、参保对象：</w:t>
      </w:r>
    </w:p>
    <w:p w14:paraId="0D7CE5C4">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具有盐城市射阳县户籍、在本县因学习、婚姻、就业居住一年以上，年龄符合0-74周岁，持有有效期内的第二代、第三代《中华人民共和国残疾人证》，未享受政府有关部门购买意外伤害险的各类残疾人。</w:t>
      </w:r>
    </w:p>
    <w:p w14:paraId="7B006E09">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三、保障内容：</w:t>
      </w:r>
    </w:p>
    <w:p w14:paraId="46589673">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保险范围：在保险期间内发生的意外身故、意外伤残、意外医疗、意外住院补贴等意外情形，拓展“疾病身故保险”、“重大疾病保险”、“疾病住院补贴”、“重大疾病医疗补偿”残疾人适用的保险项目，逐步提高保险项目的赔付比例。具体保障内容及标准等详见残疾人意外保险方案及相关附表。</w:t>
      </w:r>
    </w:p>
    <w:p w14:paraId="272891AA">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附：                  </w:t>
      </w:r>
    </w:p>
    <w:p w14:paraId="4A49E0EB">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常见保险项目</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698"/>
        <w:gridCol w:w="4547"/>
        <w:gridCol w:w="2887"/>
      </w:tblGrid>
      <w:tr w14:paraId="2B3CD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38" w:type="dxa"/>
            <w:noWrap w:val="0"/>
            <w:vAlign w:val="top"/>
          </w:tcPr>
          <w:p w14:paraId="4171E4A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top"/>
          </w:tcPr>
          <w:p w14:paraId="61790484">
            <w:pPr>
              <w:keepNext w:val="0"/>
              <w:keepLines w:val="0"/>
              <w:pageBreakBefore w:val="0"/>
              <w:widowControl w:val="0"/>
              <w:kinsoku/>
              <w:wordWrap/>
              <w:overflowPunct/>
              <w:topLinePunct w:val="0"/>
              <w:autoSpaceDE/>
              <w:autoSpaceDN/>
              <w:bidi w:val="0"/>
              <w:adjustRightInd w:val="0"/>
              <w:snapToGrid/>
              <w:spacing w:line="48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547" w:type="dxa"/>
            <w:noWrap w:val="0"/>
            <w:vAlign w:val="top"/>
          </w:tcPr>
          <w:p w14:paraId="440400C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保障项目</w:t>
            </w:r>
          </w:p>
        </w:tc>
        <w:tc>
          <w:tcPr>
            <w:tcW w:w="2887" w:type="dxa"/>
            <w:noWrap w:val="0"/>
            <w:vAlign w:val="top"/>
          </w:tcPr>
          <w:p w14:paraId="6C26A673">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保障内容</w:t>
            </w:r>
          </w:p>
        </w:tc>
      </w:tr>
      <w:tr w14:paraId="122D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138" w:type="dxa"/>
            <w:vMerge w:val="restart"/>
            <w:noWrap w:val="0"/>
            <w:vAlign w:val="top"/>
          </w:tcPr>
          <w:p w14:paraId="2DBC4C98">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p w14:paraId="78CD6F7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p w14:paraId="727A576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p w14:paraId="7463BE6B">
            <w:pPr>
              <w:keepNext w:val="0"/>
              <w:keepLines w:val="0"/>
              <w:pageBreakBefore w:val="0"/>
              <w:widowControl w:val="0"/>
              <w:kinsoku/>
              <w:wordWrap/>
              <w:overflowPunct/>
              <w:topLinePunct w:val="0"/>
              <w:autoSpaceDE/>
              <w:autoSpaceDN/>
              <w:bidi w:val="0"/>
              <w:adjustRightInd w:val="0"/>
              <w:snapToGrid/>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基础保险项目</w:t>
            </w:r>
          </w:p>
        </w:tc>
        <w:tc>
          <w:tcPr>
            <w:tcW w:w="698" w:type="dxa"/>
            <w:noWrap w:val="0"/>
            <w:vAlign w:val="center"/>
          </w:tcPr>
          <w:p w14:paraId="5DC6FCD6">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47" w:type="dxa"/>
            <w:noWrap w:val="0"/>
            <w:vAlign w:val="center"/>
          </w:tcPr>
          <w:p w14:paraId="227DD371">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意外身故保险（设最高赔付金额、不宜高）</w:t>
            </w:r>
          </w:p>
        </w:tc>
        <w:tc>
          <w:tcPr>
            <w:tcW w:w="2887" w:type="dxa"/>
            <w:noWrap w:val="0"/>
            <w:vAlign w:val="center"/>
          </w:tcPr>
          <w:p w14:paraId="7E3645CB">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因意外伤害导致身故</w:t>
            </w:r>
          </w:p>
        </w:tc>
      </w:tr>
      <w:tr w14:paraId="41F3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138" w:type="dxa"/>
            <w:vMerge w:val="continue"/>
            <w:noWrap w:val="0"/>
            <w:vAlign w:val="top"/>
          </w:tcPr>
          <w:p w14:paraId="221CCA2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70734A53">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547" w:type="dxa"/>
            <w:noWrap w:val="0"/>
            <w:vAlign w:val="center"/>
          </w:tcPr>
          <w:p w14:paraId="2F2E43F0">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意外伤残保险（建议较高赔付金额，保障被保险人现时利益）</w:t>
            </w:r>
          </w:p>
        </w:tc>
        <w:tc>
          <w:tcPr>
            <w:tcW w:w="2887" w:type="dxa"/>
            <w:noWrap w:val="0"/>
            <w:vAlign w:val="center"/>
          </w:tcPr>
          <w:p w14:paraId="1CC69845">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因意外伤残保险</w:t>
            </w:r>
          </w:p>
        </w:tc>
      </w:tr>
      <w:tr w14:paraId="50B4F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2856764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69BC4B66">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547" w:type="dxa"/>
            <w:noWrap w:val="0"/>
            <w:vAlign w:val="center"/>
          </w:tcPr>
          <w:p w14:paraId="5283275E">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意外医疗费用补贴</w:t>
            </w:r>
          </w:p>
        </w:tc>
        <w:tc>
          <w:tcPr>
            <w:tcW w:w="2887" w:type="dxa"/>
            <w:noWrap w:val="0"/>
            <w:vAlign w:val="center"/>
          </w:tcPr>
          <w:p w14:paraId="6ABFA7D1">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因意外导致的医疗费用补偿</w:t>
            </w:r>
          </w:p>
        </w:tc>
      </w:tr>
      <w:tr w14:paraId="4EEAF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7DC3E9A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57394B7D">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47" w:type="dxa"/>
            <w:noWrap w:val="0"/>
            <w:vAlign w:val="center"/>
          </w:tcPr>
          <w:p w14:paraId="4E76F7F1">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意外住院定额津贴</w:t>
            </w:r>
          </w:p>
        </w:tc>
        <w:tc>
          <w:tcPr>
            <w:tcW w:w="2887" w:type="dxa"/>
            <w:noWrap w:val="0"/>
            <w:vAlign w:val="center"/>
          </w:tcPr>
          <w:p w14:paraId="01C6311D">
            <w:pPr>
              <w:keepNext w:val="0"/>
              <w:keepLines w:val="0"/>
              <w:pageBreakBefore w:val="0"/>
              <w:widowControl w:val="0"/>
              <w:kinsoku/>
              <w:wordWrap/>
              <w:overflowPunct/>
              <w:topLinePunct w:val="0"/>
              <w:autoSpaceDE/>
              <w:autoSpaceDN/>
              <w:bidi w:val="0"/>
              <w:adjustRightInd w:val="0"/>
              <w:snapToGrid/>
              <w:spacing w:line="48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意外伤害住院医疗定额补贴</w:t>
            </w:r>
          </w:p>
        </w:tc>
      </w:tr>
      <w:tr w14:paraId="4D811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restart"/>
            <w:noWrap w:val="0"/>
            <w:vAlign w:val="top"/>
          </w:tcPr>
          <w:p w14:paraId="31EECED3">
            <w:pPr>
              <w:keepNext w:val="0"/>
              <w:keepLines w:val="0"/>
              <w:pageBreakBefore w:val="0"/>
              <w:widowControl w:val="0"/>
              <w:kinsoku/>
              <w:wordWrap/>
              <w:overflowPunct/>
              <w:topLinePunct w:val="0"/>
              <w:autoSpaceDE/>
              <w:autoSpaceDN/>
              <w:bidi w:val="0"/>
              <w:adjustRightInd w:val="0"/>
              <w:snapToGrid/>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可拓展的保险项目</w:t>
            </w:r>
          </w:p>
        </w:tc>
        <w:tc>
          <w:tcPr>
            <w:tcW w:w="698" w:type="dxa"/>
            <w:noWrap w:val="0"/>
            <w:vAlign w:val="center"/>
          </w:tcPr>
          <w:p w14:paraId="3C6E618A">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47" w:type="dxa"/>
            <w:noWrap w:val="0"/>
            <w:vAlign w:val="center"/>
          </w:tcPr>
          <w:p w14:paraId="0831B58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疾病身故保险</w:t>
            </w:r>
          </w:p>
        </w:tc>
        <w:tc>
          <w:tcPr>
            <w:tcW w:w="2887" w:type="dxa"/>
            <w:noWrap w:val="0"/>
            <w:vAlign w:val="center"/>
          </w:tcPr>
          <w:p w14:paraId="04985538">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p>
        </w:tc>
      </w:tr>
      <w:tr w14:paraId="57855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4A59D1C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5C1D41E9">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547" w:type="dxa"/>
            <w:noWrap w:val="0"/>
            <w:vAlign w:val="center"/>
          </w:tcPr>
          <w:p w14:paraId="14550FA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重大疾病保险</w:t>
            </w:r>
          </w:p>
        </w:tc>
        <w:tc>
          <w:tcPr>
            <w:tcW w:w="2887" w:type="dxa"/>
            <w:noWrap w:val="0"/>
            <w:vAlign w:val="center"/>
          </w:tcPr>
          <w:p w14:paraId="6DD86CB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p>
        </w:tc>
      </w:tr>
      <w:tr w14:paraId="242B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044B98F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13CE44F5">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547" w:type="dxa"/>
            <w:noWrap w:val="0"/>
            <w:vAlign w:val="center"/>
          </w:tcPr>
          <w:p w14:paraId="79D1E63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重大疾病住院补贴</w:t>
            </w:r>
          </w:p>
        </w:tc>
        <w:tc>
          <w:tcPr>
            <w:tcW w:w="2887" w:type="dxa"/>
            <w:noWrap w:val="0"/>
            <w:vAlign w:val="center"/>
          </w:tcPr>
          <w:p w14:paraId="36D9CB4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p>
        </w:tc>
      </w:tr>
      <w:tr w14:paraId="7ADF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8" w:type="dxa"/>
            <w:vMerge w:val="continue"/>
            <w:noWrap w:val="0"/>
            <w:vAlign w:val="top"/>
          </w:tcPr>
          <w:p w14:paraId="759DB92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698" w:type="dxa"/>
            <w:noWrap w:val="0"/>
            <w:vAlign w:val="center"/>
          </w:tcPr>
          <w:p w14:paraId="061AB227">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47" w:type="dxa"/>
            <w:noWrap w:val="0"/>
            <w:vAlign w:val="center"/>
          </w:tcPr>
          <w:p w14:paraId="47EF2FC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重大疾病医疗补偿</w:t>
            </w:r>
          </w:p>
        </w:tc>
        <w:tc>
          <w:tcPr>
            <w:tcW w:w="2887" w:type="dxa"/>
            <w:noWrap w:val="0"/>
            <w:vAlign w:val="center"/>
          </w:tcPr>
          <w:p w14:paraId="68B44AF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center"/>
              <w:textAlignment w:val="baseline"/>
              <w:rPr>
                <w:rFonts w:hint="eastAsia" w:ascii="宋体" w:hAnsi="宋体" w:eastAsia="宋体" w:cs="宋体"/>
                <w:color w:val="auto"/>
                <w:sz w:val="24"/>
                <w:szCs w:val="24"/>
                <w:highlight w:val="none"/>
              </w:rPr>
            </w:pPr>
          </w:p>
        </w:tc>
      </w:tr>
    </w:tbl>
    <w:p w14:paraId="3D0F3CED">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2、保费标准：残疾人意外伤害保险保费标准为每人每年40元。</w:t>
      </w:r>
    </w:p>
    <w:p w14:paraId="1F3F7458">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3、保险期限：2026年9月3日至2028年9月2日，合同一年一签，经采购人考核合格后方可续签下一年服务合同，否则采购人有权终止合同，重新组织招标。</w:t>
      </w:r>
    </w:p>
    <w:p w14:paraId="66B8AA32">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4、资金来源：由射阳县财政统筹安排。</w:t>
      </w:r>
    </w:p>
    <w:p w14:paraId="50AAD953">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四、工作要求</w:t>
      </w:r>
    </w:p>
    <w:p w14:paraId="57F6AB60">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项目承保残疾人意外伤害保险的保险机构应当具备的要求：在中标后、合同履行前，在项目所在区域设立专门服务团队或服务网点，确保接到报案后能在约定时限内到达现场，便于为残疾人就近就便投保、理赔、咨询等服务；有参与政府民生保险项目的经验，所承保的项目绩效评价满意度较高；承保公司具有积善助困、扶残助残或热心社会公益的企业文化，社会美誉度较高等。</w:t>
      </w:r>
    </w:p>
    <w:p w14:paraId="71D0BC1A">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本项目定额赔付比例：残疾人意外伤害保险年赔付率拟不低于70%，如年度赔付率超过供应商承诺的年度赔付率的，由承保公司据实赔付；如年度赔付率低于供应商承诺的年度赔付率的，实际赔付率与供应商承诺的年度赔付率之间的差额部分，由残联同承保公司商谈用于困难残疾人购买所需商品或其他服务项目支出。</w:t>
      </w:r>
    </w:p>
    <w:p w14:paraId="221A8E1F">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承保单位要通过媒体、网站、微信等方式加强宣传，努力让每一名参保对象都能知晓保险项目内容、理赔流程及赔付金额等信息。及时做好对残联工作人员保险政策学习和业务培训工作全面精准掌握。为残疾人开通绿色理赔通道，提供“一站式”理赔服务，确保应保尽保、应赔尽赔，一户不落、一个不少。</w:t>
      </w:r>
    </w:p>
    <w:p w14:paraId="47D7E614">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承保单位要通过媒体、网站、微信等方式加强宣传，签约后两周内按投保人数印发宣传单，宣传单上包含保险项目内容、理赔流程、赔付金额及具体服务人员姓名、电话等信息，宣传单交由县残联，通过县、镇（区）、村（居）三级发放，确保残疾人人人知晓。及时做好对残联工作人员保险政策学习和业务培训工作全面精准掌握。为残疾人开通绿色理赔通道，提供“一站式”理赔服务，确保应保尽保、应赔尽赔，一户不落、一个不少。</w:t>
      </w:r>
    </w:p>
    <w:p w14:paraId="4164E73E">
      <w:pPr>
        <w:spacing w:line="520" w:lineRule="exact"/>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成交供应商应在合同签订前，须向采购人提供拟投入本项目人员的社保缴纳证明（缴费单位须与中标人一致，或提供隶属关系证明），作为履约能力核验材料。未能提供的，视为不具备履约能力，采购人有权取消其中标资格或解除合同。</w:t>
      </w:r>
    </w:p>
    <w:p w14:paraId="79EB3FDE">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五、残疾人意外伤害保险方案：</w:t>
      </w:r>
    </w:p>
    <w:p w14:paraId="7F96EC12">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残疾人意外保险方案</w:t>
      </w:r>
    </w:p>
    <w:tbl>
      <w:tblPr>
        <w:tblStyle w:val="37"/>
        <w:tblW w:w="0" w:type="auto"/>
        <w:jc w:val="center"/>
        <w:tblLayout w:type="fixed"/>
        <w:tblCellMar>
          <w:top w:w="0" w:type="dxa"/>
          <w:left w:w="0" w:type="dxa"/>
          <w:bottom w:w="0" w:type="dxa"/>
          <w:right w:w="0" w:type="dxa"/>
        </w:tblCellMar>
      </w:tblPr>
      <w:tblGrid>
        <w:gridCol w:w="1500"/>
        <w:gridCol w:w="715"/>
        <w:gridCol w:w="1816"/>
        <w:gridCol w:w="5135"/>
      </w:tblGrid>
      <w:tr w14:paraId="1F48BA6A">
        <w:tblPrEx>
          <w:tblCellMar>
            <w:top w:w="0" w:type="dxa"/>
            <w:left w:w="0" w:type="dxa"/>
            <w:bottom w:w="0" w:type="dxa"/>
            <w:right w:w="0" w:type="dxa"/>
          </w:tblCellMar>
        </w:tblPrEx>
        <w:trPr>
          <w:trHeight w:val="520" w:hRule="atLeast"/>
          <w:jc w:val="center"/>
        </w:trPr>
        <w:tc>
          <w:tcPr>
            <w:tcW w:w="150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EA9CA63">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险种</w:t>
            </w:r>
          </w:p>
        </w:tc>
        <w:tc>
          <w:tcPr>
            <w:tcW w:w="2531" w:type="dxa"/>
            <w:gridSpan w:val="2"/>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1E62A9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5135"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531AA3A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保险条件</w:t>
            </w:r>
          </w:p>
        </w:tc>
      </w:tr>
      <w:tr w14:paraId="2519878A">
        <w:tblPrEx>
          <w:tblCellMar>
            <w:top w:w="0" w:type="dxa"/>
            <w:left w:w="0" w:type="dxa"/>
            <w:bottom w:w="0" w:type="dxa"/>
            <w:right w:w="0" w:type="dxa"/>
          </w:tblCellMar>
        </w:tblPrEx>
        <w:trPr>
          <w:trHeight w:val="557" w:hRule="atLeast"/>
          <w:jc w:val="center"/>
        </w:trPr>
        <w:tc>
          <w:tcPr>
            <w:tcW w:w="150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A57C8FF">
            <w:pPr>
              <w:keepNext w:val="0"/>
              <w:keepLines w:val="0"/>
              <w:pageBreakBefore w:val="0"/>
              <w:widowControl w:val="0"/>
              <w:kinsoku/>
              <w:wordWrap/>
              <w:overflowPunct/>
              <w:topLinePunct w:val="0"/>
              <w:autoSpaceDE/>
              <w:autoSpaceDN/>
              <w:bidi w:val="0"/>
              <w:adjustRightInd w:val="0"/>
              <w:snapToGrid/>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残疾人意外伤害险</w:t>
            </w:r>
          </w:p>
        </w:tc>
        <w:tc>
          <w:tcPr>
            <w:tcW w:w="2531"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376C19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保险对象</w:t>
            </w:r>
          </w:p>
        </w:tc>
        <w:tc>
          <w:tcPr>
            <w:tcW w:w="5135" w:type="dxa"/>
            <w:tcBorders>
              <w:top w:val="single" w:color="auto" w:sz="4" w:space="0"/>
              <w:left w:val="single" w:color="auto" w:sz="4" w:space="0"/>
              <w:bottom w:val="single" w:color="000000" w:sz="4" w:space="0"/>
              <w:right w:val="single" w:color="auto" w:sz="4" w:space="0"/>
            </w:tcBorders>
            <w:noWrap w:val="0"/>
            <w:tcMar>
              <w:top w:w="15" w:type="dxa"/>
              <w:left w:w="15" w:type="dxa"/>
              <w:right w:w="15" w:type="dxa"/>
            </w:tcMar>
            <w:vAlign w:val="center"/>
          </w:tcPr>
          <w:p w14:paraId="6ADAF6B8">
            <w:pPr>
              <w:keepNext w:val="0"/>
              <w:keepLines w:val="0"/>
              <w:pageBreakBefore w:val="0"/>
              <w:widowControl w:val="0"/>
              <w:numPr>
                <w:ilvl w:val="0"/>
                <w:numId w:val="0"/>
              </w:numPr>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具有盐城市</w:t>
            </w:r>
            <w:r>
              <w:rPr>
                <w:rFonts w:hint="eastAsia" w:ascii="宋体" w:hAnsi="宋体" w:eastAsia="宋体" w:cs="宋体"/>
                <w:color w:val="auto"/>
                <w:sz w:val="24"/>
                <w:szCs w:val="24"/>
                <w:highlight w:val="none"/>
                <w:lang w:eastAsia="zh-CN"/>
              </w:rPr>
              <w:t>射阳县</w:t>
            </w:r>
            <w:r>
              <w:rPr>
                <w:rFonts w:hint="eastAsia" w:ascii="宋体" w:hAnsi="宋体" w:eastAsia="宋体" w:cs="宋体"/>
                <w:color w:val="auto"/>
                <w:sz w:val="24"/>
                <w:szCs w:val="24"/>
                <w:highlight w:val="none"/>
              </w:rPr>
              <w:t>户籍、在本</w:t>
            </w:r>
            <w:r>
              <w:rPr>
                <w:rFonts w:hint="eastAsia" w:ascii="宋体" w:hAnsi="宋体" w:eastAsia="宋体" w:cs="宋体"/>
                <w:color w:val="auto"/>
                <w:sz w:val="24"/>
                <w:szCs w:val="24"/>
                <w:highlight w:val="none"/>
                <w:lang w:val="en-US" w:eastAsia="zh-CN"/>
              </w:rPr>
              <w:t>县</w:t>
            </w:r>
            <w:r>
              <w:rPr>
                <w:rFonts w:hint="eastAsia" w:ascii="宋体" w:hAnsi="宋体" w:eastAsia="宋体" w:cs="宋体"/>
                <w:color w:val="auto"/>
                <w:sz w:val="24"/>
                <w:szCs w:val="24"/>
                <w:highlight w:val="none"/>
              </w:rPr>
              <w:t>因学习、婚姻、就业居住一年以上，年龄符合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-74周岁，持有有效期内的第二代、第三代《</w:t>
            </w:r>
            <w:r>
              <w:rPr>
                <w:rFonts w:hint="eastAsia" w:ascii="宋体" w:hAnsi="宋体" w:eastAsia="宋体" w:cs="宋体"/>
                <w:color w:val="auto"/>
                <w:sz w:val="24"/>
                <w:szCs w:val="24"/>
                <w:highlight w:val="none"/>
                <w:lang w:eastAsia="zh-CN"/>
              </w:rPr>
              <w:t>中华人民共和国</w:t>
            </w:r>
            <w:r>
              <w:rPr>
                <w:rFonts w:hint="eastAsia" w:ascii="宋体" w:hAnsi="宋体" w:eastAsia="宋体" w:cs="宋体"/>
                <w:color w:val="auto"/>
                <w:sz w:val="24"/>
                <w:szCs w:val="24"/>
                <w:highlight w:val="none"/>
              </w:rPr>
              <w:t>残疾人证》，未享受政府有关部门购买意外伤害险的各类残疾人。</w:t>
            </w:r>
          </w:p>
        </w:tc>
      </w:tr>
      <w:tr w14:paraId="293D69B2">
        <w:tblPrEx>
          <w:tblCellMar>
            <w:top w:w="0" w:type="dxa"/>
            <w:left w:w="0" w:type="dxa"/>
            <w:bottom w:w="0" w:type="dxa"/>
            <w:right w:w="0" w:type="dxa"/>
          </w:tblCellMar>
        </w:tblPrEx>
        <w:trPr>
          <w:trHeight w:val="602"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5FBA384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restart"/>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textDirection w:val="tbRlV"/>
            <w:vAlign w:val="center"/>
          </w:tcPr>
          <w:p w14:paraId="26CB091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 障 内 容 及 标 准</w:t>
            </w:r>
          </w:p>
        </w:tc>
        <w:tc>
          <w:tcPr>
            <w:tcW w:w="1816" w:type="dxa"/>
            <w:vMerge w:val="restart"/>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038F8D2">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基础保险项目</w:t>
            </w: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71ED26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1.意外身故保险金额：1.2万元/人</w:t>
            </w:r>
          </w:p>
        </w:tc>
      </w:tr>
      <w:tr w14:paraId="66F3C5FA">
        <w:tblPrEx>
          <w:tblCellMar>
            <w:top w:w="0" w:type="dxa"/>
            <w:left w:w="0" w:type="dxa"/>
            <w:bottom w:w="0" w:type="dxa"/>
            <w:right w:w="0" w:type="dxa"/>
          </w:tblCellMar>
        </w:tblPrEx>
        <w:trPr>
          <w:trHeight w:val="526"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4B5A0C38">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B7C5EB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F6F481E">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right w:val="single" w:color="auto" w:sz="4" w:space="0"/>
            </w:tcBorders>
            <w:noWrap w:val="0"/>
            <w:tcMar>
              <w:top w:w="15" w:type="dxa"/>
              <w:left w:w="15" w:type="dxa"/>
              <w:right w:w="15" w:type="dxa"/>
            </w:tcMar>
            <w:vAlign w:val="center"/>
          </w:tcPr>
          <w:p w14:paraId="33F6E30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2.意外伤残保险金额：3+X 万元/人</w:t>
            </w:r>
          </w:p>
        </w:tc>
      </w:tr>
      <w:tr w14:paraId="4A157A9B">
        <w:tblPrEx>
          <w:tblCellMar>
            <w:top w:w="0" w:type="dxa"/>
            <w:left w:w="0" w:type="dxa"/>
            <w:bottom w:w="0" w:type="dxa"/>
            <w:right w:w="0" w:type="dxa"/>
          </w:tblCellMar>
        </w:tblPrEx>
        <w:trPr>
          <w:trHeight w:val="719"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6899366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4AB114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F7F813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143AEB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3.意外医疗保险金额6500元/人（医疗费用在经医保、农保报销后100%赔付）</w:t>
            </w:r>
          </w:p>
        </w:tc>
      </w:tr>
      <w:tr w14:paraId="59C82131">
        <w:tblPrEx>
          <w:tblCellMar>
            <w:top w:w="0" w:type="dxa"/>
            <w:left w:w="0" w:type="dxa"/>
            <w:bottom w:w="0" w:type="dxa"/>
            <w:right w:w="0" w:type="dxa"/>
          </w:tblCellMar>
        </w:tblPrEx>
        <w:trPr>
          <w:trHeight w:val="663"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676572C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020E85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E1CF23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right w:val="single" w:color="auto" w:sz="4" w:space="0"/>
            </w:tcBorders>
            <w:noWrap w:val="0"/>
            <w:tcMar>
              <w:top w:w="15" w:type="dxa"/>
              <w:left w:w="15" w:type="dxa"/>
              <w:right w:w="15" w:type="dxa"/>
            </w:tcMar>
            <w:vAlign w:val="center"/>
          </w:tcPr>
          <w:p w14:paraId="31791AD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4.意外住院津贴30元/天/人（单次90天，累计给付天数180天)</w:t>
            </w:r>
          </w:p>
        </w:tc>
      </w:tr>
      <w:tr w14:paraId="2B7BAAD5">
        <w:tblPrEx>
          <w:tblCellMar>
            <w:top w:w="0" w:type="dxa"/>
            <w:left w:w="0" w:type="dxa"/>
            <w:bottom w:w="0" w:type="dxa"/>
            <w:right w:w="0" w:type="dxa"/>
          </w:tblCellMar>
        </w:tblPrEx>
        <w:trPr>
          <w:trHeight w:val="478"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7E2371DE">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5768F5A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restart"/>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3E5A873">
            <w:pPr>
              <w:keepNext w:val="0"/>
              <w:keepLines w:val="0"/>
              <w:pageBreakBefore w:val="0"/>
              <w:widowControl w:val="0"/>
              <w:kinsoku/>
              <w:wordWrap/>
              <w:overflowPunct/>
              <w:topLinePunct w:val="0"/>
              <w:autoSpaceDE/>
              <w:autoSpaceDN/>
              <w:bidi w:val="0"/>
              <w:adjustRightInd w:val="0"/>
              <w:snapToGrid/>
              <w:spacing w:line="480" w:lineRule="exact"/>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可拓展的保险项目</w:t>
            </w:r>
          </w:p>
          <w:p w14:paraId="4EE5A550">
            <w:pPr>
              <w:keepNext w:val="0"/>
              <w:keepLines w:val="0"/>
              <w:pageBreakBefore w:val="0"/>
              <w:widowControl w:val="0"/>
              <w:kinsoku/>
              <w:wordWrap/>
              <w:overflowPunct/>
              <w:topLinePunct w:val="0"/>
              <w:autoSpaceDE/>
              <w:autoSpaceDN/>
              <w:bidi w:val="0"/>
              <w:adjustRightInd w:val="0"/>
              <w:snapToGrid/>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（待中标结果确定保险项目）</w:t>
            </w: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E773EA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5.疾病身故保险金额</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000元</w:t>
            </w:r>
          </w:p>
        </w:tc>
      </w:tr>
      <w:tr w14:paraId="22EA6A40">
        <w:tblPrEx>
          <w:tblCellMar>
            <w:top w:w="0" w:type="dxa"/>
            <w:left w:w="0" w:type="dxa"/>
            <w:bottom w:w="0" w:type="dxa"/>
            <w:right w:w="0" w:type="dxa"/>
          </w:tblCellMar>
        </w:tblPrEx>
        <w:trPr>
          <w:trHeight w:val="441"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52A4278E">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D4E4B8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CCD32F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C34D50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6.重大疾病保险金额15000元（罹患40种重大疾病定额给付，首次确诊）</w:t>
            </w:r>
          </w:p>
        </w:tc>
      </w:tr>
      <w:tr w14:paraId="4FECA7C4">
        <w:tblPrEx>
          <w:tblCellMar>
            <w:top w:w="0" w:type="dxa"/>
            <w:left w:w="0" w:type="dxa"/>
            <w:bottom w:w="0" w:type="dxa"/>
            <w:right w:w="0" w:type="dxa"/>
          </w:tblCellMar>
        </w:tblPrEx>
        <w:trPr>
          <w:trHeight w:val="587"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54FF086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D0824F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D381E6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011838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7.重大疾病住院津贴40元/天/人（单次90天，累计给付天数180天）</w:t>
            </w:r>
          </w:p>
        </w:tc>
      </w:tr>
      <w:tr w14:paraId="00C715F1">
        <w:tblPrEx>
          <w:tblCellMar>
            <w:top w:w="0" w:type="dxa"/>
            <w:left w:w="0" w:type="dxa"/>
            <w:bottom w:w="0" w:type="dxa"/>
            <w:right w:w="0" w:type="dxa"/>
          </w:tblCellMar>
        </w:tblPrEx>
        <w:trPr>
          <w:trHeight w:val="371" w:hRule="atLeast"/>
          <w:jc w:val="center"/>
        </w:trPr>
        <w:tc>
          <w:tcPr>
            <w:tcW w:w="1500" w:type="dxa"/>
            <w:vMerge w:val="continue"/>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2120DE0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715"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475EE3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181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81BFE4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5135" w:type="dxa"/>
            <w:tcBorders>
              <w:top w:val="single" w:color="000000" w:sz="4" w:space="0"/>
              <w:left w:val="single" w:color="000000" w:sz="4" w:space="0"/>
              <w:right w:val="single" w:color="auto" w:sz="4" w:space="0"/>
            </w:tcBorders>
            <w:noWrap w:val="0"/>
            <w:tcMar>
              <w:top w:w="15" w:type="dxa"/>
              <w:left w:w="15" w:type="dxa"/>
              <w:right w:w="15" w:type="dxa"/>
            </w:tcMar>
            <w:vAlign w:val="center"/>
          </w:tcPr>
          <w:p w14:paraId="242618C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 重大疾病医疗补偿保险金额10000元（医疗费用在经医保、农保报销后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0%赔付）</w:t>
            </w:r>
            <w:r>
              <w:rPr>
                <w:rFonts w:hint="eastAsia" w:ascii="宋体" w:hAnsi="宋体" w:eastAsia="宋体" w:cs="宋体"/>
                <w:color w:val="auto"/>
                <w:sz w:val="24"/>
                <w:szCs w:val="24"/>
                <w:highlight w:val="none"/>
                <w:lang w:eastAsia="zh-CN"/>
              </w:rPr>
              <w:t>。</w:t>
            </w:r>
          </w:p>
        </w:tc>
      </w:tr>
      <w:tr w14:paraId="3F097EDA">
        <w:tblPrEx>
          <w:tblCellMar>
            <w:top w:w="0" w:type="dxa"/>
            <w:left w:w="0" w:type="dxa"/>
            <w:bottom w:w="0" w:type="dxa"/>
            <w:right w:w="0" w:type="dxa"/>
          </w:tblCellMar>
        </w:tblPrEx>
        <w:trPr>
          <w:trHeight w:val="810" w:hRule="atLeast"/>
          <w:jc w:val="center"/>
        </w:trPr>
        <w:tc>
          <w:tcPr>
            <w:tcW w:w="1500" w:type="dxa"/>
            <w:vMerge w:val="continue"/>
            <w:tcBorders>
              <w:top w:val="single" w:color="auto" w:sz="4" w:space="0"/>
              <w:left w:val="single" w:color="auto" w:sz="4" w:space="0"/>
              <w:right w:val="single" w:color="000000" w:sz="4" w:space="0"/>
            </w:tcBorders>
            <w:noWrap w:val="0"/>
            <w:tcMar>
              <w:top w:w="15" w:type="dxa"/>
              <w:left w:w="15" w:type="dxa"/>
              <w:right w:w="15" w:type="dxa"/>
            </w:tcMar>
            <w:vAlign w:val="center"/>
          </w:tcPr>
          <w:p w14:paraId="4502D4A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2531" w:type="dxa"/>
            <w:gridSpan w:val="2"/>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C62DBC">
            <w:pPr>
              <w:keepNext w:val="0"/>
              <w:keepLines w:val="0"/>
              <w:pageBreakBefore w:val="0"/>
              <w:widowControl w:val="0"/>
              <w:kinsoku/>
              <w:wordWrap/>
              <w:overflowPunct/>
              <w:topLinePunct w:val="0"/>
              <w:autoSpaceDE/>
              <w:autoSpaceDN/>
              <w:bidi w:val="0"/>
              <w:adjustRightInd w:val="0"/>
              <w:snapToGrid/>
              <w:spacing w:line="480" w:lineRule="exact"/>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特别约定</w:t>
            </w:r>
          </w:p>
        </w:tc>
        <w:tc>
          <w:tcPr>
            <w:tcW w:w="513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5063FB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保险期内，被保险人遭受意外伤害事故，并因该事故致新的残疾，保险人按残疾等级对应的比例给付残疾保险金，或导致原残疾程度加重的，保险人按新评的残疾等级对应的给付比例给付残疾保险金。</w:t>
            </w:r>
          </w:p>
          <w:p w14:paraId="5357E72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保险期内</w:t>
            </w:r>
            <w:r>
              <w:rPr>
                <w:rFonts w:hint="eastAsia" w:ascii="宋体" w:hAnsi="宋体" w:eastAsia="宋体" w:cs="宋体"/>
                <w:color w:val="auto"/>
                <w:sz w:val="24"/>
                <w:szCs w:val="24"/>
                <w:highlight w:val="none"/>
                <w:lang w:val="en-US" w:eastAsia="zh-CN"/>
              </w:rPr>
              <w:t>新增残疾人均纳入保险名单。</w:t>
            </w:r>
          </w:p>
        </w:tc>
      </w:tr>
      <w:tr w14:paraId="79AB4CD4">
        <w:tblPrEx>
          <w:tblCellMar>
            <w:top w:w="0" w:type="dxa"/>
            <w:left w:w="0" w:type="dxa"/>
            <w:bottom w:w="0" w:type="dxa"/>
            <w:right w:w="0" w:type="dxa"/>
          </w:tblCellMar>
        </w:tblPrEx>
        <w:trPr>
          <w:trHeight w:val="832" w:hRule="atLeast"/>
          <w:jc w:val="center"/>
        </w:trPr>
        <w:tc>
          <w:tcPr>
            <w:tcW w:w="1500" w:type="dxa"/>
            <w:vMerge w:val="continue"/>
            <w:tcBorders>
              <w:left w:val="single" w:color="auto" w:sz="4" w:space="0"/>
              <w:bottom w:val="single" w:color="auto" w:sz="4" w:space="0"/>
              <w:right w:val="single" w:color="000000" w:sz="4" w:space="0"/>
            </w:tcBorders>
            <w:noWrap w:val="0"/>
            <w:tcMar>
              <w:top w:w="15" w:type="dxa"/>
              <w:left w:w="15" w:type="dxa"/>
              <w:right w:w="15" w:type="dxa"/>
            </w:tcMar>
            <w:vAlign w:val="center"/>
          </w:tcPr>
          <w:p w14:paraId="3698653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p>
        </w:tc>
        <w:tc>
          <w:tcPr>
            <w:tcW w:w="2531" w:type="dxa"/>
            <w:gridSpan w:val="2"/>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115F7B9">
            <w:pPr>
              <w:keepNext w:val="0"/>
              <w:keepLines w:val="0"/>
              <w:pageBreakBefore w:val="0"/>
              <w:widowControl w:val="0"/>
              <w:kinsoku/>
              <w:wordWrap/>
              <w:overflowPunct/>
              <w:topLinePunct w:val="0"/>
              <w:autoSpaceDE/>
              <w:autoSpaceDN/>
              <w:bidi w:val="0"/>
              <w:adjustRightInd w:val="0"/>
              <w:snapToGrid/>
              <w:spacing w:line="480" w:lineRule="exact"/>
              <w:ind w:firstLine="720" w:firstLineChars="3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保险费</w:t>
            </w:r>
          </w:p>
        </w:tc>
        <w:tc>
          <w:tcPr>
            <w:tcW w:w="5135"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4D4701E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RMB 40元/人/年</w:t>
            </w:r>
          </w:p>
        </w:tc>
      </w:tr>
    </w:tbl>
    <w:p w14:paraId="59684FE3">
      <w:pPr>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六、结算及支付方法： </w:t>
      </w:r>
    </w:p>
    <w:p w14:paraId="42066AE2">
      <w:pPr>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（1）结算方式：按实结算，按照实际参保人数，进行核对和结算。 </w:t>
      </w:r>
    </w:p>
    <w:p w14:paraId="601CD4C1">
      <w:pPr>
        <w:spacing w:line="57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（2）付款方式：</w:t>
      </w:r>
      <w:r>
        <w:rPr>
          <w:rFonts w:hint="eastAsia" w:hAnsi="宋体" w:eastAsia="宋体" w:cs="宋体"/>
          <w:color w:val="auto"/>
          <w:sz w:val="24"/>
          <w:szCs w:val="24"/>
          <w:highlight w:val="none"/>
          <w:lang w:val="en-US" w:eastAsia="zh-CN"/>
        </w:rPr>
        <w:t>合同签订后，支付实际保费的30%作为预付款。</w:t>
      </w:r>
      <w:r>
        <w:rPr>
          <w:rFonts w:hint="eastAsia" w:hAnsi="宋体" w:eastAsia="宋体" w:cs="宋体"/>
          <w:color w:val="auto"/>
          <w:sz w:val="24"/>
          <w:szCs w:val="24"/>
          <w:highlight w:val="none"/>
        </w:rPr>
        <w:t>被保险人的保险费由甲方全额承担，</w:t>
      </w:r>
      <w:r>
        <w:rPr>
          <w:rFonts w:hint="eastAsia" w:hAnsi="宋体" w:eastAsia="宋体" w:cs="宋体"/>
          <w:color w:val="auto"/>
          <w:sz w:val="24"/>
          <w:szCs w:val="24"/>
          <w:highlight w:val="none"/>
          <w:lang w:eastAsia="zh-CN"/>
        </w:rPr>
        <w:t>在</w:t>
      </w:r>
      <w:r>
        <w:rPr>
          <w:rFonts w:hint="eastAsia" w:hAnsi="宋体" w:eastAsia="宋体" w:cs="宋体"/>
          <w:color w:val="auto"/>
          <w:sz w:val="24"/>
          <w:szCs w:val="24"/>
          <w:highlight w:val="none"/>
        </w:rPr>
        <w:t>本协议签署后</w:t>
      </w:r>
      <w:r>
        <w:rPr>
          <w:rFonts w:hint="eastAsia" w:hAnsi="宋体" w:eastAsia="宋体" w:cs="宋体"/>
          <w:color w:val="auto"/>
          <w:sz w:val="24"/>
          <w:szCs w:val="24"/>
          <w:highlight w:val="none"/>
          <w:lang w:val="en-US" w:eastAsia="zh-CN"/>
        </w:rPr>
        <w:t>6个月内，给付至本年度保险费的50%，本年度的合同履行结束后一个月，经甲方考核认可，且赔付率差额全部对接到位的情况下，结清剩余保险费。（如合同签订后，中标单位书面明确表示无需预付款或者主动要求降低预付款比例的，由双方另行商定）</w:t>
      </w:r>
    </w:p>
    <w:p w14:paraId="461942C1">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22240B6A">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03133234">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047FD6DC">
      <w:pPr>
        <w:pStyle w:val="33"/>
        <w:spacing w:beforeAutospacing="0" w:afterAutospacing="0"/>
        <w:ind w:firstLine="482" w:firstLineChars="200"/>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我公司承诺满足上述项目需求内容。</w:t>
      </w:r>
    </w:p>
    <w:p w14:paraId="04AA0D85">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51F7FEFA">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0EE9B11C">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21003355">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4F637849">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280C9E5E">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58773740">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3F1AC5F6">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right="180" w:firstLine="360"/>
        <w:jc w:val="right"/>
        <w:textAlignment w:val="auto"/>
        <w:rPr>
          <w:color w:val="auto"/>
          <w:highlight w:val="none"/>
        </w:rPr>
      </w:pPr>
      <w:r>
        <w:rPr>
          <w:rFonts w:hint="eastAsia" w:ascii="宋体" w:hAnsi="宋体" w:cs="宋体"/>
          <w:color w:val="auto"/>
          <w:highlight w:val="none"/>
        </w:rPr>
        <w:t>企业名称（加盖CA电子公章）：</w:t>
      </w:r>
    </w:p>
    <w:p w14:paraId="5E2183D4">
      <w:pPr>
        <w:pStyle w:val="33"/>
        <w:wordWrap w:val="0"/>
        <w:spacing w:beforeAutospacing="0" w:afterAutospacing="0"/>
        <w:jc w:val="right"/>
        <w:rPr>
          <w:rFonts w:hint="default" w:ascii="宋体" w:hAnsi="宋体" w:eastAsia="宋体" w:cs="宋体"/>
          <w:bCs/>
          <w:color w:val="auto"/>
          <w:sz w:val="24"/>
          <w:szCs w:val="24"/>
          <w:highlight w:val="none"/>
          <w:lang w:val="en-US" w:eastAsia="zh-CN"/>
        </w:rPr>
      </w:pPr>
      <w:r>
        <w:rPr>
          <w:rFonts w:hint="eastAsia" w:ascii="宋体" w:hAnsi="宋体" w:cs="宋体"/>
          <w:color w:val="auto"/>
          <w:highlight w:val="none"/>
        </w:rPr>
        <w:t>日  期：</w:t>
      </w:r>
      <w:r>
        <w:rPr>
          <w:rFonts w:hint="eastAsia" w:ascii="宋体" w:hAnsi="宋体" w:eastAsia="宋体" w:cs="宋体"/>
          <w:color w:val="auto"/>
          <w:highlight w:val="none"/>
          <w:lang w:val="en-US" w:eastAsia="zh-CN"/>
        </w:rPr>
        <w:t xml:space="preserve">        </w:t>
      </w:r>
    </w:p>
    <w:p w14:paraId="28F662DD">
      <w:pPr>
        <w:pStyle w:val="33"/>
        <w:spacing w:beforeAutospacing="0" w:afterAutospacing="0"/>
        <w:jc w:val="both"/>
        <w:rPr>
          <w:rFonts w:hint="eastAsia" w:ascii="宋体" w:hAnsi="宋体" w:eastAsia="宋体" w:cs="宋体"/>
          <w:bCs/>
          <w:color w:val="auto"/>
          <w:sz w:val="24"/>
          <w:szCs w:val="24"/>
          <w:highlight w:val="none"/>
          <w:lang w:val="en-US" w:eastAsia="zh-CN"/>
        </w:rPr>
      </w:pPr>
    </w:p>
    <w:p w14:paraId="5706BB0E">
      <w:pPr>
        <w:pStyle w:val="33"/>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七</w:t>
      </w:r>
      <w:r>
        <w:rPr>
          <w:rFonts w:hint="eastAsia" w:ascii="宋体" w:hAnsi="宋体" w:eastAsia="宋体" w:cs="宋体"/>
          <w:b/>
          <w:color w:val="auto"/>
          <w:sz w:val="32"/>
          <w:szCs w:val="32"/>
          <w:highlight w:val="none"/>
        </w:rPr>
        <w:t>、盐城市政府采购事前信用承诺书</w:t>
      </w:r>
    </w:p>
    <w:p w14:paraId="7890953F">
      <w:pPr>
        <w:widowControl/>
        <w:spacing w:line="499" w:lineRule="atLeast"/>
        <w:ind w:firstLine="640"/>
        <w:jc w:val="left"/>
        <w:rPr>
          <w:rFonts w:hint="eastAsia" w:ascii="宋体" w:hAnsi="宋体" w:eastAsia="宋体" w:cs="宋体"/>
          <w:color w:val="auto"/>
          <w:sz w:val="24"/>
          <w:highlight w:val="none"/>
        </w:rPr>
      </w:pPr>
    </w:p>
    <w:p w14:paraId="0A299EA8">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0FF5CD7">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1181555">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85B51C1">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40F64D3D">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（四）严格遵守即时信息公示规定，及时维护和更新维护和更新盐城市政府采购网中与本单位相关的信息；</w:t>
      </w:r>
    </w:p>
    <w:p w14:paraId="28BAB2D9">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157C014">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1770336B">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FF4B722">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66DD7308">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法定代表人签名：</w:t>
      </w:r>
    </w:p>
    <w:p w14:paraId="6D044AB3">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单位名称（盖章）：</w:t>
      </w:r>
    </w:p>
    <w:p w14:paraId="5B380446">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706FB7CE">
      <w:pPr>
        <w:pStyle w:val="33"/>
        <w:spacing w:beforeAutospacing="0" w:afterAutospacing="0"/>
        <w:jc w:val="center"/>
        <w:rPr>
          <w:rFonts w:hint="eastAsia" w:ascii="宋体" w:hAnsi="宋体" w:eastAsia="宋体" w:cs="宋体"/>
          <w:color w:val="auto"/>
          <w:highlight w:val="none"/>
        </w:rPr>
      </w:pPr>
    </w:p>
    <w:bookmarkEnd w:id="6"/>
    <w:bookmarkEnd w:id="47"/>
    <w:bookmarkEnd w:id="94"/>
    <w:bookmarkEnd w:id="95"/>
    <w:bookmarkEnd w:id="96"/>
    <w:bookmarkEnd w:id="97"/>
    <w:bookmarkEnd w:id="98"/>
    <w:bookmarkEnd w:id="99"/>
    <w:bookmarkEnd w:id="100"/>
    <w:bookmarkEnd w:id="101"/>
    <w:bookmarkEnd w:id="110"/>
    <w:bookmarkEnd w:id="111"/>
    <w:bookmarkEnd w:id="118"/>
    <w:bookmarkEnd w:id="170"/>
    <w:bookmarkEnd w:id="171"/>
    <w:bookmarkEnd w:id="244"/>
    <w:bookmarkEnd w:id="245"/>
    <w:bookmarkEnd w:id="246"/>
    <w:bookmarkEnd w:id="247"/>
    <w:bookmarkEnd w:id="248"/>
    <w:bookmarkEnd w:id="249"/>
    <w:bookmarkEnd w:id="250"/>
    <w:bookmarkEnd w:id="251"/>
    <w:bookmarkEnd w:id="253"/>
    <w:bookmarkEnd w:id="254"/>
    <w:bookmarkEnd w:id="255"/>
    <w:bookmarkEnd w:id="256"/>
    <w:bookmarkEnd w:id="257"/>
    <w:p w14:paraId="13E2C78B">
      <w:pPr>
        <w:rPr>
          <w:rFonts w:hint="eastAsia" w:ascii="宋体" w:hAnsi="宋体" w:eastAsia="宋体" w:cs="宋体"/>
          <w:color w:val="auto"/>
          <w:highlight w:val="none"/>
        </w:rPr>
      </w:pPr>
    </w:p>
    <w:p w14:paraId="0CAEDB99">
      <w:pPr>
        <w:rPr>
          <w:rFonts w:hint="eastAsia" w:ascii="宋体" w:hAnsi="宋体" w:eastAsia="宋体" w:cs="宋体"/>
          <w:color w:val="auto"/>
          <w:highlight w:val="none"/>
        </w:rPr>
      </w:pPr>
    </w:p>
    <w:p w14:paraId="45A1F4AE">
      <w:pPr>
        <w:pStyle w:val="36"/>
        <w:numPr>
          <w:ilvl w:val="0"/>
          <w:numId w:val="0"/>
        </w:numPr>
        <w:rPr>
          <w:rFonts w:hint="eastAsia" w:ascii="宋体" w:hAnsi="宋体" w:eastAsia="宋体" w:cs="宋体"/>
          <w:color w:val="auto"/>
          <w:highlight w:val="none"/>
        </w:rPr>
      </w:pPr>
    </w:p>
    <w:sectPr>
      <w:footerReference r:id="rId5" w:type="default"/>
      <w:pgSz w:w="11906" w:h="16838"/>
      <w:pgMar w:top="1440" w:right="1417" w:bottom="1440" w:left="1417"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4F7CB">
    <w:pPr>
      <w:pStyle w:val="23"/>
      <w:jc w:val="center"/>
    </w:pPr>
  </w:p>
  <w:p w14:paraId="235201CB">
    <w:pPr>
      <w:pStyle w:val="24"/>
      <w:pBdr>
        <w:bottom w:val="none" w:color="auto" w:sz="0" w:space="0"/>
      </w:pBdr>
      <w:tabs>
        <w:tab w:val="left" w:pos="3615"/>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1E984">
    <w:pPr>
      <w:pStyle w:val="2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F2800">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0BEF2800">
                    <w:pPr>
                      <w:pStyle w:val="23"/>
                    </w:pPr>
                    <w:r>
                      <w:fldChar w:fldCharType="begin"/>
                    </w:r>
                    <w:r>
                      <w:instrText xml:space="preserve"> PAGE  \* MERGEFORMAT </w:instrText>
                    </w:r>
                    <w:r>
                      <w:fldChar w:fldCharType="separate"/>
                    </w:r>
                    <w:r>
                      <w:t>3</w:t>
                    </w:r>
                    <w:r>
                      <w:fldChar w:fldCharType="end"/>
                    </w:r>
                  </w:p>
                </w:txbxContent>
              </v:textbox>
            </v:shape>
          </w:pict>
        </mc:Fallback>
      </mc:AlternateContent>
    </w:r>
  </w:p>
  <w:p w14:paraId="731463F5">
    <w:pPr>
      <w:pStyle w:val="24"/>
      <w:pBdr>
        <w:bottom w:val="none" w:color="auto" w:sz="0" w:space="0"/>
      </w:pBdr>
      <w:tabs>
        <w:tab w:val="left" w:pos="3615"/>
        <w:tab w:val="clear" w:pos="4153"/>
        <w:tab w:val="clear"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B2F2E">
    <w:pPr>
      <w:pStyle w:val="24"/>
      <w:pBdr>
        <w:bottom w:val="single" w:color="auto" w:sz="12" w:space="1"/>
      </w:pBdr>
      <w:rPr>
        <w:rFonts w:hint="eastAsia" w:ascii="宋体" w:hAnsi="宋体" w:eastAsia="宋体" w:cs="宋体"/>
        <w:b/>
        <w:bCs/>
        <w:spacing w:val="11"/>
        <w:sz w:val="21"/>
        <w:szCs w:val="21"/>
        <w:lang w:val="en-US" w:eastAsia="zh-CN"/>
      </w:rPr>
    </w:pPr>
    <w:r>
      <w:rPr>
        <w:rFonts w:hint="eastAsia" w:ascii="宋体" w:hAnsi="宋体" w:eastAsia="宋体" w:cs="宋体"/>
        <w:b/>
        <w:bCs/>
        <w:spacing w:val="11"/>
        <w:sz w:val="18"/>
        <w:szCs w:val="18"/>
        <w:lang w:val="en-US" w:eastAsia="zh-CN"/>
      </w:rPr>
      <w:t xml:space="preserve">江苏华恒工程项目咨询管理有限公司                   JSZC-320924-HHGC-C2026-0003磋商文件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D2DC7C"/>
    <w:multiLevelType w:val="singleLevel"/>
    <w:tmpl w:val="8CD2DC7C"/>
    <w:lvl w:ilvl="0" w:tentative="0">
      <w:start w:val="1"/>
      <w:numFmt w:val="decimal"/>
      <w:suff w:val="nothing"/>
      <w:lvlText w:val="%1、"/>
      <w:lvlJc w:val="left"/>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838C3E7"/>
    <w:multiLevelType w:val="singleLevel"/>
    <w:tmpl w:val="B838C3E7"/>
    <w:lvl w:ilvl="0" w:tentative="0">
      <w:start w:val="7"/>
      <w:numFmt w:val="chineseCounting"/>
      <w:suff w:val="nothing"/>
      <w:lvlText w:val="（%1）"/>
      <w:lvlJc w:val="left"/>
      <w:rPr>
        <w:rFonts w:hint="eastAsia"/>
      </w:rPr>
    </w:lvl>
  </w:abstractNum>
  <w:abstractNum w:abstractNumId="3">
    <w:nsid w:val="CF092B84"/>
    <w:multiLevelType w:val="multilevel"/>
    <w:tmpl w:val="CF092B84"/>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isLg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196"/>
      <w:isLgl/>
      <w:lvlText w:val="%1.%2.%3"/>
      <w:lvlJc w:val="left"/>
      <w:pPr>
        <w:tabs>
          <w:tab w:val="left" w:pos="993"/>
        </w:tabs>
        <w:ind w:left="142"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4">
    <w:nsid w:val="0053208E"/>
    <w:multiLevelType w:val="multilevel"/>
    <w:tmpl w:val="0053208E"/>
    <w:lvl w:ilvl="0" w:tentative="0">
      <w:start w:val="2"/>
      <w:numFmt w:val="decimal"/>
      <w:pStyle w:val="36"/>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117C23E"/>
    <w:multiLevelType w:val="singleLevel"/>
    <w:tmpl w:val="4117C23E"/>
    <w:lvl w:ilvl="0" w:tentative="0">
      <w:start w:val="2"/>
      <w:numFmt w:val="chineseCounting"/>
      <w:suff w:val="nothing"/>
      <w:lvlText w:val="（%1）"/>
      <w:lvlJc w:val="left"/>
      <w:rPr>
        <w:rFonts w:hint="eastAsia"/>
      </w:rPr>
    </w:lvl>
  </w:abstractNum>
  <w:num w:numId="1">
    <w:abstractNumId w:val="4"/>
  </w:num>
  <w:num w:numId="2">
    <w:abstractNumId w:val="3"/>
  </w:num>
  <w:num w:numId="3">
    <w:abstractNumId w:val="0"/>
  </w:num>
  <w:num w:numId="4">
    <w:abstractNumId w:val="7"/>
  </w:num>
  <w:num w:numId="5">
    <w:abstractNumId w:val="2"/>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09A79D9"/>
    <w:rsid w:val="05C37C38"/>
    <w:rsid w:val="094C3466"/>
    <w:rsid w:val="0A3D172D"/>
    <w:rsid w:val="0A8E3BCF"/>
    <w:rsid w:val="0C065F88"/>
    <w:rsid w:val="0F9E7F65"/>
    <w:rsid w:val="0FD262E3"/>
    <w:rsid w:val="108865E6"/>
    <w:rsid w:val="13CA18E2"/>
    <w:rsid w:val="144E5079"/>
    <w:rsid w:val="147705FA"/>
    <w:rsid w:val="15957360"/>
    <w:rsid w:val="1626576B"/>
    <w:rsid w:val="19965EDE"/>
    <w:rsid w:val="1A226DBA"/>
    <w:rsid w:val="1B9413C8"/>
    <w:rsid w:val="1CB65FE4"/>
    <w:rsid w:val="1F372797"/>
    <w:rsid w:val="210644BC"/>
    <w:rsid w:val="23957430"/>
    <w:rsid w:val="25235275"/>
    <w:rsid w:val="25C96AAB"/>
    <w:rsid w:val="28215D92"/>
    <w:rsid w:val="289B2D0C"/>
    <w:rsid w:val="2F786918"/>
    <w:rsid w:val="2F9257C7"/>
    <w:rsid w:val="36367A46"/>
    <w:rsid w:val="36A81AF5"/>
    <w:rsid w:val="37B409D1"/>
    <w:rsid w:val="39144F66"/>
    <w:rsid w:val="39AB1A45"/>
    <w:rsid w:val="3B3C33DA"/>
    <w:rsid w:val="3CE05C88"/>
    <w:rsid w:val="3D8E77E5"/>
    <w:rsid w:val="3E0D6935"/>
    <w:rsid w:val="3F217A93"/>
    <w:rsid w:val="407A02DD"/>
    <w:rsid w:val="41BF4C08"/>
    <w:rsid w:val="420B191A"/>
    <w:rsid w:val="42920343"/>
    <w:rsid w:val="43214C94"/>
    <w:rsid w:val="432C76FD"/>
    <w:rsid w:val="43CA280D"/>
    <w:rsid w:val="43D16466"/>
    <w:rsid w:val="442B201A"/>
    <w:rsid w:val="4B6D116B"/>
    <w:rsid w:val="4D042F0C"/>
    <w:rsid w:val="4D5B3769"/>
    <w:rsid w:val="4E912130"/>
    <w:rsid w:val="4ECF3181"/>
    <w:rsid w:val="4ED432AF"/>
    <w:rsid w:val="504D3319"/>
    <w:rsid w:val="547838F0"/>
    <w:rsid w:val="59E03927"/>
    <w:rsid w:val="5DD942AF"/>
    <w:rsid w:val="5E143691"/>
    <w:rsid w:val="5E26628C"/>
    <w:rsid w:val="5EEF36F8"/>
    <w:rsid w:val="620121B5"/>
    <w:rsid w:val="661B3F71"/>
    <w:rsid w:val="68EA37C7"/>
    <w:rsid w:val="69385239"/>
    <w:rsid w:val="69BD2C37"/>
    <w:rsid w:val="69DA3A17"/>
    <w:rsid w:val="73AC6191"/>
    <w:rsid w:val="75CA7AF7"/>
    <w:rsid w:val="76F123A0"/>
    <w:rsid w:val="784838AE"/>
    <w:rsid w:val="7A990431"/>
    <w:rsid w:val="7B59575F"/>
    <w:rsid w:val="7BCB7664"/>
    <w:rsid w:val="7D114AE8"/>
    <w:rsid w:val="7E037084"/>
    <w:rsid w:val="7EAF0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0"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bCs/>
      <w:sz w:val="44"/>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eastAsia="宋体"/>
      <w:b/>
      <w:bCs/>
      <w:sz w:val="32"/>
      <w:szCs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2" w:lineRule="auto"/>
      <w:outlineLvl w:val="4"/>
    </w:pPr>
    <w:rPr>
      <w:rFonts w:ascii="Calibri" w:hAnsi="Calibri"/>
      <w:b/>
      <w:bCs/>
      <w:sz w:val="28"/>
      <w:szCs w:val="28"/>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widowControl w:val="0"/>
      <w:ind w:firstLine="420"/>
      <w:jc w:val="both"/>
    </w:pPr>
    <w:rPr>
      <w:rFonts w:ascii="Times New Roman" w:hAnsi="Times New Roman" w:eastAsia="宋体" w:cs="Times New Roman"/>
      <w:sz w:val="20"/>
      <w:szCs w:val="21"/>
      <w:lang w:val="en-US" w:eastAsia="zh-CN" w:bidi="ar-SA"/>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qFormat/>
    <w:uiPriority w:val="0"/>
    <w:pPr>
      <w:spacing w:after="120"/>
    </w:pPr>
  </w:style>
  <w:style w:type="paragraph" w:styleId="15">
    <w:name w:val="Body Text Indent"/>
    <w:basedOn w:val="1"/>
    <w:next w:val="16"/>
    <w:qFormat/>
    <w:uiPriority w:val="0"/>
    <w:pPr>
      <w:spacing w:before="240" w:line="360" w:lineRule="auto"/>
      <w:ind w:firstLine="552"/>
    </w:pPr>
    <w:rPr>
      <w:rFonts w:ascii="宋体" w:hAnsi="宋体"/>
      <w:szCs w:val="20"/>
    </w:rPr>
  </w:style>
  <w:style w:type="paragraph" w:styleId="16">
    <w:name w:val="envelope return"/>
    <w:basedOn w:val="1"/>
    <w:qFormat/>
    <w:uiPriority w:val="0"/>
    <w:rPr>
      <w:rFonts w:ascii="Arial" w:hAnsi="Arial"/>
    </w:rPr>
  </w:style>
  <w:style w:type="paragraph" w:styleId="17">
    <w:name w:val="index 4"/>
    <w:basedOn w:val="1"/>
    <w:next w:val="1"/>
    <w:semiHidden/>
    <w:qFormat/>
    <w:uiPriority w:val="0"/>
    <w:pPr>
      <w:ind w:left="840" w:hanging="210"/>
      <w:jc w:val="left"/>
    </w:pPr>
    <w:rPr>
      <w:rFonts w:ascii="Times New Roman" w:hAnsi="Times New Roman"/>
      <w:sz w:val="20"/>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Body Text Indent 2"/>
    <w:basedOn w:val="1"/>
    <w:qFormat/>
    <w:uiPriority w:val="0"/>
    <w:pPr>
      <w:spacing w:after="120" w:line="480" w:lineRule="auto"/>
      <w:ind w:left="420"/>
    </w:pPr>
    <w:rPr>
      <w:rFonts w:ascii="Calibri" w:hAnsi="Calibri"/>
    </w:rPr>
  </w:style>
  <w:style w:type="paragraph" w:styleId="22">
    <w:name w:val="endnote text"/>
    <w:basedOn w:val="1"/>
    <w:link w:val="189"/>
    <w:semiHidden/>
    <w:unhideWhenUsed/>
    <w:qFormat/>
    <w:uiPriority w:val="99"/>
    <w:pPr>
      <w:spacing w:after="0" w:line="240" w:lineRule="auto"/>
    </w:pPr>
    <w:rPr>
      <w:sz w:val="20"/>
    </w:rPr>
  </w:style>
  <w:style w:type="paragraph" w:styleId="23">
    <w:name w:val="footer"/>
    <w:basedOn w:val="1"/>
    <w:link w:val="192"/>
    <w:qFormat/>
    <w:uiPriority w:val="0"/>
    <w:pPr>
      <w:tabs>
        <w:tab w:val="center" w:pos="4153"/>
        <w:tab w:val="right" w:pos="8306"/>
      </w:tabs>
      <w:jc w:val="left"/>
    </w:pPr>
    <w:rPr>
      <w:sz w:val="18"/>
      <w:szCs w:val="18"/>
    </w:rPr>
  </w:style>
  <w:style w:type="paragraph" w:styleId="24">
    <w:name w:val="header"/>
    <w:basedOn w:val="1"/>
    <w:link w:val="191"/>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qFormat/>
    <w:uiPriority w:val="0"/>
    <w:pPr>
      <w:ind w:left="1200"/>
      <w:jc w:val="left"/>
    </w:pPr>
    <w:rPr>
      <w:rFonts w:ascii="Calibri" w:hAnsi="Calibri"/>
      <w:sz w:val="18"/>
      <w:szCs w:val="18"/>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54"/>
    <w:qFormat/>
    <w:uiPriority w:val="10"/>
    <w:pPr>
      <w:spacing w:before="300" w:after="200"/>
      <w:contextualSpacing/>
    </w:pPr>
    <w:rPr>
      <w:sz w:val="48"/>
      <w:szCs w:val="48"/>
    </w:rPr>
  </w:style>
  <w:style w:type="paragraph" w:styleId="35">
    <w:name w:val="Body Text First Indent"/>
    <w:basedOn w:val="1"/>
    <w:next w:val="29"/>
    <w:qFormat/>
    <w:uiPriority w:val="0"/>
    <w:pPr>
      <w:ind w:firstLine="420" w:firstLineChars="100"/>
    </w:pPr>
    <w:rPr>
      <w:sz w:val="24"/>
    </w:rPr>
  </w:style>
  <w:style w:type="paragraph" w:styleId="36">
    <w:name w:val="Body Text First Indent 2"/>
    <w:basedOn w:val="15"/>
    <w:qFormat/>
    <w:uiPriority w:val="0"/>
    <w:pPr>
      <w:numPr>
        <w:ilvl w:val="0"/>
        <w:numId w:val="1"/>
      </w:numPr>
      <w:spacing w:before="0" w:after="120" w:line="240" w:lineRule="auto"/>
      <w:ind w:left="420" w:firstLine="420"/>
    </w:pPr>
    <w:rPr>
      <w:rFonts w:ascii="Calibri" w:hAnsi="Calibri"/>
    </w:rPr>
  </w:style>
  <w:style w:type="table" w:styleId="38">
    <w:name w:val="Table Grid"/>
    <w:basedOn w:val="37"/>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footnote reference"/>
    <w:basedOn w:val="39"/>
    <w:unhideWhenUsed/>
    <w:qFormat/>
    <w:uiPriority w:val="99"/>
    <w:rPr>
      <w:vertAlign w:val="superscript"/>
    </w:rPr>
  </w:style>
  <w:style w:type="character" w:customStyle="1" w:styleId="43">
    <w:name w:val="Heading 1 Char"/>
    <w:basedOn w:val="39"/>
    <w:qFormat/>
    <w:uiPriority w:val="9"/>
    <w:rPr>
      <w:rFonts w:ascii="Arial" w:hAnsi="Arial" w:eastAsia="Arial" w:cs="Arial"/>
      <w:sz w:val="40"/>
      <w:szCs w:val="40"/>
    </w:rPr>
  </w:style>
  <w:style w:type="character" w:customStyle="1" w:styleId="44">
    <w:name w:val="Heading 2 Char"/>
    <w:basedOn w:val="39"/>
    <w:qFormat/>
    <w:uiPriority w:val="9"/>
    <w:rPr>
      <w:rFonts w:ascii="Arial" w:hAnsi="Arial" w:eastAsia="Arial" w:cs="Arial"/>
      <w:sz w:val="34"/>
    </w:rPr>
  </w:style>
  <w:style w:type="character" w:customStyle="1" w:styleId="45">
    <w:name w:val="Heading 3 Char"/>
    <w:basedOn w:val="39"/>
    <w:qFormat/>
    <w:uiPriority w:val="9"/>
    <w:rPr>
      <w:rFonts w:ascii="Arial" w:hAnsi="Arial" w:eastAsia="Arial" w:cs="Arial"/>
      <w:sz w:val="30"/>
      <w:szCs w:val="30"/>
    </w:rPr>
  </w:style>
  <w:style w:type="character" w:customStyle="1" w:styleId="46">
    <w:name w:val="Heading 4 Char"/>
    <w:basedOn w:val="39"/>
    <w:qFormat/>
    <w:uiPriority w:val="9"/>
    <w:rPr>
      <w:rFonts w:ascii="Arial" w:hAnsi="Arial" w:eastAsia="Arial" w:cs="Arial"/>
      <w:b/>
      <w:bCs/>
      <w:sz w:val="26"/>
      <w:szCs w:val="26"/>
    </w:rPr>
  </w:style>
  <w:style w:type="character" w:customStyle="1" w:styleId="47">
    <w:name w:val="Heading 5 Char"/>
    <w:basedOn w:val="39"/>
    <w:qFormat/>
    <w:uiPriority w:val="9"/>
    <w:rPr>
      <w:rFonts w:ascii="Arial" w:hAnsi="Arial" w:eastAsia="Arial" w:cs="Arial"/>
      <w:b/>
      <w:bCs/>
      <w:sz w:val="24"/>
      <w:szCs w:val="24"/>
    </w:rPr>
  </w:style>
  <w:style w:type="character" w:customStyle="1" w:styleId="48">
    <w:name w:val="Heading 6 Char"/>
    <w:basedOn w:val="39"/>
    <w:link w:val="7"/>
    <w:qFormat/>
    <w:uiPriority w:val="9"/>
    <w:rPr>
      <w:rFonts w:ascii="Arial" w:hAnsi="Arial" w:eastAsia="Arial" w:cs="Arial"/>
      <w:b/>
      <w:bCs/>
      <w:sz w:val="22"/>
      <w:szCs w:val="22"/>
    </w:rPr>
  </w:style>
  <w:style w:type="character" w:customStyle="1" w:styleId="49">
    <w:name w:val="Heading 7 Char"/>
    <w:basedOn w:val="39"/>
    <w:link w:val="8"/>
    <w:qFormat/>
    <w:uiPriority w:val="9"/>
    <w:rPr>
      <w:rFonts w:ascii="Arial" w:hAnsi="Arial" w:eastAsia="Arial" w:cs="Arial"/>
      <w:b/>
      <w:bCs/>
      <w:i/>
      <w:iCs/>
      <w:sz w:val="22"/>
      <w:szCs w:val="22"/>
    </w:rPr>
  </w:style>
  <w:style w:type="character" w:customStyle="1" w:styleId="50">
    <w:name w:val="Heading 8 Char"/>
    <w:basedOn w:val="39"/>
    <w:link w:val="9"/>
    <w:qFormat/>
    <w:uiPriority w:val="9"/>
    <w:rPr>
      <w:rFonts w:ascii="Arial" w:hAnsi="Arial" w:eastAsia="Arial" w:cs="Arial"/>
      <w:i/>
      <w:iCs/>
      <w:sz w:val="22"/>
      <w:szCs w:val="22"/>
    </w:rPr>
  </w:style>
  <w:style w:type="character" w:customStyle="1" w:styleId="51">
    <w:name w:val="Heading 9 Char"/>
    <w:basedOn w:val="39"/>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9"/>
    <w:link w:val="34"/>
    <w:qFormat/>
    <w:uiPriority w:val="10"/>
    <w:rPr>
      <w:sz w:val="48"/>
      <w:szCs w:val="48"/>
    </w:rPr>
  </w:style>
  <w:style w:type="character" w:customStyle="1" w:styleId="55">
    <w:name w:val="Subtitle Char"/>
    <w:basedOn w:val="39"/>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9"/>
    <w:qFormat/>
    <w:uiPriority w:val="99"/>
  </w:style>
  <w:style w:type="character" w:customStyle="1" w:styleId="61">
    <w:name w:val="Footer Char"/>
    <w:basedOn w:val="39"/>
    <w:qFormat/>
    <w:uiPriority w:val="99"/>
  </w:style>
  <w:style w:type="character" w:customStyle="1" w:styleId="62">
    <w:name w:val="Caption Char"/>
    <w:qFormat/>
    <w:uiPriority w:val="99"/>
  </w:style>
  <w:style w:type="table" w:customStyle="1" w:styleId="63">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1">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2">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3">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4">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5">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6">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8">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9">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0">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1">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2">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3">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2">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9">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0">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1">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2">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3">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4">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0">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1">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8">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0">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1">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2">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3">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4">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5">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7">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8">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9">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0">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1">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2">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4">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5">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6">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7">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8">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9">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1">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2">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3">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4">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5">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6">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8">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9">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0">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1">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2">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3">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5">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9">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0">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1">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2">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3">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4">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3">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4">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5">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6">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7">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8">
    <w:name w:val="Footnote Text Char"/>
    <w:link w:val="28"/>
    <w:qFormat/>
    <w:uiPriority w:val="99"/>
    <w:rPr>
      <w:sz w:val="18"/>
    </w:rPr>
  </w:style>
  <w:style w:type="character" w:customStyle="1" w:styleId="189">
    <w:name w:val="Endnote Text Char"/>
    <w:link w:val="22"/>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character" w:customStyle="1" w:styleId="191">
    <w:name w:val="页眉 Char"/>
    <w:basedOn w:val="39"/>
    <w:link w:val="24"/>
    <w:qFormat/>
    <w:uiPriority w:val="0"/>
    <w:rPr>
      <w:rFonts w:asciiTheme="minorHAnsi" w:hAnsiTheme="minorHAnsi" w:eastAsiaTheme="minorEastAsia" w:cstheme="minorBidi"/>
      <w:sz w:val="18"/>
      <w:szCs w:val="18"/>
    </w:rPr>
  </w:style>
  <w:style w:type="character" w:customStyle="1" w:styleId="192">
    <w:name w:val="页脚 Char"/>
    <w:basedOn w:val="39"/>
    <w:link w:val="23"/>
    <w:qFormat/>
    <w:uiPriority w:val="0"/>
    <w:rPr>
      <w:rFonts w:asciiTheme="minorHAnsi" w:hAnsiTheme="minorHAnsi" w:eastAsiaTheme="minorEastAsia" w:cstheme="minorBidi"/>
      <w:sz w:val="18"/>
      <w:szCs w:val="18"/>
    </w:rPr>
  </w:style>
  <w:style w:type="paragraph" w:customStyle="1" w:styleId="193">
    <w:name w:val="正文首行缩进 21"/>
    <w:basedOn w:val="194"/>
    <w:qFormat/>
    <w:uiPriority w:val="0"/>
    <w:pPr>
      <w:ind w:firstLine="420"/>
    </w:pPr>
  </w:style>
  <w:style w:type="paragraph" w:customStyle="1" w:styleId="194">
    <w:name w:val="正文文本缩进1"/>
    <w:basedOn w:val="1"/>
    <w:next w:val="195"/>
    <w:qFormat/>
    <w:uiPriority w:val="0"/>
    <w:pPr>
      <w:spacing w:after="120"/>
      <w:ind w:left="420"/>
    </w:pPr>
    <w:rPr>
      <w:sz w:val="24"/>
    </w:rPr>
  </w:style>
  <w:style w:type="paragraph" w:customStyle="1" w:styleId="195">
    <w:name w:val="寄信人地址1"/>
    <w:basedOn w:val="1"/>
    <w:qFormat/>
    <w:uiPriority w:val="99"/>
    <w:rPr>
      <w:rFonts w:ascii="Arial" w:hAnsi="Arial" w:cs="Arial"/>
    </w:rPr>
  </w:style>
  <w:style w:type="paragraph" w:customStyle="1" w:styleId="196">
    <w:name w:val="正文 1.1.1"/>
    <w:basedOn w:val="1"/>
    <w:next w:val="1"/>
    <w:qFormat/>
    <w:uiPriority w:val="0"/>
    <w:pPr>
      <w:numPr>
        <w:ilvl w:val="2"/>
        <w:numId w:val="2"/>
      </w:numPr>
      <w:tabs>
        <w:tab w:val="left" w:pos="851"/>
      </w:tabs>
      <w:outlineLvl w:val="2"/>
    </w:pPr>
    <w:rPr>
      <w:rFonts w:hAnsi="宋体" w:eastAsia="宋体"/>
      <w:color w:val="000000"/>
    </w:rPr>
  </w:style>
  <w:style w:type="paragraph" w:customStyle="1" w:styleId="197">
    <w:name w:val="_Style 5"/>
    <w:basedOn w:val="2"/>
    <w:next w:val="1"/>
    <w:qFormat/>
    <w:uiPriority w:val="0"/>
    <w:pPr>
      <w:spacing w:line="578" w:lineRule="auto"/>
      <w:outlineLvl w:val="9"/>
    </w:pPr>
  </w:style>
  <w:style w:type="paragraph" w:customStyle="1" w:styleId="198">
    <w:name w:val="Blockquote"/>
    <w:basedOn w:val="1"/>
    <w:qFormat/>
    <w:uiPriority w:val="0"/>
    <w:pPr>
      <w:spacing w:before="100" w:after="100"/>
      <w:ind w:left="360" w:right="360"/>
      <w:jc w:val="left"/>
    </w:pPr>
    <w:rPr>
      <w:sz w:val="24"/>
      <w:szCs w:val="20"/>
    </w:rPr>
  </w:style>
  <w:style w:type="paragraph" w:customStyle="1" w:styleId="199">
    <w:name w:val="标题 311"/>
    <w:basedOn w:val="1"/>
    <w:next w:val="1"/>
    <w:qFormat/>
    <w:uiPriority w:val="0"/>
    <w:pPr>
      <w:keepNext/>
      <w:keepLines/>
      <w:spacing w:before="260" w:after="260" w:line="415" w:lineRule="auto"/>
      <w:ind w:firstLine="137"/>
      <w:outlineLvl w:val="2"/>
    </w:pPr>
    <w:rPr>
      <w:rFonts w:ascii="黑体" w:hAnsi="宋体" w:eastAsia="黑体"/>
      <w:bCs/>
      <w:sz w:val="28"/>
      <w:szCs w:val="28"/>
    </w:rPr>
  </w:style>
  <w:style w:type="paragraph" w:customStyle="1" w:styleId="200">
    <w:name w:val="一级条标题"/>
    <w:basedOn w:val="201"/>
    <w:next w:val="202"/>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0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02">
    <w:name w:val="段"/>
    <w:next w:val="1"/>
    <w:qFormat/>
    <w:uiPriority w:val="99"/>
    <w:pPr>
      <w:ind w:firstLine="200"/>
      <w:jc w:val="both"/>
    </w:pPr>
    <w:rPr>
      <w:rFonts w:hint="default" w:ascii="宋体" w:hAnsi="Times New Roman" w:eastAsia="宋体" w:cs="Times New Roman"/>
      <w:sz w:val="22"/>
      <w:lang w:val="en-US" w:eastAsia="zh-CN" w:bidi="ar-SA"/>
    </w:rPr>
  </w:style>
  <w:style w:type="paragraph" w:customStyle="1" w:styleId="203">
    <w:name w:val="列出段落3"/>
    <w:basedOn w:val="1"/>
    <w:qFormat/>
    <w:uiPriority w:val="0"/>
    <w:pPr>
      <w:ind w:firstLine="420"/>
    </w:pPr>
    <w:rPr>
      <w:szCs w:val="20"/>
    </w:rPr>
  </w:style>
  <w:style w:type="paragraph" w:customStyle="1" w:styleId="204">
    <w:name w:val="普通正文"/>
    <w:basedOn w:val="1"/>
    <w:qFormat/>
    <w:uiPriority w:val="0"/>
    <w:pPr>
      <w:spacing w:before="120" w:after="120"/>
      <w:ind w:firstLine="480"/>
      <w:jc w:val="left"/>
    </w:pPr>
    <w:rPr>
      <w:rFonts w:ascii="Arial" w:hAnsi="Arial" w:eastAsia="宋体"/>
      <w:szCs w:val="24"/>
    </w:rPr>
  </w:style>
  <w:style w:type="paragraph" w:customStyle="1" w:styleId="205">
    <w:name w:val="普通(网站)1"/>
    <w:basedOn w:val="1"/>
    <w:unhideWhenUsed/>
    <w:qFormat/>
    <w:uiPriority w:val="99"/>
    <w:pPr>
      <w:widowControl/>
      <w:spacing w:before="100" w:beforeAutospacing="1" w:after="100" w:afterAutospacing="1"/>
      <w:jc w:val="left"/>
    </w:pPr>
    <w:rPr>
      <w:rFonts w:hAnsi="宋体" w:cs="宋体"/>
      <w:sz w:val="24"/>
    </w:rPr>
  </w:style>
  <w:style w:type="paragraph" w:customStyle="1" w:styleId="206">
    <w:name w:val="纯文本11"/>
    <w:basedOn w:val="1"/>
    <w:qFormat/>
    <w:uiPriority w:val="0"/>
    <w:rPr>
      <w:rFonts w:hint="eastAsia" w:hAnsi="Courier New" w:eastAsia="宋体"/>
      <w:sz w:val="21"/>
    </w:rPr>
  </w:style>
  <w:style w:type="paragraph" w:customStyle="1" w:styleId="207">
    <w:name w:val="Heading #1|1"/>
    <w:basedOn w:val="1"/>
    <w:qFormat/>
    <w:uiPriority w:val="0"/>
    <w:pPr>
      <w:widowControl w:val="0"/>
      <w:shd w:val="clear" w:color="auto" w:fill="auto"/>
      <w:spacing w:after="60"/>
      <w:jc w:val="center"/>
      <w:outlineLvl w:val="0"/>
    </w:pPr>
    <w:rPr>
      <w:rFonts w:ascii="宋体" w:hAnsi="宋体" w:eastAsia="宋体" w:cs="宋体"/>
      <w:sz w:val="32"/>
      <w:szCs w:val="32"/>
      <w:u w:val="none"/>
      <w:shd w:val="clear" w:color="auto" w:fill="auto"/>
      <w:lang w:val="zh-TW" w:eastAsia="zh-TW" w:bidi="zh-TW"/>
    </w:rPr>
  </w:style>
  <w:style w:type="paragraph" w:customStyle="1" w:styleId="208">
    <w:name w:val="Body text|1"/>
    <w:basedOn w:val="1"/>
    <w:qFormat/>
    <w:uiPriority w:val="0"/>
    <w:pPr>
      <w:widowControl w:val="0"/>
      <w:shd w:val="clear" w:color="auto" w:fill="auto"/>
      <w:spacing w:line="480" w:lineRule="auto"/>
    </w:pPr>
    <w:rPr>
      <w:rFonts w:ascii="宋体" w:hAnsi="宋体" w:eastAsia="宋体" w:cs="宋体"/>
      <w:sz w:val="20"/>
      <w:szCs w:val="20"/>
      <w:u w:val="none"/>
      <w:shd w:val="clear" w:color="auto" w:fill="auto"/>
      <w:lang w:val="zh-TW" w:eastAsia="zh-TW" w:bidi="zh-TW"/>
    </w:rPr>
  </w:style>
  <w:style w:type="paragraph" w:customStyle="1" w:styleId="209">
    <w:name w:val="首行缩进"/>
    <w:basedOn w:val="1"/>
    <w:qFormat/>
    <w:uiPriority w:val="0"/>
    <w:pPr>
      <w:spacing w:line="360" w:lineRule="auto"/>
      <w:ind w:firstLine="480" w:firstLineChars="200"/>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8B2083-7CEF-4A46-BCC1-7D05DD947812}">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62</Pages>
  <Words>5355</Words>
  <Characters>5905</Characters>
  <TotalTime>0</TotalTime>
  <ScaleCrop>false</ScaleCrop>
  <LinksUpToDate>false</LinksUpToDate>
  <CharactersWithSpaces>6028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王某要努力</cp:lastModifiedBy>
  <cp:lastPrinted>2025-08-25T08:53:00Z</cp:lastPrinted>
  <dcterms:modified xsi:type="dcterms:W3CDTF">2026-10-10T04:55:58Z</dcterms:modified>
  <cp:revision>194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492F2FB5AD7E4096B4E6D7C8883B3980_13</vt:lpwstr>
  </property>
  <property fmtid="{D5CDD505-2E9C-101B-9397-08002B2CF9AE}" pid="4" name="KSOTemplateDocerSaveRecord">
    <vt:lpwstr>eyJoZGlkIjoiODViY2JkMjU3NGYzZTEwMzZmMGFkZWViYmNkYWU3NDIiLCJ1c2VySWQiOiIyMjk2MzUyNzAifQ==</vt:lpwstr>
  </property>
</Properties>
</file>