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rPr>
          <w:highlight w:val="none"/>
        </w:rPr>
      </w:r>
      <w:r/>
    </w:p>
    <w:p>
      <w:pPr>
        <w:pStyle w:val="849"/>
        <w:ind w:firstLine="0"/>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rPr>
          <w:highlight w:val="none"/>
        </w:rPr>
      </w:r>
      <w:r/>
    </w:p>
    <w:p>
      <w:pPr>
        <w:pStyle w:val="849"/>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rPr>
          <w:highlight w:val="none"/>
        </w:rPr>
      </w:r>
      <w:r/>
    </w:p>
    <w:p>
      <w:pPr>
        <w:jc w:val="center"/>
        <w:rPr>
          <w:rFonts w:hint="eastAsia" w:ascii="宋体" w:hAnsi="宋体" w:cs="宋体"/>
          <w:b/>
          <w:color w:val="000000"/>
          <w:spacing w:val="76"/>
          <w:sz w:val="156"/>
          <w:highlight w:val="none"/>
        </w:rPr>
      </w:pPr>
      <w:r>
        <w:rPr>
          <w:rFonts w:hint="eastAsia" w:ascii="宋体" w:hAnsi="宋体" w:cs="宋体"/>
          <w:b/>
          <w:color w:val="000000"/>
          <w:spacing w:val="76"/>
          <w:sz w:val="156"/>
          <w:highlight w:val="none"/>
        </w:rPr>
        <w:t xml:space="preserve">招标文件</w:t>
      </w:r>
      <w:r>
        <w:rPr>
          <w:highlight w:val="none"/>
        </w:rPr>
      </w:r>
      <w:r/>
    </w:p>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r>
      <w:r>
        <w:rPr>
          <w:highlight w:val="none"/>
        </w:rPr>
      </w:r>
      <w:r/>
    </w:p>
    <w:p>
      <w:pPr>
        <w:rPr>
          <w:rFonts w:hint="eastAsia" w:ascii="宋体" w:hAnsi="宋体" w:cs="宋体"/>
          <w:b/>
          <w:color w:val="000000"/>
          <w:sz w:val="24"/>
          <w:highlight w:val="none"/>
        </w:rPr>
      </w:pPr>
      <w:r>
        <w:rPr>
          <w:rFonts w:hint="eastAsia" w:ascii="宋体" w:hAnsi="宋体" w:cs="宋体"/>
          <w:b/>
          <w:color w:val="000000"/>
          <w:sz w:val="24"/>
          <w:highlight w:val="none"/>
        </w:rPr>
      </w:r>
      <w:r>
        <w:rPr>
          <w:highlight w:val="none"/>
        </w:rPr>
      </w:r>
      <w:r/>
    </w:p>
    <w:p>
      <w:pPr>
        <w:pStyle w:val="849"/>
        <w:ind w:firstLine="0"/>
        <w:rPr>
          <w:rFonts w:hint="eastAsia" w:ascii="宋体" w:hAnsi="宋体" w:cs="宋体"/>
          <w:color w:val="000000"/>
          <w:sz w:val="32"/>
          <w:highlight w:val="none"/>
        </w:rPr>
      </w:pPr>
      <w:r>
        <w:rPr>
          <w:rFonts w:hint="eastAsia" w:ascii="宋体" w:hAnsi="宋体" w:cs="宋体"/>
          <w:color w:val="000000"/>
          <w:sz w:val="32"/>
          <w:highlight w:val="none"/>
        </w:rPr>
      </w:r>
      <w:r>
        <w:rPr>
          <w:highlight w:val="none"/>
        </w:rPr>
      </w:r>
      <w:r/>
    </w:p>
    <w:p>
      <w:pPr>
        <w:pStyle w:val="849"/>
        <w:ind w:firstLine="0"/>
        <w:rPr>
          <w:rFonts w:hint="eastAsia" w:ascii="宋体" w:hAnsi="宋体" w:cs="宋体"/>
          <w:color w:val="000000"/>
          <w:sz w:val="32"/>
          <w:highlight w:val="none"/>
        </w:rPr>
      </w:pPr>
      <w:r>
        <w:rPr>
          <w:rFonts w:hint="eastAsia" w:ascii="宋体" w:hAnsi="宋体" w:cs="宋体"/>
          <w:color w:val="000000"/>
          <w:sz w:val="32"/>
          <w:highlight w:val="none"/>
        </w:rPr>
      </w:r>
      <w:r>
        <w:rPr>
          <w:highlight w:val="none"/>
        </w:rPr>
      </w:r>
      <w:r/>
    </w:p>
    <w:p>
      <w:pPr>
        <w:ind w:firstLine="640"/>
        <w:spacing w:line="600" w:lineRule="exact"/>
        <w:rPr>
          <w:rFonts w:hint="eastAsia" w:ascii="宋体" w:hAnsi="宋体" w:eastAsia="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JSZC-320321-XZSH-G2026-0003</w:t>
      </w:r>
      <w:r>
        <w:rPr>
          <w:highlight w:val="none"/>
        </w:rPr>
      </w:r>
      <w:r/>
    </w:p>
    <w:p>
      <w:pPr>
        <w:ind w:firstLine="96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ind w:firstLine="64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大沙河饮用水源地清水通道监测预警体系建设项目</w:t>
      </w:r>
      <w:r>
        <w:rPr>
          <w:highlight w:val="none"/>
        </w:rPr>
      </w:r>
      <w:r/>
    </w:p>
    <w:p>
      <w:pPr>
        <w:ind w:firstLine="96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ind w:firstLine="640"/>
        <w:spacing w:line="600" w:lineRule="exact"/>
        <w:rPr>
          <w:rFonts w:hint="eastAsia" w:ascii="宋体" w:hAnsi="宋体" w:eastAsia="宋体" w:cs="宋体"/>
          <w:color w:val="000000"/>
          <w:sz w:val="32"/>
          <w:szCs w:val="32"/>
          <w:highlight w:val="none"/>
        </w:rPr>
      </w:pPr>
      <w:r>
        <w:rPr>
          <w:rFonts w:hint="eastAsia" w:ascii="宋体" w:hAnsi="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徐州市丰县生态环境局</w:t>
      </w:r>
      <w:r>
        <w:rPr>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pStyle w:val="862"/>
        <w:ind w:firstLine="0"/>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pStyle w:val="838"/>
        <w:rPr>
          <w:rFonts w:hint="eastAsia"/>
          <w:color w:val="000000"/>
          <w:highlight w:val="none"/>
        </w:rPr>
      </w:pPr>
      <w:r>
        <w:rPr>
          <w:rFonts w:hint="eastAsia"/>
          <w:color w:val="000000"/>
          <w:highlight w:val="none"/>
        </w:rPr>
      </w:r>
      <w:r>
        <w:rPr>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pStyle w:val="838"/>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pStyle w:val="838"/>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cs="宋体"/>
          <w:color w:val="000000"/>
          <w:sz w:val="32"/>
          <w:szCs w:val="32"/>
          <w:highlight w:val="none"/>
        </w:rPr>
        <w:t xml:space="preserve">采购代理机构：</w:t>
      </w:r>
      <w:r>
        <w:rPr>
          <w:rFonts w:hint="eastAsia" w:ascii="宋体" w:hAnsi="宋体" w:cs="宋体"/>
          <w:color w:val="000000"/>
          <w:sz w:val="32"/>
          <w:szCs w:val="32"/>
          <w:highlight w:val="none"/>
          <w:lang w:eastAsia="zh-CN"/>
        </w:rPr>
        <w:t xml:space="preserve">徐州晟和工程招标代理有限公司</w:t>
      </w:r>
      <w:r>
        <w:rPr>
          <w:highlight w:val="none"/>
        </w:rPr>
      </w:r>
      <w:r/>
    </w:p>
    <w:p>
      <w:pPr>
        <w:jc w:val="center"/>
        <w:spacing w:line="360" w:lineRule="auto"/>
        <w:rPr>
          <w:rFonts w:hint="eastAsia" w:ascii="宋体" w:hAnsi="宋体" w:cs="宋体"/>
          <w:color w:val="000000"/>
          <w:sz w:val="32"/>
          <w:szCs w:val="32"/>
          <w:highlight w:val="none"/>
        </w:rPr>
      </w:pPr>
      <w:r>
        <w:rPr>
          <w:rFonts w:hint="eastAsia" w:ascii="宋体" w:hAnsi="宋体" w:cs="宋体"/>
          <w:bCs/>
          <w:color w:val="000000"/>
          <w:sz w:val="32"/>
          <w:szCs w:val="32"/>
          <w:highlight w:val="none"/>
        </w:rPr>
        <w:t xml:space="preserve">二〇二六年</w:t>
      </w:r>
      <w:r>
        <w:rPr>
          <w:rFonts w:hint="eastAsia" w:ascii="宋体" w:hAnsi="宋体" w:cs="宋体"/>
          <w:bCs/>
          <w:color w:val="000000"/>
          <w:sz w:val="32"/>
          <w:szCs w:val="32"/>
          <w:highlight w:val="none"/>
          <w:lang w:val="en-US" w:eastAsia="zh-CN"/>
        </w:rPr>
        <w:t xml:space="preserve">十</w:t>
      </w:r>
      <w:r>
        <w:rPr>
          <w:rFonts w:hint="eastAsia" w:ascii="宋体" w:hAnsi="宋体" w:cs="宋体"/>
          <w:bCs/>
          <w:color w:val="000000"/>
          <w:sz w:val="32"/>
          <w:szCs w:val="32"/>
          <w:highlight w:val="none"/>
        </w:rPr>
        <w:t xml:space="preserve">月</w:t>
      </w:r>
      <w:r>
        <w:rPr>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r/>
    </w:p>
    <w:p>
      <w:pPr>
        <w:jc w:val="center"/>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rPr>
          <w:highlight w:val="none"/>
        </w:rPr>
      </w:r>
      <w:r/>
    </w:p>
    <w:p>
      <w:pPr>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rPr>
          <w:highlight w:val="none"/>
        </w:rPr>
      </w:r>
      <w:r/>
    </w:p>
    <w:p>
      <w:pPr>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rPr>
          <w:highlight w:val="none"/>
        </w:rPr>
      </w:r>
      <w:r/>
    </w:p>
    <w:p>
      <w:pPr>
        <w:jc w:val="center"/>
        <w:spacing w:line="519" w:lineRule="atLeast"/>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rPr>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color w:val="000000"/>
          <w:sz w:val="30"/>
          <w:szCs w:val="30"/>
          <w:highlight w:val="none"/>
        </w:rPr>
        <w:fldChar w:fldCharType="separate"/>
      </w:r>
      <w:r>
        <w:rPr>
          <w:rStyle w:val="918"/>
          <w:rFonts w:hint="eastAsia" w:ascii="宋体" w:hAnsi="宋体" w:cs="宋体"/>
          <w:color w:val="000000"/>
          <w:sz w:val="30"/>
          <w:szCs w:val="30"/>
          <w:highlight w:val="none"/>
        </w:rPr>
        <w:t xml:space="preserve">第一章 投标邀请</w:t>
      </w:r>
      <w:r>
        <w:rPr>
          <w:rStyle w:val="918"/>
          <w:rFonts w:hint="eastAsia" w:ascii="宋体" w:hAnsi="宋体" w:cs="宋体"/>
          <w:color w:val="000000"/>
          <w:sz w:val="30"/>
          <w:szCs w:val="30"/>
          <w:highlight w:val="none"/>
        </w:rPr>
        <w:fldChar w:fldCharType="end"/>
      </w:r>
      <w:r>
        <w:rPr>
          <w:highlight w:val="none"/>
        </w:rPr>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rPr>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color w:val="000000"/>
          <w:sz w:val="30"/>
          <w:szCs w:val="30"/>
          <w:highlight w:val="none"/>
        </w:rPr>
        <w:fldChar w:fldCharType="separate"/>
      </w:r>
      <w:r>
        <w:rPr>
          <w:rStyle w:val="918"/>
          <w:rFonts w:hint="eastAsia" w:ascii="宋体" w:hAnsi="宋体" w:cs="宋体"/>
          <w:color w:val="000000"/>
          <w:sz w:val="30"/>
          <w:szCs w:val="30"/>
          <w:highlight w:val="none"/>
        </w:rPr>
        <w:t xml:space="preserve">第二章 投标人须知</w:t>
      </w:r>
      <w:r>
        <w:rPr>
          <w:rStyle w:val="918"/>
          <w:rFonts w:hint="eastAsia" w:ascii="宋体" w:hAnsi="宋体" w:cs="宋体"/>
          <w:color w:val="000000"/>
          <w:sz w:val="30"/>
          <w:szCs w:val="30"/>
          <w:highlight w:val="none"/>
        </w:rPr>
        <w:fldChar w:fldCharType="end"/>
      </w:r>
      <w:r>
        <w:rPr>
          <w:highlight w:val="none"/>
        </w:rPr>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rPr>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color w:val="000000"/>
          <w:sz w:val="30"/>
          <w:szCs w:val="30"/>
          <w:highlight w:val="none"/>
        </w:rPr>
        <w:fldChar w:fldCharType="separate"/>
      </w:r>
      <w:r>
        <w:rPr>
          <w:rStyle w:val="918"/>
          <w:rFonts w:hint="eastAsia" w:ascii="宋体" w:hAnsi="宋体" w:cs="宋体"/>
          <w:color w:val="000000"/>
          <w:sz w:val="30"/>
          <w:szCs w:val="30"/>
          <w:highlight w:val="none"/>
        </w:rPr>
        <w:t xml:space="preserve">第三章 投标资料表</w:t>
      </w:r>
      <w:r>
        <w:rPr>
          <w:rStyle w:val="918"/>
          <w:rFonts w:hint="eastAsia" w:ascii="宋体" w:hAnsi="宋体" w:cs="宋体"/>
          <w:color w:val="000000"/>
          <w:sz w:val="30"/>
          <w:szCs w:val="30"/>
          <w:highlight w:val="none"/>
        </w:rPr>
        <w:fldChar w:fldCharType="end"/>
      </w:r>
      <w:r>
        <w:rPr>
          <w:highlight w:val="none"/>
        </w:rPr>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rPr>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color w:val="000000"/>
          <w:sz w:val="30"/>
          <w:szCs w:val="30"/>
          <w:highlight w:val="none"/>
        </w:rPr>
        <w:fldChar w:fldCharType="separate"/>
      </w:r>
      <w:r>
        <w:rPr>
          <w:rStyle w:val="918"/>
          <w:rFonts w:hint="eastAsia" w:ascii="宋体" w:hAnsi="宋体" w:cs="宋体"/>
          <w:color w:val="000000"/>
          <w:sz w:val="30"/>
          <w:szCs w:val="30"/>
          <w:highlight w:val="none"/>
        </w:rPr>
        <w:t xml:space="preserve">第四章 评标标准</w:t>
      </w:r>
      <w:r>
        <w:rPr>
          <w:rStyle w:val="918"/>
          <w:rFonts w:hint="eastAsia" w:ascii="宋体" w:hAnsi="宋体" w:cs="宋体"/>
          <w:color w:val="000000"/>
          <w:sz w:val="30"/>
          <w:szCs w:val="30"/>
          <w:highlight w:val="none"/>
        </w:rPr>
        <w:fldChar w:fldCharType="end"/>
      </w:r>
      <w:r>
        <w:rPr>
          <w:highlight w:val="none"/>
        </w:rPr>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rPr>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color w:val="000000"/>
          <w:sz w:val="30"/>
          <w:szCs w:val="30"/>
          <w:highlight w:val="none"/>
        </w:rPr>
        <w:fldChar w:fldCharType="separate"/>
      </w:r>
      <w:r>
        <w:rPr>
          <w:rStyle w:val="918"/>
          <w:rFonts w:hint="eastAsia" w:ascii="宋体" w:hAnsi="宋体" w:cs="宋体"/>
          <w:color w:val="000000"/>
          <w:sz w:val="30"/>
          <w:szCs w:val="30"/>
          <w:highlight w:val="none"/>
        </w:rPr>
        <w:t xml:space="preserve">第五章 拟签订的合同文本</w:t>
      </w:r>
      <w:r>
        <w:rPr>
          <w:rStyle w:val="918"/>
          <w:rFonts w:hint="eastAsia" w:ascii="宋体" w:hAnsi="宋体" w:cs="宋体"/>
          <w:color w:val="000000"/>
          <w:sz w:val="30"/>
          <w:szCs w:val="30"/>
          <w:highlight w:val="none"/>
        </w:rPr>
        <w:fldChar w:fldCharType="end"/>
      </w:r>
      <w:r>
        <w:rPr>
          <w:highlight w:val="none"/>
        </w:rPr>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rPr>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color w:val="000000"/>
          <w:sz w:val="30"/>
          <w:szCs w:val="30"/>
          <w:highlight w:val="none"/>
        </w:rPr>
        <w:fldChar w:fldCharType="separate"/>
      </w:r>
      <w:r>
        <w:rPr>
          <w:rStyle w:val="918"/>
          <w:rFonts w:hint="eastAsia" w:ascii="宋体" w:hAnsi="宋体" w:cs="宋体"/>
          <w:color w:val="000000"/>
          <w:sz w:val="30"/>
          <w:szCs w:val="30"/>
          <w:highlight w:val="none"/>
        </w:rPr>
        <w:t xml:space="preserve">第六章 采购需求</w:t>
      </w:r>
      <w:r>
        <w:rPr>
          <w:rStyle w:val="918"/>
          <w:rFonts w:hint="eastAsia" w:ascii="宋体" w:hAnsi="宋体" w:cs="宋体"/>
          <w:color w:val="000000"/>
          <w:sz w:val="30"/>
          <w:szCs w:val="30"/>
          <w:highlight w:val="none"/>
        </w:rPr>
        <w:fldChar w:fldCharType="end"/>
      </w:r>
      <w:r>
        <w:rPr>
          <w:highlight w:val="none"/>
        </w:rPr>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rPr>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color w:val="000000"/>
          <w:sz w:val="30"/>
          <w:szCs w:val="30"/>
          <w:highlight w:val="none"/>
        </w:rPr>
        <w:fldChar w:fldCharType="separate"/>
      </w:r>
      <w:r>
        <w:rPr>
          <w:rStyle w:val="918"/>
          <w:rFonts w:hint="eastAsia" w:ascii="宋体" w:hAnsi="宋体" w:cs="宋体"/>
          <w:color w:val="000000"/>
          <w:sz w:val="30"/>
          <w:szCs w:val="30"/>
          <w:highlight w:val="none"/>
        </w:rPr>
        <w:t xml:space="preserve">第七章 投标文件相关格式</w:t>
      </w:r>
      <w:r>
        <w:rPr>
          <w:rStyle w:val="918"/>
          <w:rFonts w:hint="eastAsia" w:ascii="宋体" w:hAnsi="宋体" w:cs="宋体"/>
          <w:color w:val="000000"/>
          <w:sz w:val="30"/>
          <w:szCs w:val="30"/>
          <w:highlight w:val="none"/>
        </w:rPr>
        <w:fldChar w:fldCharType="end"/>
      </w:r>
      <w:r>
        <w:rPr>
          <w:highlight w:val="none"/>
        </w:rPr>
      </w:r>
      <w:r/>
    </w:p>
    <w:p>
      <w:pPr>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rPr>
          <w:highlight w:val="none"/>
        </w:rPr>
      </w:r>
      <w:r/>
    </w:p>
    <w:p>
      <w:pPr>
        <w:jc w:val="center"/>
        <w:spacing w:line="519" w:lineRule="atLeast"/>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rPr>
          <w:highlight w:val="none"/>
        </w:rPr>
      </w:r>
      <w:r/>
    </w:p>
    <w:p>
      <w:pPr>
        <w:jc w:val="center"/>
        <w:rPr>
          <w:rFonts w:hint="eastAsia" w:ascii="宋体" w:hAnsi="宋体" w:eastAsia="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徐州市丰县生态环境局</w:t>
      </w:r>
      <w:r>
        <w:rPr>
          <w:highlight w:val="none"/>
        </w:rPr>
      </w:r>
      <w:r/>
    </w:p>
    <w:p>
      <w:pPr>
        <w:jc w:val="center"/>
        <w:rPr>
          <w:rFonts w:hint="eastAsia"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大沙河饮用水源地清水通道监测预警体系建设项目</w:t>
      </w:r>
      <w:r>
        <w:rPr>
          <w:rFonts w:hint="eastAsia" w:ascii="宋体" w:hAnsi="宋体" w:cs="宋体"/>
          <w:b/>
          <w:color w:val="000000"/>
          <w:sz w:val="36"/>
          <w:szCs w:val="36"/>
          <w:highlight w:val="none"/>
        </w:rPr>
        <w:t xml:space="preserve">》</w:t>
      </w:r>
      <w:r>
        <w:rPr>
          <w:highlight w:val="none"/>
        </w:rPr>
      </w:r>
      <w:r/>
    </w:p>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招标文件</w:t>
      </w:r>
      <w:r>
        <w:rPr>
          <w:highlight w:val="none"/>
        </w:rPr>
      </w:r>
      <w:r/>
    </w:p>
    <w:p>
      <w:pPr>
        <w:ind w:firstLine="600"/>
        <w:spacing w:line="360" w:lineRule="auto"/>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highlight w:val="none"/>
        </w:rPr>
      </w:r>
      <w:r/>
    </w:p>
    <w:p>
      <w:pPr>
        <w:jc w:val="cente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highlight w:val="none"/>
        </w:rPr>
      </w:r>
      <w:r>
        <w:rPr>
          <w:highlight w:val="none"/>
        </w:rPr>
      </w:r>
      <w:r/>
    </w:p>
    <w:p>
      <w:pPr>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第一章 投标邀请</w:t>
      </w:r>
      <w:r>
        <w:rPr>
          <w:highlight w:val="none"/>
        </w:rPr>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徐州晟和工程招标代理有限公司</w:t>
      </w:r>
      <w:r>
        <w:rPr>
          <w:rFonts w:hint="eastAsia" w:ascii="宋体" w:hAnsi="宋体" w:eastAsia="宋体" w:cs="宋体"/>
          <w:color w:val="000000"/>
          <w:sz w:val="24"/>
          <w:highlight w:val="none"/>
        </w:rPr>
        <w:t xml:space="preserve">对</w:t>
      </w:r>
      <w:r>
        <w:rPr>
          <w:rFonts w:hint="eastAsia" w:ascii="宋体" w:hAnsi="宋体" w:cs="宋体"/>
          <w:color w:val="000000"/>
          <w:sz w:val="24"/>
          <w:highlight w:val="none"/>
          <w:u w:val="single"/>
          <w:lang w:eastAsia="zh-CN"/>
        </w:rPr>
        <w:t xml:space="preserve">大沙河饮用水源地清水通道监测预警体系建设项目</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进行公开招标采购，现邀请符合相关条件的供应商投标。</w:t>
      </w:r>
      <w:r>
        <w:rPr>
          <w:highlight w:val="none"/>
        </w:rPr>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一、项目名称和项目编号</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w:t>
      </w:r>
      <w:r>
        <w:rPr>
          <w:rFonts w:hint="eastAsia" w:ascii="宋体" w:hAnsi="宋体" w:cs="宋体"/>
          <w:color w:val="000000"/>
          <w:sz w:val="24"/>
          <w:highlight w:val="none"/>
          <w:lang w:eastAsia="zh-CN"/>
        </w:rPr>
        <w:t xml:space="preserve">大沙河饮用水源地清水通道监测预警体系建设项目</w:t>
      </w:r>
      <w:r>
        <w:rPr>
          <w:rFonts w:hint="eastAsia" w:ascii="宋体" w:hAnsi="宋体" w:eastAsia="宋体" w:cs="宋体"/>
          <w:color w:val="000000"/>
          <w:sz w:val="24"/>
          <w:highlight w:val="none"/>
        </w:rPr>
        <w:t xml:space="preserve">。</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（二）项目编号：</w:t>
      </w:r>
      <w:r>
        <w:rPr>
          <w:rFonts w:hint="eastAsia" w:ascii="宋体" w:hAnsi="宋体" w:cs="宋体"/>
          <w:color w:val="000000"/>
          <w:sz w:val="24"/>
          <w:highlight w:val="none"/>
          <w:lang w:eastAsia="zh-CN"/>
        </w:rPr>
        <w:t xml:space="preserve">JSZC-320321-XZSH-G2026-0003</w:t>
      </w:r>
      <w:r>
        <w:rPr>
          <w:rFonts w:hint="eastAsia" w:ascii="宋体" w:hAnsi="宋体" w:eastAsia="宋体" w:cs="宋体"/>
          <w:color w:val="000000"/>
          <w:sz w:val="24"/>
          <w:highlight w:val="none"/>
          <w:lang w:eastAsia="zh-CN"/>
        </w:rPr>
        <w:t xml:space="preserve">。</w:t>
      </w:r>
      <w:r>
        <w:rPr>
          <w:highlight w:val="none"/>
        </w:rPr>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二、对投标人的资格要求</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详见本项目公开招标公告。</w:t>
      </w:r>
      <w:r>
        <w:rPr>
          <w:highlight w:val="none"/>
        </w:rPr>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三、获取招标文件</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（一）潜在投标人访问电子招标投标交易平台的网络地址和方法：</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（3）“CA数字证书”的获取：</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（二）采购代理机构将数据电文形式的招标文件加载至电子招标投标交易平台，供潜在投标人下载或者查阅。</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（三）售价：免费。</w:t>
      </w:r>
      <w:r>
        <w:rPr>
          <w:highlight w:val="none"/>
        </w:rPr>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四、投标有关信息</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（一）投标截止时间：</w:t>
      </w:r>
      <w:r>
        <w:rPr>
          <w:rFonts w:hint="eastAsia" w:ascii="宋体" w:hAnsi="宋体" w:cs="宋体"/>
          <w:b/>
          <w:color w:val="000000"/>
          <w:sz w:val="24"/>
          <w:highlight w:val="none"/>
          <w:lang w:eastAsia="zh-CN"/>
        </w:rPr>
        <w:t xml:space="preserve">2026年11月05日</w:t>
      </w:r>
      <w:r>
        <w:rPr>
          <w:rFonts w:hint="eastAsia" w:ascii="宋体" w:hAnsi="宋体" w:eastAsia="宋体" w:cs="宋体"/>
          <w:b/>
          <w:color w:val="000000"/>
          <w:sz w:val="24"/>
          <w:highlight w:val="none"/>
        </w:rPr>
        <w:t xml:space="preserve">北京时间</w:t>
      </w:r>
      <w:r>
        <w:rPr>
          <w:rFonts w:hint="eastAsia" w:ascii="宋体" w:hAnsi="宋体" w:cs="宋体"/>
          <w:b/>
          <w:color w:val="000000"/>
          <w:sz w:val="24"/>
          <w:highlight w:val="none"/>
          <w:lang w:val="en-US" w:eastAsia="zh-CN"/>
        </w:rPr>
        <w:t xml:space="preserve">9:30</w:t>
      </w:r>
      <w:r>
        <w:rPr>
          <w:rFonts w:hint="eastAsia" w:ascii="宋体" w:hAnsi="宋体" w:eastAsia="宋体" w:cs="宋体"/>
          <w:color w:val="000000"/>
          <w:sz w:val="24"/>
          <w:highlight w:val="none"/>
        </w:rPr>
        <w:t xml:space="preserve">。</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（二）开标时间：</w:t>
      </w:r>
      <w:r>
        <w:rPr>
          <w:rFonts w:hint="eastAsia" w:ascii="宋体" w:hAnsi="宋体" w:cs="宋体"/>
          <w:b/>
          <w:color w:val="000000"/>
          <w:sz w:val="24"/>
          <w:highlight w:val="none"/>
          <w:lang w:eastAsia="zh-CN"/>
        </w:rPr>
        <w:t xml:space="preserve">2026年11月05日</w:t>
      </w:r>
      <w:r>
        <w:rPr>
          <w:rFonts w:hint="eastAsia" w:ascii="宋体" w:hAnsi="宋体" w:eastAsia="宋体" w:cs="宋体"/>
          <w:b/>
          <w:color w:val="000000"/>
          <w:sz w:val="24"/>
          <w:highlight w:val="none"/>
        </w:rPr>
        <w:t xml:space="preserve">北京时间</w:t>
      </w:r>
      <w:r>
        <w:rPr>
          <w:rFonts w:hint="eastAsia" w:ascii="宋体" w:hAnsi="宋体" w:cs="宋体"/>
          <w:b/>
          <w:color w:val="000000"/>
          <w:sz w:val="24"/>
          <w:highlight w:val="none"/>
          <w:lang w:val="en-US" w:eastAsia="zh-CN"/>
        </w:rPr>
        <w:t xml:space="preserve">9:30</w:t>
      </w:r>
      <w:r>
        <w:rPr>
          <w:rFonts w:hint="eastAsia" w:ascii="宋体" w:hAnsi="宋体" w:eastAsia="宋体" w:cs="宋体"/>
          <w:color w:val="000000"/>
          <w:sz w:val="24"/>
          <w:highlight w:val="none"/>
        </w:rPr>
        <w:t xml:space="preserve">。</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（三）开标地点：“苏采云”系统“开标大厅”或进入徐州政府采购网--办事指南--供应商--供应商登录入口，点击“苏采云”进入系统“开标大厅”。</w:t>
      </w:r>
      <w:r>
        <w:rPr>
          <w:highlight w:val="none"/>
        </w:rPr>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五、采购人</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cs="宋体"/>
          <w:color w:val="000000"/>
          <w:sz w:val="24"/>
          <w:szCs w:val="24"/>
          <w:highlight w:val="none"/>
          <w:lang w:eastAsia="zh-CN"/>
        </w:rPr>
        <w:t xml:space="preserve">徐州市丰县生态环境局</w:t>
      </w:r>
      <w:r>
        <w:rPr>
          <w:highlight w:val="none"/>
        </w:rPr>
      </w:r>
      <w:r/>
    </w:p>
    <w:p>
      <w:pPr>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丰县飞龙湖北侧</w:t>
      </w:r>
      <w:r>
        <w:rPr>
          <w:highlight w:val="none"/>
        </w:rPr>
      </w:r>
      <w:r/>
    </w:p>
    <w:p>
      <w:pPr>
        <w:pStyle w:val="86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（三）联系电话：18361554669 </w:t>
      </w:r>
      <w:r>
        <w:rPr>
          <w:highlight w:val="none"/>
        </w:rPr>
      </w:r>
      <w:r/>
    </w:p>
    <w:p>
      <w:pPr>
        <w:spacing w:line="360" w:lineRule="auto"/>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（四）采购项目联系人：</w:t>
      </w:r>
      <w:r>
        <w:rPr>
          <w:rFonts w:hint="eastAsia" w:ascii="宋体" w:hAnsi="宋体" w:cs="宋体"/>
          <w:color w:val="000000"/>
          <w:sz w:val="24"/>
          <w:szCs w:val="24"/>
          <w:highlight w:val="none"/>
          <w:lang w:val="en-US" w:eastAsia="zh-CN" w:bidi="ar-SA"/>
        </w:rPr>
        <w:t xml:space="preserve">黄磊</w:t>
      </w:r>
      <w:r>
        <w:rPr>
          <w:rFonts w:hint="eastAsia" w:ascii="仿宋" w:hAnsi="仿宋" w:eastAsia="仿宋"/>
          <w:color w:val="auto"/>
          <w:sz w:val="28"/>
          <w:szCs w:val="28"/>
          <w:highlight w:val="none"/>
          <w:lang w:val="en-US" w:eastAsia="zh-CN"/>
        </w:rPr>
        <w:t xml:space="preserve"> </w:t>
      </w:r>
      <w:r>
        <w:rPr>
          <w:highlight w:val="none"/>
        </w:rPr>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六、采购代理机构</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cs="宋体"/>
          <w:color w:val="000000"/>
          <w:sz w:val="24"/>
          <w:highlight w:val="none"/>
          <w:lang w:eastAsia="zh-CN"/>
        </w:rPr>
        <w:t xml:space="preserve">徐州晟和工程招标代理有限公司</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w:t>
      </w:r>
      <w:r>
        <w:rPr>
          <w:rFonts w:hint="eastAsia" w:ascii="宋体" w:hAnsi="宋体" w:cs="宋体"/>
          <w:color w:val="000000"/>
          <w:sz w:val="24"/>
          <w:highlight w:val="none"/>
          <w:lang w:eastAsia="zh-CN"/>
        </w:rPr>
        <w:t xml:space="preserve">江苏省徐州市云龙区新城中心广场B座号楼1-1026-2</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w:t>
      </w:r>
      <w:r>
        <w:rPr>
          <w:rFonts w:hint="eastAsia" w:ascii="宋体" w:hAnsi="宋体" w:cs="宋体"/>
          <w:color w:val="000000"/>
          <w:sz w:val="24"/>
          <w:highlight w:val="none"/>
          <w:lang w:eastAsia="zh-CN"/>
        </w:rPr>
        <w:t xml:space="preserve">陈士伟</w:t>
      </w:r>
      <w:r>
        <w:rPr>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（四）联系电话：</w:t>
      </w:r>
      <w:r>
        <w:rPr>
          <w:rFonts w:hint="eastAsia" w:ascii="宋体" w:hAnsi="宋体" w:cs="宋体"/>
          <w:color w:val="000000"/>
          <w:sz w:val="24"/>
          <w:highlight w:val="none"/>
          <w:lang w:eastAsia="zh-CN"/>
        </w:rPr>
        <w:t xml:space="preserve">18005211011</w:t>
      </w:r>
      <w:r>
        <w:rPr>
          <w:highlight w:val="none"/>
        </w:rPr>
      </w:r>
      <w:r/>
    </w:p>
    <w:p>
      <w:pPr>
        <w:ind w:firstLine="300"/>
        <w:spacing w:line="51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rPr>
          <w:highlight w:val="none"/>
        </w:rPr>
      </w:r>
      <w:r/>
    </w:p>
    <w:p>
      <w:pPr>
        <w:ind w:firstLine="600"/>
        <w:spacing w:line="3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highlight w:val="none"/>
        </w:rPr>
      </w:r>
      <w:r/>
    </w:p>
    <w:p>
      <w:pPr>
        <w:ind w:firstLine="600"/>
        <w:spacing w:line="3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highlight w:val="none"/>
        </w:rPr>
      </w:r>
      <w:r/>
    </w:p>
    <w:p>
      <w:pPr>
        <w:jc w:val="center"/>
        <w:spacing w:line="720" w:lineRule="atLeast"/>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
          <w:color w:val="000000"/>
          <w:sz w:val="30"/>
          <w:highlight w:val="none"/>
        </w:rPr>
      </w:r>
      <w:r>
        <w:rPr>
          <w:highlight w:val="none"/>
        </w:rPr>
      </w:r>
      <w:r/>
    </w:p>
    <w:p>
      <w:pPr>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第二章 投标人须知</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一、总则</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（一）采购人。采购人即指依法进行政府采购的国家机关、事业单位和团体组织。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rPr>
          <w:highlight w:val="none"/>
        </w:rPr>
      </w:r>
      <w:r/>
    </w:p>
    <w:p>
      <w:pPr>
        <w:ind w:left="0" w:right="0" w:firstLine="480"/>
        <w:jc w:val="both"/>
        <w:spacing w:before="0" w:after="0" w:line="85" w:lineRule="atLeast"/>
        <w:rPr>
          <w:rFonts w:hint="eastAsia" w:ascii="宋体" w:hAnsi="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rPr>
          <w:sz w:val="21"/>
        </w:rP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none"/>
        </w:rPr>
      </w:r>
      <w:r>
        <w:rPr>
          <w:rFonts w:ascii="SimSun" w:hAnsi="SimSun" w:eastAsia="SimSun" w:cs="SimSun"/>
          <w:color w:val="000000"/>
          <w:sz w:val="24"/>
        </w:rPr>
        <w:t xml:space="preserve">本项目应执行的政府采购政策：</w:t>
      </w: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①此项目属于专门面向中小企业采购的项目，供应商应为中小微企业、监狱企业、残疾人福利性单位。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⑥政府采购促进中小企业发展；促进残疾人就业政府采购政策；政府采购支持监狱企业发展等。</w:t>
      </w:r>
      <w:r>
        <w:rPr>
          <w:sz w:val="21"/>
        </w:rP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⑦本国产品应当符合以下条件：</w:t>
      </w: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96479" name=""/>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6" o:title=""/>
              </v:shape>
            </w:pict>
          </mc:Fallback>
        </mc:AlternateContent>
      </w:r>
      <w:r>
        <w:rPr>
          <w:rFonts w:ascii="SimSun" w:hAnsi="SimSun" w:eastAsia="SimSun" w:cs="SimSun"/>
          <w:color w:val="000000"/>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2、本国产品标准的适用范围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注：中国境内生产的组件成本核算基本规则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四、需要对成本核算规则予以进一步明确的其他有关事项，由财政部会同有关部门另行规定。</w:t>
      </w: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
    </w:p>
    <w:p>
      <w:pPr>
        <w:ind w:firstLine="48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（六）投标人的资格条件：</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投标人是指响应招标、参加投标竞争的法人、其他组织或者自然人。</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2.投标人授权代表系指法定代表人或受法人委托的受托人。</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二、招标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（八）招标文件应包括以下内容：</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第一章，投标邀请；</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第二章，投标人须知；</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第三章，投标资料表；</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第四章，评标标准；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第五章，拟签订的合同文本；</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第六章，采购需求；</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第七章，投标文件相关格式。</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（九）招标文件澄清或者修改：</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2.现场考察以本文件第三章《投标资料表》中的要求为准。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3.开标前答疑会以本文件第三章《投标资料表》中的要求为准。</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（十二）投标文件的构成：</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1.投标文件的构成以本文件第三章《投标资料表》中的要求为准。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2.投标人应当提交的资格、资信证明文件，以本文件第三章《投标资料表》中的所提要求为准。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（十三）投标函和价格表、商务条件、交货和提供服务的时间：</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2.商务条件以本文件第三章《投标资料表》中的要求为准。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3.交货和提供服务的时间，以本文件第三章《投标资料表》中所提要求为准。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（十四）投标报价要求：</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1.投标人应按照招标文件的要求报出分项价格和总价。</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2.投标人应按照招标文件的要求进行报价，如投标人作出偏离，应在《偏离表》中列出。</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3.采购人不支付报价以外的任何费用。</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4.投标人所报的价格，在合同执行过程中是固定的，不得以任何理由予以变更。投标人提交滑动价格的投标文件，在资格、符合性检查时按照无效投标处理。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（十五）投标货币。以本文件第三章《投标资料表》中所提要求为准。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（十六）投标有效期：</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（十七）投标文件的编制要求和签署要求：</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（2）投标人应对 CA 证书妥善保管，如被他人盗用投标，因此带来的结果均由投标人自行承担。</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（3）投标人应当对招标文件提出的要求和条件作出实质性响应，并在电子投标系统逐条应答。</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（十八）投标文件的盖章要求</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1.投标文件的盖章要求以招标文件第三章《投标资料表》中的要求为准。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 各投标人应在规定时间内通过 CA 证书进行网上解密。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（二十二）本项目不允许分包。</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（二十四）有下列情形之一的，其投标无效。</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1.不同投标人的投标文件，由同一单位或者个人编制；</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2.不同投标人委托同一单位或者个人办理投标事宜；</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3.不同投标人的投标文件中，所载明的项目管理成员或联系人为同一人；</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4.不同投标人的投标文件，异常一致或者投标报价呈规律性差异；</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5.不同投标人的投标文件相互混装；</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7.投标文件未按规定期限投标的；</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8.投标文件未按招标文件要求</w:t>
      </w:r>
      <w:r>
        <w:rPr>
          <w:rFonts w:hint="eastAsia" w:ascii="宋体" w:hAnsi="宋体" w:cs="宋体"/>
          <w:color w:val="000000"/>
          <w:sz w:val="24"/>
          <w:highlight w:val="none"/>
          <w:lang w:val="en-US" w:eastAsia="zh-CN"/>
        </w:rPr>
        <w:t xml:space="preserve">签署和盖</w:t>
      </w:r>
      <w:r>
        <w:rPr>
          <w:rFonts w:hint="eastAsia" w:ascii="宋体" w:hAnsi="宋体" w:cs="宋体"/>
          <w:color w:val="000000"/>
          <w:sz w:val="24"/>
          <w:highlight w:val="none"/>
        </w:rPr>
        <w:t xml:space="preserve">章的；</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9.投标人未在规定时间内解密电子投标文件的；</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10.投标文件未按招标文件规定的内容和要求填写的；</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.不具备招标文件中规定的资格要求的；</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.报价超过招标文件中规定的预算金额或者最高限价的；</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.投标文件含有采购人不能接受的条件的；</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.法律、法规和招标文件规定的其他无效情形。</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四、开标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（二十五）开标：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1.所有投标单位凭 CA 证书在到达开标时间时，解密各自投标文件，由工作人员操作系统进行开标、并宣读各投标人的《开标一览表》。</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2.投标人不足3家的，不得开标。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3.开标过程由采购代理机构负责记录。</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5.投标人未参加开标的，视同认可开标结果。</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五、评标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1.评标工作由采购代理机构负责组织，并履行下列职责：</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（2）宣布评标纪律；</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（3）公布投标人名单，告知评审专家应当回避的情形；</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（4）组织评标委员会推选评标组长（采购人代表不得担任组长）；</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（5）在评标期间采取必要的通讯管理措施，保证评标活动不受外界干扰；</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（6）根据评标委员会的要求介绍政府采购相关政策法规、招标文件；</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\o "http://www.caigou2003.com/" </w:instrText>
      </w:r>
      <w:r>
        <w:rPr>
          <w:rFonts w:hint="eastAsia" w:ascii="宋体" w:hAnsi="宋体" w:cs="宋体"/>
          <w:color w:val="000000"/>
          <w:sz w:val="24"/>
          <w:highlight w:val="none"/>
        </w:rPr>
        <w:fldChar w:fldCharType="separate"/>
      </w:r>
      <w:r>
        <w:rPr>
          <w:rStyle w:val="918"/>
          <w:rFonts w:hint="eastAsia" w:ascii="宋体" w:hAnsi="宋体" w:cs="宋体"/>
          <w:color w:val="000000"/>
          <w:sz w:val="24"/>
          <w:highlight w:val="none"/>
        </w:rPr>
        <w:t xml:space="preserve">政府采购</w:t>
      </w:r>
      <w:r>
        <w:rPr>
          <w:rStyle w:val="918"/>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（10）处理与评标有关的其他事项。</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2.评标委员会负责具体评标事务，并独立履行下列职责：</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（1）审查、评价投标文件是否符合招标文件的商务、技术等实质性要求；</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（2）要求投标人对投标文件有关事项作出澄清或者说明；</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（3）对投标文件进行比较和评价；</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（4）确定中标候选人名单，以及根据采购人委托直接确定中标人；</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（5）向采购人、采购代理机构或有关部门报告评标中发现的违法行为。</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（二十七）评标方法分为最低评标价法和综合评分法。</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（二十八）评标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1.评标工作程序：</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（1）投标文件初审。</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①资格性审查。</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②符合性审查。</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（2）澄清有关问题。</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（3）比较与评价。</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（4）推荐中标候选供应商名单。</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（5）编写评审报告（评标报告）。</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\o "http://lilun.caigou2003.com/recijiedu/2365668.html" </w:instrText>
      </w:r>
      <w:r>
        <w:rPr>
          <w:rFonts w:hint="eastAsia" w:ascii="宋体" w:hAnsi="宋体" w:cs="宋体"/>
          <w:color w:val="000000"/>
          <w:sz w:val="24"/>
          <w:highlight w:val="none"/>
        </w:rPr>
        <w:fldChar w:fldCharType="separate"/>
      </w:r>
      <w:r>
        <w:rPr>
          <w:rStyle w:val="918"/>
          <w:rFonts w:hint="eastAsia" w:ascii="宋体" w:hAnsi="宋体" w:cs="宋体"/>
          <w:color w:val="000000"/>
          <w:sz w:val="24"/>
          <w:highlight w:val="none"/>
        </w:rPr>
        <w:t xml:space="preserve">最低评标价法</w:t>
      </w:r>
      <w:r>
        <w:rPr>
          <w:rStyle w:val="918"/>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"http://lilun.caigou2003.com/recijiedu/2365667.html" \o "http://lilun.caigou2003.com/recijiedu/2365667.html" </w:instrText>
      </w:r>
      <w:r>
        <w:rPr>
          <w:rFonts w:hint="eastAsia" w:ascii="宋体" w:hAnsi="宋体" w:cs="宋体"/>
          <w:color w:val="000000"/>
          <w:sz w:val="24"/>
          <w:highlight w:val="none"/>
        </w:rPr>
        <w:fldChar w:fldCharType="separate"/>
      </w:r>
      <w:r>
        <w:rPr>
          <w:rStyle w:val="918"/>
          <w:rFonts w:hint="eastAsia" w:ascii="宋体" w:hAnsi="宋体" w:cs="宋体"/>
          <w:color w:val="000000"/>
          <w:sz w:val="24"/>
          <w:highlight w:val="none"/>
        </w:rPr>
        <w:t xml:space="preserve">综合评分法</w:t>
      </w:r>
      <w:r>
        <w:rPr>
          <w:rStyle w:val="918"/>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非单一产品采购项目，多家投标人提供的核心产品品牌相同的，按前两款规定处理。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（二十九）投标文件报价出现前后不一致的，按照下列规定修正：</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2.大写金额和小写金额不一致的，以大写金额为准；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3.单价金额小数点或者百分比有明显错位的，以开标一览表的总价为准，并修改单价；</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4.总价金额与按单价合计金额不一致的，以单价金额计算结果为准。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（三十）实施政府采购异常低价审查的有关要求：</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（一）评审中出现下列情形之一的，评审（评标）委员会应当启动异常低价投标（响应）审查程序：</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1.投标（响应）报价低于全部通过符合性审查供应商投标（响应）报价平均值</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，即投标（响应）报价&lt;全部通过符合性审查供应商投标（响应）报价平均值</w:t>
      </w:r>
      <w:r>
        <w:rPr>
          <w:rFonts w:hint="eastAsia" w:ascii="宋体" w:hAnsi="宋体" w:cs="宋体"/>
          <w:b/>
          <w:bCs/>
          <w:color w:val="000000"/>
          <w:sz w:val="24"/>
          <w:highlight w:val="none"/>
        </w:rPr>
        <w:t xml:space="preserve">×50%；</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2.投标（响应）报价低于通过符合性审查的次低报价供应商投标（响应）报价</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，即投标（响应）报价&lt;通过符合性审查的次低报价供应商投标（响应）报价</w:t>
      </w:r>
      <w:r>
        <w:rPr>
          <w:rFonts w:hint="eastAsia" w:ascii="宋体" w:hAnsi="宋体" w:cs="宋体"/>
          <w:b/>
          <w:bCs/>
          <w:color w:val="000000"/>
          <w:sz w:val="24"/>
          <w:highlight w:val="none"/>
        </w:rPr>
        <w:t xml:space="preserve">×50%；</w:t>
      </w:r>
      <w:r>
        <w:rPr>
          <w:highlight w:val="none"/>
        </w:rPr>
      </w:r>
      <w:r/>
    </w:p>
    <w:p>
      <w:pPr>
        <w:ind w:firstLine="48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highlight w:val="none"/>
        </w:rPr>
        <w:t xml:space="preserve">45%的，</w:t>
      </w:r>
      <w:r>
        <w:rPr>
          <w:rFonts w:hint="eastAsia" w:ascii="宋体" w:hAnsi="宋体" w:cs="宋体"/>
          <w:color w:val="000000"/>
          <w:sz w:val="24"/>
          <w:highlight w:val="none"/>
        </w:rPr>
        <w:t xml:space="preserve">即投标（响应）报价&lt;采购项目最高限价</w:t>
      </w:r>
      <w:r>
        <w:rPr>
          <w:rFonts w:hint="eastAsia" w:ascii="宋体" w:hAnsi="宋体" w:cs="宋体"/>
          <w:b/>
          <w:bCs/>
          <w:color w:val="000000"/>
          <w:sz w:val="24"/>
          <w:highlight w:val="none"/>
        </w:rPr>
        <w:t xml:space="preserve">×45%；</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4.评审（评标）委员会基于专业判断，认为供应商报价过低，有可能影响产品质量或者不能诚信履约的其他情形。</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相关法律法规对供应商报价有规定的，从其规定。</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highlight w:val="none"/>
        </w:rPr>
        <w:t xml:space="preserve">其中，属于第3项情形，供应商已随投标（响应）文件一并提交相关书面说明及必要的证明材料的，在评审现场可不再重复提交。</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（三十二）废标条款：</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出现下列情形之一的，应予废标。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1.符合专业条件的供应商或者对招标文件作实质响应的供应商不足三家的；</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2.出现影响采购公正的违法、违规行为的；</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3.投标人的报价均超过了采购预算，采购人不能支付的；</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4.因重大变故，采购任务取消的。</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六、定标</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（三十三）采购代理机构应当在评标结束后2个工作日内将评标报告送采购人。</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七、政府采购合同</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（三十六）签订政府采购合同（合同签订方式）：</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采购人不得向中标人提出任何不合理的要求作为签订合同的条件。</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（三十八）履约保证金：详见《第三章 投标资料表》。</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（三十九）腐败和欺诈行为：</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（1）腐败和欺诈行为的含义：</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（2）如果被推荐的中标人有腐败和欺诈行为，将取消其中标资格。</w:t>
      </w:r>
      <w:r>
        <w:rPr>
          <w:highlight w:val="none"/>
        </w:rPr>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八、询问和质疑</w:t>
      </w:r>
      <w:r>
        <w:rPr>
          <w:highlight w:val="none"/>
        </w:rPr>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（四十）询问和质疑</w:t>
      </w:r>
      <w:r>
        <w:rPr>
          <w:highlight w:val="none"/>
        </w:rPr>
      </w:r>
      <w:r/>
    </w:p>
    <w:p>
      <w:pPr>
        <w:ind w:firstLine="480"/>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highlight w:val="none"/>
        </w:rPr>
        <w:t xml:space="preserve"> </w:t>
      </w:r>
      <w:r>
        <w:rPr>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九、电子招标投标交易平台</w:t>
      </w:r>
      <w:r>
        <w:rPr>
          <w:highlight w:val="none"/>
        </w:rPr>
      </w:r>
      <w:r/>
    </w:p>
    <w:p>
      <w:pPr>
        <w:ind w:firstLine="480"/>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（四十一）电子招标投标交易平台（即“苏采云”系统，网址：http://jszfcg.jsczt.cn/）相关要求是本招标文件的组成部分。</w:t>
      </w:r>
      <w:r>
        <w:rPr>
          <w:rFonts w:hint="eastAsia" w:ascii="宋体" w:hAnsi="宋体" w:cs="宋体"/>
          <w:color w:val="000000"/>
          <w:highlight w:val="none"/>
        </w:rPr>
        <w:br w:type="page" w:clear="all"/>
      </w:r>
      <w:r>
        <w:rPr>
          <w:highlight w:val="none"/>
        </w:rPr>
      </w:r>
      <w:r/>
    </w:p>
    <w:p>
      <w:pPr>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第三章 投标资料表</w:t>
      </w:r>
      <w:r>
        <w:rPr>
          <w:highlight w:val="none"/>
        </w:rPr>
      </w:r>
      <w:r/>
    </w:p>
    <w:p>
      <w:pPr>
        <w:ind w:firstLine="6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rPr>
          <w:highlight w:val="none"/>
        </w:rPr>
      </w:r>
      <w:r/>
    </w:p>
    <w:tbl>
      <w:tblPr>
        <w:tblStyle w:val="795"/>
        <w:tblW w:w="55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8148"/>
      </w:tblGrid>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条款项号</w:t>
            </w:r>
            <w:r>
              <w:rPr>
                <w:highlight w:val="none"/>
              </w:rPr>
            </w:r>
            <w:r/>
          </w:p>
        </w:tc>
        <w:tc>
          <w:tcPr>
            <w:tcMar>
              <w:left w:w="108" w:type="dxa"/>
              <w:top w:w="0" w:type="dxa"/>
              <w:right w:w="108" w:type="dxa"/>
              <w:bottom w:w="0" w:type="dxa"/>
            </w:tcMar>
            <w:tcW w:w="8376"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内 容</w:t>
            </w:r>
            <w:r>
              <w:rPr>
                <w:highlight w:val="none"/>
              </w:rPr>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总则</w:t>
            </w:r>
            <w:r>
              <w:rPr>
                <w:highlight w:val="none"/>
              </w:rPr>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徐州市丰县生态环境局</w:t>
            </w:r>
            <w:r>
              <w:rPr>
                <w:highlight w:val="none"/>
              </w:rPr>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本次采购采用的政府采购方式：公开招标</w:t>
            </w:r>
            <w:r>
              <w:rPr>
                <w:highlight w:val="none"/>
              </w:rPr>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采购人确定的采购项目属性：货物</w:t>
            </w:r>
            <w:r>
              <w:rPr>
                <w:highlight w:val="none"/>
              </w:rPr>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本项目采购代理机构：</w:t>
            </w:r>
            <w:r>
              <w:rPr>
                <w:rFonts w:hint="eastAsia" w:ascii="宋体" w:hAnsi="宋体" w:cs="宋体"/>
                <w:color w:val="000000"/>
                <w:sz w:val="24"/>
                <w:highlight w:val="none"/>
                <w:lang w:eastAsia="zh-CN"/>
              </w:rPr>
              <w:t xml:space="preserve">徐州晟和工程招标代理有限公司</w:t>
            </w:r>
            <w:r>
              <w:rPr>
                <w:highlight w:val="none"/>
              </w:rPr>
            </w:r>
            <w:r/>
          </w:p>
        </w:tc>
      </w:tr>
      <w:tr>
        <w:trPr>
          <w:jc w:val="center"/>
          <w:trHeight w:val="7332"/>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投标人的资格条件：</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一、符合《中华人民共和国政府采购法》第二十二条的规定；</w:t>
            </w:r>
            <w:r>
              <w:rPr>
                <w:highlight w:val="none"/>
              </w:rPr>
            </w:r>
            <w:r/>
          </w:p>
          <w:p>
            <w:pPr>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bookmarkStart w:id="0" w:name="OLE_LINK17"/>
            <w:r>
              <w:rPr>
                <w:rFonts w:hint="eastAsia" w:ascii="宋体" w:hAnsi="宋体" w:eastAsia="宋体" w:cs="宋体"/>
                <w:b/>
                <w:color w:val="000000"/>
                <w:sz w:val="24"/>
                <w:highlight w:val="none"/>
              </w:rPr>
              <w:t xml:space="preserve">本项目属于专门面向中小微企业采购的项目</w:t>
            </w:r>
            <w:bookmarkEnd w:id="0"/>
            <w:r>
              <w:rPr>
                <w:rFonts w:hint="eastAsia" w:ascii="宋体" w:hAnsi="宋体" w:cs="宋体"/>
                <w:b/>
                <w:color w:val="000000"/>
                <w:sz w:val="24"/>
                <w:highlight w:val="none"/>
                <w:lang w:eastAsia="zh-CN"/>
              </w:rPr>
              <w:t xml:space="preserve">：投标人应为中小微企业、监狱企业、残疾人福利性单位。</w:t>
            </w:r>
            <w:r>
              <w:rPr>
                <w:highlight w:val="none"/>
              </w:rPr>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同时明确相关事项如下：</w:t>
            </w:r>
            <w:r>
              <w:rPr>
                <w:highlight w:val="none"/>
              </w:rPr>
            </w:r>
            <w:r/>
          </w:p>
          <w:p>
            <w:pPr>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1、本项目不接受联合体参与采购活动。</w:t>
            </w:r>
            <w:r>
              <w:rPr>
                <w:highlight w:val="none"/>
              </w:rPr>
            </w:r>
            <w:r/>
          </w:p>
          <w:p>
            <w:pPr>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2、单位负责人为同一人或者存在直接控股、管理关系的不同供应商，不得参加同一合同项下的政府采购活动。</w:t>
            </w:r>
            <w:r>
              <w:rPr>
                <w:highlight w:val="none"/>
              </w:rPr>
            </w:r>
            <w:r/>
          </w:p>
          <w:p>
            <w:pPr>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3、为本采购项目提供整体设计、规范编制或者项目管理、监理、检测等服务的供应商，不得再参加本采购项目的采购活动。</w:t>
            </w:r>
            <w:r>
              <w:rPr>
                <w:highlight w:val="none"/>
              </w:rPr>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三、查询及使用供应商信用记录：</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由采购人查询信用信息。</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查询渠道包括：</w:t>
            </w:r>
            <w:r>
              <w:rPr>
                <w:highlight w:val="none"/>
              </w:rPr>
            </w:r>
            <w:r/>
          </w:p>
          <w:p>
            <w:pPr>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1、“信用中国”网（www.creditchina.gov.cn）；</w:t>
            </w:r>
            <w:r>
              <w:rPr>
                <w:highlight w:val="none"/>
              </w:rPr>
            </w:r>
            <w:r/>
          </w:p>
          <w:p>
            <w:pPr>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2、中国政府采购网（www.ccgp.gov.cn）；</w:t>
            </w:r>
            <w:r>
              <w:rPr>
                <w:highlight w:val="none"/>
              </w:rPr>
            </w:r>
            <w:r/>
          </w:p>
          <w:p>
            <w:pPr>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3、“信用江苏”网（http://credit.jiangsu.gov.cn）；</w:t>
            </w:r>
            <w:r>
              <w:rPr>
                <w:highlight w:val="none"/>
              </w:rPr>
            </w:r>
            <w:r/>
          </w:p>
          <w:p>
            <w:pPr>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4、“信用中国（江苏徐州）”（http://www.xuzhoucredit.gov.cn）；</w:t>
            </w:r>
            <w:r>
              <w:rPr>
                <w:highlight w:val="none"/>
              </w:rPr>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截止时点（查询环节）：开标后资格审查结束前。</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信用信息查询记录和证据留存的具体方式：网页截屏打印，与其他采购文件一并保存。</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信用信息的使用规则：</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none"/>
              </w:rPr>
            </w:r>
            <w:r/>
          </w:p>
        </w:tc>
      </w:tr>
      <w:tr>
        <w:trPr>
          <w:jc w:val="center"/>
          <w:trHeight w:val="745"/>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招标代理服务费由</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人支付。标准按《招标代理服务收费标准》收取（见附件）。</w:t>
            </w:r>
            <w:r>
              <w:rPr>
                <w:highlight w:val="none"/>
              </w:rPr>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招标</w:t>
            </w:r>
            <w:r>
              <w:rPr>
                <w:highlight w:val="none"/>
              </w:rPr>
            </w:r>
            <w:r/>
          </w:p>
        </w:tc>
      </w:tr>
      <w:tr>
        <w:trPr>
          <w:jc w:val="center"/>
          <w:trHeight w:val="150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(九)1</w:t>
            </w:r>
            <w:r>
              <w:rPr>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highlight w:val="none"/>
              </w:rPr>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(九)2</w:t>
            </w:r>
            <w:r>
              <w:rPr>
                <w:highlight w:val="none"/>
              </w:rPr>
            </w:r>
            <w:r/>
          </w:p>
        </w:tc>
        <w:tc>
          <w:tcPr>
            <w:tcMar>
              <w:left w:w="108" w:type="dxa"/>
              <w:top w:w="0" w:type="dxa"/>
              <w:right w:w="108" w:type="dxa"/>
              <w:bottom w:w="0" w:type="dxa"/>
            </w:tcMar>
            <w:tcW w:w="8376" w:type="dxa"/>
            <w:vAlign w:val="top"/>
            <w:textDirection w:val="lrTb"/>
            <w:noWrap w:val="false"/>
          </w:tcPr>
          <w:p>
            <w:pPr>
              <w:tabs>
                <w:tab w:val="left" w:pos="576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自行现场勘察。</w:t>
            </w:r>
            <w:r>
              <w:rPr>
                <w:highlight w:val="none"/>
              </w:rPr>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(九)3</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不安排开标前答疑会。</w:t>
            </w:r>
            <w:r>
              <w:rPr>
                <w:highlight w:val="none"/>
              </w:rPr>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w:t>
            </w:r>
            <w:r>
              <w:rPr>
                <w:highlight w:val="none"/>
              </w:rPr>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投标文件的语言为中文</w:t>
            </w:r>
            <w:r>
              <w:rPr>
                <w:highlight w:val="none"/>
              </w:rPr>
            </w:r>
            <w:r/>
          </w:p>
        </w:tc>
      </w:tr>
      <w:tr>
        <w:trPr>
          <w:jc w:val="center"/>
          <w:trHeight w:val="472"/>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(十二)1</w:t>
            </w:r>
            <w:r>
              <w:rPr>
                <w:highlight w:val="none"/>
              </w:rPr>
            </w:r>
            <w:r/>
          </w:p>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(十二)2</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线上投标文件编制要求：</w:t>
            </w:r>
            <w:r>
              <w:rPr>
                <w:highlight w:val="none"/>
              </w:rPr>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请按照以下要求（包括但不限于以下要求）制作：</w:t>
            </w:r>
            <w:r>
              <w:rPr>
                <w:highlight w:val="none"/>
              </w:rPr>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rPr>
                <w:highlight w:val="none"/>
              </w:rPr>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1、《开标一览表》（加盖电子签章，政府采购客户端工具输入报价自动生成）；</w:t>
            </w:r>
            <w:r>
              <w:rPr>
                <w:highlight w:val="none"/>
              </w:rPr>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2、所投产品的环境标志产品认证证书原件的扫描件（如有）。</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（2）环境标志产品认证证书是否符合要求，采购人评标时查询中国政府采购网（www.ccgp.gov.cn）相关内容后确定。</w:t>
            </w:r>
            <w:r>
              <w:rPr>
                <w:highlight w:val="none"/>
              </w:rPr>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3、所投产品的节能产品认证证书原件的扫描件（如有）。</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（2）节能产品认证证书是否符合要求，采购人评标时查询中国政府采购网（www.ccgp.gov.cn）相关内容后确定。</w:t>
            </w:r>
            <w:r>
              <w:rPr>
                <w:highlight w:val="none"/>
              </w:rPr>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4、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highlight w:val="none"/>
              </w:rPr>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highlight w:val="none"/>
              </w:rPr>
            </w:r>
            <w:bookmarkStart w:id="5" w:name="_GoBack"/>
            <w:r>
              <w:rPr>
                <w:highlight w:val="none"/>
              </w:rPr>
            </w:r>
            <w:bookmarkEnd w:id="5"/>
            <w:r>
              <w:rPr>
                <w:rFonts w:hint="eastAsia" w:ascii="宋体" w:hAnsi="宋体" w:cs="宋体"/>
                <w:b/>
                <w:color w:val="000000"/>
                <w:sz w:val="24"/>
                <w:highlight w:val="none"/>
                <w:lang w:val="en-US" w:eastAsia="zh-CN"/>
              </w:rPr>
              <w:t xml:space="preserve">5、投标人认为制作投标文件需要提供的其他材料(如有）</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二、资格条件（必须提供，否则投标将被拒绝）</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（一）投标人合法有效的营业执照扫描件，或事业单位法人证书扫描件，或民办非企业单位登记证书扫描件；</w:t>
            </w:r>
            <w:r>
              <w:rPr>
                <w:highlight w:val="none"/>
              </w:rPr>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（二）财务状况报告（即提供投标人的本项目开标时间（不含开标当月）前6个月内任何时间的</w:t>
            </w:r>
            <w:r>
              <w:rPr>
                <w:rFonts w:hint="eastAsia" w:ascii="宋体" w:hAnsi="宋体" w:cs="宋体"/>
                <w:b/>
                <w:color w:val="000000"/>
                <w:sz w:val="24"/>
                <w:highlight w:val="none"/>
              </w:rPr>
              <w:t xml:space="preserve">资产负债表、利润表扫描件各一份</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提供投标人2025年度</w:t>
            </w:r>
            <w:r>
              <w:rPr>
                <w:rFonts w:hint="eastAsia" w:ascii="宋体" w:hAnsi="宋体" w:cs="宋体"/>
                <w:b/>
                <w:bCs/>
                <w:color w:val="000000"/>
                <w:sz w:val="24"/>
                <w:highlight w:val="none"/>
              </w:rPr>
              <w:t xml:space="preserve">经审计</w:t>
            </w:r>
            <w:r>
              <w:rPr>
                <w:rFonts w:hint="eastAsia" w:ascii="宋体" w:hAnsi="宋体" w:cs="宋体"/>
                <w:color w:val="000000"/>
                <w:sz w:val="24"/>
                <w:highlight w:val="none"/>
              </w:rPr>
              <w:t xml:space="preserve">的财务报告扫描件一份；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财政部门认可的政府采购专业担保机构出具的有效的投标担保函扫描件一份；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投标人的本项目开标时间（不含开标当月）前6个月内银行出具的</w:t>
            </w:r>
            <w:r>
              <w:rPr>
                <w:rFonts w:hint="eastAsia" w:ascii="宋体" w:hAnsi="宋体" w:cs="宋体"/>
                <w:b/>
                <w:color w:val="000000"/>
                <w:sz w:val="24"/>
                <w:highlight w:val="none"/>
              </w:rPr>
              <w:t xml:space="preserve">资信证明扫描件</w:t>
            </w:r>
            <w:r>
              <w:rPr>
                <w:rFonts w:hint="eastAsia" w:ascii="宋体" w:hAnsi="宋体" w:cs="宋体"/>
                <w:color w:val="000000"/>
                <w:sz w:val="24"/>
                <w:highlight w:val="none"/>
              </w:rPr>
              <w:t xml:space="preserve">一份）；</w:t>
            </w:r>
            <w:r>
              <w:rPr>
                <w:highlight w:val="none"/>
              </w:rPr>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（三）投标人的本项目开标时间（不含开标当月）前6个月内任何</w:t>
            </w: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rPr>
              <w:t xml:space="preserve">的</w:t>
            </w:r>
            <w:r>
              <w:rPr>
                <w:rFonts w:hint="eastAsia" w:ascii="宋体" w:hAnsi="宋体" w:cs="宋体"/>
                <w:b/>
                <w:color w:val="000000"/>
                <w:sz w:val="24"/>
                <w:highlight w:val="none"/>
              </w:rPr>
              <w:t xml:space="preserve">依法缴纳税收扫描件和社会保障资金扫描件</w:t>
            </w:r>
            <w:r>
              <w:rPr>
                <w:rFonts w:hint="eastAsia" w:ascii="宋体" w:hAnsi="宋体" w:cs="宋体"/>
                <w:color w:val="000000"/>
                <w:sz w:val="24"/>
                <w:highlight w:val="none"/>
              </w:rPr>
              <w:t xml:space="preserve">的相关材料</w:t>
            </w:r>
            <w:r>
              <w:rPr>
                <w:rFonts w:hint="eastAsia" w:ascii="宋体" w:hAnsi="宋体" w:cs="宋体"/>
                <w:b/>
                <w:color w:val="000000"/>
                <w:sz w:val="24"/>
                <w:highlight w:val="none"/>
              </w:rPr>
              <w:t xml:space="preserve">各一份</w:t>
            </w:r>
            <w:r>
              <w:rPr>
                <w:rFonts w:hint="eastAsia" w:ascii="宋体" w:hAnsi="宋体" w:cs="宋体"/>
                <w:color w:val="000000"/>
                <w:sz w:val="24"/>
                <w:highlight w:val="none"/>
              </w:rPr>
              <w:t xml:space="preserve">（依法免税或不需要缴纳社会保障资金的供应商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提供相应文件扫描件证明其依法免税或不需要缴纳社会保障资金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highlight w:val="none"/>
              </w:rPr>
            </w:r>
            <w:r/>
          </w:p>
          <w:p>
            <w:pPr>
              <w:ind w:right="28" w:firstLine="480"/>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（四）具备履行合同所必需的设备和专业技术能力的证明材料。</w:t>
            </w:r>
            <w:r>
              <w:rPr>
                <w:rFonts w:hint="eastAsia" w:ascii="宋体" w:hAnsi="宋体" w:cs="宋体"/>
                <w:b/>
                <w:bCs/>
                <w:color w:val="000000"/>
                <w:sz w:val="24"/>
                <w:highlight w:val="none"/>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000000"/>
                <w:sz w:val="24"/>
                <w:highlight w:val="none"/>
                <w:lang w:eastAsia="zh-CN"/>
              </w:rPr>
              <w:t xml:space="preserve">；</w:t>
            </w:r>
            <w:r>
              <w:rPr>
                <w:highlight w:val="none"/>
              </w:rPr>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（五）投标人参加政府采购活动前3年内在经营活动中没有重大违法记录的书面声明，加盖</w:t>
            </w:r>
            <w:r>
              <w:rPr>
                <w:rFonts w:hint="eastAsia" w:ascii="宋体" w:hAnsi="宋体" w:cs="宋体"/>
                <w:b/>
                <w:color w:val="000000"/>
                <w:sz w:val="24"/>
                <w:highlight w:val="none"/>
              </w:rPr>
              <w:t xml:space="preserve">电子签章</w:t>
            </w:r>
            <w:r>
              <w:rPr>
                <w:rFonts w:hint="eastAsia" w:ascii="宋体" w:hAnsi="宋体" w:cs="宋体"/>
                <w:color w:val="000000"/>
                <w:sz w:val="24"/>
                <w:highlight w:val="none"/>
              </w:rPr>
              <w:t xml:space="preserve">，格式见本文件第七章《投标文件相关格式》</w:t>
            </w:r>
            <w:r>
              <w:rPr>
                <w:rFonts w:hint="eastAsia" w:ascii="宋体" w:hAnsi="宋体" w:cs="宋体"/>
                <w:color w:val="000000"/>
                <w:sz w:val="24"/>
                <w:highlight w:val="none"/>
                <w:lang w:eastAsia="zh-CN"/>
              </w:rPr>
              <w:t xml:space="preserve">；</w:t>
            </w:r>
            <w:r>
              <w:rPr>
                <w:highlight w:val="none"/>
              </w:rPr>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六）本项目属于专门面向中小微企业采购的项目，投标人提供的货物全部由符合政策要求的中小企业制造的，提供《中小企业声明函》（加盖电子签章，填写完整。格式见招标文件第七章《投标文件相关格式》）；</w:t>
            </w:r>
            <w:r>
              <w:rPr>
                <w:highlight w:val="none"/>
              </w:rPr>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《中小企业声明函》查询渠道参考工业和信息化部发布的中小企业规模自测小程序。中小企业规模自测小程序详见《中小企业声明函》。</w:t>
            </w:r>
            <w:r>
              <w:rPr>
                <w:highlight w:val="none"/>
              </w:rPr>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highlight w:val="none"/>
              </w:rPr>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highlight w:val="none"/>
              </w:rPr>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残疾人福利性单位的，视同小微企业，提供《残疾人福利性单位声明函》（加盖电子签章，格式见招标文件第七章《投标文件相关格式》）。具体以《关于促进残疾人就业政府采购政策的通知》（财库〔2017〕141号）的规定为准。</w:t>
            </w:r>
            <w:r>
              <w:rPr>
                <w:highlight w:val="none"/>
              </w:rPr>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highlight w:val="none"/>
              </w:rPr>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三、符合条件</w:t>
            </w:r>
            <w:r>
              <w:rPr>
                <w:rFonts w:hint="eastAsia" w:ascii="宋体" w:hAnsi="宋体" w:eastAsia="宋体" w:cs="宋体"/>
                <w:b/>
                <w:bCs/>
                <w:color w:val="000000"/>
                <w:sz w:val="24"/>
                <w:szCs w:val="24"/>
                <w:highlight w:val="none"/>
              </w:rPr>
              <w:t xml:space="preserve">（必须提供，否则投标无效</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highlight w:val="none"/>
              </w:rPr>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(一)报价</w:t>
            </w:r>
            <w:r>
              <w:rPr>
                <w:highlight w:val="none"/>
              </w:rPr>
            </w:r>
            <w:r/>
          </w:p>
          <w:p>
            <w:pPr>
              <w:ind w:firstLine="482"/>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报价符合性审查</w:t>
            </w:r>
            <w:r>
              <w:rPr>
                <w:rFonts w:hint="eastAsia" w:ascii="宋体" w:hAnsi="宋体" w:cs="宋体"/>
                <w:b/>
                <w:bCs/>
                <w:color w:val="000000"/>
                <w:sz w:val="24"/>
                <w:highlight w:val="none"/>
                <w:lang w:eastAsia="zh-CN"/>
              </w:rPr>
              <w:t xml:space="preserve">》</w:t>
            </w:r>
            <w:r>
              <w:rPr>
                <w:rFonts w:hint="eastAsia" w:ascii="宋体" w:hAnsi="宋体" w:cs="宋体"/>
                <w:b w:val="0"/>
                <w:bCs w:val="0"/>
                <w:color w:val="000000"/>
                <w:sz w:val="24"/>
                <w:highlight w:val="none"/>
                <w:lang w:eastAsia="zh-CN"/>
              </w:rPr>
              <w:t xml:space="preserve">属于投标（响应）报价低于采购项目最高限价45%的，即投标（响应）报价&lt;采购项目最高限价×45%，供应商可随投标（响应）文件一并提交相关书面说明及必要的证明材料。</w:t>
            </w:r>
            <w:r>
              <w:rPr>
                <w:highlight w:val="none"/>
              </w:rPr>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《开标一览表》</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rPr>
                <w:highlight w:val="none"/>
              </w:rPr>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、《分项价格表》</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rPr>
                <w:highlight w:val="none"/>
              </w:rPr>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（二）商务资信</w:t>
            </w:r>
            <w:r>
              <w:rPr>
                <w:highlight w:val="none"/>
              </w:rPr>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1、《投标函》</w:t>
            </w:r>
            <w:r>
              <w:rPr>
                <w:rFonts w:hint="eastAsia" w:ascii="宋体" w:hAnsi="宋体" w:cs="宋体"/>
                <w:color w:val="000000"/>
                <w:sz w:val="24"/>
                <w:highlight w:val="none"/>
              </w:rPr>
              <w:t xml:space="preserve">（加盖电子签章，格式见招标文件第七章《投标文件相关格式》。）</w:t>
            </w:r>
            <w:r>
              <w:rPr>
                <w:highlight w:val="none"/>
              </w:rPr>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color w:val="000000"/>
                <w:sz w:val="24"/>
                <w:highlight w:val="none"/>
              </w:rPr>
              <w:t xml:space="preserve">《授权委托书》</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（法定代表人参与投标的须提供法定代表人身份证明书，不需要单独提供授权委托书）。</w:t>
            </w:r>
            <w:r>
              <w:rPr>
                <w:highlight w:val="none"/>
              </w:rPr>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（三）技术响应</w:t>
            </w:r>
            <w:r>
              <w:rPr>
                <w:highlight w:val="none"/>
              </w:rPr>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1、《偏离表》</w:t>
            </w:r>
            <w:r>
              <w:rPr>
                <w:rFonts w:hint="eastAsia" w:ascii="宋体" w:hAnsi="宋体" w:cs="宋体"/>
                <w:color w:val="000000"/>
                <w:sz w:val="24"/>
                <w:highlight w:val="none"/>
              </w:rPr>
              <w:t xml:space="preserve">（加盖电子签章，格式见招标文件第七章《投标文件相关格式》。）</w:t>
            </w:r>
            <w:r>
              <w:rPr>
                <w:highlight w:val="none"/>
              </w:rPr>
            </w:r>
            <w:r/>
          </w:p>
          <w:p>
            <w:pPr>
              <w:ind w:firstLine="482"/>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2、采购需求中标“</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为本次采购的核心参数需提供相关检测报告原件扫描件并在本参数处做明确标识，否则视为没有实质性响应招标文件</w:t>
            </w:r>
            <w:r>
              <w:rPr>
                <w:rFonts w:hint="eastAsia" w:ascii="宋体" w:hAnsi="宋体" w:cs="宋体"/>
                <w:color w:val="auto"/>
                <w:sz w:val="24"/>
                <w:szCs w:val="24"/>
                <w:highlight w:val="none"/>
                <w:lang w:val="en-US" w:eastAsia="zh-CN"/>
              </w:rPr>
              <w:t xml:space="preserve">。（加盖电子签章）</w:t>
            </w:r>
            <w:r>
              <w:rPr>
                <w:highlight w:val="none"/>
              </w:rPr>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rPr>
                <w:highlight w:val="none"/>
              </w:rPr>
            </w:r>
            <w:r/>
          </w:p>
          <w:p>
            <w:pPr>
              <w:numPr>
                <w:ilvl w:val="0"/>
                <w:numId w:val="2"/>
              </w:num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综合评审评分项</w:t>
            </w:r>
            <w:r>
              <w:rPr>
                <w:highlight w:val="none"/>
              </w:rPr>
            </w:r>
            <w:r/>
          </w:p>
          <w:p>
            <w:pPr>
              <w:numPr>
                <w:ilvl w:val="0"/>
                <w:numId w:val="0"/>
              </w:num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（一）技术部分</w:t>
            </w:r>
            <w:r>
              <w:rPr>
                <w:highlight w:val="none"/>
              </w:rPr>
            </w:r>
            <w:r/>
          </w:p>
          <w:p>
            <w:pPr>
              <w:ind w:firstLine="482"/>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要求见招标文件第六章《采购需求》及第四章《评标标准》中《评分细则》；</w:t>
            </w:r>
            <w:r>
              <w:rPr>
                <w:highlight w:val="none"/>
              </w:rPr>
            </w:r>
            <w:r/>
          </w:p>
          <w:p>
            <w:pPr>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商务部分</w:t>
            </w:r>
            <w:r>
              <w:rPr>
                <w:highlight w:val="none"/>
              </w:rPr>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要求见招标文件第六章《采购需求》及第四章《评标标准》中《评分细则》</w:t>
            </w:r>
            <w:r>
              <w:rPr>
                <w:highlight w:val="none"/>
              </w:rPr>
            </w:r>
            <w:r/>
          </w:p>
          <w:p>
            <w:pPr>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五、其他部分</w:t>
            </w:r>
            <w:r>
              <w:rPr>
                <w:highlight w:val="none"/>
              </w:rPr>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投标人《关于符合本国产品标准的声明函》（填写完整，加盖公章，格式见招标文件第七章《投标文件相关格式》）</w:t>
            </w:r>
            <w:r>
              <w:rPr>
                <w:rFonts w:hint="eastAsia" w:ascii="宋体" w:hAnsi="宋体" w:cs="宋体"/>
                <w:color w:val="000000"/>
                <w:sz w:val="24"/>
                <w:highlight w:val="none"/>
              </w:rPr>
              <w:t xml:space="preserve">（请填写完整，如不填写完整或未按要求填写的，视为非本国产品）</w:t>
            </w:r>
            <w:r>
              <w:rPr>
                <w:rFonts w:hint="eastAsia" w:ascii="宋体" w:hAnsi="宋体" w:cs="宋体"/>
                <w:bCs/>
                <w:color w:val="000000"/>
                <w:sz w:val="24"/>
                <w:highlight w:val="none"/>
              </w:rPr>
              <w:t xml:space="preserve">。</w:t>
            </w:r>
            <w:r>
              <w:rPr>
                <w:highlight w:val="none"/>
              </w:rPr>
            </w:r>
            <w:r/>
          </w:p>
          <w:p>
            <w:pPr>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1、本国产品应当符合以下条件：</w:t>
            </w:r>
            <w:r>
              <w:rPr>
                <w:highlight w:val="none"/>
              </w:rPr>
            </w:r>
            <w:r/>
          </w:p>
          <w:p>
            <w:pPr>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（一）在中国境内生产</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产品应当在中国境内生产，即在中华人民共和国关境内实现从原材料、组件到产品的属性改变。</w:t>
            </w:r>
            <w:r>
              <w:rPr>
                <w:highlight w:val="none"/>
              </w:rPr>
            </w:r>
            <w:r/>
          </w:p>
          <w:p>
            <w:pP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属性改变是指经过制造、加工或者组装等工序，产生完全不同于原材料、组件的新产品，并具有新的名称和特征（用途）。属性改变不包括以下细微操作：</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1.为确保产品在运输或者储存期间保持某种状态而进行的操作；</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2.为产品运输或者销售进行的包装或者展示；</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3.在产品或者其包装上粘贴或者印刷品牌、标志、标识以及其他用于区别的标记；</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4.简单的上漆、磨光和分装；</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5.其他不属于属性改变的情形。</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（二）在中国境内生产的组件成本占比达到规定比例</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产品在中国境内生产的组件成本占比应当达到规定比例，计算公式为：</w:t>
            </w:r>
            <w:r>
              <w:rPr>
                <w:highlight w:val="none"/>
              </w:rPr>
            </w:r>
            <w:r/>
          </w:p>
          <w:p>
            <w:pPr>
              <w:jc w:val="cente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3275965" cy="4953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7" o:title=""/>
                    </v:shape>
                  </w:pict>
                </mc:Fallback>
              </mc:AlternateConten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（三）特定产品的关键组件、关键工序符合相关要求</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2、本国产品标准的适用范围</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3、对本国产品的支持政策</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具体以《国务院办公厅关于在政府采购中实施本国产品标准及相关政策的通知》（国办发〔2025〕34号）规定为准。</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注：中国境内生产的组件成本核算基本规则</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一、产品的一级组件是指直接组成产品的组件。产品的二级组件是指直接组成产品一级组件的组件。一级组件不可分解的，视同二级组件。</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二、二级组件在中国境内生产的，其全部成本计入中国境内生产的组件成本；二级组件不在中国境内生产的，其成本不计入中国境内生产的组件成本。</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三、产品总成本和组件成本以相关会计核算数据、采购合同、进货记录等为基础进行计算。</w:t>
            </w:r>
            <w:r>
              <w:rPr>
                <w:highlight w:val="none"/>
              </w:rPr>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四、需要对成本核算规则予以进一步明确的其他有关事项，由财政部会同有关部门另行规定。</w:t>
            </w:r>
            <w:r>
              <w:rPr>
                <w:highlight w:val="none"/>
              </w:rPr>
            </w:r>
            <w:r/>
          </w:p>
          <w:p>
            <w:pPr>
              <w:pStyle w:val="815"/>
              <w:ind w:left="0" w:right="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（二）企业报价折扣证明：</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投标人提供的货物全部由符合政策要求的中小企业制造的，提供《中小企业声明函》（填写完整，加盖电子签章，格式见招标文件第七章《投标文件相关格式》）。 </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《中小企业声明函》查询渠道参考工业和信息化部发布的中小企业规模自测小程序。中小企业规模自测小程序详见《中小企业声明函》。</w:t>
            </w:r>
            <w:r>
              <w:rPr>
                <w:highlight w:val="none"/>
              </w:rPr>
            </w:r>
            <w:r/>
          </w:p>
          <w:p>
            <w:pPr>
              <w:pStyle w:val="815"/>
              <w:ind w:left="0" w:right="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2、监狱企业制造的，提供省级以上监狱管理局、戒毒管理局（含新疆生产建设兵团）出具的属于监狱企业的证明文件原件的扫描件。</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3、享受政府采购支持政策的残疾人福利性单位制造的，提供《残疾人福利性单位声明函》（加盖电子签章，格式见招标文件第七章《投标文件相关格式》）。</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享受政府采购支持政策的残疾人福利性单位应当同时满足以下条件：</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①安置的残疾人占本单位在职职工人数的比例不低于25%（含25%），并且安置的残疾人人数不少于10人（含10人）；</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②依法与安置的每位残疾人签订了一年以上（含一年）的劳动合同或服务协议；</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③为安置的每位残疾人按月足额缴纳了基本养老保险、基本医疗保险、失业保险、工伤保险和生育保险等社会保险费；</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④通过银行等金融机构向安置的每位残疾人，按月支付了不低于单位所在区县适用的经省级人民政府批准的月最低工资标准的工资；</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⑤提供本单位制造的货物、承担的工程或者服务（以下简称产品），或者提供其他残疾人福利性单位制造的货物（不包括使用非残疾人福利性单位注册商标的货物）。</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pStyle w:val="81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rPr>
                <w:highlight w:val="none"/>
              </w:rPr>
            </w:r>
            <w:r/>
          </w:p>
          <w:p>
            <w:pPr>
              <w:pStyle w:val="800"/>
              <w:rPr>
                <w:rFonts w:hint="eastAsia"/>
                <w:highlight w:val="none"/>
              </w:rPr>
            </w:pPr>
            <w:r>
              <w:rPr>
                <w:rFonts w:hint="eastAsia"/>
                <w:highlight w:val="none"/>
              </w:rPr>
            </w:r>
            <w:r>
              <w:rPr>
                <w:highlight w:val="none"/>
              </w:rPr>
            </w:r>
            <w:r/>
          </w:p>
          <w:p>
            <w:pPr>
              <w:rPr>
                <w:rFonts w:hint="eastAsia" w:ascii="宋体" w:hAnsi="宋体" w:cs="宋体"/>
                <w:color w:val="000000"/>
                <w:sz w:val="24"/>
                <w:highlight w:val="none"/>
              </w:rP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1、投标人应对以上文件的合法性、真实性负责。</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highlight w:val="none"/>
              </w:rPr>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(十三)2</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商务条件见：</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一、本文件第四章《评标标准》中《评分细则》。</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二、本文件第三章《投标资料表》中(十二)1和(十二)2。</w:t>
            </w:r>
            <w:r>
              <w:rPr>
                <w:highlight w:val="none"/>
              </w:rPr>
            </w:r>
            <w:r/>
          </w:p>
        </w:tc>
      </w:tr>
      <w:tr>
        <w:trPr>
          <w:jc w:val="center"/>
          <w:trHeight w:val="669"/>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(十三)3</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交货和提供服务的时间：</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见本文件第五章 《拟签订的合同文本》及本文件第六章《采购需求》。</w:t>
            </w:r>
            <w:r>
              <w:rPr>
                <w:highlight w:val="none"/>
              </w:rPr>
            </w:r>
            <w:r/>
          </w:p>
        </w:tc>
      </w:tr>
      <w:tr>
        <w:trPr>
          <w:jc w:val="center"/>
          <w:trHeight w:val="37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w:t>
            </w:r>
            <w:r>
              <w:rPr>
                <w:highlight w:val="none"/>
              </w:rPr>
            </w:r>
            <w:r/>
          </w:p>
        </w:tc>
        <w:tc>
          <w:tcPr>
            <w:tcMar>
              <w:left w:w="108" w:type="dxa"/>
              <w:top w:w="0" w:type="dxa"/>
              <w:right w:w="108" w:type="dxa"/>
              <w:bottom w:w="0" w:type="dxa"/>
            </w:tcMar>
            <w:tcW w:w="8376" w:type="dxa"/>
            <w:vAlign w:val="top"/>
            <w:textDirection w:val="lrTb"/>
            <w:noWrap w:val="false"/>
          </w:tcPr>
          <w:p>
            <w:pPr>
              <w:ind w:firstLine="482"/>
              <w:jc w:val="left"/>
              <w:rPr>
                <w:rFonts w:hint="eastAsia" w:ascii="宋体" w:hAnsi="宋体" w:cs="宋体"/>
                <w:b/>
                <w:bCs/>
                <w:color w:val="000000"/>
                <w:sz w:val="24"/>
                <w:highlight w:val="none"/>
              </w:rPr>
            </w:pP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总预算为人民币</w:t>
            </w:r>
            <w:r>
              <w:rPr>
                <w:rFonts w:hint="eastAsia" w:ascii="宋体" w:hAnsi="宋体" w:cs="宋体"/>
                <w:b/>
                <w:bCs/>
                <w:color w:val="000000"/>
                <w:sz w:val="24"/>
                <w:szCs w:val="24"/>
                <w:highlight w:val="none"/>
                <w:lang w:val="en-US" w:eastAsia="zh-CN"/>
              </w:rPr>
              <w:t xml:space="preserve">360</w:t>
            </w:r>
            <w:r>
              <w:rPr>
                <w:rFonts w:hint="eastAsia" w:ascii="宋体" w:hAnsi="宋体" w:eastAsia="宋体" w:cs="宋体"/>
                <w:b/>
                <w:bCs/>
                <w:color w:val="000000"/>
                <w:sz w:val="24"/>
                <w:szCs w:val="24"/>
                <w:highlight w:val="none"/>
                <w:lang w:val="en-US" w:eastAsia="zh-CN"/>
              </w:rPr>
              <w:t xml:space="preserve">万元，不接收超过</w:t>
            </w:r>
            <w:r>
              <w:rPr>
                <w:rFonts w:hint="eastAsia" w:ascii="宋体" w:hAnsi="宋体" w:cs="宋体"/>
                <w:b/>
                <w:bCs/>
                <w:color w:val="000000"/>
                <w:sz w:val="24"/>
                <w:szCs w:val="24"/>
                <w:highlight w:val="none"/>
                <w:lang w:val="en-US" w:eastAsia="zh-CN"/>
              </w:rPr>
              <w:t xml:space="preserve">预算金额</w:t>
            </w:r>
            <w:r>
              <w:rPr>
                <w:rFonts w:hint="eastAsia" w:ascii="宋体" w:hAnsi="宋体" w:eastAsia="宋体" w:cs="宋体"/>
                <w:b/>
                <w:bCs/>
                <w:color w:val="000000"/>
                <w:sz w:val="24"/>
                <w:szCs w:val="24"/>
                <w:highlight w:val="none"/>
              </w:rPr>
              <w:t xml:space="preserve">的投标报价</w:t>
            </w:r>
            <w:r>
              <w:rPr>
                <w:rFonts w:hint="eastAsia" w:ascii="宋体" w:hAnsi="宋体" w:cs="宋体"/>
                <w:b/>
                <w:bCs/>
                <w:color w:val="000000"/>
                <w:sz w:val="24"/>
                <w:highlight w:val="none"/>
              </w:rPr>
              <w:t xml:space="preserve">。</w:t>
            </w:r>
            <w:r>
              <w:rPr>
                <w:highlight w:val="none"/>
              </w:rPr>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投标报价包括但不限于货物、材料、五金件、制造、包装、运输、装卸、保险、安装、原有家具拆除转运、安装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检测、验收合格交付使用之前及保修期内保修服务与备用物件等所有其他有关招标文件中规定的各项的含税费用。采购人不再支付报价以外的任何费用。</w:t>
            </w:r>
            <w:r>
              <w:rPr>
                <w:highlight w:val="none"/>
              </w:rPr>
            </w:r>
            <w:r/>
          </w:p>
        </w:tc>
      </w:tr>
      <w:tr>
        <w:trPr>
          <w:jc w:val="center"/>
          <w:trHeight w:val="347"/>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w:t>
            </w:r>
            <w:r>
              <w:rPr>
                <w:highlight w:val="none"/>
              </w:rPr>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以人民币报价。</w:t>
            </w:r>
            <w:r>
              <w:rPr>
                <w:highlight w:val="none"/>
              </w:rPr>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w:t>
            </w:r>
            <w:r>
              <w:rPr>
                <w:highlight w:val="none"/>
              </w:rPr>
            </w:r>
            <w:r/>
          </w:p>
        </w:tc>
        <w:tc>
          <w:tcPr>
            <w:tcMar>
              <w:left w:w="108" w:type="dxa"/>
              <w:top w:w="0" w:type="dxa"/>
              <w:right w:w="108" w:type="dxa"/>
              <w:bottom w:w="0" w:type="dxa"/>
            </w:tcMar>
            <w:tcW w:w="8376" w:type="dxa"/>
            <w:vAlign w:val="center"/>
            <w:textDirection w:val="lrTb"/>
            <w:noWrap w:val="false"/>
          </w:tcPr>
          <w:p>
            <w:pPr>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highlight w:val="none"/>
              </w:rPr>
              <w:fldChar w:fldCharType="separate"/>
            </w:r>
            <w:r>
              <w:rPr>
                <w:rStyle w:val="918"/>
                <w:rFonts w:hint="eastAsia" w:ascii="宋体" w:hAnsi="宋体" w:cs="宋体"/>
                <w:color w:val="000000"/>
                <w:sz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18"/>
                <w:rFonts w:hint="eastAsia" w:ascii="宋体" w:hAnsi="宋体" w:cs="宋体"/>
                <w:color w:val="000000"/>
                <w:sz w:val="24"/>
                <w:highlight w:val="none"/>
              </w:rPr>
              <w:fldChar w:fldCharType="end"/>
            </w:r>
            <w:r>
              <w:rPr>
                <w:highlight w:val="none"/>
              </w:rPr>
            </w:r>
            <w:r/>
          </w:p>
          <w:p>
            <w:pPr>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特别说明：政府采购客户端工具需要导出加密的投标文件（后缀名为</w:t>
            </w:r>
            <w:r>
              <w:rPr>
                <w:rFonts w:hint="eastAsia" w:ascii="宋体" w:hAnsi="宋体" w:cs="宋体"/>
                <w:b/>
                <w:bCs/>
                <w:color w:val="000000"/>
                <w:sz w:val="24"/>
                <w:highlight w:val="none"/>
              </w:rPr>
              <w:t xml:space="preserve">zip</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投标文件不得超过150M！</w:t>
            </w:r>
            <w:r>
              <w:rPr>
                <w:highlight w:val="none"/>
              </w:rPr>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w:t>
            </w:r>
            <w:r>
              <w:rPr>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见本文件第三章《投标资料表》中(十二)1和(十二)2</w:t>
            </w:r>
            <w:r>
              <w:rPr>
                <w:highlight w:val="none"/>
              </w:rPr>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w:t>
            </w:r>
            <w:r>
              <w:rPr>
                <w:highlight w:val="none"/>
              </w:rPr>
            </w:r>
            <w:r/>
          </w:p>
        </w:tc>
        <w:tc>
          <w:tcPr>
            <w:tcMar>
              <w:left w:w="108" w:type="dxa"/>
              <w:top w:w="0" w:type="dxa"/>
              <w:right w:w="108" w:type="dxa"/>
              <w:bottom w:w="0" w:type="dxa"/>
            </w:tcMar>
            <w:tcW w:w="8376" w:type="dxa"/>
            <w:vAlign w:val="top"/>
            <w:textDirection w:val="lrTb"/>
            <w:noWrap w:val="false"/>
          </w:tcPr>
          <w:p>
            <w:pPr>
              <w:ind w:left="560" w:hanging="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投标文件的提交与接收：</w:t>
            </w:r>
            <w:r>
              <w:rPr>
                <w:rFonts w:hint="eastAsia" w:ascii="宋体" w:hAnsi="宋体" w:cs="宋体"/>
                <w:color w:val="000000"/>
                <w:sz w:val="24"/>
                <w:highlight w:val="none"/>
              </w:rPr>
              <w:t xml:space="preserve"> </w:t>
            </w:r>
            <w:r>
              <w:rPr>
                <w:highlight w:val="none"/>
              </w:rPr>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1、投标文件提交与接收时间：</w:t>
            </w:r>
            <w:r>
              <w:rPr>
                <w:rFonts w:hint="eastAsia" w:ascii="宋体" w:hAnsi="宋体" w:cs="宋体"/>
                <w:b/>
                <w:bCs/>
                <w:color w:val="000000"/>
                <w:sz w:val="24"/>
                <w:highlight w:val="none"/>
                <w:lang w:eastAsia="zh-CN"/>
              </w:rPr>
              <w:t xml:space="preserve">2026年11月05日</w:t>
            </w:r>
            <w:r>
              <w:rPr>
                <w:rFonts w:hint="eastAsia" w:ascii="宋体" w:hAnsi="宋体" w:cs="宋体"/>
                <w:b/>
                <w:bCs/>
                <w:color w:val="000000"/>
                <w:sz w:val="24"/>
                <w:highlight w:val="none"/>
                <w:lang w:val="en-US" w:eastAsia="zh-CN"/>
              </w:rPr>
              <w:t xml:space="preserve">9:30</w:t>
            </w:r>
            <w:r>
              <w:rPr>
                <w:rFonts w:hint="eastAsia" w:ascii="宋体" w:hAnsi="宋体" w:cs="宋体"/>
                <w:b/>
                <w:bCs/>
                <w:color w:val="000000"/>
                <w:sz w:val="24"/>
                <w:highlight w:val="none"/>
              </w:rPr>
              <w:t xml:space="preserve">前。</w:t>
            </w:r>
            <w:r>
              <w:rPr>
                <w:highlight w:val="none"/>
              </w:rPr>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2、投标文件提交与接收地点：</w:t>
            </w:r>
            <w:r>
              <w:rPr>
                <w:rFonts w:hint="eastAsia" w:ascii="宋体" w:hAnsi="宋体" w:cs="宋体"/>
                <w:color w:val="000000"/>
                <w:sz w:val="24"/>
                <w:highlight w:val="none"/>
              </w:rPr>
              <w:t xml:space="preserve">投标人应当通过“苏采云”系统提交数据电文形式的投标文件（即电子投标），“苏采云”系统自动接收。</w:t>
            </w:r>
            <w:r>
              <w:rPr>
                <w:highlight w:val="none"/>
              </w:rPr>
            </w:r>
            <w:r/>
          </w:p>
        </w:tc>
      </w:tr>
      <w:tr>
        <w:trPr>
          <w:jc w:val="center"/>
        </w:trPr>
        <w:tc>
          <w:tcPr>
            <w:tcMar>
              <w:left w:w="108" w:type="dxa"/>
              <w:top w:w="0" w:type="dxa"/>
              <w:right w:w="108" w:type="dxa"/>
              <w:bottom w:w="0" w:type="dxa"/>
            </w:tcMar>
            <w:tcW w:w="1152" w:type="dxa"/>
            <w:vAlign w:val="top"/>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w:t>
            </w:r>
            <w:r>
              <w:rPr>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电子投标文件应由其法定代表人或法定代表人授权代表在规定的网上投标时间内，</w:t>
            </w:r>
            <w:r>
              <w:rPr>
                <w:rFonts w:hint="eastAsia" w:ascii="宋体" w:hAnsi="宋体" w:cs="宋体"/>
                <w:b/>
                <w:color w:val="000000"/>
                <w:sz w:val="24"/>
                <w:highlight w:val="none"/>
              </w:rPr>
              <w:t xml:space="preserve">凭 CA 证书登陆“苏采云”系统在线编制投标文件（电子数据），并在投标截止时间之前上传投标文件。并于开标时凭CA锁进行解密。</w:t>
            </w:r>
            <w:r>
              <w:rPr>
                <w:highlight w:val="none"/>
              </w:rPr>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rPr>
                <w:highlight w:val="none"/>
              </w:rPr>
            </w:r>
            <w:r/>
          </w:p>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highlight w:val="none"/>
              </w:rPr>
            </w:r>
            <w:r/>
          </w:p>
          <w:p>
            <w:pPr>
              <w:ind w:firstLine="480"/>
              <w:jc w:val="lef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“苏采云”系统生成开标记录并向社会公众公布，但依法应当保密的除外。</w:t>
            </w:r>
            <w:r>
              <w:rPr>
                <w:highlight w:val="none"/>
              </w:rPr>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rPr>
                <w:highlight w:val="none"/>
              </w:rPr>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highlight w:val="none"/>
              </w:rPr>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pStyle w:val="902"/>
              <w:ind w:firstLine="480"/>
              <w:spacing w:before="0" w:beforeAutospacing="0" w:after="0" w:afterAutospacing="0"/>
              <w:shd w:val="clear" w:color="auto" w:fill="ffffff"/>
              <w:rPr>
                <w:rFonts w:hint="eastAsia"/>
                <w:color w:val="000000"/>
                <w:highlight w:val="none"/>
              </w:rPr>
            </w:pPr>
            <w:r>
              <w:rPr>
                <w:rFonts w:hint="eastAsia"/>
                <w:color w:val="000000"/>
                <w:highlight w:val="none"/>
              </w:rPr>
              <w:t xml:space="preserve">投标文件解密失败的补救方案：无。</w:t>
            </w:r>
            <w:r>
              <w:rPr>
                <w:highlight w:val="none"/>
              </w:rPr>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w:t>
            </w:r>
            <w:r>
              <w:rPr>
                <w:highlight w:val="none"/>
              </w:rPr>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rPr>
                <w:highlight w:val="none"/>
              </w:rPr>
            </w:r>
            <w:r/>
          </w:p>
        </w:tc>
        <w:tc>
          <w:tcPr>
            <w:tcMar>
              <w:left w:w="108" w:type="dxa"/>
              <w:top w:w="0" w:type="dxa"/>
              <w:right w:w="108" w:type="dxa"/>
              <w:bottom w:w="0" w:type="dxa"/>
            </w:tcMar>
            <w:tcW w:w="8376" w:type="dxa"/>
            <w:vAlign w:val="center"/>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开标时间及地点：</w:t>
            </w:r>
            <w:r>
              <w:rPr>
                <w:highlight w:val="none"/>
              </w:rPr>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1、开标时间：</w:t>
            </w:r>
            <w:r>
              <w:rPr>
                <w:rFonts w:hint="eastAsia" w:ascii="宋体" w:hAnsi="宋体" w:cs="宋体"/>
                <w:b/>
                <w:color w:val="000000"/>
                <w:sz w:val="24"/>
                <w:highlight w:val="none"/>
                <w:lang w:eastAsia="zh-CN"/>
              </w:rPr>
              <w:t xml:space="preserve">2026年11月05日</w:t>
            </w:r>
            <w:r>
              <w:rPr>
                <w:rFonts w:hint="eastAsia" w:ascii="宋体" w:hAnsi="宋体" w:cs="宋体"/>
                <w:b/>
                <w:color w:val="000000"/>
                <w:sz w:val="24"/>
                <w:highlight w:val="none"/>
                <w:lang w:val="en-US" w:eastAsia="zh-CN"/>
              </w:rPr>
              <w:t xml:space="preserve">9:30</w:t>
            </w:r>
            <w:r>
              <w:rPr>
                <w:rFonts w:hint="eastAsia" w:ascii="宋体" w:hAnsi="宋体" w:cs="宋体"/>
                <w:b/>
                <w:color w:val="000000"/>
                <w:sz w:val="24"/>
                <w:highlight w:val="none"/>
              </w:rPr>
              <w:t xml:space="preserve">（标准时间）</w:t>
            </w:r>
            <w:r>
              <w:rPr>
                <w:highlight w:val="none"/>
              </w:rPr>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2、开标地点：</w:t>
            </w:r>
            <w:r>
              <w:rPr>
                <w:rFonts w:hint="eastAsia" w:ascii="宋体" w:hAnsi="宋体" w:cs="宋体"/>
                <w:color w:val="000000"/>
                <w:sz w:val="24"/>
                <w:highlight w:val="none"/>
              </w:rPr>
              <w:t xml:space="preserve">“苏采云”系统（网址： http://jszfcg.jsczt.cn/）“开标大厅”或进入徐州政府采购网（网址：https://czj.xz.gov.cn/zfcg/index.html）--办事指南--供应商--供应商登录入口，点击“苏采云”进入系统“开标大厅”。</w:t>
            </w:r>
            <w:r>
              <w:rPr>
                <w:highlight w:val="none"/>
              </w:rPr>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rPr>
                <w:highlight w:val="none"/>
              </w:rPr>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招标文件规定的需要宣布的内容：宣读投标人名称、投标价格。</w:t>
            </w:r>
            <w:r>
              <w:rPr>
                <w:highlight w:val="none"/>
              </w:rPr>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评标</w:t>
            </w:r>
            <w:r>
              <w:rPr>
                <w:highlight w:val="none"/>
              </w:rPr>
            </w:r>
            <w:r/>
          </w:p>
        </w:tc>
      </w:tr>
      <w:tr>
        <w:trPr>
          <w:jc w:val="center"/>
          <w:trHeight w:val="369"/>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w:t>
            </w:r>
            <w:r>
              <w:rPr>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采用综合评分法。</w:t>
            </w:r>
            <w:r>
              <w:rPr>
                <w:highlight w:val="none"/>
              </w:rPr>
            </w:r>
            <w:r/>
          </w:p>
        </w:tc>
      </w:tr>
      <w:tr>
        <w:trPr>
          <w:jc w:val="center"/>
          <w:trHeight w:val="212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w:t>
            </w:r>
            <w:r>
              <w:rPr>
                <w:highlight w:val="none"/>
              </w:rPr>
            </w:r>
            <w:r/>
          </w:p>
        </w:tc>
        <w:tc>
          <w:tcPr>
            <w:tcMar>
              <w:left w:w="108" w:type="dxa"/>
              <w:top w:w="0" w:type="dxa"/>
              <w:right w:w="108" w:type="dxa"/>
              <w:bottom w:w="0" w:type="dxa"/>
            </w:tcMar>
            <w:tcW w:w="8376" w:type="dxa"/>
            <w:vAlign w:val="top"/>
            <w:textDirection w:val="lrTb"/>
            <w:noWrap w:val="false"/>
          </w:tcPr>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一、推荐中标候选供应商名单。中标候选供应商数量应当根据采购需要确定，但必须按顺序排列中标候选供应商。</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二、中标候选人并列的，招标文件规定的确定中标人方式：</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（一）确定人：采购人。</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（二）确定中标人方式：</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按照以下顺序确定中标人：</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1、投标文件中提供所投产品的节能产品认证证书（不包括强制采购要求（如有），下同）的；或所投产品的环境标志产品认证证书的，被确定为中标人。</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都符合第1种情况的，投标文件中提供所投产品的节能产品认证证书和所投产品的环境标志产品认证证书的，被确定为中标人。</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都符合第2种情况的，投标文件中提供所投产品的节能产品认证证书、所投产品的环境标志产品认证证书和所投产品的绿色产品认证证书的，被确定为中标人。</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都符合第3种情况的，投标文件中提供所投产品的节能产品认证证书、所投产品的环境标志产品认证证书和所投产品的绿色产品认证证书，份数最多的，被确定为中标人。</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按照第4种情况，投标文件中提供所投产品的节能产品认证证书、所投产品的环境标志产品认证证书和所投产品的绿色产品认证证书份数也相同，所投产品使用低VOCs含量的，被确定为中标人。</w:t>
            </w:r>
            <w:r>
              <w:rPr>
                <w:highlight w:val="none"/>
              </w:rPr>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第5种情况仍无法确定的，由采购人确定。</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说明：所投产品的环境标志产品认证证书、所投产品的节能产品认证证书要求：见招标文件第三章《投标资料表》。</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r>
      <w:tr>
        <w:trPr>
          <w:jc w:val="center"/>
          <w:trHeight w:val="376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w:t>
            </w:r>
            <w:r>
              <w:rPr>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w:t>
            </w:r>
            <w:r>
              <w:rPr>
                <w:highlight w:val="none"/>
              </w:rPr>
            </w:r>
            <w:r/>
          </w:p>
        </w:tc>
        <w:tc>
          <w:tcPr>
            <w:tcMar>
              <w:left w:w="108" w:type="dxa"/>
              <w:top w:w="0" w:type="dxa"/>
              <w:right w:w="108" w:type="dxa"/>
              <w:bottom w:w="0" w:type="dxa"/>
            </w:tcMar>
            <w:tcW w:w="8376" w:type="dxa"/>
            <w:vAlign w:val="top"/>
            <w:textDirection w:val="lrTb"/>
            <w:noWrap w:val="false"/>
          </w:tcPr>
          <w:p>
            <w:pPr>
              <w:ind w:firstLine="480"/>
              <w:rPr>
                <w:rFonts w:ascii="宋体" w:hAnsi="宋体" w:cs="宋体"/>
                <w:color w:val="000000"/>
                <w:sz w:val="24"/>
                <w:highlight w:val="none"/>
              </w:rPr>
            </w:pPr>
            <w:r>
              <w:rPr>
                <w:highlight w:val="none"/>
              </w:rPr>
            </w:r>
            <w:bookmarkStart w:id="1" w:name="OLE_LINK4"/>
            <w:r>
              <w:rPr>
                <w:highlight w:val="none"/>
              </w:rPr>
            </w:r>
            <w:bookmarkStart w:id="2" w:name="OLE_LINK7"/>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1"/>
            <w:r>
              <w:rPr>
                <w:highlight w:val="none"/>
              </w:rPr>
            </w:r>
            <w:bookmarkEnd w:id="2"/>
            <w:r>
              <w:rPr>
                <w:highlight w:val="none"/>
              </w:rPr>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rPr>
                <w:highlight w:val="none"/>
              </w:rPr>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七</w:t>
            </w:r>
            <w:r>
              <w:rPr>
                <w:highlight w:val="none"/>
              </w:rPr>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政府采购合同</w:t>
            </w:r>
            <w:r>
              <w:rPr>
                <w:highlight w:val="none"/>
              </w:rPr>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w:t>
            </w:r>
            <w:r>
              <w:rPr>
                <w:highlight w:val="none"/>
              </w:rPr>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采购人与中标、中标人应当在中标、成交通知书发出之日起30日内，按照采购文件确定的事项签订政府采购合同。</w:t>
            </w:r>
            <w:r>
              <w:rPr>
                <w:highlight w:val="none"/>
              </w:rPr>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（三十八）</w:t>
            </w:r>
            <w:r>
              <w:rPr>
                <w:highlight w:val="none"/>
              </w:rPr>
            </w:r>
            <w:r/>
          </w:p>
        </w:tc>
        <w:tc>
          <w:tcPr>
            <w:tcMar>
              <w:left w:w="108" w:type="dxa"/>
              <w:top w:w="0" w:type="dxa"/>
              <w:right w:w="108" w:type="dxa"/>
              <w:bottom w:w="0" w:type="dxa"/>
            </w:tcMar>
            <w:tcW w:w="8376" w:type="dxa"/>
            <w:vAlign w:val="center"/>
            <w:textDirection w:val="lrTb"/>
            <w:noWrap w:val="false"/>
          </w:tcPr>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履约保证金：</w:t>
            </w:r>
            <w:r>
              <w:rPr>
                <w:rFonts w:hint="eastAsia" w:ascii="宋体" w:hAnsi="宋体" w:cs="宋体"/>
                <w:b/>
                <w:bCs/>
                <w:color w:val="000000"/>
                <w:sz w:val="24"/>
                <w:highlight w:val="none"/>
                <w:lang w:val="en-US" w:eastAsia="zh-CN"/>
              </w:rPr>
              <w:t xml:space="preserve">本项目不收取履约保证金。</w:t>
            </w:r>
            <w:r>
              <w:rPr>
                <w:highlight w:val="none"/>
              </w:rPr>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w:t>
            </w:r>
            <w:r>
              <w:rPr>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highlight w:val="none"/>
              </w:rPr>
            </w:r>
            <w:r/>
          </w:p>
          <w:p>
            <w:pPr>
              <w:ind w:firstLine="48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质疑接收人：</w:t>
            </w:r>
            <w:r>
              <w:rPr>
                <w:rFonts w:hint="eastAsia" w:ascii="宋体" w:hAnsi="宋体" w:cs="宋体"/>
                <w:color w:val="000000"/>
                <w:sz w:val="24"/>
                <w:highlight w:val="none"/>
                <w:lang w:val="en-US" w:eastAsia="zh-CN"/>
              </w:rPr>
              <w:t xml:space="preserve">陈士伟</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eastAsia="zh-CN"/>
              </w:rPr>
              <w:t xml:space="preserve">18005211011</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江苏省徐州市云龙区新城中心广场B座号楼1-1026-2</w:t>
            </w:r>
            <w:r>
              <w:rPr>
                <w:highlight w:val="none"/>
              </w:rPr>
            </w:r>
            <w:r/>
          </w:p>
        </w:tc>
      </w:tr>
      <w:tr>
        <w:trPr>
          <w:jc w:val="center"/>
        </w:trPr>
        <w:tc>
          <w:tcPr>
            <w:tcMar>
              <w:left w:w="108" w:type="dxa"/>
              <w:top w:w="0" w:type="dxa"/>
              <w:right w:w="108" w:type="dxa"/>
              <w:bottom w:w="0" w:type="dxa"/>
            </w:tcMar>
            <w:tcW w:w="1152" w:type="dxa"/>
            <w:vAlign w:val="center"/>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附加说明</w:t>
            </w:r>
            <w:r>
              <w:rPr>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中标人在收到中标通知书时，须向采购人和采购代理机构提交《开标一览表》和《分项价格表》的数据文件（WORD格式）。</w:t>
            </w:r>
            <w:r>
              <w:rPr>
                <w:highlight w:val="none"/>
              </w:rPr>
            </w:r>
            <w:r/>
          </w:p>
        </w:tc>
      </w:tr>
      <w:tr>
        <w:trPr>
          <w:jc w:val="center"/>
          <w:trHeight w:val="5018"/>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4、招标文件中如需“授权代表签字或盖章”，供应商可打印成文档。签字或盖章后再扫描上传，最后再电子签章。</w:t>
            </w:r>
            <w:r>
              <w:rPr>
                <w:highlight w:val="none"/>
              </w:rPr>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5、中标人在收到中标通知书时，须向采购人和采购代理机构提交完整纸质版的投标文件（需盖投标人公章且胶装成册，1正</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副本）。</w:t>
            </w:r>
            <w:r>
              <w:rPr>
                <w:highlight w:val="none"/>
              </w:rPr>
            </w:r>
            <w:r/>
          </w:p>
          <w:p>
            <w:pPr>
              <w:pStyle w:val="926"/>
              <w:rPr>
                <w:rFonts w:eastAsia="宋体"/>
                <w:color w:val="000000"/>
                <w:highlight w:val="none"/>
              </w:rPr>
            </w:pPr>
            <w:r>
              <w:rPr>
                <w:rFonts w:hint="eastAsia"/>
                <w:color w:val="000000"/>
                <w:highlight w:val="none"/>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rPr>
                <w:highlight w:val="none"/>
              </w:rPr>
            </w:r>
            <w:r/>
          </w:p>
        </w:tc>
      </w:tr>
    </w:tbl>
    <w:p>
      <w:pPr>
        <w:ind w:firstLine="600"/>
        <w:spacing w:line="23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highlight w:val="none"/>
        </w:rPr>
      </w:r>
      <w:r/>
    </w:p>
    <w:p>
      <w:pPr>
        <w:ind w:firstLine="60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highlight w:val="none"/>
        </w:rPr>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第四章 </w:t>
      </w:r>
      <w:r>
        <w:rPr>
          <w:rFonts w:hint="eastAsia" w:ascii="宋体" w:hAnsi="宋体" w:eastAsia="宋体" w:cs="宋体"/>
          <w:b/>
          <w:color w:val="000000"/>
          <w:sz w:val="30"/>
          <w:szCs w:val="30"/>
          <w:highlight w:val="none"/>
        </w:rPr>
        <w:t xml:space="preserve">评标标准</w:t>
      </w:r>
      <w:r>
        <w:rPr>
          <w:highlight w:val="none"/>
        </w:rPr>
      </w:r>
      <w:r/>
    </w:p>
    <w:tbl>
      <w:tblPr>
        <w:tblStyle w:val="795"/>
        <w:tblW w:w="5910" w:type="pct"/>
        <w:tblInd w:w="-1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1080"/>
        <w:gridCol w:w="7023"/>
      </w:tblGrid>
      <w:tr>
        <w:trPr>
          <w:trHeight w:val="377"/>
        </w:trPr>
        <w:tc>
          <w:tcPr>
            <w:tcW w:w="8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分项名称</w:t>
            </w:r>
            <w:r>
              <w:rPr>
                <w:highlight w:val="none"/>
              </w:rPr>
            </w:r>
            <w:r/>
          </w:p>
        </w:tc>
        <w:tc>
          <w:tcPr>
            <w:gridSpan w:val="2"/>
            <w:tcW w:w="4134" w:type="pct"/>
            <w:vAlign w:val="center"/>
            <w:textDirection w:val="lrTb"/>
            <w:noWrap w:val="false"/>
          </w:tcPr>
          <w:p>
            <w:pPr>
              <w:ind w:firstLine="200"/>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评分办法</w:t>
            </w:r>
            <w:r>
              <w:rPr>
                <w:highlight w:val="none"/>
              </w:rPr>
            </w:r>
            <w:r/>
          </w:p>
        </w:tc>
      </w:tr>
      <w:tr>
        <w:trPr>
          <w:trHeight w:val="309"/>
        </w:trPr>
        <w:tc>
          <w:tcPr>
            <w:tcW w:w="865"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价</w:t>
            </w:r>
            <w:r>
              <w:rPr>
                <w:rFonts w:hint="eastAsia" w:ascii="宋体" w:hAnsi="宋体" w:eastAsia="宋体" w:cs="宋体"/>
                <w:color w:val="auto"/>
                <w:sz w:val="21"/>
                <w:szCs w:val="21"/>
                <w:highlight w:val="none"/>
              </w:rPr>
              <w:t xml:space="preserve">格部</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w:t>
            </w:r>
            <w:r>
              <w:rPr>
                <w:highlight w:val="none"/>
              </w:rPr>
            </w:r>
            <w:r/>
          </w:p>
        </w:tc>
        <w:tc>
          <w:tcPr>
            <w:gridSpan w:val="2"/>
            <w:tcW w:w="4134" w:type="pct"/>
            <w:vAlign w:val="center"/>
            <w:textDirection w:val="lrTb"/>
            <w:noWrap w:val="false"/>
          </w:tcPr>
          <w:p>
            <w:pPr>
              <w:keepLines w:val="0"/>
              <w:keepNext w:val="0"/>
              <w:pageBreakBefore w:val="0"/>
              <w:spacing w:line="360" w:lineRule="auto"/>
              <w:rPr>
                <w:rFonts w:hint="default"/>
                <w:highlight w:val="none"/>
              </w:rPr>
            </w:pPr>
            <w:r>
              <w:rPr>
                <w:rFonts w:hint="eastAsia" w:ascii="宋体" w:hAnsi="宋体" w:eastAsia="宋体" w:cs="宋体"/>
                <w:color w:val="000000"/>
                <w:sz w:val="21"/>
                <w:szCs w:val="21"/>
                <w:highlight w:val="none"/>
                <w:lang w:val="en-US" w:eastAsia="zh-CN"/>
              </w:rPr>
              <w:t xml:space="preserve">各投标人价格得分=最低报价（投标人的最低评审价格）÷各投标人评审价格×30</w:t>
            </w:r>
            <w:r>
              <w:rPr>
                <w:rFonts w:hint="eastAsia" w:ascii="宋体" w:hAnsi="宋体" w:cs="宋体"/>
                <w:color w:val="000000"/>
                <w:sz w:val="21"/>
                <w:szCs w:val="21"/>
                <w:highlight w:val="none"/>
                <w:lang w:val="en-US" w:eastAsia="zh-CN"/>
              </w:rPr>
              <w:t xml:space="preserve">；</w:t>
            </w:r>
            <w:r>
              <w:rPr>
                <w:highlight w:val="none"/>
              </w:rPr>
            </w:r>
            <w:r/>
          </w:p>
        </w:tc>
      </w:tr>
      <w:tr>
        <w:trPr>
          <w:trHeight w:val="2667"/>
        </w:trPr>
        <w:tc>
          <w:tcPr>
            <w:tcW w:w="865" w:type="pct"/>
            <w:vAlign w:val="center"/>
            <w:vMerge w:val="restart"/>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val="en-US" w:eastAsia="zh-CN"/>
              </w:rPr>
              <w:t xml:space="preserve">)</w:t>
            </w:r>
            <w:r>
              <w:rPr>
                <w:highlight w:val="none"/>
              </w:rPr>
            </w:r>
            <w:r/>
          </w:p>
          <w:p>
            <w:pPr>
              <w:keepLines w:val="0"/>
              <w:keepNext w:val="0"/>
              <w:pageBreakBefore w:val="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val="en-US" w:eastAsia="zh-CN"/>
              </w:rPr>
            </w:r>
            <w:r>
              <w:rPr>
                <w:highlight w:val="none"/>
              </w:rPr>
            </w:r>
            <w:r/>
          </w:p>
        </w:tc>
        <w:tc>
          <w:tcPr>
            <w:tcW w:w="551" w:type="pct"/>
            <w:vAlign w:val="center"/>
            <w:textDirection w:val="lrTb"/>
            <w:noWrap w:val="false"/>
          </w:tcPr>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管理体系认证</w:t>
            </w:r>
            <w:r>
              <w:rPr>
                <w:highlight w:val="none"/>
              </w:rPr>
            </w:r>
            <w:r/>
          </w:p>
          <w:p>
            <w:pPr>
              <w:keepLines w:val="0"/>
              <w:keepNext w:val="0"/>
              <w:pageBreakBefore w:val="0"/>
              <w:spacing w:line="360" w:lineRule="auto"/>
              <w:rPr>
                <w:rFonts w:hint="default" w:ascii="宋体" w:hAnsi="宋体" w:cs="宋体"/>
                <w:sz w:val="21"/>
                <w:szCs w:val="21"/>
                <w:highlight w:val="none"/>
              </w:rPr>
            </w:pPr>
            <w:r>
              <w:rPr>
                <w:rFonts w:hint="eastAsia" w:ascii="宋体" w:hAnsi="宋体" w:cs="宋体"/>
                <w:sz w:val="21"/>
                <w:szCs w:val="21"/>
                <w:highlight w:val="none"/>
                <w:lang w:val="en-US" w:eastAsia="zh-CN"/>
              </w:rPr>
              <w:t xml:space="preserve">(3分）</w:t>
            </w:r>
            <w:r>
              <w:rPr>
                <w:highlight w:val="none"/>
              </w:rPr>
            </w:r>
            <w:r/>
          </w:p>
        </w:tc>
        <w:tc>
          <w:tcPr>
            <w:tcW w:w="3583" w:type="pct"/>
            <w:vAlign w:val="center"/>
            <w:textDirection w:val="lrTb"/>
            <w:noWrap w:val="false"/>
          </w:tcPr>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投标人具有经中国国家认证认可监督管理委员会认证机构颁发的有效的下列认证，全部提供得3分，每缺一类认证扣1分，扣完为止：</w:t>
            </w:r>
            <w:r>
              <w:rPr>
                <w:highlight w:val="none"/>
              </w:rPr>
            </w:r>
            <w:r/>
          </w:p>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①质量管理体系认证；</w:t>
            </w:r>
            <w:r>
              <w:rPr>
                <w:highlight w:val="none"/>
              </w:rPr>
            </w:r>
            <w:r/>
          </w:p>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②环境管理体系认证；</w:t>
            </w:r>
            <w:r>
              <w:rPr>
                <w:highlight w:val="none"/>
              </w:rPr>
            </w:r>
            <w:r/>
          </w:p>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③职业健康安全管理体系认证；</w:t>
            </w:r>
            <w:r>
              <w:rPr>
                <w:highlight w:val="none"/>
              </w:rPr>
            </w:r>
            <w:r/>
          </w:p>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注：投标文件中同时提供认证证书扫描件及全国认证认可信息公共服务平台官网证书信息查询截图，否则不得分。</w:t>
            </w:r>
            <w:r>
              <w:rPr>
                <w:highlight w:val="none"/>
              </w:rPr>
            </w:r>
            <w:r/>
          </w:p>
        </w:tc>
      </w:tr>
      <w:tr>
        <w:trPr>
          <w:trHeight w:val="856"/>
        </w:trPr>
        <w:tc>
          <w:tcPr>
            <w:tcW w:w="865" w:type="pct"/>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51" w:type="pct"/>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投标人综合实力</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highlight w:val="none"/>
              </w:rPr>
            </w:r>
            <w:r/>
          </w:p>
        </w:tc>
        <w:tc>
          <w:tcPr>
            <w:tcW w:w="3583" w:type="pct"/>
            <w:vAlign w:val="center"/>
            <w:textDirection w:val="lrTb"/>
            <w:noWrap w:val="false"/>
          </w:tcPr>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投标人承诺自2021年9月1日以来，投标人和所投产品生产厂商均未受到生态环境（环保）部门公示（或书面）的责令整改、停业整顿、参与监测数据造假、行政处罚的得1分。</w:t>
            </w:r>
            <w:r>
              <w:rPr>
                <w:highlight w:val="none"/>
              </w:rPr>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注：投标文件中提供承诺（格式自拟），否则不得分。</w:t>
            </w:r>
            <w:r>
              <w:rPr>
                <w:highlight w:val="none"/>
              </w:rPr>
            </w:r>
            <w:r/>
          </w:p>
        </w:tc>
      </w:tr>
      <w:tr>
        <w:trPr>
          <w:trHeight w:val="856"/>
        </w:trPr>
        <w:tc>
          <w:tcPr>
            <w:tcW w:w="865" w:type="pct"/>
            <w:vAlign w:val="center"/>
            <w:vMerge w:val="continue"/>
            <w:textDirection w:val="lrTb"/>
            <w:noWrap w:val="false"/>
          </w:tcPr>
          <w:p>
            <w:pPr>
              <w:keepLines w:val="0"/>
              <w:keepNext w:val="0"/>
              <w:pageBreakBefore w:val="0"/>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tcW w:w="551" w:type="pct"/>
            <w:vAlign w:val="center"/>
            <w:textDirection w:val="lrTb"/>
            <w:noWrap w:val="false"/>
          </w:tcPr>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拟派安装人员</w:t>
            </w:r>
            <w:r>
              <w:rPr>
                <w:highlight w:val="none"/>
              </w:rPr>
            </w:r>
            <w:r/>
          </w:p>
          <w:p>
            <w:pPr>
              <w:keepLines w:val="0"/>
              <w:keepNext w:val="0"/>
              <w:pageBreakBefore w:val="0"/>
              <w:spacing w:line="360" w:lineRule="auto"/>
              <w:rPr>
                <w:rFonts w:hint="default" w:ascii="宋体" w:hAnsi="宋体" w:cs="宋体"/>
                <w:sz w:val="21"/>
                <w:szCs w:val="21"/>
                <w:highlight w:val="none"/>
              </w:rPr>
            </w:pPr>
            <w:r>
              <w:rPr>
                <w:rFonts w:hint="eastAsia" w:ascii="宋体" w:hAnsi="宋体" w:cs="宋体"/>
                <w:sz w:val="21"/>
                <w:szCs w:val="21"/>
                <w:highlight w:val="none"/>
                <w:lang w:val="en-US" w:eastAsia="zh-CN"/>
              </w:rPr>
              <w:t xml:space="preserve">（4分）</w:t>
            </w:r>
            <w:r>
              <w:rPr>
                <w:highlight w:val="none"/>
              </w:rPr>
            </w:r>
            <w:r/>
          </w:p>
        </w:tc>
        <w:tc>
          <w:tcPr>
            <w:tcW w:w="3583" w:type="pct"/>
            <w:vAlign w:val="center"/>
            <w:textDirection w:val="lrTb"/>
            <w:noWrap w:val="false"/>
          </w:tcPr>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①项目负责人具有环境类专业高级及以上工程师职称的得2分。不提供不得分。</w:t>
            </w:r>
            <w:r>
              <w:rPr>
                <w:highlight w:val="none"/>
              </w:rPr>
            </w:r>
            <w:r/>
          </w:p>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②团队人员具有环境类专业中级及以上工程师职称的一个得1分；最高得2分。不提供不得分。</w:t>
            </w:r>
            <w:r>
              <w:rPr>
                <w:highlight w:val="none"/>
              </w:rPr>
            </w:r>
            <w:r/>
          </w:p>
          <w:p>
            <w:pPr>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注：以上人员不重复得分，须提供项相关证书原件扫描件加盖投标人电子章及以上人员近三个月的社保缴纳证明，否则不得分。</w:t>
            </w:r>
            <w:r>
              <w:rPr>
                <w:highlight w:val="none"/>
              </w:rPr>
            </w:r>
            <w:r/>
          </w:p>
        </w:tc>
      </w:tr>
      <w:tr>
        <w:trPr>
          <w:trHeight w:val="856"/>
        </w:trPr>
        <w:tc>
          <w:tcPr>
            <w:tcW w:w="865" w:type="pct"/>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w:t>
            </w:r>
            <w:r>
              <w:rPr>
                <w:rFonts w:hint="eastAsia" w:ascii="宋体" w:hAnsi="宋体" w:eastAsia="宋体" w:cs="宋体"/>
                <w:sz w:val="21"/>
                <w:szCs w:val="21"/>
                <w:highlight w:val="none"/>
                <w:lang w:val="en-US" w:eastAsia="zh-CN"/>
              </w:rPr>
              <w:t xml:space="preserve">参数</w:t>
            </w:r>
            <w:r>
              <w:rPr>
                <w:rFonts w:hint="eastAsia" w:ascii="宋体" w:hAnsi="宋体" w:eastAsia="宋体" w:cs="宋体"/>
                <w:sz w:val="21"/>
                <w:szCs w:val="21"/>
                <w:highlight w:val="none"/>
              </w:rPr>
              <w:t xml:space="preserve">响应</w:t>
            </w:r>
            <w:r>
              <w:rPr>
                <w:highlight w:val="none"/>
              </w:rPr>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rPr>
              <w:t xml:space="preserve">分）</w:t>
            </w:r>
            <w:r>
              <w:rPr>
                <w:highlight w:val="none"/>
              </w:rPr>
            </w:r>
            <w:r/>
          </w:p>
          <w:p>
            <w:pPr>
              <w:keepLines w:val="0"/>
              <w:keepNext w:val="0"/>
              <w:pageBreakBefore w:val="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val="en-US" w:eastAsia="zh-CN"/>
              </w:rPr>
            </w:r>
            <w:r>
              <w:rPr>
                <w:highlight w:val="none"/>
              </w:rPr>
            </w:r>
            <w:r/>
          </w:p>
        </w:tc>
        <w:tc>
          <w:tcPr>
            <w:gridSpan w:val="2"/>
            <w:tcW w:w="4134" w:type="pct"/>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①满足第</w:t>
            </w:r>
            <w:r>
              <w:rPr>
                <w:rFonts w:hint="eastAsia" w:ascii="宋体" w:hAnsi="宋体" w:cs="宋体"/>
                <w:sz w:val="21"/>
                <w:szCs w:val="21"/>
                <w:highlight w:val="none"/>
                <w:lang w:val="en-US" w:eastAsia="zh-CN"/>
              </w:rPr>
              <w:t xml:space="preserve">六</w:t>
            </w:r>
            <w:r>
              <w:rPr>
                <w:rFonts w:hint="eastAsia" w:ascii="宋体" w:hAnsi="宋体" w:eastAsia="宋体" w:cs="宋体"/>
                <w:sz w:val="21"/>
                <w:szCs w:val="21"/>
                <w:highlight w:val="none"/>
                <w:lang w:val="en-US" w:eastAsia="zh-CN"/>
              </w:rPr>
              <w:t xml:space="preserve">章采购需求</w:t>
            </w:r>
            <w:r>
              <w:rPr>
                <w:rFonts w:hint="eastAsia" w:ascii="宋体" w:hAnsi="宋体" w:cs="宋体"/>
                <w:sz w:val="21"/>
                <w:szCs w:val="21"/>
                <w:highlight w:val="none"/>
                <w:lang w:val="en-US" w:eastAsia="zh-CN"/>
              </w:rPr>
              <w:t xml:space="preserve">中（三）</w:t>
            </w:r>
            <w:r>
              <w:rPr>
                <w:rFonts w:hint="eastAsia" w:ascii="宋体" w:hAnsi="宋体" w:eastAsia="宋体" w:cs="宋体"/>
                <w:sz w:val="21"/>
                <w:szCs w:val="21"/>
                <w:highlight w:val="none"/>
                <w:lang w:val="en-US" w:eastAsia="zh-CN"/>
              </w:rPr>
              <w:t xml:space="preserve">技术要求</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3.3具体要求中的所有未标注“</w:t>
            </w:r>
            <w:r>
              <w:rPr>
                <w:rFonts w:hint="eastAsia" w:ascii="宋体" w:hAnsi="Times New Roman" w:cs="宋体"/>
                <w:color w:val="auto"/>
                <w:sz w:val="24"/>
                <w:szCs w:val="24"/>
                <w:highlight w:val="none"/>
                <w:lang w:val="en-US" w:eastAsia="zh-CN"/>
              </w:rPr>
              <w:t xml:space="preserve">▲</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的得10分</w:t>
            </w:r>
            <w:r>
              <w:rPr>
                <w:rFonts w:hint="eastAsia" w:ascii="宋体" w:hAnsi="宋体" w:eastAsia="宋体" w:cs="宋体"/>
                <w:sz w:val="21"/>
                <w:szCs w:val="21"/>
                <w:highlight w:val="none"/>
                <w:lang w:val="en-US" w:eastAsia="zh-CN"/>
              </w:rPr>
              <w:t xml:space="preserve">，每负偏离1项扣0.5分。扣完为止。以投标人</w:t>
            </w:r>
            <w:r>
              <w:rPr>
                <w:rFonts w:hint="eastAsia" w:ascii="宋体" w:hAnsi="宋体" w:cs="宋体"/>
                <w:sz w:val="21"/>
                <w:szCs w:val="21"/>
                <w:highlight w:val="none"/>
                <w:lang w:val="en-US" w:eastAsia="zh-CN"/>
              </w:rPr>
              <w:t xml:space="preserve">递交的偏离表中负偏离项为准</w:t>
            </w:r>
            <w:r>
              <w:rPr>
                <w:rFonts w:hint="eastAsia" w:ascii="宋体" w:hAnsi="宋体" w:eastAsia="宋体" w:cs="宋体"/>
                <w:sz w:val="21"/>
                <w:szCs w:val="21"/>
                <w:highlight w:val="none"/>
                <w:lang w:val="en-US" w:eastAsia="zh-CN"/>
              </w:rPr>
              <w:t xml:space="preserve">。</w:t>
            </w:r>
            <w:r>
              <w:rPr>
                <w:highlight w:val="none"/>
              </w:rPr>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w:t>
            </w:r>
            <w:r>
              <w:rPr>
                <w:rFonts w:hint="eastAsia" w:ascii="宋体" w:hAnsi="宋体" w:cs="宋体"/>
                <w:sz w:val="21"/>
                <w:szCs w:val="21"/>
                <w:highlight w:val="none"/>
                <w:lang w:val="en-US" w:eastAsia="zh-CN"/>
              </w:rPr>
              <w:t xml:space="preserve">满足</w:t>
            </w:r>
            <w:r>
              <w:rPr>
                <w:rFonts w:hint="eastAsia" w:ascii="宋体" w:hAnsi="宋体" w:eastAsia="宋体" w:cs="宋体"/>
                <w:sz w:val="21"/>
                <w:szCs w:val="21"/>
                <w:highlight w:val="none"/>
                <w:lang w:val="en-US" w:eastAsia="zh-CN"/>
              </w:rPr>
              <w:t xml:space="preserve">第</w:t>
            </w:r>
            <w:r>
              <w:rPr>
                <w:rFonts w:hint="eastAsia" w:ascii="宋体" w:hAnsi="宋体" w:cs="宋体"/>
                <w:sz w:val="21"/>
                <w:szCs w:val="21"/>
                <w:highlight w:val="none"/>
                <w:lang w:val="en-US" w:eastAsia="zh-CN"/>
              </w:rPr>
              <w:t xml:space="preserve">六</w:t>
            </w:r>
            <w:r>
              <w:rPr>
                <w:rFonts w:hint="eastAsia" w:ascii="宋体" w:hAnsi="宋体" w:eastAsia="宋体" w:cs="宋体"/>
                <w:sz w:val="21"/>
                <w:szCs w:val="21"/>
                <w:highlight w:val="none"/>
                <w:lang w:val="en-US" w:eastAsia="zh-CN"/>
              </w:rPr>
              <w:t xml:space="preserve">章采购需求</w:t>
            </w:r>
            <w:r>
              <w:rPr>
                <w:rFonts w:hint="eastAsia" w:ascii="宋体" w:hAnsi="宋体" w:cs="宋体"/>
                <w:sz w:val="21"/>
                <w:szCs w:val="21"/>
                <w:highlight w:val="none"/>
                <w:lang w:val="en-US" w:eastAsia="zh-CN"/>
              </w:rPr>
              <w:t xml:space="preserve">中（三）</w:t>
            </w:r>
            <w:r>
              <w:rPr>
                <w:rFonts w:hint="eastAsia" w:ascii="宋体" w:hAnsi="宋体" w:eastAsia="宋体" w:cs="宋体"/>
                <w:sz w:val="21"/>
                <w:szCs w:val="21"/>
                <w:highlight w:val="none"/>
                <w:lang w:val="en-US" w:eastAsia="zh-CN"/>
              </w:rPr>
              <w:t xml:space="preserve">技术要求</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3.3具体要求中</w:t>
            </w:r>
            <w:r>
              <w:rPr>
                <w:rFonts w:hint="eastAsia" w:ascii="宋体" w:hAnsi="宋体" w:cs="宋体"/>
                <w:sz w:val="21"/>
                <w:szCs w:val="21"/>
                <w:highlight w:val="none"/>
                <w:lang w:val="en-US" w:eastAsia="zh-CN"/>
              </w:rPr>
              <w:t xml:space="preserve">所有</w:t>
            </w:r>
            <w:r>
              <w:rPr>
                <w:rFonts w:hint="eastAsia" w:ascii="宋体" w:hAnsi="宋体" w:eastAsia="宋体" w:cs="宋体"/>
                <w:sz w:val="21"/>
                <w:szCs w:val="21"/>
                <w:highlight w:val="none"/>
                <w:lang w:val="en-US" w:eastAsia="zh-CN"/>
              </w:rPr>
              <w:t xml:space="preserve">标注“</w:t>
            </w:r>
            <w:r>
              <w:rPr>
                <w:rFonts w:hint="eastAsia" w:ascii="宋体" w:hAnsi="Times New Roman" w:cs="宋体"/>
                <w:color w:val="auto"/>
                <w:sz w:val="24"/>
                <w:szCs w:val="24"/>
                <w:highlight w:val="none"/>
                <w:lang w:val="en-US" w:eastAsia="zh-CN"/>
              </w:rPr>
              <w:t xml:space="preserve">▲</w:t>
            </w:r>
            <w:r>
              <w:rPr>
                <w:rFonts w:hint="eastAsia" w:ascii="宋体" w:hAnsi="宋体" w:eastAsia="宋体" w:cs="宋体"/>
                <w:sz w:val="21"/>
                <w:szCs w:val="21"/>
                <w:highlight w:val="none"/>
                <w:lang w:val="en-US" w:eastAsia="zh-CN"/>
              </w:rPr>
              <w:t xml:space="preserve">”条款</w:t>
            </w:r>
            <w:r>
              <w:rPr>
                <w:rFonts w:hint="eastAsia" w:ascii="宋体" w:hAnsi="宋体" w:cs="宋体"/>
                <w:sz w:val="21"/>
                <w:szCs w:val="21"/>
                <w:highlight w:val="none"/>
                <w:lang w:val="en-US" w:eastAsia="zh-CN"/>
              </w:rPr>
              <w:t xml:space="preserve">的得10分</w:t>
            </w:r>
            <w:r>
              <w:rPr>
                <w:rFonts w:hint="eastAsia" w:ascii="宋体" w:hAnsi="宋体" w:eastAsia="宋体" w:cs="宋体"/>
                <w:sz w:val="21"/>
                <w:szCs w:val="21"/>
                <w:highlight w:val="none"/>
                <w:lang w:val="en-US" w:eastAsia="zh-CN"/>
              </w:rPr>
              <w:t xml:space="preserve">，共计10项，每负偏离1项扣</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分。扣完为止。</w:t>
            </w:r>
            <w:r>
              <w:rPr>
                <w:highlight w:val="none"/>
              </w:rPr>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cs="宋体"/>
                <w:sz w:val="21"/>
                <w:szCs w:val="21"/>
                <w:highlight w:val="none"/>
                <w:lang w:val="en-US" w:eastAsia="zh-CN"/>
              </w:rPr>
              <w:t xml:space="preserve">标“</w:t>
            </w:r>
            <w:r>
              <w:rPr>
                <w:rFonts w:hint="eastAsia" w:ascii="宋体" w:hAnsi="Times New Roman" w:cs="宋体"/>
                <w:color w:val="auto"/>
                <w:sz w:val="24"/>
                <w:szCs w:val="24"/>
                <w:highlight w:val="none"/>
                <w:lang w:val="en-US" w:eastAsia="zh-CN"/>
              </w:rPr>
              <w:t xml:space="preserve">▲</w:t>
            </w:r>
            <w:r>
              <w:rPr>
                <w:rFonts w:hint="eastAsia" w:ascii="宋体" w:cs="宋体"/>
                <w:color w:val="auto"/>
                <w:sz w:val="24"/>
                <w:szCs w:val="24"/>
                <w:highlight w:val="none"/>
                <w:lang w:val="en-US" w:eastAsia="zh-CN"/>
              </w:rPr>
              <w:t xml:space="preserve">”条款</w:t>
            </w:r>
            <w:r>
              <w:rPr>
                <w:rFonts w:hint="eastAsia" w:ascii="宋体" w:hAnsi="宋体" w:eastAsia="宋体" w:cs="宋体"/>
                <w:sz w:val="21"/>
                <w:szCs w:val="21"/>
                <w:highlight w:val="none"/>
                <w:lang w:val="en-US" w:eastAsia="zh-CN"/>
              </w:rPr>
              <w:t xml:space="preserve">需提供省级及以上计量检测部门出具的检测报告</w:t>
            </w:r>
            <w:r>
              <w:rPr>
                <w:rFonts w:hint="eastAsia" w:ascii="宋体" w:hAnsi="宋体" w:cs="宋体"/>
                <w:sz w:val="21"/>
                <w:szCs w:val="21"/>
                <w:highlight w:val="none"/>
                <w:lang w:val="en-US" w:eastAsia="zh-CN"/>
              </w:rPr>
              <w:t xml:space="preserve">原件扫描件</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并在各参数对应位置做出明确标识，</w:t>
            </w:r>
            <w:r>
              <w:rPr>
                <w:rFonts w:hint="eastAsia" w:ascii="宋体" w:hAnsi="宋体" w:eastAsia="宋体" w:cs="宋体"/>
                <w:sz w:val="21"/>
                <w:szCs w:val="21"/>
                <w:highlight w:val="none"/>
                <w:lang w:val="en-US" w:eastAsia="zh-CN"/>
              </w:rPr>
              <w:t xml:space="preserve">否则不得分。本项最高得</w:t>
            </w:r>
            <w:r>
              <w:rPr>
                <w:rFonts w:hint="eastAsia" w:ascii="宋体" w:hAnsi="宋体" w:cs="宋体"/>
                <w:sz w:val="21"/>
                <w:szCs w:val="21"/>
                <w:highlight w:val="none"/>
                <w:lang w:val="en-US" w:eastAsia="zh-CN"/>
              </w:rPr>
              <w:t xml:space="preserve">20</w:t>
            </w:r>
            <w:r>
              <w:rPr>
                <w:rFonts w:hint="eastAsia" w:ascii="宋体" w:hAnsi="宋体" w:eastAsia="宋体" w:cs="宋体"/>
                <w:sz w:val="21"/>
                <w:szCs w:val="21"/>
                <w:highlight w:val="none"/>
                <w:lang w:val="en-US" w:eastAsia="zh-CN"/>
              </w:rPr>
              <w:t xml:space="preserve">分，最低得0分。</w:t>
            </w:r>
            <w:r>
              <w:rPr>
                <w:highlight w:val="none"/>
              </w:rPr>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《技术参数偏离表》需逐条应答详细参数要求，不能实现的需注明负偏离，提供虚假证明或虚假响应指标参数要求的，将按政府采购法的相关规定进行处理。正负偏离需在《偏离表》中详细列出。</w:t>
            </w:r>
            <w:r>
              <w:rPr>
                <w:highlight w:val="none"/>
              </w:rPr>
            </w:r>
            <w:r/>
          </w:p>
        </w:tc>
      </w:tr>
      <w:tr>
        <w:trPr>
          <w:trHeight w:val="1506"/>
        </w:trPr>
        <w:tc>
          <w:tcPr>
            <w:shd w:val="clear" w:color="auto" w:fill="auto"/>
            <w:tcW w:w="865" w:type="pct"/>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实施进度及安装方案</w:t>
            </w:r>
            <w:r>
              <w:rPr>
                <w:highlight w:val="none"/>
              </w:rPr>
            </w:r>
            <w:r/>
          </w:p>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highlight w:val="none"/>
              </w:rPr>
            </w:r>
            <w:r/>
          </w:p>
        </w:tc>
        <w:tc>
          <w:tcPr>
            <w:gridSpan w:val="2"/>
            <w:tcW w:w="4134"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1、实施进度应至少包含①项目进度实施计划②任务分工及人员安排③设备采购及运送计划④交货时间及地点⑤质量管理计划等内容。</w:t>
            </w:r>
            <w:r>
              <w:rPr>
                <w:highlight w:val="none"/>
              </w:rPr>
            </w:r>
            <w:r/>
          </w:p>
          <w:p>
            <w:pPr>
              <w:numPr>
                <w:ilvl w:val="0"/>
                <w:numId w:val="0"/>
              </w:numPr>
              <w:keepLines w:val="0"/>
              <w:keepNext w:val="0"/>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上述内容完整，结合本项目所特点和使用场景编制、流程清晰、合理；分工明确、完善的得5分；任一项内容缺失扣1分；某项内容编制流程模糊的扣0.5分、分工界定不清的扣0.5分、没有依据本项目的使用场景编制的扣0.5分，内容编制不合理的扣0.5分，针对性欠缺的扣0.5分。本项最高得5分，最低得 0 分。</w:t>
            </w:r>
            <w:r>
              <w:rPr>
                <w:highlight w:val="none"/>
              </w:rPr>
            </w:r>
            <w:r/>
          </w:p>
          <w:p>
            <w:pPr>
              <w:numPr>
                <w:ilvl w:val="0"/>
                <w:numId w:val="0"/>
              </w:numPr>
              <w:keepLines w:val="0"/>
              <w:keepNext w:val="0"/>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2、安装方案应至少包含①安装进度计划②环境保障（水、电、气体、实验台等）要求③设备拆箱要求及标准④设备安装步骤及检验标准⑤软件安装及使用等内容。</w:t>
            </w:r>
            <w:r>
              <w:rPr>
                <w:highlight w:val="none"/>
              </w:rPr>
            </w:r>
            <w:r/>
          </w:p>
          <w:p>
            <w:pPr>
              <w:numPr>
                <w:ilvl w:val="0"/>
                <w:numId w:val="0"/>
              </w:numPr>
              <w:keepLines w:val="0"/>
              <w:keepNext w:val="0"/>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上述内容完整，结合本项目所特点和使用场景编制、流程清晰、合理；分工明确、完善的得5分；任一项内容缺失扣1分；某项内容编制流程模糊的扣0.5分、分工界定不清的扣0.5分、没有依据本项目的使用场景编制的扣0.5分，内容编制不合理的扣0.5分，针对性欠缺的扣0.5分。本项最高得5分，最低得 0 分。</w:t>
            </w:r>
            <w:r>
              <w:rPr>
                <w:highlight w:val="none"/>
              </w:rPr>
            </w:r>
            <w:r/>
          </w:p>
          <w:p>
            <w:pPr>
              <w:numPr>
                <w:ilvl w:val="0"/>
                <w:numId w:val="0"/>
              </w:numPr>
              <w:keepLines w:val="0"/>
              <w:keepNext w:val="0"/>
              <w:pageBreakBefore w:val="0"/>
              <w:spacing w:line="360" w:lineRule="auto"/>
              <w:rPr>
                <w:rFonts w:hint="default"/>
                <w:sz w:val="21"/>
                <w:szCs w:val="21"/>
                <w:highlight w:val="none"/>
              </w:rPr>
            </w:pPr>
            <w:r>
              <w:rPr>
                <w:rFonts w:hint="eastAsia" w:ascii="宋体" w:hAnsi="宋体" w:eastAsia="宋体" w:cs="宋体"/>
                <w:sz w:val="20"/>
                <w:szCs w:val="20"/>
                <w:highlight w:val="none"/>
                <w:lang w:val="en-US" w:eastAsia="zh-CN"/>
              </w:rPr>
              <w:t xml:space="preserve">未提供相应方案，得0分。</w:t>
            </w:r>
            <w:r>
              <w:rPr>
                <w:highlight w:val="none"/>
              </w:rPr>
            </w:r>
            <w:r/>
          </w:p>
        </w:tc>
      </w:tr>
      <w:tr>
        <w:trPr>
          <w:trHeight w:val="90"/>
        </w:trPr>
        <w:tc>
          <w:tcPr>
            <w:shd w:val="clear" w:color="auto" w:fill="auto"/>
            <w:tcW w:w="865" w:type="pct"/>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智能化监测分析系统方案</w:t>
            </w:r>
            <w:r>
              <w:rPr>
                <w:highlight w:val="none"/>
              </w:rPr>
            </w:r>
            <w:r/>
          </w:p>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（10分）</w:t>
            </w:r>
            <w:r>
              <w:rPr>
                <w:highlight w:val="none"/>
              </w:rPr>
            </w:r>
            <w:r/>
          </w:p>
        </w:tc>
        <w:tc>
          <w:tcPr>
            <w:gridSpan w:val="2"/>
            <w:tcW w:w="4134"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①监测系统架构设计原理②数据采集、传输、存储、分析、监测指标覆盖能力。③数据分析平台功能④智能化数据处理、自动分析、异常预警能力⑤报告生成等能力。以上内容设计合理、功能完善、智能化程度高的得10分；任一项内容缺失扣2分；某项内容编制脱离实际的扣0.5分、功能缺少的扣0.5分、没有依据本项目的使用场景编制的扣0.5分，内容编制不合理的扣0.5分，针对性欠缺的扣0.5分。本项最高得10分，最低得 0 分。未提供相应方案，得0分。</w:t>
            </w:r>
            <w:r>
              <w:rPr>
                <w:highlight w:val="none"/>
              </w:rPr>
            </w:r>
            <w:r/>
          </w:p>
        </w:tc>
      </w:tr>
      <w:tr>
        <w:trPr>
          <w:trHeight w:val="450"/>
        </w:trPr>
        <w:tc>
          <w:tcPr>
            <w:shd w:val="clear" w:color="auto" w:fill="auto"/>
            <w:tcW w:w="865" w:type="pct"/>
            <w:vAlign w:val="center"/>
            <w:textDirection w:val="lrTb"/>
            <w:noWrap w:val="false"/>
          </w:tcPr>
          <w:p>
            <w:pPr>
              <w:numPr>
                <w:ilvl w:val="0"/>
                <w:numId w:val="0"/>
              </w:numPr>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售后服务解决方案（</w:t>
            </w:r>
            <w:r>
              <w:rPr>
                <w:rFonts w:hint="eastAsia" w:ascii="宋体" w:hAnsi="宋体" w:cs="宋体"/>
                <w:sz w:val="21"/>
                <w:szCs w:val="21"/>
                <w:highlight w:val="none"/>
                <w:lang w:val="en-US" w:eastAsia="zh-CN"/>
              </w:rPr>
              <w:t xml:space="preserve">8分</w:t>
            </w:r>
            <w:r>
              <w:rPr>
                <w:rFonts w:hint="eastAsia" w:ascii="宋体" w:hAnsi="宋体" w:eastAsia="宋体" w:cs="宋体"/>
                <w:sz w:val="21"/>
                <w:szCs w:val="21"/>
                <w:highlight w:val="none"/>
                <w:lang w:val="en-US" w:eastAsia="zh-CN"/>
              </w:rPr>
              <w:t xml:space="preserve">）</w:t>
            </w:r>
            <w:r>
              <w:rPr>
                <w:highlight w:val="none"/>
              </w:rPr>
            </w:r>
            <w:r/>
          </w:p>
        </w:tc>
        <w:tc>
          <w:tcPr>
            <w:gridSpan w:val="2"/>
            <w:tcW w:w="4134"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售后服务方案应至少包含①售后服务范围②售后服务机构及专业技术人员配置③售后服务响应及保障计划④售后服务承诺书和设备使用情况回访计划等内容。</w:t>
            </w:r>
            <w:r>
              <w:rPr>
                <w:highlight w:val="none"/>
              </w:rPr>
            </w:r>
            <w:r/>
          </w:p>
          <w:p>
            <w:pPr>
              <w:numPr>
                <w:ilvl w:val="0"/>
                <w:numId w:val="0"/>
              </w:numPr>
              <w:keepLines w:val="0"/>
              <w:keepNext w:val="0"/>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上述内容完整，结合本项目所特点和使用场景编制、流程清晰、合理；分工明确、完善的得8分；任一项内容缺失扣2分；某项内容编制流程模糊的扣0.5分、分工界定不清的扣0.5分、没有依据本项目的使用场景编制的扣0.5分，内容编制不合理的扣0.5分，针对性欠缺的扣0.5分。本项最高得8分，最低得 0 分。</w:t>
            </w:r>
            <w:r>
              <w:rPr>
                <w:highlight w:val="none"/>
              </w:rPr>
            </w:r>
            <w:r/>
          </w:p>
          <w:p>
            <w:pPr>
              <w:numPr>
                <w:ilvl w:val="0"/>
                <w:numId w:val="0"/>
              </w:num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0"/>
                <w:szCs w:val="20"/>
                <w:highlight w:val="none"/>
                <w:lang w:val="en-US" w:eastAsia="zh-CN"/>
              </w:rPr>
              <w:t xml:space="preserve">未提供相应方案，得0分。</w:t>
            </w:r>
            <w:r>
              <w:rPr>
                <w:highlight w:val="none"/>
              </w:rPr>
            </w:r>
            <w:r/>
          </w:p>
        </w:tc>
      </w:tr>
      <w:tr>
        <w:trPr>
          <w:trHeight w:val="277"/>
        </w:trPr>
        <w:tc>
          <w:tcPr>
            <w:shd w:val="clear" w:color="auto" w:fill="auto"/>
            <w:tcW w:w="865"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地表水采测溯源及水污染事件应急支援方案（</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分）</w:t>
            </w:r>
            <w:r>
              <w:rPr>
                <w:highlight w:val="none"/>
              </w:rPr>
            </w:r>
            <w:r/>
          </w:p>
          <w:p>
            <w:pPr>
              <w:numPr>
                <w:ilvl w:val="0"/>
                <w:numId w:val="0"/>
              </w:numPr>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r/>
          </w:p>
        </w:tc>
        <w:tc>
          <w:tcPr>
            <w:gridSpan w:val="2"/>
            <w:tcW w:w="4134" w:type="pct"/>
            <w:vAlign w:val="center"/>
            <w:textDirection w:val="lrTb"/>
            <w:noWrap w:val="false"/>
          </w:tcPr>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地表水采测溯源及水污染事件应急支援方：投标人提供的地表水采测溯源及水污染事件应急支援方需体现出自动化、智能化、现代化水平，体现智能化采样便携性，有力支撑污染治理决策、水环境质量评价、水资源评估、非现场监督执法等业务场景。</w:t>
            </w:r>
            <w:r>
              <w:rPr>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方案</w:t>
            </w:r>
            <w:r>
              <w:rPr>
                <w:rFonts w:hint="eastAsia" w:ascii="宋体" w:hAnsi="宋体" w:eastAsia="宋体" w:cs="宋体"/>
                <w:sz w:val="21"/>
                <w:szCs w:val="21"/>
                <w:highlight w:val="none"/>
                <w:lang w:val="en-US" w:eastAsia="zh-CN"/>
              </w:rPr>
              <w:t xml:space="preserve">内容完整、详实可行，有很强的针对性，体现智能化采样便携性</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分；</w:t>
            </w:r>
            <w:r>
              <w:rPr>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方案内容完整、详实可行，虽能体现智能化采样的便携性但针对性差的得7分；</w:t>
            </w:r>
            <w:r>
              <w:rPr>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方案内容完整、详实可行，虽有很强的针对性但未能完全体现出智能化采样的便携性的得5分；</w:t>
            </w:r>
            <w:r>
              <w:rPr>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提供了常规、通用的方案，基本符合采购需求</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方案有缺陷</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lang w:val="en-US" w:eastAsia="zh-CN"/>
              </w:rPr>
              <w:t xml:space="preserve">得1分；</w:t>
            </w:r>
            <w:r>
              <w:rPr>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未提供相应方案，得0分。</w:t>
            </w:r>
            <w:r>
              <w:rPr>
                <w:highlight w:val="none"/>
              </w:rPr>
            </w:r>
            <w:r/>
          </w:p>
        </w:tc>
      </w:tr>
      <w:tr>
        <w:trPr>
          <w:trHeight w:val="1903"/>
        </w:trPr>
        <w:tc>
          <w:tcPr>
            <w:shd w:val="clear" w:color="auto" w:fill="auto"/>
            <w:tcW w:w="865" w:type="pct"/>
            <w:vAlign w:val="center"/>
            <w:textDirection w:val="lrTb"/>
            <w:noWrap w:val="false"/>
          </w:tcPr>
          <w:p>
            <w:pPr>
              <w:numPr>
                <w:ilvl w:val="0"/>
                <w:numId w:val="0"/>
              </w:numPr>
              <w:ind w:left="0" w:firstLine="0"/>
              <w:keepLines w:val="0"/>
              <w:keepNext w:val="0"/>
              <w:pageBreakBefore w:val="0"/>
              <w:spacing w:line="360" w:lineRule="auto"/>
              <w:rPr>
                <w:rFonts w:hint="eastAsia" w:ascii="宋体" w:hAnsi="宋体" w:eastAsia="宋体" w:cs="宋体"/>
                <w:sz w:val="21"/>
                <w:szCs w:val="21"/>
                <w:highlight w:val="none"/>
              </w:rPr>
            </w:pPr>
            <w:r>
              <w:rPr>
                <w:highlight w:val="none"/>
              </w:rPr>
              <w:t xml:space="preserve">系统调试、试运行及验收方案</w:t>
            </w:r>
            <w:r>
              <w:rPr>
                <w:rFonts w:hint="eastAsia" w:ascii="宋体" w:hAnsi="宋体" w:cs="宋体"/>
                <w:sz w:val="21"/>
                <w:szCs w:val="21"/>
                <w:highlight w:val="none"/>
                <w:lang w:val="en-US" w:eastAsia="zh-CN"/>
              </w:rPr>
              <w:t xml:space="preserve">（6分）</w:t>
            </w:r>
            <w:r>
              <w:rPr>
                <w:highlight w:val="none"/>
              </w:rPr>
            </w:r>
            <w:r/>
          </w:p>
        </w:tc>
        <w:tc>
          <w:tcPr>
            <w:gridSpan w:val="2"/>
            <w:tcW w:w="4134" w:type="pct"/>
            <w:vAlign w:val="center"/>
            <w:textDirection w:val="lrTb"/>
            <w:noWrap w:val="false"/>
          </w:tcPr>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default" w:ascii="宋体" w:hAnsi="宋体" w:eastAsia="宋体" w:cs="宋体"/>
                <w:sz w:val="21"/>
                <w:szCs w:val="21"/>
                <w:highlight w:val="none"/>
                <w:lang w:val="en-US" w:eastAsia="zh-CN"/>
              </w:rPr>
              <w:t xml:space="preserve">调试方案完整，分阶段调试计划清晰；明确达标判定、资料归档、验收整改闭环措施，适配</w:t>
            </w:r>
            <w:r>
              <w:rPr>
                <w:rFonts w:hint="eastAsia" w:ascii="宋体" w:hAnsi="宋体" w:eastAsia="宋体" w:cs="宋体"/>
                <w:sz w:val="21"/>
                <w:szCs w:val="21"/>
                <w:highlight w:val="none"/>
                <w:lang w:val="en-US" w:eastAsia="zh-CN"/>
              </w:rPr>
              <w:t xml:space="preserve">采购文件</w:t>
            </w:r>
            <w:r>
              <w:rPr>
                <w:rFonts w:hint="default" w:ascii="宋体" w:hAnsi="宋体" w:eastAsia="宋体" w:cs="宋体"/>
                <w:sz w:val="21"/>
                <w:szCs w:val="21"/>
                <w:highlight w:val="none"/>
                <w:lang w:val="en-US" w:eastAsia="zh-CN"/>
              </w:rPr>
              <w:t xml:space="preserve">验收要求</w:t>
            </w:r>
            <w:r>
              <w:rPr>
                <w:rFonts w:hint="eastAsia" w:ascii="宋体" w:hAnsi="宋体" w:eastAsia="宋体" w:cs="宋体"/>
                <w:sz w:val="21"/>
                <w:szCs w:val="21"/>
                <w:highlight w:val="none"/>
                <w:lang w:val="en-US" w:eastAsia="zh-CN"/>
              </w:rPr>
              <w:t xml:space="preserve">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default" w:ascii="宋体" w:hAnsi="宋体" w:eastAsia="宋体" w:cs="宋体"/>
                <w:sz w:val="21"/>
                <w:szCs w:val="21"/>
                <w:highlight w:val="none"/>
                <w:lang w:val="en-US" w:eastAsia="zh-CN"/>
              </w:rPr>
              <w:t xml:space="preserve">调试方案齐全，具备</w:t>
            </w:r>
            <w:r>
              <w:rPr>
                <w:rFonts w:hint="eastAsia" w:ascii="宋体" w:hAnsi="宋体" w:eastAsia="宋体" w:cs="宋体"/>
                <w:sz w:val="21"/>
                <w:szCs w:val="21"/>
                <w:highlight w:val="none"/>
                <w:lang w:val="en-US" w:eastAsia="zh-CN"/>
              </w:rPr>
              <w:t xml:space="preserve">完善的</w:t>
            </w:r>
            <w:r>
              <w:rPr>
                <w:rFonts w:hint="default" w:ascii="宋体" w:hAnsi="宋体" w:eastAsia="宋体" w:cs="宋体"/>
                <w:sz w:val="21"/>
                <w:szCs w:val="21"/>
                <w:highlight w:val="none"/>
                <w:lang w:val="en-US" w:eastAsia="zh-CN"/>
              </w:rPr>
              <w:t xml:space="preserve">调试内容，满足验收基本要求，细节一般</w:t>
            </w:r>
            <w:r>
              <w:rPr>
                <w:rFonts w:hint="eastAsia" w:ascii="宋体" w:hAnsi="宋体" w:eastAsia="宋体" w:cs="宋体"/>
                <w:sz w:val="21"/>
                <w:szCs w:val="21"/>
                <w:highlight w:val="none"/>
                <w:lang w:val="en-US" w:eastAsia="zh-CN"/>
              </w:rPr>
              <w:t xml:space="preserve">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rPr>
                <w:highlight w:val="none"/>
              </w:rPr>
            </w:r>
            <w:r/>
          </w:p>
          <w:p>
            <w:pPr>
              <w:numPr>
                <w:ilvl w:val="0"/>
                <w:numId w:val="0"/>
              </w:numPr>
              <w:keepLines w:val="0"/>
              <w:keepNext w:val="0"/>
              <w:pageBreakBefore w:val="0"/>
              <w:spacing w:line="360" w:lineRule="auto"/>
              <w:tabs>
                <w:tab w:val="left" w:pos="840" w:leader="none"/>
              </w:tabs>
              <w:rPr>
                <w:rFonts w:hint="default" w:ascii="宋体" w:hAnsi="宋体" w:eastAsia="宋体" w:cs="宋体"/>
                <w:sz w:val="21"/>
                <w:szCs w:val="21"/>
                <w:highlight w:val="none"/>
              </w:rPr>
            </w:pPr>
            <w:r>
              <w:rPr>
                <w:rFonts w:hint="default" w:ascii="宋体" w:hAnsi="宋体" w:eastAsia="宋体" w:cs="宋体"/>
                <w:sz w:val="21"/>
                <w:szCs w:val="21"/>
                <w:highlight w:val="none"/>
                <w:lang w:val="en-US" w:eastAsia="zh-CN"/>
              </w:rPr>
              <w:t xml:space="preserve">仅简单描述调试流程，缺少</w:t>
            </w:r>
            <w:r>
              <w:rPr>
                <w:rFonts w:hint="eastAsia" w:ascii="宋体" w:hAnsi="宋体" w:eastAsia="宋体" w:cs="宋体"/>
                <w:sz w:val="21"/>
                <w:szCs w:val="21"/>
                <w:highlight w:val="none"/>
                <w:lang w:val="en-US" w:eastAsia="zh-CN"/>
              </w:rPr>
              <w:t xml:space="preserve">具体</w:t>
            </w:r>
            <w:r>
              <w:rPr>
                <w:rFonts w:hint="default" w:ascii="宋体" w:hAnsi="宋体" w:eastAsia="宋体" w:cs="宋体"/>
                <w:sz w:val="21"/>
                <w:szCs w:val="21"/>
                <w:highlight w:val="none"/>
                <w:lang w:val="en-US" w:eastAsia="zh-CN"/>
              </w:rPr>
              <w:t xml:space="preserve">调试</w:t>
            </w:r>
            <w:r>
              <w:rPr>
                <w:rFonts w:hint="eastAsia" w:ascii="宋体" w:hAnsi="宋体" w:eastAsia="宋体" w:cs="宋体"/>
                <w:sz w:val="21"/>
                <w:szCs w:val="21"/>
                <w:highlight w:val="none"/>
                <w:lang w:val="en-US" w:eastAsia="zh-CN"/>
              </w:rPr>
              <w:t xml:space="preserve">内容</w:t>
            </w:r>
            <w:r>
              <w:rPr>
                <w:rFonts w:hint="default" w:ascii="宋体" w:hAnsi="宋体" w:eastAsia="宋体" w:cs="宋体"/>
                <w:sz w:val="21"/>
                <w:szCs w:val="21"/>
                <w:highlight w:val="none"/>
                <w:lang w:val="en-US" w:eastAsia="zh-CN"/>
              </w:rPr>
              <w:t xml:space="preserve">、指标管控、整改闭环内容</w:t>
            </w:r>
            <w:r>
              <w:rPr>
                <w:rFonts w:hint="eastAsia" w:ascii="宋体" w:hAnsi="宋体" w:eastAsia="宋体" w:cs="宋体"/>
                <w:sz w:val="21"/>
                <w:szCs w:val="21"/>
                <w:highlight w:val="none"/>
                <w:lang w:val="en-US" w:eastAsia="zh-CN"/>
              </w:rPr>
              <w:t xml:space="preserve">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rPr>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未提供方案的得0分</w:t>
            </w:r>
            <w:r>
              <w:rPr>
                <w:rFonts w:hint="eastAsia" w:ascii="宋体" w:hAnsi="宋体" w:cs="宋体"/>
                <w:sz w:val="21"/>
                <w:szCs w:val="21"/>
                <w:highlight w:val="none"/>
                <w:lang w:val="en-US" w:eastAsia="zh-CN"/>
              </w:rPr>
              <w:t xml:space="preserve">。</w:t>
            </w:r>
            <w:r>
              <w:rPr>
                <w:highlight w:val="none"/>
              </w:rPr>
            </w:r>
            <w:r/>
          </w:p>
        </w:tc>
      </w:tr>
    </w:tbl>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t xml:space="preserve">本章说明：本项目采用综合评分法，结果</w:t>
      </w:r>
      <w:r>
        <w:rPr>
          <w:rFonts w:hint="eastAsia" w:ascii="宋体" w:hAnsi="宋体" w:cs="宋体"/>
          <w:color w:val="000000"/>
          <w:sz w:val="24"/>
          <w:szCs w:val="24"/>
          <w:highlight w:val="none"/>
          <w:lang w:val="en-US" w:eastAsia="zh-CN"/>
        </w:rPr>
        <w:t xml:space="preserve">四舍五入</w:t>
      </w:r>
      <w:r>
        <w:rPr>
          <w:rFonts w:hint="eastAsia" w:ascii="宋体" w:hAnsi="宋体" w:eastAsia="宋体" w:cs="宋体"/>
          <w:color w:val="000000"/>
          <w:sz w:val="24"/>
          <w:szCs w:val="24"/>
          <w:highlight w:val="none"/>
        </w:rPr>
        <w:t xml:space="preserve">保留2位小数</w:t>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第五章 拟签订的合同文本</w:t>
      </w:r>
      <w:r>
        <w:rPr>
          <w:highlight w:val="none"/>
        </w:rPr>
      </w:r>
      <w:r/>
    </w:p>
    <w:p>
      <w:pPr>
        <w:rPr>
          <w:rFonts w:hint="eastAsia" w:ascii="宋体" w:hAnsi="宋体" w:cs="宋体"/>
          <w:b/>
          <w:color w:val="000000"/>
          <w:sz w:val="52"/>
          <w:szCs w:val="36"/>
          <w:highlight w:val="none"/>
        </w:rPr>
      </w:pPr>
      <w:r>
        <w:rPr>
          <w:rFonts w:hint="eastAsia" w:ascii="宋体" w:hAnsi="宋体" w:cs="宋体"/>
          <w:b/>
          <w:color w:val="000000"/>
          <w:sz w:val="52"/>
          <w:szCs w:val="36"/>
          <w:highlight w:val="none"/>
        </w:rPr>
      </w:r>
      <w:r>
        <w:rPr>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政 府 采 购 合 同</w:t>
      </w:r>
      <w:r>
        <w:rPr>
          <w:highlight w:val="none"/>
        </w:rPr>
      </w:r>
      <w:r/>
    </w:p>
    <w:p>
      <w:pPr>
        <w:jc w:val="lef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rPr>
          <w:highlight w:val="none"/>
        </w:rPr>
      </w:r>
      <w:r/>
    </w:p>
    <w:p>
      <w:pPr>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rPr>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JSZC-320321-XZSH-G2026-0003</w:t>
      </w:r>
      <w:r>
        <w:rPr>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rPr>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大沙河饮用水源地清水通道监测预警体系建设项目</w:t>
      </w:r>
      <w:r>
        <w:rPr>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rPr>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cs="宋体"/>
          <w:b/>
          <w:color w:val="000000"/>
          <w:sz w:val="30"/>
          <w:szCs w:val="30"/>
          <w:highlight w:val="none"/>
        </w:rPr>
        <w:t xml:space="preserve">采购单位：</w:t>
      </w:r>
      <w:r>
        <w:rPr>
          <w:rFonts w:hint="eastAsia" w:ascii="宋体" w:hAnsi="宋体" w:cs="宋体"/>
          <w:b/>
          <w:color w:val="000000"/>
          <w:sz w:val="30"/>
          <w:szCs w:val="30"/>
          <w:highlight w:val="none"/>
          <w:lang w:eastAsia="zh-CN"/>
        </w:rPr>
        <w:t xml:space="preserve">徐州市丰县生态环境局</w:t>
      </w:r>
      <w:r>
        <w:rPr>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rPr>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中标供应商（乙方）：</w:t>
      </w:r>
      <w:r>
        <w:rPr>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rPr>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签订日期：    年  月  日</w:t>
      </w:r>
      <w:r>
        <w:rPr>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rPr>
          <w:highlight w:val="none"/>
        </w:rPr>
      </w:r>
      <w:r/>
    </w:p>
    <w:p>
      <w:pPr>
        <w:pStyle w:val="838"/>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rPr>
          <w:highlight w:val="none"/>
        </w:rPr>
      </w:r>
      <w:r/>
    </w:p>
    <w:p>
      <w:pPr>
        <w:pStyle w:val="838"/>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友情提醒：采购人与中标、成交供应商应当在中标、成交通知书发出之日起三十日内，按照采购文件确定的事项签订政府采购合同。</w:t>
      </w:r>
      <w:r>
        <w:rPr>
          <w:highlight w:val="none"/>
        </w:rPr>
      </w:r>
      <w:r/>
    </w:p>
    <w:p>
      <w:pPr>
        <w:pStyle w:val="838"/>
        <w:ind w:left="0" w:right="0"/>
        <w:spacing w:after="0" w:line="360" w:lineRule="auto"/>
        <w:rPr>
          <w:rFonts w:hint="eastAsia"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　 方：</w:t>
      </w:r>
      <w:r>
        <w:rPr>
          <w:rFonts w:hint="eastAsia" w:ascii="宋体" w:hAnsi="宋体" w:cs="宋体"/>
          <w:color w:val="000000"/>
          <w:sz w:val="24"/>
          <w:szCs w:val="24"/>
          <w:highlight w:val="none"/>
          <w:lang w:eastAsia="zh-CN"/>
        </w:rPr>
        <w:t xml:space="preserve">徐州市丰县生态环境局</w:t>
      </w:r>
      <w:r>
        <w:rPr>
          <w:rFonts w:hint="eastAsia" w:ascii="宋体" w:hAnsi="宋体" w:eastAsia="宋体" w:cs="宋体"/>
          <w:color w:val="000000"/>
          <w:sz w:val="24"/>
          <w:szCs w:val="24"/>
          <w:highlight w:val="none"/>
        </w:rPr>
        <w:t xml:space="preserve">（以下简称买方）</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   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（以下简称卖方）</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根据《中华人民共和国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》和其他相关法律的有关规定，买卖双方本着平等互利、诚实信用的原则，就买方向卖方采购</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相关事宜，经协商一致签订本合同，双方共同遵守。</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一、合同的组成</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以下文件是本合同不可分割的组成部分，如果不同文件的条款之间有冲突，文件之间的优先顺序如下：</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1、本合同及附件</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3、标准、规范及有关技术文件</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4、技术交底材料</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6、招标文件</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7、形成合同的其他有关文件</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上述文件互为补充和解释，如有不清或相互矛盾之处，以所列顺序在前的为准。</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二、设备名称、数量、价款</w:t>
      </w:r>
      <w:r>
        <w:rPr>
          <w:highlight w:val="none"/>
        </w:rPr>
      </w:r>
      <w:r/>
    </w:p>
    <w:tbl>
      <w:tblPr>
        <w:tblStyle w:val="795"/>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877"/>
        <w:gridCol w:w="1200"/>
        <w:gridCol w:w="1282"/>
        <w:gridCol w:w="3382"/>
        <w:gridCol w:w="654"/>
        <w:gridCol w:w="830"/>
        <w:gridCol w:w="712"/>
        <w:gridCol w:w="627"/>
        <w:gridCol w:w="340"/>
      </w:tblGrid>
      <w:tr>
        <w:trPr>
          <w:jc w:val="center"/>
          <w:trHeight w:val="547"/>
        </w:trPr>
        <w:tc>
          <w:tcPr>
            <w:tcW w:w="413"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highlight w:val="none"/>
              </w:rPr>
            </w:r>
            <w:r/>
          </w:p>
        </w:tc>
        <w:tc>
          <w:tcPr>
            <w:tcW w:w="877"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rPr>
                <w:highlight w:val="none"/>
              </w:rPr>
            </w:r>
            <w:r/>
          </w:p>
        </w:tc>
        <w:tc>
          <w:tcPr>
            <w:tcW w:w="1200"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品牌、</w:t>
            </w:r>
            <w:r>
              <w:rPr>
                <w:rFonts w:hint="eastAsia" w:ascii="宋体" w:hAnsi="宋体" w:eastAsia="宋体" w:cs="宋体"/>
                <w:b/>
                <w:color w:val="000000"/>
                <w:sz w:val="24"/>
                <w:szCs w:val="24"/>
                <w:highlight w:val="none"/>
              </w:rPr>
              <w:t xml:space="preserve">规格</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型号</w:t>
            </w:r>
            <w:r>
              <w:rPr>
                <w:highlight w:val="none"/>
              </w:rPr>
            </w:r>
            <w:r/>
          </w:p>
        </w:tc>
        <w:tc>
          <w:tcPr>
            <w:tcW w:w="1282"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产品制造</w:t>
            </w:r>
            <w:r>
              <w:rPr>
                <w:highlight w:val="none"/>
              </w:rPr>
            </w:r>
            <w:r/>
          </w:p>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企业名称</w:t>
            </w:r>
            <w:r>
              <w:rPr>
                <w:highlight w:val="none"/>
              </w:rPr>
            </w:r>
            <w:r/>
          </w:p>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（全称）</w:t>
            </w:r>
            <w:r>
              <w:rPr>
                <w:highlight w:val="none"/>
              </w:rPr>
            </w:r>
            <w:r/>
          </w:p>
        </w:tc>
        <w:tc>
          <w:tcPr>
            <w:tcW w:w="3382"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产品制造企业的划分（大型、</w:t>
            </w:r>
            <w:r>
              <w:rPr>
                <w:highlight w:val="none"/>
              </w:rPr>
            </w:r>
            <w:r/>
          </w:p>
          <w:p>
            <w:pPr>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中型、小型、微型、监狱企</w:t>
            </w:r>
            <w:r>
              <w:rPr>
                <w:highlight w:val="none"/>
              </w:rPr>
            </w:r>
            <w:r/>
          </w:p>
          <w:p>
            <w:pPr>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业、享受政府采购支持政策</w:t>
            </w:r>
            <w:r>
              <w:rPr>
                <w:highlight w:val="none"/>
              </w:rPr>
            </w:r>
            <w:r/>
          </w:p>
          <w:p>
            <w:pPr>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的残疾人福利性单位）</w:t>
            </w:r>
            <w:r>
              <w:rPr>
                <w:highlight w:val="none"/>
              </w:rPr>
            </w:r>
            <w:r/>
          </w:p>
        </w:tc>
        <w:tc>
          <w:tcPr>
            <w:tcW w:w="654"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highlight w:val="none"/>
              </w:rPr>
            </w:r>
            <w:r/>
          </w:p>
        </w:tc>
        <w:tc>
          <w:tcPr>
            <w:tcW w:w="830"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数量单位</w:t>
            </w:r>
            <w:r>
              <w:rPr>
                <w:highlight w:val="none"/>
              </w:rPr>
            </w:r>
            <w:r/>
          </w:p>
        </w:tc>
        <w:tc>
          <w:tcPr>
            <w:tcW w:w="712"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单价</w:t>
            </w:r>
            <w:r>
              <w:rPr>
                <w:highlight w:val="none"/>
              </w:rPr>
            </w:r>
            <w:r/>
          </w:p>
        </w:tc>
        <w:tc>
          <w:tcPr>
            <w:tcW w:w="627"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总价</w:t>
            </w:r>
            <w:r>
              <w:rPr>
                <w:highlight w:val="none"/>
              </w:rPr>
            </w:r>
            <w:r/>
          </w:p>
        </w:tc>
        <w:tc>
          <w:tcPr>
            <w:tcW w:w="340"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highlight w:val="none"/>
              </w:rPr>
            </w:r>
            <w:r/>
          </w:p>
        </w:tc>
      </w:tr>
      <w:tr>
        <w:trPr>
          <w:jc w:val="center"/>
          <w:trHeight w:val="534"/>
        </w:trPr>
        <w:tc>
          <w:tcPr>
            <w:tcW w:w="41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r/>
          </w:p>
        </w:tc>
        <w:tc>
          <w:tcPr>
            <w:tcW w:w="87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0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33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65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830" w:type="dxa"/>
            <w:vAlign w:val="center"/>
            <w:textDirection w:val="lrTb"/>
            <w:noWrap w:val="false"/>
          </w:tcPr>
          <w:p>
            <w:pPr>
              <w:ind w:right="-205"/>
              <w:jc w:val="both"/>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r>
            <w:r>
              <w:rPr>
                <w:highlight w:val="none"/>
              </w:rPr>
            </w:r>
            <w:r/>
          </w:p>
        </w:tc>
        <w:tc>
          <w:tcPr>
            <w:tcW w:w="712" w:type="dxa"/>
            <w:vAlign w:val="center"/>
            <w:textDirection w:val="lrTb"/>
            <w:noWrap w:val="false"/>
          </w:tcPr>
          <w:p>
            <w:pPr>
              <w:ind w:right="-205"/>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627" w:type="dxa"/>
            <w:vAlign w:val="center"/>
            <w:textDirection w:val="lrTb"/>
            <w:noWrap w:val="false"/>
          </w:tcPr>
          <w:p>
            <w:pPr>
              <w:ind w:right="-161"/>
              <w:jc w:val="center"/>
              <w:spacing w:line="40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34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jc w:val="center"/>
          <w:trHeight w:val="534"/>
        </w:trPr>
        <w:tc>
          <w:tcPr>
            <w:tcW w:w="41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highlight w:val="none"/>
              </w:rPr>
            </w:r>
            <w:r/>
          </w:p>
        </w:tc>
        <w:tc>
          <w:tcPr>
            <w:tcW w:w="87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0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33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65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830" w:type="dxa"/>
            <w:vAlign w:val="center"/>
            <w:textDirection w:val="lrTb"/>
            <w:noWrap w:val="false"/>
          </w:tcPr>
          <w:p>
            <w:pPr>
              <w:ind w:right="-205"/>
              <w:jc w:val="both"/>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r>
            <w:r>
              <w:rPr>
                <w:highlight w:val="none"/>
              </w:rPr>
            </w:r>
            <w:r/>
          </w:p>
        </w:tc>
        <w:tc>
          <w:tcPr>
            <w:tcW w:w="712" w:type="dxa"/>
            <w:vAlign w:val="center"/>
            <w:textDirection w:val="lrTb"/>
            <w:noWrap w:val="false"/>
          </w:tcPr>
          <w:p>
            <w:pPr>
              <w:ind w:right="-205"/>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627" w:type="dxa"/>
            <w:vAlign w:val="center"/>
            <w:textDirection w:val="lrTb"/>
            <w:noWrap w:val="false"/>
          </w:tcPr>
          <w:p>
            <w:pPr>
              <w:ind w:right="-161"/>
              <w:jc w:val="center"/>
              <w:spacing w:line="40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34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jc w:val="center"/>
          <w:trHeight w:val="534"/>
        </w:trPr>
        <w:tc>
          <w:tcPr>
            <w:tcW w:w="41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highlight w:val="none"/>
              </w:rPr>
            </w:r>
            <w:r/>
          </w:p>
        </w:tc>
        <w:tc>
          <w:tcPr>
            <w:tcW w:w="87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0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33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65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830" w:type="dxa"/>
            <w:vAlign w:val="center"/>
            <w:textDirection w:val="lrTb"/>
            <w:noWrap w:val="false"/>
          </w:tcPr>
          <w:p>
            <w:pPr>
              <w:ind w:right="-205"/>
              <w:jc w:val="both"/>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r>
            <w:r>
              <w:rPr>
                <w:highlight w:val="none"/>
              </w:rPr>
            </w:r>
            <w:r/>
          </w:p>
        </w:tc>
        <w:tc>
          <w:tcPr>
            <w:tcW w:w="712" w:type="dxa"/>
            <w:vAlign w:val="center"/>
            <w:textDirection w:val="lrTb"/>
            <w:noWrap w:val="false"/>
          </w:tcPr>
          <w:p>
            <w:pPr>
              <w:ind w:right="-205"/>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627" w:type="dxa"/>
            <w:vAlign w:val="center"/>
            <w:textDirection w:val="lrTb"/>
            <w:noWrap w:val="false"/>
          </w:tcPr>
          <w:p>
            <w:pPr>
              <w:ind w:right="-161"/>
              <w:jc w:val="center"/>
              <w:spacing w:line="40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tc>
        <w:tc>
          <w:tcPr>
            <w:tcW w:w="34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jc w:val="center"/>
          <w:trHeight w:val="534"/>
        </w:trPr>
        <w:tc>
          <w:tcPr>
            <w:gridSpan w:val="2"/>
            <w:tcW w:w="129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highlight w:val="none"/>
              </w:rPr>
            </w:r>
            <w:r/>
          </w:p>
        </w:tc>
        <w:tc>
          <w:tcPr>
            <w:gridSpan w:val="8"/>
            <w:tcW w:w="902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小写： 元</w:t>
            </w:r>
            <w:r>
              <w:rPr>
                <w:highlight w:val="none"/>
              </w:rPr>
            </w:r>
            <w:r/>
          </w:p>
        </w:tc>
      </w:tr>
    </w:tbl>
    <w:p>
      <w:pPr>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ind w:firstLine="48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 2、合同价款：</w:t>
      </w:r>
      <w:r>
        <w:rPr>
          <w:highlight w:val="none"/>
        </w:rPr>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u w:val="single"/>
        </w:rPr>
        <w:t xml:space="preserve">人民币：</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元）</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（1）价格包含成套设备本身及送达买方指定地点、卸货、机组安装、系统安装、税金、验收、系统调试、售后服务等所有费用。</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（2）如卖方在投标时设备清单内出现没有报价的漏项配件，卖方按照招标文件要求提供相应货物，不再另外收取任何费用。</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（3）在合同履行过程中，若买方提出相关变更，买方提前15日通知卖方，结算时调整合同价，变更部分结算单价格投标文件包含的，参照投标文件单价进行调整，投标文件不包含的，由审计部门审定后进行调整。</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（4）技术交底、联系单、签证单作为结算依据。</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禁止各种形式的转包分包，若私下进行转包分包产生纠纷导致的各类费用直接从该项目工程款中提前支付，同时处以合同价的10%的罚款</w:t>
      </w:r>
      <w:r>
        <w:rPr>
          <w:rFonts w:hint="eastAsia" w:ascii="宋体" w:hAnsi="宋体" w:eastAsia="宋体" w:cs="宋体"/>
          <w:color w:val="000000"/>
          <w:sz w:val="24"/>
          <w:szCs w:val="24"/>
          <w:highlight w:val="none"/>
          <w:lang w:eastAsia="zh-CN"/>
        </w:rPr>
        <w:t xml:space="preserve">。</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3、技术参数</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三、付款</w:t>
      </w:r>
      <w:r>
        <w:rPr>
          <w:rFonts w:hint="eastAsia" w:ascii="宋体" w:hAnsi="宋体" w:cs="宋体"/>
          <w:b/>
          <w:color w:val="000000"/>
          <w:sz w:val="24"/>
          <w:szCs w:val="24"/>
          <w:highlight w:val="none"/>
          <w:lang w:val="en-US" w:eastAsia="zh-CN"/>
        </w:rPr>
        <w:t xml:space="preserve">方式</w:t>
      </w:r>
      <w:r>
        <w:rPr>
          <w:highlight w:val="none"/>
        </w:rPr>
      </w:r>
      <w:r/>
    </w:p>
    <w:p>
      <w:pPr>
        <w:ind w:firstLine="48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1、合同签订后30个工作日内，甲方向乙方支付合同总金额的10%；</w:t>
      </w:r>
      <w:r>
        <w:rPr>
          <w:rFonts w:hint="eastAsia" w:ascii="宋体" w:hAnsi="宋体" w:eastAsia="宋体" w:cs="宋体"/>
          <w:color w:val="000000"/>
          <w:sz w:val="24"/>
          <w:szCs w:val="24"/>
          <w:highlight w:val="none"/>
        </w:rPr>
        <w:t xml:space="preserve">合同标的全部交付并安装</w:t>
      </w:r>
      <w:r>
        <w:rPr>
          <w:rFonts w:hint="eastAsia" w:ascii="宋体" w:hAnsi="宋体" w:eastAsia="宋体" w:cs="宋体"/>
          <w:color w:val="000000"/>
          <w:sz w:val="24"/>
          <w:szCs w:val="24"/>
          <w:highlight w:val="none"/>
          <w:lang w:val="en-US" w:eastAsia="zh-CN"/>
        </w:rPr>
        <w:t xml:space="preserve">调试完成、</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lang w:val="en-US" w:eastAsia="zh-CN"/>
        </w:rPr>
        <w:t xml:space="preserve">通过后30个工作日内付清。</w:t>
      </w:r>
      <w:r>
        <w:rPr>
          <w:highlight w:val="none"/>
        </w:rPr>
      </w:r>
      <w:r/>
    </w:p>
    <w:p>
      <w:pPr>
        <w:pStyle w:val="815"/>
        <w:ind w:left="0" w:right="0" w:firstLine="540"/>
        <w:jc w:val="both"/>
        <w:keepLines w:val="0"/>
        <w:keepNext w:val="0"/>
        <w:spacing w:before="0" w:beforeAutospacing="0" w:after="0" w:afterAutospacing="0" w:line="360" w:lineRule="auto"/>
        <w:widowControl w:val="off"/>
        <w:rPr>
          <w:rFonts w:hint="eastAsia" w:ascii="宋体" w:hAnsi="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2、每次付款前</w:t>
      </w:r>
      <w:r>
        <w:rPr>
          <w:rFonts w:hint="eastAsia" w:ascii="宋体" w:hAnsi="宋体" w:eastAsia="宋体" w:cs="宋体"/>
          <w:color w:val="000000"/>
          <w:sz w:val="24"/>
          <w:szCs w:val="24"/>
          <w:highlight w:val="none"/>
          <w:lang w:val="en-US" w:eastAsia="zh-CN"/>
        </w:rPr>
        <w:t xml:space="preserve">卖</w:t>
      </w:r>
      <w:r>
        <w:rPr>
          <w:rFonts w:hint="eastAsia" w:ascii="宋体" w:hAnsi="宋体" w:eastAsia="宋体" w:cs="宋体"/>
          <w:color w:val="000000"/>
          <w:sz w:val="24"/>
          <w:szCs w:val="24"/>
          <w:highlight w:val="none"/>
        </w:rPr>
        <w:t xml:space="preserve">方需提交</w:t>
      </w:r>
      <w:r>
        <w:rPr>
          <w:rFonts w:hint="eastAsia" w:ascii="宋体" w:hAnsi="宋体" w:cs="宋体"/>
          <w:color w:val="000000"/>
          <w:sz w:val="24"/>
          <w:szCs w:val="24"/>
          <w:highlight w:val="none"/>
          <w:lang w:val="en-US" w:eastAsia="zh-CN"/>
        </w:rPr>
        <w:t xml:space="preserve">与付款金额一致的增值税</w:t>
      </w:r>
      <w:r>
        <w:rPr>
          <w:rFonts w:hint="eastAsia" w:ascii="宋体" w:hAnsi="宋体" w:eastAsia="宋体" w:cs="宋体"/>
          <w:color w:val="000000"/>
          <w:sz w:val="24"/>
          <w:szCs w:val="24"/>
          <w:highlight w:val="none"/>
          <w:lang w:val="en-US" w:eastAsia="zh-CN"/>
        </w:rPr>
        <w:t xml:space="preserve">发票；</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四、质保期</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质保期自产品安装调试完成验收合格之日起满</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五、交货</w:t>
      </w:r>
      <w:r>
        <w:rPr>
          <w:highlight w:val="none"/>
        </w:rPr>
      </w:r>
      <w:r/>
    </w:p>
    <w:p>
      <w:pPr>
        <w:pStyle w:val="869"/>
        <w:ind w:firstLine="540"/>
        <w:spacing w:line="520" w:lineRule="exact"/>
        <w:rPr>
          <w:rFonts w:hAnsi="宋体" w:cs="宋体"/>
          <w:highlight w:val="none"/>
        </w:rPr>
      </w:pPr>
      <w:r>
        <w:rPr>
          <w:rFonts w:hint="eastAsia" w:hAnsi="宋体" w:cs="宋体"/>
          <w:highlight w:val="none"/>
          <w:lang w:val="en-US" w:eastAsia="zh-CN"/>
        </w:rPr>
        <w:t xml:space="preserve">1、</w:t>
      </w:r>
      <w:r>
        <w:rPr>
          <w:rFonts w:hint="eastAsia" w:hAnsi="宋体" w:cs="宋体"/>
          <w:highlight w:val="none"/>
        </w:rPr>
        <w:t xml:space="preserve">卖方应于合同生效日后，</w:t>
      </w:r>
      <w:r>
        <w:rPr>
          <w:rFonts w:hint="eastAsia" w:hAnsi="宋体" w:cs="宋体"/>
          <w:highlight w:val="none"/>
          <w:lang w:val="en-US" w:eastAsia="zh-CN"/>
        </w:rPr>
        <w:t xml:space="preserve">在接到买方供货通知之日起</w:t>
      </w:r>
      <w:r>
        <w:rPr>
          <w:rFonts w:hint="eastAsia" w:hAnsi="宋体" w:cs="宋体"/>
          <w:highlight w:val="none"/>
          <w:u w:val="single"/>
          <w:lang w:val="en-US" w:eastAsia="zh-CN"/>
        </w:rPr>
        <w:t xml:space="preserve">  60  </w:t>
      </w:r>
      <w:r>
        <w:rPr>
          <w:rFonts w:hint="eastAsia" w:hAnsi="宋体" w:cs="宋体"/>
          <w:highlight w:val="none"/>
          <w:lang w:val="en-US" w:eastAsia="zh-CN"/>
        </w:rPr>
        <w:t xml:space="preserve">个日历天内供货及安装调试完毕</w:t>
      </w:r>
      <w:r>
        <w:rPr>
          <w:rFonts w:hint="eastAsia" w:hAnsi="宋体" w:cs="宋体"/>
          <w:highlight w:val="none"/>
        </w:rPr>
        <w:t xml:space="preserve">。</w:t>
      </w:r>
      <w:r>
        <w:rPr>
          <w:highlight w:val="none"/>
        </w:rPr>
      </w:r>
      <w:r/>
    </w:p>
    <w:p>
      <w:pPr>
        <w:pStyle w:val="869"/>
        <w:ind w:firstLine="540"/>
        <w:spacing w:line="520" w:lineRule="exact"/>
        <w:rPr>
          <w:rFonts w:hAnsi="宋体" w:cs="宋体"/>
          <w:highlight w:val="none"/>
        </w:rPr>
      </w:pPr>
      <w:r>
        <w:rPr>
          <w:rFonts w:hint="eastAsia" w:hAnsi="宋体" w:cs="宋体"/>
          <w:highlight w:val="none"/>
          <w:lang w:val="en-US" w:eastAsia="zh-CN"/>
        </w:rPr>
        <w:t xml:space="preserve">2、</w:t>
      </w:r>
      <w:r>
        <w:rPr>
          <w:rFonts w:hint="eastAsia" w:hAnsi="宋体" w:cs="宋体"/>
          <w:highlight w:val="none"/>
        </w:rPr>
        <w:t xml:space="preserve"> 交货地点为买方指定地点。</w:t>
      </w:r>
      <w:r>
        <w:rPr>
          <w:highlight w:val="none"/>
        </w:rPr>
      </w:r>
      <w:r/>
    </w:p>
    <w:p>
      <w:pPr>
        <w:pStyle w:val="869"/>
        <w:ind w:firstLine="540"/>
        <w:spacing w:line="520" w:lineRule="exact"/>
        <w:rPr>
          <w:rFonts w:hAnsi="宋体" w:cs="宋体"/>
          <w:highlight w:val="none"/>
        </w:rPr>
      </w:pPr>
      <w:r>
        <w:rPr>
          <w:rFonts w:hint="eastAsia" w:hAnsi="宋体" w:cs="宋体"/>
          <w:highlight w:val="none"/>
          <w:lang w:val="en-US" w:eastAsia="zh-CN"/>
        </w:rPr>
        <w:t xml:space="preserve">3、</w:t>
      </w:r>
      <w:r>
        <w:rPr>
          <w:rFonts w:hint="eastAsia" w:hAnsi="宋体" w:cs="宋体"/>
          <w:highlight w:val="none"/>
        </w:rPr>
        <w:t xml:space="preserve">卖方应在不迟于每批合同标的备妥待运前</w:t>
      </w:r>
      <w:r>
        <w:rPr>
          <w:rFonts w:hint="eastAsia" w:hAnsi="宋体" w:cs="宋体"/>
          <w:highlight w:val="none"/>
          <w:u w:val="single"/>
        </w:rPr>
        <w:t xml:space="preserve"> 5</w:t>
      </w:r>
      <w:r>
        <w:rPr>
          <w:rFonts w:hint="eastAsia" w:hAnsi="宋体" w:cs="宋体"/>
          <w:highlight w:val="none"/>
        </w:rPr>
        <w:t xml:space="preserve">日通知买方。</w:t>
      </w:r>
      <w:r>
        <w:rPr>
          <w:highlight w:val="none"/>
        </w:rPr>
      </w:r>
      <w:r/>
    </w:p>
    <w:p>
      <w:pPr>
        <w:pStyle w:val="869"/>
        <w:ind w:firstLine="540"/>
        <w:spacing w:line="520" w:lineRule="exact"/>
        <w:rPr>
          <w:rFonts w:hAnsi="宋体" w:cs="宋体"/>
          <w:highlight w:val="none"/>
        </w:rPr>
      </w:pPr>
      <w:r>
        <w:rPr>
          <w:rFonts w:hint="eastAsia" w:hAnsi="宋体" w:cs="宋体"/>
          <w:highlight w:val="none"/>
          <w:lang w:val="en-US" w:eastAsia="zh-CN"/>
        </w:rPr>
        <w:t xml:space="preserve">4、</w:t>
      </w:r>
      <w:r>
        <w:rPr>
          <w:rFonts w:hint="eastAsia" w:hAnsi="宋体" w:cs="宋体"/>
          <w:highlight w:val="none"/>
        </w:rPr>
        <w:t xml:space="preserve">如果卖方未能按照合同规定的交货期限交货，卖方应按每天迟交合同标的金额的百分之</w:t>
      </w:r>
      <w:r>
        <w:rPr>
          <w:rFonts w:hint="eastAsia" w:hAnsi="宋体" w:cs="宋体"/>
          <w:highlight w:val="none"/>
          <w:u w:val="single"/>
        </w:rPr>
        <w:t xml:space="preserve">一</w:t>
      </w:r>
      <w:r>
        <w:rPr>
          <w:rFonts w:hint="eastAsia" w:hAnsi="宋体" w:cs="宋体"/>
          <w:highlight w:val="none"/>
        </w:rPr>
        <w:t xml:space="preserve">(</w:t>
      </w:r>
      <w:r>
        <w:rPr>
          <w:rFonts w:hint="eastAsia" w:hAnsi="宋体" w:cs="宋体"/>
          <w:highlight w:val="none"/>
          <w:u w:val="single"/>
        </w:rPr>
        <w:t xml:space="preserve">1</w:t>
      </w:r>
      <w:r>
        <w:rPr>
          <w:rFonts w:hint="eastAsia" w:hAnsi="宋体" w:cs="宋体"/>
          <w:highlight w:val="none"/>
        </w:rPr>
        <w:t xml:space="preserve">%)的比率支付违约金。违约金的总金额不超过合同总价的百分之</w:t>
      </w:r>
      <w:r>
        <w:rPr>
          <w:rFonts w:hint="eastAsia" w:hAnsi="宋体" w:cs="宋体"/>
          <w:highlight w:val="none"/>
          <w:u w:val="single"/>
        </w:rPr>
        <w:t xml:space="preserve">十</w:t>
      </w:r>
      <w:r>
        <w:rPr>
          <w:rFonts w:hint="eastAsia" w:hAnsi="宋体" w:cs="宋体"/>
          <w:highlight w:val="none"/>
        </w:rPr>
        <w:t xml:space="preserve">(</w:t>
      </w:r>
      <w:r>
        <w:rPr>
          <w:rFonts w:hint="eastAsia" w:hAnsi="宋体" w:cs="宋体"/>
          <w:highlight w:val="none"/>
          <w:u w:val="single"/>
        </w:rPr>
        <w:t xml:space="preserve">10</w:t>
      </w:r>
      <w:r>
        <w:rPr>
          <w:rFonts w:hint="eastAsia" w:hAnsi="宋体" w:cs="宋体"/>
          <w:highlight w:val="none"/>
        </w:rPr>
        <w:t xml:space="preserve">%) ，违约金的支付不能免除卖方继续交付相关合同标的的义务。</w:t>
      </w:r>
      <w:r>
        <w:rPr>
          <w:highlight w:val="none"/>
        </w:rPr>
      </w:r>
      <w:r/>
    </w:p>
    <w:p>
      <w:pPr>
        <w:pStyle w:val="869"/>
        <w:ind w:firstLine="540"/>
        <w:spacing w:line="520" w:lineRule="exact"/>
        <w:rPr>
          <w:rFonts w:hAnsi="宋体" w:cs="宋体"/>
          <w:highlight w:val="none"/>
        </w:rPr>
      </w:pPr>
      <w:r>
        <w:rPr>
          <w:rFonts w:hint="eastAsia" w:hAnsi="宋体" w:cs="宋体"/>
          <w:highlight w:val="none"/>
        </w:rPr>
        <w:t xml:space="preserve">如果卖方在合同规定的交货期限后</w:t>
      </w:r>
      <w:r>
        <w:rPr>
          <w:rFonts w:hint="eastAsia" w:hAnsi="宋体" w:cs="宋体"/>
          <w:highlight w:val="none"/>
          <w:u w:val="single"/>
        </w:rPr>
        <w:t xml:space="preserve">十</w:t>
      </w:r>
      <w:r>
        <w:rPr>
          <w:rFonts w:hint="eastAsia" w:hAnsi="宋体" w:cs="宋体"/>
          <w:highlight w:val="none"/>
        </w:rPr>
        <w:t xml:space="preserve">日内仍未能交付全部或部分标的，在不妨碍买方采取其他救济手段的情况下，买方可以向卖方发出书面违约通知从而全部或部分地终止合同。</w:t>
      </w:r>
      <w:r>
        <w:rPr>
          <w:highlight w:val="none"/>
        </w:rPr>
      </w:r>
      <w:r/>
    </w:p>
    <w:p>
      <w:pPr>
        <w:ind w:firstLine="480"/>
        <w:spacing w:line="360" w:lineRule="auto"/>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val="en-US" w:eastAsia="zh-CN"/>
        </w:rPr>
        <w:t xml:space="preserve">、联系方式</w:t>
      </w:r>
      <w:r>
        <w:rPr>
          <w:highlight w:val="none"/>
        </w:rPr>
      </w:r>
      <w:r/>
    </w:p>
    <w:p>
      <w:pPr>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买方现场负责人：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联系电话：</w:t>
      </w:r>
      <w:r>
        <w:rPr>
          <w:rFonts w:hint="eastAsia" w:ascii="宋体" w:hAnsi="宋体" w:eastAsia="宋体" w:cs="宋体"/>
          <w:color w:val="000000"/>
          <w:sz w:val="24"/>
          <w:szCs w:val="24"/>
          <w:highlight w:val="none"/>
          <w:u w:val="single"/>
          <w:lang w:val="en-US" w:eastAsia="zh-CN"/>
        </w:rPr>
        <w:t xml:space="preserve">               。</w:t>
      </w:r>
      <w:r>
        <w:rPr>
          <w:highlight w:val="none"/>
        </w:rPr>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卖方现场负责人：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联系电话：</w:t>
      </w:r>
      <w:r>
        <w:rPr>
          <w:rFonts w:hint="eastAsia" w:ascii="宋体" w:hAnsi="宋体" w:eastAsia="宋体" w:cs="宋体"/>
          <w:color w:val="000000"/>
          <w:sz w:val="24"/>
          <w:szCs w:val="24"/>
          <w:highlight w:val="none"/>
          <w:u w:val="single"/>
          <w:lang w:val="en-US" w:eastAsia="zh-CN"/>
        </w:rPr>
        <w:t xml:space="preserve">               。</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六、设备验收</w:t>
      </w:r>
      <w:r>
        <w:rPr>
          <w:highlight w:val="none"/>
        </w:rPr>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由买方组织相关验收小组人员和卖方共同现场进行验收。</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验收内容</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总体验收要求 本项目所有供货设备必须为全新原厂合格产品，无翻新、返修、改制产品；设备、配件、软件的型号、规格、技术参数、配置不得低于本招标文件技术要求，符合国家及行业现行有效标准。验收分到货初验和安装调试完成终验两个阶段，全部验收项合格后方视为整体验收通过。</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到货初验（到货现场完成） </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rPr>
        <w:t xml:space="preserve">核对设备主机、附件、备件、专用工具的型号、序列号、数量，与投标供货清单、招标文件要求一致，无错发、漏发、少发。 </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1.2.2</w:t>
      </w:r>
      <w:r>
        <w:rPr>
          <w:rFonts w:hint="eastAsia" w:ascii="宋体" w:hAnsi="宋体" w:eastAsia="宋体" w:cs="宋体"/>
          <w:color w:val="000000"/>
          <w:sz w:val="24"/>
          <w:szCs w:val="24"/>
          <w:highlight w:val="none"/>
        </w:rPr>
        <w:t xml:space="preserve">外包装完好，无碰撞、破损、受潮；设备外壳无变形、锈蚀、开裂、严重划痕；设备铭牌标识完整清晰，包含设备名称、型号、出厂编号、生产厂家、出厂日期。 </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1.2.3</w:t>
      </w:r>
      <w:r>
        <w:rPr>
          <w:rFonts w:hint="eastAsia" w:ascii="宋体" w:hAnsi="宋体" w:eastAsia="宋体" w:cs="宋体"/>
          <w:color w:val="000000"/>
          <w:sz w:val="24"/>
          <w:szCs w:val="24"/>
          <w:highlight w:val="none"/>
        </w:rPr>
        <w:t xml:space="preserve">同步清点随货技术资料，资料不齐全的，初验不予通过。</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初验仅核对实物外观、数量、资料，不代表设备性能合格，不免除供方后续调试、性能达标责任。</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技术资料验收（初验必查项） 供应商须随设备提供全套纸质资料（同时提供电子版一套），包含但不限于：设备出厂合格证、出厂检验报告、产品说明书、操作手册、维修维护手册、接线图；软件产品须提供软件授权证书、介质、序列号；招标文件及技术协议约定的其他证明文件。资料缺失、版本错误视为初验不合格。</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安装调试及功能性能验收（终验核心） 设备完成安装、接线、调试工作后，逐项开展功能与性能测试： </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设备通电启动正常，各模块、接口、显示、通讯等全部功能实现，无报错、死机、异常告警； </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设备关键技术指标实测不低于招标文件技术参数要求； </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配套软件系统全部约定功能正常运行，数据交互满足使用要求。 关键参数不达标、主要功能缺失，直接判定终验不合格。</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试运行考核 设备调试完成后开展连续试运行</w:t>
      </w:r>
      <w:r>
        <w:rPr>
          <w:rFonts w:hint="eastAsia" w:ascii="宋体" w:hAnsi="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小时。试运行期间设备运行稳定，无异常停机、无重大故障，各项运行指标满足实际使用需求；试运行出现故障，由中标供应商排查整改后重新计算试运行周期。</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安全及配套件验收 设备安全防护装置齐全有效，电气安全符合国家规范，接地可靠，无漏电、异响、异味等安全隐患；随货备件、耗材、专用工具品种、数量与投标清单一致。</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不合格处理要求 出现下列情形之一，验收不合格： </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设备非全新原厂、型号配置与招标要求不符；</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关键技术参数、主要功能达不到招标文件要求；</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rPr>
        <w:t xml:space="preserve">资料缺失无法补齐；</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试运行故障频发，无法满足使用；</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外观严重损坏且无法修复更换。 验收不合格，中标供应商须在</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日历天内完成更换、维修、补全资料配件，由此产生全部费用由中标供应商承担；逾期未整改到位，按照招标文件及合同违约条款执行。</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验收通过判定到货初验、资料核查、性能测试、试运行全部符合上述标准，甲乙双方签署《项目设备验收报告》，验收正式通过；质保期自验收报告签署之日起开始计算。</w:t>
      </w:r>
      <w:r>
        <w:rPr>
          <w:highlight w:val="none"/>
        </w:rPr>
      </w:r>
      <w:r/>
    </w:p>
    <w:p>
      <w:pPr>
        <w:ind w:firstLine="56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验收标准：</w:t>
      </w:r>
      <w:r>
        <w:rPr>
          <w:rFonts w:hint="eastAsia" w:ascii="宋体" w:hAnsi="宋体" w:cs="Times New Roman"/>
          <w:sz w:val="24"/>
          <w:szCs w:val="24"/>
          <w:highlight w:val="none"/>
          <w:lang w:val="en-US" w:eastAsia="zh-CN" w:bidi="ar-SA"/>
        </w:rPr>
        <w:t xml:space="preserve">满足招标文件要求，且需</w:t>
      </w:r>
      <w:r>
        <w:rPr>
          <w:rFonts w:hint="eastAsia" w:ascii="宋体" w:hAnsi="宋体" w:eastAsia="宋体" w:cs="Times New Roman"/>
          <w:sz w:val="24"/>
          <w:szCs w:val="24"/>
          <w:highlight w:val="none"/>
          <w:lang w:val="en-US" w:eastAsia="zh-CN" w:bidi="ar-SA"/>
        </w:rPr>
        <w:t xml:space="preserve">达到</w:t>
      </w:r>
      <w:r>
        <w:rPr>
          <w:rFonts w:hint="eastAsia" w:ascii="宋体" w:hAnsi="宋体" w:cs="Times New Roman"/>
          <w:sz w:val="24"/>
          <w:szCs w:val="24"/>
          <w:highlight w:val="none"/>
          <w:lang w:val="en-US" w:eastAsia="zh-CN" w:bidi="ar-SA"/>
        </w:rPr>
        <w:t xml:space="preserve">相关</w:t>
      </w:r>
      <w:r>
        <w:rPr>
          <w:rFonts w:hint="eastAsia" w:ascii="宋体" w:hAnsi="宋体" w:eastAsia="宋体" w:cs="Times New Roman"/>
          <w:sz w:val="24"/>
          <w:szCs w:val="24"/>
          <w:highlight w:val="none"/>
          <w:lang w:val="en-US" w:eastAsia="zh-CN" w:bidi="ar-SA"/>
        </w:rPr>
        <w:t xml:space="preserve">国家</w:t>
      </w:r>
      <w:r>
        <w:rPr>
          <w:rFonts w:hint="eastAsia" w:ascii="宋体" w:hAnsi="宋体" w:cs="Times New Roman"/>
          <w:sz w:val="24"/>
          <w:szCs w:val="24"/>
          <w:highlight w:val="none"/>
          <w:lang w:val="en-US" w:eastAsia="zh-CN" w:bidi="ar-SA"/>
        </w:rPr>
        <w:t xml:space="preserve">、地方、行业</w:t>
      </w:r>
      <w:r>
        <w:rPr>
          <w:rFonts w:hint="eastAsia" w:ascii="宋体" w:hAnsi="宋体" w:eastAsia="宋体" w:cs="Times New Roman"/>
          <w:sz w:val="24"/>
          <w:szCs w:val="24"/>
          <w:highlight w:val="none"/>
          <w:lang w:val="en-US" w:eastAsia="zh-CN" w:bidi="ar-SA"/>
        </w:rPr>
        <w:t xml:space="preserve">标准</w:t>
      </w:r>
      <w:r>
        <w:rPr>
          <w:rFonts w:hint="eastAsia" w:ascii="宋体" w:hAnsi="宋体" w:cs="Times New Roman"/>
          <w:sz w:val="24"/>
          <w:szCs w:val="24"/>
          <w:highlight w:val="none"/>
          <w:lang w:val="en-US" w:eastAsia="zh-CN" w:bidi="ar-SA"/>
        </w:rPr>
        <w:t xml:space="preserve">。</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七、质量保证与售后服务</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本项目最终安装调试验收合格，卖方应提供</w:t>
      </w:r>
      <w:r>
        <w:rPr>
          <w:rFonts w:hint="eastAsia" w:ascii="宋体" w:hAnsi="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rPr>
        <w:t xml:space="preserve">年的质保期（质保期自</w:t>
      </w:r>
      <w:r>
        <w:rPr>
          <w:rFonts w:hint="eastAsia" w:ascii="宋体" w:hAnsi="宋体" w:cs="宋体"/>
          <w:color w:val="000000"/>
          <w:sz w:val="24"/>
          <w:szCs w:val="24"/>
          <w:highlight w:val="none"/>
          <w:lang w:val="en-US" w:eastAsia="zh-CN"/>
        </w:rPr>
        <w:t xml:space="preserve">终</w:t>
      </w:r>
      <w:r>
        <w:rPr>
          <w:rFonts w:hint="eastAsia" w:ascii="宋体" w:hAnsi="宋体" w:eastAsia="宋体" w:cs="宋体"/>
          <w:color w:val="000000"/>
          <w:sz w:val="24"/>
          <w:szCs w:val="24"/>
          <w:highlight w:val="none"/>
        </w:rPr>
        <w:t xml:space="preserve">验收合格之日算起。质保期内免费更换所有非人为造成的损坏部件，更换的损坏部件应与投标时的质量相同或高于投标时的质量，同时质保期内免费提供维修保养（卖方承担所有维保费用），</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八、安全责任</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卖方及卖方派到买方现场的人员应遵守安全规范，卖方对其在买方服务期间发生的任何意外承担全部责任。</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如因卖方设备质量原因导致发生的任何意外，则由卖方承担全部责任。</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九、违约责任</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1、设备在验收、安装调试、质保期间，如果买方发现采购设备的质量或性能存在缺陷，可视问题的严重性选择以下合理的处理措施之一：</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卖方在发现缺陷后3日内修复或更换，修复或更换后仍然不能满足设计要求，买方有权解除合同，由卖方退还所有已收取的价款及费用并承担由此给买方造成的一切损失和费用，包括延误项目实施造成的经济损失；</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（2）如因卖方提供的设备完全不符合双方于合同附件约定的技术要求，致使买方不能实现合同目的，买方有权立即解除合同，并由卖方退还所有已收取的价款及费用，同时承担给买方造成的经济损失。 </w:t>
      </w:r>
      <w:r>
        <w:rPr>
          <w:highlight w:val="none"/>
        </w:rPr>
      </w:r>
      <w:r/>
    </w:p>
    <w:p>
      <w:pPr>
        <w:ind w:left="105"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2、误期违约金：卖方未在本合同约定时间内完成相应设备供货，除了合同条款规定的情况外，每拖延一天按合同总价款的</w:t>
      </w:r>
      <w:r>
        <w:rPr>
          <w:rFonts w:hint="eastAsia" w:ascii="宋体" w:hAnsi="宋体" w:cs="宋体"/>
          <w:color w:val="000000"/>
          <w:sz w:val="24"/>
          <w:szCs w:val="24"/>
          <w:highlight w:val="none"/>
          <w:lang w:val="en-US" w:eastAsia="zh-CN"/>
        </w:rPr>
        <w:t xml:space="preserve">百</w:t>
      </w:r>
      <w:r>
        <w:rPr>
          <w:rFonts w:hint="eastAsia" w:ascii="宋体" w:hAnsi="宋体" w:eastAsia="宋体" w:cs="宋体"/>
          <w:color w:val="000000"/>
          <w:sz w:val="24"/>
          <w:szCs w:val="24"/>
          <w:highlight w:val="none"/>
        </w:rPr>
        <w:t xml:space="preserve">分之一计算违约金。买方可以从</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支付款中直接扣除。</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十、不可抗力</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是指合同订立以后发生的双方当事人订立合同时不能预见的、不能避免的，人力不可控制的意外事故，导致合同不能履行或不能按期履行。不可抗力主要包括水灾、旱灾、地震、海啸、泥石流等自然条件引起的事故以及战争、暴动、罢工、政府禁令等社会条件引起的事故。</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任何一方由于不可抗力且自身无过错造成的延迟履行、不能履行或部分不能履行本合同的义务将不视为违约，但应在条件允许下采取一切必要的救济措施，减少因不可抗力造成的损失。</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遇有不可抗力的一方应在不可抗力发生之日起十五日内，向合同另一方提交不能履行或部分不能履行以及需要延期履行本合同义务的理由的报告，及有关部门出具的证明。</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十一、解决合同纠纷的方法</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1、在执行本合同中所发生的或与本合同有关的一切争端，买卖双方应通过友好协商解决；如协商不能解决，双方可直接向买方所在地的人民法院起诉。</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2、任何一方违约由违约方承担涉及诉讼的一切费用（包括律师费、差旅费等）。</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十二、合同的终止</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如卖方无法履行合同规定的义务或者在合同实施过程中有谎报事实，损害买方利益的等欺诈行为；或买方违反合同约定，不履行给付义务。守约一方有权选择解除合同。</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十三、合同附件</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招标文件、投标文件及中标通知书均为本合同的法定附件，属本合同不可分割部分，具有同等效力。</w:t>
      </w:r>
      <w:r>
        <w:rPr>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十四、合同的生效</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1、本合同经双方法定代表人或授权代理人签字并加盖公章后生效。</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2、本合同一式伍份，买方执贰份，卖方执叁份，均具同等法律效力。</w:t>
      </w:r>
      <w:r>
        <w:rPr>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3、本合同未尽事宜，按中华人民共和国有关法律、法规办理。</w:t>
      </w:r>
      <w:r>
        <w:rPr>
          <w:highlight w:val="none"/>
        </w:rPr>
      </w:r>
      <w:r/>
    </w:p>
    <w:tbl>
      <w:tblPr>
        <w:tblStyle w:val="795"/>
        <w:tblpPr w:horzAnchor="page" w:tblpX="1305" w:vertAnchor="text" w:tblpY="177" w:leftFromText="180" w:topFromText="0" w:rightFromText="180" w:bottomFromText="0"/>
        <w:tblW w:w="10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6"/>
        <w:gridCol w:w="4786"/>
      </w:tblGrid>
      <w:tr>
        <w:trPr>
          <w:trHeight w:val="368"/>
        </w:trPr>
        <w:tc>
          <w:tcPr>
            <w:tcW w:w="5286"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买方（章）：</w:t>
            </w:r>
            <w:r>
              <w:rPr>
                <w:rFonts w:hint="eastAsia" w:ascii="宋体" w:hAnsi="宋体" w:cs="宋体"/>
                <w:color w:val="000000"/>
                <w:sz w:val="24"/>
                <w:szCs w:val="24"/>
                <w:highlight w:val="none"/>
                <w:lang w:eastAsia="zh-CN"/>
              </w:rPr>
              <w:t xml:space="preserve">徐州市丰县生态环境局</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w:t>
            </w:r>
            <w:r>
              <w:rPr>
                <w:rFonts w:hint="eastAsia" w:ascii="宋体" w:hAnsi="宋体" w:eastAsia="宋体" w:cs="宋体"/>
                <w:bCs/>
                <w:color w:val="000000"/>
                <w:sz w:val="24"/>
                <w:szCs w:val="24"/>
                <w:highlight w:val="none"/>
              </w:rPr>
              <w:t xml:space="preserve">江苏</w:t>
            </w:r>
            <w:r>
              <w:rPr>
                <w:rFonts w:hint="eastAsia" w:ascii="宋体" w:hAnsi="宋体" w:cs="宋体"/>
                <w:bCs/>
                <w:color w:val="000000"/>
                <w:sz w:val="24"/>
                <w:szCs w:val="24"/>
                <w:highlight w:val="none"/>
                <w:lang w:eastAsia="zh-CN"/>
              </w:rPr>
              <w:t xml:space="preserve">丰县飞龙湖北侧</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订立日期：                                      </w:t>
            </w:r>
            <w:r>
              <w:rPr>
                <w:highlight w:val="none"/>
              </w:rPr>
            </w:r>
            <w:r/>
          </w:p>
        </w:tc>
        <w:tc>
          <w:tcPr>
            <w:tcW w:w="4786"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卖方（章）：</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订立日期：</w:t>
            </w:r>
            <w:r>
              <w:rPr>
                <w:highlight w:val="none"/>
              </w:rPr>
            </w:r>
            <w:r/>
          </w:p>
        </w:tc>
      </w:tr>
    </w:tbl>
    <w:p>
      <w:pPr>
        <w:spacing w:line="360" w:lineRule="auto"/>
        <w:rPr>
          <w:rFonts w:hint="eastAsia" w:ascii="宋体" w:hAnsi="宋体" w:eastAsia="宋体" w:cs="宋体"/>
          <w:color w:val="000000"/>
          <w:sz w:val="24"/>
          <w:szCs w:val="24"/>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37"/>
          <w:cols w:num="1" w:sep="0" w:space="1701" w:equalWidth="1"/>
          <w:docGrid w:linePitch="360"/>
        </w:sectPr>
      </w:pPr>
      <w:r>
        <w:rPr>
          <w:rFonts w:hint="eastAsia" w:ascii="宋体" w:hAnsi="宋体" w:eastAsia="宋体" w:cs="宋体"/>
          <w:color w:val="000000"/>
          <w:sz w:val="24"/>
          <w:szCs w:val="24"/>
          <w:highlight w:val="none"/>
        </w:rPr>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第六章 采购需求</w:t>
      </w:r>
      <w:bookmarkStart w:id="3" w:name="_Toc322457054"/>
      <w:r>
        <w:rPr>
          <w:highlight w:val="none"/>
        </w:rPr>
      </w:r>
      <w:bookmarkEnd w:id="3"/>
      <w:r>
        <w:rPr>
          <w:highlight w:val="none"/>
        </w:rPr>
      </w:r>
      <w:bookmarkStart w:id="4" w:name="_Toc324452802"/>
      <w:r>
        <w:rPr>
          <w:highlight w:val="none"/>
        </w:rPr>
      </w:r>
      <w:bookmarkEnd w:id="4"/>
      <w:r>
        <w:rPr>
          <w:highlight w:val="none"/>
        </w:rPr>
      </w:r>
      <w:r/>
    </w:p>
    <w:p>
      <w:pPr>
        <w:pStyle w:val="824"/>
        <w:numPr>
          <w:ilvl w:val="0"/>
          <w:numId w:val="0"/>
        </w:numPr>
        <w:ind w:left="480"/>
        <w:spacing w:line="380" w:lineRule="exact"/>
        <w:rPr>
          <w:rFonts w:hint="default" w:ascii="宋体" w:hAnsi="宋体" w:eastAsia="宋体" w:cs="宋体"/>
          <w:color w:val="auto"/>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项目名称</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大沙河饮用水源地清水通道监测预警体系建设项目</w:t>
      </w:r>
      <w:r>
        <w:rPr>
          <w:highlight w:val="none"/>
        </w:rPr>
      </w:r>
      <w:r/>
    </w:p>
    <w:p>
      <w:pPr>
        <w:pStyle w:val="824"/>
        <w:numPr>
          <w:ilvl w:val="0"/>
          <w:numId w:val="0"/>
        </w:numPr>
        <w:ind w:left="480"/>
        <w:spacing w:line="3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二、项目预算</w:t>
      </w:r>
      <w:r>
        <w:rPr>
          <w:rFonts w:hint="eastAsia" w:ascii="宋体" w:hAnsi="宋体" w:eastAsia="宋体" w:cs="宋体"/>
          <w:color w:val="auto"/>
          <w:sz w:val="24"/>
          <w:szCs w:val="24"/>
          <w:highlight w:val="none"/>
          <w:lang w:val="en-US" w:eastAsia="zh-CN"/>
        </w:rPr>
        <w:t xml:space="preserve">：本项目不接受超过</w:t>
      </w:r>
      <w:r>
        <w:rPr>
          <w:rFonts w:hint="eastAsia" w:ascii="宋体" w:hAnsi="宋体" w:cs="宋体"/>
          <w:color w:val="auto"/>
          <w:sz w:val="24"/>
          <w:szCs w:val="24"/>
          <w:highlight w:val="none"/>
          <w:lang w:val="en-US" w:eastAsia="zh-CN"/>
        </w:rPr>
        <w:t xml:space="preserve">360</w:t>
      </w:r>
      <w:r>
        <w:rPr>
          <w:rFonts w:hint="eastAsia" w:ascii="宋体" w:hAnsi="宋体" w:eastAsia="宋体" w:cs="宋体"/>
          <w:color w:val="auto"/>
          <w:sz w:val="24"/>
          <w:szCs w:val="24"/>
          <w:highlight w:val="none"/>
          <w:lang w:val="en-US" w:eastAsia="zh-CN"/>
        </w:rPr>
        <w:t xml:space="preserve">万元人民币（采购项目预算金额）的报价。报价包括产品</w:t>
      </w:r>
      <w:r>
        <w:rPr>
          <w:rFonts w:hint="eastAsia" w:ascii="宋体" w:hAnsi="宋体" w:cs="宋体"/>
          <w:color w:val="auto"/>
          <w:sz w:val="24"/>
          <w:szCs w:val="24"/>
          <w:highlight w:val="none"/>
          <w:lang w:val="en-US" w:eastAsia="zh-CN"/>
        </w:rPr>
        <w:t xml:space="preserve">购买费</w:t>
      </w:r>
      <w:r>
        <w:rPr>
          <w:rFonts w:hint="eastAsia" w:ascii="宋体" w:hAnsi="宋体" w:eastAsia="宋体" w:cs="宋体"/>
          <w:color w:val="auto"/>
          <w:sz w:val="24"/>
          <w:szCs w:val="24"/>
          <w:highlight w:val="none"/>
          <w:lang w:val="en-US" w:eastAsia="zh-CN"/>
        </w:rPr>
        <w:t xml:space="preserve">、人工费、安装调试、售后服务、运费、投标人利润、税费、等完成本项目的所有费用，采购人不再支付报价以外的任何费用。</w:t>
      </w:r>
      <w:r>
        <w:rPr>
          <w:highlight w:val="none"/>
        </w:rPr>
      </w:r>
      <w:r/>
    </w:p>
    <w:p>
      <w:pPr>
        <w:pStyle w:val="824"/>
        <w:numPr>
          <w:ilvl w:val="0"/>
          <w:numId w:val="0"/>
        </w:numPr>
        <w:ind w:left="480"/>
        <w:spacing w:line="3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val="en-US" w:eastAsia="zh-CN"/>
        </w:rPr>
        <w:t xml:space="preserve">采购内容</w:t>
      </w:r>
      <w:r>
        <w:rPr>
          <w:rFonts w:hint="eastAsia" w:ascii="宋体" w:hAnsi="宋体" w:eastAsia="宋体" w:cs="宋体"/>
          <w:color w:val="auto"/>
          <w:sz w:val="24"/>
          <w:szCs w:val="24"/>
          <w:highlight w:val="none"/>
          <w:lang w:val="en-US" w:eastAsia="zh-CN"/>
        </w:rPr>
        <w:t xml:space="preserve">：</w:t>
      </w:r>
      <w:r>
        <w:rPr>
          <w:highlight w:val="none"/>
        </w:rPr>
      </w:r>
      <w:r/>
    </w:p>
    <w:p>
      <w:pPr>
        <w:ind w:firstLine="482"/>
        <w:spacing w:line="360" w:lineRule="auto"/>
        <w:rPr>
          <w:rFonts w:hint="default" w:ascii="宋体" w:hAnsi="宋体" w:eastAsia="宋体" w:cs="宋体"/>
          <w:color w:val="auto"/>
          <w:sz w:val="24"/>
          <w:szCs w:val="24"/>
          <w:highlight w:val="none"/>
        </w:rPr>
      </w:pPr>
      <w:r>
        <w:rPr>
          <w:rFonts w:hint="eastAsia" w:ascii="宋体" w:hAnsi="Calibri" w:eastAsia="宋体" w:cs="宋体"/>
          <w:b/>
          <w:bCs/>
          <w:color w:val="auto"/>
          <w:sz w:val="24"/>
          <w:szCs w:val="24"/>
          <w:highlight w:val="none"/>
          <w:lang w:eastAsia="zh-CN"/>
        </w:rPr>
        <w:t xml:space="preserve">（</w:t>
      </w:r>
      <w:r>
        <w:rPr>
          <w:rFonts w:hint="eastAsia" w:ascii="宋体" w:hAnsi="Calibri" w:eastAsia="宋体" w:cs="宋体"/>
          <w:b/>
          <w:bCs/>
          <w:color w:val="auto"/>
          <w:sz w:val="24"/>
          <w:szCs w:val="24"/>
          <w:highlight w:val="none"/>
          <w:lang w:val="en-US" w:eastAsia="zh-CN"/>
        </w:rPr>
        <w:t xml:space="preserve">一</w:t>
      </w:r>
      <w:r>
        <w:rPr>
          <w:rFonts w:hint="eastAsia" w:ascii="宋体" w:hAnsi="Calibri" w:eastAsia="宋体" w:cs="宋体"/>
          <w:b/>
          <w:bCs/>
          <w:color w:val="auto"/>
          <w:sz w:val="24"/>
          <w:szCs w:val="24"/>
          <w:highlight w:val="none"/>
          <w:lang w:eastAsia="zh-CN"/>
        </w:rPr>
        <w:t xml:space="preserve">）</w:t>
      </w:r>
      <w:r>
        <w:rPr>
          <w:rFonts w:hint="eastAsia" w:ascii="宋体" w:hAnsi="Calibri" w:eastAsia="宋体" w:cs="宋体"/>
          <w:b/>
          <w:bCs/>
          <w:color w:val="auto"/>
          <w:sz w:val="24"/>
          <w:szCs w:val="24"/>
          <w:highlight w:val="none"/>
          <w:lang w:val="en-US" w:eastAsia="zh-CN"/>
        </w:rPr>
        <w:t xml:space="preserve">采购清单</w:t>
      </w:r>
      <w:r>
        <w:rPr>
          <w:highlight w:val="none"/>
        </w:rPr>
      </w:r>
      <w:r/>
    </w:p>
    <w:tbl>
      <w:tblPr>
        <w:tblStyle w:val="817"/>
        <w:tblW w:w="9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2247"/>
        <w:gridCol w:w="1674"/>
        <w:gridCol w:w="4301"/>
      </w:tblGrid>
      <w:tr>
        <w:trPr>
          <w:jc w:val="center"/>
          <w:trHeight w:val="845"/>
        </w:trPr>
        <w:tc>
          <w:tcPr>
            <w:tcW w:w="812" w:type="dxa"/>
            <w:vAlign w:val="center"/>
            <w:textDirection w:val="lrTb"/>
            <w:noWrap w:val="false"/>
          </w:tcPr>
          <w:p>
            <w:pPr>
              <w:numPr>
                <w:ilvl w:val="0"/>
                <w:numId w:val="0"/>
              </w:numPr>
              <w:jc w:val="center"/>
              <w:keepLines w:val="0"/>
              <w:keepNext w:val="0"/>
              <w:pageBreakBefore w:val="0"/>
              <w:spacing w:after="120" w:afterAutospacing="0" w:line="360" w:lineRule="auto"/>
              <w:widowControl w:val="off"/>
              <w:rPr>
                <w:rFonts w:hint="default"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bidi="ar-SA"/>
              </w:rPr>
              <w:t xml:space="preserve">序号</w:t>
            </w:r>
            <w:r>
              <w:rPr>
                <w:highlight w:val="none"/>
              </w:rPr>
            </w:r>
            <w:r/>
          </w:p>
        </w:tc>
        <w:tc>
          <w:tcPr>
            <w:tcW w:w="2247" w:type="dxa"/>
            <w:vAlign w:val="center"/>
            <w:textDirection w:val="lrTb"/>
            <w:noWrap w:val="false"/>
          </w:tcPr>
          <w:p>
            <w:pPr>
              <w:numPr>
                <w:ilvl w:val="0"/>
                <w:numId w:val="0"/>
              </w:numPr>
              <w:jc w:val="center"/>
              <w:keepLines w:val="0"/>
              <w:keepNext w:val="0"/>
              <w:pageBreakBefore w:val="0"/>
              <w:spacing w:after="120" w:afterAutospacing="0" w:line="360" w:lineRule="auto"/>
              <w:widowControl w:val="off"/>
              <w:rPr>
                <w:rFonts w:hint="eastAsia"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bidi="ar-SA"/>
              </w:rPr>
              <w:t xml:space="preserve">设备名称</w:t>
            </w:r>
            <w:r>
              <w:rPr>
                <w:highlight w:val="none"/>
              </w:rPr>
            </w:r>
            <w:r/>
          </w:p>
        </w:tc>
        <w:tc>
          <w:tcPr>
            <w:tcW w:w="1674" w:type="dxa"/>
            <w:vAlign w:val="center"/>
            <w:textDirection w:val="lrTb"/>
            <w:noWrap w:val="false"/>
          </w:tcPr>
          <w:p>
            <w:pPr>
              <w:numPr>
                <w:ilvl w:val="0"/>
                <w:numId w:val="0"/>
              </w:numPr>
              <w:jc w:val="center"/>
              <w:keepLines w:val="0"/>
              <w:keepNext w:val="0"/>
              <w:pageBreakBefore w:val="0"/>
              <w:spacing w:after="120" w:afterAutospacing="0" w:line="360" w:lineRule="auto"/>
              <w:widowControl w:val="off"/>
              <w:rPr>
                <w:rFonts w:hint="eastAsia"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bidi="ar-SA"/>
              </w:rPr>
              <w:t xml:space="preserve">数量</w:t>
            </w:r>
            <w:r>
              <w:rPr>
                <w:highlight w:val="none"/>
              </w:rPr>
            </w:r>
            <w:r/>
          </w:p>
        </w:tc>
        <w:tc>
          <w:tcPr>
            <w:tcW w:w="4301" w:type="dxa"/>
            <w:vAlign w:val="center"/>
            <w:textDirection w:val="lrTb"/>
            <w:noWrap w:val="false"/>
          </w:tcPr>
          <w:p>
            <w:pPr>
              <w:numPr>
                <w:ilvl w:val="0"/>
                <w:numId w:val="0"/>
              </w:numPr>
              <w:jc w:val="center"/>
              <w:keepLines w:val="0"/>
              <w:keepNext w:val="0"/>
              <w:pageBreakBefore w:val="0"/>
              <w:spacing w:after="120" w:afterAutospacing="0" w:line="360" w:lineRule="auto"/>
              <w:widowControl w:val="off"/>
              <w:rPr>
                <w:rFonts w:hint="eastAsia"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bidi="ar-SA"/>
              </w:rPr>
              <w:t xml:space="preserve">简要技术需求</w:t>
            </w:r>
            <w:r>
              <w:rPr>
                <w:highlight w:val="none"/>
              </w:rPr>
            </w:r>
            <w:r/>
          </w:p>
        </w:tc>
      </w:tr>
      <w:tr>
        <w:trPr>
          <w:jc w:val="center"/>
          <w:trHeight w:val="691"/>
        </w:trPr>
        <w:tc>
          <w:tcPr>
            <w:tcW w:w="812" w:type="dxa"/>
            <w:vAlign w:val="center"/>
            <w:textDirection w:val="lrTb"/>
            <w:noWrap w:val="false"/>
          </w:tcPr>
          <w:p>
            <w:pPr>
              <w:numPr>
                <w:ilvl w:val="0"/>
                <w:numId w:val="0"/>
              </w:numPr>
              <w:jc w:val="center"/>
              <w:keepLines w:val="0"/>
              <w:keepNext w:val="0"/>
              <w:pageBreakBefore w:val="0"/>
              <w:spacing w:after="120" w:afterAutospacing="0" w:line="360" w:lineRule="auto"/>
              <w:widowControl w:val="off"/>
              <w:rPr>
                <w:rFonts w:hint="default"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bidi="ar-SA"/>
              </w:rPr>
              <w:t xml:space="preserve">1</w:t>
            </w:r>
            <w:r>
              <w:rPr>
                <w:highlight w:val="none"/>
              </w:rPr>
            </w:r>
            <w:r/>
          </w:p>
        </w:tc>
        <w:tc>
          <w:tcPr>
            <w:tcW w:w="2247" w:type="dxa"/>
            <w:vAlign w:val="center"/>
            <w:textDirection w:val="lrTb"/>
            <w:noWrap w:val="false"/>
          </w:tcPr>
          <w:p>
            <w:pPr>
              <w:pStyle w:val="798"/>
              <w:numPr>
                <w:ilvl w:val="0"/>
                <w:numId w:val="0"/>
              </w:numPr>
              <w:ind w:left="0" w:firstLine="0"/>
              <w:jc w:val="center"/>
              <w:keepLines w:val="0"/>
              <w:keepNext w:val="0"/>
              <w:pageBreakBefore w:val="0"/>
              <w:spacing w:after="120" w:afterAutospacing="0" w:line="360" w:lineRule="auto"/>
              <w:widowControl w:val="off"/>
              <w:rPr>
                <w:rFonts w:hint="eastAsia"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rPr>
              <w:t xml:space="preserve">水质智能化监测分析系统</w:t>
            </w:r>
            <w:r>
              <w:rPr>
                <w:highlight w:val="none"/>
              </w:rPr>
            </w:r>
            <w:r/>
          </w:p>
        </w:tc>
        <w:tc>
          <w:tcPr>
            <w:tcW w:w="1674" w:type="dxa"/>
            <w:vAlign w:val="center"/>
            <w:textDirection w:val="lrTb"/>
            <w:noWrap w:val="false"/>
          </w:tcPr>
          <w:p>
            <w:pPr>
              <w:pStyle w:val="798"/>
              <w:numPr>
                <w:ilvl w:val="0"/>
                <w:numId w:val="0"/>
              </w:numPr>
              <w:ind w:left="0" w:firstLine="0"/>
              <w:jc w:val="center"/>
              <w:keepLines w:val="0"/>
              <w:keepNext w:val="0"/>
              <w:pageBreakBefore w:val="0"/>
              <w:spacing w:after="120" w:afterAutospacing="0" w:line="360" w:lineRule="auto"/>
              <w:widowControl w:val="off"/>
              <w:rPr>
                <w:rFonts w:hint="default"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rPr>
              <w:t xml:space="preserve">1</w:t>
            </w:r>
            <w:r>
              <w:rPr>
                <w:highlight w:val="none"/>
              </w:rPr>
            </w:r>
            <w:r/>
          </w:p>
        </w:tc>
        <w:tc>
          <w:tcPr>
            <w:tcW w:w="4301" w:type="dxa"/>
            <w:vAlign w:val="center"/>
            <w:textDirection w:val="lrTb"/>
            <w:noWrap w:val="false"/>
          </w:tcPr>
          <w:p>
            <w:pPr>
              <w:pStyle w:val="798"/>
              <w:numPr>
                <w:ilvl w:val="0"/>
                <w:numId w:val="0"/>
              </w:numPr>
              <w:ind w:left="0" w:firstLine="0"/>
              <w:jc w:val="center"/>
              <w:keepLines w:val="0"/>
              <w:keepNext w:val="0"/>
              <w:pageBreakBefore w:val="0"/>
              <w:spacing w:after="120" w:afterAutospacing="0" w:line="360" w:lineRule="auto"/>
              <w:widowControl w:val="off"/>
              <w:rPr>
                <w:rFonts w:hint="eastAsia"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rPr>
              <w:t xml:space="preserve">采测全流程智能自动分析技术，包括水质检测分析系统、全自动控制与管理系统等。监测因子包括高锰酸盐指数、氨氮、总磷、总氮、化学需氧量。</w:t>
            </w:r>
            <w:r>
              <w:rPr>
                <w:highlight w:val="none"/>
              </w:rPr>
            </w:r>
            <w:r/>
          </w:p>
        </w:tc>
      </w:tr>
      <w:tr>
        <w:trPr>
          <w:jc w:val="center"/>
          <w:trHeight w:val="691"/>
        </w:trPr>
        <w:tc>
          <w:tcPr>
            <w:tcW w:w="812" w:type="dxa"/>
            <w:vAlign w:val="center"/>
            <w:textDirection w:val="lrTb"/>
            <w:noWrap w:val="false"/>
          </w:tcPr>
          <w:p>
            <w:pPr>
              <w:numPr>
                <w:ilvl w:val="0"/>
                <w:numId w:val="0"/>
              </w:numPr>
              <w:jc w:val="center"/>
              <w:keepLines w:val="0"/>
              <w:keepNext w:val="0"/>
              <w:pageBreakBefore w:val="0"/>
              <w:spacing w:after="120" w:afterAutospacing="0" w:line="360" w:lineRule="auto"/>
              <w:widowControl w:val="off"/>
              <w:rPr>
                <w:rFonts w:hint="default" w:ascii="Times New Roman" w:hAnsi="Times New Roman" w:eastAsia="宋体" w:cs="Times New Roman"/>
                <w:color w:val="auto"/>
                <w:sz w:val="24"/>
                <w:szCs w:val="24"/>
                <w:highlight w:val="none"/>
                <w:vertAlign w:val="baseline"/>
              </w:rPr>
            </w:pPr>
            <w:r>
              <w:rPr>
                <w:rFonts w:hint="eastAsia" w:ascii="Times New Roman" w:hAnsi="Times New Roman" w:eastAsia="宋体" w:cs="Times New Roman"/>
                <w:color w:val="auto"/>
                <w:sz w:val="24"/>
                <w:szCs w:val="24"/>
                <w:highlight w:val="none"/>
                <w:vertAlign w:val="baseline"/>
                <w:lang w:val="en-US" w:eastAsia="zh-CN" w:bidi="ar-SA"/>
              </w:rPr>
              <w:t xml:space="preserve">2</w:t>
            </w:r>
            <w:r>
              <w:rPr>
                <w:highlight w:val="none"/>
              </w:rPr>
            </w:r>
            <w:r/>
          </w:p>
        </w:tc>
        <w:tc>
          <w:tcPr>
            <w:tcW w:w="2247" w:type="dxa"/>
            <w:vAlign w:val="center"/>
            <w:textDirection w:val="lrTb"/>
            <w:noWrap w:val="false"/>
          </w:tcPr>
          <w:p>
            <w:pPr>
              <w:pStyle w:val="798"/>
              <w:numPr>
                <w:ilvl w:val="0"/>
                <w:numId w:val="0"/>
              </w:numPr>
              <w:ind w:left="0" w:firstLine="0"/>
              <w:jc w:val="center"/>
              <w:keepLines w:val="0"/>
              <w:keepNext w:val="0"/>
              <w:pageBreakBefore w:val="0"/>
              <w:spacing w:after="120" w:afterAutospacing="0" w:line="360" w:lineRule="auto"/>
              <w:widowControl w:val="off"/>
              <w:rPr>
                <w:rFonts w:hint="default" w:ascii="Times New Roman" w:hAnsi="Times New Roman" w:eastAsia="宋体" w:cs="Times New Roman"/>
                <w:color w:val="auto"/>
                <w:sz w:val="24"/>
                <w:szCs w:val="24"/>
                <w:highlight w:val="none"/>
                <w:vertAlign w:val="baseline"/>
              </w:rPr>
            </w:pPr>
            <w:r>
              <w:rPr>
                <w:rFonts w:hint="eastAsia" w:ascii="Times New Roman" w:hAnsi="Times New Roman" w:cs="Times New Roman"/>
                <w:color w:val="auto"/>
                <w:sz w:val="24"/>
                <w:szCs w:val="24"/>
                <w:highlight w:val="none"/>
                <w:vertAlign w:val="baseline"/>
                <w:lang w:val="en-US" w:eastAsia="zh-CN"/>
              </w:rPr>
              <w:t xml:space="preserve">智能采样终端</w:t>
            </w:r>
            <w:r>
              <w:rPr>
                <w:highlight w:val="none"/>
              </w:rPr>
            </w:r>
            <w:r/>
          </w:p>
        </w:tc>
        <w:tc>
          <w:tcPr>
            <w:tcW w:w="1674" w:type="dxa"/>
            <w:vAlign w:val="center"/>
            <w:textDirection w:val="lrTb"/>
            <w:noWrap w:val="false"/>
          </w:tcPr>
          <w:p>
            <w:pPr>
              <w:pStyle w:val="798"/>
              <w:numPr>
                <w:ilvl w:val="0"/>
                <w:numId w:val="0"/>
              </w:numPr>
              <w:ind w:left="0" w:firstLine="0"/>
              <w:jc w:val="center"/>
              <w:keepLines w:val="0"/>
              <w:keepNext w:val="0"/>
              <w:pageBreakBefore w:val="0"/>
              <w:spacing w:after="120" w:afterAutospacing="0" w:line="360" w:lineRule="auto"/>
              <w:widowControl w:val="off"/>
              <w:rPr>
                <w:rFonts w:hint="default" w:ascii="Times New Roman" w:hAnsi="Times New Roman" w:eastAsia="宋体" w:cs="Times New Roman"/>
                <w:color w:val="auto"/>
                <w:sz w:val="24"/>
                <w:szCs w:val="24"/>
                <w:highlight w:val="none"/>
                <w:vertAlign w:val="baseline"/>
              </w:rPr>
            </w:pPr>
            <w:r>
              <w:rPr>
                <w:rFonts w:hint="eastAsia" w:ascii="Times New Roman" w:hAnsi="Times New Roman" w:cs="Times New Roman"/>
                <w:color w:val="auto"/>
                <w:sz w:val="24"/>
                <w:szCs w:val="24"/>
                <w:highlight w:val="none"/>
                <w:vertAlign w:val="baseline"/>
                <w:lang w:val="en-US" w:eastAsia="zh-CN"/>
              </w:rPr>
              <w:t xml:space="preserve">8</w:t>
            </w:r>
            <w:r>
              <w:rPr>
                <w:highlight w:val="none"/>
              </w:rPr>
            </w:r>
            <w:r/>
          </w:p>
        </w:tc>
        <w:tc>
          <w:tcPr>
            <w:tcW w:w="4301" w:type="dxa"/>
            <w:vAlign w:val="center"/>
            <w:textDirection w:val="lrTb"/>
            <w:noWrap w:val="false"/>
          </w:tcPr>
          <w:p>
            <w:pPr>
              <w:pStyle w:val="798"/>
              <w:numPr>
                <w:ilvl w:val="0"/>
                <w:numId w:val="0"/>
              </w:numPr>
              <w:ind w:left="0" w:firstLine="0"/>
              <w:jc w:val="center"/>
              <w:keepLines w:val="0"/>
              <w:keepNext w:val="0"/>
              <w:pageBreakBefore w:val="0"/>
              <w:spacing w:after="120" w:afterAutospacing="0" w:line="360" w:lineRule="auto"/>
              <w:widowControl w:val="off"/>
              <w:rPr>
                <w:rFonts w:hint="eastAsia" w:ascii="Times New Roman" w:hAnsi="Times New Roman" w:eastAsia="宋体" w:cs="Times New Roman"/>
                <w:color w:val="auto"/>
                <w:sz w:val="24"/>
                <w:szCs w:val="24"/>
                <w:highlight w:val="none"/>
                <w:vertAlign w:val="baseline"/>
              </w:rPr>
            </w:pPr>
            <w:r>
              <w:rPr>
                <w:rFonts w:hint="eastAsia" w:ascii="Times New Roman" w:hAnsi="Times New Roman" w:eastAsia="宋体" w:cs="仿宋_GB2312"/>
                <w:i w:val="0"/>
                <w:iCs w:val="0"/>
                <w:color w:val="000000"/>
                <w:sz w:val="24"/>
                <w:szCs w:val="21"/>
                <w:highlight w:val="none"/>
                <w:u w:val="none"/>
                <w:lang w:val="en-US" w:eastAsia="zh-CN"/>
              </w:rPr>
              <w:t xml:space="preserve">智能管控终端，能够实现等比例混合采样、同步备份采样（平行样）、远程即时采样等多种采样功能</w:t>
            </w:r>
            <w:r>
              <w:rPr>
                <w:highlight w:val="none"/>
              </w:rPr>
            </w:r>
            <w:r/>
          </w:p>
        </w:tc>
      </w:tr>
    </w:tbl>
    <w:p>
      <w:pPr>
        <w:numPr>
          <w:ilvl w:val="0"/>
          <w:numId w:val="3"/>
        </w:numPr>
        <w:ind w:firstLine="482"/>
        <w:spacing w:line="360" w:lineRule="auto"/>
        <w:rPr>
          <w:rFonts w:hint="eastAsia" w:ascii="宋体" w:hAnsi="Times New Roman" w:eastAsia="宋体" w:cs="宋体"/>
          <w:b/>
          <w:bCs/>
          <w:color w:val="auto"/>
          <w:sz w:val="24"/>
          <w:szCs w:val="24"/>
          <w:highlight w:val="none"/>
        </w:rPr>
      </w:pPr>
      <w:r>
        <w:rPr>
          <w:rFonts w:hint="eastAsia" w:ascii="宋体" w:hAnsi="Times New Roman" w:eastAsia="宋体" w:cs="宋体"/>
          <w:b/>
          <w:bCs/>
          <w:color w:val="auto"/>
          <w:sz w:val="24"/>
          <w:szCs w:val="24"/>
          <w:highlight w:val="none"/>
          <w:lang w:val="en-US" w:eastAsia="zh-CN"/>
        </w:rPr>
        <w:t xml:space="preserve">水质智能化监测分析系统配置清单</w:t>
      </w:r>
      <w:r>
        <w:rPr>
          <w:highlight w:val="none"/>
        </w:rPr>
      </w:r>
      <w:r/>
    </w:p>
    <w:tbl>
      <w:tblPr>
        <w:tblStyle w:val="795"/>
        <w:tblW w:w="53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2077"/>
        <w:gridCol w:w="6398"/>
      </w:tblGrid>
      <w:tr>
        <w:trPr>
          <w:jc w:val="center"/>
          <w:trHeight w:val="500"/>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widowControl/>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300" w:lineRule="auto"/>
              <w:widowControl/>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rPr>
                <w:highlight w:val="none"/>
              </w:rPr>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要求（参照具体要求）</w:t>
            </w:r>
            <w:r>
              <w:rPr>
                <w:highlight w:val="none"/>
              </w:rPr>
            </w:r>
            <w:r/>
          </w:p>
        </w:tc>
      </w:tr>
      <w:tr>
        <w:trPr>
          <w:jc w:val="center"/>
          <w:trHeight w:val="454" w:hRule="exact"/>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00" w:lineRule="auto"/>
              <w:widowControl/>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vertAlign w:val="baseline"/>
                <w:lang w:val="en-US" w:eastAsia="zh-CN"/>
              </w:rPr>
              <w:t xml:space="preserve">全自动控制与管理系统</w:t>
            </w:r>
            <w:r>
              <w:rPr>
                <w:highlight w:val="none"/>
              </w:rPr>
            </w:r>
            <w:r/>
          </w:p>
        </w:tc>
      </w:tr>
      <w:tr>
        <w:trPr>
          <w:jc w:val="center"/>
          <w:trHeight w:val="1215"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highlight w:val="none"/>
              </w:rPr>
            </w:r>
            <w:r/>
          </w:p>
        </w:tc>
        <w:tc>
          <w:tcPr>
            <w:tcBorders>
              <w:top w:val="single" w:color="auto" w:sz="4" w:space="0"/>
              <w:left w:val="single" w:color="auto" w:sz="4" w:space="0"/>
              <w:right w:val="single" w:color="auto" w:sz="4" w:space="0"/>
            </w:tcBorders>
            <w:tcW w:w="1083" w:type="pct"/>
            <w:vAlign w:val="center"/>
            <w:textDirection w:val="lrTb"/>
            <w:noWrap w:val="false"/>
          </w:tcPr>
          <w:p>
            <w:pPr>
              <w:jc w:val="left"/>
              <w:spacing w:line="30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全自动样品进样系统</w:t>
            </w:r>
            <w:r>
              <w:rPr>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jc w:val="left"/>
              <w:spacing w:line="300" w:lineRule="auto"/>
              <w:widowControl/>
              <w:rPr>
                <w:rFonts w:hint="default" w:ascii="宋体" w:hAnsi="宋体" w:cs="宋体"/>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满足</w:t>
            </w:r>
            <w:r>
              <w:rPr>
                <w:rFonts w:hint="eastAsia" w:ascii="宋体" w:hAnsi="宋体" w:cs="宋体"/>
                <w:color w:val="auto"/>
                <w:sz w:val="24"/>
                <w:szCs w:val="24"/>
                <w:highlight w:val="none"/>
              </w:rPr>
              <w:t xml:space="preserve">全自动</w:t>
            </w:r>
            <w:r>
              <w:rPr>
                <w:rFonts w:hint="default" w:ascii="Times New Roman" w:hAnsi="Times New Roman" w:eastAsia="宋体" w:cs="Times New Roman"/>
                <w:color w:val="auto"/>
                <w:sz w:val="24"/>
                <w:szCs w:val="24"/>
                <w:highlight w:val="none"/>
              </w:rPr>
              <w:t xml:space="preserve">上下样</w:t>
            </w:r>
            <w:r>
              <w:rPr>
                <w:rFonts w:hint="eastAsia" w:ascii="Times New Roman" w:hAnsi="Times New Roman" w:eastAsia="宋体" w:cs="Times New Roman"/>
                <w:color w:val="auto"/>
                <w:sz w:val="24"/>
                <w:szCs w:val="24"/>
                <w:highlight w:val="none"/>
                <w:lang w:eastAsia="zh-CN"/>
              </w:rPr>
              <w:t xml:space="preserve">、</w:t>
            </w:r>
            <w:r>
              <w:rPr>
                <w:rFonts w:hint="eastAsia" w:ascii="宋体" w:hAnsi="宋体" w:cs="宋体"/>
                <w:color w:val="auto"/>
                <w:sz w:val="24"/>
                <w:szCs w:val="24"/>
                <w:highlight w:val="none"/>
              </w:rPr>
              <w:t xml:space="preserve">全自动样品传送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检测位</w:t>
            </w:r>
            <w:r>
              <w:rPr>
                <w:rFonts w:hint="eastAsia" w:ascii="宋体" w:hAnsi="宋体" w:cs="宋体"/>
                <w:color w:val="auto"/>
                <w:sz w:val="24"/>
                <w:szCs w:val="24"/>
                <w:highlight w:val="none"/>
              </w:rPr>
              <w:t xml:space="preserve">自动进样</w:t>
            </w:r>
            <w:r>
              <w:rPr>
                <w:rFonts w:hint="eastAsia" w:ascii="Times New Roman" w:hAnsi="Times New Roman" w:eastAsia="宋体" w:cs="Times New Roman"/>
                <w:b/>
                <w:bCs/>
                <w:color w:val="auto"/>
                <w:sz w:val="24"/>
                <w:szCs w:val="24"/>
                <w:highlight w:val="none"/>
                <w:lang w:val="en-US" w:eastAsia="zh-CN"/>
              </w:rPr>
              <w:t xml:space="preserve">等</w:t>
            </w:r>
            <w:r>
              <w:rPr>
                <w:rFonts w:hint="default" w:ascii="Times New Roman" w:hAnsi="Times New Roman" w:eastAsia="宋体" w:cs="Times New Roman"/>
                <w:b/>
                <w:bCs/>
                <w:color w:val="auto"/>
                <w:sz w:val="24"/>
                <w:szCs w:val="24"/>
                <w:highlight w:val="none"/>
              </w:rPr>
              <w:t xml:space="preserve">需求</w:t>
            </w:r>
            <w:r>
              <w:rPr>
                <w:rFonts w:hint="eastAsia" w:ascii="宋体" w:hAnsi="宋体" w:cs="宋体"/>
                <w:color w:val="auto"/>
                <w:sz w:val="24"/>
                <w:szCs w:val="24"/>
                <w:highlight w:val="none"/>
                <w:lang w:val="en-US" w:eastAsia="zh-CN"/>
              </w:rPr>
              <w:t xml:space="preserve">，实现对样品的全自动进样，完整功能参照下表的具体要求3.3</w:t>
            </w:r>
            <w:r>
              <w:rPr>
                <w:highlight w:val="none"/>
              </w:rPr>
            </w:r>
            <w:r/>
          </w:p>
        </w:tc>
      </w:tr>
      <w:tr>
        <w:trPr>
          <w:jc w:val="center"/>
          <w:trHeight w:val="1528"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highlight w:val="none"/>
              </w:rPr>
            </w:r>
            <w:r/>
          </w:p>
        </w:tc>
        <w:tc>
          <w:tcPr>
            <w:tcBorders>
              <w:top w:val="none" w:color="000000" w:sz="4" w:space="0"/>
              <w:left w:val="single" w:color="auto" w:sz="4" w:space="0"/>
              <w:bottom w:val="single" w:color="auto" w:sz="4" w:space="0"/>
              <w:right w:val="single" w:color="auto" w:sz="4" w:space="0"/>
            </w:tcBorders>
            <w:tcW w:w="1083" w:type="pct"/>
            <w:vAlign w:val="center"/>
            <w:textDirection w:val="lrTb"/>
            <w:noWrap w:val="false"/>
          </w:tcPr>
          <w:p>
            <w:pPr>
              <w:jc w:val="left"/>
              <w:spacing w:line="300" w:lineRule="auto"/>
              <w:widowControl/>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中控系统</w:t>
            </w:r>
            <w:r>
              <w:rPr>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jc w:val="left"/>
              <w:spacing w:line="300" w:lineRule="auto"/>
              <w:widowControl/>
              <w:rPr>
                <w:rFonts w:hint="default" w:ascii="宋体" w:hAnsi="宋体" w:cs="宋体"/>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满足</w:t>
            </w:r>
            <w:r>
              <w:rPr>
                <w:rFonts w:hint="eastAsia" w:ascii="Times New Roman" w:hAnsi="Times New Roman" w:eastAsia="宋体" w:cs="Times New Roman"/>
                <w:b/>
                <w:bCs/>
                <w:color w:val="auto"/>
                <w:sz w:val="24"/>
                <w:szCs w:val="24"/>
                <w:highlight w:val="none"/>
                <w:lang w:val="en-US" w:eastAsia="zh-CN"/>
              </w:rPr>
              <w:t xml:space="preserve">指令发布、按指令执行操作、</w:t>
            </w:r>
            <w:r>
              <w:rPr>
                <w:rFonts w:hint="eastAsia" w:ascii="宋体" w:hAnsi="宋体" w:cs="宋体"/>
                <w:color w:val="auto"/>
                <w:sz w:val="24"/>
                <w:szCs w:val="24"/>
                <w:highlight w:val="none"/>
                <w:lang w:val="en-US" w:eastAsia="zh-CN"/>
              </w:rPr>
              <w:t xml:space="preserve">人机交互屏、故障预警、</w:t>
            </w:r>
            <w:r>
              <w:rPr>
                <w:rFonts w:hint="default" w:ascii="Times New Roman" w:hAnsi="Times New Roman" w:eastAsia="宋体" w:cs="Times New Roman"/>
                <w:b/>
                <w:bCs/>
                <w:color w:val="auto"/>
                <w:sz w:val="24"/>
                <w:szCs w:val="24"/>
                <w:highlight w:val="none"/>
              </w:rPr>
              <w:t xml:space="preserve">数据上传</w:t>
            </w:r>
            <w:r>
              <w:rPr>
                <w:rFonts w:hint="eastAsia"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存储</w:t>
            </w:r>
            <w:r>
              <w:rPr>
                <w:rFonts w:hint="eastAsia"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查询</w:t>
            </w:r>
            <w:r>
              <w:rPr>
                <w:rFonts w:hint="eastAsia"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审核</w:t>
            </w:r>
            <w:r>
              <w:rPr>
                <w:rFonts w:hint="eastAsia" w:ascii="Times New Roman" w:hAnsi="Times New Roman" w:eastAsia="宋体" w:cs="Times New Roman"/>
                <w:b/>
                <w:bCs/>
                <w:color w:val="auto"/>
                <w:sz w:val="24"/>
                <w:szCs w:val="24"/>
                <w:highlight w:val="none"/>
                <w:lang w:val="en-US" w:eastAsia="zh-CN"/>
              </w:rPr>
              <w:t xml:space="preserve">等需求</w:t>
            </w:r>
            <w:r>
              <w:rPr>
                <w:rFonts w:hint="eastAsia" w:ascii="宋体" w:hAnsi="宋体" w:cs="宋体"/>
                <w:color w:val="auto"/>
                <w:sz w:val="24"/>
                <w:szCs w:val="24"/>
                <w:highlight w:val="none"/>
                <w:lang w:val="en-US" w:eastAsia="zh-CN"/>
              </w:rPr>
              <w:t xml:space="preserve">，满足采测溯源一体化，可视化追踪溯源等需求，完整功能参照下表的具体要求3.3</w:t>
            </w:r>
            <w:r>
              <w:rPr>
                <w:highlight w:val="none"/>
              </w:rPr>
            </w:r>
            <w:r/>
          </w:p>
        </w:tc>
      </w:tr>
      <w:tr>
        <w:trPr>
          <w:jc w:val="center"/>
          <w:trHeight w:val="1261"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highlight w:val="none"/>
              </w:rPr>
            </w:r>
            <w:r/>
          </w:p>
        </w:tc>
        <w:tc>
          <w:tcPr>
            <w:tcBorders>
              <w:top w:val="none" w:color="000000" w:sz="4" w:space="0"/>
              <w:left w:val="single" w:color="auto" w:sz="4" w:space="0"/>
              <w:right w:val="single" w:color="auto" w:sz="4" w:space="0"/>
            </w:tcBorders>
            <w:tcW w:w="1083" w:type="pct"/>
            <w:vAlign w:val="center"/>
            <w:textDirection w:val="lrTb"/>
            <w:noWrap w:val="false"/>
          </w:tcPr>
          <w:p>
            <w:pPr>
              <w:jc w:val="left"/>
              <w:spacing w:line="300" w:lineRule="auto"/>
              <w:widowControl/>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其他智能辅助系统</w:t>
            </w:r>
            <w:r>
              <w:rPr>
                <w:highlight w:val="none"/>
              </w:rPr>
            </w:r>
            <w:r/>
          </w:p>
        </w:tc>
        <w:tc>
          <w:tcPr>
            <w:tcBorders>
              <w:top w:val="single" w:color="auto" w:sz="4" w:space="0"/>
              <w:left w:val="single" w:color="auto" w:sz="4" w:space="0"/>
              <w:right w:val="single" w:color="auto" w:sz="4" w:space="0"/>
            </w:tcBorders>
            <w:tcW w:w="3336" w:type="pct"/>
            <w:vAlign w:val="center"/>
            <w:textDirection w:val="lrTb"/>
            <w:noWrap w:val="false"/>
          </w:tcPr>
          <w:p>
            <w:pPr>
              <w:jc w:val="left"/>
              <w:spacing w:line="300" w:lineRule="auto"/>
              <w:widowControl/>
              <w:rPr>
                <w:rFonts w:hint="eastAsia" w:ascii="宋体" w:hAnsi="宋体" w:eastAsia="宋体" w:cs="宋体"/>
                <w:color w:val="auto"/>
                <w:sz w:val="24"/>
                <w:szCs w:val="24"/>
                <w:highlight w:val="none"/>
              </w:rPr>
            </w:pPr>
            <w:r>
              <w:rPr>
                <w:rFonts w:hint="default" w:ascii="Times New Roman" w:hAnsi="Times New Roman" w:eastAsia="宋体" w:cs="Times New Roman"/>
                <w:b/>
                <w:bCs/>
                <w:color w:val="auto"/>
                <w:sz w:val="24"/>
                <w:szCs w:val="24"/>
                <w:highlight w:val="none"/>
              </w:rPr>
              <w:t xml:space="preserve">满足</w:t>
            </w:r>
            <w:r>
              <w:rPr>
                <w:rFonts w:hint="eastAsia" w:ascii="宋体" w:hAnsi="宋体" w:cs="宋体"/>
                <w:color w:val="auto"/>
                <w:sz w:val="24"/>
                <w:szCs w:val="24"/>
                <w:highlight w:val="none"/>
                <w:lang w:val="en-US" w:eastAsia="zh-CN"/>
              </w:rPr>
              <w:t xml:space="preserve">用电保障、废液智能收集，</w:t>
            </w:r>
            <w:r>
              <w:rPr>
                <w:rFonts w:hint="eastAsia" w:ascii="宋体" w:hAnsi="宋体" w:eastAsia="宋体" w:cs="宋体"/>
                <w:color w:val="auto"/>
                <w:sz w:val="24"/>
                <w:szCs w:val="24"/>
                <w:highlight w:val="none"/>
                <w:lang w:val="en-US" w:eastAsia="zh-CN" w:bidi="ar"/>
              </w:rPr>
              <w:t xml:space="preserve">实验室用水达标、</w:t>
            </w:r>
            <w:r>
              <w:rPr>
                <w:rFonts w:hint="eastAsia" w:ascii="宋体" w:hAnsi="宋体" w:cs="宋体"/>
                <w:color w:val="auto"/>
                <w:sz w:val="24"/>
                <w:szCs w:val="24"/>
                <w:highlight w:val="none"/>
                <w:lang w:val="en-US" w:eastAsia="zh-CN"/>
              </w:rPr>
              <w:t xml:space="preserve">样品保存温度控制、</w:t>
            </w:r>
            <w:r>
              <w:rPr>
                <w:rFonts w:hint="default" w:ascii="Times New Roman" w:hAnsi="Times New Roman" w:eastAsia="宋体" w:cs="Times New Roman"/>
                <w:b/>
                <w:bCs/>
                <w:color w:val="auto"/>
                <w:sz w:val="24"/>
                <w:szCs w:val="24"/>
                <w:highlight w:val="none"/>
              </w:rPr>
              <w:t xml:space="preserve">水样上线检测</w:t>
            </w:r>
            <w:r>
              <w:rPr>
                <w:rFonts w:hint="eastAsia" w:ascii="Times New Roman" w:hAnsi="Times New Roman" w:eastAsia="宋体" w:cs="Times New Roman"/>
                <w:b/>
                <w:bCs/>
                <w:color w:val="auto"/>
                <w:sz w:val="24"/>
                <w:szCs w:val="24"/>
                <w:highlight w:val="none"/>
                <w:lang w:val="en-US" w:eastAsia="zh-CN"/>
              </w:rPr>
              <w:t xml:space="preserve">等</w:t>
            </w:r>
            <w:r>
              <w:rPr>
                <w:rFonts w:hint="default" w:ascii="Times New Roman" w:hAnsi="Times New Roman" w:eastAsia="宋体" w:cs="Times New Roman"/>
                <w:b/>
                <w:bCs/>
                <w:color w:val="auto"/>
                <w:sz w:val="24"/>
                <w:szCs w:val="24"/>
                <w:highlight w:val="none"/>
              </w:rPr>
              <w:t xml:space="preserve">需求</w:t>
            </w:r>
            <w:r>
              <w:rPr>
                <w:rFonts w:hint="eastAsia" w:ascii="Times New Roman" w:hAnsi="Times New Roman" w:eastAsia="宋体" w:cs="Times New Roman"/>
                <w:b/>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完整功能参照下表的具体要求3.3</w:t>
            </w:r>
            <w:r>
              <w:rPr>
                <w:highlight w:val="none"/>
              </w:rPr>
            </w:r>
            <w:r/>
          </w:p>
        </w:tc>
      </w:tr>
      <w:tr>
        <w:trPr>
          <w:jc w:val="center"/>
          <w:trHeight w:val="567" w:hRule="exact"/>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00" w:lineRule="auto"/>
              <w:rPr>
                <w:rFonts w:hint="default" w:ascii="宋体" w:hAnsi="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rPr>
              <w:t xml:space="preserve">水质检测分析系统</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300" w:lineRule="auto"/>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rPr>
                <w:highlight w:val="none"/>
              </w:rPr>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300" w:lineRule="auto"/>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检测项目</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083" w:type="pct"/>
            <w:vAlign w:val="center"/>
            <w:vMerge w:val="restart"/>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分析检测单元</w:t>
            </w:r>
            <w:r>
              <w:rPr>
                <w:highlight w:val="none"/>
              </w:rPr>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氨氮</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083" w:type="pct"/>
            <w:vAlign w:val="center"/>
            <w:vMerge w:val="continue"/>
            <w:textDirection w:val="lrTb"/>
            <w:noWrap w:val="false"/>
          </w:tcPr>
          <w:p>
            <w:pPr>
              <w:jc w:val="center"/>
              <w:spacing w:line="300" w:lineRule="auto"/>
              <w:widowControl/>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总磷</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083" w:type="pct"/>
            <w:vAlign w:val="center"/>
            <w:vMerge w:val="continue"/>
            <w:textDirection w:val="lrTb"/>
            <w:noWrap w:val="false"/>
          </w:tcPr>
          <w:p>
            <w:pPr>
              <w:jc w:val="center"/>
              <w:spacing w:line="300" w:lineRule="auto"/>
              <w:widowControl/>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总氮</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083" w:type="pct"/>
            <w:vAlign w:val="center"/>
            <w:vMerge w:val="continue"/>
            <w:textDirection w:val="lrTb"/>
            <w:noWrap w:val="false"/>
          </w:tcPr>
          <w:p>
            <w:pPr>
              <w:jc w:val="center"/>
              <w:spacing w:line="300" w:lineRule="auto"/>
              <w:widowControl/>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高锰酸盐指数</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083" w:type="pct"/>
            <w:vAlign w:val="center"/>
            <w:vMerge w:val="continue"/>
            <w:textDirection w:val="lrTb"/>
            <w:noWrap w:val="false"/>
          </w:tcPr>
          <w:p>
            <w:pPr>
              <w:jc w:val="center"/>
              <w:spacing w:line="300" w:lineRule="auto"/>
              <w:widowControl/>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30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化学需氧量</w:t>
            </w:r>
            <w:r>
              <w:rPr>
                <w:highlight w:val="none"/>
              </w:rPr>
            </w:r>
            <w:r/>
          </w:p>
        </w:tc>
      </w:tr>
      <w:tr>
        <w:trPr>
          <w:jc w:val="center"/>
          <w:trHeight w:val="926" w:hRule="exact"/>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300" w:lineRule="auto"/>
              <w:widowControl/>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智能采样柜</w:t>
            </w:r>
            <w:r>
              <w:rPr>
                <w:highlight w:val="none"/>
              </w:rPr>
            </w:r>
            <w:r/>
          </w:p>
        </w:tc>
        <w:tc>
          <w:tcPr>
            <w:tcBorders>
              <w:top w:val="single" w:color="auto" w:sz="4" w:space="0"/>
              <w:left w:val="single" w:color="auto" w:sz="4" w:space="0"/>
              <w:bottom w:val="single" w:color="auto" w:sz="4" w:space="0"/>
              <w:right w:val="single" w:color="auto" w:sz="4" w:space="0"/>
            </w:tcBorders>
            <w:tcW w:w="3336" w:type="pct"/>
            <w:vAlign w:val="center"/>
            <w:textDirection w:val="lrTb"/>
            <w:noWrap w:val="false"/>
          </w:tcPr>
          <w:p>
            <w:pPr>
              <w:jc w:val="center"/>
              <w:spacing w:line="300" w:lineRule="auto"/>
              <w:rPr>
                <w:rFonts w:hint="eastAsia" w:ascii="宋体" w:hAnsi="宋体" w:cs="宋体"/>
                <w:color w:val="auto"/>
                <w:sz w:val="24"/>
                <w:szCs w:val="24"/>
                <w:highlight w:val="none"/>
              </w:rPr>
            </w:pPr>
            <w:r>
              <w:rPr>
                <w:rFonts w:hint="eastAsia" w:ascii="Times New Roman" w:hAnsi="Times New Roman" w:eastAsia="宋体" w:cs="仿宋_GB2312"/>
                <w:i w:val="0"/>
                <w:iCs w:val="0"/>
                <w:color w:val="000000"/>
                <w:sz w:val="24"/>
                <w:szCs w:val="21"/>
                <w:highlight w:val="none"/>
                <w:u w:val="none"/>
                <w:lang w:val="en-US" w:eastAsia="zh-CN"/>
              </w:rPr>
              <w:t xml:space="preserve">智能采样柜能够实现等比例混合采样、同步备份采样（平行样）、远程即时采样等多种采样功能</w:t>
            </w:r>
            <w:r>
              <w:rPr>
                <w:highlight w:val="none"/>
              </w:rPr>
            </w:r>
            <w:r/>
          </w:p>
        </w:tc>
      </w:tr>
    </w:tbl>
    <w:p>
      <w:pPr>
        <w:ind w:firstLine="482"/>
        <w:keepLines w:val="0"/>
        <w:keepNext w:val="0"/>
        <w:pageBreakBefore w:val="0"/>
        <w:spacing w:line="360" w:lineRule="auto"/>
        <w:rPr>
          <w:rFonts w:hint="default" w:ascii="宋体" w:hAnsi="Times New Roman" w:eastAsia="宋体" w:cs="宋体"/>
          <w:b/>
          <w:bCs/>
          <w:color w:val="auto"/>
          <w:sz w:val="24"/>
          <w:szCs w:val="24"/>
          <w:highlight w:val="none"/>
        </w:rPr>
      </w:pPr>
      <w:r>
        <w:rPr>
          <w:rFonts w:hint="eastAsia" w:ascii="宋体" w:hAnsi="Times New Roman" w:eastAsia="宋体" w:cs="宋体"/>
          <w:b/>
          <w:bCs/>
          <w:color w:val="auto"/>
          <w:sz w:val="24"/>
          <w:szCs w:val="24"/>
          <w:highlight w:val="none"/>
          <w:lang w:val="en-US" w:eastAsia="zh-CN"/>
        </w:rPr>
        <w:t xml:space="preserve">（三）技术要求</w:t>
      </w:r>
      <w:r>
        <w:rPr>
          <w:highlight w:val="none"/>
        </w:rPr>
      </w:r>
      <w:r/>
    </w:p>
    <w:p>
      <w:pPr>
        <w:numPr>
          <w:ilvl w:val="0"/>
          <w:numId w:val="0"/>
        </w:numPr>
        <w:ind w:firstLine="48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3.1基本要求</w:t>
      </w:r>
      <w:r>
        <w:rPr>
          <w:highlight w:val="none"/>
        </w:rPr>
      </w:r>
      <w:r/>
    </w:p>
    <w:p>
      <w:pPr>
        <w:numPr>
          <w:ilvl w:val="0"/>
          <w:numId w:val="0"/>
        </w:num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★水质智能化监测分析系统用于氨氮、总磷、总氮、高锰酸盐指数、化学需氧量的自动检测，</w:t>
      </w:r>
      <w:r>
        <w:rPr>
          <w:rFonts w:hint="eastAsia" w:ascii="宋体" w:hAnsi="宋体" w:eastAsia="宋体" w:cs="宋体"/>
          <w:color w:val="auto"/>
          <w:sz w:val="24"/>
          <w:szCs w:val="24"/>
          <w:highlight w:val="none"/>
        </w:rPr>
        <w:t xml:space="preserve">具备24小时连续样品检测的能力</w:t>
      </w:r>
      <w:r>
        <w:rPr>
          <w:rFonts w:hint="eastAsia" w:ascii="宋体" w:hAnsi="宋体" w:eastAsia="宋体" w:cs="宋体"/>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（需提供相关检测报告原件扫描件并在本参数处做明确标识，否则视为没有实质性响应招标文件）</w:t>
      </w:r>
      <w:r>
        <w:rPr>
          <w:rFonts w:hint="eastAsia" w:ascii="宋体" w:hAnsi="宋体" w:cs="宋体"/>
          <w:color w:val="auto"/>
          <w:sz w:val="24"/>
          <w:szCs w:val="24"/>
          <w:highlight w:val="none"/>
          <w:lang w:val="en-US" w:eastAsia="zh-CN"/>
        </w:rPr>
        <w:t xml:space="preserve">。</w:t>
      </w:r>
      <w:r>
        <w:rPr>
          <w:highlight w:val="none"/>
        </w:rPr>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3.2工作环境</w:t>
      </w:r>
      <w:r>
        <w:rPr>
          <w:highlight w:val="none"/>
        </w:rPr>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工作温度：5℃～40℃；</w:t>
      </w:r>
      <w:r>
        <w:rPr>
          <w:highlight w:val="none"/>
        </w:rPr>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相对湿度：≤90%；</w:t>
      </w:r>
      <w:r>
        <w:rPr>
          <w:highlight w:val="none"/>
        </w:rPr>
      </w:r>
      <w:r/>
    </w:p>
    <w:p>
      <w:pPr>
        <w:numPr>
          <w:ilvl w:val="0"/>
          <w:numId w:val="0"/>
        </w:num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电源电压：AC220V±22V；</w:t>
      </w:r>
      <w:r>
        <w:rPr>
          <w:highlight w:val="none"/>
        </w:rPr>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电源频率：50Hz±1Hz；</w:t>
      </w:r>
      <w:r>
        <w:rPr>
          <w:highlight w:val="none"/>
        </w:rPr>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设备运行总功率≤10KW；</w:t>
      </w:r>
      <w:r>
        <w:rPr>
          <w:highlight w:val="none"/>
        </w:rPr>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3.3具体要求</w:t>
      </w:r>
      <w:r>
        <w:rPr>
          <w:highlight w:val="none"/>
        </w:rPr>
      </w:r>
      <w:r/>
    </w:p>
    <w:tbl>
      <w:tblPr>
        <w:tblStyle w:val="817"/>
        <w:tblW w:w="4940" w:type="pct"/>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7"/>
        <w:gridCol w:w="7319"/>
      </w:tblGrid>
      <w:tr>
        <w:trPr>
          <w:trHeight w:val="3692"/>
        </w:trPr>
        <w:tc>
          <w:tcPr>
            <w:tcBorders>
              <w:top w:val="single" w:color="auto" w:sz="4" w:space="0"/>
              <w:left w:val="single" w:color="auto" w:sz="4" w:space="0"/>
              <w:right w:val="single" w:color="auto" w:sz="4" w:space="0"/>
            </w:tcBorders>
            <w:tcW w:w="886" w:type="pct"/>
            <w:vAlign w:val="center"/>
            <w:textDirection w:val="lrTb"/>
            <w:noWrap w:val="false"/>
          </w:tcPr>
          <w:p>
            <w:pPr>
              <w:jc w:val="left"/>
              <w:keepLines w:val="0"/>
              <w:keepNext w:val="0"/>
              <w:spacing w:after="0" w:line="240" w:lineRule="auto"/>
              <w:widowControl/>
              <w:rPr>
                <w:rFonts w:hint="eastAsia" w:ascii="Calibri" w:hAnsi="Calibri" w:eastAsia="宋体" w:cs="Times New Roman"/>
                <w:spacing w:val="-1"/>
                <w:highlight w:val="none"/>
              </w:rPr>
              <w:suppressLineNumbers w:val="0"/>
            </w:pPr>
            <w:r>
              <w:rPr>
                <w:rFonts w:hint="eastAsia" w:ascii="Calibri" w:hAnsi="Calibri" w:eastAsia="宋体" w:cs="Times New Roman"/>
                <w:spacing w:val="-1"/>
                <w:highlight w:val="none"/>
                <w:lang w:val="en-US" w:eastAsia="zh-CN"/>
              </w:rPr>
              <w:t xml:space="preserve">全自动样品进样系统</w:t>
            </w:r>
            <w:r>
              <w:rPr>
                <w:highlight w:val="none"/>
              </w:rPr>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spacing w:val="-1"/>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1、样品上下样单元须设置电动门，应对机械手作业区进行防护隔离，自动门打开时，机械手停止运行；</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2、样品上样支持顺序、紧急插队等多种灵活上样模式，可满足加急样品的优先检测需求；</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3、下线时能自动拧紧与样品瓶匹配的瓶盖；</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4、异常下线样品应在系统仿真界面上呈现不同颜色便于识别；</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5、样品传送轨道可根据实验室空间自由定制，轨道可容纳样品瓶数量108个，轨道长度、容纳样品数均定制；</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6、具有传送轨道偏移、卡、异常堵转等故障报警及自动修</w:t>
            </w:r>
            <w:r>
              <w:rPr>
                <w:rFonts w:hint="eastAsia" w:ascii="宋体" w:hAnsi="宋体" w:cs="宋体"/>
                <w:color w:val="auto"/>
                <w:sz w:val="21"/>
                <w:szCs w:val="21"/>
                <w:highlight w:val="none"/>
                <w:lang w:val="en-US" w:eastAsia="zh-CN"/>
              </w:rPr>
              <w:t xml:space="preserve">修</w:t>
            </w:r>
            <w:r>
              <w:rPr>
                <w:rFonts w:hint="eastAsia" w:ascii="宋体" w:hAnsi="宋体" w:eastAsia="宋体" w:cs="宋体"/>
                <w:color w:val="auto"/>
                <w:sz w:val="21"/>
                <w:szCs w:val="21"/>
                <w:highlight w:val="none"/>
                <w:lang w:val="en-US" w:eastAsia="zh-CN"/>
              </w:rPr>
              <w:t xml:space="preserve">复位功能</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7、可根据传送轨道上样品瓶数量动态调整传送步长，提升样品瓶传送效率；</w:t>
            </w:r>
            <w:r>
              <w:rPr>
                <w:highlight w:val="none"/>
              </w:rPr>
            </w:r>
            <w:r/>
          </w:p>
          <w:p>
            <w:pPr>
              <w:jc w:val="left"/>
              <w:keepLines w:val="0"/>
              <w:keepNext w:val="0"/>
              <w:spacing w:after="0" w:line="240" w:lineRule="auto"/>
              <w:widowControl/>
              <w:rPr>
                <w:rFonts w:hint="eastAsia" w:ascii="Calibri" w:hAnsi="Calibri" w:eastAsia="宋体" w:cs="Times New Roman"/>
                <w:spacing w:val="-1"/>
                <w:highlight w:val="none"/>
              </w:rPr>
              <w:suppressLineNumbers w:val="0"/>
            </w:pPr>
            <w:r>
              <w:rPr>
                <w:rFonts w:hint="eastAsia" w:ascii="宋体" w:hAnsi="宋体" w:eastAsia="宋体" w:cs="宋体"/>
                <w:color w:val="auto"/>
                <w:sz w:val="21"/>
                <w:szCs w:val="21"/>
                <w:highlight w:val="none"/>
                <w:lang w:val="en-US" w:eastAsia="zh-CN"/>
              </w:rPr>
              <w:t xml:space="preserve">8、采用液体非接触式动力泵进行准确计量，免维护校准，保证试剂及进样的准确度和稳定性</w:t>
            </w:r>
            <w:r>
              <w:rPr>
                <w:highlight w:val="none"/>
              </w:rPr>
            </w:r>
            <w:r/>
          </w:p>
        </w:tc>
      </w:tr>
      <w:tr>
        <w:trPr/>
        <w:tc>
          <w:tcPr>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left"/>
              <w:keepLines w:val="0"/>
              <w:keepNext w:val="0"/>
              <w:spacing w:after="0" w:line="240" w:lineRule="auto"/>
              <w:widowControl/>
              <w:rPr>
                <w:rFonts w:hint="eastAsia" w:ascii="Calibri" w:hAnsi="Calibri" w:eastAsia="宋体" w:cs="Times New Roman"/>
                <w:spacing w:val="-1"/>
                <w:highlight w:val="none"/>
              </w:rPr>
              <w:suppressLineNumbers w:val="0"/>
            </w:pPr>
            <w:r>
              <w:rPr>
                <w:rFonts w:hint="eastAsia" w:ascii="Calibri" w:hAnsi="Calibri" w:eastAsia="宋体" w:cs="Times New Roman"/>
                <w:spacing w:val="-1"/>
                <w:highlight w:val="none"/>
              </w:rPr>
              <w:t xml:space="preserve">中控系统</w:t>
            </w:r>
            <w:r>
              <w:rPr>
                <w:highlight w:val="none"/>
              </w:rPr>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9、具备集成干扰消除模块，可动态扣除浊度、色度的影响，具有抗浊度、抗色度干扰功能；</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10、每个测试数据具有独立关键指标记录功能，如当前测试数据对应的消解温度、消解时间、校准曲线、显色温度等；</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11、能自动定量加注试剂，各类试剂具有独立的试剂管路，试剂及耗材具有余量监控及报警功能；</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12、检测器采用高度集成模块化设计，支持快速切换，可支持高锰酸盐</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氨氮、总磷、总氮等参数检测，检测信号稳定可靠；</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13、高锰酸盐、氨氮、总磷、总氮等参数的检测分析方法依据国家标准方法原理，仪器全流程自动完成取样、加试剂、前处理、反应、检测、数据采集与处理、数据报告生成等流程；</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14、具备完整的实验室全过程质控功能，可自定义全流程质控方案，每批次水样同步插入质控，能加入空白试验、精密度控制、准确度控制、抗干扰性等多个质控措施；</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15、总氮、总磷分析单元具备高压消解前处理器，具有PID精准控温，保证消解温度的一致性和稳定性，具有过温保护等安全防护和报警机制；多重安全保护，支持自动加水、排水、水位监测、异常报警等功能；</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16、要求采用具有自主知识产权的网络数据库服务软件，能对系统产生的数据进行双机热备份，确保数据安全；</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17、可对机械手、传送轨道、进样器、自动分析仪器及其他配套设备发布操作命令，可进行不同设备间的协同控制；</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18、可合理调度样品流转，将待检样品及时送入检测工位，已检样品及时下线，保证系统高效运行；</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19、具有双向数据传输功能和工作状态输出功能；</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20、具有断电保护机制，系统感知市电停电后可自动中断测试，工控机能够及时保存相应的状态及数据，待重新上电后，系统能够从断点自动恢复运行；</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21、任何的数据退回都应附有原因说明，所有的退回记录都应附在最终结果的追溯记录中，以便进行数据溯源；</w:t>
            </w:r>
            <w:r>
              <w:rPr>
                <w:highlight w:val="none"/>
              </w:rPr>
            </w:r>
            <w:r/>
          </w:p>
          <w:p>
            <w:pPr>
              <w:jc w:val="left"/>
              <w:keepLines w:val="0"/>
              <w:keepNext w:val="0"/>
              <w:spacing w:after="0" w:line="240" w:lineRule="auto"/>
              <w:widowControl/>
              <w:rPr>
                <w:rFonts w:hint="eastAsia" w:ascii="Calibri" w:hAnsi="Calibri" w:eastAsia="宋体" w:cs="Times New Roman"/>
                <w:spacing w:val="-1"/>
                <w:highlight w:val="none"/>
              </w:rPr>
              <w:suppressLineNumbers w:val="0"/>
            </w:pPr>
            <w:r>
              <w:rPr>
                <w:rFonts w:hint="eastAsia" w:ascii="宋体" w:hAnsi="宋体" w:eastAsia="宋体" w:cs="宋体"/>
                <w:color w:val="auto"/>
                <w:sz w:val="21"/>
                <w:szCs w:val="21"/>
                <w:highlight w:val="none"/>
                <w:lang w:val="en-US" w:eastAsia="zh-CN"/>
              </w:rPr>
              <w:t xml:space="preserve">试剂瓶在完全密材状态下应可承受0.1MPa以</w:t>
            </w:r>
            <w:r>
              <w:rPr>
                <w:rFonts w:hint="eastAsia" w:ascii="宋体" w:hAnsi="宋体" w:cs="宋体"/>
                <w:color w:val="auto"/>
                <w:sz w:val="21"/>
                <w:szCs w:val="21"/>
                <w:highlight w:val="none"/>
                <w:lang w:val="en-US" w:eastAsia="zh-CN"/>
              </w:rPr>
              <w:t xml:space="preserve">上</w:t>
            </w:r>
            <w:r>
              <w:rPr>
                <w:rFonts w:hint="eastAsia" w:ascii="宋体" w:hAnsi="宋体" w:eastAsia="宋体" w:cs="宋体"/>
                <w:color w:val="auto"/>
                <w:sz w:val="21"/>
                <w:szCs w:val="21"/>
                <w:highlight w:val="none"/>
                <w:lang w:val="en-US" w:eastAsia="zh-CN"/>
              </w:rPr>
              <w:t xml:space="preserve">的压力</w:t>
            </w:r>
            <w:r>
              <w:rPr>
                <w:highlight w:val="none"/>
              </w:rPr>
            </w:r>
            <w:r/>
          </w:p>
        </w:tc>
      </w:tr>
      <w:tr>
        <w:trPr>
          <w:trHeight w:val="3654"/>
        </w:trPr>
        <w:tc>
          <w:tcPr>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left"/>
              <w:keepLines w:val="0"/>
              <w:keepNext w:val="0"/>
              <w:spacing w:after="0" w:line="240" w:lineRule="auto"/>
              <w:widowControl/>
              <w:rPr>
                <w:rFonts w:hint="eastAsia" w:ascii="Calibri" w:hAnsi="Calibri" w:eastAsia="宋体" w:cs="Times New Roman"/>
                <w:spacing w:val="-1"/>
                <w:highlight w:val="none"/>
              </w:rPr>
              <w:suppressLineNumbers w:val="0"/>
            </w:pPr>
            <w:r>
              <w:rPr>
                <w:rFonts w:hint="eastAsia" w:ascii="Calibri" w:hAnsi="Calibri" w:eastAsia="宋体" w:cs="Times New Roman"/>
                <w:spacing w:val="-1"/>
                <w:highlight w:val="none"/>
              </w:rPr>
              <w:t xml:space="preserve">智能辅助</w:t>
            </w:r>
            <w:r>
              <w:rPr>
                <w:rFonts w:hint="eastAsia" w:ascii="Calibri" w:hAnsi="Calibri" w:eastAsia="宋体" w:cs="Times New Roman"/>
                <w:spacing w:val="-1"/>
                <w:highlight w:val="none"/>
                <w:lang w:val="en-US" w:eastAsia="zh-CN"/>
              </w:rPr>
              <w:t xml:space="preserve">模块</w:t>
            </w:r>
            <w:r>
              <w:rPr>
                <w:highlight w:val="none"/>
              </w:rPr>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22、供电单元</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1）系统应配备UPS，容量≥3KVA；</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2）具备断电自我保护及来电自动恢复功能，断电可自动保存当前的状态和检测进度、数据，工控机自动进行软关机以避免数据库损坏。待重新上电后，系统可从断点自动恢复运行。</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23、废液处理单元</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配备废液自动收集单元，满足各检测单元正常运行。</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24、制水单元</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满足《分析实验室用水规格和试验方法》GB/T6682-2008中一级水级别。</w:t>
            </w:r>
            <w:r>
              <w:rPr>
                <w:highlight w:val="none"/>
              </w:rPr>
            </w:r>
            <w:r/>
          </w:p>
          <w:p>
            <w:pPr>
              <w:jc w:val="left"/>
              <w:keepLines w:val="0"/>
              <w:keepNext w:val="0"/>
              <w:spacing w:after="0" w:line="24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25、试剂冷藏单元</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配合自动监测设备或模块运行使用，温度在0-10℃范围内可控，并具备温度及试剂余量显示及报警功能；</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26、采样瓶数量：不少于500个，体积：不小于500ml，材质：适用于水质智能化监测分析系统，不干扰各监测因子测定。</w:t>
            </w:r>
            <w:r>
              <w:rPr>
                <w:highlight w:val="none"/>
              </w:rPr>
            </w:r>
            <w:r/>
          </w:p>
        </w:tc>
      </w:tr>
      <w:tr>
        <w:trPr>
          <w:trHeight w:val="2254"/>
        </w:trPr>
        <w:tc>
          <w:tcPr>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left"/>
              <w:keepLines w:val="0"/>
              <w:keepNext w:val="0"/>
              <w:spacing w:after="0" w:line="240" w:lineRule="auto"/>
              <w:widowControl/>
              <w:rPr>
                <w:rFonts w:hint="eastAsia" w:ascii="Calibri" w:hAnsi="Calibri" w:eastAsia="宋体" w:cs="Times New Roman"/>
                <w:spacing w:val="-1"/>
                <w:highlight w:val="none"/>
              </w:rPr>
              <w:suppressLineNumbers w:val="0"/>
            </w:pPr>
            <w:r>
              <w:rPr>
                <w:rFonts w:hint="eastAsia" w:ascii="Calibri" w:hAnsi="Calibri" w:eastAsia="宋体" w:cs="Times New Roman"/>
                <w:spacing w:val="-1"/>
                <w:highlight w:val="none"/>
              </w:rPr>
              <w:t xml:space="preserve">检测分析</w:t>
            </w:r>
            <w:r>
              <w:rPr>
                <w:rFonts w:hint="eastAsia" w:ascii="Calibri" w:hAnsi="Calibri" w:eastAsia="宋体" w:cs="Times New Roman"/>
                <w:spacing w:val="-1"/>
                <w:highlight w:val="none"/>
                <w:lang w:val="en-US" w:eastAsia="zh-CN"/>
              </w:rPr>
              <w:t xml:space="preserve">系统</w:t>
            </w:r>
            <w:r>
              <w:rPr>
                <w:highlight w:val="none"/>
              </w:rPr>
            </w:r>
            <w:r/>
          </w:p>
          <w:p>
            <w:pPr>
              <w:jc w:val="left"/>
              <w:keepLines w:val="0"/>
              <w:keepNext w:val="0"/>
              <w:spacing w:after="0" w:line="240" w:lineRule="auto"/>
              <w:widowControl/>
              <w:rPr>
                <w:rFonts w:hint="eastAsia" w:ascii="Calibri" w:hAnsi="Calibri" w:eastAsia="宋体" w:cs="Times New Roman"/>
                <w:spacing w:val="-1"/>
                <w:highlight w:val="none"/>
              </w:rPr>
              <w:suppressLineNumbers w:val="0"/>
            </w:pPr>
            <w:r>
              <w:rPr>
                <w:rFonts w:hint="eastAsia" w:ascii="Calibri" w:hAnsi="Calibri" w:eastAsia="宋体" w:cs="Times New Roman"/>
                <w:spacing w:val="-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27、高锰酸盐指数检测单元：使用高锰酸钾滴定法。方法检出限应小于等于0.5mg/L；精密度应小于等于5%；准确度应控制在±10%。</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28、氨氮检测单元：使用水杨酸分光光度法或纳氏试剂分光光度法。方法检出限应小于等于0.05mg/L；精密度应小于等于5%；准确度应控制在±10%。</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9、总氮检测单元：使用碱性过硫酸钾消解紫外分光光度法。方法检出限应小于等于0.1mg/L；精密度应小于等于5%；准确度应控制在±10%。</w:t>
            </w:r>
            <w:r>
              <w:rPr>
                <w:highlight w:val="none"/>
              </w:rPr>
            </w:r>
            <w:r/>
          </w:p>
          <w:p>
            <w:pPr>
              <w:jc w:val="left"/>
              <w:keepLines w:val="0"/>
              <w:keepNext w:val="0"/>
              <w:spacing w:after="0"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30、具备自动标样核查、空白核查、空白校准、标样校准、工作曲线标定、加标回收率测试等功能；</w:t>
            </w:r>
            <w:r>
              <w:rPr>
                <w:highlight w:val="none"/>
              </w:rPr>
            </w:r>
            <w:r/>
          </w:p>
        </w:tc>
      </w:tr>
    </w:tbl>
    <w:p>
      <w:pPr>
        <w:pStyle w:val="824"/>
        <w:numPr>
          <w:ilvl w:val="0"/>
          <w:numId w:val="0"/>
        </w:numPr>
        <w:ind w:firstLine="482"/>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四、供货要求：</w:t>
      </w:r>
      <w:r>
        <w:rPr>
          <w:highlight w:val="none"/>
        </w:rPr>
      </w:r>
      <w:r/>
    </w:p>
    <w:p>
      <w:pPr>
        <w:pStyle w:val="824"/>
        <w:numPr>
          <w:ilvl w:val="0"/>
          <w:numId w:val="0"/>
        </w:numPr>
        <w:ind w:left="48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1、自合同签订时间之日起</w:t>
      </w:r>
      <w:r>
        <w:rPr>
          <w:rFonts w:hint="eastAsia" w:ascii="宋体" w:hAnsi="宋体" w:cs="宋体"/>
          <w:color w:val="auto"/>
          <w:sz w:val="24"/>
          <w:szCs w:val="24"/>
          <w:highlight w:val="none"/>
          <w:lang w:val="en-US" w:eastAsia="zh-CN"/>
        </w:rPr>
        <w:t xml:space="preserve">60日历天</w:t>
      </w:r>
      <w:r>
        <w:rPr>
          <w:rFonts w:hint="eastAsia" w:ascii="宋体" w:hAnsi="宋体" w:eastAsia="宋体" w:cs="宋体"/>
          <w:color w:val="auto"/>
          <w:sz w:val="24"/>
          <w:szCs w:val="24"/>
          <w:highlight w:val="none"/>
          <w:lang w:val="en-US" w:eastAsia="zh-CN"/>
        </w:rPr>
        <w:t xml:space="preserve">内将合同标的全部交付完成；</w:t>
      </w:r>
      <w:r>
        <w:rPr>
          <w:highlight w:val="none"/>
        </w:rPr>
      </w:r>
      <w:r/>
    </w:p>
    <w:p>
      <w:pPr>
        <w:pStyle w:val="824"/>
        <w:numPr>
          <w:ilvl w:val="0"/>
          <w:numId w:val="0"/>
        </w:numPr>
        <w:ind w:left="480"/>
        <w:spacing w:line="38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供货地点：采购人指定地点。</w:t>
      </w:r>
      <w:r>
        <w:rPr>
          <w:highlight w:val="none"/>
        </w:rPr>
      </w:r>
      <w:r/>
    </w:p>
    <w:p>
      <w:pPr>
        <w:pStyle w:val="815"/>
        <w:ind w:left="0" w:right="0" w:firstLine="482"/>
        <w:jc w:val="both"/>
        <w:keepLines w:val="0"/>
        <w:keepNext w:val="0"/>
        <w:spacing w:before="0" w:beforeAutospacing="0" w:after="0" w:afterAutospacing="0" w:line="360" w:lineRule="auto"/>
        <w:widowControl/>
        <w:rPr>
          <w:rFonts w:hint="eastAsia" w:ascii="宋体" w:hAnsi="宋体" w:eastAsia="宋体" w:cs="宋体"/>
          <w:b/>
          <w:bCs/>
          <w:color w:val="00000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val="en-US" w:eastAsia="zh-CN"/>
        </w:rPr>
        <w:t xml:space="preserve">、项目实施要求</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提供的货物应符合国家规定的标准、行业标准、招标文件及合同约定。为保证本项目的顺利实施，投标人应结合各自产品特点，自行设计实施方案。</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2、全部货物运抵现场后，中标人与采购人一起按合同货物清单依合同标准进行货采购人对货物验收合格后，双方共同签署货物验收合格证明。验收中发现货物达不到验收标准或合同规定的性能指标，</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必须更换，并且赔偿由此给采购人造成的损失。</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3、中标人</w:t>
      </w:r>
      <w:r>
        <w:rPr>
          <w:rFonts w:hint="eastAsia" w:ascii="宋体" w:hAnsi="宋体" w:cs="宋体"/>
          <w:color w:val="auto"/>
          <w:sz w:val="24"/>
          <w:szCs w:val="24"/>
          <w:highlight w:val="none"/>
          <w:lang w:val="en-US" w:eastAsia="zh-CN"/>
        </w:rPr>
        <w:t xml:space="preserve">拟派现场安装人员，应身体健康，无残疾，具有相应的专业能力。</w:t>
      </w:r>
      <w:r>
        <w:rPr>
          <w:rFonts w:hint="eastAsia" w:ascii="宋体" w:hAnsi="宋体" w:eastAsia="宋体" w:cs="宋体"/>
          <w:color w:val="auto"/>
          <w:sz w:val="24"/>
          <w:szCs w:val="24"/>
          <w:highlight w:val="none"/>
          <w:lang w:val="en-US" w:eastAsia="zh-CN"/>
        </w:rPr>
        <w:t xml:space="preserve">现场安装调试</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若</w:t>
      </w:r>
      <w:r>
        <w:rPr>
          <w:rFonts w:hint="eastAsia" w:ascii="宋体" w:hAnsi="宋体" w:eastAsia="宋体" w:cs="宋体"/>
          <w:color w:val="auto"/>
          <w:sz w:val="24"/>
          <w:szCs w:val="24"/>
          <w:highlight w:val="none"/>
          <w:lang w:val="en-US" w:eastAsia="zh-CN"/>
        </w:rPr>
        <w:t xml:space="preserve">验收中发现设备达不到验收标准或合同规定的性能指标，中标人必须更换，并且赔偿由此给采购人造成的损失。</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在服务期内，解决涉及本项目的全部技术问题。对采购人在项目</w:t>
      </w: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中碰到的其他技术问题，有责任和义务提供咨询和帮助</w:t>
      </w:r>
      <w:r>
        <w:rPr>
          <w:rFonts w:hint="eastAsia" w:ascii="宋体" w:hAnsi="宋体" w:cs="宋体"/>
          <w:color w:val="auto"/>
          <w:sz w:val="24"/>
          <w:szCs w:val="24"/>
          <w:highlight w:val="none"/>
          <w:lang w:val="en-US" w:eastAsia="zh-CN"/>
        </w:rPr>
        <w:t xml:space="preserve">。</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5、投标人所投产品应能够</w:t>
      </w:r>
      <w:r>
        <w:rPr>
          <w:rFonts w:hint="eastAsia" w:ascii="宋体" w:hAnsi="宋体" w:cs="宋体"/>
          <w:color w:val="auto"/>
          <w:sz w:val="24"/>
          <w:szCs w:val="24"/>
          <w:highlight w:val="none"/>
          <w:lang w:val="en-US" w:eastAsia="zh-CN"/>
        </w:rPr>
        <w:t xml:space="preserve">满足采购需求</w:t>
      </w:r>
      <w:r>
        <w:rPr>
          <w:rFonts w:hint="eastAsia" w:ascii="宋体" w:hAnsi="宋体" w:eastAsia="宋体" w:cs="宋体"/>
          <w:color w:val="auto"/>
          <w:sz w:val="24"/>
          <w:szCs w:val="24"/>
          <w:highlight w:val="none"/>
          <w:lang w:val="en-US" w:eastAsia="zh-CN"/>
        </w:rPr>
        <w:t xml:space="preserve">要求，同时明确所投产品的品牌、型号、规格及一些必须说明的技术参数，以及设备配置清单，并提供详细的技术参数及性能说明书。</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、本项目免费质保期要求：不低于3年。免费质量保证期从最终验收合格后开始计算。免费质量保证期以整个项目为单位进行响应。</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、售后及服务标准要求：                                    </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本项目的设备产品及软件在质保期内均需提供7×24小时电话服务，在质量保证期内，发生硬件、软件故障，在接到报修电话后，非紧急情况24小时内维修技术人员到达现场，紧急情况12小时内维修技术人员到达现场，到达现场后4小时内排除故障，不能排除故障的，须提供备用品，不影响采购人使用。</w:t>
      </w:r>
      <w:r>
        <w:rPr>
          <w:highlight w:val="none"/>
        </w:rPr>
      </w:r>
      <w:r/>
    </w:p>
    <w:p>
      <w:pPr>
        <w:pStyle w:val="815"/>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（2）保修期外，设备产品及软件出现故障，中标人收到通知后应主动提供维修方案及报价，确保以优惠价格提供零部件，并取得采购人同意后7天内予以解决。</w:t>
      </w:r>
      <w:r>
        <w:rPr>
          <w:highlight w:val="none"/>
        </w:rPr>
      </w:r>
      <w:r/>
    </w:p>
    <w:p>
      <w:pPr>
        <w:pStyle w:val="815"/>
        <w:ind w:left="0" w:firstLine="480"/>
        <w:keepLines w:val="0"/>
        <w:keepNext w:val="0"/>
        <w:spacing w:before="0" w:beforeAutospacing="0" w:after="0" w:afterAutospacing="0" w:line="360" w:lineRule="auto"/>
        <w:widowControl/>
        <w:rPr>
          <w:rFonts w:hint="default"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（3）中标人须在交货时安排技术人员为采购人提供免费现场培训。</w:t>
      </w:r>
      <w:r>
        <w:rPr>
          <w:highlight w:val="none"/>
        </w:rPr>
      </w:r>
      <w:r/>
    </w:p>
    <w:p>
      <w:pPr>
        <w:spacing w:line="360" w:lineRule="auto"/>
        <w:rPr>
          <w:rFonts w:hint="eastAsia" w:ascii="宋体" w:hAnsi="宋体" w:cs="宋体"/>
          <w:color w:val="auto"/>
          <w:sz w:val="28"/>
          <w:szCs w:val="28"/>
          <w:highlight w:val="none"/>
        </w:rPr>
      </w:pPr>
      <w:r>
        <w:rPr>
          <w:rFonts w:hint="eastAsia" w:ascii="宋体" w:hAnsi="宋体" w:cs="宋体"/>
          <w:b/>
          <w:bCs/>
          <w:sz w:val="24"/>
          <w:highlight w:val="none"/>
          <w:lang w:val="en-US" w:eastAsia="zh-CN"/>
        </w:rPr>
        <w:t xml:space="preserve">六、</w:t>
      </w:r>
      <w:r>
        <w:rPr>
          <w:rFonts w:hint="eastAsia" w:ascii="宋体" w:hAnsi="宋体" w:eastAsia="宋体" w:cs="Times New Roman"/>
          <w:b/>
          <w:bCs/>
          <w:sz w:val="24"/>
          <w:highlight w:val="none"/>
        </w:rPr>
        <w:t xml:space="preserve">验收标准：</w:t>
      </w:r>
      <w:r>
        <w:rPr>
          <w:highlight w:val="none"/>
        </w:rPr>
      </w:r>
      <w:r/>
    </w:p>
    <w:p>
      <w:pPr>
        <w:numPr>
          <w:ilvl w:val="0"/>
          <w:numId w:val="0"/>
        </w:numPr>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bidi="ar-SA"/>
        </w:rPr>
        <w:t xml:space="preserve">满足招标文件要求，且需</w:t>
      </w:r>
      <w:r>
        <w:rPr>
          <w:rFonts w:hint="eastAsia" w:ascii="宋体" w:hAnsi="宋体" w:eastAsia="宋体" w:cs="Times New Roman"/>
          <w:sz w:val="24"/>
          <w:szCs w:val="24"/>
          <w:highlight w:val="none"/>
          <w:lang w:val="en-US" w:eastAsia="zh-CN" w:bidi="ar-SA"/>
        </w:rPr>
        <w:t xml:space="preserve">达到</w:t>
      </w:r>
      <w:r>
        <w:rPr>
          <w:rFonts w:hint="eastAsia" w:ascii="宋体" w:hAnsi="宋体" w:cs="Times New Roman"/>
          <w:sz w:val="24"/>
          <w:szCs w:val="24"/>
          <w:highlight w:val="none"/>
          <w:lang w:val="en-US" w:eastAsia="zh-CN" w:bidi="ar-SA"/>
        </w:rPr>
        <w:t xml:space="preserve">相关</w:t>
      </w:r>
      <w:r>
        <w:rPr>
          <w:rFonts w:hint="eastAsia" w:ascii="宋体" w:hAnsi="宋体" w:eastAsia="宋体" w:cs="Times New Roman"/>
          <w:sz w:val="24"/>
          <w:szCs w:val="24"/>
          <w:highlight w:val="none"/>
          <w:lang w:val="en-US" w:eastAsia="zh-CN" w:bidi="ar-SA"/>
        </w:rPr>
        <w:t xml:space="preserve">国家</w:t>
      </w:r>
      <w:r>
        <w:rPr>
          <w:rFonts w:hint="eastAsia" w:ascii="宋体" w:hAnsi="宋体" w:cs="Times New Roman"/>
          <w:sz w:val="24"/>
          <w:szCs w:val="24"/>
          <w:highlight w:val="none"/>
          <w:lang w:val="en-US" w:eastAsia="zh-CN" w:bidi="ar-SA"/>
        </w:rPr>
        <w:t xml:space="preserve">、地方、行业</w:t>
      </w:r>
      <w:r>
        <w:rPr>
          <w:rFonts w:hint="eastAsia" w:ascii="宋体" w:hAnsi="宋体" w:eastAsia="宋体" w:cs="Times New Roman"/>
          <w:sz w:val="24"/>
          <w:szCs w:val="24"/>
          <w:highlight w:val="none"/>
          <w:lang w:val="en-US" w:eastAsia="zh-CN" w:bidi="ar-SA"/>
        </w:rPr>
        <w:t xml:space="preserve">标准。</w:t>
      </w:r>
      <w:r>
        <w:rPr>
          <w:highlight w:val="none"/>
        </w:rPr>
      </w:r>
      <w:r/>
    </w:p>
    <w:p>
      <w:pPr>
        <w:pStyle w:val="799"/>
        <w:ind w:left="0" w:firstLine="0"/>
        <w:spacing w:line="360" w:lineRule="auto"/>
        <w:rPr>
          <w:highlight w:val="none"/>
        </w:rP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lang w:val="en-US" w:eastAsia="zh-CN"/>
        </w:rPr>
        <w:t xml:space="preserve">、其他要求：</w:t>
      </w:r>
      <w:r>
        <w:rPr>
          <w:rFonts w:hint="eastAsia" w:ascii="宋体" w:hAnsi="宋体" w:eastAsia="宋体" w:cs="宋体"/>
          <w:color w:val="000000"/>
          <w:sz w:val="24"/>
          <w:highlight w:val="none"/>
          <w:lang w:eastAsia="zh-CN"/>
        </w:rPr>
        <w:t xml:space="preserve">见</w:t>
      </w:r>
      <w:r>
        <w:rPr>
          <w:rFonts w:hint="eastAsia" w:ascii="宋体" w:hAnsi="宋体" w:cs="宋体"/>
          <w:color w:val="000000"/>
          <w:sz w:val="24"/>
          <w:highlight w:val="none"/>
          <w:lang w:val="en-US" w:eastAsia="zh-CN"/>
        </w:rPr>
        <w:t xml:space="preserve">招标</w:t>
      </w:r>
      <w:r>
        <w:rPr>
          <w:rFonts w:hint="eastAsia" w:ascii="宋体" w:hAnsi="宋体" w:eastAsia="宋体" w:cs="宋体"/>
          <w:color w:val="000000"/>
          <w:sz w:val="24"/>
          <w:highlight w:val="none"/>
          <w:lang w:eastAsia="zh-CN"/>
        </w:rPr>
        <w:t xml:space="preserve">文件第五章《拟签订的合同文本》</w:t>
      </w:r>
      <w:r>
        <w:rPr>
          <w:highlight w:val="none"/>
        </w:rPr>
      </w:r>
      <w:r/>
    </w:p>
    <w:p>
      <w:pPr>
        <w:pStyle w:val="799"/>
        <w:ind w:left="0" w:firstLine="0"/>
        <w:rPr>
          <w:rFonts w:hint="eastAsia" w:ascii="宋体" w:hAnsi="宋体" w:eastAsia="宋体" w:cs="宋体"/>
          <w:sz w:val="24"/>
          <w:szCs w:val="24"/>
          <w:highlight w:val="none"/>
        </w:rPr>
        <w:sectPr>
          <w:footnotePr/>
          <w:endnotePr/>
          <w:type w:val="nextPage"/>
          <w:pgSz w:w="11906" w:h="16838" w:orient="portrait"/>
          <w:pgMar w:top="1588" w:right="1418" w:bottom="1474" w:left="1474" w:header="851" w:footer="992" w:gutter="0"/>
          <w:cols w:num="1" w:sep="0" w:space="720" w:equalWidth="1"/>
          <w:docGrid w:linePitch="360"/>
        </w:sectPr>
      </w:pPr>
      <w:r>
        <w:rPr>
          <w:rFonts w:hint="eastAsia" w:ascii="宋体" w:hAnsi="宋体" w:eastAsia="宋体" w:cs="宋体"/>
          <w:sz w:val="24"/>
          <w:szCs w:val="24"/>
          <w:highlight w:val="none"/>
          <w:lang w:val="en-US" w:eastAsia="zh-CN"/>
        </w:rPr>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第七章 投标文件相关格式</w:t>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一、投标函格式</w:t>
      </w:r>
      <w:r>
        <w:rPr>
          <w:highlight w:val="none"/>
        </w:rPr>
      </w:r>
      <w:r/>
    </w:p>
    <w:p>
      <w:pPr>
        <w:spacing w:line="46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eastAsia="zh-CN"/>
        </w:rPr>
        <w:t xml:space="preserve">徐州市丰县生态环境局</w:t>
      </w:r>
      <w:r>
        <w:rPr>
          <w:highlight w:val="none"/>
        </w:rPr>
      </w:r>
      <w:r/>
    </w:p>
    <w:p>
      <w:pPr>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rPr>
          <w:highlight w:val="none"/>
        </w:rPr>
      </w:r>
      <w:r/>
    </w:p>
    <w:p>
      <w:pPr>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据此函，投标人承诺并同意如下： </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投标人唯一投标报价见《开标一览表》。</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投标人将按招标文件的规定履行合同责任和义务。</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投标有效期为开标之日后90天。</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投标人同意按照招标文件规定支付招标代理服务费。</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rPr>
          <w:highlight w:val="none"/>
        </w:rPr>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 与本投标有关的一切正式往来信函请寄：</w:t>
      </w:r>
      <w:r>
        <w:rPr>
          <w:highlight w:val="none"/>
        </w:rPr>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rPr>
          <w:highlight w:val="none"/>
        </w:rPr>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传真： </w:t>
      </w:r>
      <w:r>
        <w:rPr>
          <w:highlight w:val="none"/>
        </w:rPr>
      </w:r>
      <w:r/>
    </w:p>
    <w:p>
      <w:pPr>
        <w:ind w:right="29"/>
        <w:jc w:val="right"/>
        <w:spacing w:line="360" w:lineRule="auto"/>
        <w:rPr>
          <w:rFonts w:hint="default"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投标人</w:t>
      </w:r>
      <w:r>
        <w:rPr>
          <w:rFonts w:hint="default"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电子签</w:t>
      </w:r>
      <w:r>
        <w:rPr>
          <w:rFonts w:hint="default" w:ascii="宋体" w:hAnsi="宋体" w:eastAsia="宋体" w:cs="宋体"/>
          <w:b w:val="0"/>
          <w:bCs w:val="0"/>
          <w:color w:val="000000"/>
          <w:sz w:val="24"/>
          <w:szCs w:val="24"/>
          <w:highlight w:val="none"/>
          <w:lang w:val="en-US" w:eastAsia="zh-CN"/>
        </w:rPr>
        <w:t xml:space="preserve">章）：</w:t>
      </w:r>
      <w:r>
        <w:rPr>
          <w:highlight w:val="none"/>
        </w:rPr>
      </w:r>
      <w:r/>
    </w:p>
    <w:p>
      <w:pPr>
        <w:ind w:right="29"/>
        <w:jc w:val="right"/>
        <w:spacing w:line="360" w:lineRule="auto"/>
        <w:rPr>
          <w:rFonts w:hint="default" w:ascii="宋体" w:hAnsi="宋体" w:eastAsia="宋体" w:cs="宋体"/>
          <w:b w:val="0"/>
          <w:bCs w:val="0"/>
          <w:color w:val="000000"/>
          <w:sz w:val="24"/>
          <w:szCs w:val="24"/>
          <w:highlight w:val="none"/>
        </w:rPr>
      </w:pPr>
      <w:r>
        <w:rPr>
          <w:rFonts w:hint="default" w:ascii="宋体" w:hAnsi="宋体" w:eastAsia="宋体" w:cs="宋体"/>
          <w:b w:val="0"/>
          <w:bCs w:val="0"/>
          <w:color w:val="000000"/>
          <w:sz w:val="24"/>
          <w:szCs w:val="24"/>
          <w:highlight w:val="none"/>
          <w:lang w:val="en-US" w:eastAsia="zh-CN"/>
        </w:rPr>
        <w:t xml:space="preserve">法定代表人或授权代表（签字或盖章）：</w:t>
      </w:r>
      <w:r>
        <w:rPr>
          <w:highlight w:val="none"/>
        </w:rPr>
      </w:r>
      <w:r/>
    </w:p>
    <w:p>
      <w:pPr>
        <w:ind w:right="29"/>
        <w:jc w:val="righ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 年 月  日</w:t>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二、开标一览表格式 </w:t>
      </w:r>
      <w:r>
        <w:rPr>
          <w:highlight w:val="none"/>
        </w:rPr>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jc w:val="left"/>
        <w:spacing w:line="312" w:lineRule="auto"/>
        <w:widowControl/>
        <w:rPr>
          <w:rFonts w:hint="eastAsia"/>
          <w:color w:val="auto"/>
          <w:sz w:val="24"/>
          <w:szCs w:val="20"/>
          <w:highlight w:val="none"/>
        </w:rPr>
      </w:pPr>
      <w:r>
        <w:rPr>
          <w:color w:val="auto"/>
          <w:sz w:val="24"/>
          <w:szCs w:val="20"/>
          <w:highlight w:val="none"/>
        </w:rPr>
        <w:t xml:space="preserve">项目名称：</w:t>
      </w:r>
      <w:r>
        <w:rPr>
          <w:highlight w:val="none"/>
        </w:rPr>
      </w:r>
      <w:r/>
    </w:p>
    <w:p>
      <w:pPr>
        <w:jc w:val="left"/>
        <w:spacing w:line="312" w:lineRule="auto"/>
        <w:widowControl/>
        <w:rPr>
          <w:rFonts w:hint="eastAsia" w:eastAsia="宋体"/>
          <w:color w:val="auto"/>
          <w:sz w:val="24"/>
          <w:szCs w:val="20"/>
          <w:highlight w:val="none"/>
        </w:rPr>
      </w:pPr>
      <w:r>
        <w:rPr>
          <w:color w:val="auto"/>
          <w:sz w:val="24"/>
          <w:szCs w:val="20"/>
          <w:highlight w:val="none"/>
        </w:rPr>
        <w:t xml:space="preserve">项目编号：</w:t>
      </w:r>
      <w:r>
        <w:rPr>
          <w:highlight w:val="none"/>
        </w:rPr>
      </w:r>
      <w:r/>
    </w:p>
    <w:p>
      <w:pPr>
        <w:jc w:val="right"/>
        <w:spacing w:line="312" w:lineRule="auto"/>
        <w:widowControl/>
        <w:rPr>
          <w:color w:val="auto"/>
          <w:sz w:val="24"/>
          <w:szCs w:val="20"/>
          <w:highlight w:val="none"/>
        </w:rPr>
      </w:pPr>
      <w:r>
        <w:rPr>
          <w:color w:val="auto"/>
          <w:sz w:val="24"/>
          <w:szCs w:val="20"/>
          <w:highlight w:val="none"/>
        </w:rPr>
        <w:t xml:space="preserve">货币单位：人民币元</w:t>
      </w:r>
      <w:r>
        <w:rPr>
          <w:highlight w:val="none"/>
        </w:rPr>
      </w:r>
      <w:r/>
    </w:p>
    <w:p>
      <w:pPr>
        <w:jc w:val="right"/>
        <w:spacing w:line="312" w:lineRule="auto"/>
        <w:widowControl/>
        <w:rPr>
          <w:color w:val="auto"/>
          <w:sz w:val="24"/>
          <w:szCs w:val="20"/>
          <w:highlight w:val="none"/>
        </w:rPr>
      </w:pPr>
      <w:r>
        <w:rPr>
          <w:color w:val="auto"/>
          <w:sz w:val="24"/>
          <w:szCs w:val="20"/>
          <w:highlight w:val="none"/>
        </w:rPr>
      </w:r>
      <w:r>
        <w:rPr>
          <w:highlight w:val="none"/>
        </w:rPr>
      </w:r>
      <w:r/>
    </w:p>
    <w:tbl>
      <w:tblPr>
        <w:tblStyle w:val="795"/>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jc w:val="center"/>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项目名称</w:t>
            </w:r>
            <w:r>
              <w:rPr>
                <w:highlight w:val="none"/>
              </w:rPr>
            </w:r>
            <w:r/>
          </w:p>
        </w:tc>
        <w:tc>
          <w:tcPr>
            <w:tcW w:w="2383" w:type="dxa"/>
            <w:vAlign w:val="center"/>
            <w:textDirection w:val="lrTb"/>
            <w:noWrap w:val="false"/>
          </w:tcPr>
          <w:p>
            <w:pPr>
              <w:jc w:val="center"/>
              <w:spacing w:line="312" w:lineRule="auto"/>
              <w:widowControl w:val="off"/>
              <w:rPr>
                <w:rFonts w:ascii="宋体" w:hAnsi="宋体" w:cs="宋体"/>
                <w:bCs/>
                <w:color w:val="auto"/>
                <w:sz w:val="24"/>
                <w:szCs w:val="24"/>
                <w:highlight w:val="none"/>
              </w:rPr>
            </w:pPr>
            <w:r>
              <w:rPr>
                <w:rFonts w:ascii="宋体" w:hAnsi="宋体"/>
                <w:sz w:val="24"/>
                <w:szCs w:val="20"/>
                <w:highlight w:val="none"/>
              </w:rPr>
              <w:t xml:space="preserve">项目内容</w:t>
            </w:r>
            <w:r>
              <w:rPr>
                <w:highlight w:val="none"/>
              </w:rPr>
            </w:r>
            <w:r/>
          </w:p>
        </w:tc>
        <w:tc>
          <w:tcPr>
            <w:tcW w:w="4109" w:type="dxa"/>
            <w:vAlign w:val="center"/>
            <w:textDirection w:val="lrTb"/>
            <w:noWrap w:val="false"/>
          </w:tcPr>
          <w:p>
            <w:pPr>
              <w:jc w:val="center"/>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（小写）</w:t>
            </w:r>
            <w:r>
              <w:rPr>
                <w:highlight w:val="none"/>
              </w:rPr>
            </w:r>
            <w:r/>
          </w:p>
        </w:tc>
      </w:tr>
      <w:tr>
        <w:trPr>
          <w:cantSplit/>
          <w:jc w:val="center"/>
          <w:trHeight w:val="1833"/>
        </w:trPr>
        <w:tc>
          <w:tcPr>
            <w:tcW w:w="3143" w:type="dxa"/>
            <w:vAlign w:val="center"/>
            <w:textDirection w:val="lrTb"/>
            <w:noWrap w:val="false"/>
          </w:tcPr>
          <w:p>
            <w:pPr>
              <w:jc w:val="center"/>
              <w:widowControl w:val="off"/>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bidi="ar-SA"/>
              </w:rPr>
              <w:t xml:space="preserve">大沙河饮用水源地清水通道监测预警体系建设项目</w:t>
            </w:r>
            <w:r>
              <w:rPr>
                <w:highlight w:val="none"/>
              </w:rPr>
            </w:r>
            <w:r/>
          </w:p>
        </w:tc>
        <w:tc>
          <w:tcPr>
            <w:tcBorders>
              <w:right w:val="single" w:color="auto" w:sz="4" w:space="0"/>
            </w:tcBorders>
            <w:tcW w:w="2383" w:type="dxa"/>
            <w:vAlign w:val="center"/>
            <w:textDirection w:val="lrTb"/>
            <w:noWrap w:val="false"/>
          </w:tcPr>
          <w:p>
            <w:pPr>
              <w:jc w:val="center"/>
              <w:spacing w:line="312" w:lineRule="auto"/>
              <w:widowControl w:val="off"/>
              <w:rPr>
                <w:rFonts w:ascii="宋体" w:hAnsi="宋体" w:cs="宋体"/>
                <w:bCs/>
                <w:color w:val="auto"/>
                <w:sz w:val="24"/>
                <w:szCs w:val="24"/>
                <w:highlight w:val="none"/>
                <w:u w:val="single"/>
              </w:rPr>
            </w:pPr>
            <w:r>
              <w:rPr>
                <w:rFonts w:ascii="宋体" w:hAnsi="宋体"/>
                <w:sz w:val="24"/>
                <w:szCs w:val="20"/>
                <w:highlight w:val="none"/>
              </w:rPr>
              <w:t xml:space="preserve">详见</w:t>
            </w:r>
            <w:r>
              <w:rPr>
                <w:rFonts w:hint="eastAsia" w:ascii="宋体" w:hAnsi="宋体"/>
                <w:sz w:val="24"/>
                <w:szCs w:val="20"/>
                <w:highlight w:val="none"/>
                <w:lang w:val="en-US" w:eastAsia="zh-CN"/>
              </w:rPr>
              <w:t xml:space="preserve">投标文件</w:t>
            </w:r>
            <w:r>
              <w:rPr>
                <w:highlight w:val="none"/>
              </w:rPr>
            </w:r>
            <w:r/>
          </w:p>
        </w:tc>
        <w:tc>
          <w:tcPr>
            <w:tcBorders>
              <w:left w:val="single" w:color="auto" w:sz="4" w:space="0"/>
            </w:tcBorders>
            <w:tcW w:w="4109" w:type="dxa"/>
            <w:vAlign w:val="center"/>
            <w:textDirection w:val="lrTb"/>
            <w:noWrap w:val="false"/>
          </w:tcPr>
          <w:p>
            <w:pPr>
              <w:jc w:val="center"/>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r>
            <w:r>
              <w:rPr>
                <w:highlight w:val="none"/>
              </w:rPr>
            </w:r>
            <w:r/>
          </w:p>
        </w:tc>
      </w:tr>
      <w:tr>
        <w:trPr>
          <w:cantSplit/>
          <w:jc w:val="center"/>
          <w:trHeight w:val="1135"/>
        </w:trPr>
        <w:tc>
          <w:tcPr>
            <w:tcW w:w="3143" w:type="dxa"/>
            <w:vAlign w:val="center"/>
            <w:textDirection w:val="lrTb"/>
            <w:noWrap w:val="false"/>
          </w:tcPr>
          <w:p>
            <w:pPr>
              <w:jc w:val="center"/>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（大写）：</w:t>
            </w:r>
            <w:r>
              <w:rPr>
                <w:highlight w:val="none"/>
              </w:rPr>
            </w:r>
            <w:r/>
          </w:p>
        </w:tc>
        <w:tc>
          <w:tcPr>
            <w:gridSpan w:val="2"/>
            <w:tcW w:w="6492" w:type="dxa"/>
            <w:vAlign w:val="center"/>
            <w:textDirection w:val="lrTb"/>
            <w:noWrap w:val="false"/>
          </w:tcPr>
          <w:p>
            <w:pPr>
              <w:jc w:val="center"/>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r>
            <w:r>
              <w:rPr>
                <w:highlight w:val="none"/>
              </w:rPr>
            </w:r>
            <w:r/>
          </w:p>
        </w:tc>
      </w:tr>
    </w:tbl>
    <w:p>
      <w:pPr>
        <w:jc w:val="both"/>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lang w:val="en-US" w:eastAsia="zh-CN" w:bidi="ar-SA"/>
        </w:rPr>
      </w:r>
      <w:r>
        <w:rPr>
          <w:highlight w:val="none"/>
        </w:rPr>
      </w:r>
      <w:r/>
    </w:p>
    <w:p>
      <w:pPr>
        <w:jc w:val="both"/>
        <w:spacing w:line="520" w:lineRule="exact"/>
        <w:widowControl w:val="off"/>
        <w:rPr>
          <w:rFonts w:hint="default" w:ascii="宋体" w:hAnsi="宋体" w:eastAsia="宋体" w:cs="Times New Roman"/>
          <w:b/>
          <w:bCs/>
          <w:color w:val="auto"/>
          <w:sz w:val="24"/>
          <w:szCs w:val="24"/>
          <w:highlight w:val="none"/>
        </w:rPr>
      </w:pPr>
      <w:r>
        <w:rPr>
          <w:rFonts w:hint="default" w:ascii="宋体" w:hAnsi="宋体" w:eastAsia="宋体" w:cs="Times New Roman"/>
          <w:b/>
          <w:bCs/>
          <w:color w:val="auto"/>
          <w:sz w:val="24"/>
          <w:szCs w:val="24"/>
          <w:highlight w:val="none"/>
          <w:lang w:val="en-US" w:eastAsia="zh-CN" w:bidi="ar-SA"/>
        </w:rPr>
        <w:t xml:space="preserve">供应商承诺：本报价（总价）为供应商本企业提供的服务。</w:t>
      </w:r>
      <w:r>
        <w:rPr>
          <w:highlight w:val="none"/>
        </w:rPr>
      </w:r>
      <w:r/>
    </w:p>
    <w:p>
      <w:pPr>
        <w:jc w:val="both"/>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r>
      <w:r>
        <w:rPr>
          <w:highlight w:val="none"/>
        </w:rPr>
      </w:r>
      <w:r/>
    </w:p>
    <w:p>
      <w:pPr>
        <w:jc w:val="both"/>
        <w:spacing w:line="520" w:lineRule="exact"/>
        <w:widowControl w:val="off"/>
        <w:rPr>
          <w:rFonts w:hint="default" w:ascii="宋体" w:hAnsi="宋体" w:eastAsia="宋体" w:cs="Times New Roman"/>
          <w:b/>
          <w:bCs/>
          <w:color w:val="auto"/>
          <w:sz w:val="24"/>
          <w:szCs w:val="24"/>
          <w:highlight w:val="none"/>
        </w:rPr>
      </w:pPr>
      <w:r>
        <w:rPr>
          <w:rFonts w:hint="default" w:ascii="宋体" w:hAnsi="宋体" w:eastAsia="宋体" w:cs="Times New Roman"/>
          <w:b/>
          <w:bCs/>
          <w:color w:val="auto"/>
          <w:sz w:val="24"/>
          <w:szCs w:val="24"/>
          <w:highlight w:val="none"/>
          <w:lang w:val="en-US" w:eastAsia="zh-CN" w:bidi="ar-SA"/>
        </w:rPr>
        <w:t xml:space="preserve">报价说明：</w:t>
      </w:r>
      <w:r>
        <w:rPr>
          <w:highlight w:val="none"/>
        </w:rPr>
      </w:r>
      <w:r/>
    </w:p>
    <w:p>
      <w:pPr>
        <w:jc w:val="left"/>
        <w:spacing w:line="52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1、报价应包括全部内容，以及为完成上述内容所需的全部费用。</w:t>
      </w:r>
      <w:r>
        <w:rPr>
          <w:highlight w:val="none"/>
        </w:rPr>
      </w:r>
      <w:r/>
    </w:p>
    <w:p>
      <w:pPr>
        <w:jc w:val="left"/>
        <w:spacing w:line="52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2、报价以</w:t>
      </w:r>
      <w:r>
        <w:rPr>
          <w:rFonts w:hint="eastAsia" w:ascii="宋体" w:hAnsi="宋体" w:eastAsia="宋体" w:cs="Times New Roman"/>
          <w:color w:val="auto"/>
          <w:sz w:val="24"/>
          <w:szCs w:val="24"/>
          <w:highlight w:val="none"/>
          <w:lang w:val="en-US" w:eastAsia="zh-CN" w:bidi="ar-SA"/>
        </w:rPr>
        <w:t xml:space="preserve">单</w:t>
      </w:r>
      <w:r>
        <w:rPr>
          <w:rFonts w:hint="default" w:ascii="宋体" w:hAnsi="宋体" w:eastAsia="宋体" w:cs="Times New Roman"/>
          <w:color w:val="auto"/>
          <w:sz w:val="24"/>
          <w:szCs w:val="24"/>
          <w:highlight w:val="none"/>
          <w:lang w:val="en-US" w:eastAsia="zh-CN" w:bidi="ar-SA"/>
        </w:rPr>
        <w:t xml:space="preserve">价为准，大小写不一致以大写为准；</w:t>
      </w:r>
      <w:r>
        <w:rPr>
          <w:highlight w:val="none"/>
        </w:rPr>
      </w:r>
      <w:r/>
    </w:p>
    <w:p>
      <w:pPr>
        <w:jc w:val="left"/>
        <w:spacing w:line="52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3、偏离说明：详见《偏离表》；</w:t>
      </w:r>
      <w:r>
        <w:rPr>
          <w:highlight w:val="none"/>
        </w:rPr>
      </w:r>
      <w:r/>
    </w:p>
    <w:p>
      <w:pPr>
        <w:jc w:val="left"/>
        <w:spacing w:line="312" w:lineRule="auto"/>
        <w:widowControl/>
        <w:rPr>
          <w:color w:val="auto"/>
          <w:sz w:val="24"/>
          <w:szCs w:val="20"/>
          <w:highlight w:val="none"/>
        </w:rPr>
      </w:pPr>
      <w:r>
        <w:rPr>
          <w:color w:val="auto"/>
          <w:sz w:val="24"/>
          <w:szCs w:val="20"/>
          <w:highlight w:val="none"/>
        </w:rPr>
      </w:r>
      <w:r>
        <w:rPr>
          <w:highlight w:val="none"/>
        </w:rPr>
      </w:r>
      <w:r/>
    </w:p>
    <w:p>
      <w:pPr>
        <w:ind w:firstLine="2760"/>
        <w:jc w:val="both"/>
        <w:spacing w:line="48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r>
      <w:r>
        <w:rPr>
          <w:highlight w:val="none"/>
        </w:rPr>
      </w:r>
      <w:r/>
    </w:p>
    <w:p>
      <w:pPr>
        <w:ind w:firstLine="2760"/>
        <w:jc w:val="both"/>
        <w:spacing w:line="48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r>
      <w:r>
        <w:rPr>
          <w:highlight w:val="none"/>
        </w:rPr>
      </w:r>
      <w:r/>
    </w:p>
    <w:p>
      <w:pPr>
        <w:ind w:right="29" w:firstLine="3600"/>
        <w:jc w:val="both"/>
        <w:spacing w:line="380" w:lineRule="exact"/>
        <w:widowControl w:val="off"/>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rPr>
          <w:highlight w:val="none"/>
        </w:rPr>
      </w:r>
      <w:r/>
    </w:p>
    <w:p>
      <w:pPr>
        <w:ind w:right="29" w:firstLine="3960"/>
        <w:jc w:val="both"/>
        <w:spacing w:line="380" w:lineRule="exact"/>
        <w:widowControl w:val="off"/>
        <w:rPr>
          <w:rFonts w:hint="default"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lang w:val="en-US" w:eastAsia="zh-CN" w:bidi="ar-SA"/>
        </w:rPr>
        <w:t xml:space="preserve"> </w:t>
      </w:r>
      <w:r>
        <w:rPr>
          <w:highlight w:val="none"/>
        </w:rPr>
      </w:r>
      <w:r/>
    </w:p>
    <w:p>
      <w:pPr>
        <w:ind w:right="29" w:firstLine="3600"/>
        <w:jc w:val="both"/>
        <w:spacing w:line="380" w:lineRule="exact"/>
        <w:widowControl w:val="off"/>
        <w:rPr>
          <w:rFonts w:hint="default" w:ascii="宋体" w:hAnsi="Times New Roman"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法定代表人或授权代表（签字或盖章）：</w:t>
      </w:r>
      <w:r>
        <w:rPr>
          <w:highlight w:val="none"/>
        </w:rPr>
      </w:r>
      <w:r/>
    </w:p>
    <w:p>
      <w:pPr>
        <w:ind w:right="29" w:firstLine="3960"/>
        <w:jc w:val="both"/>
        <w:spacing w:line="380" w:lineRule="exact"/>
        <w:widowControl w:val="off"/>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lang w:val="en-US" w:eastAsia="zh-CN" w:bidi="ar-SA"/>
        </w:rPr>
      </w:r>
      <w:r>
        <w:rPr>
          <w:highlight w:val="none"/>
        </w:rPr>
      </w:r>
      <w:r/>
    </w:p>
    <w:p>
      <w:pPr>
        <w:ind w:firstLine="360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日</w:t>
      </w:r>
      <w:r>
        <w:rPr>
          <w:highlight w:val="none"/>
        </w:rPr>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三、分项价格表格式</w:t>
      </w:r>
      <w:r>
        <w:rPr>
          <w:highlight w:val="none"/>
        </w:rPr>
      </w:r>
      <w:r/>
    </w:p>
    <w:p>
      <w:pPr>
        <w:ind w:firstLine="600"/>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rPr>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highlight w:val="none"/>
        </w:rPr>
      </w:r>
      <w:r/>
    </w:p>
    <w:p>
      <w:pPr>
        <w:jc w:val="right"/>
        <w:rPr>
          <w:rFonts w:hint="eastAsia" w:ascii="宋体" w:hAnsi="宋体" w:cs="宋体"/>
          <w:color w:val="000000"/>
          <w:sz w:val="24"/>
          <w:highlight w:val="none"/>
        </w:rPr>
      </w:pPr>
      <w:r>
        <w:rPr>
          <w:rFonts w:hint="eastAsia" w:ascii="宋体" w:hAnsi="宋体" w:cs="宋体"/>
          <w:color w:val="000000"/>
          <w:sz w:val="24"/>
          <w:highlight w:val="none"/>
        </w:rPr>
        <w:t xml:space="preserve">          　 货币单位：人民币元</w:t>
      </w:r>
      <w:r>
        <w:rPr>
          <w:highlight w:val="none"/>
        </w:rPr>
      </w:r>
      <w:r/>
    </w:p>
    <w:p>
      <w:pPr>
        <w:ind w:firstLine="3120"/>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bl>
      <w:tblPr>
        <w:tblStyle w:val="79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highlight w:val="none"/>
              </w:rPr>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rPr>
                <w:highlight w:val="none"/>
              </w:rPr>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品牌、规格、型号</w:t>
            </w:r>
            <w:r>
              <w:rPr>
                <w:highlight w:val="none"/>
              </w:rPr>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产品制造企业名称（全称）</w:t>
            </w:r>
            <w:r>
              <w:rPr>
                <w:highlight w:val="none"/>
              </w:rPr>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产品制造企业的划分（大型、中型、小型、微型、监狱企业、享受政府采购支持政策的残疾人福利性单位）</w:t>
            </w:r>
            <w:r>
              <w:rPr>
                <w:highlight w:val="none"/>
              </w:rPr>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highlight w:val="none"/>
              </w:rPr>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数量单位</w:t>
            </w:r>
            <w:r>
              <w:rPr>
                <w:highlight w:val="none"/>
              </w:rPr>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w:t>
            </w:r>
            <w:r>
              <w:rPr>
                <w:highlight w:val="none"/>
              </w:rPr>
            </w:r>
            <w:r/>
          </w:p>
        </w:tc>
        <w:tc>
          <w:tcPr>
            <w:tcW w:w="80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总价</w:t>
            </w:r>
            <w:r>
              <w:rPr>
                <w:highlight w:val="none"/>
              </w:rPr>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r>
              <w:rPr>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总价合计（即《开标一览表》中的“总价”）</w:t>
            </w:r>
            <w:r>
              <w:rPr>
                <w:highlight w:val="none"/>
              </w:rPr>
            </w:r>
            <w:r/>
          </w:p>
        </w:tc>
        <w:tc>
          <w:tcPr>
            <w:gridSpan w:val="6"/>
            <w:tcW w:w="6008"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bl>
    <w:p>
      <w:pP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ind w:right="29"/>
        <w:jc w:val="right"/>
        <w:spacing w:line="360" w:lineRule="auto"/>
        <w:rPr>
          <w:rFonts w:hint="default"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投标人</w:t>
      </w:r>
      <w:r>
        <w:rPr>
          <w:rFonts w:hint="default"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电子签</w:t>
      </w:r>
      <w:r>
        <w:rPr>
          <w:rFonts w:hint="default" w:ascii="宋体" w:hAnsi="宋体" w:eastAsia="宋体" w:cs="宋体"/>
          <w:b/>
          <w:bCs/>
          <w:color w:val="000000"/>
          <w:sz w:val="24"/>
          <w:szCs w:val="24"/>
          <w:highlight w:val="none"/>
          <w:lang w:val="en-US" w:eastAsia="zh-CN"/>
        </w:rPr>
        <w:t xml:space="preserve">章）：</w:t>
      </w:r>
      <w:r>
        <w:rPr>
          <w:highlight w:val="none"/>
        </w:rPr>
      </w:r>
      <w:r/>
    </w:p>
    <w:p>
      <w:pPr>
        <w:ind w:right="29"/>
        <w:jc w:val="right"/>
        <w:spacing w:line="360" w:lineRule="auto"/>
        <w:rPr>
          <w:rFonts w:hint="default"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 </w:t>
      </w:r>
      <w:r>
        <w:rPr>
          <w:highlight w:val="none"/>
        </w:rPr>
      </w:r>
      <w:r/>
    </w:p>
    <w:p>
      <w:pPr>
        <w:ind w:right="29"/>
        <w:jc w:val="right"/>
        <w:spacing w:line="360" w:lineRule="auto"/>
        <w:rPr>
          <w:rFonts w:hint="default" w:ascii="宋体" w:hAnsi="宋体" w:eastAsia="宋体" w:cs="宋体"/>
          <w:b/>
          <w:bCs/>
          <w:color w:val="000000"/>
          <w:sz w:val="24"/>
          <w:szCs w:val="24"/>
          <w:highlight w:val="none"/>
        </w:rPr>
      </w:pPr>
      <w:r>
        <w:rPr>
          <w:rFonts w:hint="default" w:ascii="宋体" w:hAnsi="宋体" w:eastAsia="宋体" w:cs="宋体"/>
          <w:b/>
          <w:bCs/>
          <w:color w:val="000000"/>
          <w:sz w:val="24"/>
          <w:szCs w:val="24"/>
          <w:highlight w:val="none"/>
          <w:lang w:val="en-US" w:eastAsia="zh-CN"/>
        </w:rPr>
        <w:t xml:space="preserve">法定代表人或授权代表（签字或盖章）：</w:t>
      </w:r>
      <w:r>
        <w:rPr>
          <w:highlight w:val="none"/>
        </w:rPr>
      </w:r>
      <w:r/>
    </w:p>
    <w:p>
      <w:pPr>
        <w:ind w:right="29"/>
        <w:jc w:val="right"/>
        <w:spacing w:line="360" w:lineRule="auto"/>
        <w:rPr>
          <w:rFonts w:hint="default" w:ascii="宋体" w:hAnsi="宋体" w:eastAsia="宋体" w:cs="宋体"/>
          <w:b/>
          <w:bCs/>
          <w:color w:val="000000"/>
          <w:sz w:val="24"/>
          <w:szCs w:val="24"/>
          <w:highlight w:val="none"/>
        </w:rPr>
      </w:pPr>
      <w:r>
        <w:rPr>
          <w:rFonts w:hint="default" w:ascii="宋体" w:hAnsi="宋体" w:eastAsia="宋体" w:cs="宋体"/>
          <w:b/>
          <w:bCs/>
          <w:color w:val="000000"/>
          <w:sz w:val="24"/>
          <w:szCs w:val="24"/>
          <w:highlight w:val="none"/>
          <w:lang w:val="en-US" w:eastAsia="zh-CN"/>
        </w:rPr>
      </w:r>
      <w:r>
        <w:rPr>
          <w:highlight w:val="none"/>
        </w:rPr>
      </w:r>
      <w:r/>
    </w:p>
    <w:p>
      <w:pPr>
        <w:ind w:right="29"/>
        <w:jc w:val="righ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 年 月  日</w:t>
      </w:r>
      <w:r>
        <w:rPr>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ind w:firstLine="560"/>
        <w:jc w:val="left"/>
        <w:widowControl/>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highlight w:val="none"/>
        </w:rPr>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1、如果不提供详细分项报价将视为没有实质性响应招标文件。</w:t>
      </w:r>
      <w:r>
        <w:rPr>
          <w:highlight w:val="none"/>
        </w:rPr>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rPr>
          <w:highlight w:val="none"/>
        </w:rPr>
      </w:r>
      <w:r/>
    </w:p>
    <w:p>
      <w:pPr>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采购人或采购代理机构有权将以上内容进行公示。</w:t>
      </w:r>
      <w:r>
        <w:rPr>
          <w:highlight w:val="none"/>
        </w:rPr>
      </w:r>
      <w:r/>
    </w:p>
    <w:p>
      <w:p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四、偏离表格式</w:t>
      </w:r>
      <w:r>
        <w:rPr>
          <w:highlight w:val="none"/>
        </w:rPr>
      </w:r>
      <w:r/>
    </w:p>
    <w:p>
      <w:pPr>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highlight w:val="none"/>
        </w:rPr>
      </w:r>
      <w:r/>
    </w:p>
    <w:p>
      <w:pPr>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highlight w:val="none"/>
        </w:rPr>
      </w:r>
      <w:r/>
    </w:p>
    <w:tbl>
      <w:tblPr>
        <w:tblStyle w:val="795"/>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rPr>
                <w:highlight w:val="none"/>
              </w:rPr>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偏离内容</w:t>
            </w:r>
            <w:r>
              <w:rPr>
                <w:highlight w:val="none"/>
              </w:rPr>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招标文件的要求</w:t>
            </w:r>
            <w:r>
              <w:rPr>
                <w:highlight w:val="none"/>
              </w:rPr>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投标文件中的内容</w:t>
            </w:r>
            <w:r>
              <w:rPr>
                <w:highlight w:val="none"/>
              </w:rPr>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（正/负/无）偏离</w:t>
            </w:r>
            <w:r>
              <w:rPr>
                <w:highlight w:val="none"/>
              </w:rPr>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tc>
      </w:tr>
    </w:tbl>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rPr>
          <w:highlight w:val="none"/>
        </w:rPr>
      </w:r>
      <w:r/>
    </w:p>
    <w:p>
      <w:pPr>
        <w:ind w:firstLine="2850"/>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 </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t xml:space="preserve">法定代表人或授权代表（签字或盖章）：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r>
      <w:r>
        <w:rPr>
          <w:highlight w:val="none"/>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rPr>
          <w:highlight w:val="none"/>
        </w:rPr>
      </w:r>
      <w:r/>
    </w:p>
    <w:p>
      <w:pPr>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五、授权委托书格式</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委托人：</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地址：</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法定代表人：</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统一社会信用代码：</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受托人：        性别：男（女）</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年龄：  岁      民族：  族</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身份证号：</w:t>
      </w:r>
      <w:r>
        <w:rPr>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兹委托（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）全权代表我企业（公司）参与（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）的招、投标活动及签订合同。（</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）无转委托权。</w:t>
      </w:r>
      <w:r>
        <w:rPr>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委托期限自</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日起至</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日止。</w:t>
      </w:r>
      <w:r>
        <w:rPr>
          <w:highlight w:val="none"/>
        </w:rPr>
      </w:r>
      <w:r/>
    </w:p>
    <w:p>
      <w:pPr>
        <w:ind w:firstLine="63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特此授权委托。</w:t>
      </w:r>
      <w:r>
        <w:rPr>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rPr>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委托人（电子签章）：</w:t>
      </w:r>
      <w:r>
        <w:rPr>
          <w:highlight w:val="none"/>
        </w:rPr>
      </w:r>
      <w:r/>
    </w:p>
    <w:p>
      <w:pPr>
        <w:ind w:firstLine="60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法定代表人（签字或盖章）： </w:t>
      </w:r>
      <w:r>
        <w:rPr>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受托人（签字或盖章）：</w:t>
      </w:r>
      <w:r>
        <w:rPr>
          <w:highlight w:val="none"/>
        </w:rPr>
      </w:r>
      <w:r/>
    </w:p>
    <w:p>
      <w:pPr>
        <w:pStyle w:val="838"/>
        <w:ind w:left="0" w:firstLine="602"/>
        <w:spacing w:line="360" w:lineRule="auto"/>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受托人联系方式：                   邮箱：</w:t>
      </w:r>
      <w:r>
        <w:rPr>
          <w:highlight w:val="none"/>
        </w:rPr>
      </w:r>
      <w:r/>
    </w:p>
    <w:p>
      <w:pPr>
        <w:ind w:right="600" w:firstLine="615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  月  日 </w:t>
      </w:r>
      <w:r>
        <w:rPr>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有效期内的</w:t>
      </w:r>
      <w:r>
        <w:rPr>
          <w:rFonts w:hint="eastAsia" w:ascii="宋体" w:hAnsi="宋体" w:cs="宋体"/>
          <w:b/>
          <w:bCs/>
          <w:color w:val="000000"/>
          <w:sz w:val="28"/>
          <w:szCs w:val="28"/>
          <w:highlight w:val="none"/>
        </w:rPr>
        <w:t xml:space="preserve">受托人身份证扫描件附后)</w:t>
      </w:r>
      <w:r>
        <w:rPr>
          <w:highlight w:val="none"/>
        </w:rPr>
      </w:r>
      <w:r/>
    </w:p>
    <w:p>
      <w:pPr>
        <w:jc w:val="center"/>
        <w:spacing w:before="100" w:after="100"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8"/>
          <w:szCs w:val="28"/>
          <w:highlight w:val="none"/>
        </w:rPr>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六、中小企业声明函格式</w:t>
      </w:r>
      <w:r>
        <w:rPr>
          <w:highlight w:val="none"/>
        </w:rPr>
      </w:r>
      <w:r/>
    </w:p>
    <w:p>
      <w:pPr>
        <w:jc w:val="cente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中小企业声明函</w:t>
      </w:r>
      <w:r>
        <w:rPr>
          <w:highlight w:val="none"/>
        </w:rPr>
      </w:r>
      <w:r/>
    </w:p>
    <w:p>
      <w:pP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w:t>
      </w:r>
      <w:r>
        <w:rPr>
          <w:highlight w:val="none"/>
        </w:rPr>
      </w:r>
      <w:r/>
    </w:p>
    <w:p>
      <w:pP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rPr>
          <w:highlight w:val="none"/>
        </w:rPr>
      </w:r>
      <w:r/>
    </w:p>
    <w:p>
      <w:pPr>
        <w:ind w:firstLine="48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cs="宋体"/>
          <w:color w:val="000000"/>
          <w:sz w:val="28"/>
          <w:szCs w:val="28"/>
          <w:highlight w:val="none"/>
          <w:u w:val="single"/>
          <w:lang w:eastAsia="zh-CN"/>
        </w:rPr>
        <w:t xml:space="preserve">徐州市丰县生态环境局</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大沙河饮用水源地清水通道监测预警体系建设项目</w:t>
      </w:r>
      <w:r>
        <w:rPr>
          <w:rFonts w:hint="eastAsia" w:ascii="宋体" w:hAnsi="宋体" w:cs="宋体"/>
          <w:color w:val="000000"/>
          <w:sz w:val="28"/>
          <w:szCs w:val="28"/>
          <w:highlight w:val="none"/>
        </w:rPr>
        <w:t xml:space="preserve">）采购活动，提供的货物全部由符合政策要求的中小企业制造。相关企业的具体情况如下：</w:t>
      </w:r>
      <w:r>
        <w:rPr>
          <w:highlight w:val="none"/>
        </w:rPr>
      </w:r>
      <w:r/>
    </w:p>
    <w:p>
      <w:pPr>
        <w:pStyle w:val="877"/>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highlight w:val="none"/>
        </w:rPr>
      </w:r>
      <w:r/>
    </w:p>
    <w:p>
      <w:pPr>
        <w:pStyle w:val="877"/>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highlight w:val="none"/>
        </w:rPr>
      </w:r>
      <w:r/>
    </w:p>
    <w:p>
      <w:pPr>
        <w:pStyle w:val="877"/>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highlight w:val="none"/>
        </w:rPr>
      </w:r>
      <w:r/>
    </w:p>
    <w:p>
      <w:pPr>
        <w:ind w:firstLine="56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highlight w:val="none"/>
        </w:rPr>
      </w:r>
      <w:r/>
    </w:p>
    <w:p>
      <w:pPr>
        <w:pStyle w:val="877"/>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highlight w:val="none"/>
        </w:rPr>
      </w:r>
      <w:r/>
    </w:p>
    <w:p>
      <w:pPr>
        <w:pStyle w:val="877"/>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 </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t xml:space="preserve">法定代表人或授权代表（签字或盖章）：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r>
      <w:r>
        <w:rPr>
          <w:highlight w:val="none"/>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rPr>
          <w:highlight w:val="none"/>
        </w:rPr>
      </w:r>
      <w:r/>
    </w:p>
    <w:p>
      <w:pPr>
        <w:pStyle w:val="877"/>
        <w:ind w:left="0"/>
        <w:jc w:val="left"/>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highlight w:val="none"/>
        </w:rPr>
      </w:r>
      <w:r/>
    </w:p>
    <w:p>
      <w:pPr>
        <w:pStyle w:val="877"/>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rPr>
          <w:highlight w:val="none"/>
        </w:rPr>
      </w:r>
      <w:r/>
    </w:p>
    <w:p>
      <w:pPr>
        <w:pStyle w:val="877"/>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rPr>
          <w:highlight w:val="none"/>
        </w:rPr>
      </w:r>
      <w:r/>
    </w:p>
    <w:p>
      <w:pPr>
        <w:pStyle w:val="877"/>
        <w:ind w:left="0"/>
        <w:jc w:val="left"/>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highlight w:val="none"/>
        </w:rPr>
      </w:r>
      <w:r/>
    </w:p>
    <w:p>
      <w:pPr>
        <w:pStyle w:val="877"/>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本项目采购的</w:t>
      </w:r>
      <w:r>
        <w:rPr>
          <w:rFonts w:hint="eastAsia" w:ascii="宋体" w:hAnsi="宋体" w:cs="宋体"/>
          <w:b/>
          <w:bCs/>
          <w:color w:val="000000"/>
          <w:sz w:val="24"/>
          <w:highlight w:val="none"/>
          <w:lang w:val="en-US" w:eastAsia="zh-CN"/>
        </w:rPr>
        <w:t xml:space="preserve">货物</w:t>
      </w:r>
      <w:r>
        <w:rPr>
          <w:rFonts w:hint="eastAsia" w:ascii="宋体" w:hAnsi="宋体" w:cs="宋体"/>
          <w:b/>
          <w:bCs/>
          <w:color w:val="000000"/>
          <w:sz w:val="24"/>
          <w:highlight w:val="none"/>
        </w:rPr>
        <w:t xml:space="preserve">属于</w:t>
      </w:r>
      <w:r>
        <w:rPr>
          <w:rFonts w:hint="eastAsia" w:ascii="宋体" w:hAnsi="宋体" w:cs="宋体"/>
          <w:b/>
          <w:bCs/>
          <w:color w:val="000000"/>
          <w:sz w:val="24"/>
          <w:highlight w:val="none"/>
          <w:u w:val="single"/>
          <w:lang w:val="en-US" w:eastAsia="zh-CN"/>
        </w:rPr>
        <w:t xml:space="preserve">工业</w:t>
      </w:r>
      <w:r>
        <w:rPr>
          <w:rFonts w:hint="eastAsia" w:ascii="宋体" w:hAnsi="宋体" w:cs="宋体"/>
          <w:b/>
          <w:bCs/>
          <w:color w:val="000000"/>
          <w:sz w:val="24"/>
          <w:highlight w:val="none"/>
        </w:rPr>
        <w:t xml:space="preserve">。</w:t>
      </w:r>
      <w:r>
        <w:rPr>
          <w:highlight w:val="none"/>
        </w:rPr>
      </w:r>
      <w:r/>
    </w:p>
    <w:p>
      <w:pPr>
        <w:pStyle w:val="877"/>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p>
    <w:p>
      <w:pPr>
        <w:pStyle w:val="877"/>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、从业人员、营业收入、资产总额填报供应商上一年度数据，无上一年度数据的新成立企业可不填报。</w:t>
      </w:r>
      <w:r>
        <w:rPr>
          <w:highlight w:val="none"/>
        </w:rPr>
      </w:r>
      <w:r/>
    </w:p>
    <w:p>
      <w:pPr>
        <w:pStyle w:val="877"/>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、中标、成交供应商为小型、微型企业的，采购人或者其委托的采购代理机构有权随中标、成交结果同时公告其《中小企业声明函》，接受社会监督。</w:t>
      </w:r>
      <w:r>
        <w:rPr>
          <w:highlight w:val="none"/>
        </w:rPr>
      </w:r>
      <w:r/>
    </w:p>
    <w:p>
      <w:pPr>
        <w:pStyle w:val="877"/>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、执行江苏省财政厅关于进一步加大政府采购支持中小企业力度的通知（苏财购〔2022〕45号）的规定。</w:t>
      </w:r>
      <w:r>
        <w:rPr>
          <w:highlight w:val="none"/>
        </w:rPr>
      </w:r>
      <w:r/>
    </w:p>
    <w:p>
      <w:pPr>
        <w:pStyle w:val="877"/>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、供应商提供的《中小企业声明函》与事实不符的，依照《中华人民共和国政府采购法》第七十七条第一款的规定追究法律责任。</w:t>
      </w:r>
      <w:r>
        <w:rPr>
          <w:highlight w:val="none"/>
        </w:rPr>
      </w:r>
      <w:r/>
    </w:p>
    <w:p>
      <w:pPr>
        <w:numPr>
          <w:ilvl w:val="0"/>
          <w:numId w:val="0"/>
        </w:num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highlight w:val="none"/>
        </w:rPr>
        <mc:AlternateContent>
          <mc:Choice Requires="wpg">
            <w:drawing>
              <wp:inline xmlns:wp="http://schemas.openxmlformats.org/drawingml/2006/wordprocessingDrawing" distT="0" distB="0" distL="0" distR="0">
                <wp:extent cx="2249805" cy="4630420"/>
                <wp:effectExtent l="0" t="0" r="17145" b="17780"/>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7"/>
                        <pic:cNvPicPr>
                          <a:picLocks noChangeAspect="1"/>
                        </pic:cNvPicPr>
                        <pic:nvPr/>
                      </pic:nvPicPr>
                      <pic:blipFill>
                        <a:blip r:embed="rId18"/>
                        <a:stretch/>
                      </pic:blipFill>
                      <pic:spPr bwMode="auto">
                        <a:xfrm>
                          <a:off x="0" y="0"/>
                          <a:ext cx="2249805" cy="4630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7.1pt;height:364.6pt;mso-wrap-distance-left:0.0pt;mso-wrap-distance-top:0.0pt;mso-wrap-distance-right:0.0pt;mso-wrap-distance-bottom:0.0pt;" stroked="false">
                <v:path textboxrect="0,0,0,0"/>
                <v:imagedata r:id="rId18" o:title=""/>
              </v:shape>
            </w:pict>
          </mc:Fallback>
        </mc:AlternateContent>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七、残疾人福利性单位声明函格式</w:t>
      </w:r>
      <w:r>
        <w:rPr>
          <w:highlight w:val="none"/>
        </w:rPr>
      </w:r>
      <w:r/>
    </w:p>
    <w:p>
      <w:pPr>
        <w:pStyle w:val="926"/>
        <w:ind w:firstLine="0"/>
        <w:jc w:val="both"/>
        <w:rPr>
          <w:rFonts w:hint="eastAsia"/>
          <w:color w:val="000000"/>
          <w:highlight w:val="none"/>
        </w:rPr>
      </w:pPr>
      <w:r>
        <w:rPr>
          <w:rFonts w:hint="eastAsia"/>
          <w:color w:val="000000"/>
          <w:highlight w:val="none"/>
        </w:rPr>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项目编号：</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项目名称：</w:t>
      </w:r>
      <w:r>
        <w:rPr>
          <w:highlight w:val="none"/>
        </w:rPr>
      </w:r>
      <w:r/>
    </w:p>
    <w:p>
      <w:pPr>
        <w:ind w:firstLine="624"/>
        <w:spacing w:line="360" w:lineRule="auto"/>
        <w:rPr>
          <w:rFonts w:hint="eastAsia" w:ascii="宋体" w:hAnsi="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r>
      <w:r>
        <w:rPr>
          <w:highlight w:val="none"/>
        </w:rPr>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000000"/>
          <w:sz w:val="28"/>
          <w:szCs w:val="28"/>
          <w:highlight w:val="none"/>
        </w:rPr>
        <w:t xml:space="preserve">〔2017〕141</w:t>
      </w:r>
      <w:r>
        <w:rPr>
          <w:rFonts w:hint="eastAsia" w:ascii="宋体" w:hAnsi="宋体" w:cs="宋体"/>
          <w:color w:val="000000"/>
          <w:spacing w:val="6"/>
          <w:sz w:val="28"/>
          <w:szCs w:val="28"/>
          <w:highlight w:val="none"/>
        </w:rPr>
        <w:t xml:space="preserve">号）的规定，本单位为符合条件的残疾人福利性单位，且本单位参加</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单位的</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本单位对上述声明的真实性负责。如有虚假，将依法承担相应责任。</w:t>
      </w:r>
      <w:r>
        <w:rPr>
          <w:highlight w:val="none"/>
        </w:rPr>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rPr>
          <w:highlight w:val="none"/>
        </w:rPr>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 </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t xml:space="preserve">法定代表人或授权代表（签字或盖章）：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r>
      <w:r>
        <w:rPr>
          <w:highlight w:val="none"/>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rPr>
          <w:highlight w:val="none"/>
        </w:rPr>
      </w:r>
      <w:r/>
    </w:p>
    <w:p>
      <w:pPr>
        <w:ind w:firstLine="45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highlight w:val="none"/>
        </w:rPr>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highlight w:val="none"/>
        </w:rPr>
      </w:r>
      <w:r/>
    </w:p>
    <w:p>
      <w:p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八、投标人参加政府采购活动前3年内在经营活动中没有重大违法记录的书面声明格式</w:t>
      </w:r>
      <w:r>
        <w:rPr>
          <w:highlight w:val="none"/>
        </w:rPr>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大沙河饮用水源地清水通道监测预警体系建设项目</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JSZC-320321-XZSH-G2026-0003</w:t>
      </w:r>
      <w:r>
        <w:rPr>
          <w:rFonts w:hint="eastAsia" w:ascii="宋体" w:hAnsi="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我单位对上述声明的真实性负责。如有虚假，将依法承担相应责任。</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 </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t xml:space="preserve">法定代表人或授权代表（签字或盖章）：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r>
      <w:r>
        <w:rPr>
          <w:highlight w:val="none"/>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highlight w:val="none"/>
        </w:rPr>
      </w:r>
      <w:r/>
    </w:p>
    <w:p>
      <w:pPr>
        <w:ind w:firstLine="600"/>
        <w:jc w:val="center"/>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30"/>
          <w:highlight w:val="none"/>
        </w:rPr>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30"/>
          <w:szCs w:val="30"/>
          <w:highlight w:val="none"/>
          <w:lang w:val="en-US" w:eastAsia="zh-CN"/>
        </w:rPr>
        <w:t xml:space="preserve">九</w:t>
      </w:r>
      <w:r>
        <w:rPr>
          <w:rFonts w:hint="eastAsia" w:ascii="宋体" w:hAnsi="宋体" w:eastAsia="宋体" w:cs="宋体"/>
          <w:b/>
          <w:color w:val="000000"/>
          <w:sz w:val="30"/>
          <w:szCs w:val="30"/>
          <w:highlight w:val="none"/>
          <w:lang w:val="en-US" w:eastAsia="zh-CN"/>
        </w:rPr>
        <w:t xml:space="preserve">、具备履行合同所必需的设备和专业技术能力的书面声明（附证明材料扫描件）格式（投标人可自行拟定）</w:t>
      </w:r>
      <w:r>
        <w:rPr>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highlight w:val="none"/>
        </w:rPr>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投标人郑重声明：投标人具备履行合同（项目名称：</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所必需的设备和专业技术能力， 具体为：</w:t>
      </w:r>
      <w:r>
        <w:rPr>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spacing w:line="360" w:lineRule="auto"/>
        <w:rPr>
          <w:rFonts w:hint="default" w:ascii="宋体" w:hAnsi="宋体" w:eastAsia="宋体" w:cs="宋体"/>
          <w:color w:val="000000"/>
          <w:sz w:val="28"/>
          <w:szCs w:val="28"/>
          <w:highlight w:val="none"/>
        </w:rPr>
      </w:pP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格式自拟）</w:t>
      </w:r>
      <w:r>
        <w:rPr>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highlight w:val="none"/>
        </w:rPr>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特此声明。</w:t>
      </w:r>
      <w:r>
        <w:rPr>
          <w:highlight w:val="none"/>
        </w:rPr>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投标人对上述声明的真实性负责。如有虚假，将依法承担相应责任。</w:t>
      </w:r>
      <w:r>
        <w:rPr>
          <w:highlight w:val="none"/>
        </w:rPr>
      </w:r>
      <w:r/>
    </w:p>
    <w:p>
      <w:pPr>
        <w:ind w:right="29"/>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 </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t xml:space="preserve">法定代表人或授权代表（签字或盖章）：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r>
      <w:r>
        <w:rPr>
          <w:highlight w:val="none"/>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rPr>
          <w:highlight w:val="none"/>
        </w:rPr>
      </w:r>
      <w:r/>
    </w:p>
    <w:p>
      <w:pPr>
        <w:pStyle w:val="800"/>
        <w:rPr>
          <w:rFonts w:hint="eastAsia"/>
          <w:highlight w:val="none"/>
        </w:rPr>
      </w:pPr>
      <w:r>
        <w:rPr>
          <w:rFonts w:hint="eastAsia"/>
          <w:highlight w:val="none"/>
        </w:rPr>
      </w:r>
      <w:r>
        <w:rPr>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rPr>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rPr>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rPr>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rPr>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rPr>
          <w:highlight w:val="none"/>
        </w:rPr>
      </w:r>
      <w:r/>
    </w:p>
    <w:p>
      <w:pPr>
        <w:pStyle w:val="800"/>
        <w:ind w:left="0" w:firstLine="0"/>
        <w:rPr>
          <w:rFonts w:hint="eastAsia"/>
          <w:highlight w:val="none"/>
        </w:rPr>
      </w:pPr>
      <w:r>
        <w:rPr>
          <w:rFonts w:hint="eastAsia"/>
          <w:highlight w:val="none"/>
          <w:lang w:val="en-US" w:eastAsia="zh-CN"/>
        </w:rPr>
      </w:r>
      <w:r>
        <w:rPr>
          <w:highlight w:val="none"/>
        </w:rPr>
      </w:r>
      <w:r/>
    </w:p>
    <w:p>
      <w:pPr>
        <w:rPr>
          <w:rFonts w:hint="eastAsia"/>
          <w:highlight w:val="none"/>
        </w:rPr>
      </w:pPr>
      <w:r>
        <w:rPr>
          <w:rFonts w:hint="eastAsia"/>
          <w:highlight w:val="none"/>
          <w:lang w:val="en-US" w:eastAsia="zh-CN"/>
        </w:rPr>
      </w:r>
      <w:r>
        <w:rPr>
          <w:highlight w:val="none"/>
        </w:rPr>
      </w:r>
      <w:r/>
    </w:p>
    <w:p>
      <w:pPr>
        <w:jc w:val="center"/>
        <w:spacing w:line="360" w:lineRule="auto"/>
        <w:rPr>
          <w:rFonts w:hint="eastAsia" w:ascii="宋体" w:hAnsi="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30"/>
          <w:szCs w:val="30"/>
          <w:highlight w:val="none"/>
          <w:lang w:val="en-US" w:eastAsia="zh-CN"/>
        </w:rPr>
        <w:t xml:space="preserve">十、预付款保函支付条款模板</w:t>
      </w:r>
      <w:r>
        <w:rPr>
          <w:highlight w:val="none"/>
        </w:rPr>
      </w:r>
      <w:r/>
    </w:p>
    <w:p>
      <w:pPr>
        <w:numPr>
          <w:ilvl w:val="0"/>
          <w:numId w:val="0"/>
        </w:numPr>
        <w:jc w:val="left"/>
        <w:spacing w:line="312" w:lineRule="auto"/>
        <w:widowControl/>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r>
      <w:r>
        <w:rPr>
          <w:highlight w:val="none"/>
        </w:rPr>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符合条件一：提交预付款保函的</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 。 </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highlight w:val="none"/>
        </w:rPr>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符合条件二：不提交预付款保函的</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rPr>
          <w:highlight w:val="none"/>
        </w:rPr>
      </w:r>
      <w:r/>
    </w:p>
    <w:p>
      <w:pPr>
        <w:rPr>
          <w:sz w:val="24"/>
          <w:szCs w:val="24"/>
          <w:highlight w:val="none"/>
        </w:rPr>
        <w:sectPr>
          <w:footnotePr/>
          <w:endnotePr/>
          <w:type w:val="nextPage"/>
          <w:pgSz w:w="11906" w:h="16838" w:orient="portrait"/>
          <w:pgMar w:top="1134" w:right="1134" w:bottom="1134" w:left="1134" w:header="851" w:footer="992" w:gutter="283"/>
          <w:cols w:num="1" w:sep="0" w:space="1701" w:equalWidth="1"/>
          <w:docGrid w:linePitch="360"/>
        </w:sectPr>
      </w:pPr>
      <w:r>
        <w:rPr>
          <w:rFonts w:hint="eastAsia" w:ascii="宋体" w:hAnsi="宋体" w:eastAsia="宋体" w:cs="宋体"/>
          <w:b/>
          <w:bCs/>
          <w:color w:val="auto"/>
          <w:sz w:val="24"/>
          <w:szCs w:val="24"/>
          <w:highlight w:val="none"/>
          <w:lang w:eastAsia="zh-CN"/>
        </w:rPr>
        <w:t xml:space="preserve">2、付款条件二中，预付款比例设定应符合《关于做好政府采购支持企业发展有关事项的通知》(苏财购〔2020〕52号)要求。</w:t>
      </w:r>
      <w:r>
        <w:rPr>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十一、关于符合本国产品标准的声明函格式 </w:t>
      </w:r>
      <w:r>
        <w:rPr>
          <w:highlight w:val="none"/>
        </w:rPr>
      </w:r>
      <w:r/>
    </w:p>
    <w:p>
      <w:pPr>
        <w:ind w:firstLine="420"/>
        <w:jc w:val="left"/>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bidi="ar-SA"/>
        </w:rPr>
      </w:r>
      <w:r>
        <w:rPr>
          <w:highlight w:val="none"/>
        </w:rPr>
      </w:r>
      <w:r/>
    </w:p>
    <w:p>
      <w:pPr>
        <w:ind w:firstLine="420"/>
        <w:jc w:val="left"/>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numPr>
          <w:ilvl w:val="0"/>
          <w:numId w:val="4"/>
        </w:numPr>
        <w:ind w:firstLine="420"/>
        <w:jc w:val="left"/>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vertAlign w:val="superscript"/>
          <w:lang w:val="en-US" w:eastAsia="zh-CN" w:bidi="ar-SA"/>
        </w:rPr>
        <w:t xml:space="preserve">  </w:t>
      </w:r>
      <w:r>
        <w:rPr>
          <w:rFonts w:hint="default" w:ascii="宋体" w:hAnsi="宋体" w:eastAsia="宋体" w:cs="宋体"/>
          <w:b/>
          <w:bCs/>
          <w:color w:val="000000"/>
          <w:sz w:val="24"/>
          <w:szCs w:val="24"/>
          <w:highlight w:val="none"/>
          <w:vertAlign w:val="superscript"/>
          <w:lang w:val="en-US" w:eastAsia="zh-CN" w:bidi="ar-SA"/>
        </w:rPr>
        <w:t xml:space="preserve">1</w:t>
      </w:r>
      <w:r>
        <w:rPr>
          <w:rFonts w:hint="default" w:ascii="宋体" w:hAnsi="宋体" w:eastAsia="宋体" w:cs="宋体"/>
          <w:color w:val="000000"/>
          <w:sz w:val="24"/>
          <w:szCs w:val="24"/>
          <w:highlight w:val="none"/>
          <w:lang w:val="en-US" w:eastAsia="zh-CN" w:bidi="ar-SA"/>
        </w:rPr>
        <w:t xml:space="preserve">，生产厂为</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u w:val="single"/>
          <w:lang w:val="en-US" w:eastAsia="zh-CN" w:bidi="ar-SA"/>
        </w:rPr>
        <w:t xml:space="preserve">厂名</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vertAlign w:val="superscript"/>
          <w:lang w:val="en-US" w:eastAsia="zh-CN" w:bidi="ar-SA"/>
        </w:rPr>
        <w:t xml:space="preserve">2</w:t>
      </w:r>
      <w:r>
        <w:rPr>
          <w:rFonts w:hint="default" w:ascii="宋体" w:hAnsi="宋体" w:eastAsia="宋体" w:cs="宋体"/>
          <w:color w:val="000000"/>
          <w:sz w:val="24"/>
          <w:szCs w:val="24"/>
          <w:highlight w:val="none"/>
          <w:lang w:val="en-US" w:eastAsia="zh-CN" w:bidi="ar-SA"/>
        </w:rPr>
        <w:t xml:space="preserve">，厂址为</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u w:val="single"/>
          <w:lang w:val="en-US" w:eastAsia="zh-CN" w:bidi="ar-SA"/>
        </w:rPr>
        <w:t xml:space="preserve">生产厂址</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的中国境内生产的组件成本占比≥</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3</w:t>
      </w:r>
      <w:r>
        <w:rPr>
          <w:rFonts w:hint="default" w:ascii="宋体" w:hAnsi="宋体" w:eastAsia="宋体"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4</w:t>
      </w:r>
      <w:r>
        <w:rPr>
          <w:rFonts w:hint="default" w:ascii="宋体" w:hAnsi="宋体" w:eastAsia="宋体" w:cs="宋体"/>
          <w:color w:val="000000"/>
          <w:sz w:val="24"/>
          <w:szCs w:val="24"/>
          <w:highlight w:val="none"/>
          <w:lang w:val="en-US" w:eastAsia="zh-CN" w:bidi="ar-SA"/>
        </w:rPr>
        <w:t xml:space="preserve">在中国境内生产。</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5</w:t>
      </w:r>
      <w:r>
        <w:rPr>
          <w:rFonts w:hint="default" w:ascii="宋体" w:hAnsi="宋体" w:eastAsia="宋体" w:cs="宋体"/>
          <w:color w:val="000000"/>
          <w:sz w:val="24"/>
          <w:szCs w:val="24"/>
          <w:highlight w:val="none"/>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t xml:space="preserve">。</w:t>
      </w:r>
      <w:r>
        <w:rPr>
          <w:highlight w:val="none"/>
        </w:rPr>
      </w:r>
      <w:r/>
    </w:p>
    <w:p>
      <w:pPr>
        <w:numPr>
          <w:ilvl w:val="0"/>
          <w:numId w:val="4"/>
        </w:numPr>
        <w:ind w:left="0" w:firstLine="420"/>
        <w:jc w:val="left"/>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en-US" w:eastAsia="zh-CN" w:bidi="ar-SA"/>
        </w:rPr>
        <w:t xml:space="preserve">               </w:t>
      </w:r>
      <w:r>
        <w:rPr>
          <w:rFonts w:hint="default" w:ascii="宋体" w:hAnsi="宋体" w:eastAsia="宋体" w:cs="宋体"/>
          <w:b/>
          <w:bCs/>
          <w:color w:val="000000"/>
          <w:sz w:val="24"/>
          <w:szCs w:val="24"/>
          <w:highlight w:val="none"/>
          <w:vertAlign w:val="superscript"/>
          <w:lang w:val="en-US" w:eastAsia="zh-CN" w:bidi="ar-SA"/>
        </w:rPr>
        <w:t xml:space="preserve">1</w:t>
      </w:r>
      <w:r>
        <w:rPr>
          <w:rFonts w:hint="default" w:ascii="宋体" w:hAnsi="宋体" w:eastAsia="宋体" w:cs="宋体"/>
          <w:color w:val="000000"/>
          <w:sz w:val="24"/>
          <w:szCs w:val="24"/>
          <w:highlight w:val="none"/>
          <w:lang w:val="en-US" w:eastAsia="zh-CN" w:bidi="ar-SA"/>
        </w:rPr>
        <w:t xml:space="preserve">，生产厂为</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u w:val="single"/>
          <w:lang w:val="en-US" w:eastAsia="zh-CN" w:bidi="ar-SA"/>
        </w:rPr>
        <w:t xml:space="preserve">厂名</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vertAlign w:val="superscript"/>
          <w:lang w:val="en-US" w:eastAsia="zh-CN" w:bidi="ar-SA"/>
        </w:rPr>
        <w:t xml:space="preserve">2</w:t>
      </w:r>
      <w:r>
        <w:rPr>
          <w:rFonts w:hint="default" w:ascii="宋体" w:hAnsi="宋体" w:eastAsia="宋体" w:cs="宋体"/>
          <w:color w:val="000000"/>
          <w:sz w:val="24"/>
          <w:szCs w:val="24"/>
          <w:highlight w:val="none"/>
          <w:lang w:val="en-US" w:eastAsia="zh-CN" w:bidi="ar-SA"/>
        </w:rPr>
        <w:t xml:space="preserve">，厂址为</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u w:val="single"/>
          <w:lang w:val="en-US" w:eastAsia="zh-CN" w:bidi="ar-SA"/>
        </w:rPr>
        <w:t xml:space="preserve">生产厂址</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的中国境内生产的组件成本占比≥</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3</w:t>
      </w:r>
      <w:r>
        <w:rPr>
          <w:rFonts w:hint="default" w:ascii="宋体" w:hAnsi="宋体" w:eastAsia="宋体"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4</w:t>
      </w:r>
      <w:r>
        <w:rPr>
          <w:rFonts w:hint="default" w:ascii="宋体" w:hAnsi="宋体" w:eastAsia="宋体" w:cs="宋体"/>
          <w:color w:val="000000"/>
          <w:sz w:val="24"/>
          <w:szCs w:val="24"/>
          <w:highlight w:val="none"/>
          <w:lang w:val="en-US" w:eastAsia="zh-CN" w:bidi="ar-SA"/>
        </w:rPr>
        <w:t xml:space="preserve">在中国境内生产。</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5</w:t>
      </w:r>
      <w:r>
        <w:rPr>
          <w:rFonts w:hint="default" w:ascii="宋体" w:hAnsi="宋体" w:eastAsia="宋体" w:cs="宋体"/>
          <w:color w:val="000000"/>
          <w:sz w:val="24"/>
          <w:szCs w:val="24"/>
          <w:highlight w:val="none"/>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t xml:space="preserve">。</w:t>
      </w:r>
      <w:r>
        <w:rPr>
          <w:highlight w:val="none"/>
        </w:rPr>
      </w:r>
      <w:r/>
    </w:p>
    <w:p>
      <w:pPr>
        <w:numPr>
          <w:ilvl w:val="0"/>
          <w:numId w:val="4"/>
        </w:numPr>
        <w:ind w:left="0" w:firstLine="420"/>
        <w:jc w:val="left"/>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vertAlign w:val="superscript"/>
          <w:lang w:val="en-US" w:eastAsia="zh-CN" w:bidi="ar-SA"/>
        </w:rPr>
        <w:t xml:space="preserve"> </w:t>
      </w:r>
      <w:r>
        <w:rPr>
          <w:rFonts w:hint="default" w:ascii="宋体" w:hAnsi="宋体" w:eastAsia="宋体" w:cs="宋体"/>
          <w:b/>
          <w:bCs/>
          <w:color w:val="000000"/>
          <w:sz w:val="24"/>
          <w:szCs w:val="24"/>
          <w:highlight w:val="none"/>
          <w:vertAlign w:val="superscript"/>
          <w:lang w:val="en-US" w:eastAsia="zh-CN" w:bidi="ar-SA"/>
        </w:rPr>
        <w:t xml:space="preserve">1</w:t>
      </w:r>
      <w:r>
        <w:rPr>
          <w:rFonts w:hint="default" w:ascii="宋体" w:hAnsi="宋体" w:eastAsia="宋体" w:cs="宋体"/>
          <w:color w:val="000000"/>
          <w:sz w:val="24"/>
          <w:szCs w:val="24"/>
          <w:highlight w:val="none"/>
          <w:lang w:val="en-US" w:eastAsia="zh-CN" w:bidi="ar-SA"/>
        </w:rPr>
        <w:t xml:space="preserve">，生产厂为</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u w:val="single"/>
          <w:lang w:val="en-US" w:eastAsia="zh-CN" w:bidi="ar-SA"/>
        </w:rPr>
        <w:t xml:space="preserve">厂名</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vertAlign w:val="superscript"/>
          <w:lang w:val="en-US" w:eastAsia="zh-CN" w:bidi="ar-SA"/>
        </w:rPr>
        <w:t xml:space="preserve">2</w:t>
      </w:r>
      <w:r>
        <w:rPr>
          <w:rFonts w:hint="default" w:ascii="宋体" w:hAnsi="宋体" w:eastAsia="宋体" w:cs="宋体"/>
          <w:color w:val="000000"/>
          <w:sz w:val="24"/>
          <w:szCs w:val="24"/>
          <w:highlight w:val="none"/>
          <w:lang w:val="en-US" w:eastAsia="zh-CN" w:bidi="ar-SA"/>
        </w:rPr>
        <w:t xml:space="preserve">，厂址为</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b/>
          <w:bCs/>
          <w:color w:val="000000"/>
          <w:sz w:val="24"/>
          <w:szCs w:val="24"/>
          <w:highlight w:val="none"/>
          <w:u w:val="single"/>
          <w:lang w:val="en-US" w:eastAsia="zh-CN" w:bidi="ar-SA"/>
        </w:rPr>
        <w:t xml:space="preserve">生产厂址</w:t>
      </w:r>
      <w:r>
        <w:rPr>
          <w:rFonts w:hint="default" w:ascii="宋体" w:hAnsi="宋体" w:eastAsia="宋体" w:cs="宋体"/>
          <w:color w:val="000000"/>
          <w:sz w:val="24"/>
          <w:szCs w:val="24"/>
          <w:highlight w:val="none"/>
          <w:u w:val="single"/>
          <w:lang w:val="en-US" w:eastAsia="zh-CN" w:bidi="ar-SA"/>
        </w:rPr>
        <w:t xml:space="preserve">）</w:t>
      </w:r>
      <w:r>
        <w:rPr>
          <w:rFonts w:hint="default" w:ascii="宋体" w:hAnsi="宋体" w:eastAsia="宋体"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的中国境内生产的组件成本占比≥</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3</w:t>
      </w:r>
      <w:r>
        <w:rPr>
          <w:rFonts w:hint="default" w:ascii="宋体" w:hAnsi="宋体" w:eastAsia="宋体"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4</w:t>
      </w:r>
      <w:r>
        <w:rPr>
          <w:rFonts w:hint="default" w:ascii="宋体" w:hAnsi="宋体" w:eastAsia="宋体" w:cs="宋体"/>
          <w:color w:val="000000"/>
          <w:sz w:val="24"/>
          <w:szCs w:val="24"/>
          <w:highlight w:val="none"/>
          <w:lang w:val="en-US" w:eastAsia="zh-CN" w:bidi="ar-SA"/>
        </w:rPr>
        <w:t xml:space="preserve">在中国境内生产。</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color w:val="000000"/>
          <w:sz w:val="24"/>
          <w:szCs w:val="24"/>
          <w:highlight w:val="none"/>
          <w:lang w:val="en-US" w:eastAsia="zh-CN" w:bidi="ar-SA"/>
        </w:rPr>
        <w:t xml:space="preserve">的</w:t>
      </w:r>
      <w:r>
        <w:rPr>
          <w:rFonts w:hint="default" w:ascii="宋体" w:hAnsi="宋体" w:eastAsia="宋体" w:cs="宋体"/>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vertAlign w:val="superscript"/>
          <w:lang w:val="en-US" w:eastAsia="zh-CN" w:bidi="ar-SA"/>
        </w:rPr>
        <w:t xml:space="preserve">5</w:t>
      </w:r>
      <w:r>
        <w:rPr>
          <w:rFonts w:hint="default" w:ascii="宋体" w:hAnsi="宋体" w:eastAsia="宋体" w:cs="宋体"/>
          <w:color w:val="000000"/>
          <w:sz w:val="24"/>
          <w:szCs w:val="24"/>
          <w:highlight w:val="none"/>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t xml:space="preserve">。</w:t>
      </w:r>
      <w:r>
        <w:rPr>
          <w:highlight w:val="none"/>
        </w:rPr>
      </w:r>
      <w:r/>
    </w:p>
    <w:p>
      <w:pPr>
        <w:ind w:firstLine="420"/>
        <w:jc w:val="left"/>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w:t>
      </w:r>
      <w:r>
        <w:rPr>
          <w:highlight w:val="none"/>
        </w:rPr>
      </w:r>
      <w:r/>
    </w:p>
    <w:p>
      <w:pPr>
        <w:ind w:firstLine="420"/>
        <w:jc w:val="left"/>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rPr>
          <w:highlight w:val="none"/>
        </w:rPr>
      </w:r>
      <w:r/>
    </w:p>
    <w:p>
      <w:pPr>
        <w:ind w:right="29"/>
        <w:jc w:val="right"/>
        <w:spacing w:line="360" w:lineRule="auto"/>
        <w:rPr>
          <w:rFonts w:hint="default" w:ascii="宋体" w:hAnsi="宋体" w:eastAsia="宋体" w:cs="宋体"/>
          <w:b/>
          <w:bCs/>
          <w:color w:val="000000"/>
          <w:sz w:val="28"/>
          <w:szCs w:val="28"/>
          <w:highlight w:val="none"/>
        </w:rPr>
      </w:pPr>
      <w:r>
        <w:rPr>
          <w:rFonts w:hint="default" w:ascii="宋体" w:hAnsi="宋体" w:eastAsia="宋体" w:cs="宋体"/>
          <w:b/>
          <w:bCs/>
          <w:color w:val="000000"/>
          <w:sz w:val="28"/>
          <w:szCs w:val="28"/>
          <w:highlight w:val="none"/>
          <w:lang w:val="en-US" w:eastAsia="zh-CN"/>
        </w:rPr>
        <w:t xml:space="preserve">法定代表人或授权代表（签字或盖章）：</w:t>
      </w:r>
      <w:r>
        <w:rPr>
          <w:highlight w:val="none"/>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rPr>
          <w:highlight w:val="none"/>
        </w:rPr>
      </w:r>
      <w:r/>
    </w:p>
    <w:p>
      <w:pPr>
        <w:jc w:val="left"/>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bidi="ar-SA"/>
        </w:rPr>
        <w:t xml:space="preserve">注：</w:t>
      </w:r>
      <w:r>
        <w:rPr>
          <w:highlight w:val="none"/>
        </w:rPr>
      </w:r>
      <w:r/>
    </w:p>
    <w:p>
      <w:pPr>
        <w:ind w:firstLine="420"/>
        <w:jc w:val="left"/>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highlight w:val="none"/>
        </w:rPr>
      </w:r>
      <w:r/>
    </w:p>
    <w:p>
      <w:pPr>
        <w:ind w:firstLine="420"/>
        <w:jc w:val="left"/>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highlight w:val="none"/>
        </w:rPr>
      </w:r>
      <w:r/>
    </w:p>
    <w:p>
      <w:pPr>
        <w:ind w:firstLine="420"/>
        <w:jc w:val="left"/>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highlight w:val="none"/>
        </w:rPr>
      </w:r>
      <w:r/>
    </w:p>
    <w:p>
      <w:pPr>
        <w:ind w:firstLine="420"/>
        <w:jc w:val="left"/>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highlight w:val="none"/>
        </w:rPr>
      </w:r>
      <w:r/>
    </w:p>
    <w:p>
      <w:pPr>
        <w:ind w:firstLine="420"/>
        <w:jc w:val="left"/>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highlight w:val="none"/>
        </w:rPr>
      </w:r>
      <w:r/>
    </w:p>
    <w:p>
      <w:pPr>
        <w:ind w:firstLine="420"/>
        <w:spacing w:before="30" w:beforeAutospacing="0" w:after="30" w:afterAutospacing="0" w:line="360" w:lineRule="auto"/>
        <w:shd w:val="clear" w:color="auto" w:fill="ffffff"/>
        <w:rPr>
          <w:rFonts w:hint="eastAsia"/>
          <w:b/>
          <w:bCs/>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highlight w:val="none"/>
          <w:lang w:val="en-US" w:eastAsia="zh-CN" w:bidi="ar-SA"/>
        </w:rPr>
        <w:t xml:space="preserve">6</w:t>
      </w:r>
      <w:r>
        <w:rPr>
          <w:rFonts w:hint="default" w:ascii="宋体" w:hAnsi="宋体" w:eastAsia="宋体" w:cs="宋体"/>
          <w:b/>
          <w:bCs/>
          <w:color w:val="000000"/>
          <w:sz w:val="24"/>
          <w:szCs w:val="24"/>
          <w:highlight w:val="none"/>
          <w:lang w:val="en-US" w:eastAsia="zh-CN" w:bidi="ar-SA"/>
        </w:rPr>
        <w:t xml:space="preserve">.《声明函》中标注“</w:t>
      </w:r>
      <w:r>
        <w:rPr>
          <w:rFonts w:hint="default" w:ascii="宋体" w:hAnsi="宋体" w:eastAsia="宋体" w:cs="宋体"/>
          <w:b/>
          <w:bCs/>
          <w:color w:val="000000"/>
          <w:sz w:val="24"/>
          <w:szCs w:val="24"/>
          <w:highlight w:val="none"/>
          <w:u w:val="single"/>
          <w:lang w:val="en-US" w:eastAsia="zh-CN" w:bidi="ar-SA"/>
        </w:rPr>
        <w:t xml:space="preserve">  / </w:t>
      </w:r>
      <w:r>
        <w:rPr>
          <w:rFonts w:hint="default" w:ascii="宋体" w:hAnsi="宋体" w:eastAsia="宋体" w:cs="宋体"/>
          <w:b/>
          <w:bCs/>
          <w:color w:val="000000"/>
          <w:sz w:val="24"/>
          <w:szCs w:val="24"/>
          <w:highlight w:val="none"/>
          <w:lang w:val="en-US" w:eastAsia="zh-CN" w:bidi="ar-SA"/>
        </w:rPr>
        <w:t xml:space="preserve">”的地方无需填写</w:t>
      </w:r>
      <w:r>
        <w:rPr>
          <w:rFonts w:hint="eastAsia" w:ascii="宋体" w:hAnsi="宋体" w:eastAsia="宋体" w:cs="宋体"/>
          <w:b/>
          <w:bCs/>
          <w:color w:val="000000"/>
          <w:sz w:val="24"/>
          <w:szCs w:val="24"/>
          <w:highlight w:val="none"/>
          <w:lang w:val="en-US" w:eastAsia="zh-CN" w:bidi="ar-SA"/>
        </w:rPr>
        <w:t xml:space="preserve">。</w:t>
      </w:r>
      <w:r>
        <w:rPr>
          <w:highlight w:val="none"/>
        </w:rPr>
      </w:r>
      <w:r/>
    </w:p>
    <w:p>
      <w:pPr>
        <w:jc w:val="center"/>
        <w:spacing w:line="360" w:lineRule="auto"/>
        <w:rPr>
          <w:rFonts w:hint="default"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十</w:t>
      </w:r>
      <w:r>
        <w:rPr>
          <w:rFonts w:hint="eastAsia" w:ascii="宋体" w:hAnsi="宋体" w:cs="宋体"/>
          <w:b/>
          <w:color w:val="000000"/>
          <w:sz w:val="30"/>
          <w:szCs w:val="30"/>
          <w:highlight w:val="none"/>
          <w:lang w:val="en-US" w:eastAsia="zh-CN"/>
        </w:rPr>
        <w:t xml:space="preserve">二</w:t>
      </w:r>
      <w:r>
        <w:rPr>
          <w:rFonts w:hint="eastAsia" w:ascii="宋体" w:hAnsi="宋体" w:eastAsia="宋体" w:cs="宋体"/>
          <w:b/>
          <w:color w:val="000000"/>
          <w:sz w:val="30"/>
          <w:szCs w:val="30"/>
          <w:highlight w:val="none"/>
          <w:lang w:val="en-US" w:eastAsia="zh-CN"/>
        </w:rPr>
        <w:t xml:space="preserve">、招标代理服务费收费标准</w:t>
      </w:r>
      <w:r>
        <w:rPr>
          <w:highlight w:val="none"/>
        </w:rPr>
      </w:r>
      <w:r/>
    </w:p>
    <w:tbl>
      <w:tblPr>
        <w:tblStyle w:val="81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3"/>
        <w:gridCol w:w="2529"/>
      </w:tblGrid>
      <w:tr>
        <w:trPr>
          <w:jc w:val="center"/>
          <w:trHeight w:val="6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974" w:right="0" w:firstLine="0"/>
              <w:jc w:val="both"/>
              <w:spacing w:before="16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szCs w:val="24"/>
                <w:highlight w:val="none"/>
              </w:rPr>
              <w:t xml:space="preserve">中标或者成交金额</w:t>
            </w:r>
            <w:r>
              <w:rPr>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16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费率</w:t>
            </w:r>
            <w:r>
              <w:rPr>
                <w:highlight w:val="none"/>
              </w:rPr>
            </w:r>
            <w:r/>
          </w:p>
        </w:tc>
      </w:tr>
      <w:tr>
        <w:trPr>
          <w:jc w:val="center"/>
          <w:trHeight w:val="5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75" w:right="0" w:firstLine="0"/>
              <w:jc w:val="both"/>
              <w:spacing w:before="154"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最低收费金额(每个委托项目)</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15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5000元</w:t>
            </w:r>
            <w:r>
              <w:rPr>
                <w:highlight w:val="none"/>
              </w:rPr>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654" w:right="0" w:firstLine="0"/>
              <w:jc w:val="both"/>
              <w:spacing w:before="15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50万元以下(含50万元)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6"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1.6%</w:t>
            </w:r>
            <w:r>
              <w:rPr>
                <w:highlight w:val="none"/>
              </w:rPr>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575" w:right="0" w:firstLine="0"/>
              <w:jc w:val="both"/>
              <w:spacing w:before="156"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50-400万元(含400万元)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7"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1.5%</w:t>
            </w:r>
            <w:r>
              <w:rPr>
                <w:highlight w:val="none"/>
              </w:rPr>
            </w:r>
            <w:r/>
          </w:p>
        </w:tc>
      </w:tr>
      <w:tr>
        <w:trPr>
          <w:jc w:val="cente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334" w:right="0" w:firstLine="0"/>
              <w:jc w:val="both"/>
              <w:spacing w:before="167"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400-1000万元(含1000万元)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w:t>
            </w:r>
            <w:r>
              <w:rPr>
                <w:highlight w:val="none"/>
              </w:rPr>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255" w:right="0" w:firstLine="0"/>
              <w:jc w:val="both"/>
              <w:spacing w:before="15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1000-5000万元(含5000万元)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0"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0.8%</w:t>
            </w:r>
            <w:r>
              <w:rPr>
                <w:highlight w:val="none"/>
              </w:rPr>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59"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5000-1亿元(含1亿元)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1"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0.25%</w:t>
            </w:r>
            <w:r>
              <w:rPr>
                <w:highlight w:val="none"/>
              </w:rPr>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815" w:right="0" w:firstLine="0"/>
              <w:jc w:val="both"/>
              <w:spacing w:before="170"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1-10亿元(含10亿元)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52"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0.05%</w:t>
            </w:r>
            <w:r>
              <w:rPr>
                <w:highlight w:val="none"/>
              </w:rPr>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62"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10-50亿元(含50亿元)</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3"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0.01%</w:t>
            </w:r>
            <w:r>
              <w:rPr>
                <w:highlight w:val="none"/>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455" w:right="0" w:firstLine="0"/>
              <w:jc w:val="both"/>
              <w:spacing w:before="164"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50亿元以上</w:t>
            </w: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24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0.005%</w:t>
            </w:r>
            <w:r>
              <w:rPr>
                <w:highlight w:val="none"/>
              </w:rPr>
            </w:r>
            <w:r/>
          </w:p>
        </w:tc>
      </w:tr>
    </w:tbl>
    <w:p>
      <w:pPr>
        <w:ind w:firstLine="480"/>
        <w:jc w:val="left"/>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rPr>
          <w:highlight w:val="none"/>
        </w:rPr>
      </w:r>
      <w:r/>
    </w:p>
    <w:p>
      <w:pPr>
        <w:ind w:firstLine="580"/>
        <w:jc w:val="left"/>
        <w:spacing w:line="560" w:lineRule="exact"/>
        <w:widowControl/>
        <w:rPr>
          <w:rFonts w:hint="eastAsia" w:ascii="华文仿宋" w:hAnsi="华文仿宋" w:eastAsia="华文仿宋" w:cs="华文仿宋"/>
          <w:color w:val="ff0000"/>
          <w:sz w:val="24"/>
          <w:szCs w:val="24"/>
          <w:highlight w:val="none"/>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s="Times New Roman"/>
          <w:color w:val="000000"/>
          <w:sz w:val="22"/>
          <w:szCs w:val="22"/>
          <w:highlight w:val="none"/>
        </w:rPr>
        <w:t xml:space="preserve">按上表计算的收费为代理服务全过程的收费金额。</w:t>
      </w:r>
      <w:r>
        <w:rPr>
          <w:rFonts w:hint="eastAsia" w:ascii="仿宋" w:hAnsi="仿宋" w:eastAsia="仿宋" w:cs="Times New Roman"/>
          <w:color w:val="000000"/>
          <w:sz w:val="22"/>
          <w:szCs w:val="22"/>
          <w:highlight w:val="none"/>
          <w:lang w:val="en-US" w:eastAsia="zh-CN"/>
        </w:rPr>
        <w:t xml:space="preserve">各社会代理机构</w:t>
      </w:r>
      <w:r>
        <w:rPr>
          <w:rFonts w:hint="eastAsia" w:ascii="仿宋" w:hAnsi="仿宋" w:eastAsia="仿宋" w:cs="Times New Roman"/>
          <w:color w:val="000000"/>
          <w:sz w:val="22"/>
          <w:szCs w:val="22"/>
          <w:highlight w:val="none"/>
        </w:rPr>
        <w:t xml:space="preserve">不</w:t>
      </w:r>
      <w:r>
        <w:rPr>
          <w:rFonts w:hint="eastAsia" w:ascii="仿宋" w:hAnsi="仿宋" w:eastAsia="仿宋" w:cs="Times New Roman"/>
          <w:color w:val="000000"/>
          <w:sz w:val="22"/>
          <w:szCs w:val="22"/>
          <w:highlight w:val="none"/>
          <w:lang w:val="en-US" w:eastAsia="zh-CN"/>
        </w:rPr>
        <w:t xml:space="preserve">再</w:t>
      </w:r>
      <w:r>
        <w:rPr>
          <w:rFonts w:hint="eastAsia" w:ascii="仿宋" w:hAnsi="仿宋" w:eastAsia="仿宋" w:cs="Times New Roman"/>
          <w:color w:val="000000"/>
          <w:sz w:val="22"/>
          <w:szCs w:val="22"/>
          <w:highlight w:val="none"/>
        </w:rPr>
        <w:t xml:space="preserve">收取采购文件制作售卖费用。</w:t>
      </w:r>
      <w:r>
        <w:rPr>
          <w:highlight w:val="none"/>
        </w:rPr>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rPr>
          <w:highlight w:val="none"/>
        </w:rPr>
      </w:r>
      <w:r/>
    </w:p>
    <w:p>
      <w:pPr>
        <w:ind w:left="64" w:firstLine="480"/>
        <w:jc w:val="left"/>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rPr>
          <w:highlight w:val="none"/>
        </w:rPr>
      </w:r>
      <w:r/>
    </w:p>
    <w:p>
      <w:pPr>
        <w:ind w:firstLine="580"/>
        <w:jc w:val="left"/>
        <w:spacing w:line="560" w:lineRule="exact"/>
        <w:widowControl/>
        <w:rPr>
          <w:rFonts w:hint="default"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rPr>
          <w:highlight w:val="none"/>
        </w:rPr>
      </w:r>
      <w:r/>
    </w:p>
    <w:p>
      <w:pPr>
        <w:ind w:firstLine="580"/>
        <w:jc w:val="left"/>
        <w:spacing w:line="56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5.本次招标代理服务费按《徐州政府采购业务代理服务费行业指导价格标准》规定标准的</w:t>
      </w:r>
      <w:r>
        <w:rPr>
          <w:rFonts w:hint="eastAsia" w:ascii="华文仿宋" w:hAnsi="华文仿宋" w:eastAsia="华文仿宋" w:cs="华文仿宋"/>
          <w:color w:val="000000"/>
          <w:sz w:val="24"/>
          <w:szCs w:val="24"/>
          <w:highlight w:val="none"/>
          <w:lang w:val="en-US" w:eastAsia="zh-CN"/>
        </w:rPr>
        <w:t xml:space="preserve">80</w:t>
      </w:r>
      <w:r>
        <w:rPr>
          <w:rFonts w:hint="eastAsia" w:ascii="华文仿宋" w:hAnsi="华文仿宋" w:eastAsia="华文仿宋" w:cs="华文仿宋"/>
          <w:color w:val="000000"/>
          <w:sz w:val="24"/>
          <w:szCs w:val="24"/>
          <w:highlight w:val="none"/>
        </w:rPr>
        <w:t xml:space="preserve">%收取。 </w:t>
      </w:r>
      <w:r>
        <w:rPr>
          <w:highlight w:val="none"/>
        </w:rPr>
      </w:r>
      <w:r/>
    </w:p>
    <w:p>
      <w:pPr>
        <w:ind w:left="420"/>
        <w:jc w:val="left"/>
        <w:spacing w:after="120"/>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lang w:val="en-US" w:eastAsia="zh-CN" w:bidi="ar-SA"/>
        </w:rPr>
      </w:r>
      <w:r>
        <w:rPr>
          <w:highlight w:val="none"/>
        </w:rPr>
      </w:r>
      <w:r/>
    </w:p>
    <w:p>
      <w:pPr>
        <w:ind w:left="0" w:right="0" w:firstLine="480"/>
        <w:jc w:val="both"/>
        <w:spacing w:before="0" w:after="0" w:line="276" w:lineRule="atLeast"/>
        <w:widowControl/>
        <w:rPr>
          <w:rFonts w:ascii="华文仿宋" w:hAnsi="华文仿宋" w:eastAsia="宋体" w:cs="华文仿宋"/>
          <w:sz w:val="24"/>
          <w:szCs w:val="24"/>
          <w:highlight w:val="none"/>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color w:val="000000"/>
          <w:sz w:val="24"/>
          <w:szCs w:val="24"/>
          <w:highlight w:val="none"/>
          <w:lang w:val="en-US" w:eastAsia="zh-CN"/>
        </w:rPr>
        <w:t xml:space="preserve">6</w:t>
      </w:r>
      <w:r>
        <w:rPr>
          <w:rFonts w:ascii="华文仿宋" w:hAnsi="华文仿宋" w:eastAsia="华文仿宋" w:cs="华文仿宋"/>
          <w:color w:val="000000"/>
          <w:sz w:val="24"/>
          <w:szCs w:val="24"/>
          <w:highlight w:val="none"/>
        </w:rPr>
        <w:t xml:space="preserve">.备注：1、收费标准执行本表的80%，由成交供应商支付。</w:t>
      </w:r>
      <w:r>
        <w:rPr>
          <w:highlight w:val="none"/>
        </w:rPr>
      </w:r>
      <w:r/>
    </w:p>
    <w:p>
      <w:pPr>
        <w:ind w:right="0" w:firstLine="1440"/>
        <w:jc w:val="both"/>
        <w:spacing w:before="0" w:after="0" w:line="276" w:lineRule="atLeast"/>
        <w:widowControl/>
        <w:rPr>
          <w:rFonts w:ascii="华文仿宋" w:hAnsi="华文仿宋" w:eastAsia="宋体"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2、关于进一步规范政府采购活动相关费用管理的通知（苏财规〔2026〕1号）</w:t>
      </w:r>
      <w:r>
        <w:rPr>
          <w:highlight w:val="none"/>
        </w:rPr>
      </w:r>
      <w:r/>
    </w:p>
    <w:p>
      <w:pPr>
        <w:ind w:left="0" w:right="0" w:firstLine="480"/>
        <w:jc w:val="both"/>
        <w:spacing w:before="0" w:after="0" w:line="276" w:lineRule="atLeast"/>
        <w:widowControl/>
        <w:rPr>
          <w:rFonts w:ascii="华文仿宋" w:hAnsi="华文仿宋" w:eastAsia="宋体"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评审活动相关费用：评审专家参加省内政府采购项目评审时应获得的专家评审费按以下规定进行管理。</w:t>
      </w:r>
      <w:r>
        <w:rPr>
          <w:highlight w:val="none"/>
        </w:rPr>
      </w:r>
      <w:r/>
    </w:p>
    <w:p>
      <w:pPr>
        <w:ind w:left="0" w:right="0" w:firstLine="480"/>
        <w:jc w:val="both"/>
        <w:spacing w:before="0" w:after="0" w:line="276" w:lineRule="atLeast"/>
        <w:widowControl/>
        <w:rPr>
          <w:rFonts w:ascii="华文仿宋" w:hAnsi="华文仿宋" w:eastAsia="宋体"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highlight w:val="none"/>
        </w:rPr>
      </w:r>
      <w:r/>
    </w:p>
    <w:p>
      <w:pPr>
        <w:ind w:left="0" w:right="0" w:firstLine="480"/>
        <w:jc w:val="both"/>
        <w:spacing w:before="0" w:after="0" w:line="276" w:lineRule="atLeast"/>
        <w:widowControl/>
        <w:rPr>
          <w:rFonts w:ascii="华文仿宋" w:hAnsi="华文仿宋" w:eastAsia="宋体"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（二）远程异地评标项目专家评审费按评审专家属地规定的标准支付。</w:t>
      </w:r>
      <w:r>
        <w:rPr>
          <w:highlight w:val="none"/>
        </w:rPr>
      </w:r>
      <w:r/>
    </w:p>
    <w:p>
      <w:pPr>
        <w:ind w:left="0" w:right="0" w:firstLine="480"/>
        <w:jc w:val="left"/>
        <w:spacing w:before="220" w:after="200" w:line="85" w:lineRule="atLeast"/>
        <w:widowControl/>
        <w:rPr>
          <w:rFonts w:ascii="华文仿宋" w:hAnsi="华文仿宋" w:eastAsia="宋体"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（三）专家评审费应在项目评审完成后30个工作日内支付专家。因专家原因导致项目废标，则不需要向应当承担责任的专家支付费用。</w:t>
      </w:r>
      <w:r>
        <w:rPr>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rPr>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SimSun">
    <w:panose1 w:val="02010600030101010101"/>
  </w:font>
  <w:font w:name="monospace">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320"/>
      <w:jc w:val="both"/>
      <w:spacing w:line="209" w:lineRule="auto"/>
      <w:rPr>
        <w:rFonts w:hint="eastAsia"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Bdr>
        <w:bottom w:val="single" w:color="000000" w:sz="4" w:space="0"/>
      </w:pBdr>
    </w:pPr>
    <w:r>
      <w:rPr>
        <w:rFonts w:hint="eastAsia" w:ascii="宋体" w:hAnsi="宋体" w:cs="宋体"/>
        <w:lang w:eastAsia="zh-CN"/>
      </w:rPr>
      <w:t xml:space="preserve">大沙河饮用水源地清水通道监测预警体系建设项目</w:t>
    </w:r>
    <w:r>
      <w:rPr>
        <w:rFonts w:hint="eastAsia" w:ascii="宋体" w:hAnsi="宋体" w:cs="宋体"/>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9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1126"/>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right="0" w:firstLine="0"/>
      <w:spacing w:after="57"/>
    </w:pPr>
  </w:style>
  <w:style w:type="paragraph" w:styleId="797">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Body Text"/>
    <w:basedOn w:val="784"/>
    <w:uiPriority w:val="0"/>
    <w:qFormat/>
    <w:pPr>
      <w:spacing w:line="360" w:lineRule="auto"/>
    </w:pPr>
    <w:rPr>
      <w:rFonts w:cs="Times New Roman"/>
      <w:sz w:val="24"/>
    </w:rPr>
  </w:style>
  <w:style w:type="paragraph" w:styleId="799">
    <w:name w:val="Body Text Indent"/>
    <w:basedOn w:val="784"/>
    <w:uiPriority w:val="99"/>
    <w:qFormat/>
    <w:pPr>
      <w:ind w:left="420"/>
      <w:spacing w:after="120"/>
    </w:pPr>
  </w:style>
  <w:style w:type="paragraph" w:styleId="800">
    <w:name w:val="Block Text"/>
    <w:basedOn w:val="784"/>
    <w:next w:val="784"/>
    <w:uiPriority w:val="99"/>
    <w:semiHidden/>
    <w:unhideWhenUsed/>
    <w:qFormat/>
    <w:pPr>
      <w:ind w:left="1440" w:right="1440"/>
      <w:spacing w:after="120"/>
    </w:pPr>
  </w:style>
  <w:style w:type="paragraph" w:styleId="801">
    <w:name w:val="toc 5"/>
    <w:basedOn w:val="784"/>
    <w:next w:val="784"/>
    <w:uiPriority w:val="39"/>
    <w:unhideWhenUsed/>
    <w:qFormat/>
    <w:pPr>
      <w:ind w:left="1134" w:right="0" w:firstLine="0"/>
      <w:spacing w:after="57"/>
    </w:pPr>
  </w:style>
  <w:style w:type="paragraph" w:styleId="802">
    <w:name w:val="toc 3"/>
    <w:basedOn w:val="784"/>
    <w:next w:val="784"/>
    <w:uiPriority w:val="39"/>
    <w:unhideWhenUsed/>
    <w:qFormat/>
    <w:pPr>
      <w:ind w:left="567" w:right="0" w:firstLine="0"/>
      <w:spacing w:after="57"/>
    </w:pPr>
  </w:style>
  <w:style w:type="paragraph" w:styleId="803">
    <w:name w:val="toc 8"/>
    <w:basedOn w:val="784"/>
    <w:next w:val="784"/>
    <w:uiPriority w:val="39"/>
    <w:unhideWhenUsed/>
    <w:qFormat/>
    <w:pPr>
      <w:ind w:left="1984" w:right="0" w:firstLine="0"/>
      <w:spacing w:after="57"/>
    </w:pPr>
  </w:style>
  <w:style w:type="paragraph" w:styleId="804">
    <w:name w:val="endnote text"/>
    <w:basedOn w:val="784"/>
    <w:uiPriority w:val="99"/>
    <w:semiHidden/>
    <w:unhideWhenUsed/>
    <w:qFormat/>
    <w:pPr>
      <w:spacing w:after="0" w:line="240" w:lineRule="auto"/>
    </w:pPr>
    <w:rPr>
      <w:sz w:val="20"/>
    </w:rPr>
  </w:style>
  <w:style w:type="paragraph" w:styleId="805">
    <w:name w:val="Footer"/>
    <w:basedOn w:val="784"/>
    <w:uiPriority w:val="99"/>
    <w:unhideWhenUsed/>
    <w:qFormat/>
    <w:pPr>
      <w:spacing w:after="0" w:line="240" w:lineRule="auto"/>
      <w:tabs>
        <w:tab w:val="center" w:pos="7143" w:leader="none"/>
        <w:tab w:val="right" w:pos="14287" w:leader="none"/>
      </w:tabs>
    </w:pPr>
  </w:style>
  <w:style w:type="paragraph" w:styleId="806">
    <w:name w:val="Header"/>
    <w:basedOn w:val="784"/>
    <w:uiPriority w:val="99"/>
    <w:unhideWhenUsed/>
    <w:qFormat/>
    <w:pPr>
      <w:spacing w:after="0" w:line="240" w:lineRule="auto"/>
      <w:tabs>
        <w:tab w:val="center" w:pos="7143" w:leader="none"/>
        <w:tab w:val="right" w:pos="14287" w:leader="none"/>
      </w:tabs>
    </w:pPr>
  </w:style>
  <w:style w:type="paragraph" w:styleId="807">
    <w:name w:val="toc 1"/>
    <w:basedOn w:val="784"/>
    <w:next w:val="784"/>
    <w:uiPriority w:val="39"/>
    <w:unhideWhenUsed/>
    <w:qFormat/>
    <w:pPr>
      <w:ind w:left="0" w:right="0" w:firstLine="0"/>
      <w:spacing w:after="57"/>
    </w:pPr>
  </w:style>
  <w:style w:type="paragraph" w:styleId="808">
    <w:name w:val="toc 4"/>
    <w:basedOn w:val="784"/>
    <w:next w:val="784"/>
    <w:uiPriority w:val="39"/>
    <w:unhideWhenUsed/>
    <w:qFormat/>
    <w:pPr>
      <w:ind w:left="850" w:right="0" w:firstLine="0"/>
      <w:spacing w:after="57"/>
    </w:pPr>
  </w:style>
  <w:style w:type="paragraph" w:styleId="809">
    <w:name w:val="Subtitle"/>
    <w:basedOn w:val="784"/>
    <w:next w:val="784"/>
    <w:uiPriority w:val="11"/>
    <w:qFormat/>
    <w:pPr>
      <w:spacing w:before="200" w:after="200"/>
    </w:pPr>
    <w:rPr>
      <w:sz w:val="24"/>
      <w:szCs w:val="24"/>
    </w:rPr>
  </w:style>
  <w:style w:type="paragraph" w:styleId="810">
    <w:name w:val="footnote text"/>
    <w:basedOn w:val="784"/>
    <w:uiPriority w:val="99"/>
    <w:semiHidden/>
    <w:unhideWhenUsed/>
    <w:qFormat/>
    <w:pPr>
      <w:spacing w:after="40" w:line="240" w:lineRule="auto"/>
    </w:pPr>
    <w:rPr>
      <w:sz w:val="18"/>
    </w:rPr>
  </w:style>
  <w:style w:type="paragraph" w:styleId="811">
    <w:name w:val="toc 6"/>
    <w:basedOn w:val="784"/>
    <w:next w:val="784"/>
    <w:uiPriority w:val="39"/>
    <w:unhideWhenUsed/>
    <w:qFormat/>
    <w:pPr>
      <w:ind w:left="1417" w:right="0" w:firstLine="0"/>
      <w:spacing w:after="57"/>
    </w:pPr>
  </w:style>
  <w:style w:type="paragraph" w:styleId="812">
    <w:name w:val="table of figures"/>
    <w:basedOn w:val="784"/>
    <w:next w:val="784"/>
    <w:uiPriority w:val="99"/>
    <w:unhideWhenUsed/>
    <w:qFormat/>
    <w:pPr>
      <w:spacing w:after="0" w:afterAutospacing="0"/>
    </w:pPr>
  </w:style>
  <w:style w:type="paragraph" w:styleId="813">
    <w:name w:val="toc 2"/>
    <w:basedOn w:val="784"/>
    <w:next w:val="784"/>
    <w:uiPriority w:val="39"/>
    <w:unhideWhenUsed/>
    <w:qFormat/>
    <w:pPr>
      <w:ind w:left="283" w:right="0" w:firstLine="0"/>
      <w:spacing w:after="57"/>
    </w:pPr>
  </w:style>
  <w:style w:type="paragraph" w:styleId="814">
    <w:name w:val="toc 9"/>
    <w:basedOn w:val="784"/>
    <w:next w:val="784"/>
    <w:uiPriority w:val="39"/>
    <w:unhideWhenUsed/>
    <w:qFormat/>
    <w:pPr>
      <w:ind w:left="2268" w:right="0" w:firstLine="0"/>
      <w:spacing w:after="57"/>
    </w:pPr>
  </w:style>
  <w:style w:type="paragraph" w:styleId="815">
    <w:name w:val="Normal (Web)"/>
    <w:basedOn w:val="784"/>
    <w:uiPriority w:val="99"/>
    <w:semiHidden/>
    <w:unhideWhenUsed/>
    <w:qFormat/>
    <w:pPr>
      <w:ind w:left="0" w:right="0"/>
      <w:jc w:val="left"/>
      <w:spacing w:before="0" w:beforeAutospacing="1" w:after="0" w:afterAutospacing="1"/>
    </w:pPr>
    <w:rPr>
      <w:sz w:val="24"/>
      <w:lang w:val="en-US" w:eastAsia="zh-CN" w:bidi="ar"/>
    </w:rPr>
  </w:style>
  <w:style w:type="paragraph" w:styleId="816">
    <w:name w:val="Title"/>
    <w:basedOn w:val="784"/>
    <w:next w:val="784"/>
    <w:uiPriority w:val="10"/>
    <w:qFormat/>
    <w:pPr>
      <w:contextualSpacing/>
      <w:spacing w:before="300" w:after="200"/>
    </w:pPr>
    <w:rPr>
      <w:sz w:val="48"/>
      <w:szCs w:val="48"/>
    </w:r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Strong"/>
    <w:basedOn w:val="794"/>
    <w:uiPriority w:val="22"/>
    <w:qFormat/>
    <w:rPr>
      <w:b/>
    </w:r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annotation reference"/>
    <w:uiPriority w:val="99"/>
    <w:semiHidden/>
    <w:unhideWhenUsed/>
    <w:qFormat/>
    <w:rPr>
      <w:sz w:val="16"/>
      <w:szCs w:val="16"/>
    </w:rPr>
  </w:style>
  <w:style w:type="character" w:styleId="822">
    <w:name w:val="footnote reference"/>
    <w:uiPriority w:val="99"/>
    <w:unhideWhenUsed/>
    <w:qFormat/>
    <w:rPr>
      <w:vertAlign w:val="superscript"/>
    </w:rPr>
  </w:style>
  <w:style w:type="paragraph" w:styleId="823" w:customStyle="1">
    <w:name w:val="标题 11"/>
    <w:basedOn w:val="784"/>
    <w:next w:val="784"/>
    <w:link w:val="839"/>
    <w:uiPriority w:val="0"/>
    <w:qFormat/>
    <w:pPr>
      <w:jc w:val="center"/>
      <w:keepLines/>
      <w:keepNext/>
      <w:spacing w:line="578" w:lineRule="auto"/>
      <w:outlineLvl w:val="0"/>
    </w:pPr>
    <w:rPr>
      <w:rFonts w:eastAsia="新宋体"/>
      <w:b/>
      <w:bCs/>
      <w:sz w:val="30"/>
      <w:szCs w:val="44"/>
    </w:rPr>
  </w:style>
  <w:style w:type="paragraph" w:styleId="824">
    <w:name w:val="List Paragraph"/>
    <w:basedOn w:val="784"/>
    <w:uiPriority w:val="34"/>
    <w:qFormat/>
    <w:pPr>
      <w:contextualSpacing/>
      <w:ind w:left="720"/>
    </w:p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paragraph" w:styleId="826">
    <w:name w:val="Quote"/>
    <w:basedOn w:val="784"/>
    <w:next w:val="784"/>
    <w:uiPriority w:val="29"/>
    <w:qFormat/>
    <w:pPr>
      <w:ind w:left="720" w:right="720"/>
    </w:pPr>
    <w:rPr>
      <w:i/>
    </w:rPr>
  </w:style>
  <w:style w:type="paragraph" w:styleId="827">
    <w:name w:val="Intense Quote"/>
    <w:basedOn w:val="784"/>
    <w:next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8" w:customStyle="1">
    <w:name w:val="标题 211"/>
    <w:basedOn w:val="784"/>
    <w:next w:val="784"/>
    <w:link w:val="840"/>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829" w:customStyle="1">
    <w:name w:val="标题 31"/>
    <w:basedOn w:val="784"/>
    <w:next w:val="784"/>
    <w:link w:val="841"/>
    <w:uiPriority w:val="9"/>
    <w:qFormat/>
    <w:pPr>
      <w:keepLines/>
      <w:keepNext/>
      <w:spacing w:before="260" w:after="260" w:line="416" w:lineRule="auto"/>
      <w:outlineLvl w:val="2"/>
    </w:pPr>
    <w:rPr>
      <w:b/>
      <w:bCs/>
      <w:sz w:val="32"/>
      <w:szCs w:val="32"/>
    </w:rPr>
  </w:style>
  <w:style w:type="paragraph" w:styleId="830" w:customStyle="1">
    <w:name w:val="标题 41"/>
    <w:basedOn w:val="784"/>
    <w:next w:val="784"/>
    <w:link w:val="842"/>
    <w:uiPriority w:val="9"/>
    <w:qFormat/>
    <w:pPr>
      <w:keepLines/>
      <w:keepNext/>
      <w:spacing w:before="320" w:after="200"/>
      <w:outlineLvl w:val="3"/>
    </w:pPr>
    <w:rPr>
      <w:rFonts w:ascii="Arial" w:hAnsi="Arial" w:eastAsia="Arial" w:cs="Arial"/>
      <w:b/>
      <w:bCs/>
      <w:sz w:val="26"/>
      <w:szCs w:val="26"/>
    </w:rPr>
  </w:style>
  <w:style w:type="paragraph" w:styleId="831" w:customStyle="1">
    <w:name w:val="标题 51"/>
    <w:basedOn w:val="784"/>
    <w:next w:val="784"/>
    <w:link w:val="843"/>
    <w:uiPriority w:val="9"/>
    <w:qFormat/>
    <w:pPr>
      <w:keepLines/>
      <w:keepNext/>
      <w:spacing w:before="320" w:after="200"/>
      <w:outlineLvl w:val="4"/>
    </w:pPr>
    <w:rPr>
      <w:rFonts w:ascii="Arial" w:hAnsi="Arial" w:eastAsia="Arial" w:cs="Arial"/>
      <w:b/>
      <w:bCs/>
      <w:sz w:val="24"/>
    </w:rPr>
  </w:style>
  <w:style w:type="paragraph" w:styleId="832" w:customStyle="1">
    <w:name w:val="标题 61"/>
    <w:basedOn w:val="784"/>
    <w:next w:val="784"/>
    <w:link w:val="844"/>
    <w:uiPriority w:val="9"/>
    <w:qFormat/>
    <w:pPr>
      <w:keepLines/>
      <w:keepNext/>
      <w:spacing w:before="320" w:after="200"/>
      <w:outlineLvl w:val="5"/>
    </w:pPr>
    <w:rPr>
      <w:rFonts w:ascii="Arial" w:hAnsi="Arial" w:eastAsia="Arial" w:cs="Arial"/>
      <w:b/>
      <w:bCs/>
      <w:sz w:val="22"/>
      <w:szCs w:val="22"/>
    </w:rPr>
  </w:style>
  <w:style w:type="paragraph" w:styleId="833" w:customStyle="1">
    <w:name w:val="标题 71"/>
    <w:basedOn w:val="784"/>
    <w:next w:val="784"/>
    <w:link w:val="845"/>
    <w:uiPriority w:val="9"/>
    <w:qFormat/>
    <w:pPr>
      <w:keepLines/>
      <w:keepNext/>
      <w:spacing w:before="320" w:after="200"/>
      <w:outlineLvl w:val="6"/>
    </w:pPr>
    <w:rPr>
      <w:rFonts w:ascii="Arial" w:hAnsi="Arial" w:eastAsia="Arial" w:cs="Arial"/>
      <w:b/>
      <w:bCs/>
      <w:i/>
      <w:iCs/>
      <w:sz w:val="22"/>
      <w:szCs w:val="22"/>
    </w:rPr>
  </w:style>
  <w:style w:type="paragraph" w:styleId="834" w:customStyle="1">
    <w:name w:val="标题 81"/>
    <w:basedOn w:val="784"/>
    <w:next w:val="784"/>
    <w:link w:val="846"/>
    <w:uiPriority w:val="9"/>
    <w:qFormat/>
    <w:pPr>
      <w:keepLines/>
      <w:keepNext/>
      <w:spacing w:before="320" w:after="200"/>
      <w:outlineLvl w:val="7"/>
    </w:pPr>
    <w:rPr>
      <w:rFonts w:ascii="Arial" w:hAnsi="Arial" w:eastAsia="Arial" w:cs="Arial"/>
      <w:i/>
      <w:iCs/>
      <w:sz w:val="22"/>
      <w:szCs w:val="22"/>
    </w:rPr>
  </w:style>
  <w:style w:type="paragraph" w:styleId="835" w:customStyle="1">
    <w:name w:val="标题 91"/>
    <w:basedOn w:val="784"/>
    <w:next w:val="784"/>
    <w:link w:val="847"/>
    <w:uiPriority w:val="9"/>
    <w:qFormat/>
    <w:pPr>
      <w:keepLines/>
      <w:keepNext/>
      <w:spacing w:before="320" w:after="200"/>
      <w:outlineLvl w:val="8"/>
    </w:pPr>
    <w:rPr>
      <w:rFonts w:ascii="Arial" w:hAnsi="Arial" w:eastAsia="Arial" w:cs="Arial"/>
      <w:i/>
      <w:iCs/>
      <w:szCs w:val="21"/>
    </w:rPr>
  </w:style>
  <w:style w:type="character" w:styleId="836" w:customStyle="1">
    <w:name w:val="默认段落字体1"/>
    <w:link w:val="784"/>
    <w:uiPriority w:val="1"/>
    <w:unhideWhenUsed/>
    <w:qFormat/>
  </w:style>
  <w:style w:type="table" w:styleId="837" w:customStyle="1">
    <w:name w:val="普通表格1"/>
    <w:uiPriority w:val="99"/>
    <w:unhideWhenUsed/>
    <w:qFormat/>
    <w:tblPr/>
  </w:style>
  <w:style w:type="paragraph" w:styleId="838" w:customStyle="1">
    <w:name w:val="文本块1"/>
    <w:basedOn w:val="784"/>
    <w:uiPriority w:val="99"/>
    <w:unhideWhenUsed/>
    <w:qFormat/>
    <w:pPr>
      <w:ind w:left="1440" w:right="1440"/>
      <w:spacing w:after="120"/>
    </w:pPr>
  </w:style>
  <w:style w:type="character" w:styleId="839" w:customStyle="1">
    <w:name w:val="标题 1 字符"/>
    <w:link w:val="823"/>
    <w:uiPriority w:val="0"/>
    <w:qFormat/>
    <w:rPr>
      <w:rFonts w:ascii="Times New Roman" w:hAnsi="Times New Roman" w:eastAsia="新宋体" w:cs="Times New Roman"/>
      <w:b/>
      <w:bCs/>
      <w:sz w:val="30"/>
      <w:szCs w:val="44"/>
    </w:rPr>
  </w:style>
  <w:style w:type="character" w:styleId="840" w:customStyle="1">
    <w:name w:val="标题 2 字符"/>
    <w:link w:val="828"/>
    <w:uiPriority w:val="9"/>
    <w:qFormat/>
    <w:rPr>
      <w:rFonts w:ascii="Calibri Light" w:hAnsi="Calibri Light" w:eastAsia="黑体" w:cs="Times New Roman"/>
      <w:b/>
      <w:bCs/>
      <w:sz w:val="32"/>
      <w:szCs w:val="32"/>
    </w:rPr>
  </w:style>
  <w:style w:type="character" w:styleId="841" w:customStyle="1">
    <w:name w:val="标题 3 字符"/>
    <w:link w:val="829"/>
    <w:uiPriority w:val="9"/>
    <w:qFormat/>
    <w:rPr>
      <w:rFonts w:ascii="Times New Roman" w:hAnsi="Times New Roman" w:eastAsia="宋体" w:cs="Times New Roman"/>
      <w:b/>
      <w:bCs/>
      <w:sz w:val="32"/>
      <w:szCs w:val="32"/>
    </w:rPr>
  </w:style>
  <w:style w:type="character" w:styleId="842" w:customStyle="1">
    <w:name w:val="标题 4 字符"/>
    <w:link w:val="830"/>
    <w:uiPriority w:val="9"/>
    <w:qFormat/>
    <w:rPr>
      <w:rFonts w:ascii="Arial" w:hAnsi="Arial" w:eastAsia="Arial" w:cs="Arial"/>
      <w:b/>
      <w:bCs/>
      <w:sz w:val="26"/>
      <w:szCs w:val="26"/>
    </w:rPr>
  </w:style>
  <w:style w:type="character" w:styleId="843" w:customStyle="1">
    <w:name w:val="标题 5 字符"/>
    <w:link w:val="831"/>
    <w:uiPriority w:val="9"/>
    <w:qFormat/>
    <w:rPr>
      <w:rFonts w:ascii="Arial" w:hAnsi="Arial" w:eastAsia="Arial" w:cs="Arial"/>
      <w:b/>
      <w:bCs/>
      <w:sz w:val="24"/>
      <w:szCs w:val="24"/>
    </w:rPr>
  </w:style>
  <w:style w:type="character" w:styleId="844" w:customStyle="1">
    <w:name w:val="标题 6 字符"/>
    <w:link w:val="832"/>
    <w:uiPriority w:val="9"/>
    <w:qFormat/>
    <w:rPr>
      <w:rFonts w:ascii="Arial" w:hAnsi="Arial" w:eastAsia="Arial" w:cs="Arial"/>
      <w:b/>
      <w:bCs/>
      <w:sz w:val="22"/>
      <w:szCs w:val="22"/>
    </w:rPr>
  </w:style>
  <w:style w:type="character" w:styleId="845" w:customStyle="1">
    <w:name w:val="标题 7 字符"/>
    <w:link w:val="833"/>
    <w:uiPriority w:val="9"/>
    <w:qFormat/>
    <w:rPr>
      <w:rFonts w:ascii="Arial" w:hAnsi="Arial" w:eastAsia="Arial" w:cs="Arial"/>
      <w:b/>
      <w:bCs/>
      <w:i/>
      <w:iCs/>
      <w:sz w:val="22"/>
      <w:szCs w:val="22"/>
    </w:rPr>
  </w:style>
  <w:style w:type="character" w:styleId="846" w:customStyle="1">
    <w:name w:val="标题 8 字符"/>
    <w:link w:val="834"/>
    <w:uiPriority w:val="9"/>
    <w:qFormat/>
    <w:rPr>
      <w:rFonts w:ascii="Arial" w:hAnsi="Arial" w:eastAsia="Arial" w:cs="Arial"/>
      <w:i/>
      <w:iCs/>
      <w:sz w:val="22"/>
      <w:szCs w:val="22"/>
    </w:rPr>
  </w:style>
  <w:style w:type="character" w:styleId="847" w:customStyle="1">
    <w:name w:val="标题 9 字符"/>
    <w:link w:val="835"/>
    <w:uiPriority w:val="9"/>
    <w:qFormat/>
    <w:rPr>
      <w:rFonts w:ascii="Arial" w:hAnsi="Arial" w:eastAsia="Arial" w:cs="Arial"/>
      <w:i/>
      <w:iCs/>
      <w:sz w:val="21"/>
      <w:szCs w:val="21"/>
    </w:rPr>
  </w:style>
  <w:style w:type="paragraph" w:styleId="848" w:customStyle="1">
    <w:name w:val="目录 71"/>
    <w:basedOn w:val="784"/>
    <w:next w:val="784"/>
    <w:uiPriority w:val="39"/>
    <w:unhideWhenUsed/>
    <w:qFormat/>
    <w:pPr>
      <w:ind w:left="1701"/>
      <w:spacing w:after="57"/>
    </w:pPr>
  </w:style>
  <w:style w:type="paragraph" w:styleId="849" w:customStyle="1">
    <w:name w:val="正文缩进111"/>
    <w:basedOn w:val="784"/>
    <w:uiPriority w:val="0"/>
    <w:qFormat/>
    <w:pPr>
      <w:ind w:firstLine="420"/>
    </w:pPr>
  </w:style>
  <w:style w:type="paragraph" w:styleId="850" w:customStyle="1">
    <w:name w:val="题注1"/>
    <w:basedOn w:val="784"/>
    <w:next w:val="784"/>
    <w:uiPriority w:val="35"/>
    <w:qFormat/>
    <w:pPr>
      <w:spacing w:line="276" w:lineRule="auto"/>
    </w:pPr>
    <w:rPr>
      <w:b/>
      <w:bCs/>
      <w:color w:val="5b9bd5"/>
      <w:sz w:val="18"/>
      <w:szCs w:val="18"/>
    </w:rPr>
  </w:style>
  <w:style w:type="paragraph" w:styleId="851" w:customStyle="1">
    <w:name w:val="索引 511"/>
    <w:basedOn w:val="784"/>
    <w:next w:val="784"/>
    <w:uiPriority w:val="0"/>
    <w:qFormat/>
    <w:pPr>
      <w:ind w:left="798"/>
      <w:jc w:val="left"/>
    </w:pPr>
    <w:rPr>
      <w:rFonts w:ascii="Calibri" w:hAnsi="Calibri"/>
    </w:rPr>
  </w:style>
  <w:style w:type="paragraph" w:styleId="852" w:customStyle="1">
    <w:name w:val="批注文字1"/>
    <w:basedOn w:val="784"/>
    <w:link w:val="853"/>
    <w:uiPriority w:val="0"/>
    <w:unhideWhenUsed/>
    <w:qFormat/>
    <w:pPr>
      <w:jc w:val="left"/>
    </w:pPr>
  </w:style>
  <w:style w:type="character" w:styleId="853" w:customStyle="1">
    <w:name w:val="批注文字 字符"/>
    <w:link w:val="852"/>
    <w:uiPriority w:val="0"/>
    <w:semiHidden/>
    <w:qFormat/>
    <w:rPr>
      <w:rFonts w:ascii="Times New Roman" w:hAnsi="Times New Roman" w:eastAsia="宋体" w:cs="Times New Roman"/>
      <w:sz w:val="21"/>
      <w:szCs w:val="24"/>
    </w:rPr>
  </w:style>
  <w:style w:type="paragraph" w:styleId="854" w:customStyle="1">
    <w:name w:val="正文文本13"/>
    <w:basedOn w:val="784"/>
    <w:next w:val="855"/>
    <w:link w:val="875"/>
    <w:uiPriority w:val="99"/>
    <w:qFormat/>
    <w:pPr>
      <w:spacing w:after="120"/>
    </w:pPr>
    <w:rPr>
      <w:rFonts w:ascii="Calibri" w:hAnsi="Calibri"/>
    </w:rPr>
  </w:style>
  <w:style w:type="paragraph" w:styleId="855" w:customStyle="1">
    <w:name w:val="一级条标题"/>
    <w:basedOn w:val="856"/>
    <w:next w:val="8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customStyle="1">
    <w:name w:val="章标题"/>
    <w:basedOn w:val="857"/>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7" w:customStyle="1">
    <w:name w:val="正文112"/>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文本11"/>
    <w:basedOn w:val="859"/>
    <w:next w:val="855"/>
    <w:uiPriority w:val="0"/>
    <w:qFormat/>
    <w:pPr>
      <w:spacing w:after="120"/>
    </w:pPr>
  </w:style>
  <w:style w:type="paragraph" w:styleId="859" w:customStyle="1">
    <w:name w:val="正文12"/>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目录 111"/>
    <w:basedOn w:val="861"/>
    <w:next w:val="859"/>
    <w:uiPriority w:val="0"/>
    <w:qFormat/>
    <w:pPr>
      <w:jc w:val="left"/>
      <w:spacing w:after="100" w:line="259" w:lineRule="auto"/>
      <w:widowControl/>
    </w:pPr>
    <w:rPr>
      <w:rFonts w:ascii="Calibri" w:hAnsi="Calibri"/>
      <w:sz w:val="22"/>
      <w:szCs w:val="22"/>
    </w:rPr>
  </w:style>
  <w:style w:type="paragraph" w:styleId="861" w:customStyle="1">
    <w:name w:val="正文111"/>
    <w:next w:val="838"/>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62" w:customStyle="1">
    <w:name w:val="段"/>
    <w:basedOn w:val="863"/>
    <w:next w:val="784"/>
    <w:uiPriority w:val="0"/>
    <w:qFormat/>
    <w:pPr>
      <w:ind w:firstLine="200"/>
      <w:widowControl/>
    </w:pPr>
    <w:rPr>
      <w:sz w:val="20"/>
    </w:rPr>
  </w:style>
  <w:style w:type="paragraph" w:styleId="863" w:customStyle="1">
    <w:name w:val="正文13"/>
    <w:next w:val="8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customStyle="1">
    <w:name w:val="正文首行缩进1"/>
    <w:basedOn w:val="858"/>
    <w:next w:val="865"/>
    <w:uiPriority w:val="0"/>
    <w:qFormat/>
    <w:pPr>
      <w:ind w:firstLine="200"/>
    </w:pPr>
    <w:rPr>
      <w:rFonts w:ascii="仿宋_GB2312" w:eastAsia="仿宋_GB2312"/>
      <w:sz w:val="30"/>
      <w:szCs w:val="30"/>
    </w:rPr>
  </w:style>
  <w:style w:type="paragraph" w:styleId="865" w:customStyle="1">
    <w:name w:val="正文首行缩进 21"/>
    <w:basedOn w:val="866"/>
    <w:next w:val="861"/>
    <w:uiPriority w:val="0"/>
    <w:qFormat/>
    <w:pPr>
      <w:ind w:firstLine="420"/>
      <w:spacing w:line="360" w:lineRule="auto"/>
    </w:pPr>
    <w:rPr>
      <w:color w:val="000000"/>
      <w:sz w:val="20"/>
    </w:rPr>
  </w:style>
  <w:style w:type="paragraph" w:styleId="866" w:customStyle="1">
    <w:name w:val="正文文本缩进1"/>
    <w:basedOn w:val="867"/>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67" w:customStyle="1">
    <w:name w:val="正文11"/>
    <w:next w:val="868"/>
    <w:link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目录 11"/>
    <w:basedOn w:val="859"/>
    <w:next w:val="784"/>
    <w:uiPriority w:val="0"/>
    <w:qFormat/>
    <w:pPr>
      <w:jc w:val="left"/>
      <w:spacing w:before="120" w:after="120"/>
      <w:widowControl/>
    </w:pPr>
    <w:rPr>
      <w:rFonts w:ascii="Calibri" w:hAnsi="Calibri" w:cs="Calibri"/>
      <w:b/>
      <w:bCs/>
      <w:caps/>
      <w:sz w:val="20"/>
      <w:szCs w:val="20"/>
    </w:rPr>
  </w:style>
  <w:style w:type="paragraph" w:styleId="869" w:customStyle="1">
    <w:name w:val="正文1"/>
    <w:basedOn w:val="867"/>
    <w:next w:val="870"/>
    <w:uiPriority w:val="0"/>
    <w:qFormat/>
    <w:pPr>
      <w:jc w:val="left"/>
      <w:spacing w:line="360" w:lineRule="atLeast"/>
    </w:pPr>
    <w:rPr>
      <w:rFonts w:ascii="宋体" w:hAnsi="Calibri" w:eastAsia="宋体" w:cs="Times New Roman"/>
      <w:sz w:val="24"/>
      <w:szCs w:val="20"/>
    </w:rPr>
  </w:style>
  <w:style w:type="paragraph" w:styleId="870" w:customStyle="1">
    <w:name w:val="脚注文本1"/>
    <w:basedOn w:val="861"/>
    <w:next w:val="871"/>
    <w:uiPriority w:val="0"/>
    <w:qFormat/>
    <w:rPr>
      <w:rFonts w:eastAsia="Times New Roman"/>
      <w:sz w:val="18"/>
      <w:szCs w:val="18"/>
    </w:rPr>
  </w:style>
  <w:style w:type="paragraph" w:styleId="871" w:customStyle="1">
    <w:name w:val="索引 51"/>
    <w:basedOn w:val="869"/>
    <w:next w:val="869"/>
    <w:uiPriority w:val="0"/>
    <w:qFormat/>
    <w:pPr>
      <w:ind w:left="798"/>
    </w:pPr>
    <w:rPr>
      <w:rFonts w:ascii="Calibri" w:hAnsi="Calibri"/>
    </w:rPr>
  </w:style>
  <w:style w:type="paragraph" w:styleId="872" w:customStyle="1">
    <w:name w:val="正文文本12"/>
    <w:basedOn w:val="784"/>
    <w:next w:val="784"/>
    <w:uiPriority w:val="99"/>
    <w:qFormat/>
    <w:pPr>
      <w:spacing w:after="120"/>
    </w:pPr>
    <w:rPr>
      <w:rFonts w:ascii="Calibri" w:hAnsi="Calibri"/>
    </w:rPr>
  </w:style>
  <w:style w:type="paragraph" w:styleId="873" w:customStyle="1">
    <w:name w:val="正文首行缩进 211"/>
    <w:basedOn w:val="874"/>
    <w:next w:val="857"/>
    <w:uiPriority w:val="99"/>
    <w:qFormat/>
    <w:pPr>
      <w:ind w:left="0" w:firstLine="420"/>
      <w:spacing w:after="0" w:line="360" w:lineRule="auto"/>
    </w:pPr>
    <w:rPr>
      <w:rFonts w:ascii="宋体" w:hAnsi="宋体"/>
    </w:rPr>
  </w:style>
  <w:style w:type="paragraph" w:styleId="874" w:customStyle="1">
    <w:name w:val="正文文本缩进11"/>
    <w:basedOn w:val="857"/>
    <w:next w:val="857"/>
    <w:uiPriority w:val="0"/>
    <w:qFormat/>
    <w:pPr>
      <w:ind w:left="420"/>
      <w:spacing w:after="120"/>
    </w:pPr>
    <w:rPr>
      <w:rFonts w:ascii="Calibri" w:hAnsi="Calibri" w:eastAsia="等线" w:cs="Times New Roman"/>
    </w:rPr>
  </w:style>
  <w:style w:type="character" w:styleId="875" w:customStyle="1">
    <w:name w:val="正文文本 字符"/>
    <w:link w:val="854"/>
    <w:uiPriority w:val="99"/>
    <w:qFormat/>
    <w:rPr>
      <w:rFonts w:ascii="Calibri" w:hAnsi="Calibri" w:eastAsia="宋体" w:cs="Times New Roman"/>
      <w:sz w:val="21"/>
      <w:szCs w:val="24"/>
    </w:rPr>
  </w:style>
  <w:style w:type="character" w:styleId="876" w:customStyle="1">
    <w:name w:val="NormalCharacter1"/>
    <w:link w:val="867"/>
    <w:uiPriority w:val="0"/>
    <w:semiHidden/>
    <w:qFormat/>
    <w:rPr>
      <w:rFonts w:ascii="Times New Roman" w:hAnsi="Times New Roman" w:eastAsia="宋体" w:cs="Times New Roman"/>
      <w:sz w:val="21"/>
      <w:szCs w:val="24"/>
      <w:lang w:val="en-US" w:eastAsia="zh-CN" w:bidi="ar-SA"/>
    </w:rPr>
  </w:style>
  <w:style w:type="paragraph" w:styleId="877" w:customStyle="1">
    <w:name w:val="正文文本缩进12"/>
    <w:basedOn w:val="784"/>
    <w:uiPriority w:val="0"/>
    <w:qFormat/>
    <w:pPr>
      <w:ind w:left="420"/>
      <w:spacing w:after="120"/>
    </w:pPr>
    <w:rPr>
      <w:rFonts w:ascii="Calibri" w:hAnsi="Calibri"/>
    </w:rPr>
  </w:style>
  <w:style w:type="paragraph" w:styleId="878" w:customStyle="1">
    <w:name w:val="索引 41"/>
    <w:basedOn w:val="784"/>
    <w:next w:val="784"/>
    <w:uiPriority w:val="99"/>
    <w:qFormat/>
    <w:pPr>
      <w:ind w:left="600"/>
    </w:pPr>
    <w:rPr>
      <w:rFonts w:ascii="Calibri" w:hAnsi="Calibri"/>
    </w:rPr>
  </w:style>
  <w:style w:type="paragraph" w:styleId="879" w:customStyle="1">
    <w:name w:val="目录 51"/>
    <w:basedOn w:val="784"/>
    <w:next w:val="784"/>
    <w:uiPriority w:val="39"/>
    <w:unhideWhenUsed/>
    <w:qFormat/>
    <w:pPr>
      <w:ind w:left="1134"/>
      <w:spacing w:after="57"/>
    </w:pPr>
  </w:style>
  <w:style w:type="paragraph" w:styleId="880" w:customStyle="1">
    <w:name w:val="目录 31"/>
    <w:basedOn w:val="784"/>
    <w:next w:val="784"/>
    <w:uiPriority w:val="39"/>
    <w:unhideWhenUsed/>
    <w:qFormat/>
    <w:pPr>
      <w:ind w:left="567"/>
      <w:spacing w:after="57"/>
    </w:pPr>
  </w:style>
  <w:style w:type="paragraph" w:styleId="881" w:customStyle="1">
    <w:name w:val="纯文本12"/>
    <w:basedOn w:val="784"/>
    <w:link w:val="882"/>
    <w:uiPriority w:val="0"/>
    <w:qFormat/>
    <w:rPr>
      <w:rFonts w:ascii="宋体" w:hAnsi="Courier New"/>
      <w:sz w:val="20"/>
      <w:szCs w:val="20"/>
    </w:rPr>
  </w:style>
  <w:style w:type="character" w:styleId="882" w:customStyle="1">
    <w:name w:val="纯文本 字符"/>
    <w:link w:val="881"/>
    <w:uiPriority w:val="0"/>
    <w:qFormat/>
    <w:rPr>
      <w:rFonts w:ascii="宋体" w:hAnsi="Courier New"/>
      <w:sz w:val="20"/>
      <w:szCs w:val="20"/>
    </w:rPr>
  </w:style>
  <w:style w:type="paragraph" w:styleId="883" w:customStyle="1">
    <w:name w:val="目录 81"/>
    <w:basedOn w:val="784"/>
    <w:next w:val="784"/>
    <w:uiPriority w:val="39"/>
    <w:unhideWhenUsed/>
    <w:qFormat/>
    <w:pPr>
      <w:ind w:left="1984"/>
      <w:spacing w:after="57"/>
    </w:pPr>
  </w:style>
  <w:style w:type="paragraph" w:styleId="884" w:customStyle="1">
    <w:name w:val="日期1"/>
    <w:basedOn w:val="784"/>
    <w:next w:val="784"/>
    <w:uiPriority w:val="0"/>
    <w:qFormat/>
    <w:rPr>
      <w:rFonts w:eastAsia="仿宋_GB2312"/>
      <w:sz w:val="28"/>
      <w:szCs w:val="20"/>
    </w:rPr>
  </w:style>
  <w:style w:type="paragraph" w:styleId="885" w:customStyle="1">
    <w:name w:val="尾注文本1"/>
    <w:basedOn w:val="784"/>
    <w:link w:val="886"/>
    <w:uiPriority w:val="99"/>
    <w:unhideWhenUsed/>
    <w:qFormat/>
    <w:rPr>
      <w:sz w:val="20"/>
    </w:rPr>
  </w:style>
  <w:style w:type="character" w:styleId="886" w:customStyle="1">
    <w:name w:val="尾注文本 字符"/>
    <w:link w:val="885"/>
    <w:uiPriority w:val="99"/>
    <w:qFormat/>
    <w:rPr>
      <w:sz w:val="20"/>
    </w:rPr>
  </w:style>
  <w:style w:type="paragraph" w:styleId="887" w:customStyle="1">
    <w:name w:val="批注框文本1"/>
    <w:basedOn w:val="784"/>
    <w:link w:val="888"/>
    <w:uiPriority w:val="0"/>
    <w:qFormat/>
    <w:rPr>
      <w:sz w:val="18"/>
      <w:szCs w:val="18"/>
    </w:rPr>
  </w:style>
  <w:style w:type="character" w:styleId="888" w:customStyle="1">
    <w:name w:val="批注框文本 字符"/>
    <w:link w:val="887"/>
    <w:uiPriority w:val="0"/>
    <w:qFormat/>
    <w:rPr>
      <w:rFonts w:ascii="Times New Roman" w:hAnsi="Times New Roman" w:eastAsia="宋体" w:cs="Times New Roman"/>
      <w:sz w:val="18"/>
      <w:szCs w:val="18"/>
    </w:rPr>
  </w:style>
  <w:style w:type="paragraph" w:styleId="889" w:customStyle="1">
    <w:name w:val="页脚11"/>
    <w:basedOn w:val="784"/>
    <w:link w:val="890"/>
    <w:uiPriority w:val="99"/>
    <w:qFormat/>
    <w:pPr>
      <w:jc w:val="left"/>
      <w:tabs>
        <w:tab w:val="center" w:pos="4153" w:leader="none"/>
        <w:tab w:val="right" w:pos="8306" w:leader="none"/>
      </w:tabs>
    </w:pPr>
    <w:rPr>
      <w:sz w:val="18"/>
      <w:szCs w:val="18"/>
    </w:rPr>
  </w:style>
  <w:style w:type="character" w:styleId="890" w:customStyle="1">
    <w:name w:val="页脚 字符"/>
    <w:link w:val="889"/>
    <w:uiPriority w:val="99"/>
    <w:qFormat/>
    <w:rPr>
      <w:rFonts w:ascii="Times New Roman" w:hAnsi="Times New Roman" w:eastAsia="宋体" w:cs="Times New Roman"/>
      <w:sz w:val="18"/>
      <w:szCs w:val="18"/>
    </w:rPr>
  </w:style>
  <w:style w:type="paragraph" w:styleId="891" w:customStyle="1">
    <w:name w:val="页眉1"/>
    <w:basedOn w:val="784"/>
    <w:link w:val="892"/>
    <w:uiPriority w:val="99"/>
    <w:qFormat/>
    <w:pPr>
      <w:jc w:val="center"/>
      <w:tabs>
        <w:tab w:val="center" w:pos="4153" w:leader="none"/>
        <w:tab w:val="right" w:pos="8306" w:leader="none"/>
      </w:tabs>
      <w:pBdr>
        <w:bottom w:val="single" w:color="000000" w:sz="6" w:space="1"/>
      </w:pBdr>
    </w:pPr>
    <w:rPr>
      <w:sz w:val="18"/>
      <w:szCs w:val="18"/>
    </w:rPr>
  </w:style>
  <w:style w:type="character" w:styleId="892" w:customStyle="1">
    <w:name w:val="页眉 字符"/>
    <w:link w:val="891"/>
    <w:uiPriority w:val="99"/>
    <w:qFormat/>
    <w:rPr>
      <w:rFonts w:ascii="Times New Roman" w:hAnsi="Times New Roman" w:eastAsia="宋体" w:cs="Times New Roman"/>
      <w:sz w:val="18"/>
      <w:szCs w:val="18"/>
    </w:rPr>
  </w:style>
  <w:style w:type="paragraph" w:styleId="893" w:customStyle="1">
    <w:name w:val="目录 12"/>
    <w:basedOn w:val="784"/>
    <w:next w:val="784"/>
    <w:uiPriority w:val="39"/>
    <w:qFormat/>
  </w:style>
  <w:style w:type="paragraph" w:styleId="894" w:customStyle="1">
    <w:name w:val="目录 41"/>
    <w:basedOn w:val="784"/>
    <w:next w:val="784"/>
    <w:uiPriority w:val="39"/>
    <w:unhideWhenUsed/>
    <w:qFormat/>
    <w:pPr>
      <w:ind w:left="850"/>
      <w:spacing w:after="57"/>
    </w:pPr>
  </w:style>
  <w:style w:type="paragraph" w:styleId="895" w:customStyle="1">
    <w:name w:val="副标题1"/>
    <w:basedOn w:val="784"/>
    <w:next w:val="784"/>
    <w:link w:val="896"/>
    <w:uiPriority w:val="11"/>
    <w:qFormat/>
    <w:pPr>
      <w:spacing w:before="200" w:after="200"/>
    </w:pPr>
    <w:rPr>
      <w:sz w:val="24"/>
    </w:rPr>
  </w:style>
  <w:style w:type="character" w:styleId="896" w:customStyle="1">
    <w:name w:val="副标题 字符"/>
    <w:link w:val="895"/>
    <w:uiPriority w:val="11"/>
    <w:qFormat/>
    <w:rPr>
      <w:sz w:val="24"/>
      <w:szCs w:val="24"/>
    </w:rPr>
  </w:style>
  <w:style w:type="paragraph" w:styleId="897" w:customStyle="1">
    <w:name w:val="脚注文本2"/>
    <w:basedOn w:val="784"/>
    <w:next w:val="851"/>
    <w:uiPriority w:val="0"/>
    <w:qFormat/>
    <w:pPr>
      <w:jc w:val="left"/>
    </w:pPr>
    <w:rPr>
      <w:rFonts w:ascii="宋体" w:eastAsia="Times New Roman"/>
      <w:sz w:val="18"/>
      <w:szCs w:val="18"/>
    </w:rPr>
  </w:style>
  <w:style w:type="paragraph" w:styleId="898" w:customStyle="1">
    <w:name w:val="目录 61"/>
    <w:basedOn w:val="784"/>
    <w:next w:val="784"/>
    <w:uiPriority w:val="39"/>
    <w:unhideWhenUsed/>
    <w:qFormat/>
    <w:pPr>
      <w:ind w:left="1417"/>
      <w:spacing w:after="57"/>
    </w:pPr>
  </w:style>
  <w:style w:type="paragraph" w:styleId="899" w:customStyle="1">
    <w:name w:val="图表目录1"/>
    <w:basedOn w:val="784"/>
    <w:next w:val="784"/>
    <w:uiPriority w:val="99"/>
    <w:unhideWhenUsed/>
    <w:qFormat/>
  </w:style>
  <w:style w:type="paragraph" w:styleId="900" w:customStyle="1">
    <w:name w:val="目录 21"/>
    <w:basedOn w:val="784"/>
    <w:next w:val="784"/>
    <w:uiPriority w:val="39"/>
    <w:unhideWhenUsed/>
    <w:qFormat/>
    <w:pPr>
      <w:ind w:left="283"/>
      <w:spacing w:after="57"/>
    </w:pPr>
  </w:style>
  <w:style w:type="paragraph" w:styleId="901" w:customStyle="1">
    <w:name w:val="目录 91"/>
    <w:basedOn w:val="784"/>
    <w:next w:val="784"/>
    <w:uiPriority w:val="39"/>
    <w:unhideWhenUsed/>
    <w:qFormat/>
    <w:pPr>
      <w:ind w:left="2268"/>
      <w:spacing w:after="57"/>
    </w:pPr>
  </w:style>
  <w:style w:type="paragraph" w:styleId="902" w:customStyle="1">
    <w:name w:val="普通(网站)11"/>
    <w:basedOn w:val="784"/>
    <w:next w:val="784"/>
    <w:uiPriority w:val="0"/>
    <w:qFormat/>
    <w:pPr>
      <w:jc w:val="left"/>
      <w:spacing w:before="100" w:beforeAutospacing="1" w:after="100" w:afterAutospacing="1"/>
      <w:widowControl/>
    </w:pPr>
    <w:rPr>
      <w:rFonts w:ascii="宋体" w:hAnsi="宋体" w:cs="宋体"/>
      <w:sz w:val="24"/>
    </w:rPr>
  </w:style>
  <w:style w:type="paragraph" w:styleId="903" w:customStyle="1">
    <w:name w:val="标题1"/>
    <w:basedOn w:val="784"/>
    <w:next w:val="784"/>
    <w:link w:val="904"/>
    <w:uiPriority w:val="10"/>
    <w:qFormat/>
    <w:pPr>
      <w:contextualSpacing/>
      <w:spacing w:before="300" w:after="200"/>
    </w:pPr>
    <w:rPr>
      <w:sz w:val="48"/>
      <w:szCs w:val="48"/>
    </w:rPr>
  </w:style>
  <w:style w:type="character" w:styleId="904" w:customStyle="1">
    <w:name w:val="标题 字符"/>
    <w:link w:val="903"/>
    <w:uiPriority w:val="10"/>
    <w:qFormat/>
    <w:rPr>
      <w:sz w:val="48"/>
      <w:szCs w:val="48"/>
    </w:rPr>
  </w:style>
  <w:style w:type="paragraph" w:styleId="905" w:customStyle="1">
    <w:name w:val="批注主题1"/>
    <w:basedOn w:val="852"/>
    <w:next w:val="852"/>
    <w:link w:val="906"/>
    <w:uiPriority w:val="0"/>
    <w:unhideWhenUsed/>
    <w:qFormat/>
    <w:rPr>
      <w:b/>
      <w:bCs/>
    </w:rPr>
  </w:style>
  <w:style w:type="character" w:styleId="906" w:customStyle="1">
    <w:name w:val="批注主题 字符"/>
    <w:link w:val="905"/>
    <w:uiPriority w:val="0"/>
    <w:semiHidden/>
    <w:qFormat/>
    <w:rPr>
      <w:rFonts w:ascii="Times New Roman" w:hAnsi="Times New Roman" w:eastAsia="宋体" w:cs="Times New Roman"/>
      <w:b/>
      <w:bCs/>
      <w:sz w:val="21"/>
      <w:szCs w:val="24"/>
    </w:rPr>
  </w:style>
  <w:style w:type="paragraph" w:styleId="907" w:customStyle="1">
    <w:name w:val="正文首行缩进2"/>
    <w:basedOn w:val="854"/>
    <w:next w:val="865"/>
    <w:uiPriority w:val="0"/>
    <w:qFormat/>
    <w:pPr>
      <w:ind w:firstLine="420"/>
    </w:pPr>
  </w:style>
  <w:style w:type="table" w:styleId="908" w:customStyle="1">
    <w:name w:val="网格型1"/>
    <w:basedOn w:val="837"/>
    <w:uiPriority w:val="39"/>
    <w:qFormat/>
    <w:tblPr/>
  </w:style>
  <w:style w:type="character" w:styleId="909" w:customStyle="1">
    <w:name w:val="要点1"/>
    <w:link w:val="784"/>
    <w:uiPriority w:val="22"/>
    <w:qFormat/>
    <w:rPr>
      <w:b/>
      <w:vanish/>
    </w:rPr>
  </w:style>
  <w:style w:type="character" w:styleId="910" w:customStyle="1">
    <w:name w:val="尾注引用1"/>
    <w:link w:val="784"/>
    <w:uiPriority w:val="99"/>
    <w:unhideWhenUsed/>
    <w:qFormat/>
    <w:rPr>
      <w:vertAlign w:val="superscript"/>
    </w:rPr>
  </w:style>
  <w:style w:type="character" w:styleId="911" w:customStyle="1">
    <w:name w:val="页码1"/>
    <w:link w:val="784"/>
    <w:uiPriority w:val="0"/>
    <w:qFormat/>
  </w:style>
  <w:style w:type="character" w:styleId="912" w:customStyle="1">
    <w:name w:val="已访问的超链接1"/>
    <w:link w:val="784"/>
    <w:uiPriority w:val="99"/>
    <w:unhideWhenUsed/>
    <w:qFormat/>
    <w:rPr>
      <w:color w:val="800080"/>
      <w:u w:val="none"/>
    </w:rPr>
  </w:style>
  <w:style w:type="character" w:styleId="913" w:customStyle="1">
    <w:name w:val="强调1"/>
    <w:link w:val="784"/>
    <w:uiPriority w:val="20"/>
    <w:qFormat/>
    <w:rPr>
      <w:b/>
    </w:rPr>
  </w:style>
  <w:style w:type="character" w:styleId="914" w:customStyle="1">
    <w:name w:val="HTML 定义1"/>
    <w:link w:val="784"/>
    <w:uiPriority w:val="99"/>
    <w:unhideWhenUsed/>
    <w:qFormat/>
  </w:style>
  <w:style w:type="character" w:styleId="915" w:customStyle="1">
    <w:name w:val="HTML 打字机1"/>
    <w:link w:val="784"/>
    <w:uiPriority w:val="99"/>
    <w:unhideWhenUsed/>
    <w:qFormat/>
    <w:rPr>
      <w:rFonts w:ascii="monospace" w:hAnsi="monospace" w:eastAsia="monospace" w:cs="monospace"/>
      <w:sz w:val="20"/>
    </w:rPr>
  </w:style>
  <w:style w:type="character" w:styleId="916" w:customStyle="1">
    <w:name w:val="HTML 缩写1"/>
    <w:link w:val="784"/>
    <w:uiPriority w:val="99"/>
    <w:unhideWhenUsed/>
    <w:qFormat/>
  </w:style>
  <w:style w:type="character" w:styleId="917" w:customStyle="1">
    <w:name w:val="HTML 变量1"/>
    <w:link w:val="784"/>
    <w:uiPriority w:val="99"/>
    <w:unhideWhenUsed/>
    <w:qFormat/>
  </w:style>
  <w:style w:type="character" w:styleId="918" w:customStyle="1">
    <w:name w:val="超链接1"/>
    <w:link w:val="784"/>
    <w:uiPriority w:val="99"/>
    <w:unhideWhenUsed/>
    <w:qFormat/>
    <w:rPr>
      <w:color w:val="0000ff"/>
      <w:u w:val="none"/>
    </w:rPr>
  </w:style>
  <w:style w:type="character" w:styleId="919" w:customStyle="1">
    <w:name w:val="HTML 代码1"/>
    <w:link w:val="784"/>
    <w:uiPriority w:val="99"/>
    <w:unhideWhenUsed/>
    <w:qFormat/>
    <w:rPr>
      <w:rFonts w:ascii="monospace" w:hAnsi="monospace" w:eastAsia="monospace" w:cs="monospace"/>
      <w:sz w:val="20"/>
    </w:rPr>
  </w:style>
  <w:style w:type="character" w:styleId="920" w:customStyle="1">
    <w:name w:val="批注引用1"/>
    <w:link w:val="784"/>
    <w:uiPriority w:val="0"/>
    <w:unhideWhenUsed/>
    <w:qFormat/>
    <w:rPr>
      <w:sz w:val="21"/>
      <w:szCs w:val="21"/>
    </w:rPr>
  </w:style>
  <w:style w:type="character" w:styleId="921" w:customStyle="1">
    <w:name w:val="HTML 引文1"/>
    <w:link w:val="784"/>
    <w:uiPriority w:val="99"/>
    <w:unhideWhenUsed/>
    <w:qFormat/>
  </w:style>
  <w:style w:type="character" w:styleId="922" w:customStyle="1">
    <w:name w:val="脚注引用1"/>
    <w:link w:val="784"/>
    <w:uiPriority w:val="99"/>
    <w:unhideWhenUsed/>
    <w:qFormat/>
    <w:rPr>
      <w:vertAlign w:val="superscript"/>
    </w:rPr>
  </w:style>
  <w:style w:type="character" w:styleId="923" w:customStyle="1">
    <w:name w:val="HTML 键盘1"/>
    <w:link w:val="784"/>
    <w:uiPriority w:val="99"/>
    <w:unhideWhenUsed/>
    <w:qFormat/>
    <w:rPr>
      <w:rFonts w:ascii="monospace" w:hAnsi="monospace" w:eastAsia="monospace" w:cs="monospace"/>
      <w:sz w:val="20"/>
    </w:rPr>
  </w:style>
  <w:style w:type="character" w:styleId="924" w:customStyle="1">
    <w:name w:val="HTML 样本1"/>
    <w:link w:val="784"/>
    <w:uiPriority w:val="99"/>
    <w:unhideWhenUsed/>
    <w:qFormat/>
    <w:rPr>
      <w:rFonts w:ascii="monospace" w:hAnsi="monospace" w:eastAsia="monospace" w:cs="monospace"/>
    </w:rPr>
  </w:style>
  <w:style w:type="paragraph" w:styleId="925" w:customStyle="1">
    <w:name w:val="正文文本1"/>
    <w:basedOn w:val="869"/>
    <w:next w:val="869"/>
    <w:uiPriority w:val="0"/>
    <w:qFormat/>
    <w:pPr>
      <w:spacing w:after="120"/>
    </w:pPr>
    <w:rPr>
      <w:lang w:eastAsia="en-US"/>
    </w:rPr>
  </w:style>
  <w:style w:type="paragraph" w:styleId="926" w:customStyle="1">
    <w:name w:val="列表段落1"/>
    <w:basedOn w:val="869"/>
    <w:next w:val="784"/>
    <w:uiPriority w:val="99"/>
    <w:qFormat/>
    <w:pPr>
      <w:ind w:firstLine="420"/>
    </w:pPr>
  </w:style>
  <w:style w:type="paragraph" w:styleId="927" w:customStyle="1">
    <w:name w:val="标题 21"/>
    <w:basedOn w:val="861"/>
    <w:next w:val="859"/>
    <w:uiPriority w:val="0"/>
    <w:qFormat/>
    <w:pPr>
      <w:jc w:val="left"/>
      <w:keepLines/>
      <w:keepNext/>
      <w:spacing w:before="50"/>
      <w:tabs>
        <w:tab w:val="left" w:pos="0" w:leader="none"/>
      </w:tabs>
    </w:pPr>
    <w:rPr>
      <w:rFonts w:ascii="Arial" w:hAnsi="Arial" w:eastAsia="黑体"/>
      <w:sz w:val="32"/>
      <w:szCs w:val="20"/>
    </w:rPr>
  </w:style>
  <w:style w:type="paragraph" w:styleId="928" w:customStyle="1">
    <w:name w:val="文本块11"/>
    <w:basedOn w:val="859"/>
    <w:uiPriority w:val="6"/>
    <w:unhideWhenUsed/>
    <w:qFormat/>
    <w:pPr>
      <w:ind w:left="1440" w:right="1440"/>
      <w:spacing w:after="120"/>
    </w:pPr>
  </w:style>
  <w:style w:type="character" w:styleId="929" w:customStyle="1">
    <w:name w:val="wyg1"/>
    <w:link w:val="784"/>
    <w:uiPriority w:val="6"/>
    <w:qFormat/>
    <w:rPr>
      <w:rFonts w:ascii="Times New Roman" w:hAnsi="Times New Roman" w:eastAsia="宋体" w:cs="Times New Roman"/>
      <w:sz w:val="21"/>
      <w:szCs w:val="24"/>
      <w:lang w:val="en-US" w:eastAsia="zh-CN" w:bidi="ar-SA"/>
    </w:rPr>
  </w:style>
  <w:style w:type="paragraph" w:styleId="930" w:customStyle="1">
    <w:name w:val="正文缩进1"/>
    <w:basedOn w:val="784"/>
    <w:uiPriority w:val="0"/>
    <w:qFormat/>
    <w:pPr>
      <w:ind w:firstLine="420"/>
    </w:pPr>
  </w:style>
  <w:style w:type="character" w:styleId="931" w:customStyle="1">
    <w:name w:val="Heading 4 Char"/>
    <w:link w:val="784"/>
    <w:uiPriority w:val="9"/>
    <w:qFormat/>
    <w:rPr>
      <w:rFonts w:ascii="Arial" w:hAnsi="Arial" w:eastAsia="Arial" w:cs="Arial"/>
      <w:b/>
      <w:bCs/>
      <w:sz w:val="26"/>
      <w:szCs w:val="26"/>
    </w:rPr>
  </w:style>
  <w:style w:type="character" w:styleId="932" w:customStyle="1">
    <w:name w:val="Heading 5 Char"/>
    <w:link w:val="784"/>
    <w:uiPriority w:val="9"/>
    <w:qFormat/>
    <w:rPr>
      <w:rFonts w:ascii="Arial" w:hAnsi="Arial" w:eastAsia="Arial" w:cs="Arial"/>
      <w:b/>
      <w:bCs/>
      <w:sz w:val="24"/>
      <w:szCs w:val="24"/>
    </w:rPr>
  </w:style>
  <w:style w:type="character" w:styleId="933" w:customStyle="1">
    <w:name w:val="Heading 6 Char"/>
    <w:link w:val="784"/>
    <w:uiPriority w:val="9"/>
    <w:qFormat/>
    <w:rPr>
      <w:rFonts w:ascii="Arial" w:hAnsi="Arial" w:eastAsia="Arial" w:cs="Arial"/>
      <w:b/>
      <w:bCs/>
      <w:sz w:val="22"/>
      <w:szCs w:val="22"/>
    </w:rPr>
  </w:style>
  <w:style w:type="character" w:styleId="934" w:customStyle="1">
    <w:name w:val="Heading 7 Char"/>
    <w:link w:val="784"/>
    <w:uiPriority w:val="9"/>
    <w:qFormat/>
    <w:rPr>
      <w:rFonts w:ascii="Arial" w:hAnsi="Arial" w:eastAsia="Arial" w:cs="Arial"/>
      <w:b/>
      <w:bCs/>
      <w:i/>
      <w:iCs/>
      <w:sz w:val="22"/>
      <w:szCs w:val="22"/>
    </w:rPr>
  </w:style>
  <w:style w:type="character" w:styleId="935" w:customStyle="1">
    <w:name w:val="Heading 8 Char"/>
    <w:link w:val="784"/>
    <w:uiPriority w:val="9"/>
    <w:qFormat/>
    <w:rPr>
      <w:rFonts w:ascii="Arial" w:hAnsi="Arial" w:eastAsia="Arial" w:cs="Arial"/>
      <w:i/>
      <w:iCs/>
      <w:sz w:val="22"/>
      <w:szCs w:val="22"/>
    </w:rPr>
  </w:style>
  <w:style w:type="character" w:styleId="936" w:customStyle="1">
    <w:name w:val="Heading 9 Char"/>
    <w:link w:val="784"/>
    <w:uiPriority w:val="9"/>
    <w:qFormat/>
    <w:rPr>
      <w:rFonts w:ascii="Arial" w:hAnsi="Arial" w:eastAsia="Arial" w:cs="Arial"/>
      <w:i/>
      <w:iCs/>
      <w:sz w:val="21"/>
      <w:szCs w:val="21"/>
    </w:rPr>
  </w:style>
  <w:style w:type="character" w:styleId="937" w:customStyle="1">
    <w:name w:val="Title Char"/>
    <w:link w:val="784"/>
    <w:uiPriority w:val="10"/>
    <w:qFormat/>
    <w:rPr>
      <w:sz w:val="48"/>
      <w:szCs w:val="48"/>
    </w:rPr>
  </w:style>
  <w:style w:type="character" w:styleId="938" w:customStyle="1">
    <w:name w:val="Subtitle Char"/>
    <w:link w:val="784"/>
    <w:uiPriority w:val="11"/>
    <w:qFormat/>
    <w:rPr>
      <w:sz w:val="24"/>
      <w:szCs w:val="24"/>
    </w:rPr>
  </w:style>
  <w:style w:type="character" w:styleId="939" w:customStyle="1">
    <w:name w:val="Quote Char"/>
    <w:link w:val="784"/>
    <w:uiPriority w:val="29"/>
    <w:qFormat/>
    <w:rPr>
      <w:i/>
    </w:rPr>
  </w:style>
  <w:style w:type="character" w:styleId="940" w:customStyle="1">
    <w:name w:val="Intense Quote Char"/>
    <w:link w:val="784"/>
    <w:uiPriority w:val="30"/>
    <w:qFormat/>
    <w:rPr>
      <w:i/>
    </w:rPr>
  </w:style>
  <w:style w:type="character" w:styleId="941" w:customStyle="1">
    <w:name w:val="Endnote Text Char"/>
    <w:link w:val="784"/>
    <w:uiPriority w:val="99"/>
    <w:qFormat/>
    <w:rPr>
      <w:sz w:val="20"/>
    </w:rPr>
  </w:style>
  <w:style w:type="paragraph" w:styleId="942" w:customStyle="1">
    <w:name w:val="TOC Heading"/>
    <w:uiPriority w:val="39"/>
    <w:unhideWhenUsed/>
    <w:qFormat/>
    <w:rPr>
      <w:rFonts w:hint="default" w:ascii="Times New Roman" w:hAnsi="Times New Roman" w:eastAsia="宋体" w:cs="Times New Roman"/>
      <w:lang w:val="en-US" w:eastAsia="zh-CN" w:bidi="ar-SA"/>
    </w:rPr>
  </w:style>
  <w:style w:type="character" w:styleId="943" w:customStyle="1">
    <w:name w:val="Heading 1 Char"/>
    <w:link w:val="784"/>
    <w:uiPriority w:val="9"/>
    <w:qFormat/>
    <w:rPr>
      <w:rFonts w:ascii="Arial" w:hAnsi="Arial" w:eastAsia="Arial" w:cs="Arial"/>
      <w:sz w:val="40"/>
      <w:szCs w:val="40"/>
    </w:rPr>
  </w:style>
  <w:style w:type="character" w:styleId="944" w:customStyle="1">
    <w:name w:val="Heading 2 Char"/>
    <w:link w:val="784"/>
    <w:uiPriority w:val="9"/>
    <w:qFormat/>
    <w:rPr>
      <w:rFonts w:ascii="Arial" w:hAnsi="Arial" w:eastAsia="Arial" w:cs="Arial"/>
      <w:sz w:val="34"/>
    </w:rPr>
  </w:style>
  <w:style w:type="character" w:styleId="945" w:customStyle="1">
    <w:name w:val="Heading 3 Char"/>
    <w:link w:val="784"/>
    <w:uiPriority w:val="9"/>
    <w:qFormat/>
    <w:rPr>
      <w:rFonts w:ascii="Arial" w:hAnsi="Arial" w:eastAsia="Arial" w:cs="Arial"/>
      <w:sz w:val="30"/>
      <w:szCs w:val="30"/>
    </w:rPr>
  </w:style>
  <w:style w:type="paragraph" w:styleId="946" w:customStyle="1">
    <w:name w:val="无间隔"/>
    <w:uiPriority w:val="1"/>
    <w:qFormat/>
    <w:rPr>
      <w:rFonts w:hint="default" w:ascii="Times New Roman" w:hAnsi="Times New Roman" w:eastAsia="宋体" w:cs="Times New Roman"/>
      <w:lang w:val="en-US" w:eastAsia="zh-CN" w:bidi="ar-SA"/>
    </w:rPr>
  </w:style>
  <w:style w:type="paragraph" w:styleId="947" w:customStyle="1">
    <w:name w:val="引用"/>
    <w:basedOn w:val="784"/>
    <w:next w:val="784"/>
    <w:link w:val="948"/>
    <w:uiPriority w:val="29"/>
    <w:qFormat/>
    <w:pPr>
      <w:ind w:left="720" w:right="720"/>
    </w:pPr>
    <w:rPr>
      <w:i/>
    </w:rPr>
  </w:style>
  <w:style w:type="character" w:styleId="948" w:customStyle="1">
    <w:name w:val="引用 字符"/>
    <w:link w:val="947"/>
    <w:uiPriority w:val="29"/>
    <w:qFormat/>
    <w:rPr>
      <w:i/>
    </w:rPr>
  </w:style>
  <w:style w:type="paragraph" w:styleId="949" w:customStyle="1">
    <w:name w:val="明显引用"/>
    <w:basedOn w:val="784"/>
    <w:next w:val="784"/>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link w:val="784"/>
    <w:uiPriority w:val="99"/>
    <w:qFormat/>
  </w:style>
  <w:style w:type="character" w:styleId="952" w:customStyle="1">
    <w:name w:val="Footer Char"/>
    <w:link w:val="784"/>
    <w:uiPriority w:val="99"/>
    <w:qFormat/>
  </w:style>
  <w:style w:type="character" w:styleId="953" w:customStyle="1">
    <w:name w:val="Caption Char"/>
    <w:link w:val="784"/>
    <w:uiPriority w:val="99"/>
    <w:qFormat/>
  </w:style>
  <w:style w:type="table" w:styleId="954" w:customStyle="1">
    <w:name w:val="Table Grid Light"/>
    <w:basedOn w:val="837"/>
    <w:uiPriority w:val="59"/>
    <w:qFormat/>
    <w:tblPr/>
  </w:style>
  <w:style w:type="table" w:styleId="955" w:customStyle="1">
    <w:name w:val="Plain Table 1"/>
    <w:basedOn w:val="837"/>
    <w:uiPriority w:val="59"/>
    <w:qFormat/>
    <w:tblPr/>
  </w:style>
  <w:style w:type="table" w:styleId="956" w:customStyle="1">
    <w:name w:val="Plain Table 2"/>
    <w:basedOn w:val="837"/>
    <w:uiPriority w:val="59"/>
    <w:qFormat/>
    <w:tblPr/>
  </w:style>
  <w:style w:type="table" w:styleId="957" w:customStyle="1">
    <w:name w:val="Plain Table 3"/>
    <w:basedOn w:val="837"/>
    <w:uiPriority w:val="99"/>
    <w:qFormat/>
    <w:tblPr/>
  </w:style>
  <w:style w:type="table" w:styleId="958" w:customStyle="1">
    <w:name w:val="Plain Table 4"/>
    <w:basedOn w:val="837"/>
    <w:uiPriority w:val="99"/>
    <w:qFormat/>
    <w:tblPr/>
  </w:style>
  <w:style w:type="table" w:styleId="959" w:customStyle="1">
    <w:name w:val="Plain Table 5"/>
    <w:basedOn w:val="837"/>
    <w:uiPriority w:val="99"/>
    <w:qFormat/>
    <w:tblPr/>
  </w:style>
  <w:style w:type="table" w:styleId="960" w:customStyle="1">
    <w:name w:val="Grid Table 1 Light"/>
    <w:basedOn w:val="837"/>
    <w:uiPriority w:val="99"/>
    <w:qFormat/>
    <w:tblPr/>
  </w:style>
  <w:style w:type="table" w:styleId="961" w:customStyle="1">
    <w:name w:val="Grid Table 1 Light - Accent 1"/>
    <w:basedOn w:val="837"/>
    <w:uiPriority w:val="99"/>
    <w:qFormat/>
    <w:tblPr/>
  </w:style>
  <w:style w:type="table" w:styleId="962" w:customStyle="1">
    <w:name w:val="Grid Table 1 Light - Accent 2"/>
    <w:basedOn w:val="837"/>
    <w:uiPriority w:val="99"/>
    <w:qFormat/>
    <w:tblPr/>
  </w:style>
  <w:style w:type="table" w:styleId="963" w:customStyle="1">
    <w:name w:val="Grid Table 1 Light - Accent 3"/>
    <w:basedOn w:val="837"/>
    <w:uiPriority w:val="99"/>
    <w:qFormat/>
    <w:tblPr/>
  </w:style>
  <w:style w:type="table" w:styleId="964" w:customStyle="1">
    <w:name w:val="Grid Table 1 Light - Accent 4"/>
    <w:basedOn w:val="837"/>
    <w:uiPriority w:val="99"/>
    <w:qFormat/>
    <w:tblPr/>
  </w:style>
  <w:style w:type="table" w:styleId="965" w:customStyle="1">
    <w:name w:val="Grid Table 1 Light - Accent 5"/>
    <w:basedOn w:val="837"/>
    <w:uiPriority w:val="99"/>
    <w:qFormat/>
    <w:tblPr/>
  </w:style>
  <w:style w:type="table" w:styleId="966" w:customStyle="1">
    <w:name w:val="Grid Table 1 Light - Accent 6"/>
    <w:basedOn w:val="837"/>
    <w:uiPriority w:val="99"/>
    <w:qFormat/>
    <w:tblPr/>
  </w:style>
  <w:style w:type="table" w:styleId="967" w:customStyle="1">
    <w:name w:val="Grid Table 2"/>
    <w:basedOn w:val="837"/>
    <w:uiPriority w:val="99"/>
    <w:qFormat/>
    <w:tblPr/>
  </w:style>
  <w:style w:type="table" w:styleId="968" w:customStyle="1">
    <w:name w:val="Grid Table 2 - Accent 1"/>
    <w:basedOn w:val="837"/>
    <w:uiPriority w:val="99"/>
    <w:qFormat/>
    <w:tblPr/>
  </w:style>
  <w:style w:type="table" w:styleId="969" w:customStyle="1">
    <w:name w:val="Grid Table 2 - Accent 2"/>
    <w:basedOn w:val="837"/>
    <w:uiPriority w:val="99"/>
    <w:qFormat/>
    <w:tblPr/>
  </w:style>
  <w:style w:type="table" w:styleId="970" w:customStyle="1">
    <w:name w:val="Grid Table 2 - Accent 3"/>
    <w:basedOn w:val="837"/>
    <w:uiPriority w:val="99"/>
    <w:qFormat/>
    <w:tblPr/>
  </w:style>
  <w:style w:type="table" w:styleId="971" w:customStyle="1">
    <w:name w:val="Grid Table 2 - Accent 4"/>
    <w:basedOn w:val="837"/>
    <w:uiPriority w:val="99"/>
    <w:qFormat/>
    <w:tblPr/>
  </w:style>
  <w:style w:type="table" w:styleId="972" w:customStyle="1">
    <w:name w:val="Grid Table 2 - Accent 5"/>
    <w:basedOn w:val="837"/>
    <w:uiPriority w:val="99"/>
    <w:qFormat/>
    <w:tblPr/>
  </w:style>
  <w:style w:type="table" w:styleId="973" w:customStyle="1">
    <w:name w:val="Grid Table 2 - Accent 6"/>
    <w:basedOn w:val="837"/>
    <w:uiPriority w:val="99"/>
    <w:qFormat/>
    <w:tblPr/>
  </w:style>
  <w:style w:type="table" w:styleId="974" w:customStyle="1">
    <w:name w:val="Grid Table 3"/>
    <w:basedOn w:val="837"/>
    <w:uiPriority w:val="99"/>
    <w:qFormat/>
    <w:tblPr/>
  </w:style>
  <w:style w:type="table" w:styleId="975" w:customStyle="1">
    <w:name w:val="Grid Table 3 - Accent 1"/>
    <w:basedOn w:val="837"/>
    <w:uiPriority w:val="99"/>
    <w:qFormat/>
    <w:tblPr/>
  </w:style>
  <w:style w:type="table" w:styleId="976" w:customStyle="1">
    <w:name w:val="Grid Table 3 - Accent 2"/>
    <w:basedOn w:val="837"/>
    <w:uiPriority w:val="99"/>
    <w:qFormat/>
    <w:tblPr/>
  </w:style>
  <w:style w:type="table" w:styleId="977" w:customStyle="1">
    <w:name w:val="Grid Table 3 - Accent 3"/>
    <w:basedOn w:val="837"/>
    <w:uiPriority w:val="99"/>
    <w:qFormat/>
    <w:tblPr/>
  </w:style>
  <w:style w:type="table" w:styleId="978" w:customStyle="1">
    <w:name w:val="Grid Table 3 - Accent 4"/>
    <w:basedOn w:val="837"/>
    <w:uiPriority w:val="99"/>
    <w:qFormat/>
    <w:tblPr/>
  </w:style>
  <w:style w:type="table" w:styleId="979" w:customStyle="1">
    <w:name w:val="Grid Table 3 - Accent 5"/>
    <w:basedOn w:val="837"/>
    <w:uiPriority w:val="99"/>
    <w:qFormat/>
    <w:tblPr/>
  </w:style>
  <w:style w:type="table" w:styleId="980" w:customStyle="1">
    <w:name w:val="Grid Table 3 - Accent 6"/>
    <w:basedOn w:val="837"/>
    <w:uiPriority w:val="99"/>
    <w:qFormat/>
    <w:tblPr/>
  </w:style>
  <w:style w:type="table" w:styleId="981" w:customStyle="1">
    <w:name w:val="Grid Table 4"/>
    <w:basedOn w:val="837"/>
    <w:uiPriority w:val="59"/>
    <w:qFormat/>
    <w:tblPr/>
  </w:style>
  <w:style w:type="table" w:styleId="982" w:customStyle="1">
    <w:name w:val="Grid Table 4 - Accent 1"/>
    <w:basedOn w:val="837"/>
    <w:uiPriority w:val="59"/>
    <w:qFormat/>
    <w:tblPr/>
  </w:style>
  <w:style w:type="table" w:styleId="983" w:customStyle="1">
    <w:name w:val="Grid Table 4 - Accent 2"/>
    <w:basedOn w:val="837"/>
    <w:uiPriority w:val="59"/>
    <w:qFormat/>
    <w:tblPr/>
  </w:style>
  <w:style w:type="table" w:styleId="984" w:customStyle="1">
    <w:name w:val="Grid Table 4 - Accent 3"/>
    <w:basedOn w:val="837"/>
    <w:uiPriority w:val="59"/>
    <w:qFormat/>
    <w:tblPr/>
  </w:style>
  <w:style w:type="table" w:styleId="985" w:customStyle="1">
    <w:name w:val="Grid Table 4 - Accent 4"/>
    <w:basedOn w:val="837"/>
    <w:uiPriority w:val="59"/>
    <w:qFormat/>
    <w:tblPr/>
  </w:style>
  <w:style w:type="table" w:styleId="986" w:customStyle="1">
    <w:name w:val="Grid Table 4 - Accent 5"/>
    <w:basedOn w:val="837"/>
    <w:uiPriority w:val="59"/>
    <w:qFormat/>
    <w:tblPr/>
  </w:style>
  <w:style w:type="table" w:styleId="987" w:customStyle="1">
    <w:name w:val="Grid Table 4 - Accent 6"/>
    <w:basedOn w:val="837"/>
    <w:uiPriority w:val="59"/>
    <w:qFormat/>
    <w:tblPr/>
  </w:style>
  <w:style w:type="table" w:styleId="988" w:customStyle="1">
    <w:name w:val="Grid Table 5 Dark"/>
    <w:basedOn w:val="837"/>
    <w:uiPriority w:val="99"/>
    <w:qFormat/>
    <w:tblPr/>
  </w:style>
  <w:style w:type="table" w:styleId="989" w:customStyle="1">
    <w:name w:val="Grid Table 5 Dark- Accent 1"/>
    <w:basedOn w:val="837"/>
    <w:uiPriority w:val="99"/>
    <w:qFormat/>
    <w:tblPr/>
  </w:style>
  <w:style w:type="table" w:styleId="990" w:customStyle="1">
    <w:name w:val="Grid Table 5 Dark - Accent 2"/>
    <w:basedOn w:val="837"/>
    <w:uiPriority w:val="99"/>
    <w:qFormat/>
    <w:tblPr/>
  </w:style>
  <w:style w:type="table" w:styleId="991" w:customStyle="1">
    <w:name w:val="Grid Table 5 Dark - Accent 3"/>
    <w:basedOn w:val="837"/>
    <w:uiPriority w:val="99"/>
    <w:qFormat/>
    <w:tblPr/>
  </w:style>
  <w:style w:type="table" w:styleId="992" w:customStyle="1">
    <w:name w:val="Grid Table 5 Dark- Accent 4"/>
    <w:basedOn w:val="837"/>
    <w:uiPriority w:val="99"/>
    <w:qFormat/>
    <w:tblPr/>
  </w:style>
  <w:style w:type="table" w:styleId="993" w:customStyle="1">
    <w:name w:val="Grid Table 5 Dark - Accent 5"/>
    <w:basedOn w:val="837"/>
    <w:uiPriority w:val="99"/>
    <w:qFormat/>
    <w:tblPr/>
  </w:style>
  <w:style w:type="table" w:styleId="994" w:customStyle="1">
    <w:name w:val="Grid Table 5 Dark - Accent 6"/>
    <w:basedOn w:val="837"/>
    <w:uiPriority w:val="99"/>
    <w:qFormat/>
    <w:tblPr/>
  </w:style>
  <w:style w:type="table" w:styleId="995" w:customStyle="1">
    <w:name w:val="Grid Table 6 Colorful"/>
    <w:basedOn w:val="837"/>
    <w:uiPriority w:val="99"/>
    <w:qFormat/>
    <w:tblPr/>
  </w:style>
  <w:style w:type="table" w:styleId="996" w:customStyle="1">
    <w:name w:val="Grid Table 6 Colorful - Accent 1"/>
    <w:basedOn w:val="837"/>
    <w:uiPriority w:val="99"/>
    <w:qFormat/>
    <w:tblPr/>
  </w:style>
  <w:style w:type="table" w:styleId="997" w:customStyle="1">
    <w:name w:val="Grid Table 6 Colorful - Accent 2"/>
    <w:basedOn w:val="837"/>
    <w:uiPriority w:val="99"/>
    <w:qFormat/>
    <w:tblPr/>
  </w:style>
  <w:style w:type="table" w:styleId="998" w:customStyle="1">
    <w:name w:val="Grid Table 6 Colorful - Accent 3"/>
    <w:basedOn w:val="837"/>
    <w:uiPriority w:val="99"/>
    <w:qFormat/>
    <w:tblPr/>
  </w:style>
  <w:style w:type="table" w:styleId="999" w:customStyle="1">
    <w:name w:val="Grid Table 6 Colorful - Accent 4"/>
    <w:basedOn w:val="837"/>
    <w:uiPriority w:val="99"/>
    <w:qFormat/>
    <w:tblPr/>
  </w:style>
  <w:style w:type="table" w:styleId="1000" w:customStyle="1">
    <w:name w:val="Grid Table 6 Colorful - Accent 5"/>
    <w:basedOn w:val="837"/>
    <w:uiPriority w:val="99"/>
    <w:qFormat/>
    <w:tblPr/>
  </w:style>
  <w:style w:type="table" w:styleId="1001" w:customStyle="1">
    <w:name w:val="Grid Table 6 Colorful - Accent 6"/>
    <w:basedOn w:val="837"/>
    <w:uiPriority w:val="99"/>
    <w:qFormat/>
    <w:tblPr/>
  </w:style>
  <w:style w:type="table" w:styleId="1002" w:customStyle="1">
    <w:name w:val="Grid Table 7 Colorful"/>
    <w:basedOn w:val="837"/>
    <w:uiPriority w:val="99"/>
    <w:qFormat/>
    <w:tblPr/>
  </w:style>
  <w:style w:type="table" w:styleId="1003" w:customStyle="1">
    <w:name w:val="Grid Table 7 Colorful - Accent 1"/>
    <w:basedOn w:val="837"/>
    <w:uiPriority w:val="99"/>
    <w:qFormat/>
    <w:tblPr/>
  </w:style>
  <w:style w:type="table" w:styleId="1004" w:customStyle="1">
    <w:name w:val="Grid Table 7 Colorful - Accent 2"/>
    <w:basedOn w:val="837"/>
    <w:uiPriority w:val="99"/>
    <w:qFormat/>
    <w:tblPr/>
  </w:style>
  <w:style w:type="table" w:styleId="1005" w:customStyle="1">
    <w:name w:val="Grid Table 7 Colorful - Accent 3"/>
    <w:basedOn w:val="837"/>
    <w:uiPriority w:val="99"/>
    <w:qFormat/>
    <w:tblPr/>
  </w:style>
  <w:style w:type="table" w:styleId="1006" w:customStyle="1">
    <w:name w:val="Grid Table 7 Colorful - Accent 4"/>
    <w:basedOn w:val="837"/>
    <w:uiPriority w:val="99"/>
    <w:qFormat/>
    <w:tblPr/>
  </w:style>
  <w:style w:type="table" w:styleId="1007" w:customStyle="1">
    <w:name w:val="Grid Table 7 Colorful - Accent 5"/>
    <w:basedOn w:val="837"/>
    <w:uiPriority w:val="99"/>
    <w:qFormat/>
    <w:tblPr/>
  </w:style>
  <w:style w:type="table" w:styleId="1008" w:customStyle="1">
    <w:name w:val="Grid Table 7 Colorful - Accent 6"/>
    <w:basedOn w:val="837"/>
    <w:uiPriority w:val="99"/>
    <w:qFormat/>
    <w:tblPr/>
  </w:style>
  <w:style w:type="table" w:styleId="1009" w:customStyle="1">
    <w:name w:val="List Table 1 Light"/>
    <w:basedOn w:val="837"/>
    <w:uiPriority w:val="99"/>
    <w:qFormat/>
    <w:tblPr/>
  </w:style>
  <w:style w:type="table" w:styleId="1010" w:customStyle="1">
    <w:name w:val="List Table 1 Light - Accent 1"/>
    <w:basedOn w:val="837"/>
    <w:uiPriority w:val="99"/>
    <w:qFormat/>
    <w:tblPr/>
  </w:style>
  <w:style w:type="table" w:styleId="1011" w:customStyle="1">
    <w:name w:val="List Table 1 Light - Accent 2"/>
    <w:basedOn w:val="837"/>
    <w:uiPriority w:val="99"/>
    <w:qFormat/>
    <w:tblPr/>
  </w:style>
  <w:style w:type="table" w:styleId="1012" w:customStyle="1">
    <w:name w:val="List Table 1 Light - Accent 3"/>
    <w:basedOn w:val="837"/>
    <w:uiPriority w:val="99"/>
    <w:qFormat/>
    <w:tblPr/>
  </w:style>
  <w:style w:type="table" w:styleId="1013" w:customStyle="1">
    <w:name w:val="List Table 1 Light - Accent 4"/>
    <w:basedOn w:val="837"/>
    <w:uiPriority w:val="99"/>
    <w:qFormat/>
    <w:tblPr/>
  </w:style>
  <w:style w:type="table" w:styleId="1014" w:customStyle="1">
    <w:name w:val="List Table 1 Light - Accent 5"/>
    <w:basedOn w:val="837"/>
    <w:uiPriority w:val="99"/>
    <w:qFormat/>
    <w:tblPr/>
  </w:style>
  <w:style w:type="table" w:styleId="1015" w:customStyle="1">
    <w:name w:val="List Table 1 Light - Accent 6"/>
    <w:basedOn w:val="837"/>
    <w:uiPriority w:val="99"/>
    <w:qFormat/>
    <w:tblPr/>
  </w:style>
  <w:style w:type="table" w:styleId="1016" w:customStyle="1">
    <w:name w:val="List Table 2"/>
    <w:basedOn w:val="837"/>
    <w:uiPriority w:val="99"/>
    <w:qFormat/>
    <w:tblPr/>
  </w:style>
  <w:style w:type="table" w:styleId="1017" w:customStyle="1">
    <w:name w:val="List Table 2 - Accent 1"/>
    <w:basedOn w:val="837"/>
    <w:uiPriority w:val="99"/>
    <w:qFormat/>
    <w:tblPr/>
  </w:style>
  <w:style w:type="table" w:styleId="1018" w:customStyle="1">
    <w:name w:val="List Table 2 - Accent 2"/>
    <w:basedOn w:val="837"/>
    <w:uiPriority w:val="99"/>
    <w:qFormat/>
    <w:tblPr/>
  </w:style>
  <w:style w:type="table" w:styleId="1019" w:customStyle="1">
    <w:name w:val="List Table 2 - Accent 3"/>
    <w:basedOn w:val="837"/>
    <w:uiPriority w:val="99"/>
    <w:qFormat/>
    <w:tblPr/>
  </w:style>
  <w:style w:type="table" w:styleId="1020" w:customStyle="1">
    <w:name w:val="List Table 2 - Accent 4"/>
    <w:basedOn w:val="837"/>
    <w:uiPriority w:val="99"/>
    <w:qFormat/>
    <w:tblPr/>
  </w:style>
  <w:style w:type="table" w:styleId="1021" w:customStyle="1">
    <w:name w:val="List Table 2 - Accent 5"/>
    <w:basedOn w:val="837"/>
    <w:uiPriority w:val="99"/>
    <w:qFormat/>
    <w:tblPr/>
  </w:style>
  <w:style w:type="table" w:styleId="1022" w:customStyle="1">
    <w:name w:val="List Table 2 - Accent 6"/>
    <w:basedOn w:val="837"/>
    <w:uiPriority w:val="99"/>
    <w:qFormat/>
    <w:tblPr/>
  </w:style>
  <w:style w:type="table" w:styleId="1023" w:customStyle="1">
    <w:name w:val="List Table 3"/>
    <w:basedOn w:val="837"/>
    <w:uiPriority w:val="99"/>
    <w:qFormat/>
    <w:tblPr/>
  </w:style>
  <w:style w:type="table" w:styleId="1024" w:customStyle="1">
    <w:name w:val="List Table 3 - Accent 1"/>
    <w:basedOn w:val="837"/>
    <w:uiPriority w:val="99"/>
    <w:qFormat/>
    <w:tblPr/>
  </w:style>
  <w:style w:type="table" w:styleId="1025" w:customStyle="1">
    <w:name w:val="List Table 3 - Accent 2"/>
    <w:basedOn w:val="837"/>
    <w:uiPriority w:val="99"/>
    <w:qFormat/>
    <w:tblPr/>
  </w:style>
  <w:style w:type="table" w:styleId="1026" w:customStyle="1">
    <w:name w:val="List Table 3 - Accent 3"/>
    <w:basedOn w:val="837"/>
    <w:uiPriority w:val="99"/>
    <w:qFormat/>
    <w:tblPr/>
  </w:style>
  <w:style w:type="table" w:styleId="1027" w:customStyle="1">
    <w:name w:val="List Table 3 - Accent 4"/>
    <w:basedOn w:val="837"/>
    <w:uiPriority w:val="99"/>
    <w:qFormat/>
    <w:tblPr/>
  </w:style>
  <w:style w:type="table" w:styleId="1028" w:customStyle="1">
    <w:name w:val="List Table 3 - Accent 5"/>
    <w:basedOn w:val="837"/>
    <w:uiPriority w:val="99"/>
    <w:qFormat/>
    <w:tblPr/>
  </w:style>
  <w:style w:type="table" w:styleId="1029" w:customStyle="1">
    <w:name w:val="List Table 3 - Accent 6"/>
    <w:basedOn w:val="837"/>
    <w:uiPriority w:val="99"/>
    <w:qFormat/>
    <w:tblPr/>
  </w:style>
  <w:style w:type="table" w:styleId="1030" w:customStyle="1">
    <w:name w:val="List Table 4"/>
    <w:basedOn w:val="837"/>
    <w:uiPriority w:val="99"/>
    <w:qFormat/>
    <w:tblPr/>
  </w:style>
  <w:style w:type="table" w:styleId="1031" w:customStyle="1">
    <w:name w:val="List Table 4 - Accent 1"/>
    <w:basedOn w:val="837"/>
    <w:uiPriority w:val="99"/>
    <w:qFormat/>
    <w:tblPr/>
  </w:style>
  <w:style w:type="table" w:styleId="1032" w:customStyle="1">
    <w:name w:val="List Table 4 - Accent 2"/>
    <w:basedOn w:val="837"/>
    <w:uiPriority w:val="99"/>
    <w:qFormat/>
    <w:tblPr/>
  </w:style>
  <w:style w:type="table" w:styleId="1033" w:customStyle="1">
    <w:name w:val="List Table 4 - Accent 3"/>
    <w:basedOn w:val="837"/>
    <w:uiPriority w:val="99"/>
    <w:qFormat/>
    <w:tblPr/>
  </w:style>
  <w:style w:type="table" w:styleId="1034" w:customStyle="1">
    <w:name w:val="List Table 4 - Accent 4"/>
    <w:basedOn w:val="837"/>
    <w:uiPriority w:val="99"/>
    <w:qFormat/>
    <w:tblPr/>
  </w:style>
  <w:style w:type="table" w:styleId="1035" w:customStyle="1">
    <w:name w:val="List Table 4 - Accent 5"/>
    <w:basedOn w:val="837"/>
    <w:uiPriority w:val="99"/>
    <w:qFormat/>
    <w:tblPr/>
  </w:style>
  <w:style w:type="table" w:styleId="1036" w:customStyle="1">
    <w:name w:val="List Table 4 - Accent 6"/>
    <w:basedOn w:val="837"/>
    <w:uiPriority w:val="99"/>
    <w:qFormat/>
    <w:tblPr/>
  </w:style>
  <w:style w:type="table" w:styleId="1037" w:customStyle="1">
    <w:name w:val="List Table 5 Dark"/>
    <w:basedOn w:val="837"/>
    <w:uiPriority w:val="99"/>
    <w:qFormat/>
    <w:tblPr/>
  </w:style>
  <w:style w:type="table" w:styleId="1038" w:customStyle="1">
    <w:name w:val="List Table 5 Dark - Accent 1"/>
    <w:basedOn w:val="837"/>
    <w:uiPriority w:val="99"/>
    <w:qFormat/>
    <w:tblPr/>
  </w:style>
  <w:style w:type="table" w:styleId="1039" w:customStyle="1">
    <w:name w:val="List Table 5 Dark - Accent 2"/>
    <w:basedOn w:val="837"/>
    <w:uiPriority w:val="99"/>
    <w:qFormat/>
    <w:tblPr/>
  </w:style>
  <w:style w:type="table" w:styleId="1040" w:customStyle="1">
    <w:name w:val="List Table 5 Dark - Accent 3"/>
    <w:basedOn w:val="837"/>
    <w:uiPriority w:val="99"/>
    <w:qFormat/>
    <w:tblPr/>
  </w:style>
  <w:style w:type="table" w:styleId="1041" w:customStyle="1">
    <w:name w:val="List Table 5 Dark - Accent 4"/>
    <w:basedOn w:val="837"/>
    <w:uiPriority w:val="99"/>
    <w:qFormat/>
    <w:tblPr/>
  </w:style>
  <w:style w:type="table" w:styleId="1042" w:customStyle="1">
    <w:name w:val="List Table 5 Dark - Accent 5"/>
    <w:basedOn w:val="837"/>
    <w:uiPriority w:val="99"/>
    <w:qFormat/>
    <w:tblPr/>
  </w:style>
  <w:style w:type="table" w:styleId="1043" w:customStyle="1">
    <w:name w:val="List Table 5 Dark - Accent 6"/>
    <w:basedOn w:val="837"/>
    <w:uiPriority w:val="99"/>
    <w:qFormat/>
    <w:tblPr/>
  </w:style>
  <w:style w:type="table" w:styleId="1044" w:customStyle="1">
    <w:name w:val="List Table 6 Colorful"/>
    <w:basedOn w:val="837"/>
    <w:uiPriority w:val="99"/>
    <w:qFormat/>
    <w:tblPr/>
  </w:style>
  <w:style w:type="table" w:styleId="1045" w:customStyle="1">
    <w:name w:val="List Table 6 Colorful - Accent 1"/>
    <w:basedOn w:val="837"/>
    <w:uiPriority w:val="99"/>
    <w:qFormat/>
    <w:tblPr/>
  </w:style>
  <w:style w:type="table" w:styleId="1046" w:customStyle="1">
    <w:name w:val="List Table 6 Colorful - Accent 2"/>
    <w:basedOn w:val="837"/>
    <w:uiPriority w:val="99"/>
    <w:qFormat/>
    <w:tblPr/>
  </w:style>
  <w:style w:type="table" w:styleId="1047" w:customStyle="1">
    <w:name w:val="List Table 6 Colorful - Accent 3"/>
    <w:basedOn w:val="837"/>
    <w:uiPriority w:val="99"/>
    <w:qFormat/>
    <w:tblPr/>
  </w:style>
  <w:style w:type="table" w:styleId="1048" w:customStyle="1">
    <w:name w:val="List Table 6 Colorful - Accent 4"/>
    <w:basedOn w:val="837"/>
    <w:uiPriority w:val="99"/>
    <w:qFormat/>
    <w:tblPr/>
  </w:style>
  <w:style w:type="table" w:styleId="1049" w:customStyle="1">
    <w:name w:val="List Table 6 Colorful - Accent 5"/>
    <w:basedOn w:val="837"/>
    <w:uiPriority w:val="99"/>
    <w:qFormat/>
    <w:tblPr/>
  </w:style>
  <w:style w:type="table" w:styleId="1050" w:customStyle="1">
    <w:name w:val="List Table 6 Colorful - Accent 6"/>
    <w:basedOn w:val="837"/>
    <w:uiPriority w:val="99"/>
    <w:qFormat/>
    <w:tblPr/>
  </w:style>
  <w:style w:type="table" w:styleId="1051" w:customStyle="1">
    <w:name w:val="List Table 7 Colorful"/>
    <w:basedOn w:val="837"/>
    <w:uiPriority w:val="99"/>
    <w:qFormat/>
    <w:tblPr/>
  </w:style>
  <w:style w:type="table" w:styleId="1052" w:customStyle="1">
    <w:name w:val="List Table 7 Colorful - Accent 1"/>
    <w:basedOn w:val="837"/>
    <w:uiPriority w:val="99"/>
    <w:qFormat/>
    <w:tblPr/>
  </w:style>
  <w:style w:type="table" w:styleId="1053" w:customStyle="1">
    <w:name w:val="List Table 7 Colorful - Accent 2"/>
    <w:basedOn w:val="837"/>
    <w:uiPriority w:val="99"/>
    <w:qFormat/>
    <w:tblPr/>
  </w:style>
  <w:style w:type="table" w:styleId="1054" w:customStyle="1">
    <w:name w:val="List Table 7 Colorful - Accent 3"/>
    <w:basedOn w:val="837"/>
    <w:uiPriority w:val="99"/>
    <w:qFormat/>
    <w:tblPr/>
  </w:style>
  <w:style w:type="table" w:styleId="1055" w:customStyle="1">
    <w:name w:val="List Table 7 Colorful - Accent 4"/>
    <w:basedOn w:val="837"/>
    <w:uiPriority w:val="99"/>
    <w:qFormat/>
    <w:tblPr/>
  </w:style>
  <w:style w:type="table" w:styleId="1056" w:customStyle="1">
    <w:name w:val="List Table 7 Colorful - Accent 5"/>
    <w:basedOn w:val="837"/>
    <w:uiPriority w:val="99"/>
    <w:qFormat/>
    <w:tblPr/>
  </w:style>
  <w:style w:type="table" w:styleId="1057" w:customStyle="1">
    <w:name w:val="List Table 7 Colorful - Accent 6"/>
    <w:basedOn w:val="837"/>
    <w:uiPriority w:val="99"/>
    <w:qFormat/>
    <w:tblPr/>
  </w:style>
  <w:style w:type="table" w:styleId="1058" w:customStyle="1">
    <w:name w:val="Lined - Accent"/>
    <w:basedOn w:val="837"/>
    <w:uiPriority w:val="99"/>
    <w:qFormat/>
    <w:rPr>
      <w:color w:val="404040"/>
    </w:rPr>
    <w:tblPr/>
  </w:style>
  <w:style w:type="table" w:styleId="1059" w:customStyle="1">
    <w:name w:val="Lined - Accent 1"/>
    <w:basedOn w:val="837"/>
    <w:uiPriority w:val="99"/>
    <w:qFormat/>
    <w:rPr>
      <w:color w:val="404040"/>
    </w:rPr>
    <w:tblPr/>
  </w:style>
  <w:style w:type="table" w:styleId="1060" w:customStyle="1">
    <w:name w:val="Lined - Accent 2"/>
    <w:basedOn w:val="837"/>
    <w:uiPriority w:val="99"/>
    <w:qFormat/>
    <w:rPr>
      <w:color w:val="404040"/>
    </w:rPr>
    <w:tblPr/>
  </w:style>
  <w:style w:type="table" w:styleId="1061" w:customStyle="1">
    <w:name w:val="Lined - Accent 3"/>
    <w:basedOn w:val="837"/>
    <w:uiPriority w:val="99"/>
    <w:qFormat/>
    <w:rPr>
      <w:color w:val="404040"/>
    </w:rPr>
    <w:tblPr/>
  </w:style>
  <w:style w:type="table" w:styleId="1062" w:customStyle="1">
    <w:name w:val="Lined - Accent 4"/>
    <w:basedOn w:val="837"/>
    <w:uiPriority w:val="99"/>
    <w:qFormat/>
    <w:rPr>
      <w:color w:val="404040"/>
    </w:rPr>
    <w:tblPr/>
  </w:style>
  <w:style w:type="table" w:styleId="1063" w:customStyle="1">
    <w:name w:val="Lined - Accent 5"/>
    <w:basedOn w:val="837"/>
    <w:uiPriority w:val="99"/>
    <w:qFormat/>
    <w:rPr>
      <w:color w:val="404040"/>
    </w:rPr>
    <w:tblPr/>
  </w:style>
  <w:style w:type="table" w:styleId="1064" w:customStyle="1">
    <w:name w:val="Lined - Accent 6"/>
    <w:basedOn w:val="837"/>
    <w:uiPriority w:val="99"/>
    <w:qFormat/>
    <w:rPr>
      <w:color w:val="404040"/>
    </w:rPr>
    <w:tblPr/>
  </w:style>
  <w:style w:type="table" w:styleId="1065" w:customStyle="1">
    <w:name w:val="Bordered &amp; Lined - Accent"/>
    <w:basedOn w:val="837"/>
    <w:uiPriority w:val="99"/>
    <w:qFormat/>
    <w:rPr>
      <w:color w:val="404040"/>
    </w:rPr>
    <w:tblPr/>
  </w:style>
  <w:style w:type="table" w:styleId="1066" w:customStyle="1">
    <w:name w:val="Bordered &amp; Lined - Accent 1"/>
    <w:basedOn w:val="837"/>
    <w:uiPriority w:val="99"/>
    <w:qFormat/>
    <w:rPr>
      <w:color w:val="404040"/>
    </w:rPr>
    <w:tblPr/>
  </w:style>
  <w:style w:type="table" w:styleId="1067" w:customStyle="1">
    <w:name w:val="Bordered &amp; Lined - Accent 2"/>
    <w:basedOn w:val="837"/>
    <w:uiPriority w:val="99"/>
    <w:qFormat/>
    <w:rPr>
      <w:color w:val="404040"/>
    </w:rPr>
    <w:tblPr/>
  </w:style>
  <w:style w:type="table" w:styleId="1068" w:customStyle="1">
    <w:name w:val="Bordered &amp; Lined - Accent 3"/>
    <w:basedOn w:val="837"/>
    <w:uiPriority w:val="99"/>
    <w:qFormat/>
    <w:rPr>
      <w:color w:val="404040"/>
    </w:rPr>
    <w:tblPr/>
  </w:style>
  <w:style w:type="table" w:styleId="1069" w:customStyle="1">
    <w:name w:val="Bordered &amp; Lined - Accent 4"/>
    <w:basedOn w:val="837"/>
    <w:uiPriority w:val="99"/>
    <w:qFormat/>
    <w:rPr>
      <w:color w:val="404040"/>
    </w:rPr>
    <w:tblPr/>
  </w:style>
  <w:style w:type="table" w:styleId="1070" w:customStyle="1">
    <w:name w:val="Bordered &amp; Lined - Accent 5"/>
    <w:basedOn w:val="837"/>
    <w:uiPriority w:val="99"/>
    <w:qFormat/>
    <w:rPr>
      <w:color w:val="404040"/>
    </w:rPr>
    <w:tblPr/>
  </w:style>
  <w:style w:type="table" w:styleId="1071" w:customStyle="1">
    <w:name w:val="Bordered &amp; Lined - Accent 6"/>
    <w:basedOn w:val="837"/>
    <w:uiPriority w:val="99"/>
    <w:qFormat/>
    <w:rPr>
      <w:color w:val="404040"/>
    </w:rPr>
    <w:tblPr/>
  </w:style>
  <w:style w:type="table" w:styleId="1072" w:customStyle="1">
    <w:name w:val="Bordered"/>
    <w:basedOn w:val="837"/>
    <w:uiPriority w:val="99"/>
    <w:qFormat/>
    <w:tblPr/>
  </w:style>
  <w:style w:type="table" w:styleId="1073" w:customStyle="1">
    <w:name w:val="Bordered - Accent 1"/>
    <w:basedOn w:val="837"/>
    <w:uiPriority w:val="99"/>
    <w:qFormat/>
    <w:tblPr/>
  </w:style>
  <w:style w:type="table" w:styleId="1074" w:customStyle="1">
    <w:name w:val="Bordered - Accent 2"/>
    <w:basedOn w:val="837"/>
    <w:uiPriority w:val="99"/>
    <w:qFormat/>
    <w:tblPr/>
  </w:style>
  <w:style w:type="table" w:styleId="1075" w:customStyle="1">
    <w:name w:val="Bordered - Accent 3"/>
    <w:basedOn w:val="837"/>
    <w:uiPriority w:val="99"/>
    <w:qFormat/>
    <w:tblPr/>
  </w:style>
  <w:style w:type="table" w:styleId="1076" w:customStyle="1">
    <w:name w:val="Bordered - Accent 4"/>
    <w:basedOn w:val="837"/>
    <w:uiPriority w:val="99"/>
    <w:qFormat/>
    <w:tblPr/>
  </w:style>
  <w:style w:type="table" w:styleId="1077" w:customStyle="1">
    <w:name w:val="Bordered - Accent 5"/>
    <w:basedOn w:val="837"/>
    <w:uiPriority w:val="99"/>
    <w:qFormat/>
    <w:tblPr/>
  </w:style>
  <w:style w:type="table" w:styleId="1078" w:customStyle="1">
    <w:name w:val="Bordered - Accent 6"/>
    <w:basedOn w:val="837"/>
    <w:uiPriority w:val="99"/>
    <w:qFormat/>
    <w:tblPr/>
  </w:style>
  <w:style w:type="character" w:styleId="1079" w:customStyle="1">
    <w:name w:val="Footnote Text Char"/>
    <w:link w:val="784"/>
    <w:uiPriority w:val="99"/>
    <w:qFormat/>
    <w:rPr>
      <w:sz w:val="18"/>
    </w:rPr>
  </w:style>
  <w:style w:type="paragraph" w:styleId="1080" w:customStyle="1">
    <w:name w:val="TOC 标题1"/>
    <w:uiPriority w:val="39"/>
    <w:unhideWhenUsed/>
    <w:qFormat/>
    <w:rPr>
      <w:rFonts w:hint="default" w:ascii="Times New Roman" w:hAnsi="Times New Roman" w:eastAsia="宋体" w:cs="Times New Roman"/>
      <w:lang w:val="en-US" w:eastAsia="zh-CN" w:bidi="ar-SA"/>
    </w:rPr>
  </w:style>
  <w:style w:type="paragraph" w:styleId="1081" w:customStyle="1">
    <w:name w:val="p0"/>
    <w:basedOn w:val="869"/>
    <w:uiPriority w:val="0"/>
    <w:qFormat/>
    <w:pPr>
      <w:widowControl/>
    </w:pPr>
    <w:rPr>
      <w:szCs w:val="21"/>
    </w:rPr>
  </w:style>
  <w:style w:type="paragraph" w:styleId="1082" w:customStyle="1">
    <w:name w:val="列出段落"/>
    <w:basedOn w:val="784"/>
    <w:uiPriority w:val="1"/>
    <w:qFormat/>
    <w:pPr>
      <w:ind w:firstLine="420"/>
    </w:pPr>
  </w:style>
  <w:style w:type="paragraph" w:styleId="10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84" w:customStyle="1">
    <w:name w:val="NormalCharacter11"/>
    <w:link w:val="784"/>
    <w:uiPriority w:val="0"/>
    <w:semiHidden/>
    <w:qFormat/>
    <w:rPr>
      <w:sz w:val="28"/>
      <w:lang w:val="en-US" w:eastAsia="zh-CN" w:bidi="ar-SA"/>
    </w:rPr>
  </w:style>
  <w:style w:type="paragraph" w:styleId="1085" w:customStyle="1">
    <w:name w:val="179"/>
    <w:basedOn w:val="784"/>
    <w:uiPriority w:val="0"/>
    <w:qFormat/>
    <w:pPr>
      <w:ind w:firstLine="420"/>
      <w:jc w:val="left"/>
      <w:widowControl/>
    </w:pPr>
    <w:rPr>
      <w:rFonts w:ascii="宋体" w:hAnsi="宋体"/>
      <w:sz w:val="24"/>
    </w:rPr>
  </w:style>
  <w:style w:type="paragraph" w:styleId="108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7" w:customStyle="1">
    <w:name w:val="标准"/>
    <w:basedOn w:val="784"/>
    <w:uiPriority w:val="0"/>
    <w:qFormat/>
    <w:pPr>
      <w:ind w:firstLine="200"/>
      <w:spacing w:line="360" w:lineRule="auto"/>
    </w:pPr>
    <w:rPr>
      <w:rFonts w:cs="宋体"/>
      <w:sz w:val="20"/>
      <w:szCs w:val="20"/>
    </w:rPr>
  </w:style>
  <w:style w:type="paragraph" w:styleId="1088" w:customStyle="1">
    <w:name w:val="_Style 11"/>
    <w:basedOn w:val="784"/>
    <w:next w:val="1082"/>
    <w:uiPriority w:val="34"/>
    <w:qFormat/>
    <w:pPr>
      <w:ind w:firstLine="420"/>
    </w:pPr>
    <w:rPr>
      <w:color w:val="000000"/>
      <w:szCs w:val="21"/>
    </w:rPr>
  </w:style>
  <w:style w:type="paragraph" w:styleId="1089" w:customStyle="1">
    <w:name w:val="BodyText1I21"/>
    <w:basedOn w:val="784"/>
    <w:uiPriority w:val="0"/>
    <w:qFormat/>
    <w:pPr>
      <w:ind w:firstLine="420"/>
      <w:spacing w:line="360" w:lineRule="auto"/>
      <w:widowControl/>
    </w:pPr>
    <w:rPr>
      <w:rFonts w:ascii="宋体" w:hAnsi="宋体" w:cs="Times New Roman"/>
      <w:sz w:val="20"/>
      <w:szCs w:val="20"/>
    </w:rPr>
  </w:style>
  <w:style w:type="paragraph" w:styleId="1090" w:customStyle="1">
    <w:name w:val="UserStyle_133"/>
    <w:basedOn w:val="784"/>
    <w:uiPriority w:val="0"/>
    <w:qFormat/>
    <w:pPr>
      <w:widowControl/>
    </w:pPr>
    <w:rPr>
      <w:rFonts w:ascii="Tahoma" w:hAnsi="Tahoma" w:cs="Times New Roman"/>
      <w:sz w:val="24"/>
    </w:rPr>
  </w:style>
  <w:style w:type="paragraph" w:styleId="1091" w:customStyle="1">
    <w:name w:val="AnnotationText1"/>
    <w:basedOn w:val="784"/>
    <w:link w:val="1092"/>
    <w:uiPriority w:val="0"/>
    <w:qFormat/>
    <w:pPr>
      <w:jc w:val="left"/>
      <w:widowControl/>
    </w:pPr>
    <w:rPr>
      <w:rFonts w:cs="Times New Roman"/>
    </w:rPr>
  </w:style>
  <w:style w:type="character" w:styleId="1092" w:customStyle="1">
    <w:name w:val="UserStyle_12"/>
    <w:link w:val="1091"/>
    <w:uiPriority w:val="0"/>
    <w:qFormat/>
    <w:rPr>
      <w:rFonts w:ascii="Times New Roman" w:hAnsi="Times New Roman" w:eastAsia="宋体"/>
      <w:sz w:val="21"/>
      <w:szCs w:val="24"/>
    </w:rPr>
  </w:style>
  <w:style w:type="paragraph" w:styleId="1093"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94" w:customStyle="1">
    <w:name w:val="*正文-表格"/>
    <w:basedOn w:val="784"/>
    <w:uiPriority w:val="0"/>
    <w:qFormat/>
    <w:rPr>
      <w:sz w:val="24"/>
      <w:szCs w:val="20"/>
    </w:rPr>
  </w:style>
  <w:style w:type="character" w:styleId="1095" w:customStyle="1">
    <w:name w:val="font21"/>
    <w:link w:val="784"/>
    <w:uiPriority w:val="0"/>
    <w:qFormat/>
    <w:rPr>
      <w:rFonts w:hint="eastAsia" w:ascii="宋体" w:hAnsi="宋体" w:eastAsia="宋体" w:cs="宋体"/>
      <w:b/>
      <w:bCs/>
      <w:color w:val="000000"/>
      <w:sz w:val="28"/>
      <w:szCs w:val="28"/>
      <w:u w:val="none"/>
    </w:rPr>
  </w:style>
  <w:style w:type="paragraph" w:styleId="1096" w:customStyle="1">
    <w:name w:val="标题 5（有编号）（绿盟科技）"/>
    <w:basedOn w:val="784"/>
    <w:next w:val="109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97"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98" w:customStyle="1">
    <w:name w:val="投标文件正文"/>
    <w:basedOn w:val="784"/>
    <w:uiPriority w:val="0"/>
    <w:qFormat/>
    <w:pPr>
      <w:ind w:firstLine="200"/>
      <w:spacing w:before="40" w:after="40" w:line="400" w:lineRule="exact"/>
    </w:pPr>
    <w:rPr>
      <w:sz w:val="24"/>
    </w:rPr>
  </w:style>
  <w:style w:type="paragraph" w:styleId="1099" w:customStyle="1">
    <w:name w:val="BodyTextIndent1"/>
    <w:basedOn w:val="784"/>
    <w:next w:val="1100"/>
    <w:uiPriority w:val="0"/>
    <w:qFormat/>
    <w:pPr>
      <w:ind w:left="420"/>
      <w:spacing w:after="120"/>
    </w:pPr>
  </w:style>
  <w:style w:type="paragraph" w:styleId="1100" w:customStyle="1">
    <w:name w:val="EnvelopeReturn1"/>
    <w:basedOn w:val="784"/>
    <w:uiPriority w:val="0"/>
    <w:qFormat/>
    <w:rPr>
      <w:rFonts w:ascii="Arial" w:hAnsi="Arial"/>
    </w:rPr>
  </w:style>
  <w:style w:type="paragraph" w:styleId="1101" w:customStyle="1">
    <w:name w:val="Table Paragraph"/>
    <w:basedOn w:val="784"/>
    <w:uiPriority w:val="1"/>
    <w:qFormat/>
    <w:pPr>
      <w:ind w:left="107"/>
    </w:pPr>
    <w:rPr>
      <w:rFonts w:ascii="宋体" w:hAnsi="宋体" w:cs="宋体"/>
    </w:rPr>
  </w:style>
  <w:style w:type="paragraph" w:styleId="1102" w:customStyle="1">
    <w:name w:val="列出段落1"/>
    <w:basedOn w:val="784"/>
    <w:uiPriority w:val="34"/>
    <w:qFormat/>
    <w:pPr>
      <w:ind w:left="480"/>
      <w:jc w:val="left"/>
    </w:pPr>
    <w:rPr>
      <w:rFonts w:ascii="Calibri" w:hAnsi="Calibri" w:eastAsia="PMingLiU"/>
      <w:sz w:val="24"/>
      <w:szCs w:val="20"/>
      <w:lang w:eastAsia="zh-TW"/>
    </w:rPr>
  </w:style>
  <w:style w:type="character" w:styleId="1103" w:customStyle="1">
    <w:name w:val="font51"/>
    <w:link w:val="784"/>
    <w:uiPriority w:val="0"/>
    <w:qFormat/>
    <w:rPr>
      <w:rFonts w:hint="eastAsia" w:ascii="微软雅黑" w:hAnsi="微软雅黑" w:eastAsia="微软雅黑" w:cs="微软雅黑"/>
      <w:color w:val="000000"/>
      <w:sz w:val="16"/>
      <w:szCs w:val="16"/>
      <w:u w:val="none"/>
    </w:rPr>
  </w:style>
  <w:style w:type="character" w:styleId="1104" w:customStyle="1">
    <w:name w:val="font01"/>
    <w:link w:val="784"/>
    <w:uiPriority w:val="0"/>
    <w:qFormat/>
    <w:rPr>
      <w:rFonts w:hint="eastAsia" w:ascii="微软雅黑" w:hAnsi="微软雅黑" w:eastAsia="微软雅黑" w:cs="微软雅黑"/>
      <w:color w:val="000000"/>
      <w:sz w:val="16"/>
      <w:szCs w:val="16"/>
      <w:u w:val="none"/>
    </w:rPr>
  </w:style>
  <w:style w:type="character" w:styleId="1105" w:customStyle="1">
    <w:name w:val="font31"/>
    <w:link w:val="784"/>
    <w:uiPriority w:val="0"/>
    <w:qFormat/>
    <w:rPr>
      <w:rFonts w:hint="eastAsia" w:ascii="微软雅黑" w:hAnsi="微软雅黑" w:eastAsia="微软雅黑" w:cs="微软雅黑"/>
      <w:color w:val="000000"/>
      <w:sz w:val="16"/>
      <w:szCs w:val="16"/>
      <w:u w:val="none"/>
    </w:rPr>
  </w:style>
  <w:style w:type="character" w:styleId="1106" w:customStyle="1">
    <w:name w:val="font41"/>
    <w:link w:val="784"/>
    <w:uiPriority w:val="0"/>
    <w:qFormat/>
    <w:rPr>
      <w:rFonts w:hint="eastAsia" w:ascii="宋体" w:hAnsi="宋体" w:eastAsia="宋体" w:cs="宋体"/>
      <w:color w:val="000000"/>
      <w:sz w:val="22"/>
      <w:szCs w:val="22"/>
      <w:u w:val="none"/>
    </w:rPr>
  </w:style>
  <w:style w:type="character" w:styleId="1107" w:customStyle="1">
    <w:name w:val="font61"/>
    <w:link w:val="784"/>
    <w:uiPriority w:val="0"/>
    <w:qFormat/>
    <w:rPr>
      <w:rFonts w:hint="eastAsia" w:ascii="宋体" w:hAnsi="宋体" w:eastAsia="宋体" w:cs="宋体"/>
      <w:color w:val="000000"/>
      <w:sz w:val="20"/>
      <w:szCs w:val="20"/>
      <w:u w:val="none"/>
    </w:rPr>
  </w:style>
  <w:style w:type="character" w:styleId="1108" w:customStyle="1">
    <w:name w:val="font11"/>
    <w:link w:val="784"/>
    <w:uiPriority w:val="0"/>
    <w:qFormat/>
    <w:rPr>
      <w:rFonts w:hint="eastAsia" w:ascii="宋体" w:hAnsi="宋体" w:eastAsia="宋体" w:cs="宋体"/>
      <w:color w:val="000000"/>
      <w:sz w:val="20"/>
      <w:szCs w:val="20"/>
      <w:u w:val="none"/>
    </w:rPr>
  </w:style>
  <w:style w:type="character" w:styleId="1109" w:customStyle="1">
    <w:name w:val="font71"/>
    <w:link w:val="784"/>
    <w:uiPriority w:val="0"/>
    <w:qFormat/>
    <w:rPr>
      <w:rFonts w:hint="eastAsia" w:ascii="宋体" w:hAnsi="宋体" w:eastAsia="宋体" w:cs="宋体"/>
      <w:color w:val="000000"/>
      <w:sz w:val="21"/>
      <w:szCs w:val="21"/>
      <w:u w:val="none"/>
    </w:rPr>
  </w:style>
  <w:style w:type="character" w:styleId="1110" w:customStyle="1">
    <w:name w:val="font81"/>
    <w:link w:val="784"/>
    <w:uiPriority w:val="0"/>
    <w:qFormat/>
    <w:rPr>
      <w:rFonts w:ascii="Times New Roman" w:hAnsi="Times New Roman" w:cs="Times New Roman"/>
      <w:color w:val="000000"/>
      <w:sz w:val="21"/>
      <w:szCs w:val="21"/>
      <w:u w:val="none"/>
    </w:rPr>
  </w:style>
  <w:style w:type="character" w:styleId="1111" w:customStyle="1">
    <w:name w:val="font91"/>
    <w:link w:val="784"/>
    <w:uiPriority w:val="0"/>
    <w:qFormat/>
    <w:rPr>
      <w:rFonts w:hint="eastAsia" w:ascii="宋体" w:hAnsi="宋体" w:eastAsia="宋体" w:cs="宋体"/>
      <w:color w:val="000000"/>
      <w:sz w:val="21"/>
      <w:szCs w:val="21"/>
      <w:u w:val="none"/>
    </w:rPr>
  </w:style>
  <w:style w:type="paragraph" w:styleId="1112" w:customStyle="1">
    <w:name w:val="页脚1"/>
    <w:basedOn w:val="784"/>
    <w:uiPriority w:val="0"/>
    <w:qFormat/>
    <w:pPr>
      <w:jc w:val="left"/>
      <w:tabs>
        <w:tab w:val="center" w:pos="4153" w:leader="none"/>
        <w:tab w:val="right" w:pos="8306" w:leader="none"/>
      </w:tabs>
    </w:pPr>
    <w:rPr>
      <w:sz w:val="18"/>
      <w:szCs w:val="18"/>
    </w:rPr>
  </w:style>
  <w:style w:type="paragraph" w:styleId="1113" w:customStyle="1">
    <w:name w:val="正文缩进11"/>
    <w:basedOn w:val="784"/>
    <w:uiPriority w:val="0"/>
    <w:unhideWhenUsed/>
    <w:qFormat/>
    <w:pPr>
      <w:ind w:firstLine="420"/>
    </w:pPr>
  </w:style>
  <w:style w:type="paragraph" w:styleId="1114" w:customStyle="1">
    <w:name w:val="列表段落"/>
    <w:basedOn w:val="784"/>
    <w:uiPriority w:val="34"/>
    <w:qFormat/>
    <w:pPr>
      <w:contextualSpacing/>
      <w:ind w:left="720"/>
    </w:pPr>
  </w:style>
  <w:style w:type="paragraph" w:styleId="1115" w:customStyle="1">
    <w:name w:val="普通(网站)1"/>
    <w:basedOn w:val="78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16" w:customStyle="1">
    <w:name w:val="纯文本11"/>
    <w:basedOn w:val="784"/>
    <w:uiPriority w:val="0"/>
    <w:qFormat/>
    <w:rPr>
      <w:rFonts w:ascii="宋体" w:hAnsi="Courier New"/>
      <w:szCs w:val="20"/>
    </w:rPr>
  </w:style>
  <w:style w:type="paragraph" w:styleId="1117" w:customStyle="1">
    <w:name w:val="纯文本1"/>
    <w:basedOn w:val="869"/>
    <w:uiPriority w:val="0"/>
    <w:qFormat/>
    <w:rPr>
      <w:rFonts w:hAnsi="Courier New"/>
      <w:sz w:val="20"/>
    </w:rPr>
  </w:style>
  <w:style w:type="paragraph" w:styleId="1118" w:customStyle="1">
    <w:name w:val="Body text|21"/>
    <w:basedOn w:val="784"/>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119" w:customStyle="1">
    <w:name w:val="Table Normal"/>
    <w:uiPriority w:val="0"/>
    <w:unhideWhenUsed/>
    <w:qFormat/>
    <w:rPr>
      <w:lang w:val="en-US" w:eastAsia="zh-CN" w:bidi="ar-SA"/>
    </w:rPr>
    <w:tblPr/>
  </w:style>
  <w:style w:type="paragraph" w:styleId="1120" w:customStyle="1">
    <w:name w:val="Table Text"/>
    <w:basedOn w:val="784"/>
    <w:uiPriority w:val="0"/>
    <w:semiHidden/>
    <w:qFormat/>
    <w:rPr>
      <w:rFonts w:ascii="Arial" w:hAnsi="Arial" w:eastAsia="Arial" w:cs="Arial"/>
      <w:sz w:val="21"/>
      <w:szCs w:val="21"/>
      <w:lang w:eastAsia="en-US"/>
    </w:rPr>
  </w:style>
  <w:style w:type="paragraph" w:styleId="1121" w:customStyle="1">
    <w:name w:val="BlockQuote1"/>
    <w:basedOn w:val="784"/>
    <w:uiPriority w:val="0"/>
    <w:qFormat/>
    <w:pPr>
      <w:ind w:left="256" w:right="6" w:firstLine="624"/>
    </w:pPr>
    <w:rPr>
      <w:rFonts w:eastAsia="仿宋_GB2312"/>
      <w:sz w:val="28"/>
    </w:rPr>
  </w:style>
  <w:style w:type="paragraph" w:styleId="1122" w:customStyle="1">
    <w:name w:val="reader-word-layer reader-word-s1-7"/>
    <w:basedOn w:val="784"/>
    <w:uiPriority w:val="0"/>
    <w:qFormat/>
    <w:pPr>
      <w:jc w:val="left"/>
      <w:spacing w:before="100" w:beforeAutospacing="1" w:after="100" w:afterAutospacing="1"/>
      <w:widowControl/>
    </w:pPr>
    <w:rPr>
      <w:rFonts w:ascii="宋体" w:hAnsi="宋体" w:cs="宋体"/>
      <w:sz w:val="24"/>
    </w:rPr>
  </w:style>
  <w:style w:type="paragraph" w:styleId="1123" w:customStyle="1">
    <w:name w:val="首行缩进"/>
    <w:basedOn w:val="784"/>
    <w:uiPriority w:val="99"/>
    <w:qFormat/>
    <w:pPr>
      <w:ind w:firstLine="480"/>
      <w:spacing w:line="360" w:lineRule="auto"/>
    </w:pPr>
    <w:rPr>
      <w:rFonts w:ascii="Calibri" w:hAnsi="Calibri" w:eastAsia="微软雅黑"/>
      <w:sz w:val="24"/>
      <w:szCs w:val="22"/>
      <w:lang w:val="zh-CN"/>
    </w:rPr>
  </w:style>
  <w:style w:type="paragraph" w:styleId="1124" w:customStyle="1">
    <w:name w:val="_HT_正文"/>
    <w:basedOn w:val="784"/>
    <w:uiPriority w:val="0"/>
    <w:qFormat/>
    <w:pPr>
      <w:ind w:firstLine="200"/>
      <w:jc w:val="both"/>
      <w:spacing w:line="360" w:lineRule="auto"/>
    </w:pPr>
    <w:rPr>
      <w:sz w:val="24"/>
    </w:rPr>
  </w:style>
  <w:style w:type="paragraph" w:styleId="1125" w:customStyle="1">
    <w:name w:val="qowt-stl-正文"/>
    <w:basedOn w:val="861"/>
    <w:uiPriority w:val="0"/>
    <w:qFormat/>
    <w:pPr>
      <w:jc w:val="left"/>
      <w:spacing w:before="100" w:beforeAutospacing="1" w:after="100" w:afterAutospacing="1"/>
      <w:widowControl/>
    </w:pPr>
    <w:rPr>
      <w:rFonts w:ascii="宋体" w:hAnsi="宋体"/>
      <w:sz w:val="24"/>
    </w:rPr>
  </w:style>
  <w:style w:type="character" w:styleId="1126" w:customStyle="1">
    <w:name w:val="标题 2 Char"/>
    <w:link w:val="786"/>
    <w:uiPriority w:val="0"/>
    <w:qFormat/>
    <w:rPr>
      <w:rFonts w:ascii="Arial" w:hAnsi="Arial" w:eastAsia="Arial" w:cs="Arial"/>
      <w:sz w:val="34"/>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姚青松</cp:lastModifiedBy>
  <cp:revision>21</cp:revision>
  <dcterms:created xsi:type="dcterms:W3CDTF">2021-06-29T14:28:00Z</dcterms:created>
  <dcterms:modified xsi:type="dcterms:W3CDTF">2026-10-14T03:36:44Z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eyJoZGlkIjoiMjE4Y2Y1ODBlYmNkMGU3YWQzZmFlZWQwNWI5YjUwN2EiLCJ1c2VySWQiOiIzODU2MDU5OTgifQ==</vt:lpwstr>
  </property>
  <property fmtid="{D5CDD505-2E9C-101B-9397-08002B2CF9AE}" pid="3" name="KSOProductBuildVer">
    <vt:lpwstr>2052-12.1.0.28505</vt:lpwstr>
  </property>
  <property fmtid="{D5CDD505-2E9C-101B-9397-08002B2CF9AE}" pid="4" name="ICV">
    <vt:lpwstr>B1AF7CC7FC8A4B63A6D800B9CFDFF4D9_13</vt:lpwstr>
  </property>
</Properties>
</file>