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ind w:firstLine="300"/>
        <w:spacing w:line="360" w:lineRule="auto"/>
        <w:rPr>
          <w:rFonts w:hint="eastAsia" w:ascii="宋体" w:hAnsi="宋体" w:cs="宋体"/>
          <w:color w:val="auto"/>
          <w:sz w:val="60"/>
          <w:szCs w:val="60"/>
          <w:highlight w:val="none"/>
        </w:rPr>
      </w:pPr>
      <w:r>
        <w:rPr>
          <w:rFonts w:hint="eastAsia" w:ascii="宋体" w:hAnsi="宋体" w:cs="宋体"/>
          <w:color w:val="auto"/>
          <w:sz w:val="60"/>
          <w:szCs w:val="60"/>
          <w:highlight w:val="none"/>
        </w:rPr>
      </w:r>
      <w:r/>
    </w:p>
    <w:p>
      <w:pPr>
        <w:jc w:val="center"/>
        <w:rPr>
          <w:rFonts w:hint="eastAsia" w:ascii="宋体" w:hAnsi="宋体" w:cs="宋体"/>
          <w:b/>
          <w:bCs/>
          <w:sz w:val="60"/>
          <w:szCs w:val="60"/>
          <w:highlight w:val="none"/>
        </w:rPr>
        <w:outlineLvl w:val="9"/>
      </w:pPr>
      <w:r/>
      <w:bookmarkStart w:id="0" w:name="_Toc13081"/>
      <w:r/>
      <w:r/>
    </w:p>
    <w:p>
      <w:pPr>
        <w:jc w:val="center"/>
        <w:rPr>
          <w:rFonts w:hint="eastAsia" w:ascii="宋体" w:hAnsi="宋体" w:cs="宋体"/>
          <w:b/>
          <w:bCs/>
          <w:sz w:val="60"/>
          <w:szCs w:val="60"/>
          <w:highlight w:val="none"/>
        </w:rPr>
        <w:outlineLvl w:val="9"/>
      </w:pPr>
      <w:r>
        <w:rPr>
          <w:rFonts w:hint="eastAsia" w:ascii="宋体" w:hAnsi="宋体" w:cs="宋体"/>
          <w:b/>
          <w:bCs/>
          <w:sz w:val="60"/>
          <w:szCs w:val="60"/>
          <w:highlight w:val="none"/>
        </w:rPr>
      </w:r>
      <w:r/>
    </w:p>
    <w:p>
      <w:pPr>
        <w:jc w:val="center"/>
        <w:rPr>
          <w:rFonts w:hint="eastAsia" w:ascii="宋体" w:hAnsi="宋体" w:cs="宋体"/>
          <w:b/>
          <w:bCs/>
          <w:sz w:val="60"/>
          <w:szCs w:val="60"/>
          <w:highlight w:val="none"/>
        </w:rPr>
        <w:outlineLvl w:val="9"/>
      </w:pPr>
      <w:r>
        <w:rPr>
          <w:rFonts w:hint="eastAsia" w:ascii="宋体" w:hAnsi="宋体" w:cs="宋体"/>
          <w:b/>
          <w:bCs/>
          <w:sz w:val="60"/>
          <w:szCs w:val="60"/>
          <w:highlight w:val="none"/>
        </w:rPr>
        <w:t xml:space="preserve">常州市政府采购项目</w:t>
      </w:r>
      <w:bookmarkEnd w:id="0"/>
      <w:r/>
      <w:r/>
    </w:p>
    <w:p>
      <w:pPr>
        <w:jc w:val="center"/>
        <w:spacing w:line="240" w:lineRule="auto"/>
        <w:rPr>
          <w:rFonts w:hint="eastAsia" w:ascii="宋体" w:hAnsi="宋体" w:cs="宋体"/>
          <w:b/>
          <w:bCs/>
          <w:sz w:val="60"/>
          <w:szCs w:val="60"/>
          <w:highlight w:val="none"/>
        </w:rPr>
      </w:pPr>
      <w:r>
        <w:rPr>
          <w:rFonts w:hint="eastAsia" w:ascii="宋体" w:hAnsi="宋体" w:cs="宋体"/>
          <w:b/>
          <w:bCs/>
          <w:sz w:val="60"/>
          <w:szCs w:val="60"/>
          <w:highlight w:val="none"/>
        </w:rPr>
      </w:r>
      <w:r/>
    </w:p>
    <w:p>
      <w:pPr>
        <w:jc w:val="center"/>
        <w:spacing w:line="240" w:lineRule="auto"/>
        <w:rPr>
          <w:rFonts w:hint="eastAsia" w:ascii="宋体" w:hAnsi="宋体" w:cs="宋体"/>
          <w:b/>
          <w:bCs/>
          <w:sz w:val="60"/>
          <w:szCs w:val="60"/>
          <w:highlight w:val="none"/>
        </w:rPr>
        <w:outlineLvl w:val="9"/>
      </w:pPr>
      <w:r/>
      <w:bookmarkStart w:id="1" w:name="_Toc13738"/>
      <w:r>
        <w:rPr>
          <w:rFonts w:hint="eastAsia" w:ascii="宋体" w:hAnsi="宋体" w:cs="宋体"/>
          <w:b/>
          <w:bCs/>
          <w:sz w:val="60"/>
          <w:szCs w:val="60"/>
          <w:highlight w:val="none"/>
        </w:rPr>
        <w:t xml:space="preserve">竞争性磋商文件</w:t>
      </w:r>
      <w:bookmarkEnd w:id="1"/>
      <w:r/>
      <w:r/>
    </w:p>
    <w:p>
      <w:pPr>
        <w:jc w:val="center"/>
        <w:spacing w:line="360" w:lineRule="auto"/>
        <w:rPr>
          <w:rFonts w:hint="eastAsia" w:ascii="宋体" w:hAnsi="宋体" w:cs="宋体"/>
          <w:b/>
          <w:bCs/>
          <w:color w:val="auto"/>
          <w:sz w:val="60"/>
          <w:szCs w:val="60"/>
          <w:highlight w:val="none"/>
        </w:rPr>
      </w:pPr>
      <w:r>
        <w:rPr>
          <w:rFonts w:hint="eastAsia" w:ascii="宋体" w:hAnsi="宋体" w:cs="宋体"/>
          <w:b/>
          <w:bCs/>
          <w:color w:val="auto"/>
          <w:sz w:val="60"/>
          <w:szCs w:val="60"/>
          <w:highlight w:val="none"/>
        </w:rPr>
      </w:r>
      <w:r/>
    </w:p>
    <w:p>
      <w:pPr>
        <w:ind w:left="0" w:firstLine="1080"/>
        <w:spacing w:line="360" w:lineRule="auto"/>
        <w:rPr>
          <w:rFonts w:hint="eastAsia" w:ascii="宋体" w:hAnsi="宋体" w:cs="宋体"/>
          <w:bCs/>
          <w:color w:val="auto"/>
          <w:sz w:val="36"/>
          <w:szCs w:val="36"/>
          <w:highlight w:val="none"/>
        </w:rPr>
      </w:pPr>
      <w:r>
        <w:rPr>
          <w:rFonts w:hint="eastAsia" w:ascii="宋体" w:hAnsi="宋体" w:cs="宋体"/>
          <w:bCs/>
          <w:color w:val="auto"/>
          <w:sz w:val="36"/>
          <w:szCs w:val="36"/>
          <w:highlight w:val="none"/>
        </w:rPr>
        <w:t xml:space="preserve">项目名称：常州市金坛区财政局区本级及乡镇系统</w:t>
      </w:r>
      <w:r/>
    </w:p>
    <w:p>
      <w:pPr>
        <w:ind w:left="0" w:firstLine="2880"/>
        <w:spacing w:line="360" w:lineRule="auto"/>
        <w:rPr>
          <w:rFonts w:hint="eastAsia" w:ascii="宋体" w:hAnsi="宋体" w:eastAsia="宋体" w:cs="宋体"/>
          <w:color w:val="auto"/>
          <w:sz w:val="36"/>
          <w:szCs w:val="36"/>
          <w:highlight w:val="none"/>
          <w:lang w:eastAsia="zh-CN"/>
        </w:rPr>
      </w:pPr>
      <w:r>
        <w:rPr>
          <w:rFonts w:hint="eastAsia" w:ascii="宋体" w:hAnsi="宋体" w:cs="宋体"/>
          <w:bCs/>
          <w:color w:val="auto"/>
          <w:sz w:val="36"/>
          <w:szCs w:val="36"/>
          <w:highlight w:val="none"/>
        </w:rPr>
        <w:t xml:space="preserve">运维服务</w:t>
      </w:r>
      <w:r>
        <w:rPr>
          <w:rFonts w:hint="eastAsia" w:ascii="宋体" w:hAnsi="宋体" w:cs="宋体"/>
          <w:bCs/>
          <w:color w:val="auto"/>
          <w:sz w:val="36"/>
          <w:szCs w:val="36"/>
          <w:highlight w:val="none"/>
          <w:lang w:val="en-US" w:eastAsia="zh-CN"/>
        </w:rPr>
        <w:t xml:space="preserve">项目</w:t>
      </w:r>
      <w:r/>
    </w:p>
    <w:p>
      <w:pPr>
        <w:ind w:firstLine="1080"/>
        <w:spacing w:line="360" w:lineRule="auto"/>
        <w:rPr>
          <w:rFonts w:hint="eastAsia" w:ascii="宋体" w:hAnsi="宋体" w:eastAsia="宋体" w:cs="宋体"/>
          <w:color w:val="auto"/>
          <w:sz w:val="36"/>
          <w:szCs w:val="36"/>
          <w:highlight w:val="none"/>
          <w:lang w:val="en-US" w:eastAsia="zh-CN"/>
        </w:rPr>
      </w:pPr>
      <w:r>
        <w:rPr>
          <w:rFonts w:hint="eastAsia" w:ascii="宋体" w:hAnsi="宋体" w:cs="宋体"/>
          <w:bCs/>
          <w:color w:val="auto"/>
          <w:sz w:val="36"/>
          <w:szCs w:val="36"/>
          <w:highlight w:val="none"/>
        </w:rPr>
        <w:t xml:space="preserve">项目编号：</w:t>
      </w:r>
      <w:r>
        <w:rPr>
          <w:rFonts w:hint="eastAsia" w:ascii="宋体" w:hAnsi="宋体" w:cs="宋体"/>
          <w:color w:val="auto"/>
          <w:sz w:val="36"/>
          <w:szCs w:val="36"/>
          <w:highlight w:val="none"/>
          <w:lang w:eastAsia="zh-CN"/>
        </w:rPr>
        <w:t xml:space="preserve">JSZC-320413-CZZY-C2026-0027</w:t>
      </w:r>
      <w:r/>
    </w:p>
    <w:p>
      <w:pPr>
        <w:ind w:firstLine="1080"/>
        <w:spacing w:line="360" w:lineRule="auto"/>
        <w:rPr>
          <w:rFonts w:hint="eastAsia" w:ascii="宋体" w:hAnsi="宋体" w:eastAsia="宋体" w:cs="宋体"/>
          <w:bCs/>
          <w:color w:val="auto"/>
          <w:sz w:val="36"/>
          <w:szCs w:val="36"/>
          <w:highlight w:val="none"/>
          <w:lang w:eastAsia="zh-CN"/>
        </w:rPr>
      </w:pPr>
      <w:r>
        <w:rPr>
          <w:rFonts w:hint="eastAsia" w:ascii="宋体" w:hAnsi="宋体" w:cs="宋体"/>
          <w:bCs/>
          <w:color w:val="auto"/>
          <w:sz w:val="36"/>
          <w:szCs w:val="36"/>
          <w:highlight w:val="none"/>
        </w:rPr>
        <w:t xml:space="preserve">采 购 人：</w:t>
      </w:r>
      <w:r>
        <w:rPr>
          <w:rFonts w:hint="eastAsia" w:ascii="宋体" w:hAnsi="宋体" w:cs="宋体"/>
          <w:bCs/>
          <w:color w:val="auto"/>
          <w:sz w:val="36"/>
          <w:szCs w:val="36"/>
          <w:highlight w:val="none"/>
          <w:lang w:eastAsia="zh-CN"/>
        </w:rPr>
        <w:t xml:space="preserve">常州市金坛区财政局</w:t>
      </w:r>
      <w:r/>
    </w:p>
    <w:p>
      <w:pPr>
        <w:ind w:firstLine="1080"/>
        <w:spacing w:line="360" w:lineRule="auto"/>
        <w:rPr>
          <w:rFonts w:hint="eastAsia" w:ascii="宋体" w:hAnsi="宋体" w:cs="宋体"/>
          <w:bCs/>
          <w:color w:val="auto"/>
          <w:sz w:val="36"/>
          <w:szCs w:val="36"/>
          <w:highlight w:val="none"/>
        </w:rPr>
      </w:pPr>
      <w:r>
        <w:rPr>
          <w:rFonts w:hint="eastAsia" w:ascii="宋体" w:hAnsi="宋体" w:cs="宋体"/>
          <w:bCs/>
          <w:color w:val="auto"/>
          <w:sz w:val="36"/>
          <w:szCs w:val="36"/>
          <w:highlight w:val="none"/>
        </w:rPr>
        <w:t xml:space="preserve">采购代理机构：常州中宇建设工程管理有限公司</w:t>
      </w:r>
      <w:r/>
    </w:p>
    <w:p>
      <w:pPr>
        <w:pStyle w:val="1244"/>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left"/>
        <w:widowControl/>
        <w:rPr>
          <w:rFonts w:hint="eastAsia" w:ascii="宋体" w:hAnsi="宋体" w:cs="宋体"/>
          <w:color w:val="auto"/>
          <w:sz w:val="24"/>
          <w:highlight w:val="none"/>
        </w:rPr>
      </w:pPr>
      <w:r>
        <w:rPr>
          <w:rFonts w:hint="eastAsia" w:ascii="宋体" w:hAnsi="宋体" w:cs="宋体"/>
          <w:color w:val="auto"/>
          <w:highlight w:val="none"/>
        </w:rPr>
        <w:br w:type="page" w:clear="all"/>
      </w:r>
      <w:r/>
    </w:p>
    <w:p>
      <w:pPr>
        <w:pStyle w:val="1244"/>
        <w:spacing w:line="360" w:lineRule="auto"/>
        <w:rPr>
          <w:rFonts w:hint="eastAsia" w:ascii="宋体" w:hAnsi="宋体" w:cs="宋体"/>
          <w:color w:val="auto"/>
          <w:highlight w:val="none"/>
        </w:rPr>
      </w:pPr>
      <w:r>
        <w:rPr>
          <w:rFonts w:hint="eastAsia" w:ascii="宋体" w:hAnsi="宋体" w:cs="宋体"/>
          <w:color w:val="auto"/>
          <w:highlight w:val="none"/>
        </w:rPr>
      </w:r>
      <w:r/>
    </w:p>
    <w:p>
      <w:pPr>
        <w:jc w:val="center"/>
        <w:spacing w:line="240" w:lineRule="auto"/>
        <w:rPr>
          <w:rFonts w:hint="eastAsia" w:ascii="宋体" w:hAnsi="宋体" w:cs="宋体"/>
          <w:b/>
          <w:bCs/>
          <w:sz w:val="36"/>
          <w:szCs w:val="36"/>
          <w:highlight w:val="none"/>
        </w:rPr>
        <w:outlineLvl w:val="9"/>
      </w:pPr>
      <w:r/>
      <w:bookmarkStart w:id="2" w:name="_Toc104818924"/>
      <w:r/>
      <w:bookmarkStart w:id="3" w:name="_Toc31468"/>
      <w:r>
        <w:rPr>
          <w:rFonts w:hint="eastAsia" w:ascii="宋体" w:hAnsi="宋体" w:cs="宋体"/>
          <w:b/>
          <w:bCs/>
          <w:sz w:val="36"/>
          <w:szCs w:val="36"/>
          <w:highlight w:val="none"/>
        </w:rPr>
        <w:t xml:space="preserve">目录</w:t>
      </w:r>
      <w:bookmarkEnd w:id="2"/>
      <w:r/>
      <w:bookmarkEnd w:id="3"/>
      <w:r/>
      <w:r/>
    </w:p>
    <w:p>
      <w:pPr>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pStyle w:val="1305"/>
        <w:spacing w:line="360" w:lineRule="auto"/>
        <w:tabs>
          <w:tab w:val="right" w:pos="9072"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TOC \o "1-1" \h \u </w:instrText>
      </w:r>
      <w:r>
        <w:rPr>
          <w:rFonts w:hint="eastAsia" w:ascii="宋体" w:hAnsi="宋体" w:cs="宋体"/>
          <w:color w:val="auto"/>
          <w:sz w:val="28"/>
          <w:szCs w:val="28"/>
          <w:highlight w:val="none"/>
        </w:rPr>
        <w:fldChar w:fldCharType="separate"/>
      </w:r>
      <w:r/>
    </w:p>
    <w:p>
      <w:pPr>
        <w:pStyle w:val="1305"/>
        <w:spacing w:line="360" w:lineRule="auto"/>
        <w:tabs>
          <w:tab w:val="right" w:pos="9072"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"_Toc1906"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第一章   采购邀请</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_Toc1906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05"/>
        <w:spacing w:line="360" w:lineRule="auto"/>
        <w:tabs>
          <w:tab w:val="right" w:pos="9072"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"_Toc18300"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第二章   供应商须知</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_Toc18300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05"/>
        <w:spacing w:line="360" w:lineRule="auto"/>
        <w:tabs>
          <w:tab w:val="right" w:pos="9072"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"_Toc15679"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第三章   评审程序、评审方法和评审标准</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_Toc15679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22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05"/>
        <w:spacing w:line="360" w:lineRule="auto"/>
        <w:tabs>
          <w:tab w:val="right" w:pos="9072"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"_Toc14920"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第四章   采购需求</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_Toc14920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36</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05"/>
        <w:spacing w:line="360" w:lineRule="auto"/>
        <w:tabs>
          <w:tab w:val="right" w:pos="9072"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"_Toc7106"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第五章   合同草案条款</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_Toc7106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42</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pStyle w:val="1305"/>
        <w:spacing w:line="360" w:lineRule="auto"/>
        <w:tabs>
          <w:tab w:val="right" w:pos="9072" w:leader="dot"/>
        </w:tabs>
        <w:rPr>
          <w:rFonts w:hint="eastAsia" w:ascii="宋体" w:hAnsi="宋体" w:cs="宋体"/>
          <w:color w:val="auto"/>
          <w:sz w:val="28"/>
          <w:szCs w:val="28"/>
          <w:highlight w:val="none"/>
        </w:rPr>
      </w:pP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HYPERLINK \l "_Toc23397"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第六章   响应文件格式</w:t>
      </w:r>
      <w:r>
        <w:rPr>
          <w:rFonts w:hint="eastAsia" w:ascii="宋体" w:hAnsi="宋体" w:cs="宋体"/>
          <w:color w:val="auto"/>
          <w:sz w:val="28"/>
          <w:szCs w:val="28"/>
          <w:highlight w:val="none"/>
        </w:rPr>
        <w:tab/>
      </w:r>
      <w:r>
        <w:rPr>
          <w:rFonts w:hint="eastAsia" w:ascii="宋体" w:hAnsi="宋体" w:cs="宋体"/>
          <w:color w:val="auto"/>
          <w:sz w:val="28"/>
          <w:szCs w:val="28"/>
          <w:highlight w:val="none"/>
        </w:rPr>
        <w:fldChar w:fldCharType="begin"/>
      </w:r>
      <w:r>
        <w:rPr>
          <w:rFonts w:hint="eastAsia" w:ascii="宋体" w:hAnsi="宋体" w:cs="宋体"/>
          <w:color w:val="auto"/>
          <w:sz w:val="28"/>
          <w:szCs w:val="28"/>
          <w:highlight w:val="none"/>
        </w:rPr>
        <w:instrText xml:space="preserve"> PAGEREF _Toc23397 \h </w:instrText>
      </w:r>
      <w:r>
        <w:rPr>
          <w:rFonts w:hint="eastAsia" w:ascii="宋体" w:hAnsi="宋体" w:cs="宋体"/>
          <w:color w:val="auto"/>
          <w:sz w:val="28"/>
          <w:szCs w:val="28"/>
          <w:highlight w:val="none"/>
        </w:rPr>
        <w:fldChar w:fldCharType="separate"/>
      </w:r>
      <w:r>
        <w:rPr>
          <w:rFonts w:hint="eastAsia" w:ascii="宋体" w:hAnsi="宋体" w:cs="宋体"/>
          <w:color w:val="auto"/>
          <w:sz w:val="28"/>
          <w:szCs w:val="28"/>
          <w:highlight w:val="none"/>
        </w:rPr>
        <w:t xml:space="preserve">49</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fldChar w:fldCharType="end"/>
      </w:r>
      <w:r/>
    </w:p>
    <w:p>
      <w:pPr>
        <w:spacing w:line="360" w:lineRule="auto"/>
        <w:rPr>
          <w:rFonts w:hint="eastAsia" w:ascii="宋体" w:hAnsi="宋体" w:cs="宋体"/>
          <w:color w:val="auto"/>
          <w:sz w:val="22"/>
          <w:szCs w:val="28"/>
          <w:highlight w:val="none"/>
        </w:rPr>
      </w:pPr>
      <w:r>
        <w:rPr>
          <w:rFonts w:hint="eastAsia" w:ascii="宋体" w:hAnsi="宋体" w:cs="宋体"/>
          <w:color w:val="auto"/>
          <w:sz w:val="28"/>
          <w:szCs w:val="28"/>
          <w:highlight w:val="none"/>
        </w:rPr>
        <w:fldChar w:fldCharType="end"/>
      </w:r>
      <w:r/>
    </w:p>
    <w:p>
      <w:pPr>
        <w:pStyle w:val="892"/>
        <w:spacing w:line="360" w:lineRule="auto"/>
        <w:rPr>
          <w:rFonts w:hint="eastAsia" w:cs="宋体"/>
          <w:color w:val="auto"/>
          <w:sz w:val="24"/>
          <w:szCs w:val="24"/>
          <w:highlight w:val="none"/>
        </w:rPr>
      </w:pPr>
      <w:r>
        <w:rPr>
          <w:rFonts w:hint="eastAsia" w:cs="宋体"/>
          <w:color w:val="auto"/>
          <w:sz w:val="24"/>
          <w:szCs w:val="24"/>
          <w:highlight w:val="none"/>
        </w:rPr>
      </w:r>
      <w:r/>
    </w:p>
    <w:p>
      <w:pPr>
        <w:pStyle w:val="1094"/>
        <w:spacing w:line="360" w:lineRule="auto"/>
        <w:rPr>
          <w:rFonts w:hint="eastAsia" w:cs="宋体"/>
          <w:b w:val="0"/>
          <w:color w:val="auto"/>
          <w:sz w:val="44"/>
          <w:szCs w:val="44"/>
          <w:highlight w:val="none"/>
        </w:rPr>
      </w:pPr>
      <w:r>
        <w:rPr>
          <w:rFonts w:hint="eastAsia" w:cs="宋体"/>
          <w:b w:val="0"/>
          <w:color w:val="auto"/>
          <w:sz w:val="44"/>
          <w:szCs w:val="44"/>
          <w:highlight w:val="none"/>
        </w:rPr>
      </w:r>
      <w:r/>
    </w:p>
    <w:p>
      <w:pPr>
        <w:jc w:val="center"/>
        <w:spacing w:line="360" w:lineRule="auto"/>
        <w:rPr>
          <w:rFonts w:hint="eastAsia" w:ascii="宋体" w:hAnsi="宋体" w:eastAsia="宋体" w:cs="宋体"/>
          <w:b/>
          <w:color w:val="auto"/>
          <w:sz w:val="36"/>
          <w:szCs w:val="36"/>
          <w:highlight w:val="none"/>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40" w:right="1080" w:bottom="1440" w:left="1080" w:header="851" w:footer="0" w:gutter="0"/>
          <w:pgNumType w:start="1"/>
          <w:cols w:num="1" w:sep="0" w:space="1701" w:equalWidth="1"/>
          <w:docGrid w:linePitch="360"/>
          <w:titlePg/>
        </w:sectPr>
      </w:pPr>
      <w:r>
        <w:rPr>
          <w:rFonts w:hint="eastAsia" w:ascii="宋体" w:hAnsi="宋体" w:eastAsia="宋体" w:cs="宋体"/>
          <w:b/>
          <w:color w:val="auto"/>
          <w:sz w:val="36"/>
          <w:szCs w:val="36"/>
          <w:highlight w:val="none"/>
        </w:rPr>
      </w:r>
      <w:r/>
    </w:p>
    <w:p>
      <w:pPr>
        <w:jc w:val="center"/>
        <w:spacing w:line="360" w:lineRule="auto"/>
        <w:rPr>
          <w:rFonts w:hint="eastAsia" w:ascii="宋体" w:hAnsi="宋体" w:cs="宋体"/>
          <w:b/>
          <w:color w:val="auto"/>
          <w:sz w:val="36"/>
          <w:szCs w:val="36"/>
          <w:highlight w:val="none"/>
        </w:rPr>
        <w:outlineLvl w:val="0"/>
      </w:pPr>
      <w:r/>
      <w:bookmarkStart w:id="4" w:name="_Toc104818925"/>
      <w:r/>
      <w:bookmarkStart w:id="5" w:name="_Toc1906"/>
      <w:r>
        <w:rPr>
          <w:rFonts w:hint="eastAsia" w:ascii="宋体" w:hAnsi="宋体" w:cs="宋体"/>
          <w:b/>
          <w:color w:val="auto"/>
          <w:sz w:val="36"/>
          <w:szCs w:val="36"/>
          <w:highlight w:val="none"/>
        </w:rPr>
        <w:t xml:space="preserve">第一章   采购邀请</w:t>
      </w:r>
      <w:bookmarkEnd w:id="4"/>
      <w:r/>
      <w:bookmarkEnd w:id="5"/>
      <w:r/>
      <w:r/>
    </w:p>
    <w:p>
      <w:pPr>
        <w:rPr>
          <w:rFonts w:hint="eastAsia" w:ascii="宋体" w:hAnsi="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rPr>
        <w:t xml:space="preserve"> </w:t>
      </w:r>
      <w:r/>
    </w:p>
    <w:tbl>
      <w:tblPr>
        <w:tblStyle w:val="8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354"/>
      </w:tblGrid>
      <w:tr>
        <w:trPr/>
        <w:tc>
          <w:tcPr>
            <w:tcBorders>
              <w:top w:val="single" w:color="808080" w:sz="8" w:space="0"/>
              <w:left w:val="single" w:color="808080" w:sz="8" w:space="0"/>
              <w:bottom w:val="single" w:color="808080" w:sz="8" w:space="0"/>
              <w:right w:val="single" w:color="808080" w:sz="8" w:space="0"/>
            </w:tcBorders>
            <w:tcMar>
              <w:left w:w="15" w:type="dxa"/>
              <w:top w:w="15" w:type="dxa"/>
              <w:right w:w="15" w:type="dxa"/>
              <w:bottom w:w="15" w:type="dxa"/>
            </w:tcMar>
            <w:tcW w:w="9354" w:type="dxa"/>
            <w:vAlign w:val="center"/>
            <w:textDirection w:val="lrTb"/>
            <w:noWrap w:val="false"/>
          </w:tcPr>
          <w:p>
            <w:pPr>
              <w:ind w:left="0" w:right="0" w:firstLine="0"/>
              <w:spacing w:before="0" w:after="210" w:line="312" w:lineRule="auto"/>
              <w:rPr>
                <w:rFonts w:hint="eastAsia"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项目概况</w:t>
            </w:r>
            <w:r/>
          </w:p>
          <w:p>
            <w:pPr>
              <w:ind w:left="0" w:right="0" w:firstLine="0"/>
              <w:spacing w:before="0" w:after="210" w:line="360" w:lineRule="auto"/>
              <w:rPr>
                <w:rFonts w:hint="eastAsia"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u w:val="single"/>
                <w:lang w:eastAsia="zh-CN"/>
              </w:rPr>
              <w:t xml:space="preserve">常州市金坛区财政局区本级及乡镇系统运维服务项目JSZC-320413-CZZY-C2026-0027</w:t>
            </w:r>
            <w:r>
              <w:rPr>
                <w:rFonts w:hint="eastAsia" w:ascii="宋体" w:hAnsi="宋体" w:eastAsia="宋体" w:cs="宋体"/>
                <w:color w:val="auto"/>
                <w:sz w:val="24"/>
                <w:szCs w:val="22"/>
                <w:highlight w:val="none"/>
              </w:rPr>
              <w:t xml:space="preserve">采购项目的潜在供应商应在政府采购一体化平台“苏采云”获取采购文件，并于</w:t>
            </w:r>
            <w:r>
              <w:rPr>
                <w:rFonts w:hint="eastAsia" w:ascii="宋体" w:hAnsi="宋体" w:eastAsia="宋体" w:cs="宋体"/>
                <w:color w:val="auto"/>
                <w:sz w:val="24"/>
                <w:szCs w:val="22"/>
                <w:highlight w:val="none"/>
                <w:u w:val="single"/>
              </w:rPr>
              <w:t xml:space="preserve">202</w:t>
            </w:r>
            <w:r>
              <w:rPr>
                <w:rFonts w:hint="eastAsia" w:ascii="宋体" w:hAnsi="宋体" w:cs="宋体"/>
                <w:color w:val="auto"/>
                <w:sz w:val="24"/>
                <w:szCs w:val="22"/>
                <w:highlight w:val="none"/>
                <w:u w:val="single"/>
                <w:lang w:val="en-US" w:eastAsia="zh-CN"/>
              </w:rPr>
              <w:t xml:space="preserve">6</w:t>
            </w:r>
            <w:r>
              <w:rPr>
                <w:rFonts w:hint="eastAsia" w:ascii="宋体" w:hAnsi="宋体" w:eastAsia="宋体" w:cs="宋体"/>
                <w:color w:val="auto"/>
                <w:sz w:val="24"/>
                <w:szCs w:val="22"/>
                <w:highlight w:val="none"/>
                <w:u w:val="single"/>
              </w:rPr>
              <w:t xml:space="preserve">-</w:t>
            </w:r>
            <w:r>
              <w:rPr>
                <w:rFonts w:hint="eastAsia" w:ascii="宋体" w:hAnsi="宋体" w:cs="宋体"/>
                <w:color w:val="auto"/>
                <w:sz w:val="24"/>
                <w:szCs w:val="22"/>
                <w:highlight w:val="none"/>
                <w:u w:val="single"/>
                <w:lang w:val="en-US" w:eastAsia="zh-CN"/>
              </w:rPr>
              <w:t xml:space="preserve">10</w:t>
            </w:r>
            <w:r>
              <w:rPr>
                <w:rFonts w:hint="eastAsia" w:ascii="宋体" w:hAnsi="宋体" w:eastAsia="宋体" w:cs="宋体"/>
                <w:color w:val="auto"/>
                <w:sz w:val="24"/>
                <w:szCs w:val="22"/>
                <w:highlight w:val="none"/>
                <w:u w:val="single"/>
              </w:rPr>
              <w:t xml:space="preserve">-</w:t>
            </w:r>
            <w:r>
              <w:rPr>
                <w:rFonts w:hint="eastAsia" w:ascii="宋体" w:hAnsi="宋体" w:cs="宋体"/>
                <w:color w:val="auto"/>
                <w:sz w:val="24"/>
                <w:szCs w:val="22"/>
                <w:highlight w:val="none"/>
                <w:u w:val="single"/>
                <w:lang w:val="en-US" w:eastAsia="zh-CN"/>
              </w:rPr>
              <w:t xml:space="preserve">23</w:t>
            </w:r>
            <w:r>
              <w:rPr>
                <w:rFonts w:hint="eastAsia" w:ascii="宋体" w:hAnsi="宋体" w:cs="宋体"/>
                <w:color w:val="auto"/>
                <w:sz w:val="24"/>
                <w:szCs w:val="22"/>
                <w:highlight w:val="none"/>
                <w:u w:val="single"/>
                <w:lang w:val="en-US" w:eastAsia="zh-CN"/>
              </w:rPr>
              <w:t xml:space="preserve"> </w:t>
            </w:r>
            <w:r>
              <w:rPr>
                <w:rFonts w:hint="eastAsia" w:ascii="宋体" w:hAnsi="宋体" w:cs="宋体"/>
                <w:color w:val="auto"/>
                <w:sz w:val="24"/>
                <w:szCs w:val="22"/>
                <w:highlight w:val="none"/>
                <w:u w:val="single"/>
                <w:lang w:val="en-US" w:eastAsia="zh-CN"/>
              </w:rPr>
              <w:t xml:space="preserve">9</w:t>
            </w:r>
            <w:r>
              <w:rPr>
                <w:rFonts w:hint="eastAsia" w:ascii="宋体" w:hAnsi="宋体" w:eastAsia="宋体" w:cs="宋体"/>
                <w:color w:val="auto"/>
                <w:sz w:val="24"/>
                <w:szCs w:val="22"/>
                <w:highlight w:val="none"/>
                <w:u w:val="single"/>
              </w:rPr>
              <w:t xml:space="preserve">:00（北京时间）</w:t>
            </w:r>
            <w:r>
              <w:rPr>
                <w:rFonts w:hint="eastAsia" w:ascii="宋体" w:hAnsi="宋体" w:eastAsia="宋体" w:cs="宋体"/>
                <w:color w:val="auto"/>
                <w:sz w:val="24"/>
                <w:szCs w:val="22"/>
                <w:highlight w:val="none"/>
              </w:rPr>
              <w:t xml:space="preserve">前提交响应文件。</w:t>
            </w:r>
            <w:r/>
          </w:p>
        </w:tc>
      </w:tr>
    </w:tbl>
    <w:p>
      <w:pPr>
        <w:pStyle w:val="800"/>
        <w:ind w:left="0" w:right="0" w:firstLine="0"/>
        <w:spacing w:before="0" w:after="180" w:line="360" w:lineRule="auto"/>
        <w:shd w:val="clear" w:color="ffffff"/>
        <w:rPr>
          <w:rFonts w:hint="eastAsia" w:ascii="宋体" w:hAnsi="宋体" w:eastAsia="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一、项目基本情况</w:t>
      </w:r>
      <w:r/>
    </w:p>
    <w:p>
      <w:pPr>
        <w:ind w:left="0" w:right="0" w:firstLine="0"/>
        <w:spacing w:before="0" w:after="210" w:line="360" w:lineRule="auto"/>
        <w:shd w:val="clear" w:color="ffffff"/>
        <w:rPr>
          <w:rFonts w:hint="eastAsia"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项目编号：</w:t>
      </w:r>
      <w:r>
        <w:rPr>
          <w:rFonts w:hint="eastAsia" w:ascii="宋体" w:hAnsi="宋体" w:cs="宋体"/>
          <w:color w:val="auto"/>
          <w:sz w:val="24"/>
          <w:szCs w:val="22"/>
          <w:highlight w:val="none"/>
          <w:lang w:eastAsia="zh-CN"/>
        </w:rPr>
        <w:tab/>
      </w:r>
      <w:r>
        <w:rPr>
          <w:rFonts w:hint="eastAsia" w:ascii="宋体" w:hAnsi="宋体" w:cs="宋体"/>
          <w:color w:val="auto"/>
          <w:sz w:val="24"/>
          <w:szCs w:val="22"/>
          <w:highlight w:val="none"/>
          <w:lang w:eastAsia="zh-CN"/>
        </w:rPr>
        <w:t xml:space="preserve">JSZC-320413-CZZY-C2026-0027</w:t>
      </w:r>
      <w:r>
        <w:rPr>
          <w:rFonts w:hint="eastAsia" w:ascii="宋体" w:hAnsi="宋体" w:eastAsia="宋体" w:cs="宋体"/>
          <w:color w:val="auto"/>
          <w:sz w:val="24"/>
          <w:szCs w:val="22"/>
          <w:highlight w:val="none"/>
        </w:rPr>
        <w:t xml:space="preserve"> </w:t>
      </w:r>
      <w:r/>
    </w:p>
    <w:p>
      <w:pPr>
        <w:ind w:left="0" w:right="0" w:firstLine="0"/>
        <w:spacing w:before="0" w:after="210" w:line="360" w:lineRule="auto"/>
        <w:shd w:val="clear" w:color="ffffff"/>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项目名称：</w:t>
      </w:r>
      <w:r>
        <w:rPr>
          <w:rFonts w:hint="eastAsia" w:ascii="宋体" w:hAnsi="宋体" w:cs="宋体"/>
          <w:color w:val="auto"/>
          <w:sz w:val="24"/>
          <w:szCs w:val="22"/>
          <w:highlight w:val="none"/>
          <w:lang w:eastAsia="zh-CN"/>
        </w:rPr>
        <w:t xml:space="preserve">常州市金坛区财政局区本级及乡镇系统运维服务项目</w:t>
      </w:r>
      <w:r>
        <w:rPr>
          <w:rFonts w:hint="eastAsia" w:ascii="宋体" w:hAnsi="宋体" w:eastAsia="宋体" w:cs="宋体"/>
          <w:color w:val="auto"/>
          <w:sz w:val="24"/>
          <w:szCs w:val="22"/>
          <w:highlight w:val="none"/>
        </w:rPr>
        <w:t xml:space="preserve"> </w:t>
      </w:r>
      <w:r/>
    </w:p>
    <w:p>
      <w:pPr>
        <w:ind w:left="0" w:right="0" w:firstLine="0"/>
        <w:spacing w:before="0" w:after="210" w:line="360" w:lineRule="auto"/>
        <w:shd w:val="clear" w:color="ffffff"/>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采购方式：竞争性磋商 </w:t>
      </w:r>
      <w:r/>
    </w:p>
    <w:p>
      <w:pPr>
        <w:ind w:left="0" w:right="0" w:firstLine="0"/>
        <w:spacing w:before="0" w:after="210" w:line="360" w:lineRule="auto"/>
        <w:shd w:val="clear" w:color="ffffff"/>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预算金额：</w:t>
      </w:r>
      <w:r>
        <w:rPr>
          <w:rFonts w:hint="eastAsia" w:ascii="宋体" w:hAnsi="宋体" w:eastAsia="宋体" w:cs="宋体"/>
          <w:color w:val="auto"/>
          <w:sz w:val="24"/>
          <w:highlight w:val="none"/>
          <w:lang w:val="en-US" w:eastAsia="zh-CN"/>
        </w:rPr>
        <w:t xml:space="preserve">人民币</w:t>
      </w:r>
      <w:r>
        <w:rPr>
          <w:rFonts w:hint="eastAsia" w:ascii="宋体" w:hAnsi="宋体" w:cs="宋体"/>
          <w:color w:val="auto"/>
          <w:sz w:val="24"/>
          <w:highlight w:val="none"/>
          <w:lang w:val="en-US" w:eastAsia="zh-CN"/>
        </w:rPr>
        <w:t xml:space="preserve">139</w:t>
      </w:r>
      <w:r>
        <w:rPr>
          <w:rFonts w:hint="eastAsia" w:ascii="宋体" w:hAnsi="宋体" w:eastAsia="宋体" w:cs="宋体"/>
          <w:color w:val="auto"/>
          <w:sz w:val="24"/>
          <w:highlight w:val="none"/>
          <w:lang w:val="en-US" w:eastAsia="zh-CN"/>
        </w:rPr>
        <w:t xml:space="preserve">万元</w:t>
      </w:r>
      <w:r>
        <w:rPr>
          <w:rFonts w:hint="eastAsia" w:ascii="宋体" w:hAnsi="宋体" w:eastAsia="宋体" w:cs="宋体"/>
          <w:color w:val="auto"/>
          <w:sz w:val="24"/>
          <w:highlight w:val="none"/>
          <w:lang w:eastAsia="zh-CN"/>
        </w:rPr>
        <w:t xml:space="preserve">。</w:t>
      </w:r>
      <w:r/>
    </w:p>
    <w:p>
      <w:pPr>
        <w:ind w:left="0" w:right="0" w:firstLine="0"/>
        <w:spacing w:before="0" w:after="210" w:line="360" w:lineRule="auto"/>
        <w:shd w:val="clear" w:color="ffffff"/>
        <w:rPr>
          <w:rFonts w:hint="eastAsia" w:ascii="宋体" w:hAnsi="宋体" w:eastAsia="宋体" w:cs="宋体"/>
          <w:sz w:val="24"/>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32"/>
          <w:highlight w:val="none"/>
        </w:rPr>
        <w:t xml:space="preserve">最高限价(如有)</w:t>
      </w:r>
      <w:r>
        <w:rPr>
          <w:rFonts w:hint="eastAsia" w:ascii="宋体" w:hAnsi="宋体" w:cs="宋体"/>
          <w:sz w:val="24"/>
          <w:szCs w:val="32"/>
          <w:highlight w:val="none"/>
          <w:lang w:eastAsia="zh-CN"/>
        </w:rPr>
        <w:t xml:space="preserve">：</w:t>
      </w:r>
      <w:r>
        <w:rPr>
          <w:rFonts w:hint="eastAsia" w:ascii="宋体" w:hAnsi="宋体" w:eastAsia="宋体" w:cs="宋体"/>
          <w:color w:val="auto"/>
          <w:sz w:val="24"/>
          <w:highlight w:val="none"/>
          <w:lang w:val="en-US" w:eastAsia="zh-CN"/>
        </w:rPr>
        <w:t xml:space="preserve">人民币</w:t>
      </w:r>
      <w:r>
        <w:rPr>
          <w:rFonts w:hint="eastAsia" w:ascii="宋体" w:hAnsi="宋体" w:cs="宋体"/>
          <w:color w:val="auto"/>
          <w:sz w:val="24"/>
          <w:highlight w:val="none"/>
          <w:lang w:val="en-US" w:eastAsia="zh-CN"/>
        </w:rPr>
        <w:t xml:space="preserve">139</w:t>
      </w:r>
      <w:r>
        <w:rPr>
          <w:rFonts w:hint="eastAsia" w:ascii="宋体" w:hAnsi="宋体" w:eastAsia="宋体" w:cs="宋体"/>
          <w:color w:val="auto"/>
          <w:sz w:val="24"/>
          <w:highlight w:val="none"/>
          <w:lang w:val="en-US" w:eastAsia="zh-CN"/>
        </w:rPr>
        <w:t xml:space="preserve">万元</w:t>
      </w:r>
      <w:r>
        <w:rPr>
          <w:rFonts w:hint="eastAsia" w:ascii="宋体" w:hAnsi="宋体" w:eastAsia="宋体" w:cs="宋体"/>
          <w:color w:val="auto"/>
          <w:sz w:val="24"/>
          <w:highlight w:val="none"/>
          <w:lang w:val="en-US"/>
        </w:rPr>
        <w:t xml:space="preserve">，</w:t>
      </w:r>
      <w:r>
        <w:rPr>
          <w:rFonts w:hint="eastAsia" w:ascii="宋体" w:hAnsi="宋体" w:eastAsia="宋体" w:cs="宋体"/>
          <w:color w:val="auto"/>
          <w:sz w:val="24"/>
          <w:highlight w:val="none"/>
          <w:lang w:val="en-US" w:eastAsia="zh-CN"/>
        </w:rPr>
        <w:t xml:space="preserve">供应商</w:t>
      </w:r>
      <w:r>
        <w:rPr>
          <w:rFonts w:hint="eastAsia" w:ascii="宋体" w:hAnsi="宋体" w:cs="宋体"/>
          <w:color w:val="auto"/>
          <w:sz w:val="24"/>
          <w:highlight w:val="none"/>
          <w:lang w:val="en-US" w:eastAsia="zh-CN"/>
        </w:rPr>
        <w:t xml:space="preserve">投标报价不得超过最高限价</w:t>
      </w:r>
      <w:r>
        <w:rPr>
          <w:rFonts w:hint="eastAsia" w:ascii="宋体" w:hAnsi="宋体" w:eastAsia="宋体" w:cs="宋体"/>
          <w:color w:val="auto"/>
          <w:sz w:val="24"/>
          <w:highlight w:val="none"/>
          <w:lang w:val="en-US" w:eastAsia="zh-CN"/>
        </w:rPr>
        <w:t xml:space="preserve">，否则作为无效响应处理</w:t>
      </w:r>
      <w:r>
        <w:rPr>
          <w:rFonts w:hint="eastAsia" w:ascii="宋体" w:hAnsi="宋体" w:eastAsia="宋体" w:cs="宋体"/>
          <w:color w:val="auto"/>
          <w:sz w:val="24"/>
          <w:highlight w:val="none"/>
          <w:lang w:val="en-US"/>
        </w:rPr>
        <w:t xml:space="preserve">。</w:t>
      </w:r>
      <w:r/>
    </w:p>
    <w:p>
      <w:pPr>
        <w:ind w:left="0" w:right="0" w:firstLine="0"/>
        <w:spacing w:before="0" w:after="210" w:line="360" w:lineRule="auto"/>
        <w:shd w:val="clear" w:color="ffffff"/>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采购需求：</w:t>
      </w:r>
      <w:r>
        <w:rPr>
          <w:rFonts w:hint="eastAsia" w:ascii="宋体" w:hAnsi="宋体" w:cs="宋体"/>
          <w:color w:val="auto"/>
          <w:sz w:val="24"/>
          <w:szCs w:val="22"/>
          <w:highlight w:val="none"/>
        </w:rPr>
        <w:t xml:space="preserve">本项目</w:t>
      </w:r>
      <w:r>
        <w:rPr>
          <w:rFonts w:hint="eastAsia" w:ascii="宋体" w:hAnsi="宋体" w:cs="宋体"/>
          <w:color w:val="auto"/>
          <w:sz w:val="24"/>
          <w:szCs w:val="22"/>
          <w:highlight w:val="none"/>
          <w:lang w:val="en-US" w:eastAsia="zh-CN"/>
        </w:rPr>
        <w:t xml:space="preserve">为</w:t>
      </w:r>
      <w:r>
        <w:rPr>
          <w:rFonts w:hint="eastAsia" w:ascii="宋体" w:hAnsi="宋体" w:cs="宋体"/>
          <w:color w:val="auto"/>
          <w:sz w:val="24"/>
          <w:szCs w:val="22"/>
          <w:highlight w:val="none"/>
          <w:lang w:eastAsia="zh-CN"/>
        </w:rPr>
        <w:t xml:space="preserve">常州市金坛区财政局区本级及乡镇系统运维服务项目，</w:t>
      </w:r>
      <w:r>
        <w:rPr>
          <w:rFonts w:hint="eastAsia" w:ascii="宋体" w:hAnsi="宋体" w:cs="宋体"/>
          <w:color w:val="auto"/>
          <w:sz w:val="24"/>
          <w:szCs w:val="22"/>
          <w:highlight w:val="none"/>
        </w:rPr>
        <w:t xml:space="preserve">依据省财政一体化建设及常州市非税电子化收缴系统建设的相关文件，需</w:t>
      </w:r>
      <w:r>
        <w:rPr>
          <w:rFonts w:hint="eastAsia" w:ascii="宋体" w:hAnsi="宋体" w:cs="宋体"/>
          <w:color w:val="auto"/>
          <w:sz w:val="24"/>
          <w:szCs w:val="22"/>
          <w:highlight w:val="none"/>
          <w:lang w:val="en-US" w:eastAsia="zh-CN"/>
        </w:rPr>
        <w:t xml:space="preserve">为</w:t>
      </w:r>
      <w:r>
        <w:rPr>
          <w:rFonts w:hint="eastAsia" w:ascii="宋体" w:hAnsi="宋体" w:cs="宋体"/>
          <w:color w:val="auto"/>
          <w:sz w:val="24"/>
          <w:szCs w:val="22"/>
          <w:highlight w:val="none"/>
        </w:rPr>
        <w:t xml:space="preserve">区本级及乡镇</w:t>
      </w:r>
      <w:r>
        <w:rPr>
          <w:rFonts w:hint="eastAsia" w:ascii="宋体" w:hAnsi="宋体" w:eastAsia="宋体" w:cs="宋体"/>
          <w:color w:val="000000"/>
          <w:sz w:val="24"/>
          <w:szCs w:val="24"/>
          <w:highlight w:val="none"/>
        </w:rPr>
        <w:t xml:space="preserve">财政预算管理一体化平台</w:t>
      </w:r>
      <w:r>
        <w:rPr>
          <w:rFonts w:hint="eastAsia" w:ascii="宋体" w:hAnsi="宋体" w:cs="宋体"/>
          <w:color w:val="auto"/>
          <w:sz w:val="24"/>
          <w:szCs w:val="22"/>
          <w:highlight w:val="none"/>
        </w:rPr>
        <w:t xml:space="preserve">、非税电子化收缴系统</w:t>
      </w:r>
      <w:r>
        <w:rPr>
          <w:rFonts w:hint="eastAsia" w:ascii="宋体" w:hAnsi="宋体" w:cs="宋体"/>
          <w:color w:val="auto"/>
          <w:sz w:val="24"/>
          <w:szCs w:val="22"/>
          <w:highlight w:val="none"/>
          <w:lang w:val="en-US" w:eastAsia="zh-CN"/>
        </w:rPr>
        <w:t xml:space="preserve">提供</w:t>
      </w:r>
      <w:r>
        <w:rPr>
          <w:rFonts w:hint="eastAsia" w:ascii="宋体" w:hAnsi="宋体" w:cs="宋体"/>
          <w:color w:val="auto"/>
          <w:sz w:val="24"/>
          <w:szCs w:val="22"/>
          <w:highlight w:val="none"/>
        </w:rPr>
        <w:t xml:space="preserve">运维</w:t>
      </w:r>
      <w:r>
        <w:rPr>
          <w:rFonts w:hint="eastAsia" w:ascii="宋体" w:hAnsi="宋体" w:cs="宋体"/>
          <w:color w:val="auto"/>
          <w:sz w:val="24"/>
          <w:szCs w:val="22"/>
          <w:highlight w:val="none"/>
          <w:lang w:val="en-US" w:eastAsia="zh-CN"/>
        </w:rPr>
        <w:t xml:space="preserve">服务</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包</w:t>
      </w:r>
      <w:r>
        <w:rPr>
          <w:rFonts w:hint="eastAsia" w:ascii="宋体" w:hAnsi="宋体" w:cs="宋体"/>
          <w:color w:val="auto"/>
          <w:sz w:val="24"/>
          <w:szCs w:val="22"/>
          <w:highlight w:val="none"/>
        </w:rPr>
        <w:t xml:space="preserve">含</w:t>
      </w:r>
      <w:r>
        <w:rPr>
          <w:rFonts w:hint="eastAsia" w:ascii="宋体" w:hAnsi="宋体" w:cs="宋体"/>
          <w:color w:val="auto"/>
          <w:sz w:val="24"/>
          <w:szCs w:val="22"/>
          <w:highlight w:val="none"/>
          <w:lang w:val="en-US" w:eastAsia="zh-CN"/>
        </w:rPr>
        <w:t xml:space="preserve">但不限于</w:t>
      </w:r>
      <w:r>
        <w:rPr>
          <w:rFonts w:hint="eastAsia" w:ascii="宋体" w:hAnsi="宋体" w:cs="宋体"/>
          <w:color w:val="auto"/>
          <w:sz w:val="24"/>
          <w:szCs w:val="22"/>
          <w:highlight w:val="none"/>
        </w:rPr>
        <w:t xml:space="preserve">日常系统维护、年度结转、数据备份、故障</w:t>
      </w:r>
      <w:r>
        <w:rPr>
          <w:rFonts w:hint="eastAsia" w:ascii="宋体" w:hAnsi="宋体" w:cs="宋体"/>
          <w:color w:val="auto"/>
          <w:sz w:val="24"/>
          <w:szCs w:val="22"/>
          <w:highlight w:val="none"/>
          <w:lang w:val="en-US" w:eastAsia="zh-CN"/>
        </w:rPr>
        <w:t xml:space="preserve">修复</w:t>
      </w:r>
      <w:r>
        <w:rPr>
          <w:rFonts w:hint="eastAsia" w:ascii="宋体" w:hAnsi="宋体" w:cs="宋体"/>
          <w:color w:val="auto"/>
          <w:sz w:val="24"/>
          <w:szCs w:val="22"/>
          <w:highlight w:val="none"/>
        </w:rPr>
        <w:t xml:space="preserve">、对账数据修复、季度权限审计、多频次操作培训等。</w:t>
      </w:r>
      <w:r/>
    </w:p>
    <w:p>
      <w:pPr>
        <w:ind w:left="0" w:right="0" w:firstLine="0"/>
        <w:spacing w:before="0" w:after="210" w:line="360" w:lineRule="auto"/>
        <w:shd w:val="clear" w:color="ffffff"/>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合同履行期限：</w:t>
      </w:r>
      <w:r>
        <w:rPr>
          <w:rFonts w:hint="eastAsia" w:ascii="宋体" w:hAnsi="宋体" w:cs="宋体"/>
          <w:color w:val="auto"/>
          <w:sz w:val="24"/>
          <w:szCs w:val="22"/>
          <w:highlight w:val="none"/>
          <w:lang w:val="en-US" w:eastAsia="zh-CN"/>
        </w:rPr>
        <w:t xml:space="preserve">自</w:t>
      </w:r>
      <w:r>
        <w:rPr>
          <w:rFonts w:hint="eastAsia" w:ascii="宋体" w:hAnsi="宋体" w:cs="宋体"/>
          <w:color w:val="auto"/>
          <w:sz w:val="24"/>
          <w:highlight w:val="none"/>
          <w:lang w:val="en-US" w:eastAsia="zh-CN"/>
        </w:rPr>
        <w:t xml:space="preserve">合同签订之日起</w:t>
      </w:r>
      <w:r>
        <w:rPr>
          <w:rFonts w:hint="eastAsia" w:ascii="宋体" w:hAnsi="宋体" w:cs="宋体"/>
          <w:color w:val="auto"/>
          <w:sz w:val="24"/>
          <w:highlight w:val="none"/>
        </w:rPr>
        <w:t xml:space="preserve">至20</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rPr>
        <w:t xml:space="preserve">年12月31日</w:t>
      </w:r>
      <w:r>
        <w:rPr>
          <w:rFonts w:hint="eastAsia" w:ascii="宋体" w:hAnsi="宋体" w:cs="宋体"/>
          <w:color w:val="auto"/>
          <w:sz w:val="24"/>
          <w:highlight w:val="none"/>
          <w:lang w:val="en-US" w:eastAsia="zh-CN"/>
        </w:rPr>
        <w:t xml:space="preserve">止</w:t>
      </w:r>
      <w:r>
        <w:rPr>
          <w:rFonts w:hint="eastAsia" w:ascii="宋体" w:hAnsi="宋体" w:cs="宋体"/>
          <w:color w:val="auto"/>
          <w:sz w:val="24"/>
          <w:highlight w:val="none"/>
        </w:rPr>
        <w:t xml:space="preserve">。</w:t>
      </w:r>
      <w:r>
        <w:rPr>
          <w:rFonts w:hint="eastAsia" w:ascii="宋体" w:hAnsi="宋体" w:eastAsia="宋体" w:cs="宋体"/>
          <w:color w:val="auto"/>
          <w:sz w:val="24"/>
          <w:szCs w:val="22"/>
          <w:highlight w:val="none"/>
        </w:rPr>
        <w:t xml:space="preserve"> </w:t>
      </w:r>
      <w:r/>
    </w:p>
    <w:p>
      <w:pPr>
        <w:ind w:left="0" w:right="0" w:firstLine="0"/>
        <w:spacing w:before="0" w:after="210" w:line="360" w:lineRule="auto"/>
        <w:shd w:val="clear" w:color="ffffff"/>
        <w:rPr>
          <w:rFonts w:hint="eastAsia"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本项目（是/否）接受联合体：否 </w:t>
      </w:r>
      <w:r/>
    </w:p>
    <w:p>
      <w:pPr>
        <w:pStyle w:val="800"/>
        <w:ind w:left="0" w:right="0" w:firstLine="0"/>
        <w:spacing w:before="0" w:after="180" w:line="312" w:lineRule="auto"/>
        <w:shd w:val="clear" w:color="ffffff"/>
        <w:rPr>
          <w:rFonts w:hint="eastAsia" w:ascii="宋体" w:hAnsi="宋体" w:eastAsia="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二、申请人的资格要求：</w:t>
      </w:r>
      <w:r/>
    </w:p>
    <w:p>
      <w:pPr>
        <w:ind w:left="0" w:right="0" w:firstLine="0"/>
        <w:spacing w:before="0" w:after="210" w:line="312" w:lineRule="auto"/>
        <w:shd w:val="clear" w:color="ffffff"/>
        <w:rPr>
          <w:rFonts w:hint="eastAsia"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（一）满足《中华人民共和国政府采购法》第二十二条规定：</w:t>
      </w:r>
      <w:r/>
    </w:p>
    <w:p>
      <w:pPr>
        <w:ind w:left="0" w:right="0" w:firstLine="0"/>
        <w:spacing w:before="0" w:after="210" w:line="312" w:lineRule="auto"/>
        <w:shd w:val="clear" w:color="ffff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1.</w:t>
      </w:r>
      <w:r>
        <w:rPr>
          <w:rFonts w:hint="eastAsia" w:ascii="宋体" w:hAnsi="宋体" w:cs="宋体"/>
          <w:color w:val="auto"/>
          <w:sz w:val="24"/>
          <w:szCs w:val="22"/>
          <w:highlight w:val="none"/>
          <w:lang w:eastAsia="zh-CN"/>
        </w:rPr>
        <w:t xml:space="preserve">供应商</w:t>
      </w:r>
      <w:r>
        <w:rPr>
          <w:rFonts w:hint="eastAsia" w:ascii="宋体" w:hAnsi="宋体" w:eastAsia="宋体" w:cs="宋体"/>
          <w:color w:val="auto"/>
          <w:sz w:val="24"/>
          <w:szCs w:val="22"/>
          <w:highlight w:val="none"/>
        </w:rPr>
        <w:t xml:space="preserve">资格声明函</w:t>
      </w:r>
      <w:r/>
    </w:p>
    <w:p>
      <w:pPr>
        <w:ind w:left="0" w:right="0" w:firstLine="0"/>
        <w:spacing w:before="0" w:after="210" w:line="312" w:lineRule="auto"/>
        <w:shd w:val="clear" w:color="ffff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2.</w:t>
      </w:r>
      <w:r>
        <w:rPr>
          <w:rFonts w:hint="eastAsia" w:ascii="宋体" w:hAnsi="宋体" w:cs="宋体"/>
          <w:color w:val="auto"/>
          <w:sz w:val="24"/>
          <w:szCs w:val="22"/>
          <w:highlight w:val="none"/>
          <w:lang w:eastAsia="zh-CN"/>
        </w:rPr>
        <w:t xml:space="preserve">供应商</w:t>
      </w:r>
      <w:r>
        <w:rPr>
          <w:rFonts w:hint="eastAsia" w:ascii="宋体" w:hAnsi="宋体" w:eastAsia="宋体" w:cs="宋体"/>
          <w:color w:val="auto"/>
          <w:sz w:val="24"/>
          <w:szCs w:val="22"/>
          <w:highlight w:val="none"/>
        </w:rPr>
        <w:t xml:space="preserve">信用记录</w:t>
      </w:r>
      <w:r/>
    </w:p>
    <w:p>
      <w:pPr>
        <w:ind w:left="0" w:right="0" w:firstLine="0"/>
        <w:spacing w:before="0" w:after="210" w:line="312" w:lineRule="auto"/>
        <w:shd w:val="clear" w:color="ffffff"/>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3.营业执照副本或事业单位法人证书</w:t>
      </w:r>
      <w:r/>
    </w:p>
    <w:p>
      <w:pPr>
        <w:ind w:left="0" w:right="0" w:firstLine="0"/>
        <w:spacing w:before="0" w:after="210" w:line="312" w:lineRule="auto"/>
        <w:shd w:val="clear" w:color="ffffff"/>
        <w:rPr>
          <w:rFonts w:hint="eastAsia"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（二）落实政府采购政策需满足的资格要求：</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中小企业政策</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本项目不专门面向中小企业预留采购份额。</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■本项目专门面向 ■中小  □小微企业采购。（说明：中小企业包含中型、小型、微型企业，小微企业包含小型、微型企业）</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eastAsia="zh-CN"/>
        </w:rPr>
        <w:t xml:space="preserve">□</w:t>
      </w:r>
      <w:r>
        <w:rPr>
          <w:rFonts w:hint="eastAsia" w:ascii="宋体" w:hAnsi="宋体" w:eastAsia="宋体" w:cs="宋体"/>
          <w:color w:val="auto"/>
          <w:sz w:val="24"/>
          <w:szCs w:val="22"/>
          <w:highlight w:val="none"/>
        </w:rPr>
        <w:t xml:space="preserve">本项目预留部分采购项目预算专门面向中小企业采购。对于预留份额，提供的货物由符合政策要求的中小企业制造、服务由符合政策要求的中小企业承接。预留份额通过以下措施进行：______/_____。</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2.其它落实政府采购政策的资格要求（如有）：_____/____。</w:t>
      </w:r>
      <w:r/>
    </w:p>
    <w:p>
      <w:pPr>
        <w:ind w:left="0" w:right="0" w:firstLine="0"/>
        <w:spacing w:before="0" w:after="280" w:line="312" w:lineRule="auto"/>
        <w:shd w:val="clear" w:color="auto" w:fill="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（三）本项目的特定资格要求：</w:t>
      </w:r>
      <w:r/>
    </w:p>
    <w:p>
      <w:pPr>
        <w:ind w:firstLine="0"/>
        <w:spacing w:after="280" w:line="312" w:lineRule="auto"/>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1.</w:t>
      </w:r>
      <w:r>
        <w:rPr>
          <w:rFonts w:hint="eastAsia" w:ascii="宋体" w:hAnsi="宋体" w:eastAsia="宋体" w:cs="宋体"/>
          <w:color w:val="auto"/>
          <w:sz w:val="24"/>
          <w:szCs w:val="22"/>
          <w:highlight w:val="none"/>
        </w:rPr>
        <w:t xml:space="preserve">本项目是否接受分支机构参与响应：□是   ■否；</w:t>
      </w:r>
      <w:r/>
    </w:p>
    <w:p>
      <w:pPr>
        <w:ind w:firstLine="0"/>
        <w:spacing w:after="280" w:line="312" w:lineRule="auto"/>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2.</w:t>
      </w:r>
      <w:r>
        <w:rPr>
          <w:rFonts w:hint="eastAsia" w:ascii="宋体" w:hAnsi="宋体" w:eastAsia="宋体" w:cs="宋体"/>
          <w:color w:val="auto"/>
          <w:sz w:val="24"/>
          <w:szCs w:val="22"/>
          <w:highlight w:val="none"/>
        </w:rPr>
        <w:t xml:space="preserve">本项目是否属于政府购买服务：</w:t>
      </w:r>
      <w:r/>
    </w:p>
    <w:p>
      <w:pPr>
        <w:ind w:firstLine="0"/>
        <w:spacing w:after="280" w:line="312" w:lineRule="auto"/>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□否；</w:t>
      </w:r>
      <w:r/>
    </w:p>
    <w:p>
      <w:pPr>
        <w:ind w:firstLine="0"/>
        <w:spacing w:after="280" w:line="312" w:lineRule="auto"/>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■是，公益一类事业单位、使用事业编制且由财政拨款保障的群团组织，不得作为承接主体；</w:t>
      </w:r>
      <w:r/>
    </w:p>
    <w:p>
      <w:pPr>
        <w:ind w:firstLine="0"/>
        <w:spacing w:after="280" w:line="312" w:lineRule="auto"/>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2"/>
          <w:highlight w:val="none"/>
          <w:lang w:val="en-US" w:eastAsia="zh-CN"/>
        </w:rPr>
        <w:t xml:space="preserve">3.</w:t>
      </w:r>
      <w:r>
        <w:rPr>
          <w:rFonts w:hint="eastAsia" w:ascii="宋体" w:hAnsi="宋体" w:eastAsia="宋体" w:cs="宋体"/>
          <w:color w:val="auto"/>
          <w:sz w:val="24"/>
          <w:szCs w:val="22"/>
          <w:highlight w:val="none"/>
        </w:rPr>
        <w:t xml:space="preserve">其他特定资格要求：</w:t>
      </w:r>
      <w:r>
        <w:rPr>
          <w:rFonts w:hint="eastAsia" w:ascii="宋体" w:hAnsi="宋体" w:cs="宋体"/>
          <w:color w:val="auto"/>
          <w:sz w:val="24"/>
          <w:highlight w:val="none"/>
          <w:lang w:val="en-US" w:eastAsia="zh-CN" w:bidi="ar"/>
        </w:rPr>
        <w:t xml:space="preserve">/</w:t>
      </w:r>
      <w:r/>
    </w:p>
    <w:p>
      <w:pPr>
        <w:pStyle w:val="800"/>
        <w:ind w:left="0" w:right="0" w:firstLine="0"/>
        <w:spacing w:before="0" w:after="180" w:line="312" w:lineRule="auto"/>
        <w:shd w:val="clear" w:color="ffffff"/>
        <w:rPr>
          <w:rFonts w:hint="eastAsia" w:ascii="宋体" w:hAnsi="宋体" w:eastAsia="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三、获取采购文件</w:t>
      </w:r>
      <w:r/>
    </w:p>
    <w:p>
      <w:pPr>
        <w:ind w:left="0" w:right="0" w:firstLine="0"/>
        <w:spacing w:before="0" w:after="210" w:line="312" w:lineRule="auto"/>
        <w:shd w:val="clear" w:color="ffffff"/>
        <w:rPr>
          <w:rFonts w:hint="eastAsia"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时间：自磋商文件公告发布之日起5个工作日 </w:t>
      </w:r>
      <w:r/>
    </w:p>
    <w:p>
      <w:pPr>
        <w:ind w:left="0" w:right="0" w:firstLine="0"/>
        <w:spacing w:before="0" w:after="210" w:line="312" w:lineRule="auto"/>
        <w:shd w:val="clear" w:color="ffffff"/>
        <w:rPr>
          <w:rFonts w:hint="eastAsia"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地点：政府采购一体化平台“苏采云” </w:t>
      </w:r>
      <w:r/>
    </w:p>
    <w:p>
      <w:pPr>
        <w:ind w:left="0" w:right="0" w:firstLine="0"/>
        <w:spacing w:before="0" w:after="210" w:line="312" w:lineRule="auto"/>
        <w:shd w:val="clear" w:color="ffffff"/>
        <w:rPr>
          <w:rFonts w:hint="eastAsia"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方式：</w:t>
      </w:r>
      <w:r>
        <w:rPr>
          <w:rFonts w:hint="eastAsia" w:ascii="宋体" w:hAnsi="宋体" w:cs="宋体"/>
          <w:color w:val="auto"/>
          <w:sz w:val="24"/>
          <w:szCs w:val="22"/>
          <w:highlight w:val="none"/>
          <w:lang w:eastAsia="zh-CN"/>
        </w:rPr>
        <w:t xml:space="preserve">供应商</w:t>
      </w:r>
      <w:r>
        <w:rPr>
          <w:rFonts w:hint="eastAsia" w:ascii="宋体" w:hAnsi="宋体" w:eastAsia="宋体" w:cs="宋体"/>
          <w:color w:val="auto"/>
          <w:sz w:val="24"/>
          <w:szCs w:val="22"/>
          <w:highlight w:val="none"/>
        </w:rPr>
        <w:t xml:space="preserve">持CA数字认证证书登录政府采购一体化平台“苏采云”（http://jszfcg.jsczt.cn/jszc/login）获取电子版</w:t>
      </w:r>
      <w:r>
        <w:rPr>
          <w:rFonts w:hint="eastAsia" w:ascii="宋体" w:hAnsi="宋体" w:cs="宋体"/>
          <w:color w:val="auto"/>
          <w:sz w:val="24"/>
          <w:szCs w:val="22"/>
          <w:highlight w:val="none"/>
          <w:lang w:eastAsia="zh-CN"/>
        </w:rPr>
        <w:t xml:space="preserve">磋商文件</w:t>
      </w:r>
      <w:r>
        <w:rPr>
          <w:rFonts w:hint="eastAsia" w:ascii="宋体" w:hAnsi="宋体" w:eastAsia="宋体" w:cs="宋体"/>
          <w:color w:val="auto"/>
          <w:sz w:val="24"/>
          <w:szCs w:val="22"/>
          <w:highlight w:val="none"/>
        </w:rPr>
        <w:t xml:space="preserve">。 </w:t>
      </w:r>
      <w:r/>
    </w:p>
    <w:p>
      <w:pPr>
        <w:ind w:left="0" w:right="0" w:firstLine="0"/>
        <w:spacing w:before="0" w:after="210" w:line="312" w:lineRule="auto"/>
        <w:shd w:val="clear" w:color="ffffff"/>
        <w:rPr>
          <w:rFonts w:hint="eastAsia"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售价：0.00元 </w:t>
      </w:r>
      <w:r/>
    </w:p>
    <w:p>
      <w:pPr>
        <w:pStyle w:val="800"/>
        <w:ind w:left="0" w:right="0" w:firstLine="0"/>
        <w:spacing w:before="0" w:after="180" w:line="312" w:lineRule="auto"/>
        <w:shd w:val="clear" w:color="ffffff"/>
        <w:rPr>
          <w:rFonts w:hint="eastAsia" w:ascii="宋体" w:hAnsi="宋体" w:eastAsia="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四、响应文件提交</w:t>
      </w:r>
      <w:r/>
    </w:p>
    <w:p>
      <w:pPr>
        <w:ind w:left="0" w:right="0" w:firstLine="0"/>
        <w:spacing w:before="0" w:after="210" w:line="312" w:lineRule="auto"/>
        <w:shd w:val="clear" w:color="ffffff"/>
        <w:rPr>
          <w:rFonts w:hint="eastAsia" w:ascii="宋体" w:hAnsi="宋体" w:cs="宋体"/>
          <w:color w:val="ff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2"/>
          <w:highlight w:val="none"/>
        </w:rPr>
        <w:t xml:space="preserve">截止时间：202</w:t>
      </w:r>
      <w:r>
        <w:rPr>
          <w:rFonts w:hint="eastAsia" w:ascii="宋体" w:hAnsi="宋体" w:cs="宋体"/>
          <w:color w:val="ff0000"/>
          <w:sz w:val="24"/>
          <w:szCs w:val="22"/>
          <w:highlight w:val="none"/>
          <w:lang w:val="en-US" w:eastAsia="zh-CN"/>
        </w:rPr>
        <w:t xml:space="preserve">6</w:t>
      </w:r>
      <w:r>
        <w:rPr>
          <w:rFonts w:hint="eastAsia" w:ascii="宋体" w:hAnsi="宋体" w:eastAsia="宋体" w:cs="宋体"/>
          <w:color w:val="ff0000"/>
          <w:sz w:val="24"/>
          <w:szCs w:val="22"/>
          <w:highlight w:val="none"/>
        </w:rPr>
        <w:t xml:space="preserve">-</w:t>
      </w:r>
      <w:r>
        <w:rPr>
          <w:rFonts w:hint="eastAsia" w:ascii="宋体" w:hAnsi="宋体" w:cs="宋体"/>
          <w:color w:val="ff0000"/>
          <w:sz w:val="24"/>
          <w:szCs w:val="22"/>
          <w:highlight w:val="none"/>
          <w:lang w:val="en-US" w:eastAsia="zh-CN"/>
        </w:rPr>
        <w:t xml:space="preserve">10</w:t>
      </w:r>
      <w:r>
        <w:rPr>
          <w:rFonts w:hint="eastAsia" w:ascii="宋体" w:hAnsi="宋体" w:eastAsia="宋体" w:cs="宋体"/>
          <w:color w:val="ff0000"/>
          <w:sz w:val="24"/>
          <w:szCs w:val="22"/>
          <w:highlight w:val="none"/>
        </w:rPr>
        <w:t xml:space="preserve">-</w:t>
      </w:r>
      <w:r>
        <w:rPr>
          <w:rFonts w:hint="eastAsia" w:ascii="宋体" w:hAnsi="宋体" w:cs="宋体"/>
          <w:color w:val="ff0000"/>
          <w:sz w:val="24"/>
          <w:szCs w:val="22"/>
          <w:highlight w:val="none"/>
          <w:lang w:val="en-US" w:eastAsia="zh-CN"/>
        </w:rPr>
        <w:t xml:space="preserve">23</w:t>
      </w:r>
      <w:r>
        <w:rPr>
          <w:rFonts w:hint="eastAsia" w:ascii="宋体" w:hAnsi="宋体" w:cs="宋体"/>
          <w:color w:val="ff0000"/>
          <w:sz w:val="24"/>
          <w:szCs w:val="22"/>
          <w:highlight w:val="none"/>
          <w:lang w:val="en-US" w:eastAsia="zh-CN"/>
        </w:rPr>
        <w:t xml:space="preserve">  </w:t>
      </w:r>
      <w:r>
        <w:rPr>
          <w:rFonts w:hint="eastAsia" w:ascii="宋体" w:hAnsi="宋体" w:cs="宋体"/>
          <w:color w:val="ff0000"/>
          <w:sz w:val="24"/>
          <w:szCs w:val="22"/>
          <w:highlight w:val="none"/>
          <w:lang w:val="en-US" w:eastAsia="zh-CN"/>
        </w:rPr>
        <w:t xml:space="preserve">9</w:t>
      </w:r>
      <w:r>
        <w:rPr>
          <w:rFonts w:hint="eastAsia" w:ascii="宋体" w:hAnsi="宋体" w:eastAsia="宋体" w:cs="宋体"/>
          <w:color w:val="ff0000"/>
          <w:sz w:val="24"/>
          <w:szCs w:val="22"/>
          <w:highlight w:val="none"/>
        </w:rPr>
        <w:t xml:space="preserve">:00 （北京时间）</w:t>
      </w:r>
      <w:r/>
    </w:p>
    <w:p>
      <w:pPr>
        <w:ind w:left="0" w:right="0" w:firstLine="0"/>
        <w:spacing w:before="0" w:after="210" w:line="312" w:lineRule="auto"/>
        <w:shd w:val="clear" w:color="ffffff"/>
        <w:rPr>
          <w:rFonts w:hint="eastAsia"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地点：政府采购一体化平台“苏采云” </w:t>
      </w:r>
      <w:r/>
    </w:p>
    <w:p>
      <w:pPr>
        <w:pStyle w:val="800"/>
        <w:ind w:left="0" w:right="0" w:firstLine="0"/>
        <w:spacing w:before="0" w:after="180" w:line="312" w:lineRule="auto"/>
        <w:shd w:val="clear" w:color="ffffff"/>
        <w:rPr>
          <w:rFonts w:hint="eastAsia" w:ascii="宋体" w:hAnsi="宋体" w:eastAsia="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五、开启</w:t>
      </w:r>
      <w:r/>
    </w:p>
    <w:p>
      <w:pPr>
        <w:ind w:left="0" w:right="0" w:firstLine="0"/>
        <w:spacing w:before="0" w:after="210" w:line="312" w:lineRule="auto"/>
        <w:shd w:val="clear" w:color="ffffff"/>
        <w:rPr>
          <w:rFonts w:hint="eastAsia" w:ascii="宋体" w:hAnsi="宋体" w:cs="宋体"/>
          <w:color w:val="ff0000"/>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ff0000"/>
          <w:sz w:val="24"/>
          <w:szCs w:val="22"/>
          <w:highlight w:val="none"/>
        </w:rPr>
        <w:t xml:space="preserve">时间：202</w:t>
      </w:r>
      <w:r>
        <w:rPr>
          <w:rFonts w:hint="eastAsia" w:ascii="宋体" w:hAnsi="宋体" w:cs="宋体"/>
          <w:color w:val="ff0000"/>
          <w:sz w:val="24"/>
          <w:szCs w:val="22"/>
          <w:highlight w:val="none"/>
          <w:lang w:val="en-US" w:eastAsia="zh-CN"/>
        </w:rPr>
        <w:t xml:space="preserve">6</w:t>
      </w:r>
      <w:r>
        <w:rPr>
          <w:rFonts w:hint="eastAsia" w:ascii="宋体" w:hAnsi="宋体" w:eastAsia="宋体" w:cs="宋体"/>
          <w:color w:val="ff0000"/>
          <w:sz w:val="24"/>
          <w:szCs w:val="22"/>
          <w:highlight w:val="none"/>
        </w:rPr>
        <w:t xml:space="preserve">-</w:t>
      </w:r>
      <w:r>
        <w:rPr>
          <w:rFonts w:hint="eastAsia" w:ascii="宋体" w:hAnsi="宋体" w:cs="宋体"/>
          <w:color w:val="ff0000"/>
          <w:sz w:val="24"/>
          <w:szCs w:val="22"/>
          <w:highlight w:val="none"/>
          <w:lang w:val="en-US" w:eastAsia="zh-CN"/>
        </w:rPr>
        <w:t xml:space="preserve">10</w:t>
      </w:r>
      <w:r>
        <w:rPr>
          <w:rFonts w:hint="eastAsia" w:ascii="宋体" w:hAnsi="宋体" w:eastAsia="宋体" w:cs="宋体"/>
          <w:color w:val="ff0000"/>
          <w:sz w:val="24"/>
          <w:szCs w:val="22"/>
          <w:highlight w:val="none"/>
        </w:rPr>
        <w:t xml:space="preserve">-</w:t>
      </w:r>
      <w:r>
        <w:rPr>
          <w:rFonts w:hint="eastAsia" w:ascii="宋体" w:hAnsi="宋体" w:cs="宋体"/>
          <w:color w:val="ff0000"/>
          <w:sz w:val="24"/>
          <w:szCs w:val="22"/>
          <w:highlight w:val="none"/>
          <w:lang w:val="en-US" w:eastAsia="zh-CN"/>
        </w:rPr>
        <w:t xml:space="preserve">23</w:t>
      </w:r>
      <w:r>
        <w:rPr>
          <w:rFonts w:hint="eastAsia" w:ascii="宋体" w:hAnsi="宋体" w:cs="宋体"/>
          <w:color w:val="ff0000"/>
          <w:sz w:val="24"/>
          <w:szCs w:val="22"/>
          <w:highlight w:val="none"/>
          <w:lang w:val="en-US" w:eastAsia="zh-CN"/>
        </w:rPr>
        <w:t xml:space="preserve">  </w:t>
      </w:r>
      <w:r>
        <w:rPr>
          <w:rFonts w:hint="eastAsia" w:ascii="宋体" w:hAnsi="宋体" w:cs="宋体"/>
          <w:color w:val="ff0000"/>
          <w:sz w:val="24"/>
          <w:szCs w:val="22"/>
          <w:highlight w:val="none"/>
          <w:lang w:val="en-US" w:eastAsia="zh-CN"/>
        </w:rPr>
        <w:t xml:space="preserve">9</w:t>
      </w:r>
      <w:r>
        <w:rPr>
          <w:rFonts w:hint="eastAsia" w:ascii="宋体" w:hAnsi="宋体" w:eastAsia="宋体" w:cs="宋体"/>
          <w:color w:val="ff0000"/>
          <w:sz w:val="24"/>
          <w:szCs w:val="22"/>
          <w:highlight w:val="none"/>
        </w:rPr>
        <w:t xml:space="preserve">:00 （北京时间）</w:t>
      </w:r>
      <w:r/>
    </w:p>
    <w:p>
      <w:pPr>
        <w:ind w:left="0" w:right="0" w:firstLine="0"/>
        <w:spacing w:before="0" w:after="210" w:line="312" w:lineRule="auto"/>
        <w:shd w:val="clear" w:color="ffffff"/>
        <w:rPr>
          <w:rFonts w:hint="eastAsia"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地点：“苏采云”政府采购交易系统网上开标大厅开标室 </w:t>
      </w:r>
      <w:r/>
    </w:p>
    <w:p>
      <w:pPr>
        <w:pStyle w:val="800"/>
        <w:ind w:left="0" w:right="0" w:firstLine="0"/>
        <w:spacing w:before="0" w:after="180" w:line="312" w:lineRule="auto"/>
        <w:shd w:val="clear" w:color="ffffff"/>
        <w:rPr>
          <w:rFonts w:hint="eastAsia" w:ascii="宋体" w:hAnsi="宋体" w:eastAsia="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六、公告期限</w:t>
      </w:r>
      <w:r/>
    </w:p>
    <w:p>
      <w:pPr>
        <w:ind w:left="0" w:right="0" w:firstLine="0"/>
        <w:spacing w:before="0" w:after="210" w:line="312" w:lineRule="auto"/>
        <w:shd w:val="clear" w:color="ffffff"/>
        <w:rPr>
          <w:rFonts w:hint="eastAsia" w:ascii="宋体" w:hAnsi="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自本公告发布之日起3个工作日。</w:t>
      </w:r>
      <w:r/>
    </w:p>
    <w:p>
      <w:pPr>
        <w:pStyle w:val="800"/>
        <w:ind w:left="0" w:right="0" w:firstLine="0"/>
        <w:spacing w:before="0" w:after="180" w:line="312" w:lineRule="auto"/>
        <w:shd w:val="clear" w:color="ffffff"/>
        <w:rPr>
          <w:rFonts w:hint="eastAsia" w:ascii="宋体" w:hAnsi="宋体" w:eastAsia="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七、其他补充事宜</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1.本项目需要落实的政府采购政策：/。</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2.现场勘察及澄清：</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2.1采购人不组织现场勘察。   </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2.2有关本次采购的事项若存在变动或修改，采购代理机构将通过更正公告形式发布，因未能及时了解相关最新信息所引起的投标失误责任由供应商自负。</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本项目采用全流程电子化采购方式，请供应商认真学习常州市政府采购网发布的相关操作手册，办理CA认证证书、进行政府采购一体化平台“苏采云”注册绑定，并认真核实数字认证证书情况确认是否符合本项目电子化采购流程要求。</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技术支持服务热线   0519-85588210</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CA认证证书办理（可邮寄）联系电话  0519-85588120</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3.1办理CA认证证书</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供应商登录常州市政府采购网“下载中心”下载并查阅 “政府采购一体化平台“苏采云”（</w:t>
      </w:r>
      <w:r>
        <w:rPr>
          <w:rFonts w:hint="eastAsia" w:ascii="宋体" w:hAnsi="宋体" w:cs="宋体"/>
          <w:color w:val="auto"/>
          <w:sz w:val="24"/>
          <w:szCs w:val="22"/>
          <w:highlight w:val="none"/>
          <w:lang w:eastAsia="zh-CN"/>
        </w:rPr>
        <w:t xml:space="preserve">供应商</w:t>
      </w:r>
      <w:r>
        <w:rPr>
          <w:rFonts w:hint="eastAsia" w:ascii="宋体" w:hAnsi="宋体" w:eastAsia="宋体" w:cs="宋体"/>
          <w:color w:val="auto"/>
          <w:sz w:val="24"/>
          <w:szCs w:val="22"/>
          <w:highlight w:val="none"/>
        </w:rPr>
        <w:t xml:space="preserve">）国信CA证书办理指南”，按照程序要求办理。</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3.2注册</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供应商登录常州市政府采购网“下载中心”-“政府采购一体化平台“苏采云”</w:t>
      </w:r>
      <w:r>
        <w:rPr>
          <w:rFonts w:hint="eastAsia" w:ascii="宋体" w:hAnsi="宋体" w:cs="宋体"/>
          <w:color w:val="auto"/>
          <w:sz w:val="24"/>
          <w:szCs w:val="22"/>
          <w:highlight w:val="none"/>
          <w:lang w:eastAsia="zh-CN"/>
        </w:rPr>
        <w:t xml:space="preserve">供应商</w:t>
      </w:r>
      <w:r>
        <w:rPr>
          <w:rFonts w:hint="eastAsia" w:ascii="宋体" w:hAnsi="宋体" w:eastAsia="宋体" w:cs="宋体"/>
          <w:color w:val="auto"/>
          <w:sz w:val="24"/>
          <w:szCs w:val="22"/>
          <w:highlight w:val="none"/>
        </w:rPr>
        <w:t xml:space="preserve">操作指南”下载相关操作手册、操作视频等，查阅后进行自助注册。</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3.3控件、客户端下载</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供应商登录</w:t>
      </w:r>
      <w:r>
        <w:rPr>
          <w:rFonts w:hint="eastAsia" w:ascii="宋体" w:hAnsi="宋体" w:eastAsia="宋体" w:cs="宋体"/>
          <w:color w:val="auto"/>
          <w:sz w:val="24"/>
          <w:highlight w:val="none"/>
        </w:rPr>
        <w:t xml:space="preserve">常州市政府采购网“下载中心”-“政府采购一体化平台“苏采云”</w:t>
      </w: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客户端下载”下载相关控件和客户端</w:t>
      </w:r>
      <w:r>
        <w:rPr>
          <w:rFonts w:hint="eastAsia" w:ascii="宋体" w:hAnsi="宋体" w:eastAsia="宋体" w:cs="宋体"/>
          <w:color w:val="auto"/>
          <w:sz w:val="24"/>
          <w:szCs w:val="22"/>
          <w:highlight w:val="none"/>
        </w:rPr>
        <w:t xml:space="preserve">。</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3.4获取电子磋商文件</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供应商持CA数字认证证书登录政府采购一体化平台“苏采云”获取电子磋商文件。未在规定期限内通过政府采购一体化平台“苏采云”获取磋商文件的响应无效。</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3.5编制电子响应文件</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3.6提交电子响应文件</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供应商应于响应截止时间前在政府采购一体化平台“苏采云”提交电子响应文件，上传电子响应文件过程中请保持与互联网的连接畅通。</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3.7电子开标</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供应商使用CA认证证书登录政府采购一体化平台“苏采云”进行电子化不见面开标。</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3.8注意事项</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4.关于常州市中小企业政府采购信用融资：</w:t>
      </w:r>
      <w:r/>
    </w:p>
    <w:p>
      <w:pPr>
        <w:ind w:left="0" w:right="0" w:firstLine="0"/>
        <w:spacing w:before="0" w:after="280" w:line="312" w:lineRule="auto"/>
        <w:rPr>
          <w:rFonts w:hint="eastAsia" w:ascii="宋体" w:hAnsi="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pStyle w:val="800"/>
        <w:ind w:left="0" w:right="0" w:firstLine="0"/>
        <w:spacing w:before="0" w:after="180" w:line="312" w:lineRule="auto"/>
        <w:shd w:val="clear" w:color="ffffff"/>
        <w:rPr>
          <w:rFonts w:hint="eastAsia" w:ascii="宋体" w:hAnsi="宋体" w:eastAsia="宋体" w:cs="宋体"/>
          <w:color w:val="auto"/>
          <w:sz w:val="32"/>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2"/>
          <w:highlight w:val="none"/>
        </w:rPr>
        <w:t xml:space="preserve">八、凡对本次采购提出询问，请按以下方式联系。</w:t>
      </w:r>
      <w:r/>
    </w:p>
    <w:p>
      <w:pPr>
        <w:ind w:left="0" w:right="0" w:firstLine="0"/>
        <w:spacing w:before="0" w:after="280" w:line="240" w:lineRule="auto"/>
        <w:shd w:val="clear" w:color="auto"/>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1.采购人信息</w:t>
      </w:r>
      <w:r/>
    </w:p>
    <w:p>
      <w:pPr>
        <w:ind w:left="0" w:right="0" w:firstLine="0"/>
        <w:spacing w:before="0" w:after="280" w:line="240" w:lineRule="auto"/>
        <w:rPr>
          <w:rFonts w:hint="eastAsia" w:ascii="宋体" w:hAnsi="宋体" w:eastAsia="宋体" w:cs="宋体"/>
          <w:color w:val="auto"/>
          <w:sz w:val="24"/>
          <w:szCs w:val="2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单位名称：</w:t>
      </w:r>
      <w:r>
        <w:rPr>
          <w:rFonts w:hint="eastAsia" w:ascii="宋体" w:hAnsi="宋体" w:cs="宋体"/>
          <w:color w:val="auto"/>
          <w:sz w:val="24"/>
          <w:szCs w:val="22"/>
          <w:highlight w:val="none"/>
          <w:lang w:eastAsia="zh-CN"/>
        </w:rPr>
        <w:t xml:space="preserve">常州市金坛区财政局</w:t>
      </w:r>
      <w:r/>
    </w:p>
    <w:p>
      <w:pPr>
        <w:ind w:firstLine="0"/>
        <w:jc w:val="left"/>
        <w:spacing w:after="280" w:line="240" w:lineRule="auto"/>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单位地址：</w:t>
      </w:r>
      <w:r>
        <w:rPr>
          <w:rFonts w:hint="eastAsia" w:ascii="宋体" w:hAnsi="宋体" w:cs="宋体"/>
          <w:color w:val="auto"/>
          <w:sz w:val="24"/>
          <w:highlight w:val="none"/>
        </w:rPr>
        <w:t xml:space="preserve">江苏省常州市金坛区清风路1号市民中心A座8楼</w:t>
      </w:r>
      <w:r/>
    </w:p>
    <w:p>
      <w:pPr>
        <w:ind w:left="0" w:right="0" w:firstLine="0"/>
        <w:spacing w:before="0" w:after="280" w:line="240" w:lineRule="auto"/>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联系方式</w:t>
      </w:r>
      <w:r>
        <w:rPr>
          <w:rFonts w:hint="eastAsia" w:ascii="宋体" w:hAnsi="宋体" w:eastAsia="宋体" w:cs="宋体"/>
          <w:color w:val="auto"/>
          <w:sz w:val="24"/>
          <w:szCs w:val="22"/>
          <w:highlight w:val="none"/>
          <w:lang w:eastAsia="zh-CN"/>
        </w:rPr>
        <w:t xml:space="preserve">：</w:t>
      </w:r>
      <w:r>
        <w:rPr>
          <w:rFonts w:hint="eastAsia" w:ascii="宋体" w:hAnsi="宋体" w:cs="宋体"/>
          <w:color w:val="auto"/>
          <w:sz w:val="24"/>
          <w:szCs w:val="22"/>
          <w:highlight w:val="none"/>
        </w:rPr>
        <w:t xml:space="preserve">潘先生</w:t>
      </w:r>
      <w:r>
        <w:rPr>
          <w:rFonts w:hint="eastAsia" w:ascii="宋体" w:hAnsi="宋体" w:cs="宋体"/>
          <w:color w:val="auto"/>
          <w:sz w:val="24"/>
          <w:szCs w:val="22"/>
          <w:highlight w:val="none"/>
          <w:lang w:val="en-US" w:eastAsia="zh-CN"/>
        </w:rPr>
        <w:t xml:space="preserve"> </w:t>
      </w:r>
      <w:r>
        <w:rPr>
          <w:rFonts w:hint="eastAsia" w:ascii="宋体" w:hAnsi="宋体" w:cs="宋体"/>
          <w:color w:val="auto"/>
          <w:sz w:val="24"/>
          <w:szCs w:val="22"/>
          <w:highlight w:val="none"/>
        </w:rPr>
        <w:t xml:space="preserve">0519-82328700</w:t>
      </w:r>
      <w:r/>
    </w:p>
    <w:p>
      <w:pPr>
        <w:ind w:left="0" w:right="0" w:firstLine="0"/>
        <w:spacing w:before="0" w:after="280" w:line="240" w:lineRule="auto"/>
        <w:shd w:val="clear" w:color="auto"/>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2.采购代理机构信息（如有）</w:t>
      </w:r>
      <w:r/>
    </w:p>
    <w:p>
      <w:pPr>
        <w:ind w:left="0" w:right="0" w:firstLine="0"/>
        <w:spacing w:before="0" w:after="280" w:line="240" w:lineRule="auto"/>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单位名称：常州中宇建设工程管理有限公司</w:t>
      </w:r>
      <w:r/>
    </w:p>
    <w:p>
      <w:pPr>
        <w:ind w:left="0" w:right="0" w:firstLine="0"/>
        <w:spacing w:before="0" w:after="280" w:line="240" w:lineRule="auto"/>
        <w:rPr>
          <w:rFonts w:hint="eastAsia" w:ascii="宋体" w:hAnsi="宋体" w:eastAsia="宋体" w:cs="宋体"/>
          <w:b w:val="0"/>
          <w:bCs w:val="0"/>
          <w:i w:val="0"/>
          <w:iCs w:val="0"/>
          <w:color w:val="auto"/>
          <w:spacing w:val="0"/>
          <w:sz w:val="24"/>
          <w:szCs w:val="22"/>
          <w:highlight w:val="none"/>
          <w:u w:val="none"/>
          <w:vertAlign w:val="baseli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单位地址：常州市新北区汉江路338号南门1栋5楼常州中宇招标中心</w:t>
      </w:r>
      <w:r/>
    </w:p>
    <w:p>
      <w:pPr>
        <w:ind w:left="0" w:right="0" w:firstLine="0"/>
        <w:spacing w:before="0" w:after="280" w:line="240" w:lineRule="auto"/>
        <w:rPr>
          <w:rFonts w:hint="eastAsia" w:ascii="宋体" w:hAnsi="宋体" w:eastAsia="宋体" w:cs="宋体"/>
          <w:color w:val="auto"/>
          <w:sz w:val="24"/>
          <w:szCs w:val="22"/>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项目联系人：</w:t>
      </w:r>
      <w:r>
        <w:rPr>
          <w:rFonts w:hint="eastAsia" w:ascii="宋体" w:hAnsi="宋体" w:cs="宋体"/>
          <w:color w:val="auto"/>
          <w:sz w:val="24"/>
          <w:highlight w:val="none"/>
          <w:lang w:val="en-US" w:eastAsia="zh-CN"/>
        </w:rPr>
        <w:t xml:space="preserve">徐女士</w:t>
      </w:r>
      <w:r/>
    </w:p>
    <w:p>
      <w:pPr>
        <w:ind w:left="0" w:right="0" w:firstLine="0"/>
        <w:spacing w:before="0" w:after="280" w:line="240" w:lineRule="auto"/>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联系电话：0519-8578</w:t>
      </w:r>
      <w:r>
        <w:rPr>
          <w:rFonts w:hint="eastAsia" w:ascii="宋体" w:hAnsi="宋体" w:cs="宋体"/>
          <w:color w:val="auto"/>
          <w:sz w:val="24"/>
          <w:szCs w:val="22"/>
          <w:highlight w:val="none"/>
          <w:lang w:val="en-US" w:eastAsia="zh-CN"/>
        </w:rPr>
        <w:t xml:space="preserve">20</w:t>
      </w:r>
      <w:r>
        <w:rPr>
          <w:rFonts w:hint="eastAsia" w:ascii="宋体" w:hAnsi="宋体" w:eastAsia="宋体" w:cs="宋体"/>
          <w:color w:val="auto"/>
          <w:sz w:val="24"/>
          <w:szCs w:val="22"/>
          <w:highlight w:val="none"/>
        </w:rPr>
        <w:t xml:space="preserve">55</w:t>
      </w:r>
      <w:r/>
    </w:p>
    <w:p>
      <w:pPr>
        <w:ind w:left="0" w:right="0" w:firstLine="0"/>
        <w:spacing w:before="0" w:after="280" w:line="240" w:lineRule="auto"/>
        <w:shd w:val="clear" w:color="auto"/>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3.项目联系方式</w:t>
      </w:r>
      <w:r/>
    </w:p>
    <w:p>
      <w:pPr>
        <w:ind w:firstLine="0"/>
        <w:spacing w:after="280" w:line="240" w:lineRule="auto"/>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项目联系人：</w:t>
      </w:r>
      <w:r>
        <w:rPr>
          <w:rFonts w:hint="eastAsia" w:ascii="宋体" w:hAnsi="宋体" w:cs="宋体"/>
          <w:color w:val="auto"/>
          <w:sz w:val="24"/>
          <w:highlight w:val="none"/>
          <w:lang w:val="en-US" w:eastAsia="zh-CN"/>
        </w:rPr>
        <w:t xml:space="preserve">徐女士</w:t>
      </w:r>
      <w:r/>
    </w:p>
    <w:p>
      <w:pPr>
        <w:ind w:firstLine="0"/>
        <w:spacing w:after="280" w:line="240" w:lineRule="auto"/>
        <w:rPr>
          <w:rFonts w:hint="eastAsia" w:ascii="宋体" w:hAnsi="宋体" w:eastAsia="宋体" w:cs="宋体"/>
          <w:color w:val="auto"/>
          <w:sz w:val="24"/>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rPr>
        <w:t xml:space="preserve">电    话：</w:t>
      </w:r>
      <w:r>
        <w:rPr>
          <w:rFonts w:hint="eastAsia" w:ascii="宋体" w:hAnsi="宋体" w:eastAsia="宋体" w:cs="宋体"/>
          <w:color w:val="auto"/>
          <w:sz w:val="24"/>
          <w:szCs w:val="22"/>
          <w:highlight w:val="none"/>
          <w:lang w:eastAsia="zh-CN"/>
        </w:rPr>
        <w:t xml:space="preserve">0519-85782055</w:t>
      </w:r>
      <w:r>
        <w:rPr>
          <w:rFonts w:hint="eastAsia" w:ascii="宋体" w:hAnsi="宋体" w:eastAsia="宋体" w:cs="宋体"/>
          <w:color w:val="auto"/>
          <w:sz w:val="24"/>
          <w:szCs w:val="22"/>
          <w:highlight w:val="none"/>
        </w:rPr>
        <w:t xml:space="preserve"> </w:t>
      </w:r>
      <w:r/>
    </w:p>
    <w:p>
      <w:pPr>
        <w:jc w:val="center"/>
        <w:spacing w:line="360" w:lineRule="auto"/>
        <w:rPr>
          <w:rFonts w:hint="eastAsia" w:ascii="宋体" w:hAnsi="宋体" w:cs="宋体"/>
          <w:b/>
          <w:color w:val="auto"/>
          <w:sz w:val="32"/>
          <w:szCs w:val="32"/>
          <w:highlight w:val="none"/>
        </w:rPr>
        <w:outlineLvl w:val="0"/>
      </w:pPr>
      <w:r/>
      <w:bookmarkStart w:id="6" w:name="_Toc18300"/>
      <w:r>
        <w:rPr>
          <w:rFonts w:hint="eastAsia" w:ascii="宋体" w:hAnsi="宋体" w:cs="宋体"/>
          <w:b/>
          <w:color w:val="auto"/>
          <w:sz w:val="36"/>
          <w:szCs w:val="36"/>
          <w:highlight w:val="none"/>
          <w:lang w:val="en-US" w:eastAsia="zh-CN"/>
        </w:rPr>
        <w:br w:type="page" w:clear="all"/>
      </w:r>
      <w:r>
        <w:rPr>
          <w:rFonts w:hint="eastAsia" w:ascii="宋体" w:hAnsi="宋体" w:cs="宋体"/>
          <w:b/>
          <w:color w:val="auto"/>
          <w:sz w:val="36"/>
          <w:szCs w:val="36"/>
          <w:highlight w:val="none"/>
        </w:rPr>
        <w:t xml:space="preserve">第二章   供应商须知</w:t>
      </w:r>
      <w:bookmarkEnd w:id="6"/>
      <w:r/>
      <w:r/>
    </w:p>
    <w:p>
      <w:pPr>
        <w:pStyle w:val="1042"/>
        <w:spacing w:before="0" w:line="360" w:lineRule="auto"/>
        <w:tabs>
          <w:tab w:val="center" w:pos="4592" w:leader="none"/>
          <w:tab w:val="left" w:pos="7860" w:leader="none"/>
        </w:tabs>
        <w:rPr>
          <w:rFonts w:hint="eastAsia" w:ascii="宋体" w:hAnsi="宋体" w:eastAsia="宋体" w:cs="宋体"/>
          <w:b w:val="0"/>
          <w:color w:val="auto"/>
          <w:sz w:val="28"/>
          <w:highlight w:val="none"/>
        </w:rPr>
      </w:pPr>
      <w:r/>
      <w:bookmarkStart w:id="7" w:name="_Toc226965792"/>
      <w:r/>
      <w:bookmarkStart w:id="8" w:name="_Toc150480757"/>
      <w:r/>
      <w:bookmarkStart w:id="9" w:name="_Toc226965709"/>
      <w:r/>
      <w:bookmarkStart w:id="10" w:name="_Toc164229214"/>
      <w:r/>
      <w:bookmarkStart w:id="11" w:name="_Toc127151519"/>
      <w:r/>
      <w:bookmarkStart w:id="12" w:name="_Toc142311021"/>
      <w:r/>
      <w:bookmarkStart w:id="13" w:name="_Toc226337215"/>
      <w:r/>
      <w:bookmarkStart w:id="14" w:name="_Toc151193689"/>
      <w:r/>
      <w:bookmarkStart w:id="15" w:name="_Toc520356144"/>
      <w:r/>
      <w:bookmarkStart w:id="16" w:name="_Toc149720812"/>
      <w:r/>
      <w:bookmarkStart w:id="17" w:name="_Toc127151720"/>
      <w:r/>
      <w:bookmarkStart w:id="18" w:name="_Toc127161433"/>
      <w:r/>
      <w:bookmarkStart w:id="19" w:name="_Toc151193907"/>
      <w:r/>
      <w:bookmarkStart w:id="20" w:name="_Toc195842884"/>
      <w:r/>
      <w:bookmarkStart w:id="21" w:name="_Toc151193833"/>
      <w:r/>
      <w:bookmarkStart w:id="22" w:name="_Toc226309763"/>
      <w:r/>
      <w:bookmarkStart w:id="23" w:name="_Toc164608788"/>
      <w:r/>
      <w:bookmarkStart w:id="24" w:name="_Toc151193617"/>
      <w:r/>
      <w:bookmarkStart w:id="25" w:name="_Toc151190146"/>
      <w:r/>
      <w:bookmarkStart w:id="26" w:name="_Toc164608633"/>
      <w:r/>
      <w:bookmarkStart w:id="27" w:name="_Toc150774724"/>
      <w:r/>
      <w:bookmarkStart w:id="28" w:name="_Toc164351613"/>
      <w:r/>
      <w:bookmarkStart w:id="29" w:name="_Toc150774619"/>
      <w:r/>
      <w:bookmarkStart w:id="30" w:name="_Toc164229360"/>
      <w:r/>
      <w:bookmarkStart w:id="31" w:name="_Toc151193761"/>
      <w:r/>
      <w:bookmarkStart w:id="32" w:name="_Toc150509270"/>
      <w:r>
        <w:rPr>
          <w:rFonts w:hint="eastAsia" w:ascii="宋体" w:hAnsi="宋体" w:eastAsia="宋体" w:cs="宋体"/>
          <w:color w:val="auto"/>
          <w:sz w:val="28"/>
          <w:highlight w:val="none"/>
        </w:rPr>
        <w:t xml:space="preserve">供应商须知资料表</w:t>
      </w:r>
      <w:r/>
    </w:p>
    <w:p>
      <w:pPr>
        <w:jc w:val="center"/>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本表是对供应商须知的具体补充和修改，如有矛盾，均以本资料表为准。标记“</w:t>
      </w:r>
      <w:r>
        <w:rPr>
          <w:rFonts w:hint="eastAsia" w:ascii="宋体" w:hAnsi="宋体" w:cs="宋体"/>
          <w:color w:val="auto"/>
          <w:highlight w:val="none"/>
        </w:rPr>
        <w:t xml:space="preserve">■</w:t>
      </w:r>
      <w:r>
        <w:rPr>
          <w:rFonts w:hint="eastAsia" w:ascii="宋体" w:hAnsi="宋体" w:cs="宋体"/>
          <w:color w:val="auto"/>
          <w:sz w:val="24"/>
          <w:highlight w:val="none"/>
        </w:rPr>
        <w:t xml:space="preserve">”的选项意为适用于本项目，标记“□”的选项意为不适用于本项目。</w:t>
      </w:r>
      <w:r/>
    </w:p>
    <w:tbl>
      <w:tblPr>
        <w:tblStyle w:val="809"/>
        <w:tblW w:w="994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jc w:val="center"/>
          <w:trHeight w:val="594"/>
          <w:tblHeader/>
        </w:trPr>
        <w:tc>
          <w:tcPr>
            <w:tcW w:w="988"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color w:val="auto"/>
                <w:sz w:val="24"/>
                <w:highlight w:val="none"/>
              </w:rPr>
              <w:t xml:space="preserve">条款号</w:t>
            </w:r>
            <w:r/>
          </w:p>
        </w:tc>
        <w:tc>
          <w:tcPr>
            <w:tcW w:w="1701"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条目</w:t>
            </w:r>
            <w:r/>
          </w:p>
        </w:tc>
        <w:tc>
          <w:tcPr>
            <w:tcW w:w="7253" w:type="dxa"/>
            <w:vAlign w:val="center"/>
            <w:textDirection w:val="lrTb"/>
            <w:noWrap w:val="false"/>
          </w:tcPr>
          <w:p>
            <w:pPr>
              <w:jc w:val="center"/>
              <w:rPr>
                <w:rFonts w:hint="eastAsia" w:ascii="宋体" w:hAnsi="宋体" w:cs="宋体"/>
                <w:b/>
                <w:bCs/>
                <w:color w:val="auto"/>
                <w:sz w:val="24"/>
                <w:highlight w:val="none"/>
              </w:rPr>
            </w:pPr>
            <w:r>
              <w:rPr>
                <w:rFonts w:hint="eastAsia" w:ascii="宋体" w:hAnsi="宋体" w:cs="宋体"/>
                <w:b/>
                <w:bCs/>
                <w:color w:val="auto"/>
                <w:sz w:val="24"/>
                <w:highlight w:val="none"/>
              </w:rPr>
              <w:t xml:space="preserve">内容</w:t>
            </w:r>
            <w:r/>
          </w:p>
        </w:tc>
      </w:tr>
      <w:tr>
        <w:trPr>
          <w:jc w:val="center"/>
          <w:trHeight w:val="20"/>
        </w:trPr>
        <w:tc>
          <w:tcPr>
            <w:tcW w:w="988" w:type="dxa"/>
            <w:vAlign w:val="center"/>
            <w:textDirection w:val="lrTb"/>
            <w:noWrap w:val="false"/>
          </w:tcPr>
          <w:p>
            <w:pPr>
              <w:pStyle w:val="1079"/>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2.2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tc>
        <w:tc>
          <w:tcPr>
            <w:tcW w:w="7253"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项目属性：</w:t>
            </w:r>
            <w:r/>
          </w:p>
          <w:p>
            <w:pPr>
              <w:jc w:val="left"/>
              <w:rPr>
                <w:rFonts w:hint="eastAsia" w:ascii="宋体" w:hAnsi="宋体" w:cs="宋体"/>
                <w:color w:val="auto"/>
                <w:sz w:val="24"/>
                <w:highlight w:val="none"/>
              </w:rPr>
            </w:pPr>
            <w:r>
              <w:rPr>
                <w:rFonts w:hint="eastAsia" w:ascii="宋体" w:hAnsi="宋体" w:cs="宋体"/>
                <w:color w:val="auto"/>
                <w:highlight w:val="none"/>
              </w:rPr>
              <w:t xml:space="preserve">■</w:t>
            </w:r>
            <w:r>
              <w:rPr>
                <w:rFonts w:hint="eastAsia" w:ascii="宋体" w:hAnsi="宋体" w:cs="宋体"/>
                <w:color w:val="auto"/>
                <w:sz w:val="24"/>
                <w:highlight w:val="none"/>
              </w:rPr>
              <w:t xml:space="preserve">服务</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□货物</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□工程</w:t>
            </w:r>
            <w:r/>
          </w:p>
        </w:tc>
      </w:tr>
      <w:tr>
        <w:trPr>
          <w:jc w:val="center"/>
          <w:trHeight w:val="20"/>
        </w:trPr>
        <w:tc>
          <w:tcPr>
            <w:tcW w:w="988" w:type="dxa"/>
            <w:vAlign w:val="center"/>
            <w:textDirection w:val="lrTb"/>
            <w:noWrap w:val="false"/>
          </w:tcPr>
          <w:p>
            <w:pPr>
              <w:pStyle w:val="1079"/>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2.3</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科研仪器设备</w:t>
            </w:r>
            <w:r/>
          </w:p>
        </w:tc>
        <w:tc>
          <w:tcPr>
            <w:tcW w:w="7253"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是否属于科研仪器设备采购项目：</w:t>
            </w:r>
            <w:r/>
          </w:p>
          <w:p>
            <w:pPr>
              <w:jc w:val="left"/>
              <w:rPr>
                <w:rFonts w:hint="eastAsia" w:ascii="宋体" w:hAnsi="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是</w:t>
            </w:r>
            <w:r/>
          </w:p>
          <w:p>
            <w:pPr>
              <w:jc w:val="left"/>
              <w:rPr>
                <w:rFonts w:hint="eastAsia" w:ascii="宋体" w:hAnsi="宋体" w:cs="宋体"/>
                <w:color w:val="auto"/>
                <w:sz w:val="24"/>
                <w:highlight w:val="none"/>
              </w:rPr>
            </w:pPr>
            <w:r>
              <w:rPr>
                <w:rFonts w:hint="eastAsia" w:ascii="宋体" w:hAnsi="宋体" w:cs="宋体"/>
                <w:color w:val="auto"/>
                <w:highlight w:val="none"/>
              </w:rPr>
              <w:t xml:space="preserve">■</w:t>
            </w:r>
            <w:r>
              <w:rPr>
                <w:rFonts w:hint="eastAsia" w:ascii="宋体" w:hAnsi="宋体" w:cs="宋体"/>
                <w:color w:val="auto"/>
                <w:sz w:val="24"/>
                <w:highlight w:val="none"/>
              </w:rPr>
              <w:t xml:space="preserve">否</w:t>
            </w:r>
            <w:r/>
          </w:p>
        </w:tc>
      </w:tr>
      <w:tr>
        <w:trPr>
          <w:jc w:val="center"/>
          <w:trHeight w:val="20"/>
        </w:trPr>
        <w:tc>
          <w:tcPr>
            <w:tcW w:w="988" w:type="dxa"/>
            <w:vAlign w:val="center"/>
            <w:vMerge w:val="restart"/>
            <w:textDirection w:val="lrTb"/>
            <w:noWrap w:val="false"/>
          </w:tcPr>
          <w:p>
            <w:pPr>
              <w:pStyle w:val="1079"/>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3.1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现场考察</w:t>
            </w:r>
            <w:r/>
          </w:p>
        </w:tc>
        <w:tc>
          <w:tcPr>
            <w:tcW w:w="7253"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highlight w:val="none"/>
              </w:rPr>
              <w:t xml:space="preserve">■</w:t>
            </w:r>
            <w:r>
              <w:rPr>
                <w:rFonts w:hint="eastAsia" w:ascii="宋体" w:hAnsi="宋体" w:cs="宋体"/>
                <w:color w:val="auto"/>
                <w:sz w:val="24"/>
                <w:highlight w:val="none"/>
              </w:rPr>
              <w:t xml:space="preserve">不组织</w:t>
            </w:r>
            <w:r/>
          </w:p>
          <w:p>
            <w:pPr>
              <w:jc w:val="left"/>
              <w:rPr>
                <w:rFonts w:hint="eastAsia" w:ascii="宋体" w:hAnsi="宋体" w:cs="宋体"/>
                <w:bCs/>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组织，考察时间：_/_年_/__月_/__日__/_点__/_分</w:t>
            </w:r>
            <w:r/>
          </w:p>
          <w:p>
            <w:pPr>
              <w:pStyle w:val="1079"/>
              <w:rPr>
                <w:rFonts w:hint="eastAsia" w:ascii="宋体" w:hAnsi="宋体" w:cs="宋体"/>
                <w:color w:val="auto"/>
                <w:sz w:val="24"/>
                <w:highlight w:val="none"/>
              </w:rPr>
            </w:pPr>
            <w:r>
              <w:rPr>
                <w:rFonts w:ascii="宋体" w:hAnsi="宋体" w:cs="宋体"/>
                <w:color w:val="auto"/>
                <w:sz w:val="24"/>
                <w:highlight w:val="none"/>
              </w:rPr>
              <w:t xml:space="preserve">考察地点：__/_________。</w:t>
            </w:r>
            <w:r/>
          </w:p>
          <w:p>
            <w:pPr>
              <w:pStyle w:val="1079"/>
              <w:rPr>
                <w:rFonts w:hint="eastAsia" w:ascii="宋体" w:hAnsi="宋体" w:cs="宋体"/>
                <w:color w:val="auto"/>
                <w:sz w:val="24"/>
                <w:highlight w:val="none"/>
              </w:rPr>
            </w:pPr>
            <w:r>
              <w:rPr>
                <w:rFonts w:hAnsi="宋体" w:cs="宋体"/>
                <w:color w:val="auto"/>
                <w:sz w:val="24"/>
                <w:highlight w:val="none"/>
              </w:rPr>
              <w:t xml:space="preserve">供应商按上述时间、地点对现场和周围环境进行现场考察，以获取有关编制响应文件和签署合同所需的各项资料；熟悉项目</w:t>
            </w:r>
            <w:r>
              <w:rPr>
                <w:rFonts w:hint="eastAsia" w:hAnsi="宋体" w:cs="宋体"/>
                <w:color w:val="auto"/>
                <w:sz w:val="24"/>
                <w:highlight w:val="none"/>
                <w:lang w:eastAsia="zh-CN"/>
              </w:rPr>
              <w:t xml:space="preserve">实施</w:t>
            </w:r>
            <w:r>
              <w:rPr>
                <w:rFonts w:hAnsi="宋体" w:cs="宋体"/>
                <w:color w:val="auto"/>
                <w:sz w:val="24"/>
                <w:highlight w:val="none"/>
              </w:rPr>
              <w:t xml:space="preserve">区域内的情况及周围环境，了解一切可能影响投标方案及报价的资料，承担踏勘现场的责任和风险；供应商一旦中标，不得以不完全了解</w:t>
            </w:r>
            <w:r>
              <w:rPr>
                <w:rFonts w:hint="eastAsia" w:hAnsi="宋体" w:cs="宋体"/>
                <w:color w:val="auto"/>
                <w:sz w:val="24"/>
                <w:highlight w:val="none"/>
                <w:lang w:eastAsia="zh-CN"/>
              </w:rPr>
              <w:t xml:space="preserve">实施</w:t>
            </w:r>
            <w:r>
              <w:rPr>
                <w:rFonts w:hAnsi="宋体" w:cs="宋体"/>
                <w:color w:val="auto"/>
                <w:sz w:val="24"/>
                <w:highlight w:val="none"/>
              </w:rPr>
              <w:t xml:space="preserve">现场及周围环境情况为借口，提出额外补偿或延长</w:t>
            </w:r>
            <w:r>
              <w:rPr>
                <w:rFonts w:hint="eastAsia" w:hAnsi="宋体" w:cs="宋体"/>
                <w:color w:val="auto"/>
                <w:sz w:val="24"/>
                <w:highlight w:val="none"/>
                <w:lang w:val="en-US" w:eastAsia="zh-CN"/>
              </w:rPr>
              <w:t xml:space="preserve">服务期限</w:t>
            </w:r>
            <w:r>
              <w:rPr>
                <w:rFonts w:hAnsi="宋体" w:cs="宋体"/>
                <w:color w:val="auto"/>
                <w:sz w:val="24"/>
                <w:highlight w:val="none"/>
              </w:rPr>
              <w:t xml:space="preserve">的要求；供应商必须承担踏勘现场的安全责任，并承担一切费用。</w:t>
            </w:r>
            <w:r/>
          </w:p>
        </w:tc>
      </w:tr>
      <w:tr>
        <w:trPr>
          <w:jc w:val="center"/>
          <w:trHeight w:val="20"/>
        </w:trPr>
        <w:tc>
          <w:tcPr>
            <w:tcW w:w="988" w:type="dxa"/>
            <w:vAlign w:val="center"/>
            <w:vMerge w:val="continue"/>
            <w:textDirection w:val="lrTb"/>
            <w:noWrap w:val="false"/>
          </w:tcPr>
          <w:p>
            <w:pPr>
              <w:pStyle w:val="1079"/>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磋商前答疑会</w:t>
            </w:r>
            <w:r/>
          </w:p>
        </w:tc>
        <w:tc>
          <w:tcPr>
            <w:tcW w:w="7253"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highlight w:val="none"/>
              </w:rPr>
              <w:t xml:space="preserve">■</w:t>
            </w:r>
            <w:r>
              <w:rPr>
                <w:rFonts w:hint="eastAsia" w:ascii="宋体" w:hAnsi="宋体" w:cs="宋体"/>
                <w:color w:val="auto"/>
                <w:sz w:val="24"/>
                <w:highlight w:val="none"/>
              </w:rPr>
              <w:t xml:space="preserve">不召开</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□召开，召开时间：__/_年__/_月_/__日__/_点_/__分</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召开地点：___/________。</w:t>
            </w:r>
            <w:r/>
          </w:p>
        </w:tc>
      </w:tr>
      <w:tr>
        <w:trPr>
          <w:jc w:val="center"/>
          <w:trHeight w:val="829"/>
        </w:trPr>
        <w:tc>
          <w:tcPr>
            <w:tcW w:w="988" w:type="dxa"/>
            <w:vAlign w:val="center"/>
            <w:textDirection w:val="lrTb"/>
            <w:noWrap w:val="false"/>
          </w:tcPr>
          <w:p>
            <w:pPr>
              <w:pStyle w:val="1079"/>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4.2.5</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标的所属行业</w:t>
            </w:r>
            <w:r/>
          </w:p>
        </w:tc>
        <w:tc>
          <w:tcPr>
            <w:tcW w:w="7253"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本项目采购标的对应的中小企业划分标准所属行业：</w:t>
            </w:r>
            <w:r>
              <w:rPr>
                <w:rFonts w:hint="eastAsia" w:ascii="宋体" w:hAnsi="宋体" w:cs="宋体"/>
                <w:b/>
                <w:bCs/>
                <w:color w:val="000000"/>
                <w:sz w:val="24"/>
                <w:highlight w:val="none"/>
                <w:u w:val="single"/>
              </w:rPr>
              <w:t xml:space="preserve">软件和信息技术服务业</w:t>
            </w:r>
            <w:r>
              <w:rPr>
                <w:rFonts w:hint="eastAsia" w:ascii="宋体" w:hAnsi="宋体" w:cs="宋体"/>
                <w:b/>
                <w:bCs/>
                <w:color w:val="auto"/>
                <w:sz w:val="24"/>
                <w:highlight w:val="none"/>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p>
        </w:tc>
      </w:tr>
      <w:tr>
        <w:trPr>
          <w:jc w:val="center"/>
          <w:trHeight w:val="829"/>
        </w:trPr>
        <w:tc>
          <w:tcPr>
            <w:shd w:val="clear" w:color="auto" w:fill="auto"/>
            <w:tcW w:w="988" w:type="dxa"/>
            <w:vAlign w:val="center"/>
            <w:textDirection w:val="lrTb"/>
            <w:noWrap w:val="false"/>
          </w:tcPr>
          <w:p>
            <w:pPr>
              <w:pStyle w:val="1310"/>
              <w:jc w:val="center"/>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Ansi="宋体" w:cs="宋体"/>
                <w:color w:val="000000" w:themeColor="text1"/>
                <w:sz w:val="24"/>
                <w:szCs w:val="24"/>
                <w:highlight w:val="none"/>
                <w14:textFill>
                  <w14:solidFill>
                    <w14:schemeClr w14:val="tx1"/>
                  </w14:solidFill>
                </w14:textFill>
              </w:rPr>
              <w:t xml:space="preserve">4.9</w:t>
            </w:r>
            <w:r/>
          </w:p>
        </w:tc>
        <w:tc>
          <w:tcPr>
            <w:shd w:val="clear" w:color="auto" w:fill="auto"/>
            <w:tcW w:w="1701" w:type="dxa"/>
            <w:vAlign w:val="center"/>
            <w:textDirection w:val="lrTb"/>
            <w:noWrap w:val="false"/>
          </w:tcPr>
          <w:p>
            <w:pPr>
              <w:jc w:val="center"/>
              <w:spacing w:line="360" w:lineRule="exac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本国产品政策支持</w:t>
            </w:r>
            <w:r/>
          </w:p>
        </w:tc>
        <w:tc>
          <w:tcPr>
            <w:shd w:val="clear" w:color="auto" w:fill="auto"/>
            <w:tcW w:w="7253" w:type="dxa"/>
            <w:vAlign w:val="center"/>
            <w:textDirection w:val="lrTb"/>
            <w:noWrap w:val="false"/>
          </w:tcPr>
          <w:p>
            <w:pPr>
              <w:jc w:val="left"/>
              <w:spacing w:line="36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关于对采购本国产品给予政策支持，本项目：</w:t>
            </w:r>
            <w:r>
              <w:rPr>
                <w:rFonts w:hint="eastAsia" w:ascii="宋体" w:hAnsi="宋体" w:cs="宋体"/>
                <w:color w:val="auto"/>
                <w:sz w:val="24"/>
                <w:highlight w:val="none"/>
              </w:rPr>
              <w:t xml:space="preserve">□</w:t>
            </w:r>
            <w:r>
              <w:rPr>
                <w:rFonts w:hint="eastAsia" w:ascii="宋体" w:hAnsi="宋体" w:cs="宋体"/>
                <w:color w:val="000000" w:themeColor="text1"/>
                <w:sz w:val="24"/>
                <w:highlight w:val="none"/>
                <w14:textFill>
                  <w14:solidFill>
                    <w14:schemeClr w14:val="tx1"/>
                  </w14:solidFill>
                </w14:textFill>
              </w:rPr>
              <w:t xml:space="preserve">适用 ■不适用。</w:t>
            </w:r>
            <w:r/>
          </w:p>
          <w:p>
            <w:pPr>
              <w:pStyle w:val="1042"/>
              <w:jc w:val="both"/>
              <w:keepLines w:val="0"/>
              <w:keepNext w:val="0"/>
              <w:spacing w:before="0" w:line="360" w:lineRule="exact"/>
              <w:shd w:val="clear" w:color="auto"/>
              <w:widowControl/>
              <w:rPr>
                <w:rFonts w:hint="eastAsia" w:ascii="宋体" w:hAnsi="宋体" w:eastAsia="宋体" w:cs="宋体"/>
                <w:b/>
                <w:color w:val="000000" w:themeColor="text1"/>
                <w:sz w:val="24"/>
                <w:szCs w:val="20"/>
                <w:highlight w:val="none"/>
                <w:lang w:val="en-US" w:eastAsia="zh-CN" w:bidi="ar-SA"/>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 xml:space="preserve">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418"/>
        </w:trPr>
        <w:tc>
          <w:tcPr>
            <w:tcW w:w="988" w:type="dxa"/>
            <w:vAlign w:val="center"/>
            <w:textDirection w:val="lrTb"/>
            <w:noWrap w:val="false"/>
          </w:tcPr>
          <w:p>
            <w:pPr>
              <w:pStyle w:val="1079"/>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10.2</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报价</w:t>
            </w:r>
            <w:r/>
          </w:p>
        </w:tc>
        <w:tc>
          <w:tcPr>
            <w:tcW w:w="7253"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报价的特殊规定：</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□无</w:t>
            </w:r>
            <w:r/>
          </w:p>
          <w:p>
            <w:pPr>
              <w:jc w:val="left"/>
              <w:rPr>
                <w:rFonts w:hint="eastAsia" w:ascii="宋体" w:hAnsi="宋体" w:cs="宋体"/>
                <w:color w:val="auto"/>
                <w:sz w:val="24"/>
                <w:highlight w:val="none"/>
              </w:rPr>
            </w:pPr>
            <w:r>
              <w:rPr>
                <w:rFonts w:hint="eastAsia" w:ascii="宋体" w:hAnsi="宋体" w:cs="宋体"/>
                <w:color w:val="auto"/>
                <w:highlight w:val="none"/>
              </w:rPr>
              <w:t xml:space="preserve">■</w:t>
            </w:r>
            <w:r>
              <w:rPr>
                <w:rFonts w:hint="eastAsia" w:ascii="宋体" w:hAnsi="宋体" w:cs="宋体"/>
                <w:color w:val="auto"/>
                <w:sz w:val="24"/>
                <w:highlight w:val="none"/>
              </w:rPr>
              <w:t xml:space="preserve">有，具体情形：</w:t>
            </w:r>
            <w:r>
              <w:rPr>
                <w:rFonts w:hint="eastAsia" w:ascii="宋体" w:hAnsi="宋体" w:cs="宋体"/>
                <w:b/>
                <w:bCs/>
                <w:color w:val="auto"/>
                <w:sz w:val="24"/>
                <w:highlight w:val="none"/>
                <w:u w:val="single"/>
              </w:rPr>
              <w:t xml:space="preserve">本项目采用两次报价，响应文件的报价作为首次报价，在磋商结束后，磋商小组应当要求所有实质性响应的供应商在规定时间内提交最终报价</w:t>
            </w: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single"/>
              </w:rPr>
              <w:t xml:space="preserve">最终</w:t>
            </w:r>
            <w:r>
              <w:rPr>
                <w:rFonts w:hint="eastAsia" w:ascii="宋体" w:hAnsi="宋体" w:cs="宋体"/>
                <w:b/>
                <w:bCs/>
                <w:color w:val="000000" w:themeColor="text1"/>
                <w:sz w:val="24"/>
                <w:highlight w:val="none"/>
                <w14:textFill>
                  <w14:solidFill>
                    <w14:schemeClr w14:val="tx1"/>
                  </w14:solidFill>
                </w14:textFill>
              </w:rPr>
              <w:t xml:space="preserve">报价作为评分依据。除有特殊要求的项目外，分项报价表中的</w:t>
            </w:r>
            <w:r>
              <w:rPr>
                <w:rFonts w:hint="eastAsia" w:ascii="宋体" w:hAnsi="宋体" w:cs="宋体"/>
                <w:b/>
                <w:bCs/>
                <w:color w:val="auto"/>
                <w:sz w:val="24"/>
                <w:highlight w:val="none"/>
                <w:u w:val="single"/>
              </w:rPr>
              <w:t xml:space="preserve">最终</w:t>
            </w:r>
            <w:r>
              <w:rPr>
                <w:rFonts w:hint="eastAsia" w:ascii="宋体" w:hAnsi="宋体" w:cs="宋体"/>
                <w:b/>
                <w:bCs/>
                <w:color w:val="000000" w:themeColor="text1"/>
                <w:sz w:val="24"/>
                <w:highlight w:val="none"/>
                <w14:textFill>
                  <w14:solidFill>
                    <w14:schemeClr w14:val="tx1"/>
                  </w14:solidFill>
                </w14:textFill>
              </w:rPr>
              <w:t xml:space="preserve">报价以磋商响应文件中的首次报价为依据，按下浮率同比例下浮。</w:t>
            </w:r>
            <w:r/>
          </w:p>
        </w:tc>
      </w:tr>
      <w:tr>
        <w:trPr>
          <w:jc w:val="center"/>
          <w:trHeight w:val="20"/>
        </w:trPr>
        <w:tc>
          <w:tcPr>
            <w:tcW w:w="988" w:type="dxa"/>
            <w:vAlign w:val="center"/>
            <w:textDirection w:val="lrTb"/>
            <w:noWrap w:val="false"/>
          </w:tcPr>
          <w:p>
            <w:pPr>
              <w:pStyle w:val="1079"/>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11.1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磋商保证金</w:t>
            </w:r>
            <w:r/>
          </w:p>
        </w:tc>
        <w:tc>
          <w:tcPr>
            <w:tcW w:w="7253"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免收</w:t>
            </w:r>
            <w:r/>
          </w:p>
        </w:tc>
      </w:tr>
      <w:tr>
        <w:trPr>
          <w:jc w:val="center"/>
          <w:trHeight w:val="20"/>
        </w:trPr>
        <w:tc>
          <w:tcPr>
            <w:tcW w:w="988" w:type="dxa"/>
            <w:vAlign w:val="center"/>
            <w:textDirection w:val="lrTb"/>
            <w:noWrap w:val="false"/>
          </w:tcPr>
          <w:p>
            <w:pPr>
              <w:pStyle w:val="1079"/>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12.1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响应有效期</w:t>
            </w:r>
            <w:r/>
          </w:p>
        </w:tc>
        <w:tc>
          <w:tcPr>
            <w:tcW w:w="7253"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自提交响应文件的截止之日起算60日历天。</w:t>
            </w:r>
            <w:r/>
          </w:p>
        </w:tc>
      </w:tr>
      <w:tr>
        <w:trPr>
          <w:jc w:val="center"/>
          <w:trHeight w:val="20"/>
        </w:trPr>
        <w:tc>
          <w:tcPr>
            <w:tcW w:w="988" w:type="dxa"/>
            <w:vAlign w:val="center"/>
            <w:textDirection w:val="lrTb"/>
            <w:noWrap w:val="false"/>
          </w:tcPr>
          <w:p>
            <w:pPr>
              <w:pStyle w:val="1079"/>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23.5</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分包</w:t>
            </w:r>
            <w:r/>
          </w:p>
        </w:tc>
        <w:tc>
          <w:tcPr>
            <w:tcW w:w="7253"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本项目是否允许分包： </w:t>
            </w:r>
            <w:r/>
          </w:p>
          <w:p>
            <w:pPr>
              <w:jc w:val="left"/>
              <w:rPr>
                <w:rFonts w:hint="eastAsia" w:ascii="宋体" w:hAnsi="宋体" w:cs="宋体"/>
                <w:color w:val="auto"/>
                <w:sz w:val="24"/>
                <w:highlight w:val="none"/>
              </w:rPr>
            </w:pPr>
            <w:r>
              <w:rPr>
                <w:rFonts w:hint="eastAsia" w:ascii="宋体" w:hAnsi="宋体" w:cs="宋体"/>
                <w:color w:val="auto"/>
                <w:highlight w:val="none"/>
              </w:rPr>
              <w:t xml:space="preserve">■</w:t>
            </w:r>
            <w:r>
              <w:rPr>
                <w:rFonts w:hint="eastAsia" w:ascii="宋体" w:hAnsi="宋体" w:cs="宋体"/>
                <w:color w:val="auto"/>
                <w:sz w:val="24"/>
                <w:highlight w:val="none"/>
              </w:rPr>
              <w:t xml:space="preserve">不允许</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□允许，具体要求：___/____。</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（1）可以分包履行的具体内容：____/___；</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（2）允许分包的金额或者比例：____/___；</w:t>
            </w:r>
            <w:r/>
          </w:p>
          <w:p>
            <w:pPr>
              <w:jc w:val="left"/>
              <w:rPr>
                <w:rFonts w:hint="eastAsia" w:ascii="宋体" w:hAnsi="宋体" w:cs="宋体"/>
                <w:color w:val="auto"/>
                <w:sz w:val="24"/>
                <w:highlight w:val="none"/>
                <w:u w:val="single"/>
              </w:rPr>
            </w:pPr>
            <w:r>
              <w:rPr>
                <w:rFonts w:hint="eastAsia" w:ascii="宋体" w:hAnsi="宋体" w:cs="宋体"/>
                <w:color w:val="auto"/>
                <w:sz w:val="24"/>
                <w:highlight w:val="none"/>
              </w:rPr>
              <w:t xml:space="preserve">（3）其他要求：____/___。</w:t>
            </w:r>
            <w:r/>
          </w:p>
        </w:tc>
      </w:tr>
      <w:tr>
        <w:trPr>
          <w:jc w:val="center"/>
          <w:trHeight w:val="20"/>
        </w:trPr>
        <w:tc>
          <w:tcPr>
            <w:tcW w:w="988" w:type="dxa"/>
            <w:vAlign w:val="center"/>
            <w:textDirection w:val="lrTb"/>
            <w:noWrap w:val="false"/>
          </w:tcPr>
          <w:p>
            <w:pPr>
              <w:pStyle w:val="1079"/>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24.1.1</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询问</w:t>
            </w:r>
            <w:r/>
          </w:p>
        </w:tc>
        <w:tc>
          <w:tcPr>
            <w:tcW w:w="7253"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询问送达形式：</w:t>
            </w:r>
            <w:r>
              <w:rPr>
                <w:rFonts w:hint="eastAsia" w:ascii="宋体" w:hAnsi="宋体" w:cs="宋体"/>
                <w:color w:val="auto"/>
                <w:sz w:val="24"/>
                <w:highlight w:val="none"/>
                <w:u w:val="single"/>
              </w:rPr>
              <w:t xml:space="preserve">书面送达</w:t>
            </w:r>
            <w:r>
              <w:rPr>
                <w:rFonts w:hint="eastAsia" w:ascii="宋体" w:hAnsi="宋体" w:cs="宋体"/>
                <w:color w:val="auto"/>
                <w:sz w:val="24"/>
                <w:highlight w:val="none"/>
              </w:rPr>
              <w:t xml:space="preserve">。</w:t>
            </w:r>
            <w:r/>
          </w:p>
          <w:p>
            <w:pPr>
              <w:pStyle w:val="1244"/>
              <w:rPr>
                <w:rFonts w:hint="eastAsia" w:ascii="宋体" w:hAnsi="宋体" w:cs="宋体"/>
                <w:color w:val="auto"/>
                <w:highlight w:val="none"/>
              </w:rPr>
            </w:pPr>
            <w:r>
              <w:rPr>
                <w:rFonts w:hint="eastAsia" w:ascii="宋体" w:hAnsi="宋体" w:cs="宋体"/>
                <w:color w:val="auto"/>
                <w:highlight w:val="none"/>
              </w:rPr>
              <w:t xml:space="preserve">对采购文件需要进行澄清或有疑问的供应商，均应一次性将需要澄清或疑问内容以书面形式并加盖公章送达采购代理机构，否则视为无有效澄清或疑问。</w:t>
            </w:r>
            <w:r/>
          </w:p>
        </w:tc>
      </w:tr>
      <w:tr>
        <w:trPr>
          <w:jc w:val="center"/>
          <w:trHeight w:val="20"/>
        </w:trPr>
        <w:tc>
          <w:tcPr>
            <w:tcW w:w="988" w:type="dxa"/>
            <w:vAlign w:val="center"/>
            <w:textDirection w:val="lrTb"/>
            <w:noWrap w:val="false"/>
          </w:tcPr>
          <w:p>
            <w:pPr>
              <w:pStyle w:val="1079"/>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24.3</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联系方式</w:t>
            </w:r>
            <w:r/>
          </w:p>
        </w:tc>
        <w:tc>
          <w:tcPr>
            <w:tcW w:w="7253" w:type="dxa"/>
            <w:vAlign w:val="center"/>
            <w:textDirection w:val="lrTb"/>
            <w:noWrap w:val="false"/>
          </w:tcPr>
          <w:p>
            <w:pPr>
              <w:jc w:val="left"/>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接收询问和质疑的联系方式</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联系部门：</w:t>
            </w:r>
            <w:r>
              <w:rPr>
                <w:rFonts w:hint="eastAsia" w:ascii="宋体" w:hAnsi="宋体" w:cs="宋体"/>
                <w:color w:val="auto"/>
                <w:sz w:val="24"/>
                <w:highlight w:val="none"/>
                <w:u w:val="single"/>
              </w:rPr>
              <w:t xml:space="preserve">常州中宇建设工程管理有限公司</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0519-8578</w:t>
            </w:r>
            <w:r>
              <w:rPr>
                <w:rFonts w:hint="eastAsia" w:ascii="宋体" w:hAnsi="宋体" w:cs="宋体"/>
                <w:color w:val="auto"/>
                <w:sz w:val="24"/>
                <w:highlight w:val="none"/>
                <w:u w:val="single"/>
                <w:lang w:val="en-US" w:eastAsia="zh-CN"/>
              </w:rPr>
              <w:t xml:space="preserve">2055</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通讯地址：</w:t>
            </w:r>
            <w:r>
              <w:rPr>
                <w:rFonts w:hint="eastAsia" w:ascii="宋体" w:hAnsi="宋体" w:eastAsia="宋体" w:cs="宋体"/>
                <w:b w:val="0"/>
                <w:bCs w:val="0"/>
                <w:i w:val="0"/>
                <w:iCs w:val="0"/>
                <w:color w:val="auto"/>
                <w:spacing w:val="0"/>
                <w:sz w:val="24"/>
                <w:szCs w:val="24"/>
                <w:highlight w:val="none"/>
                <w:u w:val="single"/>
                <w:vertAlign w:val="baseline"/>
              </w:rPr>
              <w:t xml:space="preserve">常州市新北区汉江路338号南门1栋5楼</w:t>
            </w:r>
            <w:r>
              <w:rPr>
                <w:rFonts w:hint="eastAsia" w:ascii="宋体" w:hAnsi="宋体" w:cs="宋体"/>
                <w:color w:val="auto"/>
                <w:sz w:val="24"/>
                <w:highlight w:val="none"/>
              </w:rPr>
              <w:t xml:space="preserve">。</w:t>
            </w:r>
            <w:r/>
          </w:p>
        </w:tc>
      </w:tr>
      <w:tr>
        <w:trPr>
          <w:jc w:val="center"/>
          <w:trHeight w:val="592"/>
        </w:trPr>
        <w:tc>
          <w:tcPr>
            <w:tcW w:w="988" w:type="dxa"/>
            <w:vAlign w:val="center"/>
            <w:textDirection w:val="lrTb"/>
            <w:noWrap w:val="false"/>
          </w:tcPr>
          <w:p>
            <w:pPr>
              <w:pStyle w:val="1079"/>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25</w:t>
            </w:r>
            <w:r/>
          </w:p>
        </w:tc>
        <w:tc>
          <w:tcPr>
            <w:tcW w:w="170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代理费</w:t>
            </w:r>
            <w:r/>
          </w:p>
        </w:tc>
        <w:tc>
          <w:tcPr>
            <w:tcW w:w="7253" w:type="dxa"/>
            <w:vAlign w:val="center"/>
            <w:textDirection w:val="lrTb"/>
            <w:noWrap w:val="false"/>
          </w:tcPr>
          <w:p>
            <w:pPr>
              <w:ind w:firstLine="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收费对象：</w:t>
            </w:r>
            <w:r/>
          </w:p>
          <w:p>
            <w:p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w:t>
            </w:r>
            <w:r/>
          </w:p>
          <w:p>
            <w:pPr>
              <w:ind w:firstLine="482"/>
              <w:jc w:val="left"/>
              <w:rPr>
                <w:rFonts w:hint="eastAsia" w:ascii="宋体" w:hAnsi="宋体" w:eastAsia="宋体" w:cs="宋体"/>
                <w:color w:val="auto"/>
                <w:sz w:val="24"/>
                <w:highlight w:val="none"/>
                <w:lang w:eastAsia="zh-CN"/>
              </w:rPr>
            </w:pPr>
            <w:r>
              <w:rPr>
                <w:rFonts w:hint="eastAsia" w:ascii="宋体" w:hAnsi="宋体" w:eastAsia="宋体" w:cs="宋体"/>
                <w:b/>
                <w:color w:val="auto"/>
                <w:sz w:val="24"/>
                <w:highlight w:val="none"/>
              </w:rPr>
              <w:t xml:space="preserve">■</w:t>
            </w:r>
            <w:r>
              <w:rPr>
                <w:rFonts w:hint="eastAsia" w:ascii="宋体" w:hAnsi="宋体" w:eastAsia="宋体" w:cs="宋体"/>
                <w:color w:val="auto"/>
                <w:sz w:val="24"/>
                <w:highlight w:val="none"/>
                <w:lang w:eastAsia="zh-CN"/>
              </w:rPr>
              <w:t xml:space="preserve">成交供应商</w:t>
            </w:r>
            <w:r/>
          </w:p>
          <w:p>
            <w:pPr>
              <w:ind w:firstLine="482"/>
              <w:jc w:val="lef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因采购人预算金额包含代理费，本项目向成交供应商收取代理费。</w:t>
            </w:r>
            <w:r/>
          </w:p>
          <w:p>
            <w:pPr>
              <w:ind w:firstLine="480"/>
              <w:rPr>
                <w:rFonts w:hint="eastAsia" w:ascii="宋体" w:hAnsi="宋体" w:cs="宋体"/>
                <w:color w:val="auto"/>
                <w:sz w:val="24"/>
                <w:highlight w:val="none"/>
              </w:rPr>
            </w:pPr>
            <w:r>
              <w:rPr>
                <w:rFonts w:hint="eastAsia" w:ascii="宋体" w:hAnsi="宋体" w:cs="宋体"/>
                <w:color w:val="auto"/>
                <w:sz w:val="24"/>
                <w:highlight w:val="none"/>
              </w:rPr>
              <w:t xml:space="preserve">收费标准：成交供应商须以</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金额为基数按下表费率</w:t>
            </w:r>
            <w:r>
              <w:rPr>
                <w:rFonts w:hint="eastAsia" w:ascii="宋体" w:hAnsi="宋体" w:cs="宋体"/>
                <w:color w:val="auto"/>
                <w:sz w:val="24"/>
                <w:highlight w:val="none"/>
                <w:lang w:val="en-US" w:eastAsia="zh-CN"/>
              </w:rPr>
              <w:t xml:space="preserve">以差额累进法</w:t>
            </w:r>
            <w:r>
              <w:rPr>
                <w:rFonts w:hint="eastAsia" w:ascii="宋体" w:hAnsi="宋体" w:cs="宋体"/>
                <w:color w:val="auto"/>
                <w:sz w:val="24"/>
                <w:highlight w:val="none"/>
              </w:rPr>
              <w:t xml:space="preserve">计算并支付</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服务费及相关费用。</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服务费收费最低为人民币3000元，若按上述计算方式不足人民币3000元的，则按人民币3000元收取。</w:t>
            </w:r>
            <w:r/>
          </w:p>
          <w:tbl>
            <w:tblPr>
              <w:tblStyle w:val="80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79"/>
              <w:gridCol w:w="2105"/>
            </w:tblGrid>
            <w:tr>
              <w:trPr>
                <w:jc w:val="center"/>
                <w:trHeight w:val="1853"/>
              </w:trPr>
              <w:tc>
                <w:tcPr>
                  <w:tcW w:w="2879" w:type="dxa"/>
                  <w:vAlign w:val="top"/>
                  <w:textDirection w:val="lrTb"/>
                  <w:noWrap w:val="false"/>
                </w:tcPr>
                <w:p>
                  <w:pPr>
                    <w:ind w:firstLine="1680"/>
                    <w:jc w:val="left"/>
                    <w:rPr>
                      <w:rFonts w:hint="eastAsia" w:ascii="宋体" w:hAnsi="宋体" w:cs="宋体"/>
                      <w:color w:val="auto"/>
                      <w:sz w:val="24"/>
                      <w:highlight w:val="none"/>
                    </w:rPr>
                  </w:pPr>
                  <w:r>
                    <w:rPr>
                      <w:rFonts w:hint="eastAsia"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-66040</wp:posOffset>
                            </wp:positionH>
                            <wp:positionV relativeFrom="paragraph">
                              <wp:posOffset>3175</wp:posOffset>
                            </wp:positionV>
                            <wp:extent cx="1866265" cy="1188085"/>
                            <wp:effectExtent l="2540" t="3810" r="17145" b="8255"/>
                            <wp:wrapNone/>
                            <wp:docPr id="3" name="直接连接符 1"/>
                            <wp:cNvGraphicFramePr/>
                            <a:graphic xmlns:a="http://schemas.openxmlformats.org/drawingml/2006/main">
                              <a:graphicData uri="http://schemas.microsoft.com/office/word/2010/wordprocessingShape">
                                <wps:wsp>
                                  <wps:cNvPr id="0" name=""/>
                                  <wps:cNvSpPr/>
                                  <wps:spPr bwMode="auto">
                                    <a:xfrm flipH="1" flipV="1">
                                      <a:off x="0" y="0"/>
                                      <a:ext cx="1866265" cy="1188085"/>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2" o:spid="_x0000_s2" style="position:absolute;left:0;text-align:left;z-index:251661312;mso-wrap-distance-left:9.0pt;mso-wrap-distance-top:0.0pt;mso-wrap-distance-right:9.0pt;mso-wrap-distance-bottom:0.0pt;flip:xy;visibility:visible;" from="-5.2pt,0.2pt" to="141.8pt,93.8pt" filled="f" strokecolor="#000000" strokeweight="0.75pt">
                            <v:stroke dashstyle="solid"/>
                          </v:line>
                        </w:pict>
                      </mc:Fallback>
                    </mc:AlternateContent>
                  </w:r>
                  <w:r>
                    <w:rPr>
                      <w:rFonts w:hint="eastAsia"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-114300</wp:posOffset>
                            </wp:positionH>
                            <wp:positionV relativeFrom="paragraph">
                              <wp:posOffset>-6350</wp:posOffset>
                            </wp:positionV>
                            <wp:extent cx="635" cy="0"/>
                            <wp:effectExtent l="0" t="4445" r="0" b="5080"/>
                            <wp:wrapNone/>
                            <wp:docPr id="4" name="直接连接符 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9.0pt,-0.5pt" to="-8.9pt,-0.5pt" filled="f" strokecolor="#000000" strokeweight="0.75pt">
                            <v:stroke dashstyle="solid"/>
                          </v:line>
                        </w:pict>
                      </mc:Fallback>
                    </mc:AlternateContent>
                  </w:r>
                  <w:r>
                    <w:rPr>
                      <w:rFonts w:hint="eastAsia" w:ascii="宋体" w:hAnsi="宋体" w:cs="宋体"/>
                      <w:color w:val="auto"/>
                      <w:sz w:val="24"/>
                      <w:highlight w:val="none"/>
                    </w:rPr>
                    <w:t xml:space="preserve">服务类型</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ind w:firstLine="240"/>
                    <w:jc w:val="left"/>
                    <w:rPr>
                      <w:rFonts w:hint="eastAsia" w:ascii="宋体" w:hAnsi="宋体" w:cs="宋体"/>
                      <w:color w:val="auto"/>
                      <w:sz w:val="24"/>
                      <w:highlight w:val="none"/>
                    </w:rPr>
                  </w:pPr>
                  <w:r>
                    <w:rPr>
                      <w:rFonts w:hint="eastAsia" w:ascii="宋体" w:hAnsi="宋体" w:cs="宋体"/>
                      <w:color w:val="auto"/>
                      <w:sz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-65405</wp:posOffset>
                            </wp:positionH>
                            <wp:positionV relativeFrom="paragraph">
                              <wp:posOffset>156845</wp:posOffset>
                            </wp:positionV>
                            <wp:extent cx="1821815" cy="633730"/>
                            <wp:effectExtent l="1270" t="4445" r="5715" b="9525"/>
                            <wp:wrapNone/>
                            <wp:docPr id="5" name="直接连接符 7"/>
                            <wp:cNvGraphicFramePr/>
                            <a:graphic xmlns:a="http://schemas.openxmlformats.org/drawingml/2006/main">
                              <a:graphicData uri="http://schemas.microsoft.com/office/word/2010/wordprocessingShape">
                                <wps:wsp>
                                  <wps:cNvPr id="0" name=""/>
                                  <wps:cNvSpPr/>
                                  <wps:spPr bwMode="auto">
                                    <a:xfrm flipH="1" flipV="1">
                                      <a:off x="0" y="0"/>
                                      <a:ext cx="1821815" cy="633730"/>
                                    </a:xfrm>
                                    <a:prstGeom prst="line">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line id="shape 4" o:spid="_x0000_s4" style="position:absolute;left:0;text-align:left;z-index:251660288;mso-wrap-distance-left:9.0pt;mso-wrap-distance-top:0.0pt;mso-wrap-distance-right:9.0pt;mso-wrap-distance-bottom:0.0pt;flip:xy;visibility:visible;" from="-5.1pt,12.3pt" to="138.3pt,62.2pt" filled="f" strokecolor="#000000" strokeweight="0.75pt">
                            <v:stroke dashstyle="solid"/>
                          </v:line>
                        </w:pict>
                      </mc:Fallback>
                    </mc:AlternateContent>
                  </w:r>
                  <w:r>
                    <w:rPr>
                      <w:rFonts w:hint="eastAsia" w:ascii="宋体" w:hAnsi="宋体" w:cs="宋体"/>
                      <w:color w:val="auto"/>
                      <w:sz w:val="24"/>
                      <w:highlight w:val="none"/>
                    </w:rPr>
                    <w:t xml:space="preserve">费率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　　　　</w:t>
                  </w:r>
                  <w:r/>
                </w:p>
                <w:p>
                  <w:pPr>
                    <w:jc w:val="left"/>
                    <w:rPr>
                      <w:rFonts w:hint="eastAsia" w:ascii="宋体" w:hAnsi="宋体" w:cs="宋体"/>
                      <w:color w:val="auto"/>
                      <w:sz w:val="24"/>
                      <w:highlight w:val="none"/>
                    </w:rPr>
                  </w:pPr>
                  <w:r>
                    <w:rPr>
                      <w:rFonts w:hint="eastAsia" w:ascii="宋体" w:hAnsi="宋体" w:cs="宋体"/>
                      <w:color w:val="auto"/>
                      <w:sz w:val="24"/>
                      <w:highlight w:val="none"/>
                    </w:rPr>
                    <w:t xml:space="preserve">金额（万元）</w:t>
                  </w:r>
                  <w:r/>
                </w:p>
              </w:tc>
              <w:tc>
                <w:tcPr>
                  <w:tcW w:w="21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服务招标</w:t>
                  </w:r>
                  <w:r/>
                </w:p>
              </w:tc>
            </w:tr>
            <w:tr>
              <w:trPr>
                <w:jc w:val="center"/>
              </w:trPr>
              <w:tc>
                <w:tcPr>
                  <w:tcW w:w="287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100以下</w:t>
                  </w:r>
                  <w:r/>
                </w:p>
              </w:tc>
              <w:tc>
                <w:tcPr>
                  <w:tcW w:w="210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1.5</w:t>
                  </w:r>
                  <w:r>
                    <w:rPr>
                      <w:rFonts w:hint="eastAsia" w:ascii="宋体" w:hAnsi="宋体" w:cs="宋体"/>
                      <w:color w:val="auto"/>
                      <w:sz w:val="24"/>
                      <w:highlight w:val="none"/>
                    </w:rPr>
                    <w:t xml:space="preserve">%</w:t>
                  </w:r>
                  <w:r/>
                </w:p>
              </w:tc>
            </w:tr>
            <w:tr>
              <w:trPr>
                <w:jc w:val="center"/>
              </w:trPr>
              <w:tc>
                <w:tcPr>
                  <w:tcW w:w="2879"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100-500</w:t>
                  </w:r>
                  <w:r/>
                </w:p>
              </w:tc>
              <w:tc>
                <w:tcPr>
                  <w:tcW w:w="2105"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0.8%</w:t>
                  </w:r>
                  <w:r/>
                </w:p>
              </w:tc>
            </w:tr>
          </w:tbl>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r>
            <w:r/>
          </w:p>
          <w:p>
            <w:pPr>
              <w:ind w:firstLine="480"/>
              <w:jc w:val="left"/>
              <w:rPr>
                <w:rFonts w:hint="eastAsia" w:ascii="宋体" w:hAnsi="宋体" w:cs="宋体"/>
                <w:color w:val="auto"/>
                <w:sz w:val="24"/>
                <w:highlight w:val="none"/>
              </w:rPr>
            </w:pPr>
            <w:r>
              <w:rPr>
                <w:rFonts w:hint="eastAsia" w:ascii="宋体" w:hAnsi="宋体" w:cs="宋体"/>
                <w:color w:val="auto"/>
                <w:sz w:val="24"/>
                <w:highlight w:val="none"/>
              </w:rPr>
              <w:t xml:space="preserve">缴纳时间：成交供应商在中标（成交）通知书发出之日起五个工作日内向采购代理机构缴纳。</w:t>
            </w:r>
            <w:r/>
          </w:p>
          <w:p>
            <w:p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缴</w:t>
            </w:r>
            <w:r>
              <w:rPr>
                <w:rFonts w:hint="eastAsia" w:ascii="宋体" w:hAnsi="宋体" w:eastAsia="宋体" w:cs="宋体"/>
                <w:color w:val="auto"/>
                <w:sz w:val="24"/>
                <w:highlight w:val="none"/>
                <w:lang w:val="en-US" w:eastAsia="zh-CN"/>
              </w:rPr>
              <w:t xml:space="preserve">款账户</w:t>
            </w:r>
            <w:r>
              <w:rPr>
                <w:rFonts w:hint="eastAsia" w:ascii="宋体" w:hAnsi="宋体" w:eastAsia="宋体" w:cs="宋体"/>
                <w:color w:val="auto"/>
                <w:sz w:val="24"/>
                <w:highlight w:val="none"/>
              </w:rPr>
              <w:t xml:space="preserve">：</w:t>
            </w:r>
            <w:r/>
          </w:p>
          <w:p>
            <w:p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户    名：常州中宇建设工程管理有限公司</w:t>
            </w:r>
            <w:r/>
          </w:p>
          <w:p>
            <w:p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开户银行：中国工商银行股份有限公司常州勤德支行</w:t>
            </w:r>
            <w:r/>
          </w:p>
          <w:p>
            <w:pPr>
              <w:ind w:firstLine="480"/>
              <w:jc w:val="lef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账   号：1105052609000510202</w:t>
            </w:r>
            <w:r/>
          </w:p>
          <w:p>
            <w:pPr>
              <w:ind w:firstLine="480"/>
              <w:jc w:val="left"/>
              <w:rPr>
                <w:rFonts w:hint="eastAsia" w:ascii="宋体" w:hAnsi="宋体" w:cs="宋体"/>
                <w:color w:val="auto"/>
                <w:sz w:val="24"/>
                <w:highlight w:val="none"/>
              </w:rPr>
            </w:pPr>
            <w:r>
              <w:rPr>
                <w:rFonts w:hint="eastAsia" w:ascii="宋体" w:hAnsi="宋体" w:eastAsia="宋体" w:cs="宋体"/>
                <w:color w:val="auto"/>
                <w:sz w:val="24"/>
                <w:highlight w:val="none"/>
              </w:rPr>
              <w:t xml:space="preserve">财务室电话（开票）：0519-85782855</w:t>
            </w:r>
            <w:r/>
          </w:p>
        </w:tc>
      </w:tr>
      <w:tr>
        <w:trPr>
          <w:jc w:val="center"/>
          <w:trHeight w:val="20"/>
        </w:trPr>
        <w:tc>
          <w:tcPr>
            <w:tcW w:w="988" w:type="dxa"/>
            <w:vAlign w:val="center"/>
            <w:textDirection w:val="lrTb"/>
            <w:noWrap w:val="false"/>
          </w:tcPr>
          <w:p>
            <w:pPr>
              <w:pStyle w:val="1079"/>
              <w:jc w:val="center"/>
              <w:rPr>
                <w:rFonts w:hint="eastAsia" w:ascii="宋体" w:hAnsi="宋体" w:cs="宋体"/>
                <w:color w:val="auto"/>
                <w:sz w:val="24"/>
                <w:szCs w:val="24"/>
                <w:highlight w:val="none"/>
              </w:rPr>
            </w:pPr>
            <w:r>
              <w:rPr>
                <w:rFonts w:ascii="宋体" w:hAnsi="宋体" w:cs="宋体"/>
                <w:color w:val="auto"/>
                <w:sz w:val="24"/>
                <w:szCs w:val="24"/>
                <w:highlight w:val="none"/>
              </w:rPr>
              <w:t xml:space="preserve">26</w:t>
            </w:r>
            <w:r/>
          </w:p>
        </w:tc>
        <w:tc>
          <w:tcPr>
            <w:tcW w:w="1701" w:type="dxa"/>
            <w:vAlign w:val="center"/>
            <w:textDirection w:val="lrTb"/>
            <w:noWrap w:val="false"/>
          </w:tcPr>
          <w:p>
            <w:pPr>
              <w:jc w:val="center"/>
              <w:spacing w:line="360" w:lineRule="exact"/>
              <w:rPr>
                <w:rFonts w:hint="eastAsia" w:ascii="宋体" w:hAnsi="宋体" w:cs="宋体"/>
                <w:color w:val="auto"/>
                <w:sz w:val="24"/>
                <w:highlight w:val="none"/>
              </w:rPr>
            </w:pPr>
            <w:r>
              <w:rPr>
                <w:rFonts w:hint="eastAsia" w:ascii="宋体" w:hAnsi="宋体" w:cs="宋体"/>
                <w:color w:val="auto"/>
                <w:sz w:val="24"/>
                <w:highlight w:val="none"/>
              </w:rPr>
              <w:t xml:space="preserve">纸质中标（成交）文件</w:t>
            </w:r>
            <w:r/>
          </w:p>
        </w:tc>
        <w:tc>
          <w:tcPr>
            <w:tcW w:w="7253" w:type="dxa"/>
            <w:vAlign w:val="center"/>
            <w:textDirection w:val="lrTb"/>
            <w:noWrap w:val="false"/>
          </w:tcPr>
          <w:p>
            <w:pPr>
              <w:ind w:firstLine="482"/>
              <w:jc w:val="left"/>
              <w:spacing w:line="360" w:lineRule="exact"/>
              <w:rPr>
                <w:rFonts w:hint="eastAsia" w:ascii="宋体" w:hAnsi="宋体" w:cs="宋体"/>
                <w:color w:val="auto"/>
                <w:sz w:val="24"/>
                <w:highlight w:val="none"/>
              </w:rPr>
            </w:pPr>
            <w:r>
              <w:rPr>
                <w:rFonts w:hint="eastAsia" w:ascii="宋体" w:hAnsi="宋体" w:cs="宋体"/>
                <w:b/>
                <w:bCs/>
                <w:color w:val="auto"/>
                <w:sz w:val="24"/>
                <w:highlight w:val="none"/>
              </w:rPr>
              <w:t xml:space="preserve">成交供应商在签订合同前需递交与电子响应文件内容一致的纸质响应文件</w:t>
            </w:r>
            <w:r>
              <w:rPr>
                <w:rFonts w:hint="eastAsia" w:ascii="宋体" w:hAnsi="宋体" w:cs="宋体"/>
                <w:b/>
                <w:bCs/>
                <w:color w:val="auto"/>
                <w:sz w:val="24"/>
                <w:highlight w:val="none"/>
                <w:lang w:val="en-US" w:eastAsia="zh-CN"/>
              </w:rPr>
              <w:t xml:space="preserve">叁</w:t>
            </w:r>
            <w:r>
              <w:rPr>
                <w:rFonts w:hint="eastAsia" w:ascii="宋体" w:hAnsi="宋体" w:cs="宋体"/>
                <w:b/>
                <w:bCs/>
                <w:color w:val="auto"/>
                <w:sz w:val="24"/>
                <w:highlight w:val="none"/>
              </w:rPr>
              <w:t xml:space="preserve">份（需打印清晰，标注目录及页码），作为项目归档使用。（递交方式可采用邮寄或现场送达</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联系方式见《第一章 投标邀请》）</w:t>
            </w:r>
            <w:r/>
          </w:p>
        </w:tc>
      </w:tr>
    </w:tbl>
    <w:p>
      <w:pPr>
        <w:spacing w:line="360" w:lineRule="auto"/>
        <w:tabs>
          <w:tab w:val="left" w:pos="5580" w:leader="none"/>
        </w:tabs>
        <w:rPr>
          <w:rFonts w:hint="eastAsia" w:ascii="宋体" w:hAnsi="宋体" w:eastAsia="宋体" w:cs="宋体"/>
          <w:color w:val="auto"/>
          <w:sz w:val="24"/>
          <w:highlight w:val="none"/>
        </w:rPr>
        <w:sectPr>
          <w:footerReference w:type="default" r:id="rId16"/>
          <w:footerReference w:type="first" r:id="rId17"/>
          <w:footnotePr/>
          <w:endnotePr/>
          <w:type w:val="nextPage"/>
          <w:pgSz w:w="11907" w:h="16840" w:orient="portrait"/>
          <w:pgMar w:top="1440" w:right="1080" w:bottom="1440" w:left="1080" w:header="851" w:footer="851" w:gutter="0"/>
          <w:pgNumType w:start="1"/>
          <w:cols w:num="1" w:sep="0" w:space="1701" w:equalWidth="1"/>
          <w:docGrid w:linePitch="360"/>
          <w:titlePg/>
        </w:sectPr>
      </w:pPr>
      <w:r>
        <w:rPr>
          <w:rFonts w:hint="eastAsia" w:ascii="宋体" w:hAnsi="宋体" w:eastAsia="宋体" w:cs="宋体"/>
          <w:color w:val="auto"/>
          <w:sz w:val="24"/>
          <w:highlight w:val="none"/>
        </w:rPr>
      </w:r>
      <w:r/>
    </w:p>
    <w:p>
      <w:pPr>
        <w:jc w:val="center"/>
        <w:spacing w:before="240" w:after="240"/>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供应商须知</w:t>
      </w:r>
      <w:r/>
    </w:p>
    <w:p>
      <w:pPr>
        <w:pStyle w:val="1042"/>
        <w:jc w:val="center"/>
        <w:spacing w:before="0" w:line="360" w:lineRule="auto"/>
        <w:tabs>
          <w:tab w:val="center" w:pos="4592" w:leader="none"/>
          <w:tab w:val="left" w:pos="7860" w:leader="none"/>
        </w:tabs>
        <w:rPr>
          <w:rFonts w:hint="eastAsia" w:ascii="宋体" w:hAnsi="宋体" w:eastAsia="宋体" w:cs="宋体"/>
          <w:color w:val="auto"/>
          <w:sz w:val="28"/>
          <w:highlight w:val="none"/>
        </w:rPr>
      </w:pPr>
      <w:r/>
      <w:bookmarkStart w:id="33" w:name="_Toc150480756"/>
      <w:r/>
      <w:bookmarkStart w:id="34" w:name="_Toc226965791"/>
      <w:r/>
      <w:bookmarkStart w:id="35" w:name="_Toc150774723"/>
      <w:r/>
      <w:bookmarkStart w:id="36" w:name="_Toc195842883"/>
      <w:r/>
      <w:bookmarkStart w:id="37" w:name="_Toc305158860"/>
      <w:r/>
      <w:bookmarkStart w:id="38" w:name="_Toc226965708"/>
      <w:r/>
      <w:bookmarkStart w:id="39" w:name="_Toc127151518"/>
      <w:r/>
      <w:bookmarkStart w:id="40" w:name="_Toc151193616"/>
      <w:r/>
      <w:bookmarkStart w:id="41" w:name="_Toc151193906"/>
      <w:r/>
      <w:bookmarkStart w:id="42" w:name="_Toc151193688"/>
      <w:r/>
      <w:bookmarkStart w:id="43" w:name="_Toc520356143"/>
      <w:r/>
      <w:bookmarkStart w:id="44" w:name="_Toc151193760"/>
      <w:r/>
      <w:bookmarkStart w:id="45" w:name="_Toc265228356"/>
      <w:r/>
      <w:bookmarkStart w:id="46" w:name="_Toc151190145"/>
      <w:r/>
      <w:bookmarkStart w:id="47" w:name="_Toc226337214"/>
      <w:r/>
      <w:bookmarkStart w:id="48" w:name="_Toc150509269"/>
      <w:r/>
      <w:bookmarkStart w:id="49" w:name="_Toc226309762"/>
      <w:r/>
      <w:bookmarkStart w:id="50" w:name="_Toc142311020"/>
      <w:r/>
      <w:bookmarkStart w:id="51" w:name="_Toc264969208"/>
      <w:r/>
      <w:bookmarkStart w:id="52" w:name="_Toc150774618"/>
      <w:r/>
      <w:bookmarkStart w:id="53" w:name="_Toc151193832"/>
      <w:r/>
      <w:bookmarkStart w:id="54" w:name="_Toc305158786"/>
      <w:r>
        <w:rPr>
          <w:rFonts w:hint="eastAsia" w:ascii="宋体" w:hAnsi="宋体" w:eastAsia="宋体" w:cs="宋体"/>
          <w:color w:val="auto"/>
          <w:sz w:val="28"/>
          <w:highlight w:val="none"/>
        </w:rPr>
        <w:t xml:space="preserve">一   说  明</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bookmarkEnd w:id="53"/>
      <w:r/>
      <w:bookmarkEnd w:id="54"/>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bookmarkStart w:id="55" w:name="_Toc265228357"/>
      <w:r/>
      <w:bookmarkStart w:id="56" w:name="_Toc264969209"/>
      <w:r/>
      <w:bookmarkStart w:id="57" w:name="_Toc305158861"/>
      <w:r/>
      <w:bookmarkStart w:id="58" w:name="_Toc305158787"/>
      <w:r>
        <w:rPr>
          <w:rFonts w:hint="eastAsia" w:ascii="宋体" w:hAnsi="宋体" w:cs="宋体"/>
          <w:b/>
          <w:bCs/>
          <w:color w:val="auto"/>
          <w:sz w:val="24"/>
          <w:highlight w:val="none"/>
        </w:rPr>
        <w:t xml:space="preserve">采购人、采购代理机构、供应商</w:t>
      </w:r>
      <w:bookmarkEnd w:id="55"/>
      <w:r/>
      <w:bookmarkEnd w:id="56"/>
      <w:r/>
      <w:bookmarkEnd w:id="57"/>
      <w:r/>
      <w:bookmarkEnd w:id="58"/>
      <w:r>
        <w:rPr>
          <w:rFonts w:hint="eastAsia" w:ascii="宋体" w:hAnsi="宋体" w:cs="宋体"/>
          <w:b/>
          <w:bCs/>
          <w:color w:val="auto"/>
          <w:sz w:val="24"/>
          <w:highlight w:val="none"/>
        </w:rPr>
        <w:t xml:space="preserve">、联合体</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采购人、采购代理机构：指依法进行政府采购的国家机关、事业单位、团体组织，及其委托的采购代理机构。本项目采购人、采购代理机构见第一章《采购邀请》。</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供应商（也称“申请人”）：指向采购人提供货物、工程或者服务的法人、其他组织或者自然人。</w:t>
      </w:r>
      <w:r/>
    </w:p>
    <w:p>
      <w:pPr>
        <w:numPr>
          <w:ilvl w:val="1"/>
          <w:numId w:val="8"/>
        </w:numPr>
        <w:ind w:left="1080" w:hanging="720"/>
        <w:spacing w:line="360" w:lineRule="auto"/>
        <w:tabs>
          <w:tab w:val="left" w:pos="1080" w:leader="none"/>
          <w:tab w:val="left" w:pos="2014" w:leader="none"/>
          <w:tab w:val="left" w:pos="5521" w:leader="none"/>
        </w:tabs>
        <w:rPr>
          <w:rFonts w:hint="eastAsia" w:ascii="宋体" w:hAnsi="宋体" w:cs="宋体"/>
          <w:color w:val="auto"/>
          <w:sz w:val="24"/>
          <w:highlight w:val="none"/>
        </w:rPr>
      </w:pPr>
      <w:r>
        <w:rPr>
          <w:rFonts w:hint="eastAsia" w:ascii="宋体" w:hAnsi="宋体" w:cs="宋体"/>
          <w:color w:val="auto"/>
          <w:sz w:val="24"/>
          <w:highlight w:val="none"/>
        </w:rPr>
        <w:t xml:space="preserve">联合体：指两个以上的自然人、法人或者其他组织组成一个联合体，以一个供应商的身份共同参加政府采购。</w:t>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bookmarkStart w:id="59" w:name="_Toc142311022"/>
      <w:r/>
      <w:bookmarkStart w:id="60" w:name="_Toc151193690"/>
      <w:r/>
      <w:bookmarkStart w:id="61" w:name="_Toc305158862"/>
      <w:r/>
      <w:bookmarkStart w:id="62" w:name="_Toc127151520"/>
      <w:r/>
      <w:bookmarkStart w:id="63" w:name="_Toc264969210"/>
      <w:r/>
      <w:bookmarkStart w:id="64" w:name="_Toc164229215"/>
      <w:r/>
      <w:bookmarkStart w:id="65" w:name="_Toc127151721"/>
      <w:r/>
      <w:bookmarkStart w:id="66" w:name="_Toc151193762"/>
      <w:r/>
      <w:bookmarkStart w:id="67" w:name="_Toc164608634"/>
      <w:r/>
      <w:bookmarkStart w:id="68" w:name="_Toc151193618"/>
      <w:r/>
      <w:bookmarkStart w:id="69" w:name="_Toc151193908"/>
      <w:r/>
      <w:bookmarkStart w:id="70" w:name="_Toc226965793"/>
      <w:r/>
      <w:bookmarkStart w:id="71" w:name="_Toc150774620"/>
      <w:r/>
      <w:bookmarkStart w:id="72" w:name="_Toc151190147"/>
      <w:r/>
      <w:bookmarkStart w:id="73" w:name="_Toc164229361"/>
      <w:r/>
      <w:bookmarkStart w:id="74" w:name="_Toc226309764"/>
      <w:r/>
      <w:bookmarkStart w:id="75" w:name="_Toc151193834"/>
      <w:r/>
      <w:bookmarkStart w:id="76" w:name="_Toc305158788"/>
      <w:r/>
      <w:bookmarkStart w:id="77" w:name="_Toc150480758"/>
      <w:r/>
      <w:bookmarkStart w:id="78" w:name="_Toc150774725"/>
      <w:r/>
      <w:bookmarkStart w:id="79" w:name="_Toc149720813"/>
      <w:r/>
      <w:bookmarkStart w:id="80" w:name="_Toc226337216"/>
      <w:r/>
      <w:bookmarkStart w:id="81" w:name="_Toc195842885"/>
      <w:r/>
      <w:bookmarkStart w:id="82" w:name="_Toc226965710"/>
      <w:r/>
      <w:bookmarkStart w:id="83" w:name="_Toc127161434"/>
      <w:r/>
      <w:bookmarkStart w:id="84" w:name="_Toc150509271"/>
      <w:r/>
      <w:bookmarkStart w:id="85" w:name="_Toc265228358"/>
      <w:r/>
      <w:bookmarkStart w:id="86" w:name="_Toc164608789"/>
      <w:r/>
      <w:bookmarkStart w:id="87" w:name="_Toc164351614"/>
      <w:r>
        <w:rPr>
          <w:rFonts w:hint="eastAsia" w:ascii="宋体" w:hAnsi="宋体" w:cs="宋体"/>
          <w:b/>
          <w:bCs/>
          <w:color w:val="auto"/>
          <w:sz w:val="24"/>
          <w:highlight w:val="none"/>
        </w:rPr>
        <w:t xml:space="preserve">资金来源</w:t>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rPr>
          <w:rFonts w:hint="eastAsia" w:ascii="宋体" w:hAnsi="宋体" w:cs="宋体"/>
          <w:b/>
          <w:bCs/>
          <w:color w:val="auto"/>
          <w:sz w:val="24"/>
          <w:highlight w:val="none"/>
        </w:rPr>
        <w:t xml:space="preserve">、项目属性、科研仪器设备采购</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资金来源为财政性资金和/或本项目采购中无法与财政性资金分割的非财政性资金。</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项目属性见《供应商须知资料表》。</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是否属于科研仪器设备采购见《供应商须知资料表》。</w:t>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现场考察、磋商前答疑会</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8"/>
          <w:highlight w:val="none"/>
        </w:rPr>
      </w:pPr>
      <w:r>
        <w:rPr>
          <w:rFonts w:hint="eastAsia" w:ascii="宋体" w:hAnsi="宋体" w:cs="宋体"/>
          <w:color w:val="auto"/>
          <w:sz w:val="24"/>
          <w:highlight w:val="none"/>
        </w:rPr>
        <w:t xml:space="preserve">若《供应商须知资料表》中规定了组织现场考察、召开磋商前答疑会，则供应商应按要求在规定的时间和地点参加。</w:t>
      </w:r>
      <w:bookmarkStart w:id="88" w:name="_Toc150774622"/>
      <w:r/>
      <w:bookmarkStart w:id="89" w:name="_Toc520356146"/>
      <w:r/>
      <w:bookmarkStart w:id="90" w:name="_Toc127151522"/>
      <w:r/>
      <w:bookmarkStart w:id="91" w:name="_Toc150509273"/>
      <w:r/>
      <w:bookmarkStart w:id="92" w:name="_Toc265228360"/>
      <w:r/>
      <w:bookmarkStart w:id="93" w:name="_Toc150774727"/>
      <w:r/>
      <w:bookmarkStart w:id="94" w:name="_Toc226337218"/>
      <w:r/>
      <w:bookmarkStart w:id="95" w:name="_Toc151193620"/>
      <w:r/>
      <w:bookmarkStart w:id="96" w:name="_Toc305158790"/>
      <w:r/>
      <w:bookmarkStart w:id="97" w:name="_Toc226965712"/>
      <w:r/>
      <w:bookmarkStart w:id="98" w:name="_Toc305158864"/>
      <w:r/>
      <w:bookmarkStart w:id="99" w:name="_Toc226309766"/>
      <w:r/>
      <w:bookmarkStart w:id="100" w:name="_Toc151193692"/>
      <w:r/>
      <w:bookmarkStart w:id="101" w:name="_Toc151193764"/>
      <w:r/>
      <w:bookmarkStart w:id="102" w:name="_Toc151193836"/>
      <w:r/>
      <w:bookmarkStart w:id="103" w:name="_Toc264969212"/>
      <w:r/>
      <w:bookmarkStart w:id="104" w:name="_Toc151193910"/>
      <w:r/>
      <w:bookmarkStart w:id="105" w:name="_Toc226965795"/>
      <w:r/>
      <w:bookmarkStart w:id="106" w:name="_Toc195842887"/>
      <w:r/>
      <w:bookmarkStart w:id="107" w:name="_Toc150480760"/>
      <w:r/>
      <w:bookmarkStart w:id="108" w:name="_Toc142311024"/>
      <w:r/>
      <w:bookmarkStart w:id="109" w:name="_Toc151190149"/>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由于未参加现场考察或磋商前答疑会而导致对项目实际情况不了解，影响响应文件编制、报价准确性、综合因素响应不全面等问题的，由供应商自行承担不利评审后果。</w:t>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政府采购政策（包括但不限于下列具体政策要求）</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进口产品</w:t>
      </w:r>
      <w:r/>
    </w:p>
    <w:p>
      <w:pPr>
        <w:numPr>
          <w:ilvl w:val="2"/>
          <w:numId w:val="8"/>
        </w:numPr>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中小企业、监狱企业及残疾人福利性单位</w:t>
      </w:r>
      <w:r/>
    </w:p>
    <w:p>
      <w:pPr>
        <w:numPr>
          <w:ilvl w:val="2"/>
          <w:numId w:val="8"/>
        </w:numPr>
        <w:spacing w:line="360" w:lineRule="auto"/>
        <w:rPr>
          <w:rFonts w:hint="eastAsia" w:ascii="宋体" w:hAnsi="宋体" w:cs="宋体"/>
          <w:vanish/>
          <w:color w:val="auto"/>
          <w:sz w:val="24"/>
          <w:highlight w:val="none"/>
        </w:rPr>
      </w:pPr>
      <w:r>
        <w:rPr>
          <w:rFonts w:hint="eastAsia" w:ascii="宋体" w:hAnsi="宋体" w:cs="宋体"/>
          <w:color w:val="auto"/>
          <w:sz w:val="24"/>
          <w:highlight w:val="none"/>
        </w:rPr>
        <w:t xml:space="preserve">中小企业定义：</w:t>
      </w:r>
      <w:r/>
    </w:p>
    <w:p>
      <w:pPr>
        <w:pStyle w:val="1140"/>
        <w:ind w:firstLine="0"/>
        <w:spacing w:line="360" w:lineRule="auto"/>
        <w:tabs>
          <w:tab w:val="left" w:pos="2035" w:leader="none"/>
          <w:tab w:val="left" w:pos="2977" w:leader="none"/>
        </w:tabs>
        <w:rPr>
          <w:rFonts w:hint="eastAsia" w:ascii="宋体" w:hAnsi="宋体" w:cs="宋体"/>
          <w:vanish/>
          <w:color w:val="auto"/>
          <w:sz w:val="24"/>
          <w:szCs w:val="24"/>
          <w:highlight w:val="none"/>
        </w:rPr>
      </w:pPr>
      <w:r>
        <w:rPr>
          <w:rFonts w:hint="eastAsia" w:ascii="宋体" w:hAnsi="宋体" w:cs="宋体"/>
          <w:vanish/>
          <w:color w:val="auto"/>
          <w:sz w:val="24"/>
          <w:szCs w:val="24"/>
          <w:highlight w:val="none"/>
        </w:rPr>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中小企业是</w:t>
      </w:r>
      <w:r>
        <w:rPr>
          <w:rFonts w:hint="eastAsia" w:ascii="宋体" w:hAnsi="宋体" w:cs="宋体"/>
          <w:color w:val="auto"/>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供应商提供的货物、工程或者服务符合下列情形的，享受中小企业扶持政策：</w:t>
      </w:r>
      <w:r/>
    </w:p>
    <w:p>
      <w:pPr>
        <w:ind w:left="2835"/>
        <w:spacing w:line="360" w:lineRule="auto"/>
        <w:tabs>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（1）在货物采购项目中，货物由中小企业制造，即货物由中小企业生产且使用该中小企业商号或者注册商标；</w:t>
      </w:r>
      <w:r/>
    </w:p>
    <w:p>
      <w:pPr>
        <w:ind w:left="2835"/>
        <w:spacing w:line="360" w:lineRule="auto"/>
        <w:tabs>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（2）在工程采购项目中，工程由中小企业承建，即工程施工单位为中小企业；</w:t>
      </w:r>
      <w:r/>
    </w:p>
    <w:p>
      <w:pPr>
        <w:ind w:left="2835"/>
        <w:spacing w:line="360" w:lineRule="auto"/>
        <w:tabs>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（3）在服务采购项目中，服务由中小企业承接，即提供服务的人员为中小企业依照《中华人民共和国劳动合同法》订立劳动合同的从业人员。</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在货物采购项目中，供应商提供的货物既有中小企业制造货物，也有大型企业制造货物的，不享受中小企业扶持政策。</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以联合体形式参加政府采购活动，联合体各方均为中小企业的，联合体视同中小企业。其中，联合体各方均为小微企业的，联合体视同小微企业。</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spacing w:line="360" w:lineRule="auto"/>
        <w:rPr>
          <w:rFonts w:hint="eastAsia" w:ascii="宋体" w:hAnsi="宋体" w:cs="宋体"/>
          <w:vanish/>
          <w:color w:val="auto"/>
          <w:sz w:val="24"/>
          <w:highlight w:val="none"/>
        </w:rPr>
      </w:pPr>
      <w:r>
        <w:rPr>
          <w:rFonts w:hint="eastAsia" w:ascii="宋体" w:hAnsi="宋体" w:cs="宋体"/>
          <w:color w:val="auto"/>
          <w:sz w:val="24"/>
          <w:highlight w:val="none"/>
        </w:rPr>
        <w:t xml:space="preserve">残疾人福利单位定义：享受政府采购支持政策的残疾人福利性单位应当同时满足以下条件：</w:t>
      </w:r>
      <w:r/>
    </w:p>
    <w:p>
      <w:pPr>
        <w:numPr>
          <w:ilvl w:val="0"/>
          <w:numId w:val="0"/>
        </w:numPr>
        <w:jc w:val="both"/>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安置的残疾人占本单位在职职工人数的比例不25%（含25%），并且安置的残疾人人数不少于10 人（含10 人）；</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依法与安置的每位残疾人签订了一年以上（含一年）的劳动合同或服务协议；</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为安置的每位残疾人按月足额缴纳了基本养老保险、基本医疗保险、失业保险、工伤保险和生育保险等社会保险费；</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通过银行等金融机构向安置的每位残疾人，按月支付了不低于单位所在区县适用的经省级人民政府批准的月最低工资标准的工资；</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提供本单位制造的货物、承担的工程或者服务（以下简称产品），或者提供其他残疾人福利性单位制造的货物（不包括使用非残疾人福利性单位注册商标的货物）；</w:t>
      </w:r>
      <w:r/>
    </w:p>
    <w:p>
      <w:pPr>
        <w:numPr>
          <w:ilvl w:val="3"/>
          <w:numId w:val="8"/>
        </w:numPr>
        <w:ind w:left="2885"/>
        <w:spacing w:line="360" w:lineRule="auto"/>
        <w:tabs>
          <w:tab w:val="left" w:pos="1980" w:leader="none"/>
          <w:tab w:val="left" w:pos="2035" w:leader="none"/>
          <w:tab w:val="left" w:pos="2885"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本项目是否专门面向中小企业预留采购份额见第一章《采购邀请》。</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采购标的对应的中小企业划分标准所属行业见《供应商须知资料表》。</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小微企业价格评审优惠的政策调整：见第三章《评审方法和评审标准》。</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政府采购节能产品、环境标志产品</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如本项目采购产品属于实施政府强制采购品目清单范围的节能产品，则供应商所报产品必须获得国家确定的认证机构出具的、处于有效期之内的节能产品认证证书，否则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非政府强制采购的节能产品或环境标志产品，依据品目清单和认证证书实施政府优先采购。优先采购的具体规定见第三章《评审方法和评审标准》（如涉及）。</w:t>
      </w:r>
      <w:r/>
    </w:p>
    <w:p>
      <w:pPr>
        <w:numPr>
          <w:ilvl w:val="2"/>
          <w:numId w:val="8"/>
        </w:numPr>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支持乡村产业振兴管理</w:t>
      </w:r>
      <w:r/>
    </w:p>
    <w:p>
      <w:pPr>
        <w:numPr>
          <w:ilvl w:val="2"/>
          <w:numId w:val="8"/>
        </w:numPr>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为落实《关于运用政府采购政策支持乡村产业振兴的通知》（财库〔2021〕19号）有关要求，做好支持脱贫攻坚工作，本项目采购活动中对于支持乡村振兴管理的相关要求见第四章《采购需求》（如涉及）。</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正版软件</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其中，国家有特殊信息安全要求的项目必须采购认证产品。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信息安全产品</w:t>
      </w:r>
      <w:r/>
    </w:p>
    <w:p>
      <w:pPr>
        <w:numPr>
          <w:ilvl w:val="2"/>
          <w:numId w:val="8"/>
        </w:numPr>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所投产品属于《关于调整信息安全产品强制性认证实施要求的公告》（2009 年第33 号）范围的，采购经国家认证的信息安全产品，否则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。关于信息安全相关规定依据《关于信息安全产品实施政府采购的通知》（财库〔2010〕48 号）。</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政府采购创新产品政策</w:t>
      </w:r>
      <w:r/>
    </w:p>
    <w:p>
      <w:pPr>
        <w:numPr>
          <w:ilvl w:val="2"/>
          <w:numId w:val="8"/>
        </w:numPr>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绿色采购政策 </w:t>
      </w:r>
      <w:r/>
    </w:p>
    <w:p>
      <w:pPr>
        <w:numPr>
          <w:ilvl w:val="2"/>
          <w:numId w:val="8"/>
        </w:numPr>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绿色数据中心政策 </w:t>
      </w:r>
      <w:r/>
    </w:p>
    <w:p>
      <w:pPr>
        <w:ind w:left="1915"/>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依据《绿色数据中心政府采购需求标准（试行）》（财办库〔2023〕7 号）文件精神，采购</w:t>
      </w:r>
      <w:r>
        <w:rPr>
          <w:rFonts w:hint="eastAsia" w:ascii="宋体" w:hAnsi="宋体" w:cs="宋体"/>
          <w:color w:val="auto"/>
          <w:sz w:val="24"/>
          <w:highlight w:val="none"/>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推广应用绿色建材</w:t>
      </w:r>
      <w:r/>
    </w:p>
    <w:p>
      <w:pPr>
        <w:ind w:left="1915"/>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p>
    <w:p>
      <w:pPr>
        <w:numPr>
          <w:ilvl w:val="2"/>
          <w:numId w:val="8"/>
        </w:numPr>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优先使用低挥发性有机化合物产品</w:t>
      </w:r>
      <w:r/>
    </w:p>
    <w:p>
      <w:pPr>
        <w:ind w:left="1915"/>
        <w:spacing w:line="360" w:lineRule="auto"/>
        <w:tabs>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采购人要落实挥发性有机化合物（VOCs）治理要求，若本项目中涉及涂料、胶黏剂、油墨、清洗剂等挥发性有机物产品的，属于强制性标准的，磋商供应商应当提供符合国家和江苏省相关VOCs 含量限制标准的产品；属于推荐性标准的，应当在采购文件中载明低VOCs的优惠幅度、评审标准等，以体现优先采购。</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采购本国产品的支持政策</w:t>
      </w:r>
      <w:r/>
    </w:p>
    <w:p>
      <w:pPr>
        <w:numPr>
          <w:ilvl w:val="2"/>
          <w:numId w:val="8"/>
        </w:numPr>
        <w:ind w:left="1894" w:hanging="840"/>
        <w:spacing w:line="360" w:lineRule="auto"/>
        <w:tabs>
          <w:tab w:val="left" w:pos="20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根据《国务院办公厅关于在政府采购中实施本国产品标准及相关政策的通知》（国办发〔2025〕34号）文件要求，在政府采购中实施本国产品标准及相关支持政策。</w:t>
      </w:r>
      <w:r/>
    </w:p>
    <w:p>
      <w:pPr>
        <w:numPr>
          <w:ilvl w:val="1"/>
          <w:numId w:val="8"/>
        </w:numPr>
        <w:ind w:left="1080" w:hanging="720"/>
        <w:spacing w:line="360" w:lineRule="auto"/>
        <w:tabs>
          <w:tab w:val="left" w:pos="1080" w:leader="none"/>
          <w:tab w:val="left" w:pos="2014" w:leader="none"/>
        </w:tabs>
        <w:rPr>
          <w:rFonts w:hint="eastAsia" w:ascii="宋体" w:hAnsi="宋体" w:eastAsia="宋体" w:cs="宋体"/>
          <w:sz w:val="24"/>
          <w:highlight w:val="none"/>
        </w:rPr>
      </w:pPr>
      <w:r>
        <w:rPr>
          <w:rFonts w:hint="eastAsia" w:ascii="宋体" w:hAnsi="宋体" w:eastAsia="宋体" w:cs="宋体"/>
          <w:sz w:val="24"/>
          <w:highlight w:val="none"/>
        </w:rPr>
        <w:t xml:space="preserve">履约保证金相关政策</w:t>
      </w:r>
      <w:r/>
    </w:p>
    <w:p>
      <w:pPr>
        <w:numPr>
          <w:ilvl w:val="2"/>
          <w:numId w:val="8"/>
        </w:numPr>
        <w:ind w:left="1894" w:hanging="840"/>
        <w:spacing w:line="360" w:lineRule="auto"/>
        <w:tabs>
          <w:tab w:val="left" w:pos="2014" w:leader="none"/>
        </w:tabs>
        <w:rPr>
          <w:rFonts w:hint="eastAsia" w:ascii="宋体" w:hAnsi="宋体" w:cs="宋体"/>
          <w:color w:val="auto"/>
          <w:sz w:val="24"/>
          <w:highlight w:val="none"/>
        </w:rPr>
      </w:pPr>
      <w:r>
        <w:rPr>
          <w:rFonts w:hint="eastAsia" w:ascii="宋体" w:hAnsi="宋体" w:eastAsia="宋体" w:cs="宋体"/>
          <w:sz w:val="24"/>
          <w:highlight w:val="none"/>
        </w:rPr>
        <w:t xml:space="preserve">根据国家、省、市相关规定，如果采购人根据项目实际情况，确实需要要求中标或者成交供应商提交履约保证金的，供应商应当以支票、汇票、本票或者金融机构、担保机构出具的保函（保险）等非现金形式提交，鼓励优先采用电子履约保函（保险）的形式。</w:t>
      </w:r>
      <w:r/>
    </w:p>
    <w:p>
      <w:pPr>
        <w:numPr>
          <w:ilvl w:val="2"/>
          <w:numId w:val="8"/>
        </w:numPr>
        <w:ind w:left="1894" w:hanging="840"/>
        <w:spacing w:line="360" w:lineRule="auto"/>
        <w:tabs>
          <w:tab w:val="left" w:pos="2014" w:leader="none"/>
        </w:tabs>
        <w:rPr>
          <w:rFonts w:hint="eastAsia" w:ascii="宋体" w:hAnsi="宋体" w:cs="宋体"/>
          <w:color w:val="auto"/>
          <w:sz w:val="24"/>
          <w:highlight w:val="none"/>
        </w:rPr>
      </w:pPr>
      <w:r>
        <w:rPr>
          <w:rFonts w:hint="eastAsia" w:ascii="宋体" w:hAnsi="宋体" w:eastAsia="宋体" w:cs="宋体"/>
          <w:sz w:val="24"/>
          <w:highlight w:val="none"/>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响应费用</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供应商应自行承担所有与准备和参加磋商有关的费用，无论磋商的结果如何，采购人或采购代理机构在任何情况下均无承担这些费用的义务和责任。</w:t>
      </w:r>
      <w:r/>
    </w:p>
    <w:p>
      <w:pPr>
        <w:ind w:left="1080"/>
        <w:spacing w:line="360" w:lineRule="auto"/>
        <w:tabs>
          <w:tab w:val="left" w:pos="1080" w:leader="none"/>
        </w:tabs>
        <w:rPr>
          <w:rFonts w:hint="eastAsia" w:ascii="宋体" w:hAnsi="宋体" w:cs="宋体"/>
          <w:color w:val="auto"/>
          <w:sz w:val="28"/>
          <w:highlight w:val="none"/>
        </w:rPr>
      </w:pPr>
      <w:r/>
      <w:bookmarkStart w:id="110" w:name="_1.8_计量单位"/>
      <w:r/>
      <w:bookmarkEnd w:id="110"/>
      <w:r/>
      <w:r/>
    </w:p>
    <w:p>
      <w:pPr>
        <w:pStyle w:val="104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二   竞争性磋商文件</w:t>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bookmarkStart w:id="111" w:name="_Toc264969213"/>
      <w:r/>
      <w:bookmarkStart w:id="112" w:name="_Toc151193693"/>
      <w:r/>
      <w:bookmarkStart w:id="113" w:name="_Toc127161437"/>
      <w:r/>
      <w:bookmarkStart w:id="114" w:name="_Toc226965713"/>
      <w:r/>
      <w:bookmarkStart w:id="115" w:name="_Toc151193911"/>
      <w:r/>
      <w:bookmarkStart w:id="116" w:name="_Toc150774623"/>
      <w:r/>
      <w:bookmarkStart w:id="117" w:name="_Toc151190150"/>
      <w:r/>
      <w:bookmarkStart w:id="118" w:name="_Toc164229218"/>
      <w:r/>
      <w:bookmarkStart w:id="119" w:name="_Toc195842888"/>
      <w:r/>
      <w:bookmarkStart w:id="120" w:name="_Toc305158865"/>
      <w:r/>
      <w:bookmarkStart w:id="121" w:name="_Toc150480761"/>
      <w:r/>
      <w:bookmarkStart w:id="122" w:name="_Toc142311025"/>
      <w:r/>
      <w:bookmarkStart w:id="123" w:name="_Toc150774728"/>
      <w:r/>
      <w:bookmarkStart w:id="124" w:name="_Toc151193765"/>
      <w:r/>
      <w:bookmarkStart w:id="125" w:name="_Toc305158791"/>
      <w:r/>
      <w:bookmarkStart w:id="126" w:name="_Toc226309767"/>
      <w:r/>
      <w:bookmarkStart w:id="127" w:name="_Toc164351617"/>
      <w:r/>
      <w:bookmarkStart w:id="128" w:name="_Toc265228361"/>
      <w:r/>
      <w:bookmarkStart w:id="129" w:name="_Toc151193621"/>
      <w:r/>
      <w:bookmarkStart w:id="130" w:name="_Toc164608637"/>
      <w:r/>
      <w:bookmarkStart w:id="131" w:name="_Toc164229364"/>
      <w:r/>
      <w:bookmarkStart w:id="132" w:name="_Toc151193837"/>
      <w:r/>
      <w:bookmarkStart w:id="133" w:name="_Toc150509274"/>
      <w:r/>
      <w:bookmarkStart w:id="134" w:name="_Toc164608792"/>
      <w:r/>
      <w:bookmarkStart w:id="135" w:name="_Toc127151523"/>
      <w:r/>
      <w:bookmarkStart w:id="136" w:name="_Toc149720816"/>
      <w:r/>
      <w:bookmarkStart w:id="137" w:name="_Toc226337219"/>
      <w:r/>
      <w:bookmarkStart w:id="138" w:name="_Toc226965796"/>
      <w:r/>
      <w:bookmarkStart w:id="139" w:name="_Toc127151724"/>
      <w:r/>
      <w:bookmarkStart w:id="140" w:name="_Toc520356147"/>
      <w:r>
        <w:rPr>
          <w:rFonts w:hint="eastAsia" w:ascii="宋体" w:hAnsi="宋体" w:cs="宋体"/>
          <w:b/>
          <w:bCs/>
          <w:color w:val="auto"/>
          <w:sz w:val="24"/>
          <w:highlight w:val="none"/>
        </w:rPr>
        <w:t xml:space="preserve">竞争性磋商文件构</w:t>
      </w:r>
      <w:bookmarkEnd w:id="111"/>
      <w:r/>
      <w:bookmarkEnd w:id="112"/>
      <w:r/>
      <w:bookmarkEnd w:id="113"/>
      <w:r/>
      <w:bookmarkEnd w:id="114"/>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ascii="宋体" w:hAnsi="宋体" w:cs="宋体"/>
          <w:b/>
          <w:bCs/>
          <w:color w:val="auto"/>
          <w:sz w:val="24"/>
          <w:highlight w:val="none"/>
        </w:rPr>
        <w:t xml:space="preserve">成</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竞争性磋商文件包括以下部分：</w:t>
      </w:r>
      <w:r/>
    </w:p>
    <w:p>
      <w:pPr>
        <w:numPr>
          <w:ilvl w:val="0"/>
          <w:numId w:val="9"/>
        </w:numPr>
        <w:ind w:left="1440" w:firstLine="5"/>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采购邀请</w:t>
      </w:r>
      <w:r/>
    </w:p>
    <w:p>
      <w:pPr>
        <w:numPr>
          <w:ilvl w:val="0"/>
          <w:numId w:val="9"/>
        </w:numPr>
        <w:ind w:left="1440" w:firstLine="5"/>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供应商须知</w:t>
      </w:r>
      <w:r/>
    </w:p>
    <w:p>
      <w:pPr>
        <w:numPr>
          <w:ilvl w:val="0"/>
          <w:numId w:val="9"/>
        </w:numPr>
        <w:ind w:left="1440" w:firstLine="5"/>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评审程序、评审方法和评审标准</w:t>
      </w:r>
      <w:r/>
    </w:p>
    <w:p>
      <w:pPr>
        <w:numPr>
          <w:ilvl w:val="0"/>
          <w:numId w:val="9"/>
        </w:numPr>
        <w:ind w:left="1440" w:firstLine="5"/>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采购需求</w:t>
      </w:r>
      <w:r/>
    </w:p>
    <w:p>
      <w:pPr>
        <w:numPr>
          <w:ilvl w:val="0"/>
          <w:numId w:val="9"/>
        </w:numPr>
        <w:ind w:left="1440" w:firstLine="5"/>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合同草案条款</w:t>
      </w:r>
      <w:r/>
    </w:p>
    <w:p>
      <w:pPr>
        <w:numPr>
          <w:ilvl w:val="0"/>
          <w:numId w:val="9"/>
        </w:numPr>
        <w:ind w:left="1440" w:firstLine="5"/>
        <w:spacing w:line="360" w:lineRule="auto"/>
        <w:tabs>
          <w:tab w:val="left" w:pos="1980" w:leader="none"/>
          <w:tab w:val="left" w:pos="2520" w:leader="none"/>
        </w:tabs>
        <w:rPr>
          <w:rFonts w:hint="eastAsia" w:ascii="宋体" w:hAnsi="宋体" w:cs="宋体"/>
          <w:color w:val="auto"/>
          <w:sz w:val="24"/>
          <w:highlight w:val="none"/>
        </w:rPr>
      </w:pPr>
      <w:r>
        <w:rPr>
          <w:rFonts w:hint="eastAsia" w:ascii="宋体" w:hAnsi="宋体" w:cs="宋体"/>
          <w:color w:val="auto"/>
          <w:sz w:val="24"/>
          <w:highlight w:val="none"/>
        </w:rPr>
        <w:t xml:space="preserve">响应文件格式</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供应商应认真阅读竞争性磋商文件的全部内容。供应商应按照竞争性磋商文件要求提交响应文件并保证所提供的全部资料的真实性，并对竞争性磋商文件做出实质性响应，否则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1080" w:leader="none"/>
          <w:tab w:val="left" w:pos="2014" w:leader="none"/>
        </w:tabs>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对竞争性磋商文件的澄清或修改</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采购人或采购代理机构对已发出的竞争性磋商文件进行必要澄清或者修改的，将在原公告发布媒体上以发布更正公告的形式通知所有获取磋商文件的供应商。</w:t>
      </w:r>
      <w:r/>
    </w:p>
    <w:p>
      <w:pPr>
        <w:numPr>
          <w:ilvl w:val="1"/>
          <w:numId w:val="8"/>
        </w:numPr>
        <w:ind w:left="1080" w:hanging="720"/>
        <w:spacing w:line="360" w:lineRule="auto"/>
        <w:tabs>
          <w:tab w:val="left" w:pos="1080" w:leader="none"/>
          <w:tab w:val="left" w:pos="1561" w:leader="none"/>
          <w:tab w:val="left" w:pos="2014" w:leader="none"/>
        </w:tabs>
        <w:rPr>
          <w:rFonts w:hint="eastAsia" w:ascii="宋体" w:hAnsi="宋体" w:cs="宋体"/>
          <w:color w:val="auto"/>
          <w:sz w:val="28"/>
          <w:highlight w:val="none"/>
        </w:rPr>
      </w:pPr>
      <w:r>
        <w:rPr>
          <w:rFonts w:hint="eastAsia" w:ascii="宋体" w:hAnsi="宋体" w:cs="宋体"/>
          <w:color w:val="auto"/>
          <w:sz w:val="24"/>
          <w:highlight w:val="none"/>
        </w:rPr>
        <w:t xml:space="preserve">澄清或者修改的内容为竞争性磋商文件的组成部分，并对所有获取竞争性磋商文件的潜在供应商具有约束力。澄清或者修改的内容可能影响响应文件编制的，将在提交首次响应文件截止之日5日前，以更正公告形式通知所有获取磋商文件的潜在供应商；不足上述时间的，将顺延提交响应文件的截止时间。</w:t>
      </w:r>
      <w:bookmarkStart w:id="141" w:name="_Toc516367020"/>
      <w:r/>
      <w:bookmarkStart w:id="142" w:name="_Toc150509277"/>
      <w:r/>
      <w:bookmarkStart w:id="143" w:name="_Toc150480764"/>
      <w:r/>
      <w:bookmarkStart w:id="144" w:name="_Toc151193914"/>
      <w:r/>
      <w:bookmarkStart w:id="145" w:name="_Toc127151526"/>
      <w:r/>
      <w:bookmarkStart w:id="146" w:name="_Toc226337222"/>
      <w:r/>
      <w:bookmarkStart w:id="147" w:name="_Toc151193696"/>
      <w:r/>
      <w:bookmarkStart w:id="148" w:name="_Toc305158868"/>
      <w:r/>
      <w:bookmarkStart w:id="149" w:name="_Toc265228364"/>
      <w:r/>
      <w:bookmarkStart w:id="150" w:name="_Toc226309770"/>
      <w:r/>
      <w:bookmarkStart w:id="151" w:name="_Toc305158794"/>
      <w:r/>
      <w:bookmarkStart w:id="152" w:name="_Toc226965716"/>
      <w:r/>
      <w:bookmarkStart w:id="153" w:name="_Toc150774626"/>
      <w:r/>
      <w:bookmarkStart w:id="154" w:name="_Toc264969216"/>
      <w:r/>
      <w:bookmarkStart w:id="155" w:name="_Toc151193840"/>
      <w:r/>
      <w:bookmarkStart w:id="156" w:name="_Toc195842891"/>
      <w:r/>
      <w:bookmarkStart w:id="157" w:name="_Toc142311028"/>
      <w:r/>
      <w:bookmarkStart w:id="158" w:name="_Toc151193624"/>
      <w:r/>
      <w:bookmarkStart w:id="159" w:name="_Toc151193768"/>
      <w:r/>
      <w:bookmarkStart w:id="160" w:name="_Toc520356150"/>
      <w:r/>
      <w:bookmarkStart w:id="161" w:name="_Toc226965799"/>
      <w:r/>
      <w:bookmarkStart w:id="162" w:name="_Toc151190153"/>
      <w:r/>
      <w:bookmarkStart w:id="163" w:name="_Toc150774731"/>
      <w:r/>
      <w:r/>
    </w:p>
    <w:p>
      <w:pPr>
        <w:pStyle w:val="104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三   响应文件</w:t>
      </w:r>
      <w:bookmarkEnd w:id="141"/>
      <w:r>
        <w:rPr>
          <w:rFonts w:hint="eastAsia" w:ascii="宋体" w:hAnsi="宋体" w:eastAsia="宋体" w:cs="宋体"/>
          <w:color w:val="auto"/>
          <w:sz w:val="28"/>
          <w:highlight w:val="none"/>
        </w:rPr>
        <w:t xml:space="preserve">的编制</w:t>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bookmarkStart w:id="164" w:name="_Toc164608796"/>
      <w:r/>
      <w:bookmarkStart w:id="165" w:name="_Toc264969217"/>
      <w:r/>
      <w:bookmarkStart w:id="166" w:name="_Toc516367021"/>
      <w:r/>
      <w:bookmarkStart w:id="167" w:name="_Toc305158869"/>
      <w:r/>
      <w:bookmarkStart w:id="168" w:name="_Toc520356151"/>
      <w:r/>
      <w:bookmarkStart w:id="169" w:name="_Toc164608641"/>
      <w:r/>
      <w:bookmarkStart w:id="170" w:name="_Toc265228365"/>
      <w:r/>
      <w:bookmarkStart w:id="171" w:name="_Toc150509278"/>
      <w:r/>
      <w:bookmarkStart w:id="172" w:name="_Toc151193697"/>
      <w:r/>
      <w:bookmarkStart w:id="173" w:name="_Toc226965717"/>
      <w:r/>
      <w:bookmarkStart w:id="174" w:name="_Toc151193625"/>
      <w:r/>
      <w:bookmarkStart w:id="175" w:name="_Toc226337223"/>
      <w:r/>
      <w:bookmarkStart w:id="176" w:name="_Toc149720820"/>
      <w:r/>
      <w:bookmarkStart w:id="177" w:name="_Toc127151527"/>
      <w:r/>
      <w:bookmarkStart w:id="178" w:name="_Toc151193915"/>
      <w:r/>
      <w:bookmarkStart w:id="179" w:name="_Toc150774732"/>
      <w:r/>
      <w:bookmarkStart w:id="180" w:name="_Toc127151728"/>
      <w:r/>
      <w:bookmarkStart w:id="181" w:name="_Toc164229368"/>
      <w:r/>
      <w:bookmarkStart w:id="182" w:name="_Toc226965800"/>
      <w:r/>
      <w:bookmarkStart w:id="183" w:name="_Toc164229222"/>
      <w:r/>
      <w:bookmarkStart w:id="184" w:name="_Toc305158795"/>
      <w:r/>
      <w:bookmarkStart w:id="185" w:name="_Toc150774627"/>
      <w:r/>
      <w:bookmarkStart w:id="186" w:name="_Toc226309771"/>
      <w:r/>
      <w:bookmarkStart w:id="187" w:name="_Toc164351621"/>
      <w:r/>
      <w:bookmarkStart w:id="188" w:name="_Toc151193769"/>
      <w:r/>
      <w:bookmarkStart w:id="189" w:name="_Toc127161441"/>
      <w:r/>
      <w:bookmarkStart w:id="190" w:name="_Toc151190154"/>
      <w:r/>
      <w:bookmarkStart w:id="191" w:name="_Toc142311029"/>
      <w:r/>
      <w:bookmarkStart w:id="192" w:name="_Toc151193841"/>
      <w:r/>
      <w:bookmarkStart w:id="193" w:name="_Toc195842892"/>
      <w:r/>
      <w:bookmarkStart w:id="194" w:name="_Toc150480765"/>
      <w:r>
        <w:rPr>
          <w:rFonts w:hint="eastAsia" w:ascii="宋体" w:hAnsi="宋体" w:cs="宋体"/>
          <w:b/>
          <w:bCs/>
          <w:color w:val="auto"/>
          <w:sz w:val="24"/>
          <w:highlight w:val="none"/>
        </w:rPr>
        <w:t xml:space="preserve">响应范围、竞争性磋商文件中计量单位的使用</w:t>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rPr>
          <w:rFonts w:hint="eastAsia" w:ascii="宋体" w:hAnsi="宋体" w:cs="宋体"/>
          <w:b/>
          <w:bCs/>
          <w:color w:val="auto"/>
          <w:sz w:val="24"/>
          <w:highlight w:val="none"/>
        </w:rPr>
        <w:t xml:space="preserve">及磋商语言</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如划分采购包，供应商可以对本项目的其中一个采购包进行响应，也可同时对多个采购包进行响应。供应商应当对所报采购包对应第四章《采购需求》所列的全部内容进行响应，不得将一个采购包中的内容拆开响应，否则其对该采购包</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除竞争性磋商文件有特殊要求外，本项目磋商所使用的计量单位，应采用中华人民共和国法定计量单位。</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除专用术语外，响应文件及来往函电均应使用中文书写。必要时专用术语应附有中文解释。供应商提交的支持资料和已印制的文献可以用外文，但相应内容应附有中文翻译本，在解释响应文件时以中文翻译本为准。未附中文翻译本或翻译本中文内容明显与外文内容不一致的，其不利后果由供应商自行承担。</w:t>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bookmarkStart w:id="195" w:name="_Ref467306195"/>
      <w:r/>
      <w:bookmarkStart w:id="196" w:name="_Toc516367022"/>
      <w:r/>
      <w:bookmarkStart w:id="197" w:name="_Ref467306676"/>
      <w:r/>
      <w:bookmarkStart w:id="198" w:name="_Toc151193626"/>
      <w:r/>
      <w:bookmarkStart w:id="199" w:name="_Toc226965718"/>
      <w:r/>
      <w:bookmarkStart w:id="200" w:name="_Toc151193770"/>
      <w:r/>
      <w:bookmarkStart w:id="201" w:name="_Toc164229369"/>
      <w:r/>
      <w:bookmarkStart w:id="202" w:name="_Toc151193842"/>
      <w:r/>
      <w:bookmarkStart w:id="203" w:name="_Toc305158870"/>
      <w:r/>
      <w:bookmarkStart w:id="204" w:name="_Toc149720821"/>
      <w:r/>
      <w:bookmarkStart w:id="205" w:name="_Toc226965801"/>
      <w:r/>
      <w:bookmarkStart w:id="206" w:name="_Toc226337224"/>
      <w:r/>
      <w:bookmarkStart w:id="207" w:name="_Toc226309772"/>
      <w:r/>
      <w:bookmarkStart w:id="208" w:name="_Toc127151528"/>
      <w:r/>
      <w:bookmarkStart w:id="209" w:name="_Toc150774628"/>
      <w:r/>
      <w:bookmarkStart w:id="210" w:name="_Toc164229223"/>
      <w:r/>
      <w:bookmarkStart w:id="211" w:name="_Toc264969218"/>
      <w:r/>
      <w:bookmarkStart w:id="212" w:name="_Toc142311030"/>
      <w:r/>
      <w:bookmarkStart w:id="213" w:name="_Toc151193698"/>
      <w:r/>
      <w:bookmarkStart w:id="214" w:name="_Toc195842893"/>
      <w:r/>
      <w:bookmarkStart w:id="215" w:name="_Toc164608797"/>
      <w:r/>
      <w:bookmarkStart w:id="216" w:name="_Toc520356152"/>
      <w:r/>
      <w:bookmarkStart w:id="217" w:name="_Toc151190155"/>
      <w:r/>
      <w:bookmarkStart w:id="218" w:name="_Toc151193916"/>
      <w:r/>
      <w:bookmarkStart w:id="219" w:name="_Toc305158796"/>
      <w:r/>
      <w:bookmarkStart w:id="220" w:name="_Toc150480766"/>
      <w:r/>
      <w:bookmarkStart w:id="221" w:name="_Toc127161442"/>
      <w:r/>
      <w:bookmarkStart w:id="222" w:name="_Toc265228366"/>
      <w:r/>
      <w:bookmarkStart w:id="223" w:name="_Toc164608642"/>
      <w:r/>
      <w:bookmarkStart w:id="224" w:name="_Toc127151729"/>
      <w:r/>
      <w:bookmarkStart w:id="225" w:name="_Toc164351622"/>
      <w:r/>
      <w:bookmarkStart w:id="226" w:name="_Toc150509279"/>
      <w:r/>
      <w:bookmarkStart w:id="227" w:name="_Toc150774733"/>
      <w:r>
        <w:rPr>
          <w:rFonts w:hint="eastAsia" w:ascii="宋体" w:hAnsi="宋体" w:cs="宋体"/>
          <w:b/>
          <w:bCs/>
          <w:color w:val="auto"/>
          <w:sz w:val="24"/>
          <w:highlight w:val="none"/>
        </w:rPr>
        <w:t xml:space="preserve">响应文件</w:t>
      </w:r>
      <w:bookmarkEnd w:id="195"/>
      <w:r/>
      <w:bookmarkEnd w:id="196"/>
      <w:r/>
      <w:bookmarkEnd w:id="197"/>
      <w:r>
        <w:rPr>
          <w:rFonts w:hint="eastAsia" w:ascii="宋体" w:hAnsi="宋体" w:cs="宋体"/>
          <w:b/>
          <w:bCs/>
          <w:color w:val="auto"/>
          <w:sz w:val="24"/>
          <w:highlight w:val="none"/>
        </w:rPr>
        <w:t xml:space="preserve">构成</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bookmarkStart w:id="228" w:name="_Ref467052588"/>
      <w:r>
        <w:rPr>
          <w:rFonts w:hint="eastAsia" w:ascii="宋体" w:hAnsi="宋体" w:cs="宋体"/>
          <w:color w:val="auto"/>
          <w:sz w:val="24"/>
          <w:highlight w:val="none"/>
        </w:rPr>
        <w:t xml:space="preserve">供应商应当按照竞争性磋商文件的要求编制响应文件，并对其提交的响应文件的真实性、合法性承担法律责任。响应文件的部分格式要求，见第六章《响应文件格式》。</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第三章《评审方法和评审标准》中涉及的证明文件。</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对照第四章《采购需求》，说明所提供货物和服务已对第四章《采购需求》做出了响应，或申明与第四章《采购需求》的偏差和例外。如第四章《采购需求》中要求提供证明文件的，供应商应当按具体要求提供证明文件。</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供应商认为应附的其他材料。</w:t>
      </w:r>
      <w:bookmarkEnd w:id="228"/>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bookmarkStart w:id="229" w:name="_Toc150774735"/>
      <w:r/>
      <w:bookmarkStart w:id="230" w:name="_Toc127151731"/>
      <w:r/>
      <w:bookmarkStart w:id="231" w:name="_Toc164229225"/>
      <w:r/>
      <w:bookmarkStart w:id="232" w:name="_Toc164608799"/>
      <w:r/>
      <w:bookmarkStart w:id="233" w:name="_Toc150509281"/>
      <w:r/>
      <w:bookmarkStart w:id="234" w:name="_Toc151190157"/>
      <w:r/>
      <w:bookmarkStart w:id="235" w:name="_Toc151193700"/>
      <w:r/>
      <w:bookmarkStart w:id="236" w:name="_Toc195842895"/>
      <w:r/>
      <w:bookmarkStart w:id="237" w:name="_Toc151193628"/>
      <w:r/>
      <w:bookmarkStart w:id="238" w:name="_Toc127161444"/>
      <w:r/>
      <w:bookmarkStart w:id="239" w:name="_Toc127151530"/>
      <w:r/>
      <w:bookmarkStart w:id="240" w:name="_Toc164351624"/>
      <w:r/>
      <w:bookmarkStart w:id="241" w:name="_Toc520356155"/>
      <w:r/>
      <w:bookmarkStart w:id="242" w:name="_Toc164608644"/>
      <w:r/>
      <w:bookmarkStart w:id="243" w:name="_Toc142311032"/>
      <w:r/>
      <w:bookmarkStart w:id="244" w:name="_Toc151193844"/>
      <w:r/>
      <w:bookmarkStart w:id="245" w:name="_Toc151193918"/>
      <w:r/>
      <w:bookmarkStart w:id="246" w:name="_Toc150480768"/>
      <w:r/>
      <w:bookmarkStart w:id="247" w:name="_Toc151193772"/>
      <w:r/>
      <w:bookmarkStart w:id="248" w:name="_Toc149720823"/>
      <w:r/>
      <w:bookmarkStart w:id="249" w:name="_Toc150774630"/>
      <w:r/>
      <w:bookmarkStart w:id="250" w:name="_Toc164229371"/>
      <w:r>
        <w:rPr>
          <w:rFonts w:hint="eastAsia" w:ascii="宋体" w:hAnsi="宋体" w:cs="宋体"/>
          <w:b/>
          <w:bCs/>
          <w:color w:val="auto"/>
          <w:sz w:val="24"/>
          <w:highlight w:val="none"/>
        </w:rPr>
        <w:t xml:space="preserve">报价</w:t>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所有响应均以人民币报价。</w:t>
      </w:r>
      <w:r/>
    </w:p>
    <w:p>
      <w:pPr>
        <w:numPr>
          <w:ilvl w:val="1"/>
          <w:numId w:val="8"/>
        </w:numPr>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供应商的报价应包括为完成本项目所发生的一切费用和税费，采购人将不再支付报价以外的任何费用。供应商的报价应包括但不限于下列内容，《供应商须知资料表》中有特殊规定的，从其规定。</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本项目报价表上的价格为</w:t>
      </w:r>
      <w:r>
        <w:rPr>
          <w:rFonts w:hint="eastAsia" w:ascii="宋体" w:hAnsi="宋体" w:cs="宋体"/>
          <w:color w:val="auto"/>
          <w:sz w:val="24"/>
          <w:highlight w:val="none"/>
          <w:lang w:val="en-US" w:eastAsia="zh-CN"/>
        </w:rPr>
        <w:t xml:space="preserve">含税</w:t>
      </w:r>
      <w:r>
        <w:rPr>
          <w:rFonts w:hint="eastAsia" w:ascii="宋体" w:hAnsi="宋体" w:cs="宋体"/>
          <w:color w:val="auto"/>
          <w:sz w:val="24"/>
          <w:highlight w:val="none"/>
        </w:rPr>
        <w:t xml:space="preserve">报价，报价应包括竞争性磋商文件所确定的采购范围相应服务的提供、人员（包括工资和补贴）、办公场所及设施、保险、劳保、管理、各种税费、利润、管理费、规费（社会保险费、住房公积金）、税金、</w:t>
      </w:r>
      <w:r>
        <w:rPr>
          <w:rFonts w:hint="eastAsia" w:ascii="宋体" w:hAnsi="宋体" w:cs="宋体"/>
          <w:color w:val="auto"/>
          <w:sz w:val="24"/>
          <w:highlight w:val="none"/>
          <w:lang w:val="en-US" w:eastAsia="zh-CN"/>
        </w:rPr>
        <w:t xml:space="preserve">招标代理服务费、</w:t>
      </w:r>
      <w:r>
        <w:rPr>
          <w:rFonts w:hint="eastAsia" w:ascii="宋体" w:hAnsi="宋体" w:cs="宋体"/>
          <w:color w:val="auto"/>
          <w:sz w:val="24"/>
          <w:highlight w:val="none"/>
        </w:rPr>
        <w:t xml:space="preserve">政策性文件规定及合同包含的所有风险、责任等各项应有费用，以及为完成该项服务项目所涉及到的一切相关费用，</w:t>
      </w:r>
      <w:r>
        <w:rPr>
          <w:rFonts w:hint="eastAsia" w:ascii="宋体" w:hAnsi="宋体" w:cs="宋体"/>
          <w:color w:val="auto"/>
          <w:sz w:val="24"/>
          <w:highlight w:val="none"/>
          <w:lang w:val="en-US" w:eastAsia="zh-CN"/>
        </w:rPr>
        <w:t xml:space="preserve">采购</w:t>
      </w:r>
      <w:r>
        <w:rPr>
          <w:rFonts w:hint="eastAsia" w:ascii="宋体" w:hAnsi="宋体" w:cs="宋体"/>
          <w:color w:val="auto"/>
          <w:sz w:val="24"/>
          <w:highlight w:val="none"/>
        </w:rPr>
        <w:t xml:space="preserve">人不再支付其他任何费用。</w:t>
      </w:r>
      <w:r>
        <w:rPr>
          <w:rFonts w:hint="eastAsia" w:ascii="宋体" w:hAnsi="宋体" w:eastAsia="宋体" w:cs="宋体"/>
          <w:color w:val="auto"/>
          <w:sz w:val="24"/>
          <w:szCs w:val="24"/>
          <w:highlight w:val="none"/>
          <w:lang w:val="en-US" w:eastAsia="zh-CN" w:bidi="ar-SA"/>
        </w:rPr>
        <w:t xml:space="preserve">同时，除非合同条款中另有规定，否则，供应商所报价格在合同响应、实施期间不因市场变化因素而变动。</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按照竞争性磋商文件要求完成本项目的全部相关内容或服务费用。</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采购人不得向供应商索要或者接受其给予的赠品、回扣或者与采购无关的其他商品、服务。</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供应商不能提供任何有选择性或可调整的最终报价（竞争性磋商文件另有规定的除外），否则其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磋商保证金</w:t>
      </w:r>
      <w:r/>
    </w:p>
    <w:p>
      <w:pPr>
        <w:ind w:left="568" w:firstLine="0"/>
        <w:spacing w:line="360" w:lineRule="auto"/>
        <w:tabs>
          <w:tab w:val="left" w:pos="1080" w:leader="none"/>
        </w:tabs>
        <w:rPr>
          <w:rFonts w:hint="eastAsia" w:ascii="宋体" w:hAnsi="宋体" w:cs="宋体"/>
          <w:color w:val="auto"/>
          <w:sz w:val="24"/>
          <w:highlight w:val="none"/>
        </w:rPr>
        <w:outlineLvl w:val="9"/>
      </w:pPr>
      <w:r>
        <w:rPr>
          <w:rFonts w:hint="eastAsia" w:ascii="宋体" w:hAnsi="宋体" w:cs="宋体"/>
          <w:color w:val="auto"/>
          <w:sz w:val="24"/>
          <w:highlight w:val="none"/>
        </w:rPr>
        <w:t xml:space="preserve">根据江苏省和常州市的相关文件规定，免收保证金。</w:t>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响应有效期</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响应文件应在本竞争性磋商文件《供应商须知资料表》中规定的响应有效期内保持有效，响应有效期少于竞争性磋商文件规定期限的，其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bookmarkStart w:id="251" w:name="_Toc226309777"/>
      <w:r/>
      <w:bookmarkStart w:id="252" w:name="_Toc164351627"/>
      <w:r/>
      <w:bookmarkStart w:id="253" w:name="_Toc195842898"/>
      <w:r/>
      <w:bookmarkStart w:id="254" w:name="_Toc150774633"/>
      <w:r/>
      <w:bookmarkStart w:id="255" w:name="_Toc520356158"/>
      <w:r/>
      <w:bookmarkStart w:id="256" w:name="_Toc164608647"/>
      <w:r/>
      <w:bookmarkStart w:id="257" w:name="_Toc226337229"/>
      <w:r/>
      <w:bookmarkStart w:id="258" w:name="_Toc149720826"/>
      <w:r/>
      <w:bookmarkStart w:id="259" w:name="_Toc226965806"/>
      <w:r/>
      <w:bookmarkStart w:id="260" w:name="_Toc151193703"/>
      <w:r/>
      <w:bookmarkStart w:id="261" w:name="_Toc226965723"/>
      <w:r/>
      <w:bookmarkStart w:id="262" w:name="_Toc150509284"/>
      <w:r/>
      <w:bookmarkStart w:id="263" w:name="_Toc265228371"/>
      <w:r/>
      <w:bookmarkStart w:id="264" w:name="_Toc164229228"/>
      <w:r/>
      <w:bookmarkStart w:id="265" w:name="_Toc127161447"/>
      <w:r/>
      <w:bookmarkStart w:id="266" w:name="_Toc151193921"/>
      <w:r/>
      <w:bookmarkStart w:id="267" w:name="_Toc151193631"/>
      <w:r/>
      <w:bookmarkStart w:id="268" w:name="_Toc127151734"/>
      <w:r/>
      <w:bookmarkStart w:id="269" w:name="_Toc305158875"/>
      <w:r/>
      <w:bookmarkStart w:id="270" w:name="_Toc150774738"/>
      <w:r/>
      <w:bookmarkStart w:id="271" w:name="_Toc264969223"/>
      <w:r/>
      <w:bookmarkStart w:id="272" w:name="_Toc142311035"/>
      <w:r/>
      <w:bookmarkStart w:id="273" w:name="_Toc150480771"/>
      <w:r/>
      <w:bookmarkStart w:id="274" w:name="_Toc127151533"/>
      <w:r/>
      <w:bookmarkStart w:id="275" w:name="_Toc164229374"/>
      <w:r/>
      <w:bookmarkStart w:id="276" w:name="_Toc305158801"/>
      <w:r/>
      <w:bookmarkStart w:id="277" w:name="_Toc151193775"/>
      <w:r/>
      <w:bookmarkStart w:id="278" w:name="_Toc164608802"/>
      <w:r/>
      <w:bookmarkStart w:id="279" w:name="_Toc151190160"/>
      <w:r/>
      <w:bookmarkStart w:id="280" w:name="_Toc151193847"/>
      <w:r>
        <w:rPr>
          <w:rFonts w:hint="eastAsia" w:ascii="宋体" w:hAnsi="宋体" w:cs="宋体"/>
          <w:b/>
          <w:bCs/>
          <w:color w:val="auto"/>
          <w:sz w:val="24"/>
          <w:highlight w:val="none"/>
        </w:rPr>
        <w:t xml:space="preserve">响应文件的份数、签署</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ind w:left="568"/>
        <w:spacing w:line="360" w:lineRule="auto"/>
        <w:tabs>
          <w:tab w:val="left" w:pos="1080" w:leader="none"/>
        </w:tabs>
        <w:rPr>
          <w:rFonts w:hint="eastAsia" w:ascii="宋体" w:hAnsi="宋体" w:cs="宋体"/>
          <w:color w:val="auto"/>
          <w:sz w:val="24"/>
          <w:highlight w:val="none"/>
        </w:rPr>
      </w:pPr>
      <w:r/>
      <w:bookmarkStart w:id="281" w:name="_Toc150480772"/>
      <w:r/>
      <w:bookmarkStart w:id="282" w:name="_Toc150774739"/>
      <w:r/>
      <w:bookmarkStart w:id="283" w:name="_Toc142311036"/>
      <w:r/>
      <w:bookmarkStart w:id="284" w:name="_Toc150509285"/>
      <w:r/>
      <w:bookmarkStart w:id="285" w:name="_Toc151190161"/>
      <w:r/>
      <w:bookmarkStart w:id="286" w:name="_Toc305158876"/>
      <w:r/>
      <w:bookmarkStart w:id="287" w:name="_Toc151193776"/>
      <w:r/>
      <w:bookmarkStart w:id="288" w:name="_Toc127151534"/>
      <w:r/>
      <w:bookmarkStart w:id="289" w:name="_Toc151193848"/>
      <w:r/>
      <w:bookmarkStart w:id="290" w:name="_Toc226965807"/>
      <w:r/>
      <w:bookmarkStart w:id="291" w:name="_Toc226309778"/>
      <w:r/>
      <w:bookmarkStart w:id="292" w:name="_Toc226337230"/>
      <w:r/>
      <w:bookmarkStart w:id="293" w:name="_Toc151193632"/>
      <w:r/>
      <w:bookmarkStart w:id="294" w:name="_Toc151193704"/>
      <w:r/>
      <w:bookmarkStart w:id="295" w:name="_Toc264969224"/>
      <w:r/>
      <w:bookmarkStart w:id="296" w:name="_Toc151193922"/>
      <w:r/>
      <w:bookmarkStart w:id="297" w:name="_Toc265228372"/>
      <w:r/>
      <w:bookmarkStart w:id="298" w:name="_Toc150774634"/>
      <w:r/>
      <w:bookmarkStart w:id="299" w:name="_Toc195842899"/>
      <w:r/>
      <w:bookmarkStart w:id="300" w:name="_Toc305158802"/>
      <w:r/>
      <w:bookmarkStart w:id="301" w:name="_Toc226965724"/>
      <w:r/>
      <w:bookmarkStart w:id="302" w:name="_Toc520356159"/>
      <w:r>
        <w:rPr>
          <w:rFonts w:hint="eastAsia" w:ascii="宋体" w:hAnsi="宋体" w:cs="宋体"/>
          <w:color w:val="auto"/>
          <w:sz w:val="24"/>
          <w:highlight w:val="none"/>
        </w:rPr>
        <w:t xml:space="preserve">竞争性磋商文件要求签字的内容（如授权委托书等），可以使用电子签章或使用原件的电子件（电子件指扫描件、照片等形式电子文件）；要求第三方出具的盖章件原件（如联合协议、分包意向协议、制造商授权书原件等），响应文件中应使用原件的电子件。</w:t>
      </w:r>
      <w:r/>
    </w:p>
    <w:p>
      <w:pPr>
        <w:ind w:left="357"/>
        <w:spacing w:line="360" w:lineRule="auto"/>
        <w:tabs>
          <w:tab w:val="left" w:pos="900" w:leader="none"/>
          <w:tab w:val="left" w:pos="1080" w:leader="none"/>
        </w:tabs>
        <w:rPr>
          <w:rFonts w:hint="eastAsia" w:ascii="宋体" w:hAnsi="宋体" w:cs="宋体"/>
          <w:color w:val="auto"/>
          <w:highlight w:val="none"/>
        </w:rPr>
      </w:pPr>
      <w:r>
        <w:rPr>
          <w:rFonts w:hint="eastAsia" w:ascii="宋体" w:hAnsi="宋体" w:cs="宋体"/>
          <w:color w:val="auto"/>
          <w:sz w:val="24"/>
          <w:highlight w:val="none"/>
        </w:rPr>
        <w:t xml:space="preserve">竞争性磋商文件要求盖章的内容，一般通过响应文件编制工具加盖电子签章。</w:t>
      </w:r>
      <w:r/>
    </w:p>
    <w:p>
      <w:pPr>
        <w:pStyle w:val="1042"/>
        <w:spacing w:before="0" w:line="360" w:lineRule="auto"/>
        <w:rPr>
          <w:rFonts w:hint="eastAsia" w:ascii="宋体" w:hAnsi="宋体" w:eastAsia="宋体" w:cs="宋体"/>
          <w:color w:val="auto"/>
          <w:sz w:val="28"/>
          <w:highlight w:val="none"/>
        </w:rPr>
      </w:pPr>
      <w:r>
        <w:rPr>
          <w:rFonts w:hint="eastAsia" w:ascii="宋体" w:hAnsi="宋体" w:eastAsia="宋体" w:cs="宋体"/>
          <w:color w:val="auto"/>
          <w:sz w:val="28"/>
          <w:highlight w:val="none"/>
        </w:rPr>
        <w:t xml:space="preserve">四   响应文件的提交</w:t>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bookmarkStart w:id="303" w:name="_Toc16938541"/>
      <w:r/>
      <w:bookmarkStart w:id="304" w:name="_Toc513029225"/>
      <w:r/>
      <w:bookmarkStart w:id="305" w:name="_Toc462564084"/>
      <w:r/>
      <w:bookmarkStart w:id="306" w:name="_Toc20823297"/>
      <w:r>
        <w:rPr>
          <w:rFonts w:hint="eastAsia" w:ascii="宋体" w:hAnsi="宋体" w:cs="宋体"/>
          <w:b/>
          <w:bCs/>
          <w:color w:val="auto"/>
          <w:sz w:val="24"/>
          <w:highlight w:val="none"/>
        </w:rPr>
        <w:t xml:space="preserve">响应文件的密封和标记</w:t>
      </w:r>
      <w:bookmarkEnd w:id="303"/>
      <w:r/>
      <w:bookmarkEnd w:id="304"/>
      <w:r/>
      <w:bookmarkEnd w:id="305"/>
      <w:r/>
      <w:bookmarkEnd w:id="306"/>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bookmarkStart w:id="307" w:name="_Toc20823298"/>
      <w:r/>
      <w:bookmarkStart w:id="308" w:name="_Toc16938542"/>
      <w:r/>
      <w:bookmarkStart w:id="309" w:name="_Toc513029226"/>
      <w:r>
        <w:rPr>
          <w:rFonts w:hint="eastAsia" w:ascii="宋体" w:hAnsi="宋体" w:cs="宋体"/>
          <w:color w:val="auto"/>
          <w:sz w:val="24"/>
          <w:highlight w:val="none"/>
        </w:rPr>
        <w:t xml:space="preserve">本项目使用政府采购一体化平台“苏采云”。供应商根据竞争性磋商文件及政府采购一体化平台“苏采云”供应商操作手册要求编制、生成并提交电子响应文件。</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采购人及采购代理机构拒绝接受通过电子交易平台以外任何形式提交的响应文件。</w:t>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响应文件递交截止时间</w:t>
      </w:r>
      <w:bookmarkEnd w:id="307"/>
      <w:r/>
      <w:bookmarkEnd w:id="308"/>
      <w:r/>
      <w:bookmarkEnd w:id="309"/>
      <w:r/>
      <w:r/>
    </w:p>
    <w:p>
      <w:pPr>
        <w:ind w:left="357"/>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供应商应在竞争性磋商文件要求提交响应文件截止时间前，将电子响应文件提交至政府采购一体化平台“苏采云”。</w:t>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bookmarkStart w:id="310" w:name="_Toc16938543"/>
      <w:r/>
      <w:bookmarkStart w:id="311" w:name="_Toc513029227"/>
      <w:r/>
      <w:bookmarkStart w:id="312" w:name="_Toc20823299"/>
      <w:r>
        <w:rPr>
          <w:rFonts w:hint="eastAsia" w:ascii="宋体" w:hAnsi="宋体" w:cs="宋体"/>
          <w:b/>
          <w:bCs/>
          <w:color w:val="auto"/>
          <w:sz w:val="24"/>
          <w:highlight w:val="none"/>
        </w:rPr>
        <w:t xml:space="preserve">迟交的</w:t>
      </w:r>
      <w:bookmarkEnd w:id="310"/>
      <w:r/>
      <w:bookmarkEnd w:id="311"/>
      <w:r/>
      <w:bookmarkEnd w:id="312"/>
      <w:r>
        <w:rPr>
          <w:rFonts w:hint="eastAsia" w:ascii="宋体" w:hAnsi="宋体" w:cs="宋体"/>
          <w:b/>
          <w:bCs/>
          <w:color w:val="auto"/>
          <w:sz w:val="24"/>
          <w:highlight w:val="none"/>
        </w:rPr>
        <w:t xml:space="preserve">响应文件</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提交响应文件截止时间前，供应商可以通过电子交易平台对所提交的响应文件进行补充、修改或者撤回。</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highlight w:val="none"/>
        </w:rPr>
      </w:pPr>
      <w:r>
        <w:rPr>
          <w:rFonts w:hint="eastAsia" w:ascii="宋体" w:hAnsi="宋体" w:cs="宋体"/>
          <w:color w:val="auto"/>
          <w:sz w:val="24"/>
          <w:highlight w:val="none"/>
        </w:rPr>
        <w:t xml:space="preserve">供应商对响应文件的补充、修改的内容应当按照竞争性磋商文件要求签署、盖章，作为响应文件的组成部分。补充、修改的内容与响应文件不一致的，以补充、修改的内容为准。</w:t>
      </w:r>
      <w:r/>
    </w:p>
    <w:p>
      <w:pPr>
        <w:pStyle w:val="1042"/>
        <w:spacing w:before="0" w:line="360" w:lineRule="auto"/>
        <w:rPr>
          <w:rFonts w:hint="eastAsia" w:ascii="宋体" w:hAnsi="宋体" w:eastAsia="宋体" w:cs="宋体"/>
          <w:color w:val="auto"/>
          <w:sz w:val="28"/>
          <w:highlight w:val="none"/>
        </w:rPr>
      </w:pPr>
      <w:r/>
      <w:bookmarkStart w:id="313" w:name="_Toc151190165"/>
      <w:r/>
      <w:bookmarkStart w:id="314" w:name="_Toc151193708"/>
      <w:r/>
      <w:bookmarkStart w:id="315" w:name="_Toc127151538"/>
      <w:r/>
      <w:bookmarkStart w:id="316" w:name="_Toc520356163"/>
      <w:r/>
      <w:bookmarkStart w:id="317" w:name="_Toc305158806"/>
      <w:r/>
      <w:bookmarkStart w:id="318" w:name="_Toc142311040"/>
      <w:r/>
      <w:bookmarkStart w:id="319" w:name="_Toc226965811"/>
      <w:r/>
      <w:bookmarkStart w:id="320" w:name="_Toc151193852"/>
      <w:r/>
      <w:bookmarkStart w:id="321" w:name="_Toc150480776"/>
      <w:r/>
      <w:bookmarkStart w:id="322" w:name="_Toc226337234"/>
      <w:r/>
      <w:bookmarkStart w:id="323" w:name="_Toc151193926"/>
      <w:r/>
      <w:bookmarkStart w:id="324" w:name="_Toc150774743"/>
      <w:r/>
      <w:bookmarkStart w:id="325" w:name="_Toc150509289"/>
      <w:r/>
      <w:bookmarkStart w:id="326" w:name="_Toc305158880"/>
      <w:r/>
      <w:bookmarkStart w:id="327" w:name="_Toc151193636"/>
      <w:r/>
      <w:bookmarkStart w:id="328" w:name="_Toc150774638"/>
      <w:r/>
      <w:bookmarkStart w:id="329" w:name="_Toc151193780"/>
      <w:r/>
      <w:bookmarkStart w:id="330" w:name="_Toc195842903"/>
      <w:r/>
      <w:bookmarkStart w:id="331" w:name="_Toc226309782"/>
      <w:r/>
      <w:bookmarkStart w:id="332" w:name="_Toc265228376"/>
      <w:r/>
      <w:bookmarkStart w:id="333" w:name="_Toc264969228"/>
      <w:r/>
      <w:bookmarkStart w:id="334" w:name="_Toc226965728"/>
      <w:r>
        <w:rPr>
          <w:rFonts w:hint="eastAsia" w:ascii="宋体" w:hAnsi="宋体" w:eastAsia="宋体" w:cs="宋体"/>
          <w:color w:val="auto"/>
          <w:sz w:val="28"/>
          <w:highlight w:val="none"/>
        </w:rPr>
        <w:t xml:space="preserve">五   </w:t>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rPr>
          <w:rFonts w:hint="eastAsia" w:ascii="宋体" w:hAnsi="宋体" w:eastAsia="宋体" w:cs="宋体"/>
          <w:color w:val="auto"/>
          <w:sz w:val="28"/>
          <w:highlight w:val="none"/>
        </w:rPr>
        <w:t xml:space="preserve">评审</w:t>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bookmarkStart w:id="335" w:name="_Toc513029230"/>
      <w:r/>
      <w:bookmarkEnd w:id="335"/>
      <w:r/>
      <w:bookmarkStart w:id="336" w:name="_Toc20823302"/>
      <w:r/>
      <w:bookmarkEnd w:id="336"/>
      <w:r/>
      <w:bookmarkStart w:id="337" w:name="_Toc16938546"/>
      <w:r/>
      <w:bookmarkEnd w:id="337"/>
      <w:r>
        <w:rPr>
          <w:rFonts w:hint="eastAsia" w:ascii="宋体" w:hAnsi="宋体" w:cs="宋体"/>
          <w:b/>
          <w:bCs/>
          <w:color w:val="auto"/>
          <w:sz w:val="24"/>
          <w:highlight w:val="none"/>
        </w:rPr>
        <w:t xml:space="preserve">响应文件的解密与开启</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采购人或采购代理机构将按竞争性磋商文件的规定，在响应文件提交截止时间的同一时间和竞争性磋商文件预先确定的地点开启响应文件。</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本项目采用不见面招交易模式，使用政府采购一体化平台“苏采云”在线进行解密。供应商应在规定的时间内对响应文件进行解密，因非系统原因导致的解密失败，视为</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供应商不足3家的，不予解密。</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本项目不公开报价。</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须在开标前使用“验证CA”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因本项目采用不见面交易的方式，在解密、评审过程中，供应商需要保持操作计算机前有相关责任人值守，及时对于系统或者磋商小组发出的指令和要求进行响应操作。如果因为无人值守造成不能及时回应系统或者磋商小组指令和要求从而导致影响开标、评审结果的，责任由供应商承担。</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果在采购活动过程中出现以下情形，导致“政府采购一体化平台“苏采云””系统无法正常运行，或者无法保证本项目采购活动的公平、公正和安全时，代理机构可以延缓或者暂停采购活动，情况严重的可以终止采购活动：</w:t>
      </w:r>
      <w:r/>
    </w:p>
    <w:p>
      <w:pPr>
        <w:numPr>
          <w:ilvl w:val="-1"/>
          <w:numId w:val="0"/>
        </w:numPr>
        <w:ind w:left="357" w:firstLine="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 1)平台系统发生故障而无法登录访问的；</w:t>
      </w:r>
      <w:r/>
    </w:p>
    <w:p>
      <w:pPr>
        <w:ind w:left="357" w:firstLine="84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2)平台系统应用或数据库出现错误，不能进行正常操作的；</w:t>
      </w:r>
      <w:r/>
    </w:p>
    <w:p>
      <w:pPr>
        <w:ind w:left="357" w:firstLine="84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3)平台系统发现严重安全漏洞，有潜在泄密危险的；</w:t>
      </w:r>
      <w:r/>
    </w:p>
    <w:p>
      <w:pPr>
        <w:ind w:left="357" w:firstLine="84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4)病毒发作导致平台系统不能进行正常操作的；</w:t>
      </w:r>
      <w:r/>
    </w:p>
    <w:p>
      <w:pPr>
        <w:ind w:left="357" w:firstLine="840"/>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5)其他无法保证本次采购活动的公平、公正和安全的情况。</w:t>
      </w:r>
      <w:r/>
    </w:p>
    <w:p>
      <w:pPr>
        <w:numPr>
          <w:ilvl w:val="-1"/>
          <w:numId w:val="0"/>
        </w:numPr>
        <w:ind w:left="1057" w:firstLine="19"/>
        <w:spacing w:line="360" w:lineRule="auto"/>
        <w:tabs>
          <w:tab w:val="left" w:pos="1080" w:leader="none"/>
          <w:tab w:val="left" w:pos="2014" w:leader="none"/>
        </w:tabs>
        <w:rPr>
          <w:rFonts w:hint="eastAsia" w:ascii="宋体" w:hAnsi="宋体" w:cs="宋体"/>
          <w:color w:val="auto"/>
          <w:highlight w:val="none"/>
        </w:rPr>
      </w:pPr>
      <w:r>
        <w:rPr>
          <w:rFonts w:hint="eastAsia" w:ascii="宋体" w:hAnsi="宋体" w:cs="宋体"/>
          <w:color w:val="auto"/>
          <w:sz w:val="24"/>
          <w:highlight w:val="none"/>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磋商小组</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磋商小组根据政府采购有关规定和本次采购项目的特点进行组建，并负责具体评审事务，独立履行职责。</w:t>
      </w:r>
      <w:bookmarkStart w:id="338" w:name="_Toc520356166"/>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评审专家须符合相关规定。依法自行选定评审专家的，采购人和采购代理机构将查询有关信用记录，对具有行贿、受贿、欺诈等不良信用记录的人员，拒绝其参与政府采购活动。</w:t>
      </w:r>
      <w:bookmarkEnd w:id="338"/>
      <w:r/>
      <w:bookmarkStart w:id="339" w:name="_Toc520356169"/>
      <w:r/>
      <w:r/>
    </w:p>
    <w:p>
      <w:pPr>
        <w:numPr>
          <w:ilvl w:val="0"/>
          <w:numId w:val="8"/>
        </w:numPr>
        <w:spacing w:line="360" w:lineRule="auto"/>
        <w:tabs>
          <w:tab w:val="left" w:pos="360" w:leader="none"/>
        </w:tabs>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评审方法和评审标准</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见第三章《评审方法和评审标准》。</w:t>
      </w:r>
      <w:r/>
    </w:p>
    <w:p>
      <w:pPr>
        <w:ind w:left="1080"/>
        <w:spacing w:line="360" w:lineRule="auto"/>
        <w:tabs>
          <w:tab w:val="left" w:pos="360" w:leader="none"/>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p>
      <w:pPr>
        <w:pStyle w:val="1042"/>
        <w:spacing w:before="0" w:line="360" w:lineRule="auto"/>
        <w:rPr>
          <w:rFonts w:hint="eastAsia" w:ascii="宋体" w:hAnsi="宋体" w:eastAsia="宋体" w:cs="宋体"/>
          <w:color w:val="auto"/>
          <w:sz w:val="28"/>
          <w:highlight w:val="none"/>
        </w:rPr>
      </w:pPr>
      <w:r/>
      <w:bookmarkStart w:id="340" w:name="_Toc195842910"/>
      <w:r/>
      <w:bookmarkStart w:id="341" w:name="_Toc150774750"/>
      <w:r/>
      <w:bookmarkStart w:id="342" w:name="_Toc142311047"/>
      <w:r/>
      <w:bookmarkStart w:id="343" w:name="_Toc150774645"/>
      <w:r/>
      <w:bookmarkStart w:id="344" w:name="_Toc151193715"/>
      <w:r/>
      <w:bookmarkStart w:id="345" w:name="_Toc226965818"/>
      <w:r/>
      <w:bookmarkStart w:id="346" w:name="_Toc151193933"/>
      <w:r/>
      <w:bookmarkStart w:id="347" w:name="_Toc265228383"/>
      <w:r/>
      <w:bookmarkStart w:id="348" w:name="_Toc226337241"/>
      <w:r/>
      <w:bookmarkStart w:id="349" w:name="_Toc151193787"/>
      <w:r/>
      <w:bookmarkStart w:id="350" w:name="_Toc151193643"/>
      <w:r/>
      <w:bookmarkStart w:id="351" w:name="_Toc127151545"/>
      <w:r/>
      <w:bookmarkStart w:id="352" w:name="_Toc226309789"/>
      <w:r/>
      <w:bookmarkStart w:id="353" w:name="_Toc305158887"/>
      <w:r/>
      <w:bookmarkStart w:id="354" w:name="_Toc226965735"/>
      <w:r/>
      <w:bookmarkStart w:id="355" w:name="_Toc151193859"/>
      <w:r/>
      <w:bookmarkStart w:id="356" w:name="_Toc264969235"/>
      <w:r/>
      <w:bookmarkStart w:id="357" w:name="_Toc150509296"/>
      <w:r/>
      <w:bookmarkStart w:id="358" w:name="_Toc305158813"/>
      <w:r/>
      <w:bookmarkStart w:id="359" w:name="_Toc151190172"/>
      <w:r/>
      <w:bookmarkStart w:id="360" w:name="_Toc150480783"/>
      <w:r>
        <w:rPr>
          <w:rFonts w:hint="eastAsia" w:ascii="宋体" w:hAnsi="宋体" w:eastAsia="宋体" w:cs="宋体"/>
          <w:color w:val="auto"/>
          <w:sz w:val="28"/>
          <w:highlight w:val="none"/>
        </w:rPr>
        <w:t xml:space="preserve">六   </w:t>
      </w:r>
      <w:bookmarkEnd w:id="339"/>
      <w:r>
        <w:rPr>
          <w:rFonts w:hint="eastAsia" w:ascii="宋体" w:hAnsi="宋体" w:eastAsia="宋体" w:cs="宋体"/>
          <w:color w:val="auto"/>
          <w:sz w:val="28"/>
          <w:highlight w:val="none"/>
        </w:rPr>
        <w:t xml:space="preserve">确定</w:t>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rPr>
          <w:rFonts w:hint="eastAsia" w:ascii="宋体" w:hAnsi="宋体" w:eastAsia="宋体" w:cs="宋体"/>
          <w:color w:val="auto"/>
          <w:sz w:val="28"/>
          <w:highlight w:val="none"/>
        </w:rPr>
        <w:t xml:space="preserve">成交</w:t>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bookmarkStart w:id="361" w:name="_Toc151193935"/>
      <w:r/>
      <w:bookmarkStart w:id="362" w:name="_Toc150480785"/>
      <w:r/>
      <w:bookmarkStart w:id="363" w:name="_Toc151193645"/>
      <w:r/>
      <w:bookmarkStart w:id="364" w:name="_Toc142311049"/>
      <w:r/>
      <w:bookmarkStart w:id="365" w:name="_Toc150509298"/>
      <w:r/>
      <w:bookmarkStart w:id="366" w:name="_Toc150774752"/>
      <w:r/>
      <w:bookmarkStart w:id="367" w:name="_Toc127151748"/>
      <w:r/>
      <w:bookmarkStart w:id="368" w:name="_Toc127151547"/>
      <w:r/>
      <w:bookmarkStart w:id="369" w:name="_Toc265228385"/>
      <w:r/>
      <w:bookmarkStart w:id="370" w:name="_Toc127161461"/>
      <w:r/>
      <w:bookmarkStart w:id="371" w:name="_Toc305158815"/>
      <w:r/>
      <w:bookmarkStart w:id="372" w:name="_Toc164229388"/>
      <w:r/>
      <w:bookmarkStart w:id="373" w:name="_Toc150774647"/>
      <w:r/>
      <w:bookmarkStart w:id="374" w:name="_Toc226337243"/>
      <w:r/>
      <w:bookmarkStart w:id="375" w:name="_Toc164229242"/>
      <w:r/>
      <w:bookmarkStart w:id="376" w:name="_Toc264969237"/>
      <w:r/>
      <w:bookmarkStart w:id="377" w:name="_Toc226309791"/>
      <w:r/>
      <w:bookmarkStart w:id="378" w:name="_Toc151193717"/>
      <w:r/>
      <w:bookmarkStart w:id="379" w:name="_Toc164608661"/>
      <w:r/>
      <w:bookmarkStart w:id="380" w:name="_Toc195842912"/>
      <w:r/>
      <w:bookmarkStart w:id="381" w:name="_Toc226965737"/>
      <w:r/>
      <w:bookmarkStart w:id="382" w:name="_Toc151193861"/>
      <w:r/>
      <w:bookmarkStart w:id="383" w:name="_Toc164608816"/>
      <w:r/>
      <w:bookmarkStart w:id="384" w:name="_Toc305158889"/>
      <w:r/>
      <w:bookmarkStart w:id="385" w:name="_Toc226965820"/>
      <w:r/>
      <w:bookmarkStart w:id="386" w:name="_Toc164351641"/>
      <w:r/>
      <w:bookmarkStart w:id="387" w:name="_Toc151193789"/>
      <w:r/>
      <w:bookmarkStart w:id="388" w:name="_Toc151190174"/>
      <w:r/>
      <w:bookmarkStart w:id="389" w:name="_Toc149720840"/>
      <w:r>
        <w:rPr>
          <w:rFonts w:hint="eastAsia" w:ascii="宋体" w:hAnsi="宋体" w:cs="宋体"/>
          <w:b/>
          <w:bCs/>
          <w:color w:val="auto"/>
          <w:sz w:val="24"/>
          <w:highlight w:val="none"/>
        </w:rPr>
        <w:t xml:space="preserve">确定成交供应商</w:t>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采购人将在收到评审报告后，从评审报告提出的成交候选供应商中，按照排序由高到低的原则确定成交供应商。成交候选人并列的，由采购人依法确定。</w:t>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bookmarkStart w:id="390" w:name="_Toc305158817"/>
      <w:r/>
      <w:bookmarkStart w:id="391" w:name="_Toc305158891"/>
      <w:r/>
      <w:bookmarkStart w:id="392" w:name="_Toc151190176"/>
      <w:r/>
      <w:bookmarkStart w:id="393" w:name="_Toc151193791"/>
      <w:r/>
      <w:bookmarkStart w:id="394" w:name="_Toc265228387"/>
      <w:r/>
      <w:bookmarkStart w:id="395" w:name="_Toc226309793"/>
      <w:r/>
      <w:bookmarkStart w:id="396" w:name="_Toc151193937"/>
      <w:r/>
      <w:bookmarkStart w:id="397" w:name="_Toc142311051"/>
      <w:r/>
      <w:bookmarkStart w:id="398" w:name="_Toc226337245"/>
      <w:r/>
      <w:bookmarkStart w:id="399" w:name="_Toc264969239"/>
      <w:r/>
      <w:bookmarkStart w:id="400" w:name="_Toc149720842"/>
      <w:r/>
      <w:bookmarkStart w:id="401" w:name="_Toc127151549"/>
      <w:r/>
      <w:bookmarkStart w:id="402" w:name="_Toc127161463"/>
      <w:r/>
      <w:bookmarkStart w:id="403" w:name="_Toc150480787"/>
      <w:r/>
      <w:bookmarkStart w:id="404" w:name="_Toc226965822"/>
      <w:r/>
      <w:bookmarkStart w:id="405" w:name="_Toc164229390"/>
      <w:r/>
      <w:bookmarkStart w:id="406" w:name="_Toc150774754"/>
      <w:r/>
      <w:bookmarkStart w:id="407" w:name="_Toc195842914"/>
      <w:r/>
      <w:bookmarkStart w:id="408" w:name="_Toc151193647"/>
      <w:r/>
      <w:bookmarkStart w:id="409" w:name="_Toc150774649"/>
      <w:r/>
      <w:bookmarkStart w:id="410" w:name="_Toc164608663"/>
      <w:r/>
      <w:bookmarkStart w:id="411" w:name="_Toc151193863"/>
      <w:r/>
      <w:bookmarkStart w:id="412" w:name="_Toc164229244"/>
      <w:r/>
      <w:bookmarkStart w:id="413" w:name="_Toc150509300"/>
      <w:r/>
      <w:bookmarkStart w:id="414" w:name="_Toc164608818"/>
      <w:r/>
      <w:bookmarkStart w:id="415" w:name="_Toc164351643"/>
      <w:r/>
      <w:bookmarkStart w:id="416" w:name="_Toc226965739"/>
      <w:r/>
      <w:bookmarkStart w:id="417" w:name="_Toc127151750"/>
      <w:r/>
      <w:bookmarkStart w:id="418" w:name="_Toc151193719"/>
      <w:r/>
      <w:bookmarkStart w:id="419" w:name="_Toc520356176"/>
      <w:r/>
      <w:bookmarkStart w:id="420" w:name="_Ref467306425"/>
      <w:r/>
      <w:bookmarkStart w:id="421" w:name="_Ref467307090"/>
      <w:r>
        <w:rPr>
          <w:rFonts w:hint="eastAsia" w:ascii="宋体" w:hAnsi="宋体" w:cs="宋体"/>
          <w:b/>
          <w:bCs/>
          <w:color w:val="auto"/>
          <w:sz w:val="24"/>
          <w:highlight w:val="none"/>
        </w:rPr>
        <w:t xml:space="preserve">成交公告与成交通知书</w:t>
      </w:r>
      <w:bookmarkEnd w:id="390"/>
      <w:r/>
      <w:bookmarkEnd w:id="391"/>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采购人或采购代理机构将在成交供应商确定后2个工作日内，在常州市政府采购网公告成交结果，同时向成交供应商发出成交通知书，成交公告期限为1个工作日。</w:t>
      </w:r>
      <w:r/>
    </w:p>
    <w:p>
      <w:pPr>
        <w:numPr>
          <w:ilvl w:val="1"/>
          <w:numId w:val="8"/>
        </w:numPr>
        <w:ind w:left="1080"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成交通知书是合同的组成部分，对采购人和成交供应商具有同等法律效力。成交通知书发出后，采购人改变成交结果的，或者成交供应商放弃成交项目的，将依法承担法律责任。</w:t>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终止</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在采购中，出现下列情形之一的，采购人或采购代理机构将终止竞争性磋商采购活动，发布项目终止公告并说明原因，重新开展采购活动：</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因情况变化，不再符合规定的竞争性磋商采购方式适用情形的；</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出现影响采购公正的违法、违规行为的；</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szCs w:val="20"/>
          <w:highlight w:val="none"/>
        </w:rPr>
        <w:t xml:space="preserve">除了“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的情形外，在采购过程中符合要求的供应商或者报价未超过采购预算的供应商不足3家的。</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pacing w:val="2"/>
          <w:sz w:val="24"/>
          <w:highlight w:val="none"/>
        </w:rPr>
        <w:t xml:space="preserve">平台系统</w:t>
      </w:r>
      <w:r>
        <w:rPr>
          <w:rFonts w:hint="eastAsia" w:ascii="宋体" w:hAnsi="宋体" w:cs="宋体"/>
          <w:color w:val="auto"/>
          <w:sz w:val="24"/>
          <w:highlight w:val="none"/>
        </w:rPr>
        <w:t xml:space="preserve">出现序号17.7的所述情形，情况严重且影响采购活动公平、公正性的。</w:t>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bookmarkStart w:id="422" w:name="_Toc150774755"/>
      <w:r/>
      <w:bookmarkStart w:id="423" w:name="_Toc520356175"/>
      <w:r/>
      <w:bookmarkStart w:id="424" w:name="_Toc150774650"/>
      <w:r/>
      <w:bookmarkStart w:id="425" w:name="_Toc195842915"/>
      <w:r/>
      <w:bookmarkStart w:id="426" w:name="_Toc226965740"/>
      <w:r/>
      <w:bookmarkStart w:id="427" w:name="_Ref467306377"/>
      <w:r/>
      <w:bookmarkStart w:id="428" w:name="_Toc151193938"/>
      <w:r/>
      <w:bookmarkStart w:id="429" w:name="_Toc265228388"/>
      <w:r/>
      <w:bookmarkStart w:id="430" w:name="_Toc305158892"/>
      <w:r/>
      <w:bookmarkStart w:id="431" w:name="_Toc264969240"/>
      <w:r/>
      <w:bookmarkStart w:id="432" w:name="_Toc226309794"/>
      <w:r/>
      <w:bookmarkStart w:id="433" w:name="_Toc164351644"/>
      <w:r/>
      <w:bookmarkStart w:id="434" w:name="_Toc150509301"/>
      <w:r/>
      <w:bookmarkStart w:id="435" w:name="_Toc151193648"/>
      <w:r/>
      <w:bookmarkStart w:id="436" w:name="_Toc151193720"/>
      <w:r/>
      <w:bookmarkStart w:id="437" w:name="_Toc151193792"/>
      <w:r/>
      <w:bookmarkStart w:id="438" w:name="_Ref467307062"/>
      <w:r/>
      <w:bookmarkStart w:id="439" w:name="_Toc149720843"/>
      <w:r/>
      <w:bookmarkStart w:id="440" w:name="_Toc142311052"/>
      <w:r/>
      <w:bookmarkStart w:id="441" w:name="_Toc127151550"/>
      <w:r/>
      <w:bookmarkStart w:id="442" w:name="_Toc164229391"/>
      <w:r/>
      <w:bookmarkStart w:id="443" w:name="_Toc164229245"/>
      <w:r/>
      <w:bookmarkStart w:id="444" w:name="_Ref467306978"/>
      <w:r/>
      <w:bookmarkStart w:id="445" w:name="_Toc226965823"/>
      <w:r/>
      <w:bookmarkStart w:id="446" w:name="_Toc305158818"/>
      <w:r/>
      <w:bookmarkStart w:id="447" w:name="_Toc151193864"/>
      <w:r/>
      <w:bookmarkStart w:id="448" w:name="_Toc150480788"/>
      <w:r/>
      <w:bookmarkStart w:id="449" w:name="_Toc127161464"/>
      <w:r/>
      <w:bookmarkStart w:id="450" w:name="_Ref467307204"/>
      <w:r/>
      <w:bookmarkStart w:id="451" w:name="_Toc127151751"/>
      <w:r/>
      <w:bookmarkStart w:id="452" w:name="_Toc226337246"/>
      <w:r/>
      <w:bookmarkStart w:id="453" w:name="_Toc164608664"/>
      <w:r/>
      <w:bookmarkStart w:id="454" w:name="_Toc164608819"/>
      <w:r/>
      <w:bookmarkStart w:id="455" w:name="_Toc151190177"/>
      <w:r>
        <w:rPr>
          <w:rFonts w:hint="eastAsia" w:ascii="宋体" w:hAnsi="宋体" w:cs="宋体"/>
          <w:b/>
          <w:bCs/>
          <w:color w:val="auto"/>
          <w:sz w:val="24"/>
          <w:highlight w:val="none"/>
        </w:rPr>
        <w:t xml:space="preserve">签订合同</w:t>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采购人与成交供应商将在成交通知书发出之日起30日内，按照磋商文件确定的合同文本以及采购标的、规格型号、采购金额、采购数量、技术和服务要求和</w:t>
      </w:r>
      <w:r>
        <w:rPr>
          <w:rFonts w:hint="eastAsia" w:ascii="宋体" w:hAnsi="宋体" w:cs="宋体"/>
          <w:color w:val="auto"/>
          <w:sz w:val="24"/>
          <w:highlight w:val="none"/>
          <w:lang w:val="en-US" w:eastAsia="zh-CN"/>
        </w:rPr>
        <w:t xml:space="preserve">成交供应商响应</w:t>
      </w:r>
      <w:r>
        <w:rPr>
          <w:rFonts w:hint="eastAsia" w:ascii="宋体" w:hAnsi="宋体" w:cs="宋体"/>
          <w:color w:val="auto"/>
          <w:sz w:val="24"/>
          <w:highlight w:val="none"/>
        </w:rPr>
        <w:t xml:space="preserve">文件等事项签订政府采购合同。</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成交供应商拒绝签订政府采购合同的，采购人可以按照评审报告推荐的成交候选人名单排序，确定下一候选人为成交供应商，也可以重新开展采购活动。拒绝签订政府采购合同的成交供应商不得参加对该项目重新开展的采购活动。</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联合体获得成交资格的，联合体各方应当共同与采购人签订合同，就成交项目向采购人承担连带责任。</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政府采购合同不能转包。</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采购人允许采用分包方式履行合同的，成交供应商可以依法采取分包方式履行合同。本项目是否允许分包，见《供应商须知资料表》。政府采购合同分包履行的，应当在响应文件中载明分包承担主体，分包承担主体应当具备相应资质条件且不得再次分包，</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。成交供应商就采购项目和分包项目向采购人负责，分包供应商就分包项目承担责任。</w:t>
      </w:r>
      <w:bookmarkEnd w:id="419"/>
      <w:r/>
      <w:bookmarkEnd w:id="420"/>
      <w:r/>
      <w:bookmarkEnd w:id="421"/>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询问与质疑</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询问</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供应商对政府采购活动事项有疑问的，可依法提出询问，并按《供应商须知资料表》载明的形式送达采购人或采购代理机构。</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采购人或采购代理机构对供应商依法提出的询问，在3个工作日内作出答复，但答复的内容不得涉及商业秘密。</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质疑</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认为竞争性磋商文件、采购过程、成交结果使自己的权益受到损害的，可以在知道或者应知其权益受到损害之日起7个工作日内，由供应商派授权代表以书面形式向采购人、采购代理机构提出质疑。采购人、采购代理机构在收到质疑函后7个工作日内作出答复。</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质疑函须使用财政部制定的范本文件。（下载网址：</w:t>
      </w:r>
      <w:r>
        <w:rPr>
          <w:rFonts w:hint="eastAsia" w:ascii="宋体" w:hAnsi="宋体" w:eastAsia="宋体" w:cs="宋体"/>
          <w:color w:val="auto"/>
          <w:sz w:val="24"/>
          <w:szCs w:val="32"/>
          <w:highlight w:val="none"/>
        </w:rPr>
        <w:fldChar w:fldCharType="begin"/>
      </w:r>
      <w:r>
        <w:rPr>
          <w:rFonts w:hint="eastAsia" w:ascii="宋体" w:hAnsi="宋体" w:eastAsia="宋体" w:cs="宋体"/>
          <w:color w:val="auto"/>
          <w:sz w:val="24"/>
          <w:szCs w:val="32"/>
          <w:highlight w:val="none"/>
        </w:rPr>
        <w:instrText xml:space="preserve"> HYPERLINK "http://gks.mof.gov.cn/ztztz/zhengfucaigouguanli/201802/t20180201_2804589.htm" </w:instrText>
      </w:r>
      <w:r>
        <w:rPr>
          <w:rFonts w:hint="eastAsia" w:ascii="宋体" w:hAnsi="宋体" w:eastAsia="宋体" w:cs="宋体"/>
          <w:color w:val="auto"/>
          <w:sz w:val="24"/>
          <w:szCs w:val="32"/>
          <w:highlight w:val="none"/>
        </w:rPr>
        <w:fldChar w:fldCharType="separate"/>
      </w:r>
      <w:r>
        <w:rPr>
          <w:rStyle w:val="1117"/>
          <w:rFonts w:hint="eastAsia" w:ascii="宋体" w:hAnsi="宋体" w:eastAsia="宋体" w:cs="宋体"/>
          <w:color w:val="auto"/>
          <w:sz w:val="24"/>
          <w:szCs w:val="32"/>
          <w:highlight w:val="none"/>
        </w:rPr>
        <w:t xml:space="preserve">http://gk</w:t>
      </w:r>
      <w:bookmarkStart w:id="456" w:name="_Hlt100654014"/>
      <w:r>
        <w:rPr>
          <w:rStyle w:val="1117"/>
          <w:rFonts w:hint="eastAsia" w:ascii="宋体" w:hAnsi="宋体" w:eastAsia="宋体" w:cs="宋体"/>
          <w:color w:val="auto"/>
          <w:sz w:val="24"/>
          <w:szCs w:val="32"/>
          <w:highlight w:val="none"/>
        </w:rPr>
        <w:t xml:space="preserve">s</w:t>
      </w:r>
      <w:bookmarkEnd w:id="456"/>
      <w:r>
        <w:rPr>
          <w:rStyle w:val="1117"/>
          <w:rFonts w:hint="eastAsia" w:ascii="宋体" w:hAnsi="宋体" w:eastAsia="宋体" w:cs="宋体"/>
          <w:color w:val="auto"/>
          <w:sz w:val="24"/>
          <w:szCs w:val="32"/>
          <w:highlight w:val="none"/>
        </w:rPr>
        <w:t xml:space="preserve">.m</w:t>
      </w:r>
      <w:bookmarkStart w:id="457" w:name="_Hlt100653994"/>
      <w:r/>
      <w:bookmarkStart w:id="458" w:name="_Hlt100653993"/>
      <w:r>
        <w:rPr>
          <w:rStyle w:val="1117"/>
          <w:rFonts w:hint="eastAsia" w:ascii="宋体" w:hAnsi="宋体" w:eastAsia="宋体" w:cs="宋体"/>
          <w:color w:val="auto"/>
          <w:sz w:val="24"/>
          <w:szCs w:val="32"/>
          <w:highlight w:val="none"/>
        </w:rPr>
        <w:t xml:space="preserve">o</w:t>
      </w:r>
      <w:bookmarkEnd w:id="457"/>
      <w:r/>
      <w:bookmarkEnd w:id="458"/>
      <w:r/>
      <w:bookmarkStart w:id="459" w:name="_Hlt101169156"/>
      <w:r>
        <w:rPr>
          <w:rStyle w:val="1117"/>
          <w:rFonts w:hint="eastAsia" w:ascii="宋体" w:hAnsi="宋体" w:eastAsia="宋体" w:cs="宋体"/>
          <w:color w:val="auto"/>
          <w:sz w:val="24"/>
          <w:szCs w:val="32"/>
          <w:highlight w:val="none"/>
        </w:rPr>
        <w:t xml:space="preserve">f</w:t>
      </w:r>
      <w:bookmarkEnd w:id="459"/>
      <w:r>
        <w:rPr>
          <w:rStyle w:val="1117"/>
          <w:rFonts w:hint="eastAsia" w:ascii="宋体" w:hAnsi="宋体" w:eastAsia="宋体" w:cs="宋体"/>
          <w:color w:val="auto"/>
          <w:sz w:val="24"/>
          <w:szCs w:val="32"/>
          <w:highlight w:val="none"/>
        </w:rPr>
        <w:t xml:space="preserve">.gov.cn/ztztz/zhengfucaigouguanli/201802/t20180201_2804589.htm</w:t>
      </w:r>
      <w:r>
        <w:rPr>
          <w:rFonts w:hint="eastAsia" w:ascii="宋体" w:hAnsi="宋体" w:eastAsia="宋体" w:cs="宋体"/>
          <w:color w:val="auto"/>
          <w:sz w:val="24"/>
          <w:szCs w:val="32"/>
          <w:highlight w:val="none"/>
        </w:rPr>
        <w:fldChar w:fldCharType="end"/>
      </w:r>
      <w:r>
        <w:rPr>
          <w:rFonts w:hint="eastAsia" w:ascii="宋体" w:hAnsi="宋体" w:cs="宋体"/>
          <w:color w:val="auto"/>
          <w:sz w:val="24"/>
          <w:szCs w:val="32"/>
          <w:highlight w:val="none"/>
        </w:rPr>
        <w:t xml:space="preserve">）</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w:t>
      </w:r>
      <w:r/>
    </w:p>
    <w:p>
      <w:pPr>
        <w:numPr>
          <w:ilvl w:val="2"/>
          <w:numId w:val="8"/>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供应商应在法定质疑期内一次性提出针对同一采购程序环节的质疑，法定质疑期内针对同一采购程序环节再次提出的质疑，采购人、采购代理机构有权不予答复。</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接收询问和质疑的联系部门、联系电话和通讯地址见《供应商须知资料表》。</w:t>
      </w:r>
      <w:r/>
    </w:p>
    <w:p>
      <w:pPr>
        <w:numPr>
          <w:ilvl w:val="0"/>
          <w:numId w:val="8"/>
        </w:numPr>
        <w:ind w:left="357" w:hanging="357"/>
        <w:spacing w:line="360" w:lineRule="auto"/>
        <w:tabs>
          <w:tab w:val="left" w:pos="360" w:leader="none"/>
        </w:tabs>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代理费</w:t>
      </w:r>
      <w:r/>
    </w:p>
    <w:p>
      <w:pPr>
        <w:numPr>
          <w:ilvl w:val="1"/>
          <w:numId w:val="8"/>
        </w:numPr>
        <w:ind w:left="1077" w:hanging="720"/>
        <w:spacing w:line="360" w:lineRule="auto"/>
        <w:tabs>
          <w:tab w:val="left" w:pos="1080"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收费对象、收费标准及缴纳时间见《供应商须知资料表》。由成交供应商支付的，成交供应商须一次性向采购代理机构缴纳代理费，报价应包含代理费用。</w:t>
      </w:r>
      <w:r/>
    </w:p>
    <w:p>
      <w:pPr>
        <w:jc w:val="center"/>
        <w:spacing w:line="360" w:lineRule="auto"/>
        <w:rPr>
          <w:rFonts w:hint="eastAsia" w:ascii="宋体" w:hAnsi="宋体" w:cs="宋体"/>
          <w:b/>
          <w:color w:val="auto"/>
          <w:sz w:val="36"/>
          <w:szCs w:val="36"/>
          <w:highlight w:val="none"/>
        </w:rPr>
        <w:outlineLvl w:val="0"/>
      </w:pPr>
      <w:r/>
      <w:bookmarkStart w:id="460" w:name="_Toc353825544"/>
      <w:r/>
      <w:bookmarkStart w:id="461" w:name="_Toc264969244"/>
      <w:r/>
      <w:bookmarkStart w:id="462" w:name="_Toc142311056"/>
      <w:r/>
      <w:bookmarkStart w:id="463" w:name="_Toc305158896"/>
      <w:r/>
      <w:bookmarkStart w:id="464" w:name="_Toc353873934"/>
      <w:r/>
      <w:bookmarkStart w:id="465" w:name="_Toc226965827"/>
      <w:r/>
      <w:bookmarkStart w:id="466" w:name="_Toc127151554"/>
      <w:r/>
      <w:bookmarkStart w:id="467" w:name="_Toc305158822"/>
      <w:r/>
      <w:bookmarkStart w:id="468" w:name="_Toc150774759"/>
      <w:r/>
      <w:bookmarkStart w:id="469" w:name="_Toc150480792"/>
      <w:r/>
      <w:bookmarkStart w:id="470" w:name="_Toc353873664"/>
      <w:r/>
      <w:bookmarkStart w:id="471" w:name="_Toc265228392"/>
      <w:r/>
      <w:bookmarkStart w:id="472" w:name="_Toc226337250"/>
      <w:r/>
      <w:bookmarkStart w:id="473" w:name="_Toc104818927"/>
      <w:r>
        <w:rPr>
          <w:rFonts w:hint="eastAsia" w:ascii="宋体" w:hAnsi="宋体" w:cs="宋体"/>
          <w:b/>
          <w:color w:val="auto"/>
          <w:sz w:val="36"/>
          <w:szCs w:val="36"/>
          <w:highlight w:val="none"/>
        </w:rPr>
        <w:br w:type="page" w:clear="all"/>
      </w:r>
      <w:bookmarkStart w:id="474" w:name="_Toc15679"/>
      <w:r>
        <w:rPr>
          <w:rFonts w:hint="eastAsia" w:ascii="宋体" w:hAnsi="宋体" w:cs="宋体"/>
          <w:b/>
          <w:color w:val="auto"/>
          <w:sz w:val="36"/>
          <w:szCs w:val="36"/>
          <w:highlight w:val="none"/>
        </w:rPr>
        <w:t xml:space="preserve">第三章   </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rPr>
          <w:rFonts w:hint="eastAsia" w:ascii="宋体" w:hAnsi="宋体" w:cs="宋体"/>
          <w:b/>
          <w:color w:val="auto"/>
          <w:sz w:val="36"/>
          <w:szCs w:val="36"/>
          <w:highlight w:val="none"/>
        </w:rPr>
        <w:t xml:space="preserve">评审程序、评审方法和评审标准</w:t>
      </w:r>
      <w:bookmarkEnd w:id="473"/>
      <w:r/>
      <w:bookmarkEnd w:id="474"/>
      <w:r/>
      <w:bookmarkStart w:id="475" w:name="_Toc487900382"/>
      <w:r/>
      <w:r/>
    </w:p>
    <w:p>
      <w:pPr>
        <w:pStyle w:val="1042"/>
        <w:spacing w:before="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一、评审程序</w:t>
      </w:r>
      <w:r/>
    </w:p>
    <w:p>
      <w:pPr>
        <w:jc w:val="left"/>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ab/>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3"/>
      <w:r/>
      <w:bookmarkEnd w:id="24"/>
      <w:r/>
      <w:bookmarkEnd w:id="25"/>
      <w:r/>
      <w:bookmarkEnd w:id="26"/>
      <w:r/>
      <w:bookmarkEnd w:id="27"/>
      <w:r/>
      <w:bookmarkEnd w:id="28"/>
      <w:r/>
      <w:bookmarkEnd w:id="29"/>
      <w:r/>
      <w:bookmarkEnd w:id="30"/>
      <w:r/>
      <w:bookmarkEnd w:id="31"/>
      <w:r/>
      <w:bookmarkEnd w:id="32"/>
      <w:r/>
      <w:bookmarkEnd w:id="475"/>
      <w:r/>
      <w:r/>
    </w:p>
    <w:p>
      <w:pPr>
        <w:numPr>
          <w:ilvl w:val="0"/>
          <w:numId w:val="10"/>
        </w:numPr>
        <w:spacing w:line="360" w:lineRule="auto"/>
        <w:tabs>
          <w:tab w:val="left" w:pos="360" w:leader="none"/>
        </w:tabs>
        <w:rPr>
          <w:rFonts w:hint="eastAsia" w:ascii="宋体" w:hAnsi="宋体" w:cs="宋体"/>
          <w:b/>
          <w:bCs/>
          <w:color w:val="auto"/>
          <w:sz w:val="24"/>
          <w:highlight w:val="none"/>
        </w:rPr>
        <w:outlineLvl w:val="2"/>
      </w:pPr>
      <w:r/>
      <w:bookmarkStart w:id="476" w:name="_Toc142311043"/>
      <w:r/>
      <w:bookmarkStart w:id="477" w:name="_Toc226309785"/>
      <w:r/>
      <w:bookmarkStart w:id="478" w:name="_Toc164608655"/>
      <w:r/>
      <w:bookmarkStart w:id="479" w:name="_Toc127151742"/>
      <w:r/>
      <w:bookmarkStart w:id="480" w:name="_Toc150509292"/>
      <w:r/>
      <w:bookmarkStart w:id="481" w:name="_Toc151193929"/>
      <w:r/>
      <w:bookmarkStart w:id="482" w:name="_Toc265228379"/>
      <w:r/>
      <w:bookmarkStart w:id="483" w:name="_Toc150774641"/>
      <w:r/>
      <w:bookmarkStart w:id="484" w:name="_Toc151193639"/>
      <w:r/>
      <w:bookmarkStart w:id="485" w:name="_Toc226965814"/>
      <w:r/>
      <w:bookmarkStart w:id="486" w:name="_Toc127161455"/>
      <w:r/>
      <w:bookmarkStart w:id="487" w:name="_Toc305158883"/>
      <w:r/>
      <w:bookmarkStart w:id="488" w:name="_Toc150774746"/>
      <w:r/>
      <w:bookmarkStart w:id="489" w:name="_Toc264969231"/>
      <w:r/>
      <w:bookmarkStart w:id="490" w:name="_Toc151193711"/>
      <w:r/>
      <w:bookmarkStart w:id="491" w:name="_Toc151190168"/>
      <w:r/>
      <w:bookmarkStart w:id="492" w:name="_Toc151193783"/>
      <w:r/>
      <w:bookmarkStart w:id="493" w:name="_Toc149720834"/>
      <w:r/>
      <w:bookmarkStart w:id="494" w:name="_Toc164608810"/>
      <w:r/>
      <w:bookmarkStart w:id="495" w:name="_Toc195842906"/>
      <w:r/>
      <w:bookmarkStart w:id="496" w:name="_Toc305158809"/>
      <w:r/>
      <w:bookmarkStart w:id="497" w:name="_Toc164229236"/>
      <w:r/>
      <w:bookmarkStart w:id="498" w:name="_Toc226337237"/>
      <w:r/>
      <w:bookmarkStart w:id="499" w:name="_Toc127151541"/>
      <w:r/>
      <w:bookmarkStart w:id="500" w:name="_Toc150480779"/>
      <w:r/>
      <w:bookmarkStart w:id="501" w:name="_Toc226965731"/>
      <w:r/>
      <w:bookmarkStart w:id="502" w:name="_Toc164351635"/>
      <w:r/>
      <w:bookmarkStart w:id="503" w:name="_Toc164229382"/>
      <w:r/>
      <w:bookmarkStart w:id="504" w:name="_Toc151193855"/>
      <w:r/>
      <w:bookmarkStart w:id="505" w:name="_Toc353825551"/>
      <w:r/>
      <w:bookmarkStart w:id="506" w:name="_Toc353873941"/>
      <w:r/>
      <w:bookmarkStart w:id="507" w:name="_Toc142311057"/>
      <w:r/>
      <w:bookmarkStart w:id="508" w:name="_Toc150774760"/>
      <w:r/>
      <w:bookmarkStart w:id="509" w:name="_Toc195842920"/>
      <w:r/>
      <w:bookmarkStart w:id="510" w:name="_Toc226337251"/>
      <w:r/>
      <w:bookmarkStart w:id="511" w:name="_Toc264969245"/>
      <w:r/>
      <w:bookmarkStart w:id="512" w:name="_Toc150480793"/>
      <w:r/>
      <w:bookmarkStart w:id="513" w:name="_Toc265228393"/>
      <w:r/>
      <w:bookmarkStart w:id="514" w:name="_Toc305158823"/>
      <w:r/>
      <w:bookmarkStart w:id="515" w:name="_Toc127151555"/>
      <w:r/>
      <w:bookmarkStart w:id="516" w:name="_Toc226965828"/>
      <w:r/>
      <w:bookmarkStart w:id="517" w:name="_Toc353873935"/>
      <w:r/>
      <w:bookmarkStart w:id="518" w:name="_Toc353825545"/>
      <w:r/>
      <w:bookmarkStart w:id="519" w:name="_Toc353873665"/>
      <w:r/>
      <w:bookmarkStart w:id="520" w:name="_Toc305158897"/>
      <w:r>
        <w:rPr>
          <w:rFonts w:hint="eastAsia" w:ascii="宋体" w:hAnsi="宋体" w:cs="宋体"/>
          <w:b/>
          <w:bCs/>
          <w:color w:val="auto"/>
          <w:sz w:val="24"/>
          <w:highlight w:val="none"/>
        </w:rPr>
        <w:t xml:space="preserve">响应文件的</w:t>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rPr>
          <w:rFonts w:hint="eastAsia" w:ascii="宋体" w:hAnsi="宋体" w:cs="宋体"/>
          <w:b/>
          <w:bCs/>
          <w:color w:val="auto"/>
          <w:sz w:val="24"/>
          <w:highlight w:val="none"/>
        </w:rPr>
        <w:t xml:space="preserve">资格性检查和符合性审查</w:t>
      </w:r>
      <w:r/>
    </w:p>
    <w:p>
      <w:pPr>
        <w:numPr>
          <w:ilvl w:val="1"/>
          <w:numId w:val="10"/>
        </w:numPr>
        <w:ind w:left="1140" w:hanging="72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磋商小组将根据《资格性检查要求》和《符合性审查要求》中规定的内容，对供应商进行检查，并形成检查结果。供应商《响应文件》有任何一项不符合《资格性检查要求》和《符合性审查要求》要求的，视为未实质性响应磋商文件。未实质性响应磋商文件的响应文件按</w:t>
      </w:r>
      <w:r>
        <w:rPr>
          <w:rFonts w:hint="eastAsia" w:ascii="宋体" w:hAnsi="宋体" w:cs="宋体"/>
          <w:b/>
          <w:color w:val="auto"/>
          <w:sz w:val="24"/>
          <w:highlight w:val="none"/>
        </w:rPr>
        <w:t xml:space="preserve">无效响应</w:t>
      </w:r>
      <w:r>
        <w:rPr>
          <w:rFonts w:hint="eastAsia" w:ascii="宋体" w:hAnsi="宋体" w:cs="宋体"/>
          <w:color w:val="auto"/>
          <w:sz w:val="24"/>
          <w:highlight w:val="none"/>
        </w:rPr>
        <w:t xml:space="preserve">处理，磋商小组应当告知提交响应文件的供应商。</w:t>
      </w:r>
      <w:r/>
    </w:p>
    <w:p>
      <w:pPr>
        <w:numPr>
          <w:ilvl w:val="1"/>
          <w:numId w:val="10"/>
        </w:numPr>
        <w:ind w:left="1140" w:hanging="72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《资格性检查要求》中对格式有要求的，除竞争性磋商文件另有规定外，均为“实质性格式”文件。</w:t>
      </w:r>
      <w:r/>
    </w:p>
    <w:p>
      <w:pPr>
        <w:numPr>
          <w:ilvl w:val="1"/>
          <w:numId w:val="10"/>
        </w:numPr>
        <w:ind w:left="1140" w:hanging="72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《资格性检查要求》见下表：</w:t>
      </w:r>
      <w:r/>
    </w:p>
    <w:p>
      <w:pPr>
        <w:ind w:left="1077" w:firstLine="2650"/>
        <w:spacing w:line="360" w:lineRule="auto"/>
        <w:tabs>
          <w:tab w:val="left" w:pos="900" w:leader="none"/>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资格性检查要求</w:t>
      </w:r>
      <w:r/>
    </w:p>
    <w:tbl>
      <w:tblPr>
        <w:tblStyle w:val="809"/>
        <w:tblW w:w="5132" w:type="pct"/>
        <w:tblInd w:w="-33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8"/>
        <w:gridCol w:w="2234"/>
        <w:gridCol w:w="4925"/>
        <w:gridCol w:w="2219"/>
      </w:tblGrid>
      <w:tr>
        <w:trPr>
          <w:cantSplit/>
          <w:trHeight w:val="20"/>
          <w:tblHeader/>
        </w:trPr>
        <w:tc>
          <w:tcPr>
            <w:tcW w:w="738" w:type="dxa"/>
            <w:vAlign w:val="center"/>
            <w:textDirection w:val="lrTb"/>
            <w:noWrap w:val="false"/>
          </w:tcPr>
          <w:p>
            <w:pPr>
              <w:jc w:val="center"/>
              <w:tabs>
                <w:tab w:val="left" w:pos="1080" w:leader="none"/>
              </w:tabs>
              <w:rPr>
                <w:rFonts w:hint="eastAsia" w:ascii="宋体" w:hAnsi="宋体" w:cs="宋体"/>
                <w:b/>
                <w:color w:val="auto"/>
                <w:sz w:val="24"/>
                <w:highlight w:val="none"/>
              </w:rPr>
            </w:pPr>
            <w:r/>
            <w:bookmarkStart w:id="521" w:name="_Hlt487972895"/>
            <w:r/>
            <w:bookmarkEnd w:id="521"/>
            <w:r>
              <w:rPr>
                <w:rFonts w:hint="eastAsia" w:ascii="宋体" w:hAnsi="宋体" w:cs="宋体"/>
                <w:b/>
                <w:color w:val="auto"/>
                <w:sz w:val="24"/>
                <w:highlight w:val="none"/>
              </w:rPr>
              <w:t xml:space="preserve">序号</w:t>
            </w:r>
            <w:r/>
          </w:p>
        </w:tc>
        <w:tc>
          <w:tcPr>
            <w:tcW w:w="2234" w:type="dxa"/>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4925" w:type="dxa"/>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c>
          <w:tcPr>
            <w:tcW w:w="2219" w:type="dxa"/>
            <w:vAlign w:val="center"/>
            <w:textDirection w:val="lrTb"/>
            <w:noWrap w:val="false"/>
          </w:tcPr>
          <w:p>
            <w:pPr>
              <w:jc w:val="center"/>
              <w:tabs>
                <w:tab w:val="left" w:pos="10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格式要求</w:t>
            </w:r>
            <w:r/>
          </w:p>
        </w:tc>
      </w:tr>
      <w:tr>
        <w:trPr>
          <w:cantSplit/>
          <w:trHeight w:val="20"/>
        </w:trPr>
        <w:tc>
          <w:tcPr>
            <w:tcW w:w="738"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2234"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满足《中华人民共和国政府采购法》第二十二条规定及法律法规的其他规定</w:t>
            </w:r>
            <w:r/>
          </w:p>
        </w:tc>
        <w:tc>
          <w:tcPr>
            <w:tcW w:w="492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具体规定见第一章《采购邀请》</w:t>
            </w:r>
            <w:r/>
          </w:p>
        </w:tc>
        <w:tc>
          <w:tcPr>
            <w:tcW w:w="2219"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468"/>
        </w:trPr>
        <w:tc>
          <w:tcPr>
            <w:tcW w:w="738"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2234"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供应商资格声明函</w:t>
            </w:r>
            <w:r/>
          </w:p>
        </w:tc>
        <w:tc>
          <w:tcPr>
            <w:tcW w:w="492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提供了符合采购文件要求的《供应商资格声明函》。</w:t>
            </w:r>
            <w:r/>
          </w:p>
        </w:tc>
        <w:tc>
          <w:tcPr>
            <w:tcW w:w="2219"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格式见《响应文件格式》</w:t>
            </w:r>
            <w:r/>
          </w:p>
        </w:tc>
      </w:tr>
      <w:tr>
        <w:trPr>
          <w:cantSplit/>
          <w:trHeight w:val="20"/>
        </w:trPr>
        <w:tc>
          <w:tcPr>
            <w:tcW w:w="738" w:type="dxa"/>
            <w:vAlign w:val="center"/>
            <w:textDirection w:val="lrTb"/>
            <w:noWrap w:val="false"/>
          </w:tcPr>
          <w:p>
            <w:pPr>
              <w:jc w:val="cente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2234"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供应商信用记录</w:t>
            </w:r>
            <w:r/>
          </w:p>
        </w:tc>
        <w:tc>
          <w:tcPr>
            <w:tcW w:w="4925" w:type="dxa"/>
            <w:vAlign w:val="center"/>
            <w:textDirection w:val="lrTb"/>
            <w:noWrap w:val="false"/>
          </w:tcPr>
          <w:p>
            <w:pPr>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查询渠道：信用中国网站和中国政府采购网（www.creditchina.gov.cn、www.ccgp.gov.cn）；</w:t>
            </w:r>
            <w:r/>
          </w:p>
          <w:p>
            <w:pPr>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截止时点：提交响应文件截止时间以后、资格审查阶段采购人或采购代理机构的实际查询时间；</w:t>
            </w:r>
            <w:r/>
          </w:p>
          <w:p>
            <w:pPr>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信用信息的使用原则：经认定的被列入失信被执行人、重大税收违法案件当事人名单、政府采购严重违法失信行为记录名单的供应商，其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。联合体形式响应的，联合体成员存在不良信用记录，视同联合体存在不良信用记录。</w:t>
            </w:r>
            <w:r/>
          </w:p>
        </w:tc>
        <w:tc>
          <w:tcPr>
            <w:tcW w:w="2219"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无须供应商提供，由采购人或采购代理机构查询。</w:t>
            </w:r>
            <w:r/>
          </w:p>
        </w:tc>
      </w:tr>
      <w:tr>
        <w:trPr>
          <w:cantSplit/>
          <w:trHeight w:val="736"/>
        </w:trPr>
        <w:tc>
          <w:tcPr>
            <w:tcW w:w="738" w:type="dxa"/>
            <w:vAlign w:val="center"/>
            <w:textDirection w:val="lrTb"/>
            <w:noWrap w:val="false"/>
          </w:tcPr>
          <w:p>
            <w:pPr>
              <w:pStyle w:val="1044"/>
              <w:jc w:val="center"/>
              <w:rPr>
                <w:rFonts w:hint="eastAsia" w:ascii="宋体" w:hAnsi="宋体" w:cs="宋体"/>
                <w:b/>
                <w:bCs/>
                <w:color w:val="auto"/>
                <w:highlight w:val="none"/>
                <w:u w:val="none"/>
              </w:rPr>
            </w:pPr>
            <w:r>
              <w:rPr>
                <w:rFonts w:hint="eastAsia" w:ascii="宋体" w:hAnsi="宋体" w:cs="宋体"/>
                <w:b/>
                <w:bCs/>
                <w:color w:val="auto"/>
                <w:highlight w:val="none"/>
                <w:u w:val="none"/>
              </w:rPr>
              <w:t xml:space="preserve">1-3</w:t>
            </w:r>
            <w:r/>
          </w:p>
          <w:p>
            <w:pPr>
              <w:jc w:val="center"/>
              <w:tabs>
                <w:tab w:val="left" w:pos="1080" w:leader="none"/>
              </w:tabs>
              <w:rPr>
                <w:rFonts w:hint="eastAsia" w:ascii="宋体" w:hAnsi="宋体" w:cs="宋体"/>
                <w:b/>
                <w:bCs/>
                <w:color w:val="auto"/>
                <w:sz w:val="24"/>
                <w:highlight w:val="none"/>
              </w:rPr>
            </w:pPr>
            <w:r>
              <w:rPr>
                <w:rFonts w:hint="eastAsia" w:ascii="宋体" w:hAnsi="宋体" w:cs="宋体"/>
                <w:b/>
                <w:bCs/>
                <w:color w:val="auto"/>
                <w:sz w:val="24"/>
                <w:highlight w:val="none"/>
              </w:rPr>
            </w:r>
            <w:r/>
          </w:p>
        </w:tc>
        <w:tc>
          <w:tcPr>
            <w:tcW w:w="2234" w:type="dxa"/>
            <w:vAlign w:val="center"/>
            <w:textDirection w:val="lrTb"/>
            <w:noWrap w:val="false"/>
          </w:tcPr>
          <w:p>
            <w:pPr>
              <w:pStyle w:val="1044"/>
              <w:spacing w:before="0" w:after="0"/>
              <w:rPr>
                <w:rFonts w:hint="eastAsia" w:hAnsi="宋体" w:cs="宋体"/>
                <w:bCs/>
                <w:color w:val="auto"/>
                <w:highlight w:val="none"/>
              </w:rPr>
            </w:pPr>
            <w:r>
              <w:rPr>
                <w:rFonts w:hint="eastAsia" w:ascii="宋体" w:hAnsi="宋体" w:cs="宋体"/>
                <w:b/>
                <w:bCs/>
                <w:color w:val="auto"/>
                <w:highlight w:val="none"/>
                <w:u w:val="none"/>
              </w:rPr>
              <w:t xml:space="preserve">营业执照</w:t>
            </w:r>
            <w:r/>
          </w:p>
        </w:tc>
        <w:tc>
          <w:tcPr>
            <w:tcW w:w="4925" w:type="dxa"/>
            <w:vAlign w:val="center"/>
            <w:textDirection w:val="lrTb"/>
            <w:noWrap w:val="false"/>
          </w:tcPr>
          <w:p>
            <w:pPr>
              <w:pStyle w:val="1044"/>
              <w:spacing w:before="0" w:after="0"/>
              <w:rPr>
                <w:rFonts w:hint="eastAsia" w:hAnsi="宋体" w:cs="宋体"/>
                <w:color w:val="auto"/>
                <w:highlight w:val="none"/>
              </w:rPr>
            </w:pPr>
            <w:r>
              <w:rPr>
                <w:rFonts w:hint="eastAsia" w:ascii="宋体" w:hAnsi="宋体" w:cs="宋体"/>
                <w:b/>
                <w:bCs/>
                <w:color w:val="auto"/>
                <w:sz w:val="24"/>
                <w:highlight w:val="none"/>
              </w:rPr>
              <w:t xml:space="preserve">提供“三证合一”的营业执照副本或事业单位法人证书</w:t>
            </w:r>
            <w:r/>
          </w:p>
        </w:tc>
        <w:tc>
          <w:tcPr>
            <w:tcW w:w="2219"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提供证明文件的电子件或电子证照</w:t>
            </w:r>
            <w:r/>
          </w:p>
        </w:tc>
      </w:tr>
      <w:tr>
        <w:trPr>
          <w:cantSplit/>
          <w:trHeight w:val="736"/>
        </w:trPr>
        <w:tc>
          <w:tcPr>
            <w:shd w:val="clear" w:color="auto" w:fill="auto"/>
            <w:tcW w:w="738" w:type="dxa"/>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2</w:t>
            </w:r>
            <w:r/>
          </w:p>
        </w:tc>
        <w:tc>
          <w:tcPr>
            <w:shd w:val="clear" w:color="auto" w:fill="auto"/>
            <w:tcW w:w="2234"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落实政府采购政策需满足的资格要求</w:t>
            </w:r>
            <w:r/>
          </w:p>
        </w:tc>
        <w:tc>
          <w:tcPr>
            <w:shd w:val="clear" w:color="auto" w:fill="auto"/>
            <w:tcW w:w="4925"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具体要求见第一章《投标邀请》</w:t>
            </w:r>
            <w:r/>
          </w:p>
        </w:tc>
        <w:tc>
          <w:tcPr>
            <w:shd w:val="clear" w:color="auto" w:fill="auto"/>
            <w:tcW w:w="2219"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736"/>
        </w:trPr>
        <w:tc>
          <w:tcPr>
            <w:shd w:val="clear" w:color="auto" w:fill="auto"/>
            <w:tcW w:w="738" w:type="dxa"/>
            <w:vAlign w:val="center"/>
            <w:textDirection w:val="lrTb"/>
            <w:noWrap w:val="false"/>
          </w:tcPr>
          <w:p>
            <w:pPr>
              <w:jc w:val="center"/>
              <w:tabs>
                <w:tab w:val="left" w:pos="1080" w:leader="none"/>
              </w:tabs>
              <w:rPr>
                <w:rFonts w:hint="eastAsia" w:ascii="宋体" w:hAnsi="宋体" w:eastAsia="宋体" w:cs="宋体"/>
                <w:color w:val="auto"/>
                <w:sz w:val="24"/>
                <w:highlight w:val="none"/>
              </w:rPr>
            </w:pPr>
            <w:r>
              <w:rPr>
                <w:rFonts w:hint="eastAsia" w:ascii="宋体" w:hAnsi="宋体" w:cs="宋体"/>
                <w:b/>
                <w:bCs/>
                <w:color w:val="auto"/>
                <w:sz w:val="24"/>
                <w:highlight w:val="none"/>
                <w:lang w:val="en-US" w:eastAsia="zh-CN"/>
              </w:rPr>
              <w:t xml:space="preserve">2-1</w:t>
            </w:r>
            <w:r/>
          </w:p>
        </w:tc>
        <w:tc>
          <w:tcPr>
            <w:shd w:val="clear" w:color="auto" w:fill="auto"/>
            <w:tcW w:w="2234" w:type="dxa"/>
            <w:vAlign w:val="center"/>
            <w:textDirection w:val="lrTb"/>
            <w:noWrap w:val="false"/>
          </w:tcPr>
          <w:p>
            <w:pPr>
              <w:tabs>
                <w:tab w:val="left" w:pos="1080" w:leader="none"/>
              </w:tabs>
              <w:rPr>
                <w:rFonts w:hint="eastAsia" w:ascii="宋体" w:hAnsi="宋体" w:eastAsia="宋体" w:cs="宋体"/>
                <w:color w:val="auto"/>
                <w:sz w:val="24"/>
                <w:highlight w:val="none"/>
              </w:rPr>
            </w:pPr>
            <w:r>
              <w:rPr>
                <w:rFonts w:hint="eastAsia" w:ascii="宋体" w:hAnsi="宋体" w:cs="宋体"/>
                <w:b/>
                <w:bCs/>
                <w:color w:val="auto"/>
                <w:sz w:val="24"/>
                <w:highlight w:val="none"/>
              </w:rPr>
              <w:t xml:space="preserve">中小企业声明函</w:t>
            </w:r>
            <w:r/>
          </w:p>
        </w:tc>
        <w:tc>
          <w:tcPr>
            <w:shd w:val="clear" w:color="auto" w:fill="auto"/>
            <w:tcW w:w="492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单独参与</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rPr>
              <w:t xml:space="preserve">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2、如</w:t>
            </w:r>
            <w:r>
              <w:rPr>
                <w:rFonts w:hint="eastAsia" w:ascii="宋体" w:hAnsi="宋体" w:cs="宋体"/>
                <w:color w:val="auto"/>
                <w:sz w:val="24"/>
                <w:highlight w:val="none"/>
                <w:lang w:val="en-US" w:eastAsia="zh-CN"/>
              </w:rPr>
              <w:t xml:space="preserve">竞争性磋商</w:t>
            </w:r>
            <w:r>
              <w:rPr>
                <w:rFonts w:hint="eastAsia" w:ascii="宋体" w:hAnsi="宋体" w:cs="宋体"/>
                <w:color w:val="auto"/>
                <w:sz w:val="24"/>
                <w:highlight w:val="none"/>
              </w:rPr>
              <w:t xml:space="preserve">文件要求以联合体形式参加或者要求合同分包的，且</w:t>
            </w:r>
            <w:r>
              <w:rPr>
                <w:rFonts w:hint="eastAsia" w:ascii="宋体" w:hAnsi="宋体" w:cs="宋体"/>
                <w:color w:val="auto"/>
                <w:sz w:val="24"/>
                <w:highlight w:val="none"/>
                <w:lang w:val="en-US" w:eastAsia="zh-CN"/>
              </w:rPr>
              <w:t xml:space="preserve">供应商</w:t>
            </w:r>
            <w:r>
              <w:rPr>
                <w:rFonts w:hint="eastAsia" w:ascii="宋体" w:hAnsi="宋体" w:cs="宋体"/>
                <w:color w:val="auto"/>
                <w:sz w:val="24"/>
                <w:highlight w:val="none"/>
              </w:rPr>
              <w:t xml:space="preserve">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eastAsia="宋体" w:cs="宋体"/>
                <w:color w:val="auto"/>
                <w:sz w:val="24"/>
                <w:highlight w:val="none"/>
              </w:rPr>
            </w:pPr>
            <w:r>
              <w:rPr>
                <w:rFonts w:hint="eastAsia" w:ascii="宋体" w:hAnsi="宋体" w:cs="宋体"/>
                <w:color w:val="auto"/>
                <w:sz w:val="24"/>
                <w:highlight w:val="none"/>
              </w:rPr>
              <w:t xml:space="preserve">注2：残疾人福利性单位须按磋商文件要求提供《残疾人福利性单位声明函》。</w:t>
            </w:r>
            <w:r/>
          </w:p>
        </w:tc>
        <w:tc>
          <w:tcPr>
            <w:shd w:val="clear" w:color="auto" w:fill="auto"/>
            <w:tcW w:w="2219"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cs="宋体"/>
                <w:color w:val="auto"/>
                <w:sz w:val="24"/>
                <w:highlight w:val="none"/>
              </w:rPr>
              <w:t xml:space="preserve">格式见《响应文件格式》</w:t>
            </w:r>
            <w:r/>
          </w:p>
        </w:tc>
      </w:tr>
      <w:tr>
        <w:trPr>
          <w:cantSplit/>
          <w:trHeight w:val="736"/>
        </w:trPr>
        <w:tc>
          <w:tcPr>
            <w:shd w:val="clear" w:color="auto" w:fill="auto"/>
            <w:tcW w:w="738" w:type="dxa"/>
            <w:vAlign w:val="center"/>
            <w:textDirection w:val="lrTb"/>
            <w:noWrap w:val="false"/>
          </w:tcPr>
          <w:p>
            <w:pPr>
              <w:jc w:val="center"/>
              <w:tabs>
                <w:tab w:val="left" w:pos="1080" w:leader="none"/>
              </w:tabs>
              <w:rPr>
                <w:rFonts w:hint="eastAsia" w:ascii="宋体" w:hAnsi="宋体" w:cs="宋体"/>
                <w:b/>
                <w:bCs/>
                <w:color w:val="auto"/>
                <w:sz w:val="24"/>
                <w:highlight w:val="none"/>
                <w:lang w:val="en-US"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2</w:t>
            </w:r>
            <w:r/>
          </w:p>
        </w:tc>
        <w:tc>
          <w:tcPr>
            <w:shd w:val="clear" w:color="auto" w:fill="auto"/>
            <w:tcW w:w="2234" w:type="dxa"/>
            <w:vAlign w:val="center"/>
            <w:textDirection w:val="lrTb"/>
            <w:noWrap w:val="false"/>
          </w:tcPr>
          <w:p>
            <w:pPr>
              <w:tabs>
                <w:tab w:val="left" w:pos="1080" w:leader="none"/>
              </w:tabs>
              <w:rPr>
                <w:rFonts w:hint="eastAsia" w:ascii="宋体" w:hAnsi="宋体" w:cs="宋体"/>
                <w:b/>
                <w:bCs/>
                <w:color w:val="auto"/>
                <w:sz w:val="24"/>
                <w:highlight w:val="none"/>
              </w:rPr>
            </w:pPr>
            <w:r>
              <w:rPr>
                <w:rFonts w:hint="eastAsia" w:ascii="宋体" w:hAnsi="宋体" w:cs="宋体"/>
                <w:color w:val="auto"/>
                <w:sz w:val="24"/>
                <w:highlight w:val="none"/>
              </w:rPr>
              <w:t xml:space="preserve">其它落实政府采购政策的资格要求</w:t>
            </w:r>
            <w:r/>
          </w:p>
        </w:tc>
        <w:tc>
          <w:tcPr>
            <w:shd w:val="clear" w:color="auto" w:fill="auto"/>
            <w:tcW w:w="4925"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如有，见第一章《采购邀请》</w:t>
            </w:r>
            <w:r/>
          </w:p>
        </w:tc>
        <w:tc>
          <w:tcPr>
            <w:shd w:val="clear" w:color="auto" w:fill="auto"/>
            <w:tcW w:w="2219" w:type="dxa"/>
            <w:vAlign w:val="center"/>
            <w:textDirection w:val="lrTb"/>
            <w:noWrap w:val="false"/>
          </w:tcPr>
          <w:p>
            <w:pPr>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736"/>
        </w:trPr>
        <w:tc>
          <w:tcPr>
            <w:shd w:val="clear" w:color="auto" w:fill="auto"/>
            <w:tcW w:w="0" w:type="auto"/>
            <w:vAlign w:val="center"/>
            <w:textDirection w:val="lrTb"/>
            <w:noWrap w:val="false"/>
          </w:tcPr>
          <w:p>
            <w:pPr>
              <w:jc w:val="cente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3</w:t>
            </w:r>
            <w:r/>
          </w:p>
        </w:tc>
        <w:tc>
          <w:tcPr>
            <w:shd w:val="clear" w:color="auto" w:fill="auto"/>
            <w:tcW w:w="0" w:type="auto"/>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本项目的特定资格要求</w:t>
            </w:r>
            <w:r/>
          </w:p>
        </w:tc>
        <w:tc>
          <w:tcPr>
            <w:shd w:val="clear" w:color="auto" w:fill="auto"/>
            <w:tcW w:w="4925"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highlight w:val="none"/>
              </w:rPr>
              <w:t xml:space="preserve">如有，见第一章《投标邀请》</w:t>
            </w:r>
            <w:r/>
          </w:p>
        </w:tc>
        <w:tc>
          <w:tcPr>
            <w:shd w:val="clear" w:color="auto" w:fill="auto"/>
            <w:tcW w:w="2219"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r>
        <w:trPr>
          <w:cantSplit/>
          <w:trHeight w:val="736"/>
        </w:trPr>
        <w:tc>
          <w:tcPr>
            <w:shd w:val="clear" w:color="auto" w:fill="auto"/>
            <w:tcW w:w="0" w:type="auto"/>
            <w:vAlign w:val="center"/>
            <w:textDirection w:val="lrTb"/>
            <w:noWrap w:val="false"/>
          </w:tcPr>
          <w:p>
            <w:pPr>
              <w:jc w:val="center"/>
              <w:tabs>
                <w:tab w:val="left" w:pos="108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eastAsia="zh-CN"/>
              </w:rPr>
              <w:t xml:space="preserve">1</w:t>
            </w:r>
            <w:r/>
          </w:p>
        </w:tc>
        <w:tc>
          <w:tcPr>
            <w:shd w:val="clear" w:color="auto" w:fill="auto"/>
            <w:tcW w:w="0" w:type="auto"/>
            <w:vAlign w:val="center"/>
            <w:textDirection w:val="lrTb"/>
            <w:noWrap w:val="false"/>
          </w:tcPr>
          <w:p>
            <w:pPr>
              <w:tabs>
                <w:tab w:val="left" w:pos="1080" w:leader="none"/>
              </w:tabs>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highlight w:val="none"/>
              </w:rPr>
              <w:t xml:space="preserve">其他特定资格要求</w:t>
            </w:r>
            <w:r/>
          </w:p>
        </w:tc>
        <w:tc>
          <w:tcPr>
            <w:shd w:val="clear" w:color="auto" w:fill="auto"/>
            <w:tcW w:w="4925" w:type="dxa"/>
            <w:vAlign w:val="center"/>
            <w:textDirection w:val="lrTb"/>
            <w:noWrap w:val="false"/>
          </w:tcPr>
          <w:p>
            <w:pPr>
              <w:spacing w:after="0"/>
              <w:tabs>
                <w:tab w:val="left" w:pos="1080" w:leader="none"/>
              </w:tabs>
              <w:rPr>
                <w:rFonts w:hint="eastAsia" w:ascii="宋体" w:hAnsi="宋体" w:eastAsia="宋体" w:cs="宋体"/>
                <w:color w:val="auto"/>
                <w:sz w:val="24"/>
                <w:szCs w:val="24"/>
                <w:highlight w:val="none"/>
                <w:lang w:val="en-US" w:eastAsia="zh-CN" w:bidi="ar-SA"/>
              </w:rPr>
              <w:pBdr>
                <w:top w:val="none" w:color="auto" w:sz="0" w:space="0"/>
                <w:left w:val="none" w:color="auto" w:sz="0" w:space="0"/>
                <w:bottom w:val="none" w:color="auto" w:sz="0" w:space="0"/>
                <w:right w:val="none" w:color="auto" w:sz="0" w:space="0"/>
              </w:pBdr>
            </w:pPr>
            <w:r>
              <w:rPr>
                <w:rFonts w:hint="eastAsia" w:ascii="宋体" w:hAnsi="宋体" w:eastAsia="宋体" w:cs="宋体"/>
                <w:color w:val="auto"/>
                <w:sz w:val="24"/>
                <w:highlight w:val="none"/>
              </w:rPr>
              <w:t xml:space="preserve">如有，见第一章《投标邀请》</w:t>
            </w:r>
            <w:r/>
          </w:p>
        </w:tc>
        <w:tc>
          <w:tcPr>
            <w:shd w:val="clear" w:color="auto" w:fill="auto"/>
            <w:tcW w:w="2219" w:type="dxa"/>
            <w:vAlign w:val="center"/>
            <w:textDirection w:val="lrTb"/>
            <w:noWrap w:val="false"/>
          </w:tcPr>
          <w:p>
            <w:pPr>
              <w:tabs>
                <w:tab w:val="left" w:pos="1080" w:leader="none"/>
              </w:tabs>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tc>
      </w:tr>
    </w:tbl>
    <w:p>
      <w:pPr>
        <w:jc w:val="left"/>
        <w:widowControl/>
        <w:rPr>
          <w:rFonts w:hint="eastAsia" w:ascii="宋体" w:hAnsi="宋体" w:cs="宋体"/>
          <w:color w:val="auto"/>
          <w:sz w:val="24"/>
          <w:highlight w:val="none"/>
        </w:rPr>
      </w:pPr>
      <w:r>
        <w:rPr>
          <w:rFonts w:hint="eastAsia" w:ascii="宋体" w:hAnsi="宋体" w:cs="宋体"/>
          <w:color w:val="auto"/>
          <w:sz w:val="24"/>
          <w:highlight w:val="none"/>
        </w:rPr>
        <w:br w:type="page" w:clear="all"/>
      </w:r>
      <w:r/>
    </w:p>
    <w:p>
      <w:pPr>
        <w:numPr>
          <w:ilvl w:val="1"/>
          <w:numId w:val="10"/>
        </w:numPr>
        <w:ind w:left="1140" w:hanging="72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《符合性审查要求》见下表：</w:t>
      </w:r>
      <w:r/>
    </w:p>
    <w:p>
      <w:pPr>
        <w:jc w:val="center"/>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t xml:space="preserve">符合性审查要求</w:t>
      </w:r>
      <w:r/>
    </w:p>
    <w:tbl>
      <w:tblPr>
        <w:tblStyle w:val="809"/>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2"/>
        <w:gridCol w:w="1903"/>
        <w:gridCol w:w="7060"/>
      </w:tblGrid>
      <w:tr>
        <w:trPr>
          <w:jc w:val="center"/>
          <w:trHeight w:val="300"/>
        </w:trPr>
        <w:tc>
          <w:tcPr>
            <w:tcW w:w="771"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序号</w:t>
            </w:r>
            <w:r/>
          </w:p>
        </w:tc>
        <w:tc>
          <w:tcPr>
            <w:tcW w:w="1646"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审查因素</w:t>
            </w:r>
            <w:r/>
          </w:p>
        </w:tc>
        <w:tc>
          <w:tcPr>
            <w:tcW w:w="6105" w:type="dxa"/>
            <w:vAlign w:val="center"/>
            <w:textDirection w:val="lrTb"/>
            <w:noWrap w:val="false"/>
          </w:tcPr>
          <w:p>
            <w:pPr>
              <w:jc w:val="center"/>
              <w:widowControl/>
              <w:rPr>
                <w:rFonts w:hint="eastAsia" w:ascii="宋体" w:hAnsi="宋体" w:cs="宋体"/>
                <w:b/>
                <w:color w:val="auto"/>
                <w:sz w:val="24"/>
                <w:highlight w:val="none"/>
              </w:rPr>
            </w:pPr>
            <w:r>
              <w:rPr>
                <w:rFonts w:hint="eastAsia" w:ascii="宋体" w:hAnsi="宋体" w:cs="宋体"/>
                <w:b/>
                <w:color w:val="auto"/>
                <w:sz w:val="24"/>
                <w:highlight w:val="none"/>
              </w:rPr>
              <w:t xml:space="preserve">审查内容</w:t>
            </w:r>
            <w:r/>
          </w:p>
        </w:tc>
      </w:tr>
      <w:tr>
        <w:trPr>
          <w:jc w:val="center"/>
          <w:trHeight w:val="685"/>
        </w:trPr>
        <w:tc>
          <w:tcPr>
            <w:tcW w:w="77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响应函、法定代表人资格证明书、政府采购供应商信用承诺书</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按磋商文件要求提供响应函、法定代表人资格证明书、政府采购供应商信用承诺书</w:t>
            </w:r>
            <w:r/>
          </w:p>
        </w:tc>
      </w:tr>
      <w:tr>
        <w:trPr>
          <w:jc w:val="center"/>
          <w:trHeight w:val="685"/>
        </w:trPr>
        <w:tc>
          <w:tcPr>
            <w:tcW w:w="77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响应完整性</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未将一个采购包中的内容拆开响应；</w:t>
            </w:r>
            <w:r/>
          </w:p>
        </w:tc>
      </w:tr>
      <w:tr>
        <w:trPr>
          <w:jc w:val="center"/>
          <w:trHeight w:val="685"/>
        </w:trPr>
        <w:tc>
          <w:tcPr>
            <w:tcW w:w="77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响应报价</w:t>
            </w:r>
            <w:r/>
          </w:p>
        </w:tc>
        <w:tc>
          <w:tcPr>
            <w:tcW w:w="6105" w:type="dxa"/>
            <w:vAlign w:val="center"/>
            <w:textDirection w:val="lrTb"/>
            <w:noWrap w:val="false"/>
          </w:tcPr>
          <w:p>
            <w:pPr>
              <w:jc w:val="lef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响应报价未超过磋商文件中规定的项目/采购包预算金额或者项目/采购包最高限价；</w:t>
            </w:r>
            <w:r/>
          </w:p>
        </w:tc>
      </w:tr>
      <w:tr>
        <w:trPr>
          <w:jc w:val="center"/>
          <w:trHeight w:val="90"/>
        </w:trPr>
        <w:tc>
          <w:tcPr>
            <w:tcW w:w="77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报价唯一性</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响应文件未出现可选择性或可调整的报价（磋商文件另有规定的除外）；</w:t>
            </w:r>
            <w:r/>
          </w:p>
        </w:tc>
      </w:tr>
      <w:tr>
        <w:trPr>
          <w:jc w:val="center"/>
          <w:trHeight w:val="685"/>
        </w:trPr>
        <w:tc>
          <w:tcPr>
            <w:tcW w:w="77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响应有效期</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响应文件中承诺的响应有效期满足磋商文件中载明的响应有效期的；</w:t>
            </w:r>
            <w:r/>
          </w:p>
        </w:tc>
      </w:tr>
      <w:tr>
        <w:trPr>
          <w:jc w:val="center"/>
          <w:trHeight w:val="685"/>
        </w:trPr>
        <w:tc>
          <w:tcPr>
            <w:tcW w:w="77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签署、加盖公章</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按照磋商文件要求签署、加盖公章的；</w:t>
            </w:r>
            <w:r/>
          </w:p>
        </w:tc>
      </w:tr>
      <w:tr>
        <w:trPr>
          <w:jc w:val="center"/>
          <w:trHeight w:val="685"/>
        </w:trPr>
        <w:tc>
          <w:tcPr>
            <w:tcW w:w="77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实质性格式</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标记为“实质性格式”的文件均按磋商文件要求提供；</w:t>
            </w:r>
            <w:r/>
          </w:p>
        </w:tc>
      </w:tr>
      <w:tr>
        <w:trPr>
          <w:jc w:val="center"/>
          <w:trHeight w:val="685"/>
        </w:trPr>
        <w:tc>
          <w:tcPr>
            <w:tcW w:w="771" w:type="dxa"/>
            <w:vAlign w:val="center"/>
            <w:textDirection w:val="lrTb"/>
            <w:noWrap w:val="false"/>
          </w:tcPr>
          <w:p>
            <w:pPr>
              <w:jc w:val="center"/>
              <w:widowControl/>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8</w:t>
            </w:r>
            <w:r/>
          </w:p>
        </w:tc>
        <w:tc>
          <w:tcPr>
            <w:tcW w:w="1646"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★号条款响应</w:t>
            </w:r>
            <w:r/>
          </w:p>
        </w:tc>
        <w:tc>
          <w:tcPr>
            <w:tcW w:w="6105" w:type="dxa"/>
            <w:vAlign w:val="center"/>
            <w:textDirection w:val="lrTb"/>
            <w:noWrap w:val="false"/>
          </w:tcPr>
          <w:p>
            <w:pPr>
              <w:jc w:val="left"/>
              <w:widowControl/>
              <w:rPr>
                <w:rFonts w:hint="eastAsia" w:ascii="宋体" w:hAnsi="宋体" w:cs="宋体"/>
                <w:b/>
                <w:bCs/>
                <w:color w:val="auto"/>
                <w:sz w:val="24"/>
                <w:highlight w:val="none"/>
              </w:rPr>
            </w:pPr>
            <w:r>
              <w:rPr>
                <w:rFonts w:hint="eastAsia" w:ascii="宋体" w:hAnsi="宋体" w:cs="宋体"/>
                <w:b/>
                <w:bCs/>
                <w:color w:val="auto"/>
                <w:sz w:val="24"/>
                <w:highlight w:val="none"/>
              </w:rPr>
              <w:t xml:space="preserve">响应文件满足磋商文件第四章《采购需求》中★号条款要求的；</w:t>
            </w:r>
            <w:r/>
          </w:p>
        </w:tc>
      </w:tr>
      <w:tr>
        <w:trPr>
          <w:jc w:val="center"/>
          <w:trHeight w:val="685"/>
        </w:trPr>
        <w:tc>
          <w:tcPr>
            <w:tcW w:w="77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9</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分包承担主体资质（如有）</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分包承担主体具备《供应商须知资料表》载明的资质条件且提供了资质证书电子件（如有）；</w:t>
            </w:r>
            <w:r/>
          </w:p>
        </w:tc>
      </w:tr>
      <w:tr>
        <w:trPr>
          <w:jc w:val="center"/>
          <w:trHeight w:val="685"/>
        </w:trPr>
        <w:tc>
          <w:tcPr>
            <w:tcW w:w="77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10</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分包意向协议</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按磋商文件规定签订并提供分包意向协议原件的电子件的；（如有）</w:t>
            </w:r>
            <w:r/>
          </w:p>
        </w:tc>
      </w:tr>
      <w:tr>
        <w:trPr>
          <w:jc w:val="center"/>
          <w:trHeight w:val="685"/>
        </w:trPr>
        <w:tc>
          <w:tcPr>
            <w:tcW w:w="77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11</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报价的修正（如有）</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不涉及报价修正，或响应文件报价出现前后不一致时，供应商对修正后的报价予以确认；（如有）</w:t>
            </w:r>
            <w:r/>
          </w:p>
        </w:tc>
      </w:tr>
      <w:tr>
        <w:trPr>
          <w:jc w:val="center"/>
          <w:trHeight w:val="685"/>
        </w:trPr>
        <w:tc>
          <w:tcPr>
            <w:tcW w:w="77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12</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报价合理性</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eastAsia="宋体" w:cs="宋体"/>
                <w:sz w:val="24"/>
                <w:szCs w:val="24"/>
                <w:highlight w:val="none"/>
                <w:shd w:val="clear" w:color="auto" w:fill="auto"/>
                <w:lang w:val="en-US" w:eastAsia="zh-CN" w:bidi="ar-SA"/>
              </w:rPr>
              <w:t xml:space="preserve">报价合理，或供应商的报价明显低于其他通过符合性审查供应商的报价，有可能影响产品质量或者不能诚信履约的，能够应磋商小组要求在规定时间内证明其报价合理性的；</w:t>
            </w:r>
            <w:r>
              <w:rPr>
                <w:rFonts w:hint="eastAsia" w:ascii="宋体" w:hAnsi="宋体" w:eastAsia="宋体" w:cs="宋体"/>
                <w:sz w:val="24"/>
                <w:highlight w:val="none"/>
                <w:shd w:val="clear" w:color="auto" w:fill="auto"/>
                <w:lang w:val="en-US" w:bidi="ar-SA"/>
              </w:rPr>
              <w:t xml:space="preserve">（</w:t>
            </w:r>
            <w:r>
              <w:rPr>
                <w:rFonts w:hint="eastAsia" w:ascii="宋体" w:hAnsi="宋体" w:eastAsia="宋体" w:cs="宋体"/>
                <w:sz w:val="24"/>
                <w:highlight w:val="none"/>
                <w:shd w:val="clear" w:color="auto" w:fill="auto"/>
                <w:lang w:val="en-US" w:eastAsia="zh-CN" w:bidi="ar-SA"/>
              </w:rPr>
              <w:t xml:space="preserve">详见</w:t>
            </w:r>
            <w:r>
              <w:rPr>
                <w:rFonts w:hint="eastAsia" w:ascii="宋体" w:hAnsi="宋体" w:eastAsia="宋体" w:cs="宋体"/>
                <w:sz w:val="24"/>
                <w:highlight w:val="none"/>
                <w:shd w:val="clear" w:color="auto" w:fill="auto"/>
                <w:lang w:val="en-US" w:bidi="ar-SA"/>
              </w:rPr>
              <w:t xml:space="preserve">《关于推动解决政府采购异常低价问题的通知》财库〔2026〕2号）</w:t>
            </w:r>
            <w:r/>
          </w:p>
        </w:tc>
      </w:tr>
      <w:tr>
        <w:trPr>
          <w:jc w:val="center"/>
          <w:trHeight w:val="685"/>
        </w:trPr>
        <w:tc>
          <w:tcPr>
            <w:tcW w:w="77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3</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进口产品</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（如有）</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磋商文件不接受进口产品响应的内容时，供应商所投产品非进口产品的；</w:t>
            </w:r>
            <w:r/>
          </w:p>
        </w:tc>
      </w:tr>
      <w:tr>
        <w:trPr>
          <w:jc w:val="center"/>
          <w:trHeight w:val="685"/>
        </w:trPr>
        <w:tc>
          <w:tcPr>
            <w:tcW w:w="771"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4</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国家有关部门对供应商的响应产品有强制性规定或要求的</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国家有关部门对供应商的响应产品有强制性规定或要求的（如相应技术、安全、节能和环保等），供应商的响应产品应符合相应规定或要求，并提供证明文件电子件：</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1）采购的产品若属于《节能产品政府采购品目清单》范围中政府强制采购产品，则供应商所报产品必须获得国家确定的认证机构出具的、处于有效期之内的节能产品认证证书；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2）响应产品如涉及计算机信息系统安全专用产品的，须提供公安部颁发的计算机信息系统安全专用产品销售许可证；</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3）响应产品如有属于开展国家信息安全产品认证产品范围的，须提供由中国网络安全审查技术与认证中心（原中国信息安全认证中心）按国家标准认证颁发的有效认证证书等）；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4）国家有特殊信息安全要求的项目，采购产品涉及无线局域网产品和含有无线局域网功能的计算机、通信设备、打印机、复印机、投影仪等产品的，响应产品须为符合国家无线局域网安全标准（GB 15629.11/1102）并通过国家产品认证的产品；</w:t>
            </w:r>
            <w:r/>
          </w:p>
        </w:tc>
      </w:tr>
      <w:tr>
        <w:trPr>
          <w:jc w:val="center"/>
          <w:trHeight w:val="685"/>
        </w:trPr>
        <w:tc>
          <w:tcPr>
            <w:tcW w:w="77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5</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公平竞争</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供应商遵循公平竞争的原则，不存在恶意串通，妨碍其他供应商的竞争行为，不存在损害采购人或者其他供应商的合法权益情形的；</w:t>
            </w:r>
            <w:r/>
          </w:p>
        </w:tc>
      </w:tr>
      <w:tr>
        <w:trPr>
          <w:jc w:val="center"/>
          <w:trHeight w:val="685"/>
        </w:trPr>
        <w:tc>
          <w:tcPr>
            <w:tcW w:w="771" w:type="dxa"/>
            <w:vAlign w:val="center"/>
            <w:textDirection w:val="lrTb"/>
            <w:noWrap w:val="false"/>
          </w:tcPr>
          <w:p>
            <w:pPr>
              <w:jc w:val="center"/>
              <w:widowControl/>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16</w:t>
            </w:r>
            <w:r/>
          </w:p>
        </w:tc>
        <w:tc>
          <w:tcPr>
            <w:tcW w:w="1646" w:type="dxa"/>
            <w:vAlign w:val="center"/>
            <w:textDirection w:val="lrTb"/>
            <w:noWrap w:val="false"/>
          </w:tcPr>
          <w:p>
            <w:pPr>
              <w:jc w:val="left"/>
              <w:widowControl/>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串通投标</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不存在</w:t>
            </w:r>
            <w:r>
              <w:rPr>
                <w:rFonts w:hint="eastAsia" w:ascii="宋体" w:hAnsi="宋体" w:cs="宋体"/>
                <w:color w:val="auto"/>
                <w:sz w:val="24"/>
                <w:highlight w:val="none"/>
                <w:lang w:eastAsia="zh-CN"/>
              </w:rPr>
              <w:t xml:space="preserve">串通投标</w:t>
            </w:r>
            <w:r>
              <w:rPr>
                <w:rFonts w:hint="eastAsia" w:ascii="宋体" w:hAnsi="宋体" w:cs="宋体"/>
                <w:color w:val="auto"/>
                <w:sz w:val="24"/>
                <w:highlight w:val="none"/>
              </w:rPr>
              <w:t xml:space="preserve">的情形：（一）不同供应商的响应文件由同一单位或者个人编制（包含使用同一MAC地址的计算机制作电子响应文件的情形）；（二）不同供应商委托同一单位或者个人办理响应事宜（包含使用同一MAC地址的计算机提交或者解密电子响应文件的情形）；（三）不同供应商的响应文件载明的项目管理成员或者联系人员为同一人；（四）不同供应商的响应文件异常一致或者响应报价呈规律性差异；（五）不同供应商的响应文件相互混装；（六）不同供应商的响应保证金从同一单位或者个人的账户转出；</w:t>
            </w:r>
            <w:r/>
          </w:p>
        </w:tc>
      </w:tr>
      <w:tr>
        <w:trPr>
          <w:jc w:val="center"/>
          <w:trHeight w:val="685"/>
        </w:trPr>
        <w:tc>
          <w:tcPr>
            <w:tcW w:w="77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7</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附加条件</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响应文件未含有采购人不能接受的附加条件的；</w:t>
            </w:r>
            <w:r/>
          </w:p>
        </w:tc>
      </w:tr>
      <w:tr>
        <w:trPr>
          <w:jc w:val="center"/>
          <w:trHeight w:val="685"/>
        </w:trPr>
        <w:tc>
          <w:tcPr>
            <w:tcW w:w="77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8</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其他无效情形</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供应商、响应文件不存在不符合法律、法规和磋商文件规定的其他无效情形。</w:t>
            </w:r>
            <w:r/>
          </w:p>
        </w:tc>
      </w:tr>
      <w:tr>
        <w:trPr>
          <w:jc w:val="center"/>
          <w:trHeight w:val="685"/>
        </w:trPr>
        <w:tc>
          <w:tcPr>
            <w:tcW w:w="771" w:type="dxa"/>
            <w:vAlign w:val="center"/>
            <w:textDirection w:val="lrTb"/>
            <w:noWrap w:val="false"/>
          </w:tcPr>
          <w:p>
            <w:pPr>
              <w:jc w:val="center"/>
              <w:widowControl/>
              <w:rPr>
                <w:rFonts w:hint="eastAsia" w:ascii="宋体" w:hAnsi="宋体" w:cs="宋体"/>
                <w:color w:val="auto"/>
                <w:sz w:val="24"/>
                <w:highlight w:val="none"/>
              </w:rPr>
            </w:pPr>
            <w:r>
              <w:rPr>
                <w:rFonts w:hint="eastAsia" w:ascii="宋体" w:hAnsi="宋体" w:cs="宋体"/>
                <w:color w:val="auto"/>
                <w:sz w:val="24"/>
                <w:highlight w:val="none"/>
              </w:rPr>
              <w:t xml:space="preserve">19</w:t>
            </w:r>
            <w:r/>
          </w:p>
        </w:tc>
        <w:tc>
          <w:tcPr>
            <w:tcW w:w="1646"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重大偏离</w:t>
            </w:r>
            <w:r/>
          </w:p>
        </w:tc>
        <w:tc>
          <w:tcPr>
            <w:tcW w:w="6105" w:type="dxa"/>
            <w:vAlign w:val="center"/>
            <w:textDirection w:val="lrTb"/>
            <w:noWrap w:val="false"/>
          </w:tcPr>
          <w:p>
            <w:pPr>
              <w:jc w:val="left"/>
              <w:widowControl/>
              <w:rPr>
                <w:rFonts w:hint="eastAsia" w:ascii="宋体" w:hAnsi="宋体" w:cs="宋体"/>
                <w:color w:val="auto"/>
                <w:sz w:val="24"/>
                <w:highlight w:val="none"/>
              </w:rPr>
            </w:pPr>
            <w:r>
              <w:rPr>
                <w:rFonts w:hint="eastAsia" w:ascii="宋体" w:hAnsi="宋体" w:cs="宋体"/>
                <w:color w:val="auto"/>
                <w:sz w:val="24"/>
                <w:highlight w:val="none"/>
              </w:rPr>
              <w:t xml:space="preserve">经</w:t>
            </w:r>
            <w:r>
              <w:rPr>
                <w:rFonts w:hint="eastAsia" w:ascii="宋体" w:hAnsi="宋体" w:cs="宋体"/>
                <w:color w:val="auto"/>
                <w:sz w:val="24"/>
                <w:highlight w:val="none"/>
                <w:lang w:val="en-US" w:eastAsia="zh-CN"/>
              </w:rPr>
              <w:t xml:space="preserve">磋商小组</w:t>
            </w:r>
            <w:r>
              <w:rPr>
                <w:rFonts w:hint="eastAsia" w:ascii="宋体" w:hAnsi="宋体" w:cs="宋体"/>
                <w:color w:val="auto"/>
                <w:sz w:val="24"/>
                <w:highlight w:val="none"/>
              </w:rPr>
              <w:t xml:space="preserve">认定与</w:t>
            </w:r>
            <w:r>
              <w:rPr>
                <w:rFonts w:hint="eastAsia" w:ascii="宋体" w:hAnsi="宋体" w:cs="宋体"/>
                <w:color w:val="auto"/>
                <w:sz w:val="24"/>
                <w:highlight w:val="none"/>
                <w:lang w:val="en-US" w:eastAsia="zh-CN"/>
              </w:rPr>
              <w:t xml:space="preserve">磋商</w:t>
            </w:r>
            <w:r>
              <w:rPr>
                <w:rFonts w:hint="eastAsia" w:ascii="宋体" w:hAnsi="宋体" w:cs="宋体"/>
                <w:color w:val="auto"/>
                <w:sz w:val="24"/>
                <w:highlight w:val="none"/>
              </w:rPr>
              <w:t xml:space="preserve">文件有重大偏离和保留；</w:t>
            </w:r>
            <w:r/>
          </w:p>
          <w:p>
            <w:pPr>
              <w:pStyle w:val="1198"/>
              <w:rPr>
                <w:rFonts w:hint="eastAsia" w:hAnsi="宋体" w:cs="宋体"/>
                <w:color w:val="auto"/>
                <w:sz w:val="24"/>
                <w:highlight w:val="none"/>
              </w:rPr>
            </w:pPr>
            <w:r>
              <w:rPr>
                <w:rFonts w:hint="eastAsia" w:hAnsi="宋体" w:cs="宋体"/>
                <w:color w:val="auto"/>
                <w:sz w:val="24"/>
                <w:highlight w:val="none"/>
              </w:rPr>
              <w:t xml:space="preserve">所谓重大偏离或保留是指与</w:t>
            </w:r>
            <w:r>
              <w:rPr>
                <w:rFonts w:hint="eastAsia" w:ascii="宋体" w:hAnsi="宋体" w:cs="宋体"/>
                <w:color w:val="auto"/>
                <w:sz w:val="24"/>
                <w:highlight w:val="none"/>
                <w:lang w:val="en-US" w:eastAsia="zh-CN"/>
              </w:rPr>
              <w:t xml:space="preserve">磋商</w:t>
            </w:r>
            <w:r>
              <w:rPr>
                <w:rFonts w:hint="eastAsia" w:hAnsi="宋体" w:cs="宋体"/>
                <w:color w:val="auto"/>
                <w:sz w:val="24"/>
                <w:highlight w:val="none"/>
              </w:rPr>
              <w:t xml:space="preserve">文件规定的主要技术指标或重要的商务条款或除上述以外的多项指标要求存在负偏离，或者在实质上与</w:t>
            </w:r>
            <w:r>
              <w:rPr>
                <w:rFonts w:hint="eastAsia" w:ascii="宋体" w:hAnsi="宋体" w:cs="宋体"/>
                <w:color w:val="auto"/>
                <w:sz w:val="24"/>
                <w:highlight w:val="none"/>
                <w:lang w:val="en-US" w:eastAsia="zh-CN"/>
              </w:rPr>
              <w:t xml:space="preserve">磋商</w:t>
            </w:r>
            <w:r>
              <w:rPr>
                <w:rFonts w:hint="eastAsia" w:hAnsi="宋体" w:cs="宋体"/>
                <w:color w:val="auto"/>
                <w:sz w:val="24"/>
                <w:highlight w:val="none"/>
              </w:rPr>
              <w:t xml:space="preserve">文件不一致，而且限制了合同中采购人的权利或</w:t>
            </w:r>
            <w:r>
              <w:rPr>
                <w:rFonts w:hint="eastAsia" w:hAnsi="宋体" w:cs="宋体"/>
                <w:color w:val="auto"/>
                <w:sz w:val="24"/>
                <w:highlight w:val="none"/>
                <w:lang w:val="en-US" w:eastAsia="zh-CN"/>
              </w:rPr>
              <w:t xml:space="preserve">供应商</w:t>
            </w:r>
            <w:r>
              <w:rPr>
                <w:rFonts w:hint="eastAsia" w:hAnsi="宋体" w:cs="宋体"/>
                <w:color w:val="auto"/>
                <w:sz w:val="24"/>
                <w:highlight w:val="none"/>
              </w:rPr>
              <w:t xml:space="preserve">的义务，纠正这些偏离或保留将会对其他实质性响应要求的</w:t>
            </w:r>
            <w:r>
              <w:rPr>
                <w:rFonts w:hint="eastAsia" w:hAnsi="宋体" w:cs="宋体"/>
                <w:color w:val="auto"/>
                <w:sz w:val="24"/>
                <w:highlight w:val="none"/>
                <w:lang w:val="en-US" w:eastAsia="zh-CN"/>
              </w:rPr>
              <w:t xml:space="preserve">供应商</w:t>
            </w:r>
            <w:r>
              <w:rPr>
                <w:rFonts w:hint="eastAsia" w:hAnsi="宋体" w:cs="宋体"/>
                <w:color w:val="auto"/>
                <w:sz w:val="24"/>
                <w:highlight w:val="none"/>
              </w:rPr>
              <w:t xml:space="preserve">的竞争地位产生不公正的影响。重大偏离的认定需经过</w:t>
            </w:r>
            <w:r>
              <w:rPr>
                <w:rFonts w:hint="eastAsia" w:hAnsi="宋体" w:cs="宋体"/>
                <w:color w:val="auto"/>
                <w:sz w:val="24"/>
                <w:highlight w:val="none"/>
                <w:lang w:val="en-US" w:eastAsia="zh-CN"/>
              </w:rPr>
              <w:t xml:space="preserve">磋商小组</w:t>
            </w:r>
            <w:r>
              <w:rPr>
                <w:rFonts w:hint="eastAsia" w:hAnsi="宋体" w:cs="宋体"/>
                <w:color w:val="auto"/>
                <w:sz w:val="24"/>
                <w:highlight w:val="none"/>
              </w:rPr>
              <w:t xml:space="preserve">三分之二及以上成员的认定。</w:t>
            </w:r>
            <w:r>
              <w:rPr>
                <w:rFonts w:hint="eastAsia" w:hAnsi="宋体" w:cs="宋体"/>
                <w:color w:val="auto"/>
                <w:sz w:val="24"/>
                <w:highlight w:val="none"/>
                <w:lang w:val="en-US" w:eastAsia="zh-CN"/>
              </w:rPr>
              <w:t xml:space="preserve">磋商小组</w:t>
            </w:r>
            <w:r>
              <w:rPr>
                <w:rFonts w:hint="eastAsia" w:hAnsi="宋体" w:cs="宋体"/>
                <w:color w:val="auto"/>
                <w:sz w:val="24"/>
                <w:highlight w:val="none"/>
              </w:rPr>
              <w:t xml:space="preserve">决定</w:t>
            </w:r>
            <w:r>
              <w:rPr>
                <w:rFonts w:hint="eastAsia" w:hAnsi="宋体" w:cs="宋体"/>
                <w:color w:val="auto"/>
                <w:sz w:val="24"/>
                <w:highlight w:val="none"/>
                <w:lang w:val="en-US" w:eastAsia="zh-CN"/>
              </w:rPr>
              <w:t xml:space="preserve">响应</w:t>
            </w:r>
            <w:r>
              <w:rPr>
                <w:rFonts w:hint="eastAsia" w:hAnsi="宋体" w:cs="宋体"/>
                <w:color w:val="auto"/>
                <w:sz w:val="24"/>
                <w:highlight w:val="none"/>
              </w:rPr>
              <w:t xml:space="preserve">文件的响应性只根据</w:t>
            </w:r>
            <w:r>
              <w:rPr>
                <w:rFonts w:hint="eastAsia" w:hAnsi="宋体" w:cs="宋体"/>
                <w:color w:val="auto"/>
                <w:sz w:val="24"/>
                <w:highlight w:val="none"/>
                <w:lang w:val="en-US" w:eastAsia="zh-CN"/>
              </w:rPr>
              <w:t xml:space="preserve">响应</w:t>
            </w:r>
            <w:r>
              <w:rPr>
                <w:rFonts w:hint="eastAsia" w:hAnsi="宋体" w:cs="宋体"/>
                <w:color w:val="auto"/>
                <w:sz w:val="24"/>
                <w:highlight w:val="none"/>
              </w:rPr>
              <w:t xml:space="preserve">文件本身的内容，而不寻求外部的证据。</w:t>
            </w:r>
            <w:r/>
          </w:p>
        </w:tc>
      </w:tr>
    </w:tbl>
    <w:p>
      <w:pPr>
        <w:numPr>
          <w:ilvl w:val="0"/>
          <w:numId w:val="10"/>
        </w:numPr>
        <w:spacing w:line="360" w:lineRule="auto"/>
        <w:tabs>
          <w:tab w:val="left" w:pos="360" w:leader="none"/>
        </w:tabs>
        <w:rPr>
          <w:rFonts w:hint="eastAsia" w:ascii="宋体" w:hAnsi="宋体" w:cs="宋体"/>
          <w:color w:val="auto"/>
          <w:sz w:val="24"/>
          <w:highlight w:val="none"/>
        </w:rPr>
        <w:outlineLvl w:val="2"/>
      </w:pPr>
      <w:r>
        <w:rPr>
          <w:rFonts w:hint="eastAsia" w:ascii="宋体" w:hAnsi="宋体" w:cs="宋体"/>
          <w:color w:val="auto"/>
          <w:sz w:val="24"/>
          <w:highlight w:val="none"/>
        </w:rPr>
        <w:t xml:space="preserve">磋商、响应文件有关事项的澄清、说明或者更正和最终报价</w:t>
      </w:r>
      <w:r/>
    </w:p>
    <w:p>
      <w:pPr>
        <w:numPr>
          <w:ilvl w:val="1"/>
          <w:numId w:val="10"/>
        </w:numPr>
        <w:ind w:left="1140" w:hanging="72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磋商小组所有成员应当集中与单一供应商分别进行磋商，并给予所有参加磋商的供应商平等的磋商机会。</w:t>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color w:val="auto"/>
          <w:sz w:val="24"/>
          <w:highlight w:val="none"/>
        </w:rPr>
        <w:t xml:space="preserve">在磋商过程中，磋商小组可以根据磋商文件和磋商情况实质性变动采购需求中的技术、服务要求以及合同草案条款，但不得变动磋商文件中的其他内容。实质性变动的内容，须经采购人代表确认。</w:t>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color w:val="auto"/>
          <w:sz w:val="24"/>
          <w:highlight w:val="none"/>
        </w:rPr>
        <w:t xml:space="preserve">对磋商文件作出的实质性变动是磋商文件的有效组成部分，磋商小组应当及时以书面形式同时通知所有参加磋商的供应商。</w:t>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应当按照磋商文件的变动情况和磋商小组的要求重新提交响应文件，并由其法定代表人或授权代表签字或者加盖公章。由授权代表签字的，应当附授权委托书。供应商为自然人的，应当由本人签字并附身份证明。</w:t>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color w:val="auto"/>
          <w:sz w:val="24"/>
          <w:highlight w:val="none"/>
        </w:rPr>
        <w:t xml:space="preserve">响应文件的澄清、说明或者更正：</w:t>
      </w:r>
      <w:r/>
    </w:p>
    <w:p>
      <w:pPr>
        <w:ind w:left="1080"/>
        <w:spacing w:line="360" w:lineRule="auto"/>
        <w:tabs>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评审过程中，为有助于对响应文件的审查、评价和比较，磋商小组有权要求供应商对对其响应文件中含义不明确、同类问题表述不一致或者有明显文字和计算错误的内容，作出必要的澄清、说明或者补正。供应商的澄清、说明或者补正应当采用书面形式，由供应商法定代表人或授权代表签署。供应商的澄清、说明或者补正不得超出响应文件的范围或者改变响应文件的实质性内容。澄清文件将作为响应文件内容的一部分。</w:t>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b/>
          <w:color w:val="auto"/>
          <w:sz w:val="24"/>
          <w:highlight w:val="none"/>
        </w:rPr>
        <w:t xml:space="preserve">磋商结束后，磋商小组将要求所有实质性响应的供应商在规定时间内通过政府采购一体化平台“苏采云”系统提交最终报价（</w:t>
      </w:r>
      <w:r>
        <w:rPr>
          <w:rFonts w:hint="eastAsia" w:ascii="宋体" w:hAnsi="宋体" w:cs="宋体"/>
          <w:b/>
          <w:bCs/>
          <w:color w:val="auto"/>
          <w:sz w:val="24"/>
          <w:highlight w:val="none"/>
          <w:u w:val="single"/>
        </w:rPr>
        <w:t xml:space="preserve">本项目采用两次报价，响应文件的报价作为首次报价，在磋商结束后，磋商小组应当要求所有实质性响应的供应商在规定时间内提交最终报价</w:t>
      </w:r>
      <w:r>
        <w:rPr>
          <w:rFonts w:hint="eastAsia" w:ascii="宋体" w:hAnsi="宋体" w:cs="宋体"/>
          <w:b/>
          <w:bCs/>
          <w:color w:val="auto"/>
          <w:sz w:val="24"/>
          <w:highlight w:val="none"/>
          <w:u w:val="single"/>
          <w:lang w:eastAsia="zh-CN"/>
        </w:rPr>
        <w:t xml:space="preserve">。</w:t>
      </w:r>
      <w:r>
        <w:rPr>
          <w:rFonts w:hint="eastAsia" w:ascii="宋体" w:hAnsi="宋体" w:cs="宋体"/>
          <w:b/>
          <w:bCs/>
          <w:color w:val="auto"/>
          <w:sz w:val="24"/>
          <w:highlight w:val="none"/>
          <w:u w:val="none"/>
          <w:lang w:eastAsia="zh-CN"/>
        </w:rPr>
        <w:t xml:space="preserve">）</w:t>
      </w:r>
      <w:r/>
    </w:p>
    <w:p>
      <w:pPr>
        <w:numPr>
          <w:ilvl w:val="1"/>
          <w:numId w:val="10"/>
        </w:numPr>
        <w:ind w:left="1140" w:hanging="720"/>
        <w:spacing w:line="360" w:lineRule="auto"/>
        <w:tabs>
          <w:tab w:val="left" w:pos="1080" w:leader="none"/>
          <w:tab w:val="left" w:pos="1872" w:leader="none"/>
        </w:tabs>
        <w:rPr>
          <w:rFonts w:hint="eastAsia" w:ascii="宋体" w:hAnsi="宋体" w:eastAsia="宋体" w:cs="宋体"/>
          <w:sz w:val="24"/>
          <w:highlight w:val="none"/>
        </w:rPr>
      </w:pPr>
      <w:r>
        <w:rPr>
          <w:rFonts w:hint="eastAsia" w:ascii="宋体" w:hAnsi="宋体" w:eastAsia="宋体" w:cs="宋体"/>
          <w:sz w:val="24"/>
          <w:highlight w:val="none"/>
        </w:rPr>
        <w:t xml:space="preserve">评审过程中出现下列情形之一的，</w:t>
      </w:r>
      <w:r>
        <w:rPr>
          <w:rFonts w:hint="eastAsia" w:ascii="宋体" w:hAnsi="宋体" w:eastAsia="宋体" w:cs="宋体"/>
          <w:sz w:val="24"/>
          <w:highlight w:val="none"/>
          <w:lang w:val="en-US" w:eastAsia="zh-CN"/>
        </w:rPr>
        <w:t xml:space="preserve">磋商小组</w:t>
      </w:r>
      <w:r>
        <w:rPr>
          <w:rFonts w:hint="eastAsia" w:ascii="宋体" w:hAnsi="宋体" w:eastAsia="宋体" w:cs="宋体"/>
          <w:sz w:val="24"/>
          <w:highlight w:val="none"/>
        </w:rPr>
        <w:t xml:space="preserve">应当启动异常低价投标审查程序：</w:t>
      </w:r>
      <w:r/>
    </w:p>
    <w:p>
      <w:pPr>
        <w:numPr>
          <w:ilvl w:val="2"/>
          <w:numId w:val="10"/>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投标（响应）报价低于全部通过符合性审查供应商投标（响应）报价平均值50%的，即投标（响应）报价</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全部通过符合性审查供应商投标（响应）报价平均值×50%；</w:t>
      </w:r>
      <w:r/>
    </w:p>
    <w:p>
      <w:pPr>
        <w:numPr>
          <w:ilvl w:val="2"/>
          <w:numId w:val="10"/>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投标（响应）报价低于通过符合性审查的次低报价供应商投标（响应）报价50%的，即投标（响应）报价</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通过符合性审查的次低报价供应商投标（响应）报价×50%；</w:t>
      </w:r>
      <w:r/>
    </w:p>
    <w:p>
      <w:pPr>
        <w:numPr>
          <w:ilvl w:val="2"/>
          <w:numId w:val="10"/>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投标（响应）报价低于采购项目最高限价45%的，即投标（响应）报价</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采购项目最高限价×45%；</w:t>
      </w:r>
      <w:r/>
    </w:p>
    <w:p>
      <w:pPr>
        <w:numPr>
          <w:ilvl w:val="2"/>
          <w:numId w:val="10"/>
        </w:numPr>
        <w:ind w:left="2035"/>
        <w:spacing w:line="360" w:lineRule="auto"/>
        <w:tabs>
          <w:tab w:val="left" w:pos="1080" w:leader="none"/>
          <w:tab w:val="left" w:pos="1589" w:leader="none"/>
          <w:tab w:val="left" w:pos="2035" w:leader="none"/>
          <w:tab w:val="left" w:pos="2114"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磋商小组基于专业判断，认为供应商报价过低，有可能影响产品质量或者不能诚信履约的其他情形。</w:t>
      </w:r>
      <w:r/>
    </w:p>
    <w:p>
      <w:pPr>
        <w:numPr>
          <w:ilvl w:val="0"/>
          <w:numId w:val="0"/>
        </w:numPr>
        <w:ind w:left="0" w:firstLine="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numPr>
          <w:ilvl w:val="0"/>
          <w:numId w:val="0"/>
        </w:numPr>
        <w:ind w:left="357"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应当将其作为无效投标（响应）处理。</w:t>
      </w:r>
      <w:r/>
    </w:p>
    <w:p>
      <w:pPr>
        <w:numPr>
          <w:ilvl w:val="0"/>
          <w:numId w:val="0"/>
        </w:numPr>
        <w:ind w:left="357" w:firstLine="480"/>
        <w:spacing w:line="360" w:lineRule="auto"/>
        <w:tabs>
          <w:tab w:val="left" w:pos="108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采购人、采购代理机构应当为</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借助互联网等渠道查询相关信息的，应当严格遵守评审工作纪律，不得实施影响评审公正的行为。</w:t>
      </w:r>
      <w:r/>
    </w:p>
    <w:p>
      <w:pPr>
        <w:numPr>
          <w:ilvl w:val="-1"/>
          <w:numId w:val="0"/>
        </w:numPr>
        <w:ind w:left="420" w:firstLine="48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eastAsia="宋体" w:cs="宋体"/>
          <w:color w:val="auto"/>
          <w:sz w:val="24"/>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color w:val="auto"/>
          <w:sz w:val="24"/>
          <w:highlight w:val="none"/>
          <w:lang w:eastAsia="zh-CN"/>
        </w:rPr>
        <w:t xml:space="preserve">磋商小组</w:t>
      </w:r>
      <w:r>
        <w:rPr>
          <w:rFonts w:hint="eastAsia" w:ascii="宋体" w:hAnsi="宋体" w:eastAsia="宋体" w:cs="宋体"/>
          <w:color w:val="auto"/>
          <w:sz w:val="24"/>
          <w:highlight w:val="none"/>
        </w:rPr>
        <w:t xml:space="preserve">有关互联网浏览、查询历史一并归档。</w:t>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color w:val="auto"/>
          <w:sz w:val="24"/>
          <w:highlight w:val="none"/>
        </w:rPr>
        <w:t xml:space="preserve">磋商文件能够详细列明采购标的的技术、服务要求的，磋商结束后，磋商小组应当要求所有实质</w:t>
      </w:r>
      <w:r>
        <w:rPr>
          <w:rFonts w:hint="eastAsia" w:ascii="宋体" w:hAnsi="宋体" w:cs="宋体"/>
          <w:color w:val="auto"/>
          <w:sz w:val="24"/>
          <w:highlight w:val="none"/>
        </w:rPr>
        <w:t xml:space="preserve">性响应的供应商在规定时间内提交最终报价，提交最终报价的供应商不得少于3家。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终报价。市场竞争不充分的科研项目，以及需要扶持的科技成果转化项目，提交最终报价的供应商可以为2家；政府购买服务项目（含政府和社会资本合作项目），在采购过程中符合要求的供应商（社会资本）只有2家的，竞争性磋商采购活动可以继续进行。</w:t>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color w:val="auto"/>
          <w:sz w:val="24"/>
          <w:highlight w:val="none"/>
        </w:rPr>
        <w:t xml:space="preserve">最终报价是供应商响应文件的有效组成部分。</w:t>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color w:val="auto"/>
          <w:sz w:val="24"/>
          <w:highlight w:val="none"/>
        </w:rPr>
        <w:t xml:space="preserve">已提交响应文件的供应商，在提交最终报价之前，可以根据磋商情况退出磋商。</w:t>
      </w:r>
      <w:r/>
    </w:p>
    <w:p>
      <w:pPr>
        <w:numPr>
          <w:ilvl w:val="0"/>
          <w:numId w:val="10"/>
        </w:numPr>
        <w:spacing w:line="360" w:lineRule="auto"/>
        <w:tabs>
          <w:tab w:val="left" w:pos="360" w:leader="none"/>
        </w:tabs>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最终报价的算术修正及政策调整</w:t>
      </w:r>
      <w:r/>
    </w:p>
    <w:p>
      <w:pPr>
        <w:numPr>
          <w:ilvl w:val="1"/>
          <w:numId w:val="10"/>
        </w:numPr>
        <w:ind w:left="1140" w:hanging="72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最终报价须包含竞争性磋商文件全部内容，如最后分项报价表有缺漏视为已含在其他各项报价中，将不对最终报价总价进行调整。磋商小组有权要求供应商在评审现场合理的时间内对此进行书面确认，供应商不确认的，视为将一个采购包中的内容拆开响应，其</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color w:val="auto"/>
          <w:sz w:val="24"/>
          <w:highlight w:val="none"/>
        </w:rPr>
        <w:t xml:space="preserve">最终报价出现前后不一致的，按照下列规定修正：</w:t>
      </w:r>
      <w:r/>
    </w:p>
    <w:p>
      <w:pPr>
        <w:numPr>
          <w:ilvl w:val="2"/>
          <w:numId w:val="10"/>
        </w:numPr>
        <w:ind w:left="2035"/>
        <w:spacing w:line="360" w:lineRule="auto"/>
        <w:tabs>
          <w:tab w:val="left" w:pos="1080"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竞争性磋商文件对于报价修正是否另有规定：</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□有，具体规定为：______/_____</w:t>
      </w:r>
      <w:r/>
    </w:p>
    <w:p>
      <w:pPr>
        <w:ind w:left="2035"/>
        <w:spacing w:line="360" w:lineRule="auto"/>
        <w:tabs>
          <w:tab w:val="left" w:pos="1080"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highlight w:val="none"/>
        </w:rPr>
        <w:t xml:space="preserve">■</w:t>
      </w:r>
      <w:r>
        <w:rPr>
          <w:rFonts w:hint="eastAsia" w:ascii="宋体" w:hAnsi="宋体" w:cs="宋体"/>
          <w:color w:val="auto"/>
          <w:sz w:val="24"/>
          <w:highlight w:val="none"/>
        </w:rPr>
        <w:t xml:space="preserve">无，按下述3.2.2-3.2.5项规定修正。</w:t>
      </w:r>
      <w:r/>
    </w:p>
    <w:p>
      <w:pPr>
        <w:numPr>
          <w:ilvl w:val="2"/>
          <w:numId w:val="10"/>
        </w:numPr>
        <w:ind w:left="2035"/>
        <w:spacing w:line="360" w:lineRule="auto"/>
        <w:tabs>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大写金额和小写金额不一致的，以大写金额为准；</w:t>
      </w:r>
      <w:r/>
    </w:p>
    <w:p>
      <w:pPr>
        <w:numPr>
          <w:ilvl w:val="2"/>
          <w:numId w:val="10"/>
        </w:numPr>
        <w:ind w:left="2035"/>
        <w:spacing w:line="360" w:lineRule="auto"/>
        <w:tabs>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单价金额小数点或者百分比有明显错位的，以最终报价一览表的总价为准，并修改单价；</w:t>
      </w:r>
      <w:r/>
    </w:p>
    <w:p>
      <w:pPr>
        <w:numPr>
          <w:ilvl w:val="2"/>
          <w:numId w:val="10"/>
        </w:numPr>
        <w:ind w:left="2035"/>
        <w:spacing w:line="360" w:lineRule="auto"/>
        <w:tabs>
          <w:tab w:val="left" w:pos="2035" w:leader="none"/>
          <w:tab w:val="left" w:pos="2114" w:leader="none"/>
          <w:tab w:val="left" w:pos="2977" w:leader="none"/>
        </w:tabs>
        <w:rPr>
          <w:rFonts w:hint="eastAsia" w:ascii="宋体" w:hAnsi="宋体" w:cs="宋体"/>
          <w:color w:val="auto"/>
          <w:sz w:val="24"/>
          <w:highlight w:val="none"/>
        </w:rPr>
      </w:pPr>
      <w:r>
        <w:rPr>
          <w:rFonts w:hint="eastAsia" w:ascii="宋体" w:hAnsi="宋体" w:cs="宋体"/>
          <w:color w:val="auto"/>
          <w:sz w:val="24"/>
          <w:highlight w:val="none"/>
        </w:rPr>
        <w:t xml:space="preserve">总价金额与按单价汇总金额不一致的，以单价金额计算结果为准。</w:t>
      </w:r>
      <w:r/>
    </w:p>
    <w:p>
      <w:pPr>
        <w:numPr>
          <w:ilvl w:val="2"/>
          <w:numId w:val="10"/>
        </w:numPr>
        <w:ind w:left="2035"/>
        <w:spacing w:line="360" w:lineRule="auto"/>
        <w:tabs>
          <w:tab w:val="left" w:pos="1080" w:leader="none"/>
          <w:tab w:val="left" w:pos="1589" w:leader="none"/>
          <w:tab w:val="left" w:pos="2035" w:leader="none"/>
          <w:tab w:val="left" w:pos="2114" w:leader="none"/>
        </w:tabs>
        <w:rPr>
          <w:rFonts w:hint="eastAsia" w:ascii="宋体" w:hAnsi="宋体" w:cs="宋体"/>
          <w:color w:val="auto"/>
          <w:sz w:val="24"/>
          <w:highlight w:val="none"/>
        </w:rPr>
      </w:pPr>
      <w:r>
        <w:rPr>
          <w:rFonts w:hint="eastAsia" w:ascii="宋体" w:hAnsi="宋体" w:cs="宋体"/>
          <w:color w:val="auto"/>
          <w:sz w:val="24"/>
          <w:highlight w:val="none"/>
        </w:rPr>
        <w:t xml:space="preserve">同时出现两种以上不一致的，按照前款规定的顺序修正。修正后的报价经供应商书面确认后产生约束力，供应商不确认的，</w:t>
      </w:r>
      <w:r>
        <w:rPr>
          <w:rFonts w:hint="eastAsia" w:ascii="宋体" w:hAnsi="宋体" w:cs="宋体"/>
          <w:b/>
          <w:color w:val="auto"/>
          <w:sz w:val="24"/>
          <w:highlight w:val="none"/>
        </w:rPr>
        <w:t xml:space="preserve">其响应无效</w:t>
      </w:r>
      <w:r>
        <w:rPr>
          <w:rFonts w:hint="eastAsia" w:ascii="宋体" w:hAnsi="宋体" w:cs="宋体"/>
          <w:color w:val="auto"/>
          <w:sz w:val="24"/>
          <w:highlight w:val="none"/>
        </w:rPr>
        <w:t xml:space="preserve">。</w:t>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color w:val="auto"/>
          <w:sz w:val="24"/>
          <w:highlight w:val="none"/>
        </w:rPr>
        <w:t xml:space="preserve">落实政府采购政策的价格调整：只有符合第二章《供应商须知》4.2条规定情形的，可以享受中小企业扶持政策，用扣除后的价格参加评审；否则，评审时价格不予扣除。</w:t>
      </w:r>
      <w:r/>
    </w:p>
    <w:p>
      <w:pPr>
        <w:numPr>
          <w:ilvl w:val="2"/>
          <w:numId w:val="10"/>
        </w:num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对于未预留份额专门面向中小企业采购的采购项目，以及预留份额项目中的非预留部分采购包，对</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报价给予20%的扣除，用扣除后的价格参加评审。</w:t>
      </w:r>
      <w:r/>
    </w:p>
    <w:p>
      <w:pPr>
        <w:numPr>
          <w:ilvl w:val="2"/>
          <w:numId w:val="10"/>
        </w:numPr>
        <w:spacing w:line="360" w:lineRule="auto"/>
        <w:tabs>
          <w:tab w:val="clear"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对于未预留份额专门面向中小企业采购的采购项目，以及预留份额项目中的非预留部分采购包，且接受大中型企业与</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组成联合体或者允许大中型企业向一家或者多家</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分包的采购项目，对于联合协议或者分包意向协议约定</w:t>
      </w:r>
      <w:r>
        <w:rPr>
          <w:rFonts w:hint="eastAsia" w:ascii="宋体" w:hAnsi="宋体" w:cs="宋体"/>
          <w:b/>
          <w:color w:val="auto"/>
          <w:sz w:val="24"/>
          <w:highlight w:val="none"/>
        </w:rPr>
        <w:t xml:space="preserve">小微企业</w:t>
      </w:r>
      <w:r>
        <w:rPr>
          <w:rFonts w:hint="eastAsia" w:ascii="宋体" w:hAnsi="宋体" w:cs="宋体"/>
          <w:color w:val="auto"/>
          <w:sz w:val="24"/>
          <w:highlight w:val="none"/>
        </w:rPr>
        <w:t xml:space="preserve">的合同份额占到合同总金额 30%以上的联合体或者大中型企业的报价给予3%的扣除，用扣除后的价格参加评审。</w:t>
      </w:r>
      <w:r/>
    </w:p>
    <w:p>
      <w:pPr>
        <w:numPr>
          <w:ilvl w:val="2"/>
          <w:numId w:val="10"/>
        </w:numPr>
        <w:ind w:left="2035"/>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组成联合体或者接受分包的小微企业与联合体内其他企业、分包企业之间存在直接控股、管理关系的，不享受价格扣除优惠政策。</w:t>
      </w:r>
      <w:r/>
    </w:p>
    <w:p>
      <w:pPr>
        <w:numPr>
          <w:ilvl w:val="2"/>
          <w:numId w:val="10"/>
        </w:numPr>
        <w:ind w:left="2035"/>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价格扣除比例对小型企业和微型企业同等对待，不作区分。</w:t>
      </w:r>
      <w:r/>
    </w:p>
    <w:p>
      <w:pPr>
        <w:numPr>
          <w:ilvl w:val="2"/>
          <w:numId w:val="10"/>
        </w:numPr>
        <w:ind w:left="2035"/>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中小企业参加政府采购活动，应当按照竞争性磋商文件给定的格式出具《中小企业声明函》，否则不得享受相关中小企业扶持政策。</w:t>
      </w:r>
      <w:r/>
    </w:p>
    <w:p>
      <w:pPr>
        <w:numPr>
          <w:ilvl w:val="2"/>
          <w:numId w:val="10"/>
        </w:numPr>
        <w:ind w:left="2035"/>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监狱企业提供了由省级以上监狱管理局（常州市含教育矫治局）、戒毒管理局（含新疆生产建设兵团）出具的属于监狱企业的证明文件的，视同小微企业。</w:t>
      </w:r>
      <w:r/>
    </w:p>
    <w:p>
      <w:pPr>
        <w:numPr>
          <w:ilvl w:val="2"/>
          <w:numId w:val="10"/>
        </w:numPr>
        <w:ind w:left="2035"/>
        <w:spacing w:line="360" w:lineRule="auto"/>
        <w:tabs>
          <w:tab w:val="left" w:pos="1080" w:leader="none"/>
          <w:tab w:val="left" w:pos="1589" w:leader="none"/>
          <w:tab w:val="left" w:pos="2035" w:leader="none"/>
        </w:tabs>
        <w:rPr>
          <w:rFonts w:hint="eastAsia" w:ascii="宋体" w:hAnsi="宋体" w:cs="宋体"/>
          <w:color w:val="auto"/>
          <w:sz w:val="24"/>
          <w:highlight w:val="none"/>
        </w:rPr>
      </w:pPr>
      <w:r>
        <w:rPr>
          <w:rFonts w:hint="eastAsia" w:ascii="宋体" w:hAnsi="宋体" w:cs="宋体"/>
          <w:color w:val="auto"/>
          <w:sz w:val="24"/>
          <w:highlight w:val="none"/>
        </w:rPr>
        <w:t xml:space="preserve">残疾人福利性单位按竞争性磋商文件要求提供了《残疾人福利性单位声明函》（见附件）的，视同小微企业。</w:t>
      </w:r>
      <w:r/>
    </w:p>
    <w:p>
      <w:pPr>
        <w:numPr>
          <w:ilvl w:val="2"/>
          <w:numId w:val="10"/>
        </w:numPr>
        <w:ind w:left="2035"/>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若供应商同时属于小型或微型企业、监狱企业、残疾人福利性单位中的两种及以上，将不重复享受小微企业价格扣减的优惠政策。</w:t>
      </w:r>
      <w:r/>
    </w:p>
    <w:p>
      <w:pPr>
        <w:numPr>
          <w:ilvl w:val="2"/>
          <w:numId w:val="10"/>
        </w:numPr>
        <w:ind w:left="2035"/>
        <w:spacing w:line="360" w:lineRule="auto"/>
        <w:tabs>
          <w:tab w:val="left" w:pos="1080" w:leader="none"/>
          <w:tab w:val="left" w:pos="1589" w:leader="none"/>
          <w:tab w:val="left" w:pos="2014" w:leader="none"/>
        </w:tabs>
        <w:rPr>
          <w:rFonts w:hint="eastAsia" w:ascii="宋体" w:hAnsi="宋体" w:cs="宋体"/>
          <w:color w:val="auto"/>
          <w:sz w:val="24"/>
          <w:highlight w:val="none"/>
        </w:rPr>
      </w:pPr>
      <w:r>
        <w:rPr>
          <w:rFonts w:hint="eastAsia" w:ascii="宋体" w:hAnsi="宋体" w:cs="宋体"/>
          <w:color w:val="auto"/>
          <w:sz w:val="24"/>
          <w:highlight w:val="none"/>
        </w:rPr>
        <w:t xml:space="preserve">其他为落实政府采购政策实施的优先采购：___/___。</w:t>
      </w:r>
      <w:r/>
    </w:p>
    <w:p>
      <w:pPr>
        <w:numPr>
          <w:ilvl w:val="1"/>
          <w:numId w:val="10"/>
        </w:numPr>
        <w:ind w:left="1140" w:hanging="720"/>
        <w:spacing w:line="360" w:lineRule="auto"/>
        <w:tabs>
          <w:tab w:val="left" w:pos="1080" w:leader="none"/>
          <w:tab w:val="left" w:pos="1872" w:leader="none"/>
        </w:tabs>
        <w:rPr>
          <w:rFonts w:hint="eastAsia" w:ascii="宋体" w:hAnsi="宋体" w:eastAsia="宋体" w:cs="宋体"/>
          <w:b/>
          <w:bCs/>
          <w:color w:val="auto"/>
          <w:sz w:val="24"/>
          <w:highlight w:val="none"/>
          <w:u w:val="none"/>
        </w:rPr>
      </w:pPr>
      <w:r>
        <w:rPr>
          <w:rFonts w:hint="eastAsia" w:ascii="宋体" w:hAnsi="宋体" w:eastAsia="宋体" w:cs="宋体"/>
          <w:b/>
          <w:bCs/>
          <w:color w:val="auto"/>
          <w:sz w:val="24"/>
          <w:highlight w:val="none"/>
          <w:u w:val="none"/>
        </w:rPr>
        <w:t xml:space="preserve">采购本国产品的支持政策</w:t>
      </w:r>
      <w:r/>
    </w:p>
    <w:p>
      <w:pPr>
        <w:numPr>
          <w:ilvl w:val="2"/>
          <w:numId w:val="10"/>
        </w:numPr>
        <w:ind w:left="1895" w:hanging="837"/>
        <w:spacing w:line="360" w:lineRule="auto"/>
        <w:tabs>
          <w:tab w:val="clear" w:pos="1980" w:leader="none"/>
        </w:tabs>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本项目政府采购活动中既有本国产品又有非本国产品参与竞争的，依法对本国产品给予价格评审优惠，对本国产品的报价给予20%的价格扣除，用扣除后的价格参与评审。</w:t>
      </w:r>
      <w:r/>
    </w:p>
    <w:p>
      <w:pPr>
        <w:numPr>
          <w:ilvl w:val="2"/>
          <w:numId w:val="10"/>
        </w:numPr>
        <w:ind w:left="1895" w:hanging="837"/>
        <w:spacing w:line="360" w:lineRule="auto"/>
        <w:tabs>
          <w:tab w:val="clear" w:pos="1980" w:leader="none"/>
        </w:tabs>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当采购项目或者采购包中含有多种产品，</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为该采购项目或者采购包提供的符合本国产品标准的产品成本之和占该</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提供的全部产品成本之和的比例达到80%以上时</w:t>
      </w:r>
      <w:r>
        <w:rPr>
          <w:rFonts w:hint="eastAsia" w:ascii="宋体" w:hAnsi="宋体" w:eastAsia="宋体" w:cs="宋体"/>
          <w:b w:val="0"/>
          <w:bCs w:val="0"/>
          <w:color w:val="auto"/>
          <w:sz w:val="24"/>
          <w:highlight w:val="none"/>
          <w:u w:val="none"/>
        </w:rPr>
        <w:t xml:space="preserve">（</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b w:val="0"/>
          <w:bCs w:val="0"/>
          <w:color w:val="auto"/>
          <w:sz w:val="24"/>
          <w:highlight w:val="none"/>
          <w:u w:val="none"/>
        </w:rPr>
        <w:t xml:space="preserve">需在“</w:t>
      </w:r>
      <w:r>
        <w:rPr>
          <w:rFonts w:hint="eastAsia" w:ascii="宋体" w:hAnsi="宋体" w:eastAsia="宋体" w:cs="宋体"/>
          <w:b w:val="0"/>
          <w:bCs w:val="0"/>
          <w:color w:val="auto"/>
          <w:sz w:val="24"/>
          <w:highlight w:val="none"/>
          <w:u w:val="none"/>
          <w:lang w:eastAsia="zh-CN"/>
        </w:rPr>
        <w:t xml:space="preserve">响应</w:t>
      </w:r>
      <w:r>
        <w:rPr>
          <w:rFonts w:hint="eastAsia" w:ascii="宋体" w:hAnsi="宋体" w:eastAsia="宋体" w:cs="宋体"/>
          <w:b w:val="0"/>
          <w:bCs w:val="0"/>
          <w:color w:val="auto"/>
          <w:sz w:val="24"/>
          <w:highlight w:val="none"/>
          <w:u w:val="none"/>
        </w:rPr>
        <w:t xml:space="preserve">文件格式”的“分项报价表”中填写比例数值）</w:t>
      </w:r>
      <w:r>
        <w:rPr>
          <w:rFonts w:hint="eastAsia" w:ascii="宋体" w:hAnsi="宋体" w:eastAsia="宋体" w:cs="宋体"/>
          <w:color w:val="auto"/>
          <w:sz w:val="24"/>
          <w:highlight w:val="none"/>
          <w:u w:val="none"/>
        </w:rPr>
        <w:t xml:space="preserve">，依法对该</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提供的全部产品给予价格评审优惠，即对该</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提供的全部产品的总报价给予20%的价格扣除，用扣除后的价格参与评审。</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未填写比例数值，或比例数值未达到80%的，将不享受本国产品价格评审优惠。</w:t>
      </w:r>
      <w:r/>
    </w:p>
    <w:p>
      <w:pPr>
        <w:numPr>
          <w:ilvl w:val="2"/>
          <w:numId w:val="10"/>
        </w:numPr>
        <w:ind w:left="1895" w:hanging="837"/>
        <w:spacing w:line="360" w:lineRule="auto"/>
        <w:tabs>
          <w:tab w:val="clear" w:pos="1980" w:leader="none"/>
        </w:tabs>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需按照</w:t>
      </w:r>
      <w:r>
        <w:rPr>
          <w:rFonts w:hint="eastAsia" w:ascii="宋体" w:hAnsi="宋体" w:eastAsia="宋体" w:cs="宋体"/>
          <w:color w:val="auto"/>
          <w:sz w:val="24"/>
          <w:highlight w:val="none"/>
          <w:u w:val="none"/>
          <w:lang w:val="en-US" w:eastAsia="zh-CN"/>
        </w:rPr>
        <w:t xml:space="preserve">磋商</w:t>
      </w:r>
      <w:r>
        <w:rPr>
          <w:rFonts w:hint="eastAsia" w:ascii="宋体" w:hAnsi="宋体" w:eastAsia="宋体" w:cs="宋体"/>
          <w:color w:val="auto"/>
          <w:sz w:val="24"/>
          <w:highlight w:val="none"/>
          <w:u w:val="none"/>
        </w:rPr>
        <w:t xml:space="preserve">文件的要求提供《关于符合本国产品标准的声明函》（以下简称《声明函》），如不提供将不享受本国产品价格评审优惠。</w:t>
      </w:r>
      <w:r/>
    </w:p>
    <w:p>
      <w:pPr>
        <w:numPr>
          <w:ilvl w:val="2"/>
          <w:numId w:val="10"/>
        </w:numPr>
        <w:ind w:left="1895" w:hanging="837"/>
        <w:spacing w:line="360" w:lineRule="auto"/>
        <w:tabs>
          <w:tab w:val="clear" w:pos="1980" w:leader="none"/>
        </w:tabs>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需在《声明函》中逐一、准确填写产品名称、厂名、生产厂址三项信息（《声明函》中用删除线划除的地方无需填写），三项信息中任意一项未填写的视为该项产品不符合本国产品标准，不享受本国产品价格评审优惠。</w:t>
      </w:r>
      <w:r/>
    </w:p>
    <w:p>
      <w:pPr>
        <w:numPr>
          <w:ilvl w:val="2"/>
          <w:numId w:val="10"/>
        </w:numPr>
        <w:ind w:left="1895" w:hanging="837"/>
        <w:spacing w:line="360" w:lineRule="auto"/>
        <w:tabs>
          <w:tab w:val="clear" w:pos="1980" w:leader="none"/>
        </w:tabs>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评标过程中，如发现</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在《声明函》内容含义不明确、同类事项与投标（响应）文件表述不一致或者有明显文字错误等情况的，</w:t>
      </w:r>
      <w:r>
        <w:rPr>
          <w:rFonts w:hint="eastAsia" w:ascii="宋体" w:hAnsi="宋体" w:eastAsia="宋体" w:cs="宋体"/>
          <w:color w:val="auto"/>
          <w:sz w:val="24"/>
          <w:highlight w:val="none"/>
          <w:u w:val="none"/>
          <w:lang w:val="en-US" w:eastAsia="zh-CN"/>
        </w:rPr>
        <w:t xml:space="preserve">磋商小组</w:t>
      </w:r>
      <w:r>
        <w:rPr>
          <w:rFonts w:hint="eastAsia" w:ascii="宋体" w:hAnsi="宋体" w:eastAsia="宋体" w:cs="宋体"/>
          <w:color w:val="auto"/>
          <w:sz w:val="24"/>
          <w:highlight w:val="none"/>
          <w:u w:val="none"/>
        </w:rPr>
        <w:t xml:space="preserve">应当以书面形式要求</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作出必要的澄清、说明或者补正。经澄清、说明或者补正的《声明函》仍然不符合《国务院办公厅关于在政府采购中实施本国产品标准及相关政策的通知》（国办发〔2025〕34号）和</w:t>
      </w:r>
      <w:r>
        <w:rPr>
          <w:rFonts w:hint="eastAsia" w:ascii="宋体" w:hAnsi="宋体" w:eastAsia="宋体" w:cs="宋体"/>
          <w:color w:val="auto"/>
          <w:sz w:val="24"/>
          <w:highlight w:val="none"/>
          <w:u w:val="none"/>
          <w:lang w:val="en-US" w:eastAsia="zh-CN"/>
        </w:rPr>
        <w:t xml:space="preserve">磋商</w:t>
      </w:r>
      <w:r>
        <w:rPr>
          <w:rFonts w:hint="eastAsia" w:ascii="宋体" w:hAnsi="宋体" w:eastAsia="宋体" w:cs="宋体"/>
          <w:color w:val="auto"/>
          <w:sz w:val="24"/>
          <w:highlight w:val="none"/>
          <w:u w:val="none"/>
        </w:rPr>
        <w:t xml:space="preserve">文件规定的，</w:t>
      </w:r>
      <w:r>
        <w:rPr>
          <w:rFonts w:hint="eastAsia" w:ascii="宋体" w:hAnsi="宋体" w:eastAsia="宋体" w:cs="宋体"/>
          <w:color w:val="auto"/>
          <w:sz w:val="24"/>
          <w:highlight w:val="none"/>
          <w:u w:val="none"/>
          <w:lang w:val="en-US" w:eastAsia="zh-CN"/>
        </w:rPr>
        <w:t xml:space="preserve">供应商</w:t>
      </w:r>
      <w:r>
        <w:rPr>
          <w:rFonts w:hint="eastAsia" w:ascii="宋体" w:hAnsi="宋体" w:eastAsia="宋体" w:cs="宋体"/>
          <w:color w:val="auto"/>
          <w:sz w:val="24"/>
          <w:highlight w:val="none"/>
          <w:u w:val="none"/>
        </w:rPr>
        <w:t xml:space="preserve">提供的相关产品视为不符合本国产品标准。</w:t>
      </w:r>
      <w:r/>
    </w:p>
    <w:p>
      <w:pPr>
        <w:numPr>
          <w:ilvl w:val="2"/>
          <w:numId w:val="10"/>
        </w:numPr>
        <w:ind w:left="1895" w:hanging="837"/>
        <w:spacing w:line="360" w:lineRule="auto"/>
        <w:tabs>
          <w:tab w:val="clear" w:pos="1980" w:leader="none"/>
        </w:tabs>
        <w:rPr>
          <w:rFonts w:hint="eastAsia" w:ascii="宋体" w:hAnsi="宋体" w:eastAsia="宋体" w:cs="宋体"/>
          <w:color w:val="auto"/>
          <w:sz w:val="24"/>
          <w:highlight w:val="none"/>
          <w:u w:val="none"/>
        </w:rPr>
      </w:pPr>
      <w:r>
        <w:rPr>
          <w:rFonts w:hint="eastAsia" w:ascii="宋体" w:hAnsi="宋体" w:eastAsia="宋体" w:cs="宋体"/>
          <w:color w:val="auto"/>
          <w:sz w:val="24"/>
          <w:highlight w:val="none"/>
          <w:u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numPr>
          <w:ilvl w:val="2"/>
          <w:numId w:val="10"/>
        </w:numPr>
        <w:ind w:left="1895" w:hanging="837"/>
        <w:spacing w:line="360" w:lineRule="auto"/>
        <w:tabs>
          <w:tab w:val="clear" w:pos="1980" w:leader="none"/>
        </w:tabs>
        <w:rPr>
          <w:rFonts w:hint="eastAsia" w:ascii="宋体" w:hAnsi="宋体" w:cs="宋体"/>
          <w:color w:val="auto"/>
          <w:sz w:val="24"/>
          <w:highlight w:val="none"/>
        </w:rPr>
      </w:pPr>
      <w:r>
        <w:rPr>
          <w:rFonts w:hint="eastAsia" w:ascii="宋体" w:hAnsi="宋体" w:eastAsia="宋体" w:cs="宋体"/>
          <w:color w:val="auto"/>
          <w:sz w:val="24"/>
          <w:highlight w:val="none"/>
          <w:u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numPr>
          <w:ilvl w:val="0"/>
          <w:numId w:val="10"/>
        </w:numPr>
        <w:spacing w:line="360" w:lineRule="auto"/>
        <w:tabs>
          <w:tab w:val="left" w:pos="360" w:leader="none"/>
        </w:tabs>
        <w:rPr>
          <w:rFonts w:hint="eastAsia" w:ascii="宋体" w:hAnsi="宋体" w:cs="宋体"/>
          <w:color w:val="auto"/>
          <w:sz w:val="24"/>
          <w:highlight w:val="none"/>
        </w:rPr>
        <w:outlineLvl w:val="2"/>
      </w:pPr>
      <w:r>
        <w:rPr>
          <w:rFonts w:hint="eastAsia" w:ascii="宋体" w:hAnsi="宋体" w:cs="宋体"/>
          <w:b/>
          <w:bCs/>
          <w:color w:val="auto"/>
          <w:sz w:val="24"/>
          <w:highlight w:val="none"/>
        </w:rPr>
        <w:t xml:space="preserve">磋商环节及提交最终报价后如出现以下情况的</w:t>
      </w:r>
      <w:r>
        <w:rPr>
          <w:rFonts w:hint="eastAsia" w:ascii="宋体" w:hAnsi="宋体" w:cs="宋体"/>
          <w:color w:val="auto"/>
          <w:sz w:val="24"/>
          <w:highlight w:val="none"/>
        </w:rPr>
        <w:t xml:space="preserve">，供应商的</w:t>
      </w:r>
      <w:r>
        <w:rPr>
          <w:rFonts w:hint="eastAsia" w:ascii="宋体" w:hAnsi="宋体" w:cs="宋体"/>
          <w:b/>
          <w:color w:val="auto"/>
          <w:sz w:val="24"/>
          <w:highlight w:val="none"/>
        </w:rPr>
        <w:t xml:space="preserve">响应文件无效</w:t>
      </w:r>
      <w:r>
        <w:rPr>
          <w:rFonts w:hint="eastAsia" w:ascii="宋体" w:hAnsi="宋体" w:cs="宋体"/>
          <w:color w:val="auto"/>
          <w:sz w:val="24"/>
          <w:highlight w:val="none"/>
        </w:rPr>
        <w:t xml:space="preserve">：</w:t>
      </w:r>
      <w:r/>
    </w:p>
    <w:p>
      <w:pPr>
        <w:numPr>
          <w:ilvl w:val="1"/>
          <w:numId w:val="10"/>
        </w:numPr>
        <w:ind w:left="1140" w:hanging="72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供应商对实质性变动不予确认的；</w:t>
      </w:r>
      <w:r/>
    </w:p>
    <w:p>
      <w:pPr>
        <w:numPr>
          <w:ilvl w:val="1"/>
          <w:numId w:val="10"/>
        </w:numPr>
        <w:ind w:left="1140" w:hanging="72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不满足磋商文件★号条款或磋商文件技术指标超出磋商文件《采购需求》中主要技术参数允许偏差的最大范围的（如有）；</w:t>
      </w:r>
      <w:r/>
    </w:p>
    <w:p>
      <w:pPr>
        <w:numPr>
          <w:ilvl w:val="1"/>
          <w:numId w:val="10"/>
        </w:numPr>
        <w:ind w:left="1140" w:hanging="72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未按照磋商小组规定的时间、逾期提交最终报价的；</w:t>
      </w:r>
      <w:r/>
    </w:p>
    <w:p>
      <w:pPr>
        <w:numPr>
          <w:ilvl w:val="1"/>
          <w:numId w:val="10"/>
        </w:numPr>
        <w:ind w:left="1140" w:hanging="72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如供应商的最终报价超过竞争性磋商文件中规定的项目/采购包预算金额或者项目/采购包最高限价的；</w:t>
      </w:r>
      <w:r/>
    </w:p>
    <w:p>
      <w:pPr>
        <w:numPr>
          <w:ilvl w:val="1"/>
          <w:numId w:val="10"/>
        </w:numPr>
        <w:ind w:left="1140" w:hanging="72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响应文件中出现可选择性或可调整的报价的（竞争性磋商文件另有规定的除外）；</w:t>
      </w:r>
      <w:r/>
    </w:p>
    <w:p>
      <w:pPr>
        <w:numPr>
          <w:ilvl w:val="1"/>
          <w:numId w:val="10"/>
        </w:numPr>
        <w:ind w:left="1140" w:hanging="72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最终报价出现前后不一致，供应商对修正后的报价不予确认的；</w:t>
      </w:r>
      <w:r/>
    </w:p>
    <w:p>
      <w:pPr>
        <w:numPr>
          <w:ilvl w:val="1"/>
          <w:numId w:val="10"/>
        </w:numPr>
        <w:ind w:left="1140" w:hanging="720"/>
        <w:spacing w:line="360" w:lineRule="auto"/>
        <w:tabs>
          <w:tab w:val="left" w:pos="108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其他：___/___。</w:t>
      </w:r>
      <w:bookmarkEnd w:id="505"/>
      <w:r/>
      <w:bookmarkEnd w:id="506"/>
      <w:r/>
      <w:r/>
    </w:p>
    <w:p>
      <w:pPr>
        <w:numPr>
          <w:ilvl w:val="0"/>
          <w:numId w:val="10"/>
        </w:numPr>
        <w:spacing w:line="360" w:lineRule="auto"/>
        <w:tabs>
          <w:tab w:val="left" w:pos="360" w:leader="none"/>
        </w:tabs>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评审方法和评审标准</w:t>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color w:val="auto"/>
          <w:sz w:val="24"/>
          <w:highlight w:val="none"/>
        </w:rPr>
        <w:t xml:space="preserve">本项目采用的评审方法为：本项目的评审采用综合评分法。综合评分法，是指响应文件满足磋商文件全部实质性要求且按评审因素的量化指标评审得分最高的供应商为成交候选供应商的评审方法。  </w:t>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color w:val="auto"/>
          <w:sz w:val="24"/>
          <w:highlight w:val="none"/>
        </w:rPr>
        <w:t xml:space="preserve">竞争性磋商文件中没有规定的评审标准不得作为评审依据。</w:t>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color w:val="auto"/>
          <w:sz w:val="24"/>
          <w:highlight w:val="none"/>
        </w:rPr>
        <w:t xml:space="preserve">非政府强制采购的节能产品或环境标志产品，依据品目清单和认证证书实施政府优先采购。优先采购的具体规定（如涉及）____/__。</w:t>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color w:val="auto"/>
          <w:sz w:val="24"/>
          <w:highlight w:val="none"/>
        </w:rPr>
        <w:t xml:space="preserve">关于无线局域网认证产品政府采购清单中的产品，优先采购的具体规定（如涉及）____/__。</w:t>
      </w:r>
      <w:r/>
    </w:p>
    <w:p>
      <w:pPr>
        <w:numPr>
          <w:ilvl w:val="0"/>
          <w:numId w:val="10"/>
        </w:numPr>
        <w:spacing w:line="360" w:lineRule="auto"/>
        <w:tabs>
          <w:tab w:val="left" w:pos="360" w:leader="none"/>
        </w:tabs>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确定</w:t>
      </w:r>
      <w:bookmarkStart w:id="522" w:name="_Toc142311048"/>
      <w:r/>
      <w:bookmarkStart w:id="523" w:name="_Toc226309790"/>
      <w:r/>
      <w:bookmarkStart w:id="524" w:name="_Toc151193716"/>
      <w:r/>
      <w:bookmarkStart w:id="525" w:name="_Toc151193644"/>
      <w:r/>
      <w:bookmarkStart w:id="526" w:name="_Toc151193788"/>
      <w:r/>
      <w:bookmarkStart w:id="527" w:name="_Toc150509297"/>
      <w:r/>
      <w:bookmarkStart w:id="528" w:name="_Toc520356170"/>
      <w:r/>
      <w:bookmarkStart w:id="529" w:name="_Toc149720839"/>
      <w:r/>
      <w:bookmarkStart w:id="530" w:name="_Toc151193934"/>
      <w:r/>
      <w:bookmarkStart w:id="531" w:name="_Toc164608815"/>
      <w:r/>
      <w:bookmarkStart w:id="532" w:name="_Toc265228384"/>
      <w:r/>
      <w:bookmarkStart w:id="533" w:name="_Toc127151546"/>
      <w:r/>
      <w:bookmarkStart w:id="534" w:name="_Toc226337242"/>
      <w:r/>
      <w:bookmarkStart w:id="535" w:name="_Toc127161460"/>
      <w:r/>
      <w:bookmarkStart w:id="536" w:name="_Toc150774646"/>
      <w:r/>
      <w:bookmarkStart w:id="537" w:name="_Toc164229387"/>
      <w:r/>
      <w:bookmarkStart w:id="538" w:name="_Toc195842911"/>
      <w:r/>
      <w:bookmarkStart w:id="539" w:name="_Toc164608660"/>
      <w:r/>
      <w:bookmarkStart w:id="540" w:name="_Toc226965819"/>
      <w:r/>
      <w:bookmarkStart w:id="541" w:name="_Toc264969236"/>
      <w:r/>
      <w:bookmarkStart w:id="542" w:name="_Toc127151747"/>
      <w:r/>
      <w:bookmarkStart w:id="543" w:name="_Toc164351640"/>
      <w:r/>
      <w:bookmarkStart w:id="544" w:name="_Toc150774751"/>
      <w:r/>
      <w:bookmarkStart w:id="545" w:name="_Toc305158814"/>
      <w:r/>
      <w:bookmarkStart w:id="546" w:name="_Toc226965736"/>
      <w:r/>
      <w:bookmarkStart w:id="547" w:name="_Toc151190173"/>
      <w:r/>
      <w:bookmarkStart w:id="548" w:name="_Toc151193860"/>
      <w:r/>
      <w:bookmarkStart w:id="549" w:name="_Toc164229241"/>
      <w:r/>
      <w:bookmarkStart w:id="550" w:name="_Toc150480784"/>
      <w:r/>
      <w:bookmarkStart w:id="551" w:name="_Toc305158888"/>
      <w:r/>
      <w:bookmarkStart w:id="552" w:name="_Ref467307010"/>
      <w:r>
        <w:rPr>
          <w:rFonts w:hint="eastAsia" w:ascii="宋体" w:hAnsi="宋体" w:cs="宋体"/>
          <w:b/>
          <w:bCs/>
          <w:color w:val="auto"/>
          <w:sz w:val="24"/>
          <w:highlight w:val="none"/>
        </w:rPr>
        <w:t xml:space="preserve">成交候选人名单</w:t>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color w:val="auto"/>
          <w:sz w:val="24"/>
          <w:highlight w:val="none"/>
        </w:rPr>
        <w:t xml:space="preserve">磋商小组将根据各供应商的评审排序以及磋商文件中关于成交候选人的相关规定，确定本项目成交候选人名单，按照评审得分由高到低顺序推荐成交候选人的排名顺序。评审得分相同的，按照最终报价由</w:t>
      </w:r>
      <w:r>
        <w:rPr>
          <w:rFonts w:hint="eastAsia" w:ascii="宋体" w:hAnsi="宋体" w:cs="宋体"/>
          <w:color w:val="auto"/>
          <w:sz w:val="24"/>
          <w:highlight w:val="none"/>
          <w:lang w:val="en-US" w:eastAsia="zh-CN"/>
        </w:rPr>
        <w:t xml:space="preserve">低到高</w:t>
      </w:r>
      <w:r>
        <w:rPr>
          <w:rFonts w:hint="eastAsia" w:ascii="宋体" w:hAnsi="宋体" w:cs="宋体"/>
          <w:color w:val="auto"/>
          <w:sz w:val="24"/>
          <w:highlight w:val="none"/>
        </w:rPr>
        <w:t xml:space="preserve">的顺序推荐。评审得分且最终报价相同的，按照客观分指标优劣顺序推荐。响应文件满足竞争性磋商文件全部实质性要求，且按照评审因素的量化指标评审得分最高的供应商为排名第一的成交候选人。评分分值计算保留小数点后两位，第三位四舍五入。 </w:t>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color w:val="auto"/>
          <w:sz w:val="24"/>
          <w:szCs w:val="20"/>
          <w:highlight w:val="none"/>
        </w:rPr>
        <w:t xml:space="preserve">磋商小组根据上述供应商排序，依次推荐排序前</w:t>
      </w:r>
      <w:r>
        <w:rPr>
          <w:rFonts w:hint="eastAsia" w:ascii="宋体" w:hAnsi="宋体" w:cs="宋体"/>
          <w:color w:val="auto"/>
          <w:sz w:val="24"/>
          <w:highlight w:val="none"/>
        </w:rPr>
        <w:t xml:space="preserve">3名</w:t>
      </w:r>
      <w:r>
        <w:rPr>
          <w:rFonts w:hint="eastAsia" w:ascii="宋体" w:hAnsi="宋体" w:cs="宋体"/>
          <w:color w:val="auto"/>
          <w:sz w:val="24"/>
          <w:szCs w:val="20"/>
          <w:highlight w:val="none"/>
        </w:rPr>
        <w:t xml:space="preserve">的供应商为</w:t>
      </w:r>
      <w:r>
        <w:rPr>
          <w:rFonts w:hint="eastAsia" w:ascii="宋体" w:hAnsi="宋体" w:cs="宋体"/>
          <w:color w:val="auto"/>
          <w:sz w:val="24"/>
          <w:szCs w:val="21"/>
          <w:highlight w:val="none"/>
        </w:rPr>
        <w:t xml:space="preserve">成交候选供应商</w:t>
      </w:r>
      <w:r>
        <w:rPr>
          <w:rFonts w:hint="eastAsia" w:ascii="宋体" w:hAnsi="宋体" w:cs="宋体"/>
          <w:color w:val="auto"/>
          <w:sz w:val="24"/>
          <w:szCs w:val="20"/>
          <w:highlight w:val="none"/>
        </w:rPr>
        <w:t xml:space="preserve">（若在磋商文件允许的情形下提交最终报价的供应商为二家，则依次推荐二名供应商为成交候选供应商），并编写评审报告。</w:t>
      </w:r>
      <w:r/>
    </w:p>
    <w:p>
      <w:pPr>
        <w:numPr>
          <w:ilvl w:val="1"/>
          <w:numId w:val="10"/>
        </w:numPr>
        <w:ind w:left="1140" w:hanging="720"/>
        <w:spacing w:line="360" w:lineRule="auto"/>
        <w:tabs>
          <w:tab w:val="left" w:pos="1080" w:leader="none"/>
          <w:tab w:val="left" w:pos="1872" w:leader="none"/>
        </w:tabs>
        <w:rPr>
          <w:rFonts w:hint="eastAsia" w:ascii="宋体" w:hAnsi="宋体" w:cs="宋体"/>
          <w:color w:val="auto"/>
          <w:sz w:val="24"/>
          <w:highlight w:val="none"/>
        </w:rPr>
      </w:pPr>
      <w:r>
        <w:rPr>
          <w:rFonts w:hint="eastAsia" w:ascii="宋体" w:hAnsi="宋体" w:cs="宋体"/>
          <w:color w:val="auto"/>
          <w:sz w:val="24"/>
          <w:highlight w:val="none"/>
        </w:rPr>
        <w:t xml:space="preserve">磋商小组要对评分汇总情况进行复核，特别是对排名第一的、报价最低的、响应文件被认定为无效的情形进行重点复核。</w:t>
      </w:r>
      <w:r/>
    </w:p>
    <w:p>
      <w:pPr>
        <w:numPr>
          <w:ilvl w:val="0"/>
          <w:numId w:val="10"/>
        </w:numPr>
        <w:jc w:val="left"/>
        <w:spacing w:line="360" w:lineRule="auto"/>
        <w:tabs>
          <w:tab w:val="left" w:pos="360" w:leader="none"/>
        </w:tabs>
        <w:rPr>
          <w:rFonts w:hint="eastAsia" w:ascii="宋体" w:hAnsi="宋体" w:cs="宋体"/>
          <w:b/>
          <w:bCs/>
          <w:color w:val="auto"/>
          <w:sz w:val="24"/>
          <w:highlight w:val="none"/>
        </w:rPr>
        <w:outlineLvl w:val="2"/>
      </w:pPr>
      <w:r>
        <w:rPr>
          <w:rFonts w:hint="eastAsia" w:ascii="宋体" w:hAnsi="宋体" w:cs="宋体"/>
          <w:b/>
          <w:bCs/>
          <w:color w:val="auto"/>
          <w:sz w:val="24"/>
          <w:highlight w:val="none"/>
        </w:rPr>
        <w:t xml:space="preserve">报告违法行为</w:t>
      </w:r>
      <w:r/>
    </w:p>
    <w:p>
      <w:pPr>
        <w:numPr>
          <w:ilvl w:val="1"/>
          <w:numId w:val="10"/>
        </w:numPr>
        <w:ind w:left="1071" w:hanging="440"/>
        <w:spacing w:line="360" w:lineRule="auto"/>
        <w:tabs>
          <w:tab w:val="left" w:pos="1080" w:leader="none"/>
          <w:tab w:val="clear" w:pos="1589" w:leader="none"/>
          <w:tab w:val="left" w:pos="1872" w:leader="none"/>
        </w:tabs>
        <w:rPr>
          <w:rFonts w:hint="eastAsia" w:ascii="宋体" w:hAnsi="宋体" w:cs="宋体"/>
          <w:b w:val="0"/>
          <w:color w:val="auto"/>
          <w:sz w:val="24"/>
          <w:highlight w:val="none"/>
        </w:rPr>
      </w:pPr>
      <w:r>
        <w:rPr>
          <w:rFonts w:hint="eastAsia" w:ascii="宋体" w:hAnsi="宋体" w:cs="宋体"/>
          <w:color w:val="auto"/>
          <w:sz w:val="24"/>
          <w:highlight w:val="none"/>
        </w:rPr>
        <w:t xml:space="preserve">磋商小组在评审过程中发现供应商有行贿、提供虚假材料或者串通等违法行为时，有向采购人、采购代理机构或者有关部门报告的职责。</w:t>
      </w:r>
      <w:r/>
    </w:p>
    <w:p>
      <w:pPr>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br w:type="page" w:clear="all"/>
      </w:r>
      <w:r/>
    </w:p>
    <w:p>
      <w:pPr>
        <w:pStyle w:val="1042"/>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二、评审标准</w:t>
      </w:r>
      <w:r/>
    </w:p>
    <w:tbl>
      <w:tblPr>
        <w:tblStyle w:val="809"/>
        <w:tblW w:w="5327"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5"/>
        <w:gridCol w:w="1241"/>
        <w:gridCol w:w="676"/>
        <w:gridCol w:w="5553"/>
        <w:gridCol w:w="2325"/>
      </w:tblGrid>
      <w:tr>
        <w:trPr>
          <w:jc w:val="center"/>
          <w:trHeight w:val="334"/>
          <w:tblHeader/>
        </w:trPr>
        <w:tc>
          <w:tcPr>
            <w:tcW w:w="705" w:type="dxa"/>
            <w:vAlign w:val="center"/>
            <w:textDirection w:val="lrTb"/>
            <w:noWrap w:val="false"/>
          </w:tcPr>
          <w:p>
            <w:pPr>
              <w:pStyle w:val="892"/>
              <w:jc w:val="center"/>
              <w:spacing w:before="0" w:line="240" w:lineRule="auto"/>
              <w:widowControl w:val="off"/>
              <w:rPr>
                <w:rFonts w:hint="eastAsia" w:ascii="宋体" w:hAnsi="宋体" w:eastAsia="宋体" w:cs="宋体"/>
                <w:b/>
                <w:bCs/>
                <w:sz w:val="21"/>
                <w:szCs w:val="21"/>
                <w:highlight w:val="none"/>
                <w:lang w:val="en-US" w:eastAsia="zh-CN" w:bidi="ar-SA"/>
              </w:rPr>
            </w:pPr>
            <w:r/>
            <w:bookmarkStart w:id="553" w:name="_Toc6244"/>
            <w:r>
              <w:rPr>
                <w:rFonts w:hint="eastAsia" w:ascii="宋体" w:hAnsi="宋体" w:eastAsia="宋体" w:cs="宋体"/>
                <w:b/>
                <w:bCs/>
                <w:sz w:val="21"/>
                <w:szCs w:val="21"/>
                <w:highlight w:val="none"/>
                <w:lang w:val="en-US" w:eastAsia="zh-CN" w:bidi="ar-SA"/>
              </w:rPr>
              <w:t xml:space="preserve">序号</w:t>
            </w:r>
            <w:r/>
          </w:p>
        </w:tc>
        <w:tc>
          <w:tcPr>
            <w:tcW w:w="1241" w:type="dxa"/>
            <w:vAlign w:val="center"/>
            <w:textDirection w:val="lrTb"/>
            <w:noWrap w:val="false"/>
          </w:tcPr>
          <w:p>
            <w:pPr>
              <w:pStyle w:val="892"/>
              <w:jc w:val="both"/>
              <w:spacing w:before="0" w:line="24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评分因素</w:t>
            </w:r>
            <w:r/>
          </w:p>
        </w:tc>
        <w:tc>
          <w:tcPr>
            <w:tcW w:w="676" w:type="dxa"/>
            <w:vAlign w:val="center"/>
            <w:textDirection w:val="lrTb"/>
            <w:noWrap w:val="false"/>
          </w:tcPr>
          <w:p>
            <w:pPr>
              <w:pStyle w:val="892"/>
              <w:jc w:val="center"/>
              <w:spacing w:before="0" w:line="24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分值</w:t>
            </w:r>
            <w:r/>
          </w:p>
        </w:tc>
        <w:tc>
          <w:tcPr>
            <w:tcW w:w="5554" w:type="dxa"/>
            <w:vAlign w:val="center"/>
            <w:textDirection w:val="lrTb"/>
            <w:noWrap w:val="false"/>
          </w:tcPr>
          <w:p>
            <w:pPr>
              <w:pStyle w:val="892"/>
              <w:jc w:val="center"/>
              <w:spacing w:before="0" w:line="24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评分标准</w:t>
            </w:r>
            <w:r/>
          </w:p>
        </w:tc>
        <w:tc>
          <w:tcPr>
            <w:tcW w:w="2325" w:type="dxa"/>
            <w:vAlign w:val="center"/>
            <w:textDirection w:val="lrTb"/>
            <w:noWrap w:val="false"/>
          </w:tcPr>
          <w:p>
            <w:pPr>
              <w:pStyle w:val="892"/>
              <w:jc w:val="center"/>
              <w:spacing w:before="0" w:line="24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备注</w:t>
            </w:r>
            <w:r/>
          </w:p>
        </w:tc>
      </w:tr>
      <w:tr>
        <w:trPr>
          <w:jc w:val="center"/>
          <w:trHeight w:val="90"/>
        </w:trPr>
        <w:tc>
          <w:tcPr>
            <w:tcW w:w="705"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w:t>
            </w:r>
            <w:r/>
          </w:p>
        </w:tc>
        <w:tc>
          <w:tcPr>
            <w:tcW w:w="1241"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价格分</w:t>
            </w:r>
            <w:r/>
          </w:p>
        </w:tc>
        <w:tc>
          <w:tcPr>
            <w:tcW w:w="676"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cs="宋体"/>
                <w:sz w:val="21"/>
                <w:szCs w:val="21"/>
                <w:highlight w:val="none"/>
                <w:lang w:val="en-US" w:eastAsia="zh-CN" w:bidi="ar-SA"/>
              </w:rPr>
              <w:t xml:space="preserve">10</w:t>
            </w:r>
            <w:r/>
          </w:p>
        </w:tc>
        <w:tc>
          <w:tcPr>
            <w:tcW w:w="5554" w:type="dxa"/>
            <w:vAlign w:val="center"/>
            <w:textDirection w:val="lrTb"/>
            <w:noWrap w:val="false"/>
          </w:tcPr>
          <w:p>
            <w:pPr>
              <w:ind w:firstLine="420"/>
              <w:keepLines w:val="0"/>
              <w:keepNext w:val="0"/>
              <w:pageBreakBefore w:val="0"/>
              <w:spacing w:line="240" w:lineRule="auto"/>
              <w:widowControl/>
              <w:rPr>
                <w:rFonts w:hint="eastAsia" w:ascii="宋体" w:hAnsi="宋体" w:eastAsia="宋体" w:cs="宋体"/>
                <w:color w:val="auto"/>
                <w:sz w:val="21"/>
                <w:szCs w:val="21"/>
                <w:highlight w:val="none"/>
                <w:lang w:val="zh-Hans"/>
              </w:rPr>
              <w:outlineLvl w:val="9"/>
            </w:pPr>
            <w:r>
              <w:rPr>
                <w:rFonts w:hint="eastAsia" w:ascii="宋体" w:hAnsi="宋体" w:eastAsia="宋体" w:cs="宋体"/>
                <w:color w:val="auto"/>
                <w:sz w:val="21"/>
                <w:szCs w:val="21"/>
                <w:highlight w:val="none"/>
                <w:lang w:val="zh-Hans"/>
              </w:rPr>
              <w:t xml:space="preserve">满足</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lang w:val="zh-Hans"/>
              </w:rPr>
              <w:t xml:space="preserve">文件要求且投标报价最</w:t>
            </w:r>
            <w:r>
              <w:rPr>
                <w:rFonts w:hint="eastAsia" w:ascii="宋体" w:hAnsi="宋体" w:cs="宋体"/>
                <w:color w:val="auto"/>
                <w:sz w:val="21"/>
                <w:szCs w:val="21"/>
                <w:highlight w:val="none"/>
                <w:lang w:val="en-US" w:eastAsia="zh-CN"/>
              </w:rPr>
              <w:t xml:space="preserve">低</w:t>
            </w:r>
            <w:r>
              <w:rPr>
                <w:rFonts w:hint="eastAsia" w:ascii="宋体" w:hAnsi="宋体" w:eastAsia="宋体" w:cs="宋体"/>
                <w:color w:val="auto"/>
                <w:sz w:val="21"/>
                <w:szCs w:val="21"/>
                <w:highlight w:val="none"/>
                <w:lang w:val="zh-Hans"/>
              </w:rPr>
              <w:t xml:space="preserve">的报价为</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lang w:val="zh-Hans"/>
              </w:rPr>
              <w:t xml:space="preserve">基准价，其价格分为满分。其他</w:t>
            </w:r>
            <w:r>
              <w:rPr>
                <w:rFonts w:hint="eastAsia" w:ascii="宋体" w:hAnsi="宋体" w:eastAsia="宋体" w:cs="宋体"/>
                <w:color w:val="auto"/>
                <w:sz w:val="21"/>
                <w:szCs w:val="21"/>
                <w:highlight w:val="none"/>
                <w:lang w:val="en-US" w:eastAsia="zh-CN"/>
              </w:rPr>
              <w:t xml:space="preserve">供应商</w:t>
            </w:r>
            <w:r>
              <w:rPr>
                <w:rFonts w:hint="eastAsia" w:ascii="宋体" w:hAnsi="宋体" w:eastAsia="宋体" w:cs="宋体"/>
                <w:color w:val="auto"/>
                <w:sz w:val="21"/>
                <w:szCs w:val="21"/>
                <w:highlight w:val="none"/>
                <w:lang w:val="zh-Hans"/>
              </w:rPr>
              <w:t xml:space="preserve">的价格分统一按照下列公式计算：</w:t>
            </w:r>
            <w:r/>
          </w:p>
          <w:p>
            <w:pPr>
              <w:ind w:firstLine="420"/>
              <w:widowControl/>
              <w:rPr>
                <w:rFonts w:hint="eastAsia" w:ascii="宋体" w:hAnsi="宋体" w:eastAsia="宋体" w:cs="宋体"/>
                <w:sz w:val="21"/>
                <w:szCs w:val="21"/>
                <w:highlight w:val="none"/>
                <w:lang w:val="en-US" w:eastAsia="zh-CN" w:bidi="ar-SA"/>
              </w:rPr>
              <w:outlineLvl w:val="9"/>
            </w:pPr>
            <w:r>
              <w:rPr>
                <w:rFonts w:hint="eastAsia" w:ascii="宋体" w:hAnsi="宋体" w:eastAsia="宋体" w:cs="宋体"/>
                <w:color w:val="auto"/>
                <w:sz w:val="21"/>
                <w:szCs w:val="21"/>
                <w:highlight w:val="none"/>
                <w:lang w:val="zh-Hans"/>
              </w:rPr>
              <w:t xml:space="preserve">价格分得分＝</w:t>
            </w:r>
            <w:r>
              <w:rPr>
                <w:rFonts w:hint="eastAsia" w:ascii="宋体" w:hAnsi="宋体" w:eastAsia="宋体" w:cs="宋体"/>
                <w:color w:val="auto"/>
                <w:sz w:val="21"/>
                <w:szCs w:val="21"/>
                <w:highlight w:val="none"/>
                <w:lang w:val="en-US" w:eastAsia="zh-CN"/>
              </w:rPr>
              <w:t xml:space="preserve">磋商</w:t>
            </w:r>
            <w:r>
              <w:rPr>
                <w:rFonts w:hint="eastAsia" w:ascii="宋体" w:hAnsi="宋体" w:eastAsia="宋体" w:cs="宋体"/>
                <w:color w:val="auto"/>
                <w:sz w:val="21"/>
                <w:szCs w:val="21"/>
                <w:highlight w:val="none"/>
                <w:lang w:val="zh-Hans"/>
              </w:rPr>
              <w:t xml:space="preserve">基准价/</w:t>
            </w:r>
            <w:r>
              <w:rPr>
                <w:rFonts w:hint="eastAsia" w:ascii="宋体" w:hAnsi="宋体" w:eastAsia="宋体" w:cs="宋体"/>
                <w:color w:val="auto"/>
                <w:sz w:val="21"/>
                <w:szCs w:val="21"/>
                <w:highlight w:val="none"/>
                <w:lang w:val="en-US" w:eastAsia="zh-CN"/>
              </w:rPr>
              <w:t xml:space="preserve">最终磋商</w:t>
            </w:r>
            <w:r>
              <w:rPr>
                <w:rFonts w:hint="eastAsia" w:ascii="宋体" w:hAnsi="宋体" w:eastAsia="宋体" w:cs="宋体"/>
                <w:color w:val="auto"/>
                <w:sz w:val="21"/>
                <w:szCs w:val="21"/>
                <w:highlight w:val="none"/>
                <w:lang w:val="zh-Hans"/>
              </w:rPr>
              <w:t xml:space="preserve">报价×分值（四舍五入小数点保留两位）</w:t>
            </w:r>
            <w:r/>
          </w:p>
        </w:tc>
        <w:tc>
          <w:tcPr>
            <w:tcW w:w="2325" w:type="dxa"/>
            <w:vAlign w:val="center"/>
            <w:textDirection w:val="lrTb"/>
            <w:noWrap w:val="false"/>
          </w:tcPr>
          <w:p>
            <w:pPr>
              <w:pStyle w:val="892"/>
              <w:jc w:val="left"/>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此处投标报价指经过报价修正，及因落实政府采购政策进行价格调整后的报价，详见第</w:t>
            </w:r>
            <w:r>
              <w:rPr>
                <w:rFonts w:hint="eastAsia" w:cs="宋体"/>
                <w:sz w:val="21"/>
                <w:szCs w:val="21"/>
                <w:highlight w:val="none"/>
                <w:lang w:val="en-US" w:eastAsia="zh-CN" w:bidi="ar-SA"/>
              </w:rPr>
              <w:t xml:space="preserve">三</w:t>
            </w:r>
            <w:r>
              <w:rPr>
                <w:rFonts w:hint="eastAsia" w:ascii="宋体" w:hAnsi="宋体" w:eastAsia="宋体" w:cs="宋体"/>
                <w:sz w:val="21"/>
                <w:szCs w:val="21"/>
                <w:highlight w:val="none"/>
                <w:lang w:val="en-US" w:eastAsia="zh-CN" w:bidi="ar-SA"/>
              </w:rPr>
              <w:t xml:space="preserve">章《评标方法和评标标准》。</w:t>
            </w:r>
            <w:r/>
          </w:p>
        </w:tc>
      </w:tr>
      <w:tr>
        <w:trPr>
          <w:jc w:val="center"/>
          <w:trHeight w:val="368"/>
        </w:trPr>
        <w:tc>
          <w:tcPr>
            <w:tcW w:w="705" w:type="dxa"/>
            <w:vAlign w:val="center"/>
            <w:textDirection w:val="lrTb"/>
            <w:noWrap w:val="false"/>
          </w:tcPr>
          <w:p>
            <w:pPr>
              <w:pStyle w:val="892"/>
              <w:jc w:val="center"/>
              <w:spacing w:before="0" w:line="24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2</w:t>
            </w:r>
            <w:r/>
          </w:p>
        </w:tc>
        <w:tc>
          <w:tcPr>
            <w:tcW w:w="1241" w:type="dxa"/>
            <w:vAlign w:val="center"/>
            <w:textDirection w:val="lrTb"/>
            <w:noWrap w:val="false"/>
          </w:tcPr>
          <w:p>
            <w:pPr>
              <w:pStyle w:val="892"/>
              <w:jc w:val="center"/>
              <w:spacing w:before="0" w:line="24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商务部分</w:t>
            </w:r>
            <w:r/>
          </w:p>
        </w:tc>
        <w:tc>
          <w:tcPr>
            <w:tcW w:w="676" w:type="dxa"/>
            <w:vAlign w:val="center"/>
            <w:textDirection w:val="lrTb"/>
            <w:noWrap w:val="false"/>
          </w:tcPr>
          <w:p>
            <w:pPr>
              <w:jc w:val="center"/>
              <w:spacing w:line="360" w:lineRule="exact"/>
              <w:widowControl w:val="off"/>
              <w:rPr>
                <w:rFonts w:hint="eastAsia" w:ascii="宋体" w:hAnsi="宋体" w:eastAsia="宋体" w:cs="宋体"/>
                <w:b/>
                <w:bCs/>
                <w:color w:val="ff0000"/>
                <w:sz w:val="21"/>
                <w:szCs w:val="21"/>
                <w:highlight w:val="none"/>
                <w:lang w:val="en-US" w:eastAsia="zh-CN" w:bidi="ar-SA"/>
              </w:rPr>
            </w:pPr>
            <w:r>
              <w:rPr>
                <w:rFonts w:hint="eastAsia" w:ascii="宋体" w:hAnsi="宋体" w:cs="宋体"/>
                <w:b/>
                <w:bCs/>
                <w:color w:val="auto"/>
                <w:sz w:val="21"/>
                <w:szCs w:val="21"/>
                <w:highlight w:val="none"/>
                <w:lang w:val="en-US" w:eastAsia="zh-CN" w:bidi="ar-SA"/>
              </w:rPr>
              <w:t xml:space="preserve">40</w:t>
            </w:r>
            <w:r/>
          </w:p>
        </w:tc>
        <w:tc>
          <w:tcPr>
            <w:tcW w:w="5554" w:type="dxa"/>
            <w:vAlign w:val="center"/>
            <w:textDirection w:val="lrTb"/>
            <w:noWrap w:val="false"/>
          </w:tcPr>
          <w:p>
            <w:pPr>
              <w:pStyle w:val="892"/>
              <w:jc w:val="both"/>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2325"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2269"/>
        </w:trPr>
        <w:tc>
          <w:tcPr>
            <w:tcW w:w="705"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2.1</w:t>
            </w:r>
            <w:r/>
          </w:p>
        </w:tc>
        <w:tc>
          <w:tcPr>
            <w:tcW w:w="1241"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企业</w:t>
            </w:r>
            <w:r>
              <w:rPr>
                <w:rFonts w:hint="eastAsia" w:cs="宋体"/>
                <w:sz w:val="21"/>
                <w:szCs w:val="21"/>
                <w:highlight w:val="none"/>
                <w:lang w:val="en-US" w:eastAsia="zh-CN" w:bidi="ar-SA"/>
              </w:rPr>
              <w:t xml:space="preserve">实力</w:t>
            </w:r>
            <w:r/>
          </w:p>
        </w:tc>
        <w:tc>
          <w:tcPr>
            <w:tcW w:w="676" w:type="dxa"/>
            <w:vAlign w:val="center"/>
            <w:textDirection w:val="lrTb"/>
            <w:noWrap w:val="false"/>
          </w:tcPr>
          <w:p>
            <w:pPr>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6</w:t>
            </w:r>
            <w:r/>
          </w:p>
        </w:tc>
        <w:tc>
          <w:tcPr>
            <w:tcW w:w="5554" w:type="dxa"/>
            <w:vAlign w:val="center"/>
            <w:textDirection w:val="lrTb"/>
            <w:noWrap w:val="false"/>
          </w:tcPr>
          <w:p>
            <w:pPr>
              <w:pStyle w:val="824"/>
              <w:ind w:firstLine="420"/>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1.</w:t>
            </w:r>
            <w:bookmarkStart w:id="554" w:name="OLE_LINK1"/>
            <w:r>
              <w:rPr>
                <w:rFonts w:hint="eastAsia" w:ascii="宋体" w:hAnsi="宋体" w:cs="宋体"/>
                <w:sz w:val="21"/>
                <w:szCs w:val="21"/>
                <w:highlight w:val="none"/>
              </w:rPr>
              <w:t xml:space="preserve">供应商具有</w:t>
            </w:r>
            <w:r>
              <w:rPr>
                <w:rFonts w:hint="eastAsia" w:ascii="宋体" w:hAnsi="宋体" w:cs="宋体"/>
                <w:sz w:val="21"/>
                <w:szCs w:val="21"/>
                <w:highlight w:val="none"/>
                <w:lang w:val="en-US" w:eastAsia="zh-CN"/>
              </w:rPr>
              <w:t xml:space="preserve">有效的</w:t>
            </w:r>
            <w:r>
              <w:rPr>
                <w:rFonts w:hint="eastAsia" w:ascii="宋体" w:hAnsi="宋体" w:cs="宋体"/>
                <w:sz w:val="21"/>
                <w:szCs w:val="21"/>
                <w:highlight w:val="none"/>
              </w:rPr>
              <w:t xml:space="preserve">信息安全管理体系认证的，得2分。</w:t>
            </w:r>
            <w:bookmarkEnd w:id="554"/>
            <w:r/>
            <w:r/>
          </w:p>
          <w:p>
            <w:pPr>
              <w:pStyle w:val="824"/>
              <w:ind w:firstLine="42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供应商具有</w:t>
            </w:r>
            <w:r>
              <w:rPr>
                <w:rFonts w:hint="eastAsia" w:ascii="宋体" w:hAnsi="宋体" w:cs="宋体"/>
                <w:sz w:val="21"/>
                <w:szCs w:val="21"/>
                <w:highlight w:val="none"/>
                <w:lang w:val="en-US" w:eastAsia="zh-CN"/>
              </w:rPr>
              <w:t xml:space="preserve">有效的</w:t>
            </w:r>
            <w:r>
              <w:rPr>
                <w:rFonts w:hint="eastAsia" w:ascii="宋体" w:hAnsi="宋体" w:cs="宋体"/>
                <w:szCs w:val="21"/>
                <w:highlight w:val="none"/>
              </w:rPr>
              <w:t xml:space="preserve">质量管理体系认证证书</w:t>
            </w:r>
            <w:r>
              <w:rPr>
                <w:rFonts w:hint="eastAsia" w:ascii="宋体" w:hAnsi="宋体" w:cs="宋体"/>
                <w:sz w:val="21"/>
                <w:szCs w:val="21"/>
                <w:highlight w:val="none"/>
              </w:rPr>
              <w:t xml:space="preserve">的，得2分。</w:t>
            </w:r>
            <w:r/>
          </w:p>
          <w:p>
            <w:pPr>
              <w:pStyle w:val="824"/>
              <w:ind w:firstLine="420"/>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供应商具有</w:t>
            </w:r>
            <w:r>
              <w:rPr>
                <w:rFonts w:hint="eastAsia" w:ascii="宋体" w:hAnsi="宋体" w:cs="宋体"/>
                <w:sz w:val="21"/>
                <w:szCs w:val="21"/>
                <w:highlight w:val="none"/>
                <w:lang w:val="en-US" w:eastAsia="zh-CN"/>
              </w:rPr>
              <w:t xml:space="preserve">有效的环境</w:t>
            </w:r>
            <w:r>
              <w:rPr>
                <w:rFonts w:hint="eastAsia" w:ascii="宋体" w:hAnsi="宋体" w:cs="宋体"/>
                <w:szCs w:val="21"/>
                <w:highlight w:val="none"/>
              </w:rPr>
              <w:t xml:space="preserve">管理体系认证证书</w:t>
            </w:r>
            <w:r>
              <w:rPr>
                <w:rFonts w:hint="eastAsia" w:ascii="宋体" w:hAnsi="宋体" w:cs="宋体"/>
                <w:sz w:val="21"/>
                <w:szCs w:val="21"/>
                <w:highlight w:val="none"/>
              </w:rPr>
              <w:t xml:space="preserve">的，得2分。</w:t>
            </w:r>
            <w:r/>
          </w:p>
          <w:p>
            <w:pPr>
              <w:pStyle w:val="892"/>
              <w:ind w:firstLine="422"/>
              <w:jc w:val="both"/>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cs="宋体"/>
                <w:b/>
                <w:bCs/>
                <w:sz w:val="21"/>
                <w:szCs w:val="21"/>
                <w:highlight w:val="none"/>
              </w:rPr>
              <w:t xml:space="preserve">注：响应文件中应提供</w:t>
            </w:r>
            <w:r>
              <w:rPr>
                <w:rFonts w:hint="eastAsia" w:ascii="宋体" w:hAnsi="宋体" w:cs="宋体"/>
                <w:b/>
                <w:bCs/>
                <w:sz w:val="21"/>
                <w:szCs w:val="21"/>
                <w:highlight w:val="none"/>
                <w:lang w:val="en-US" w:eastAsia="zh-CN"/>
              </w:rPr>
              <w:t xml:space="preserve">有效的</w:t>
            </w:r>
            <w:r>
              <w:rPr>
                <w:rFonts w:hint="eastAsia" w:ascii="宋体" w:hAnsi="宋体" w:cs="宋体"/>
                <w:b/>
                <w:bCs/>
                <w:sz w:val="21"/>
                <w:szCs w:val="21"/>
                <w:highlight w:val="none"/>
              </w:rPr>
              <w:t xml:space="preserve">相关证书复印件并加盖</w:t>
            </w:r>
            <w:r>
              <w:rPr>
                <w:rFonts w:hint="eastAsia" w:ascii="宋体" w:hAnsi="宋体" w:cs="宋体"/>
                <w:b/>
                <w:bCs/>
                <w:sz w:val="21"/>
                <w:szCs w:val="21"/>
                <w:highlight w:val="none"/>
                <w:lang w:val="en-US" w:eastAsia="zh-CN"/>
              </w:rPr>
              <w:t xml:space="preserve">供应商</w:t>
            </w:r>
            <w:r>
              <w:rPr>
                <w:rFonts w:hint="eastAsia" w:ascii="宋体" w:hAnsi="宋体" w:cs="宋体"/>
                <w:b/>
                <w:bCs/>
                <w:sz w:val="21"/>
                <w:szCs w:val="21"/>
                <w:highlight w:val="none"/>
              </w:rPr>
              <w:t xml:space="preserve">公章。</w:t>
            </w:r>
            <w:r/>
          </w:p>
        </w:tc>
        <w:tc>
          <w:tcPr>
            <w:tcW w:w="2325"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1849"/>
        </w:trPr>
        <w:tc>
          <w:tcPr>
            <w:tcW w:w="705"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cs="宋体"/>
                <w:sz w:val="21"/>
                <w:szCs w:val="21"/>
                <w:highlight w:val="none"/>
                <w:lang w:val="en-US" w:eastAsia="zh-CN" w:bidi="ar-SA"/>
              </w:rPr>
              <w:t xml:space="preserve">2.2</w:t>
            </w:r>
            <w:r/>
          </w:p>
        </w:tc>
        <w:tc>
          <w:tcPr>
            <w:tcW w:w="1241"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企业业绩</w:t>
            </w:r>
            <w:r/>
          </w:p>
        </w:tc>
        <w:tc>
          <w:tcPr>
            <w:tcW w:w="676" w:type="dxa"/>
            <w:vAlign w:val="center"/>
            <w:textDirection w:val="lrTb"/>
            <w:noWrap w:val="false"/>
          </w:tcPr>
          <w:p>
            <w:pPr>
              <w:jc w:val="center"/>
              <w:spacing w:line="360" w:lineRule="exact"/>
              <w:widowControl w:val="off"/>
              <w:rPr>
                <w:rFonts w:hint="eastAsia" w:ascii="宋体" w:hAnsi="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20</w:t>
            </w:r>
            <w:r/>
          </w:p>
        </w:tc>
        <w:tc>
          <w:tcPr>
            <w:tcW w:w="5554" w:type="dxa"/>
            <w:vAlign w:val="center"/>
            <w:textDirection w:val="lrTb"/>
            <w:noWrap w:val="false"/>
          </w:tcPr>
          <w:p>
            <w:pPr>
              <w:pStyle w:val="892"/>
              <w:ind w:firstLine="420"/>
              <w:jc w:val="both"/>
              <w:spacing w:before="0" w:line="240" w:lineRule="auto"/>
              <w:widowControl w:val="off"/>
              <w:rPr>
                <w:rFonts w:hint="eastAsia" w:ascii="宋体" w:hAnsi="宋体" w:eastAsia="宋体" w:cs="宋体"/>
                <w:sz w:val="21"/>
                <w:szCs w:val="21"/>
                <w:highlight w:val="none"/>
              </w:rPr>
            </w:pPr>
            <w:r>
              <w:rPr>
                <w:rFonts w:hint="eastAsia" w:cs="宋体"/>
                <w:sz w:val="21"/>
                <w:szCs w:val="21"/>
                <w:highlight w:val="none"/>
                <w:lang w:val="en-US" w:eastAsia="zh-CN"/>
              </w:rPr>
              <w:t xml:space="preserve">供应商</w:t>
            </w:r>
            <w:r>
              <w:rPr>
                <w:rFonts w:hint="eastAsia" w:ascii="宋体" w:hAnsi="宋体" w:eastAsia="宋体" w:cs="宋体"/>
                <w:sz w:val="21"/>
                <w:szCs w:val="21"/>
                <w:highlight w:val="none"/>
              </w:rPr>
              <w:t xml:space="preserve">自</w:t>
            </w:r>
            <w:r>
              <w:rPr>
                <w:rFonts w:hint="eastAsia" w:cs="宋体"/>
                <w:color w:val="auto"/>
                <w:sz w:val="21"/>
                <w:szCs w:val="21"/>
                <w:highlight w:val="none"/>
                <w:lang w:val="en-US" w:eastAsia="zh-CN"/>
              </w:rPr>
              <w:t xml:space="preserve">2023年9月1日</w:t>
            </w:r>
            <w:r>
              <w:rPr>
                <w:rFonts w:hint="eastAsia" w:ascii="宋体" w:hAnsi="宋体" w:eastAsia="宋体" w:cs="宋体"/>
                <w:sz w:val="21"/>
                <w:szCs w:val="21"/>
                <w:highlight w:val="none"/>
              </w:rPr>
              <w:t xml:space="preserve">以来（以合同签订日期为准）承接过类似</w:t>
            </w:r>
            <w:r>
              <w:rPr>
                <w:rFonts w:hint="eastAsia" w:cs="宋体"/>
                <w:sz w:val="21"/>
                <w:szCs w:val="21"/>
                <w:highlight w:val="none"/>
                <w:lang w:val="en-US" w:eastAsia="zh-CN"/>
              </w:rPr>
              <w:t xml:space="preserve">系统运维</w:t>
            </w:r>
            <w:r>
              <w:rPr>
                <w:rFonts w:hint="eastAsia" w:ascii="宋体" w:hAnsi="宋体" w:eastAsia="宋体" w:cs="宋体"/>
                <w:sz w:val="21"/>
                <w:szCs w:val="21"/>
                <w:highlight w:val="none"/>
              </w:rPr>
              <w:t xml:space="preserve">项目的，每提供一</w:t>
            </w:r>
            <w:r>
              <w:rPr>
                <w:rFonts w:hint="eastAsia" w:ascii="宋体" w:hAnsi="宋体" w:eastAsia="宋体" w:cs="宋体"/>
                <w:sz w:val="21"/>
                <w:szCs w:val="21"/>
                <w:highlight w:val="none"/>
                <w:lang w:val="en-US" w:eastAsia="zh-CN"/>
              </w:rPr>
              <w:t xml:space="preserve">份有效合同</w:t>
            </w:r>
            <w:r>
              <w:rPr>
                <w:rFonts w:hint="eastAsia" w:ascii="宋体" w:hAnsi="宋体" w:eastAsia="宋体" w:cs="宋体"/>
                <w:sz w:val="21"/>
                <w:szCs w:val="21"/>
                <w:highlight w:val="none"/>
              </w:rPr>
              <w:t xml:space="preserve">得</w:t>
            </w:r>
            <w:r>
              <w:rPr>
                <w:rFonts w:hint="eastAsia" w:cs="宋体"/>
                <w:sz w:val="21"/>
                <w:szCs w:val="21"/>
                <w:highlight w:val="none"/>
                <w:lang w:val="en-US" w:eastAsia="zh-CN"/>
              </w:rPr>
              <w:t xml:space="preserve">5</w:t>
            </w:r>
            <w:r>
              <w:rPr>
                <w:rFonts w:hint="eastAsia" w:ascii="宋体" w:hAnsi="宋体" w:eastAsia="宋体" w:cs="宋体"/>
                <w:sz w:val="21"/>
                <w:szCs w:val="21"/>
                <w:highlight w:val="none"/>
              </w:rPr>
              <w:t xml:space="preserve">分，最高得</w:t>
            </w:r>
            <w:r>
              <w:rPr>
                <w:rFonts w:hint="eastAsia" w:cs="宋体"/>
                <w:sz w:val="21"/>
                <w:szCs w:val="21"/>
                <w:highlight w:val="none"/>
                <w:lang w:val="en-US" w:eastAsia="zh-CN"/>
              </w:rPr>
              <w:t xml:space="preserve">20</w:t>
            </w:r>
            <w:r>
              <w:rPr>
                <w:rFonts w:hint="eastAsia" w:ascii="宋体" w:hAnsi="宋体" w:eastAsia="宋体" w:cs="宋体"/>
                <w:sz w:val="21"/>
                <w:szCs w:val="21"/>
                <w:highlight w:val="none"/>
              </w:rPr>
              <w:t xml:space="preserve">分。</w:t>
            </w:r>
            <w:r/>
          </w:p>
          <w:p>
            <w:pPr>
              <w:pStyle w:val="892"/>
              <w:ind w:firstLine="422"/>
              <w:jc w:val="both"/>
              <w:spacing w:before="0" w:line="240" w:lineRule="auto"/>
              <w:widowControl w:val="off"/>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rPr>
              <w:t xml:space="preserve">文件中提供业绩合同</w:t>
            </w:r>
            <w:r>
              <w:rPr>
                <w:rFonts w:hint="eastAsia" w:ascii="宋体" w:hAnsi="宋体" w:eastAsia="宋体" w:cs="宋体"/>
                <w:b/>
                <w:bCs/>
                <w:sz w:val="21"/>
                <w:szCs w:val="21"/>
                <w:highlight w:val="none"/>
                <w:lang w:val="en-US" w:eastAsia="zh-CN"/>
              </w:rPr>
              <w:t xml:space="preserve">复印件加盖供应商公章，</w:t>
            </w:r>
            <w:r>
              <w:rPr>
                <w:rFonts w:hint="eastAsia" w:ascii="宋体" w:hAnsi="宋体" w:eastAsia="宋体" w:cs="宋体"/>
                <w:b/>
                <w:bCs/>
                <w:sz w:val="21"/>
                <w:szCs w:val="21"/>
                <w:highlight w:val="none"/>
              </w:rPr>
              <w:t xml:space="preserve">合同中须明确甲乙双方、合同内容及签订时间</w:t>
            </w:r>
            <w:r>
              <w:rPr>
                <w:rFonts w:hint="eastAsia" w:cs="宋体"/>
                <w:b/>
                <w:bCs/>
                <w:sz w:val="21"/>
                <w:szCs w:val="21"/>
                <w:highlight w:val="none"/>
                <w:lang w:eastAsia="zh-CN"/>
              </w:rPr>
              <w:t xml:space="preserve">，</w:t>
            </w:r>
            <w:r>
              <w:rPr>
                <w:rFonts w:hint="eastAsia" w:ascii="宋体" w:hAnsi="宋体" w:eastAsia="宋体" w:cs="宋体"/>
                <w:b/>
                <w:bCs/>
                <w:sz w:val="21"/>
                <w:szCs w:val="21"/>
                <w:highlight w:val="none"/>
              </w:rPr>
              <w:t xml:space="preserve">否则不得分</w:t>
            </w:r>
            <w:r>
              <w:rPr>
                <w:rFonts w:hint="eastAsia" w:ascii="宋体" w:hAnsi="宋体" w:eastAsia="宋体" w:cs="宋体"/>
                <w:b/>
                <w:bCs/>
                <w:sz w:val="21"/>
                <w:szCs w:val="21"/>
                <w:highlight w:val="none"/>
                <w:lang w:eastAsia="zh-CN"/>
              </w:rPr>
              <w:t xml:space="preserve">。</w:t>
            </w:r>
            <w:r/>
          </w:p>
        </w:tc>
        <w:tc>
          <w:tcPr>
            <w:tcW w:w="2325"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3918"/>
        </w:trPr>
        <w:tc>
          <w:tcPr>
            <w:tcW w:w="705"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hint="eastAsia" w:cs="宋体"/>
                <w:sz w:val="21"/>
                <w:szCs w:val="21"/>
                <w:highlight w:val="none"/>
                <w:lang w:val="en-US" w:eastAsia="zh-CN" w:bidi="ar-SA"/>
              </w:rPr>
              <w:t xml:space="preserve">3</w:t>
            </w:r>
            <w:r/>
          </w:p>
        </w:tc>
        <w:tc>
          <w:tcPr>
            <w:tcW w:w="1241"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项目团队</w:t>
            </w:r>
            <w:r/>
          </w:p>
        </w:tc>
        <w:tc>
          <w:tcPr>
            <w:tcW w:w="676" w:type="dxa"/>
            <w:vAlign w:val="center"/>
            <w:textDirection w:val="lrTb"/>
            <w:noWrap w:val="false"/>
          </w:tcPr>
          <w:p>
            <w:pPr>
              <w:jc w:val="center"/>
              <w:spacing w:line="360" w:lineRule="exact"/>
              <w:widowControl w:val="off"/>
              <w:rPr>
                <w:rFonts w:hint="eastAsia" w:ascii="宋体" w:hAnsi="宋体" w:eastAsia="宋体" w:cs="宋体"/>
                <w:color w:val="ff0000"/>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10</w:t>
            </w:r>
            <w:r/>
          </w:p>
        </w:tc>
        <w:tc>
          <w:tcPr>
            <w:tcW w:w="5554" w:type="dxa"/>
            <w:vAlign w:val="center"/>
            <w:textDirection w:val="lrTb"/>
            <w:noWrap w:val="false"/>
          </w:tcPr>
          <w:p>
            <w:pPr>
              <w:pStyle w:val="824"/>
              <w:ind w:firstLine="420"/>
              <w:rPr>
                <w:rFonts w:hint="eastAsia" w:ascii="宋体" w:hAnsi="宋体" w:cs="宋体"/>
                <w:b w:val="0"/>
                <w:bCs w:val="0"/>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供应商</w:t>
            </w:r>
            <w:r>
              <w:rPr>
                <w:rFonts w:hint="eastAsia" w:ascii="宋体" w:hAnsi="宋体" w:eastAsia="宋体" w:cs="宋体"/>
                <w:sz w:val="21"/>
                <w:szCs w:val="21"/>
                <w:highlight w:val="none"/>
                <w:lang w:val="en-US" w:eastAsia="zh-CN"/>
              </w:rPr>
              <w:t xml:space="preserve">拟派本</w:t>
            </w:r>
            <w:r>
              <w:rPr>
                <w:rFonts w:hint="eastAsia" w:ascii="宋体" w:hAnsi="宋体" w:eastAsia="宋体" w:cs="宋体"/>
                <w:sz w:val="21"/>
                <w:szCs w:val="21"/>
                <w:highlight w:val="none"/>
              </w:rPr>
              <w:t xml:space="preserve">项目</w:t>
            </w:r>
            <w:r>
              <w:rPr>
                <w:rFonts w:hint="eastAsia" w:ascii="宋体" w:hAnsi="宋体" w:cs="宋体"/>
                <w:b w:val="0"/>
                <w:bCs w:val="0"/>
                <w:sz w:val="21"/>
                <w:szCs w:val="21"/>
                <w:highlight w:val="none"/>
                <w:lang w:val="en-US" w:eastAsia="zh-CN"/>
              </w:rPr>
              <w:t xml:space="preserve">项目经理（1名）：</w:t>
            </w:r>
            <w:r/>
          </w:p>
          <w:p>
            <w:pPr>
              <w:pStyle w:val="824"/>
              <w:ind w:firstLine="420"/>
              <w:rPr>
                <w:rFonts w:hint="eastAsia" w:ascii="宋体" w:hAnsi="宋体" w:cs="宋体"/>
                <w:szCs w:val="21"/>
                <w:highlight w:val="none"/>
                <w:lang w:val="en-US" w:eastAsia="zh-CN"/>
              </w:rPr>
            </w:pPr>
            <w:r>
              <w:rPr>
                <w:rFonts w:hint="eastAsia" w:ascii="宋体" w:hAnsi="宋体" w:cs="宋体"/>
                <w:b w:val="0"/>
                <w:bCs w:val="0"/>
                <w:sz w:val="21"/>
                <w:szCs w:val="21"/>
                <w:highlight w:val="none"/>
                <w:lang w:val="en-US" w:eastAsia="zh-CN"/>
              </w:rPr>
              <w:t xml:space="preserve">1.</w:t>
            </w:r>
            <w:r>
              <w:rPr>
                <w:rFonts w:hint="eastAsia" w:ascii="宋体" w:hAnsi="宋体" w:eastAsia="宋体" w:cs="宋体"/>
                <w:b w:val="0"/>
                <w:bCs w:val="0"/>
                <w:sz w:val="21"/>
                <w:szCs w:val="21"/>
                <w:highlight w:val="none"/>
                <w:lang w:val="en-US" w:eastAsia="zh-CN"/>
              </w:rPr>
              <w:t xml:space="preserve">供应商</w:t>
            </w:r>
            <w:r>
              <w:rPr>
                <w:rFonts w:hint="eastAsia" w:ascii="宋体" w:hAnsi="宋体" w:eastAsia="宋体" w:cs="宋体"/>
                <w:sz w:val="21"/>
                <w:szCs w:val="21"/>
                <w:highlight w:val="none"/>
                <w:lang w:val="en-US" w:eastAsia="zh-CN"/>
              </w:rPr>
              <w:t xml:space="preserve">拟派本</w:t>
            </w:r>
            <w:r>
              <w:rPr>
                <w:rFonts w:hint="eastAsia" w:ascii="宋体" w:hAnsi="宋体" w:eastAsia="宋体" w:cs="宋体"/>
                <w:sz w:val="21"/>
                <w:szCs w:val="21"/>
                <w:highlight w:val="none"/>
              </w:rPr>
              <w:t xml:space="preserve">项目</w:t>
            </w:r>
            <w:r>
              <w:rPr>
                <w:rFonts w:hint="eastAsia" w:ascii="宋体" w:hAnsi="宋体" w:cs="宋体"/>
                <w:sz w:val="21"/>
                <w:szCs w:val="21"/>
                <w:highlight w:val="none"/>
                <w:lang w:val="en-US" w:eastAsia="zh-CN"/>
              </w:rPr>
              <w:t xml:space="preserve">经理</w:t>
            </w:r>
            <w:r>
              <w:rPr>
                <w:rFonts w:hint="eastAsia" w:ascii="宋体" w:hAnsi="宋体" w:cs="宋体"/>
                <w:sz w:val="21"/>
                <w:szCs w:val="21"/>
                <w:highlight w:val="none"/>
              </w:rPr>
              <w:t xml:space="preserve">具有信息系统项目管理师</w:t>
            </w:r>
            <w:r>
              <w:rPr>
                <w:rFonts w:hint="eastAsia" w:ascii="宋体" w:hAnsi="宋体" w:cs="宋体"/>
                <w:sz w:val="21"/>
                <w:szCs w:val="21"/>
                <w:highlight w:val="none"/>
                <w:lang w:val="en-US" w:eastAsia="zh-CN"/>
              </w:rPr>
              <w:t xml:space="preserve">证书</w:t>
            </w:r>
            <w:r>
              <w:rPr>
                <w:rFonts w:hint="eastAsia" w:ascii="宋体" w:hAnsi="宋体" w:cs="宋体"/>
                <w:sz w:val="21"/>
                <w:szCs w:val="21"/>
                <w:highlight w:val="none"/>
              </w:rPr>
              <w:t xml:space="preserve">的，得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p>
          <w:p>
            <w:pPr>
              <w:pStyle w:val="824"/>
              <w:ind w:firstLine="420"/>
              <w:rPr>
                <w:rFonts w:hint="eastAsia" w:ascii="宋体" w:hAnsi="宋体" w:cs="宋体"/>
                <w:sz w:val="21"/>
                <w:szCs w:val="21"/>
                <w:highlight w:val="none"/>
                <w:lang w:val="en-US" w:eastAsia="zh-CN"/>
              </w:rPr>
            </w:pPr>
            <w:r>
              <w:rPr>
                <w:rFonts w:hint="eastAsia" w:ascii="宋体" w:hAnsi="宋体" w:eastAsia="宋体" w:cs="宋体"/>
                <w:b w:val="0"/>
                <w:bCs w:val="0"/>
                <w:sz w:val="21"/>
                <w:szCs w:val="21"/>
                <w:highlight w:val="none"/>
                <w:lang w:val="en-US" w:eastAsia="zh-CN"/>
              </w:rPr>
              <w:t xml:space="preserve">供应商</w:t>
            </w:r>
            <w:r>
              <w:rPr>
                <w:rFonts w:hint="eastAsia" w:ascii="宋体" w:hAnsi="宋体" w:eastAsia="宋体" w:cs="宋体"/>
                <w:sz w:val="21"/>
                <w:szCs w:val="21"/>
                <w:highlight w:val="none"/>
                <w:lang w:val="en-US" w:eastAsia="zh-CN"/>
              </w:rPr>
              <w:t xml:space="preserve">拟派本</w:t>
            </w:r>
            <w:r>
              <w:rPr>
                <w:rFonts w:hint="eastAsia" w:ascii="宋体" w:hAnsi="宋体" w:cs="宋体"/>
                <w:sz w:val="21"/>
                <w:szCs w:val="21"/>
                <w:highlight w:val="none"/>
                <w:lang w:val="en-US" w:eastAsia="zh-CN"/>
              </w:rPr>
              <w:t xml:space="preserve">项目成员：</w:t>
            </w:r>
            <w:r/>
          </w:p>
          <w:p>
            <w:pPr>
              <w:pStyle w:val="824"/>
              <w:ind w:firstLine="420"/>
              <w:rPr>
                <w:rFonts w:hint="eastAsia" w:ascii="宋体" w:hAnsi="宋体" w:cs="宋体"/>
                <w:sz w:val="21"/>
                <w:szCs w:val="21"/>
                <w:highlight w:val="none"/>
                <w:lang w:eastAsia="zh-CN"/>
              </w:rPr>
            </w:pPr>
            <w:r>
              <w:rPr>
                <w:rFonts w:hint="eastAsia" w:ascii="宋体" w:hAnsi="宋体" w:cs="宋体"/>
                <w:b w:val="0"/>
                <w:bCs w:val="0"/>
                <w:sz w:val="21"/>
                <w:szCs w:val="21"/>
                <w:highlight w:val="none"/>
                <w:lang w:val="en-US" w:eastAsia="zh-CN"/>
              </w:rPr>
              <w:t xml:space="preserve">1.</w:t>
            </w:r>
            <w:r>
              <w:rPr>
                <w:rFonts w:hint="eastAsia" w:ascii="宋体" w:hAnsi="宋体" w:cs="宋体"/>
                <w:sz w:val="21"/>
                <w:szCs w:val="21"/>
                <w:highlight w:val="none"/>
              </w:rPr>
              <w:t xml:space="preserve">具有信息安全保障人员认证证书（CISAW）证书，得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p>
          <w:p>
            <w:pPr>
              <w:pStyle w:val="824"/>
              <w:ind w:firstLine="420"/>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具有数据库系统工程师证书，得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p>
          <w:p>
            <w:pPr>
              <w:pStyle w:val="824"/>
              <w:ind w:firstLine="420"/>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具有软件设计师证书，得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p>
          <w:p>
            <w:pPr>
              <w:pStyle w:val="824"/>
              <w:ind w:firstLine="420"/>
              <w:rPr>
                <w:rFonts w:hint="eastAsia" w:ascii="宋体" w:hAnsi="宋体" w:cs="宋体"/>
                <w:sz w:val="21"/>
                <w:szCs w:val="21"/>
                <w:highlight w:val="none"/>
              </w:rPr>
            </w:pP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具有</w:t>
            </w:r>
            <w:r>
              <w:rPr>
                <w:rFonts w:hint="eastAsia" w:ascii="宋体" w:hAnsi="宋体" w:cs="宋体"/>
                <w:sz w:val="21"/>
                <w:szCs w:val="21"/>
                <w:highlight w:val="none"/>
                <w:lang w:val="en-US" w:eastAsia="zh-CN"/>
              </w:rPr>
              <w:t xml:space="preserve">ITSS-IT服务工程师证书</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p>
          <w:p>
            <w:pPr>
              <w:pStyle w:val="824"/>
              <w:ind w:firstLine="420"/>
              <w:rPr>
                <w:rFonts w:hint="eastAsia" w:ascii="宋体" w:hAnsi="宋体" w:eastAsia="宋体" w:cs="宋体"/>
                <w:sz w:val="21"/>
                <w:szCs w:val="21"/>
                <w:highlight w:val="none"/>
              </w:rPr>
            </w:pPr>
            <w:r>
              <w:rPr>
                <w:rFonts w:hint="eastAsia" w:ascii="宋体" w:hAnsi="宋体" w:cs="宋体"/>
                <w:sz w:val="21"/>
                <w:szCs w:val="21"/>
                <w:highlight w:val="none"/>
                <w:lang w:val="en-US" w:eastAsia="zh-CN"/>
              </w:rPr>
              <w:t xml:space="preserve">本项最高得10分。</w:t>
            </w:r>
            <w:r>
              <w:rPr>
                <w:rFonts w:hint="eastAsia" w:ascii="宋体" w:hAnsi="宋体" w:cs="宋体"/>
                <w:b/>
                <w:bCs/>
                <w:sz w:val="21"/>
                <w:szCs w:val="21"/>
                <w:highlight w:val="none"/>
                <w:lang w:val="en-US" w:eastAsia="zh-CN"/>
              </w:rPr>
              <w:t xml:space="preserve">同一人员证书不重复计分</w:t>
            </w:r>
            <w:r>
              <w:rPr>
                <w:rFonts w:hint="eastAsia" w:ascii="宋体" w:hAnsi="宋体" w:cs="宋体"/>
                <w:sz w:val="21"/>
                <w:szCs w:val="21"/>
                <w:highlight w:val="none"/>
                <w:lang w:val="en-US" w:eastAsia="zh-CN"/>
              </w:rPr>
              <w:t xml:space="preserve">。</w:t>
            </w:r>
            <w:r/>
          </w:p>
          <w:p>
            <w:pPr>
              <w:pStyle w:val="892"/>
              <w:ind w:firstLine="422"/>
              <w:jc w:val="both"/>
              <w:spacing w:before="0" w:line="240" w:lineRule="auto"/>
              <w:widowControl w:val="off"/>
              <w:rPr>
                <w:rFonts w:hint="eastAsia" w:ascii="宋体" w:hAnsi="宋体" w:eastAsia="宋体" w:cs="宋体"/>
                <w:sz w:val="21"/>
                <w:szCs w:val="21"/>
                <w:highlight w:val="none"/>
                <w:lang w:eastAsia="zh-CN"/>
              </w:rPr>
            </w:pPr>
            <w:r>
              <w:rPr>
                <w:rFonts w:hint="eastAsia" w:ascii="宋体" w:hAnsi="宋体" w:eastAsia="宋体" w:cs="宋体"/>
                <w:b/>
                <w:bCs/>
                <w:sz w:val="21"/>
                <w:szCs w:val="21"/>
                <w:highlight w:val="none"/>
              </w:rPr>
              <w:t xml:space="preserve">注：</w:t>
            </w:r>
            <w:r>
              <w:rPr>
                <w:rFonts w:hint="eastAsia" w:ascii="宋体" w:hAnsi="宋体" w:eastAsia="宋体" w:cs="宋体"/>
                <w:b/>
                <w:bCs/>
                <w:sz w:val="21"/>
                <w:szCs w:val="21"/>
                <w:highlight w:val="none"/>
                <w:lang w:val="en-US" w:eastAsia="zh-CN"/>
              </w:rPr>
              <w:t xml:space="preserve">响应</w:t>
            </w:r>
            <w:r>
              <w:rPr>
                <w:rFonts w:hint="eastAsia" w:ascii="宋体" w:hAnsi="宋体" w:eastAsia="宋体" w:cs="宋体"/>
                <w:b/>
                <w:bCs/>
                <w:sz w:val="21"/>
                <w:szCs w:val="21"/>
                <w:highlight w:val="none"/>
              </w:rPr>
              <w:t xml:space="preserve">文件中提供有效证书及</w:t>
            </w:r>
            <w:r>
              <w:rPr>
                <w:rFonts w:hint="eastAsia" w:ascii="宋体" w:hAnsi="宋体" w:eastAsia="宋体" w:cs="宋体"/>
                <w:b/>
                <w:bCs/>
                <w:sz w:val="21"/>
                <w:szCs w:val="21"/>
                <w:highlight w:val="none"/>
                <w:lang w:val="en-US" w:eastAsia="zh-CN"/>
              </w:rPr>
              <w:t xml:space="preserve">供应商为</w:t>
            </w:r>
            <w:r>
              <w:rPr>
                <w:rFonts w:hint="eastAsia" w:cs="宋体"/>
                <w:b/>
                <w:bCs/>
                <w:sz w:val="21"/>
                <w:szCs w:val="21"/>
                <w:highlight w:val="none"/>
                <w:lang w:val="en-US" w:eastAsia="zh-CN"/>
              </w:rPr>
              <w:t xml:space="preserve">对应人员</w:t>
            </w:r>
            <w:r>
              <w:rPr>
                <w:rFonts w:hint="eastAsia" w:ascii="宋体" w:hAnsi="宋体" w:eastAsia="宋体" w:cs="宋体"/>
                <w:b/>
                <w:bCs/>
                <w:sz w:val="21"/>
                <w:szCs w:val="21"/>
                <w:highlight w:val="none"/>
              </w:rPr>
              <w:t xml:space="preserve">缴纳的202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年</w:t>
            </w:r>
            <w:r>
              <w:rPr>
                <w:rFonts w:hint="eastAsia"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月至202</w:t>
            </w:r>
            <w:r>
              <w:rPr>
                <w:rFonts w:hint="eastAsia" w:ascii="宋体" w:hAnsi="宋体" w:eastAsia="宋体" w:cs="宋体"/>
                <w:b/>
                <w:bCs/>
                <w:sz w:val="21"/>
                <w:szCs w:val="21"/>
                <w:highlight w:val="none"/>
                <w:lang w:val="en-US" w:eastAsia="zh-CN"/>
              </w:rPr>
              <w:t xml:space="preserve">6</w:t>
            </w:r>
            <w:r>
              <w:rPr>
                <w:rFonts w:hint="eastAsia" w:ascii="宋体" w:hAnsi="宋体" w:eastAsia="宋体" w:cs="宋体"/>
                <w:b/>
                <w:bCs/>
                <w:sz w:val="21"/>
                <w:szCs w:val="21"/>
                <w:highlight w:val="none"/>
              </w:rPr>
              <w:t xml:space="preserve">年</w:t>
            </w:r>
            <w:r>
              <w:rPr>
                <w:rFonts w:hint="eastAsia" w:cs="宋体"/>
                <w:b/>
                <w:bCs/>
                <w:sz w:val="21"/>
                <w:szCs w:val="21"/>
                <w:highlight w:val="none"/>
                <w:lang w:val="en-US" w:eastAsia="zh-CN"/>
              </w:rPr>
              <w:t xml:space="preserve">8</w:t>
            </w:r>
            <w:r>
              <w:rPr>
                <w:rFonts w:hint="eastAsia" w:ascii="宋体" w:hAnsi="宋体" w:eastAsia="宋体" w:cs="宋体"/>
                <w:b/>
                <w:bCs/>
                <w:sz w:val="21"/>
                <w:szCs w:val="21"/>
                <w:highlight w:val="none"/>
                <w:lang w:val="en-US" w:eastAsia="zh-CN"/>
              </w:rPr>
              <w:t xml:space="preserve">月</w:t>
            </w:r>
            <w:r>
              <w:rPr>
                <w:rFonts w:hint="eastAsia" w:ascii="宋体" w:hAnsi="宋体" w:eastAsia="宋体" w:cs="宋体"/>
                <w:b/>
                <w:bCs/>
                <w:sz w:val="21"/>
                <w:szCs w:val="21"/>
                <w:highlight w:val="none"/>
              </w:rPr>
              <w:t xml:space="preserve">三个月</w:t>
            </w:r>
            <w:r>
              <w:rPr>
                <w:rFonts w:hint="eastAsia" w:ascii="宋体" w:hAnsi="宋体" w:eastAsia="宋体" w:cs="宋体"/>
                <w:b/>
                <w:bCs/>
                <w:sz w:val="21"/>
                <w:szCs w:val="21"/>
                <w:highlight w:val="none"/>
                <w:lang w:val="en-US" w:eastAsia="zh-CN"/>
              </w:rPr>
              <w:t xml:space="preserve">内任意一个月</w:t>
            </w:r>
            <w:r>
              <w:rPr>
                <w:rFonts w:hint="eastAsia" w:ascii="宋体" w:hAnsi="宋体" w:eastAsia="宋体" w:cs="宋体"/>
                <w:b/>
                <w:bCs/>
                <w:sz w:val="21"/>
                <w:szCs w:val="21"/>
                <w:highlight w:val="none"/>
              </w:rPr>
              <w:t xml:space="preserve">的社会基本养老保险的参保缴费证明材料加盖社保部门签章或电子签章的复印件，加盖</w:t>
            </w:r>
            <w:r>
              <w:rPr>
                <w:rFonts w:hint="eastAsia" w:ascii="宋体" w:hAnsi="宋体" w:eastAsia="宋体" w:cs="宋体"/>
                <w:b/>
                <w:bCs/>
                <w:sz w:val="21"/>
                <w:szCs w:val="21"/>
                <w:highlight w:val="none"/>
                <w:lang w:val="en-US" w:eastAsia="zh-CN"/>
              </w:rPr>
              <w:t xml:space="preserve">供应商</w:t>
            </w:r>
            <w:r>
              <w:rPr>
                <w:rFonts w:hint="eastAsia" w:ascii="宋体" w:hAnsi="宋体" w:eastAsia="宋体" w:cs="宋体"/>
                <w:b/>
                <w:bCs/>
                <w:sz w:val="21"/>
                <w:szCs w:val="21"/>
                <w:highlight w:val="none"/>
              </w:rPr>
              <w:t xml:space="preserve">公章，否则不得分。</w:t>
            </w:r>
            <w:r/>
          </w:p>
        </w:tc>
        <w:tc>
          <w:tcPr>
            <w:tcW w:w="2325"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1662"/>
        </w:trPr>
        <w:tc>
          <w:tcPr>
            <w:tcW w:w="705"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w:t>
            </w:r>
            <w:r>
              <w:rPr>
                <w:rFonts w:hint="eastAsia" w:cs="宋体"/>
                <w:sz w:val="21"/>
                <w:szCs w:val="21"/>
                <w:highlight w:val="none"/>
                <w:lang w:val="en-US" w:eastAsia="zh-CN" w:bidi="ar-SA"/>
              </w:rPr>
              <w:t xml:space="preserve">4</w:t>
            </w:r>
            <w:r/>
          </w:p>
        </w:tc>
        <w:tc>
          <w:tcPr>
            <w:tcW w:w="1241" w:type="dxa"/>
            <w:vAlign w:val="center"/>
            <w:textDirection w:val="lrTb"/>
            <w:noWrap w:val="false"/>
          </w:tcPr>
          <w:p>
            <w:pPr>
              <w:pStyle w:val="892"/>
              <w:jc w:val="center"/>
              <w:spacing w:before="0" w:line="240" w:lineRule="auto"/>
              <w:widowControl w:val="off"/>
              <w:rPr>
                <w:rFonts w:hint="eastAsia" w:ascii="宋体" w:hAnsi="宋体" w:eastAsia="宋体" w:cs="宋体"/>
                <w:color w:val="auto"/>
                <w:spacing w:val="-6"/>
                <w:sz w:val="21"/>
                <w:szCs w:val="21"/>
                <w:highlight w:val="none"/>
                <w:lang w:val="en-US" w:eastAsia="zh-CN"/>
              </w:rPr>
            </w:pPr>
            <w:r>
              <w:rPr>
                <w:rFonts w:hint="eastAsia" w:cs="宋体"/>
                <w:color w:val="auto"/>
                <w:spacing w:val="-6"/>
                <w:sz w:val="21"/>
                <w:szCs w:val="21"/>
                <w:highlight w:val="none"/>
                <w:lang w:val="en-US" w:eastAsia="zh-CN"/>
              </w:rPr>
              <w:t xml:space="preserve">服务承诺</w:t>
            </w:r>
            <w:r/>
          </w:p>
        </w:tc>
        <w:tc>
          <w:tcPr>
            <w:tcW w:w="676" w:type="dxa"/>
            <w:vAlign w:val="center"/>
            <w:textDirection w:val="lrTb"/>
            <w:noWrap w:val="false"/>
          </w:tcPr>
          <w:p>
            <w:pPr>
              <w:jc w:val="center"/>
              <w:spacing w:line="36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p>
        </w:tc>
        <w:tc>
          <w:tcPr>
            <w:tcW w:w="5554" w:type="dxa"/>
            <w:vAlign w:val="center"/>
            <w:textDirection w:val="lrTb"/>
            <w:noWrap w:val="false"/>
          </w:tcPr>
          <w:p>
            <w:pPr>
              <w:pStyle w:val="892"/>
              <w:ind w:firstLine="420"/>
              <w:spacing w:before="0" w:line="240" w:lineRule="auto"/>
              <w:rPr>
                <w:rFonts w:hint="eastAsia" w:ascii="宋体" w:hAnsi="宋体" w:eastAsia="宋体" w:cs="宋体"/>
                <w:sz w:val="21"/>
                <w:szCs w:val="21"/>
                <w:highlight w:val="none"/>
                <w:lang w:val="en-US" w:eastAsia="zh-CN"/>
              </w:rPr>
            </w:pPr>
            <w:r>
              <w:rPr>
                <w:rFonts w:hint="eastAsia" w:ascii="宋体" w:hAnsi="宋体" w:cs="宋体"/>
                <w:sz w:val="21"/>
                <w:szCs w:val="21"/>
                <w:highlight w:val="none"/>
              </w:rPr>
              <w:t xml:space="preserve">供应商提供运维服务故障响应及时性承诺函，对日间突发故障，</w:t>
            </w:r>
            <w:r>
              <w:rPr>
                <w:rFonts w:hint="eastAsia" w:ascii="宋体" w:hAnsi="宋体" w:cs="宋体"/>
                <w:sz w:val="21"/>
                <w:szCs w:val="21"/>
                <w:highlight w:val="none"/>
                <w:lang w:val="en-US" w:eastAsia="zh-CN"/>
              </w:rPr>
              <w:t xml:space="preserve">承诺</w:t>
            </w:r>
            <w:r>
              <w:rPr>
                <w:rFonts w:hint="eastAsia" w:cs="宋体"/>
                <w:sz w:val="21"/>
                <w:szCs w:val="21"/>
                <w:highlight w:val="none"/>
                <w:lang w:val="en-US" w:eastAsia="zh-CN"/>
              </w:rPr>
              <w:t xml:space="preserve">0.5</w:t>
            </w:r>
            <w:r>
              <w:rPr>
                <w:rFonts w:hint="eastAsia" w:ascii="宋体" w:hAnsi="宋体" w:cs="宋体"/>
                <w:sz w:val="21"/>
                <w:szCs w:val="21"/>
                <w:highlight w:val="none"/>
              </w:rPr>
              <w:t xml:space="preserve">小时内到现场</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对于夜间突发故障，</w:t>
            </w:r>
            <w:r>
              <w:rPr>
                <w:rFonts w:hint="eastAsia" w:ascii="宋体" w:hAnsi="宋体" w:cs="宋体"/>
                <w:sz w:val="21"/>
                <w:szCs w:val="21"/>
                <w:highlight w:val="none"/>
                <w:lang w:val="en-US" w:eastAsia="zh-CN"/>
              </w:rPr>
              <w:t xml:space="preserve">承诺</w:t>
            </w:r>
            <w:r>
              <w:rPr>
                <w:rFonts w:hint="eastAsia" w:cs="宋体"/>
                <w:sz w:val="21"/>
                <w:szCs w:val="21"/>
                <w:highlight w:val="none"/>
                <w:lang w:val="en-US" w:eastAsia="zh-CN"/>
              </w:rPr>
              <w:t xml:space="preserve">8</w:t>
            </w:r>
            <w:r>
              <w:rPr>
                <w:rFonts w:hint="eastAsia" w:ascii="宋体" w:hAnsi="宋体" w:cs="宋体"/>
                <w:sz w:val="21"/>
                <w:szCs w:val="21"/>
                <w:highlight w:val="none"/>
              </w:rPr>
              <w:t xml:space="preserve">小时内到达现场</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得</w:t>
            </w:r>
            <w:r>
              <w:rPr>
                <w:rFonts w:hint="eastAsia" w:cs="宋体"/>
                <w:sz w:val="21"/>
                <w:szCs w:val="21"/>
                <w:highlight w:val="none"/>
                <w:lang w:val="en-US" w:eastAsia="zh-CN"/>
              </w:rPr>
              <w:t xml:space="preserve">4</w:t>
            </w:r>
            <w:r>
              <w:rPr>
                <w:rFonts w:hint="eastAsia" w:ascii="宋体" w:hAnsi="宋体" w:cs="宋体"/>
                <w:sz w:val="21"/>
                <w:szCs w:val="21"/>
                <w:highlight w:val="none"/>
                <w:lang w:val="en-US" w:eastAsia="zh-CN"/>
              </w:rPr>
              <w:t xml:space="preserve">分。</w:t>
            </w:r>
            <w:r/>
          </w:p>
          <w:p>
            <w:pPr>
              <w:pStyle w:val="892"/>
              <w:ind w:firstLine="422"/>
              <w:rPr>
                <w:rFonts w:hint="eastAsia" w:ascii="宋体" w:hAnsi="宋体" w:eastAsia="宋体" w:cs="宋体"/>
                <w:b/>
                <w:bCs/>
                <w:sz w:val="21"/>
                <w:szCs w:val="21"/>
                <w:highlight w:val="none"/>
              </w:rPr>
            </w:pPr>
            <w:r>
              <w:rPr>
                <w:rFonts w:hint="eastAsia" w:ascii="宋体" w:hAnsi="宋体" w:cs="宋体"/>
                <w:b/>
                <w:bCs/>
                <w:sz w:val="21"/>
                <w:szCs w:val="21"/>
                <w:highlight w:val="none"/>
              </w:rPr>
              <w:t xml:space="preserve">注：响应文件</w:t>
            </w:r>
            <w:r>
              <w:rPr>
                <w:rFonts w:hint="eastAsia" w:ascii="宋体" w:hAnsi="宋体" w:cs="宋体"/>
                <w:b/>
                <w:bCs/>
                <w:sz w:val="21"/>
                <w:szCs w:val="21"/>
                <w:highlight w:val="none"/>
                <w:lang w:val="en-US" w:eastAsia="zh-CN"/>
              </w:rPr>
              <w:t xml:space="preserve">中提供承诺函（格式自拟）</w:t>
            </w:r>
            <w:r>
              <w:rPr>
                <w:rFonts w:hint="eastAsia" w:ascii="宋体" w:hAnsi="宋体" w:cs="宋体"/>
                <w:b/>
                <w:bCs/>
                <w:sz w:val="21"/>
                <w:szCs w:val="21"/>
                <w:highlight w:val="none"/>
              </w:rPr>
              <w:t xml:space="preserve">加盖</w:t>
            </w:r>
            <w:r>
              <w:rPr>
                <w:rFonts w:hint="eastAsia" w:ascii="宋体" w:hAnsi="宋体" w:cs="宋体"/>
                <w:b/>
                <w:bCs/>
                <w:sz w:val="21"/>
                <w:szCs w:val="21"/>
                <w:highlight w:val="none"/>
                <w:lang w:val="en-US" w:eastAsia="zh-CN"/>
              </w:rPr>
              <w:t xml:space="preserve">供应商</w:t>
            </w:r>
            <w:r>
              <w:rPr>
                <w:rFonts w:hint="eastAsia" w:ascii="宋体" w:hAnsi="宋体" w:cs="宋体"/>
                <w:b/>
                <w:bCs/>
                <w:sz w:val="21"/>
                <w:szCs w:val="21"/>
                <w:highlight w:val="none"/>
              </w:rPr>
              <w:t xml:space="preserve">公章</w:t>
            </w:r>
            <w:r>
              <w:rPr>
                <w:rFonts w:hint="eastAsia" w:ascii="宋体" w:hAnsi="宋体" w:cs="宋体"/>
                <w:b/>
                <w:bCs/>
                <w:sz w:val="21"/>
                <w:szCs w:val="21"/>
                <w:highlight w:val="none"/>
                <w:lang w:eastAsia="zh-CN"/>
              </w:rPr>
              <w:t xml:space="preserve">，</w:t>
            </w:r>
            <w:r>
              <w:rPr>
                <w:rFonts w:hint="eastAsia" w:ascii="宋体" w:hAnsi="宋体" w:cs="宋体"/>
                <w:b/>
                <w:bCs/>
                <w:sz w:val="21"/>
                <w:szCs w:val="21"/>
                <w:highlight w:val="none"/>
                <w:lang w:val="en-US" w:eastAsia="zh-CN"/>
              </w:rPr>
              <w:t xml:space="preserve">未提供或提供不符合要求的不得分。</w:t>
            </w:r>
            <w:r/>
          </w:p>
        </w:tc>
        <w:tc>
          <w:tcPr>
            <w:tcW w:w="2325"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368"/>
        </w:trPr>
        <w:tc>
          <w:tcPr>
            <w:tcW w:w="705" w:type="dxa"/>
            <w:vAlign w:val="center"/>
            <w:textDirection w:val="lrTb"/>
            <w:noWrap w:val="false"/>
          </w:tcPr>
          <w:p>
            <w:pPr>
              <w:pStyle w:val="892"/>
              <w:jc w:val="center"/>
              <w:spacing w:before="0" w:line="24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3</w:t>
            </w:r>
            <w:r/>
          </w:p>
        </w:tc>
        <w:tc>
          <w:tcPr>
            <w:tcW w:w="1241" w:type="dxa"/>
            <w:vAlign w:val="center"/>
            <w:textDirection w:val="lrTb"/>
            <w:noWrap w:val="false"/>
          </w:tcPr>
          <w:p>
            <w:pPr>
              <w:pStyle w:val="892"/>
              <w:jc w:val="center"/>
              <w:spacing w:before="0" w:line="240" w:lineRule="auto"/>
              <w:widowControl w:val="off"/>
              <w:rPr>
                <w:rFonts w:hint="eastAsia" w:ascii="宋体" w:hAnsi="宋体" w:eastAsia="宋体" w:cs="宋体"/>
                <w:b/>
                <w:bCs/>
                <w:color w:val="auto"/>
                <w:spacing w:val="-6"/>
                <w:sz w:val="21"/>
                <w:szCs w:val="21"/>
                <w:highlight w:val="none"/>
                <w:lang w:val="en-US" w:eastAsia="zh-CN"/>
              </w:rPr>
            </w:pPr>
            <w:r>
              <w:rPr>
                <w:rFonts w:hint="eastAsia" w:ascii="宋体" w:hAnsi="宋体" w:cs="宋体"/>
                <w:b/>
                <w:bCs/>
                <w:color w:val="auto"/>
                <w:spacing w:val="-6"/>
                <w:sz w:val="21"/>
                <w:szCs w:val="21"/>
                <w:highlight w:val="none"/>
                <w:lang w:val="en-US" w:eastAsia="zh-CN"/>
              </w:rPr>
              <w:t xml:space="preserve">技术部分</w:t>
            </w:r>
            <w:r/>
          </w:p>
        </w:tc>
        <w:tc>
          <w:tcPr>
            <w:tcW w:w="676" w:type="dxa"/>
            <w:vAlign w:val="center"/>
            <w:textDirection w:val="lrTb"/>
            <w:noWrap w:val="false"/>
          </w:tcPr>
          <w:p>
            <w:pPr>
              <w:jc w:val="center"/>
              <w:spacing w:line="36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cs="宋体"/>
                <w:b/>
                <w:bCs/>
                <w:color w:val="000000"/>
                <w:sz w:val="21"/>
                <w:szCs w:val="21"/>
                <w:highlight w:val="none"/>
                <w:lang w:val="en-US" w:eastAsia="zh-CN" w:bidi="ar-SA"/>
              </w:rPr>
              <w:t xml:space="preserve">50</w:t>
            </w:r>
            <w:r/>
          </w:p>
        </w:tc>
        <w:tc>
          <w:tcPr>
            <w:tcW w:w="5554" w:type="dxa"/>
            <w:vAlign w:val="center"/>
            <w:textDirection w:val="lrTb"/>
            <w:noWrap w:val="false"/>
          </w:tcPr>
          <w:p>
            <w:pPr>
              <w:pStyle w:val="892"/>
              <w:jc w:val="both"/>
              <w:spacing w:before="0" w:line="240" w:lineRule="auto"/>
              <w:widowControl w:val="off"/>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325"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r>
      <w:tr>
        <w:trPr>
          <w:jc w:val="center"/>
          <w:trHeight w:val="2508"/>
        </w:trPr>
        <w:tc>
          <w:tcPr>
            <w:tcW w:w="705"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3.1</w:t>
            </w:r>
            <w:r/>
          </w:p>
        </w:tc>
        <w:tc>
          <w:tcPr>
            <w:tcW w:w="124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sz w:val="21"/>
                <w:szCs w:val="21"/>
                <w:highlight w:val="none"/>
              </w:rPr>
              <w:t xml:space="preserve">系统总体认识和理解</w:t>
            </w:r>
            <w:r/>
          </w:p>
        </w:tc>
        <w:tc>
          <w:tcPr>
            <w:tcW w:w="676" w:type="dxa"/>
            <w:vAlign w:val="center"/>
            <w:textDirection w:val="lrTb"/>
            <w:noWrap w:val="false"/>
          </w:tcPr>
          <w:p>
            <w:pPr>
              <w:ind w:firstLine="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5</w:t>
            </w:r>
            <w:r/>
          </w:p>
        </w:tc>
        <w:tc>
          <w:tcPr>
            <w:tcW w:w="5554" w:type="dxa"/>
            <w:vAlign w:val="center"/>
            <w:textDirection w:val="lrTb"/>
            <w:noWrap w:val="false"/>
          </w:tcPr>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根据供应商针对本项目提供服务的系统总体认识和理解进行综合评定（</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对项目背景及目标认识充分，系统理解和业务理解分析透彻的得</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对项目背景及目标有一定程度认识，对系统理解和业务理解阐述明确，但见解稍欠缺的得</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对本项目背景及目标认识不够充分，系统理解和业务理解缺乏完整性，见解缺乏客观性的得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p>
          <w:p>
            <w:pPr>
              <w:ind w:firstLine="420"/>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sz w:val="21"/>
                <w:szCs w:val="21"/>
                <w:highlight w:val="none"/>
              </w:rPr>
              <w:t xml:space="preserve">未提供不得分。</w:t>
            </w:r>
            <w:r/>
          </w:p>
        </w:tc>
        <w:tc>
          <w:tcPr>
            <w:tcW w:w="2325" w:type="dxa"/>
            <w:vAlign w:val="center"/>
            <w:textDirection w:val="lrTb"/>
            <w:noWrap w:val="false"/>
          </w:tcPr>
          <w:p>
            <w:pPr>
              <w:ind w:left="-38"/>
              <w:jc w:val="center"/>
              <w:widowControl w:val="off"/>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响应文件中提供方案</w:t>
            </w:r>
            <w:r/>
          </w:p>
        </w:tc>
      </w:tr>
      <w:tr>
        <w:trPr>
          <w:jc w:val="center"/>
          <w:trHeight w:val="2390"/>
        </w:trPr>
        <w:tc>
          <w:tcPr>
            <w:tcW w:w="705"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3.2</w:t>
            </w:r>
            <w:r/>
          </w:p>
        </w:tc>
        <w:tc>
          <w:tcPr>
            <w:tcW w:w="1241" w:type="dxa"/>
            <w:vAlign w:val="center"/>
            <w:textDirection w:val="lrTb"/>
            <w:noWrap w:val="false"/>
          </w:tcPr>
          <w:p>
            <w:pPr>
              <w:jc w:val="center"/>
              <w:widowControl/>
              <w:rPr>
                <w:rFonts w:hint="eastAsia" w:ascii="宋体" w:hAnsi="宋体" w:eastAsia="宋体" w:cs="宋体"/>
                <w:color w:val="000000"/>
                <w:sz w:val="21"/>
                <w:szCs w:val="21"/>
                <w:highlight w:val="none"/>
                <w:lang w:val="en-US" w:eastAsia="zh-CN" w:bidi="ar-SA"/>
              </w:rPr>
            </w:pPr>
            <w:r>
              <w:rPr>
                <w:rFonts w:hint="eastAsia" w:ascii="宋体" w:hAnsi="宋体" w:cs="宋体"/>
                <w:sz w:val="21"/>
                <w:szCs w:val="21"/>
                <w:highlight w:val="none"/>
              </w:rPr>
              <w:t xml:space="preserve">系统逻辑框架、技术框架、数据框架认识和理解</w:t>
            </w:r>
            <w:r/>
          </w:p>
        </w:tc>
        <w:tc>
          <w:tcPr>
            <w:tcW w:w="676" w:type="dxa"/>
            <w:vAlign w:val="center"/>
            <w:textDirection w:val="lrTb"/>
            <w:noWrap w:val="false"/>
          </w:tcPr>
          <w:p>
            <w:pPr>
              <w:ind w:firstLine="0"/>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w:t>
            </w:r>
            <w:r/>
          </w:p>
        </w:tc>
        <w:tc>
          <w:tcPr>
            <w:tcW w:w="5554" w:type="dxa"/>
            <w:vAlign w:val="center"/>
            <w:textDirection w:val="lrTb"/>
            <w:noWrap w:val="false"/>
          </w:tcPr>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根据供应商对本项目中江苏省财政预算管理一体化系统的逻辑框架、技术框架、数据框架认识和理解进行综合评定（</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分）</w:t>
            </w:r>
            <w:r/>
          </w:p>
          <w:p>
            <w:pPr>
              <w:ind w:firstLine="420"/>
              <w:jc w:val="left"/>
              <w:widowControl/>
              <w:rPr>
                <w:rFonts w:hint="eastAsia" w:ascii="宋体" w:hAnsi="宋体" w:cs="宋体"/>
                <w:bCs w:val="0"/>
                <w:sz w:val="21"/>
                <w:szCs w:val="21"/>
                <w:highlight w:val="none"/>
              </w:rPr>
            </w:pPr>
            <w:r>
              <w:rPr>
                <w:rFonts w:hint="eastAsia" w:ascii="宋体" w:hAnsi="宋体" w:cs="宋体"/>
                <w:sz w:val="21"/>
                <w:szCs w:val="21"/>
                <w:highlight w:val="none"/>
              </w:rPr>
              <w:t xml:space="preserve">方案内容阐述</w:t>
            </w:r>
            <w:r>
              <w:rPr>
                <w:rFonts w:hint="eastAsia" w:ascii="宋体" w:hAnsi="宋体" w:cs="宋体"/>
                <w:bCs w:val="0"/>
                <w:sz w:val="21"/>
                <w:szCs w:val="21"/>
                <w:highlight w:val="none"/>
              </w:rPr>
              <w:t xml:space="preserve">具有科学性和合理性，方案说明详细、准确、针对性强的得</w:t>
            </w:r>
            <w:r>
              <w:rPr>
                <w:rFonts w:hint="eastAsia" w:ascii="宋体" w:hAnsi="宋体" w:cs="宋体"/>
                <w:bCs w:val="0"/>
                <w:sz w:val="21"/>
                <w:szCs w:val="21"/>
                <w:highlight w:val="none"/>
                <w:lang w:val="en-US" w:eastAsia="zh-CN"/>
              </w:rPr>
              <w:t xml:space="preserve">3</w:t>
            </w:r>
            <w:r>
              <w:rPr>
                <w:rFonts w:hint="eastAsia" w:ascii="宋体" w:hAnsi="宋体" w:cs="宋体"/>
                <w:bCs w:val="0"/>
                <w:sz w:val="21"/>
                <w:szCs w:val="21"/>
                <w:highlight w:val="none"/>
              </w:rPr>
              <w:t xml:space="preserve">分；</w:t>
            </w:r>
            <w:r/>
          </w:p>
          <w:p>
            <w:pPr>
              <w:ind w:firstLine="420"/>
              <w:jc w:val="left"/>
              <w:widowControl/>
              <w:rPr>
                <w:rFonts w:hint="eastAsia" w:ascii="宋体" w:hAnsi="宋体" w:cs="宋体"/>
                <w:bCs w:val="0"/>
                <w:sz w:val="21"/>
                <w:szCs w:val="21"/>
                <w:highlight w:val="none"/>
              </w:rPr>
            </w:pPr>
            <w:r>
              <w:rPr>
                <w:rFonts w:hint="eastAsia" w:ascii="宋体" w:hAnsi="宋体" w:cs="宋体"/>
                <w:bCs w:val="0"/>
                <w:sz w:val="21"/>
                <w:szCs w:val="21"/>
                <w:highlight w:val="none"/>
              </w:rPr>
              <w:t xml:space="preserve">方案说明较为详细、较为准确、针对性较强的得</w:t>
            </w:r>
            <w:r>
              <w:rPr>
                <w:rFonts w:hint="eastAsia" w:ascii="宋体" w:hAnsi="宋体" w:cs="宋体"/>
                <w:bCs w:val="0"/>
                <w:sz w:val="21"/>
                <w:szCs w:val="21"/>
                <w:highlight w:val="none"/>
                <w:lang w:val="en-US" w:eastAsia="zh-CN"/>
              </w:rPr>
              <w:t xml:space="preserve">2</w:t>
            </w:r>
            <w:r>
              <w:rPr>
                <w:rFonts w:hint="eastAsia" w:ascii="宋体" w:hAnsi="宋体" w:cs="宋体"/>
                <w:bCs w:val="0"/>
                <w:sz w:val="21"/>
                <w:szCs w:val="21"/>
                <w:highlight w:val="none"/>
              </w:rPr>
              <w:t xml:space="preserve">分；</w:t>
            </w:r>
            <w:r/>
          </w:p>
          <w:p>
            <w:pPr>
              <w:ind w:firstLine="420"/>
              <w:jc w:val="left"/>
              <w:widowControl/>
              <w:rPr>
                <w:rFonts w:hint="eastAsia" w:ascii="宋体" w:hAnsi="宋体" w:cs="宋体"/>
                <w:bCs w:val="0"/>
                <w:sz w:val="21"/>
                <w:szCs w:val="21"/>
                <w:highlight w:val="none"/>
              </w:rPr>
            </w:pPr>
            <w:r>
              <w:rPr>
                <w:rFonts w:hint="eastAsia" w:ascii="宋体" w:hAnsi="宋体" w:cs="宋体"/>
                <w:bCs w:val="0"/>
                <w:sz w:val="21"/>
                <w:szCs w:val="21"/>
                <w:highlight w:val="none"/>
              </w:rPr>
              <w:t xml:space="preserve">方案说明一般、准确度不高、针对性一般得</w:t>
            </w:r>
            <w:r>
              <w:rPr>
                <w:rFonts w:hint="eastAsia" w:ascii="宋体" w:hAnsi="宋体" w:cs="宋体"/>
                <w:bCs w:val="0"/>
                <w:sz w:val="21"/>
                <w:szCs w:val="21"/>
                <w:highlight w:val="none"/>
                <w:lang w:val="en-US" w:eastAsia="zh-CN"/>
              </w:rPr>
              <w:t xml:space="preserve">1</w:t>
            </w:r>
            <w:r>
              <w:rPr>
                <w:rFonts w:hint="eastAsia" w:ascii="宋体" w:hAnsi="宋体" w:cs="宋体"/>
                <w:bCs w:val="0"/>
                <w:sz w:val="21"/>
                <w:szCs w:val="21"/>
                <w:highlight w:val="none"/>
              </w:rPr>
              <w:t xml:space="preserve">分；</w:t>
            </w:r>
            <w:r/>
          </w:p>
          <w:p>
            <w:pPr>
              <w:ind w:firstLine="420"/>
              <w:jc w:val="left"/>
              <w:widowControl/>
              <w:rPr>
                <w:rFonts w:hint="eastAsia" w:ascii="宋体" w:hAnsi="宋体" w:eastAsia="宋体" w:cs="宋体"/>
                <w:color w:val="000000"/>
                <w:sz w:val="21"/>
                <w:szCs w:val="21"/>
                <w:highlight w:val="none"/>
                <w:lang w:val="en-US" w:eastAsia="zh-CN" w:bidi="ar-SA"/>
              </w:rPr>
            </w:pPr>
            <w:r>
              <w:rPr>
                <w:rFonts w:hint="eastAsia" w:ascii="宋体" w:hAnsi="宋体" w:cs="宋体"/>
                <w:sz w:val="21"/>
                <w:szCs w:val="21"/>
                <w:highlight w:val="none"/>
              </w:rPr>
              <w:t xml:space="preserve">未提供不得分。</w:t>
            </w:r>
            <w:r/>
          </w:p>
        </w:tc>
        <w:tc>
          <w:tcPr>
            <w:tcW w:w="2325"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响应文件中提供方案</w:t>
            </w:r>
            <w:r/>
          </w:p>
        </w:tc>
      </w:tr>
      <w:tr>
        <w:trPr>
          <w:jc w:val="center"/>
          <w:trHeight w:val="2558"/>
        </w:trPr>
        <w:tc>
          <w:tcPr>
            <w:tcW w:w="705"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w:t>
            </w:r>
            <w:r>
              <w:rPr>
                <w:rFonts w:hint="eastAsia" w:eastAsia="宋体" w:cs="宋体"/>
                <w:sz w:val="21"/>
                <w:szCs w:val="21"/>
                <w:highlight w:val="none"/>
                <w:lang w:val="en-US" w:eastAsia="zh-CN" w:bidi="ar-SA"/>
              </w:rPr>
              <w:t xml:space="preserve">3</w:t>
            </w:r>
            <w:r/>
          </w:p>
        </w:tc>
        <w:tc>
          <w:tcPr>
            <w:tcW w:w="1241" w:type="dxa"/>
            <w:vAlign w:val="center"/>
            <w:textDirection w:val="lrTb"/>
            <w:noWrap w:val="false"/>
          </w:tcPr>
          <w:p>
            <w:pPr>
              <w:jc w:val="center"/>
              <w:widowControl/>
              <w:rPr>
                <w:rFonts w:hint="eastAsia" w:ascii="宋体" w:hAnsi="宋体" w:eastAsia="宋体" w:cs="宋体"/>
                <w:color w:val="000000"/>
                <w:spacing w:val="-6"/>
                <w:sz w:val="21"/>
                <w:szCs w:val="21"/>
                <w:highlight w:val="none"/>
                <w:lang w:val="en-US" w:eastAsia="zh-CN" w:bidi="ar-SA"/>
              </w:rPr>
            </w:pPr>
            <w:r>
              <w:rPr>
                <w:rFonts w:hint="eastAsia" w:ascii="宋体" w:hAnsi="宋体" w:cs="宋体"/>
                <w:spacing w:val="7"/>
                <w:sz w:val="21"/>
                <w:szCs w:val="21"/>
                <w:highlight w:val="none"/>
              </w:rPr>
              <w:t xml:space="preserve">预算编制和绩效板块年度工作理解</w:t>
            </w:r>
            <w:r/>
          </w:p>
        </w:tc>
        <w:tc>
          <w:tcPr>
            <w:tcW w:w="676" w:type="dxa"/>
            <w:vAlign w:val="center"/>
            <w:textDirection w:val="lrTb"/>
            <w:noWrap w:val="false"/>
          </w:tcPr>
          <w:p>
            <w:pPr>
              <w:ind w:firstLine="28"/>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cs="宋体"/>
                <w:color w:val="000000"/>
                <w:sz w:val="21"/>
                <w:szCs w:val="21"/>
                <w:highlight w:val="none"/>
                <w:lang w:val="en-US" w:eastAsia="zh-CN" w:bidi="ar-SA"/>
              </w:rPr>
              <w:t xml:space="preserve">3</w:t>
            </w:r>
            <w:r/>
          </w:p>
        </w:tc>
        <w:tc>
          <w:tcPr>
            <w:tcW w:w="5554" w:type="dxa"/>
            <w:vAlign w:val="center"/>
            <w:textDirection w:val="lrTb"/>
            <w:noWrap w:val="false"/>
          </w:tcPr>
          <w:p>
            <w:pPr>
              <w:ind w:firstLine="420"/>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根据供应商对本项目中江苏省财政预算管理一体化系统（预算编制和绩效板块）的年度工作认识和理解进行综合评定（</w:t>
            </w: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rPr>
              <w:t xml:space="preserve">分）</w:t>
            </w:r>
            <w:r/>
          </w:p>
          <w:p>
            <w:pPr>
              <w:ind w:firstLine="420"/>
              <w:rPr>
                <w:rFonts w:hint="eastAsia" w:ascii="宋体" w:hAnsi="宋体" w:eastAsia="宋体" w:cs="宋体"/>
                <w:sz w:val="21"/>
                <w:szCs w:val="21"/>
                <w:highlight w:val="none"/>
              </w:rPr>
            </w:pPr>
            <w:r>
              <w:rPr>
                <w:rFonts w:hint="eastAsia" w:ascii="宋体" w:hAnsi="宋体" w:cs="宋体"/>
                <w:sz w:val="21"/>
                <w:szCs w:val="21"/>
                <w:highlight w:val="none"/>
              </w:rPr>
              <w:t xml:space="preserve">方案</w:t>
            </w:r>
            <w:r>
              <w:rPr>
                <w:rFonts w:hint="eastAsia" w:ascii="宋体" w:hAnsi="宋体" w:eastAsia="宋体" w:cs="宋体"/>
                <w:sz w:val="21"/>
                <w:szCs w:val="21"/>
                <w:highlight w:val="none"/>
              </w:rPr>
              <w:t xml:space="preserve">内容完整，与财政实际业务需求相符的得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方案内容较为完整，与财政实际业务需求较为符合，稍有欠缺的得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方案内容缺失较多，所描述的内容与财政实际业务需求不太符合的，得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ind w:firstLine="420"/>
              <w:rPr>
                <w:rFonts w:hint="eastAsia" w:ascii="宋体" w:hAnsi="宋体" w:eastAsia="宋体" w:cs="宋体"/>
                <w:color w:val="000000"/>
                <w:sz w:val="21"/>
                <w:szCs w:val="21"/>
                <w:highlight w:val="none"/>
                <w:lang w:val="en-US" w:eastAsia="zh-CN" w:bidi="ar-SA"/>
              </w:rPr>
            </w:pPr>
            <w:r>
              <w:rPr>
                <w:rFonts w:hint="eastAsia" w:ascii="宋体" w:hAnsi="宋体" w:cs="宋体"/>
                <w:sz w:val="21"/>
                <w:szCs w:val="21"/>
                <w:highlight w:val="none"/>
              </w:rPr>
              <w:t xml:space="preserve">未提供不得分。</w:t>
            </w:r>
            <w:r/>
          </w:p>
        </w:tc>
        <w:tc>
          <w:tcPr>
            <w:tcW w:w="2325" w:type="dxa"/>
            <w:vAlign w:val="center"/>
            <w:textDirection w:val="lrTb"/>
            <w:noWrap w:val="false"/>
          </w:tcPr>
          <w:p>
            <w:pPr>
              <w:jc w:val="center"/>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bCs/>
                <w:color w:val="000000"/>
                <w:sz w:val="21"/>
                <w:szCs w:val="21"/>
                <w:highlight w:val="none"/>
                <w:shd w:val="clear" w:color="auto" w:fill="auto"/>
                <w:lang w:val="en-US" w:eastAsia="zh-CN" w:bidi="ar-SA"/>
              </w:rPr>
              <w:t xml:space="preserve">响应文件中提供方案</w:t>
            </w:r>
            <w:r/>
          </w:p>
        </w:tc>
      </w:tr>
      <w:tr>
        <w:trPr>
          <w:jc w:val="center"/>
          <w:trHeight w:val="2496"/>
        </w:trPr>
        <w:tc>
          <w:tcPr>
            <w:tcW w:w="705" w:type="dxa"/>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.4</w:t>
            </w:r>
            <w:r/>
          </w:p>
        </w:tc>
        <w:tc>
          <w:tcPr>
            <w:tcW w:w="1241" w:type="dxa"/>
            <w:vAlign w:val="center"/>
            <w:textDirection w:val="lrTb"/>
            <w:noWrap w:val="false"/>
          </w:tcPr>
          <w:p>
            <w:pPr>
              <w:pStyle w:val="1313"/>
              <w:jc w:val="center"/>
              <w:rPr>
                <w:rFonts w:hint="eastAsia" w:ascii="宋体" w:hAnsi="宋体" w:eastAsia="宋体" w:cs="宋体"/>
                <w:spacing w:val="7"/>
                <w:sz w:val="21"/>
                <w:szCs w:val="21"/>
                <w:highlight w:val="none"/>
              </w:rPr>
            </w:pPr>
            <w:r>
              <w:rPr>
                <w:rFonts w:hint="eastAsia" w:ascii="宋体" w:hAnsi="宋体" w:eastAsia="宋体" w:cs="宋体"/>
                <w:spacing w:val="7"/>
                <w:sz w:val="21"/>
                <w:szCs w:val="21"/>
                <w:highlight w:val="none"/>
              </w:rPr>
              <w:t xml:space="preserve">预算执行版块年度工作理解</w:t>
            </w:r>
            <w:r/>
          </w:p>
          <w:p>
            <w:pPr>
              <w:jc w:val="center"/>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76" w:type="dxa"/>
            <w:vAlign w:val="center"/>
            <w:textDirection w:val="lrTb"/>
            <w:noWrap w:val="false"/>
          </w:tcPr>
          <w:p>
            <w:pPr>
              <w:jc w:val="center"/>
              <w:widowControl/>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w:t>
            </w:r>
            <w:r/>
          </w:p>
        </w:tc>
        <w:tc>
          <w:tcPr>
            <w:tcW w:w="5554" w:type="dxa"/>
            <w:vAlign w:val="center"/>
            <w:textDirection w:val="lrTb"/>
            <w:noWrap w:val="false"/>
          </w:tcPr>
          <w:p>
            <w:pPr>
              <w:ind w:firstLine="420"/>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根据供应商对本项目中江苏省财政预算管理一体化系统（预算执行板块）的年度工作认识和理解进行综合评定（</w:t>
            </w: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rPr>
              <w:t xml:space="preserve">分）</w:t>
            </w:r>
            <w:r/>
          </w:p>
          <w:p>
            <w:pPr>
              <w:ind w:firstLine="420"/>
              <w:rPr>
                <w:rFonts w:hint="eastAsia" w:ascii="宋体" w:hAnsi="宋体" w:eastAsia="宋体" w:cs="宋体"/>
                <w:sz w:val="21"/>
                <w:szCs w:val="21"/>
                <w:highlight w:val="none"/>
              </w:rPr>
            </w:pPr>
            <w:r>
              <w:rPr>
                <w:rFonts w:hint="eastAsia" w:ascii="宋体" w:hAnsi="宋体" w:cs="宋体"/>
                <w:sz w:val="21"/>
                <w:szCs w:val="21"/>
                <w:highlight w:val="none"/>
              </w:rPr>
              <w:t xml:space="preserve">方案</w:t>
            </w:r>
            <w:r>
              <w:rPr>
                <w:rFonts w:hint="eastAsia" w:ascii="宋体" w:hAnsi="宋体" w:eastAsia="宋体" w:cs="宋体"/>
                <w:sz w:val="21"/>
                <w:szCs w:val="21"/>
                <w:highlight w:val="none"/>
              </w:rPr>
              <w:t xml:space="preserve">内容完整，与财政实际业务需求相符的得</w:t>
            </w: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方案内容较为完整，与财政实际业务需求较为符合，稍有欠缺的得</w:t>
            </w: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分；</w:t>
            </w:r>
            <w:r/>
          </w:p>
          <w:p>
            <w:pPr>
              <w:ind w:firstLine="420"/>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方案内容缺失较多，所描述的内容与财政实际业务需求不太符合的，得</w:t>
            </w: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ind w:firstLine="420"/>
              <w:rPr>
                <w:rFonts w:hint="eastAsia" w:ascii="宋体" w:hAnsi="宋体" w:eastAsia="宋体" w:cs="宋体"/>
                <w:color w:val="000000"/>
                <w:sz w:val="21"/>
                <w:szCs w:val="21"/>
                <w:highlight w:val="none"/>
                <w:lang w:val="en-US" w:eastAsia="zh-CN"/>
              </w:rPr>
            </w:pPr>
            <w:r>
              <w:rPr>
                <w:rFonts w:hint="eastAsia" w:ascii="宋体" w:hAnsi="宋体" w:cs="宋体"/>
                <w:sz w:val="21"/>
                <w:szCs w:val="21"/>
                <w:highlight w:val="none"/>
              </w:rPr>
              <w:t xml:space="preserve">未提供不得分。</w:t>
            </w:r>
            <w:r/>
          </w:p>
        </w:tc>
        <w:tc>
          <w:tcPr>
            <w:tcW w:w="2325" w:type="dxa"/>
            <w:vAlign w:val="center"/>
            <w:textDirection w:val="lrTb"/>
            <w:noWrap w:val="false"/>
          </w:tcPr>
          <w:p>
            <w:pPr>
              <w:ind w:left="-38"/>
              <w:jc w:val="center"/>
              <w:rPr>
                <w:rFonts w:hint="eastAsia" w:ascii="宋体" w:hAnsi="宋体" w:eastAsia="宋体" w:cs="宋体"/>
                <w:sz w:val="21"/>
                <w:szCs w:val="21"/>
                <w:highlight w:val="none"/>
                <w:lang w:val="en-US" w:eastAsia="zh-CN"/>
              </w:rPr>
            </w:pPr>
            <w:r>
              <w:rPr>
                <w:rFonts w:hint="eastAsia" w:ascii="宋体" w:hAnsi="宋体" w:eastAsia="宋体" w:cs="宋体"/>
                <w:bCs/>
                <w:color w:val="000000"/>
                <w:sz w:val="21"/>
                <w:szCs w:val="21"/>
                <w:highlight w:val="none"/>
                <w:lang w:val="en-US" w:eastAsia="zh-CN" w:bidi="ar-SA"/>
              </w:rPr>
              <w:t xml:space="preserve">响应文件中提供方案</w:t>
            </w:r>
            <w:r/>
          </w:p>
        </w:tc>
      </w:tr>
      <w:tr>
        <w:trPr>
          <w:jc w:val="center"/>
          <w:trHeight w:val="2607"/>
        </w:trPr>
        <w:tc>
          <w:tcPr>
            <w:tcW w:w="705" w:type="dxa"/>
            <w:vAlign w:val="center"/>
            <w:textDirection w:val="lrTb"/>
            <w:noWrap w:val="false"/>
          </w:tcPr>
          <w:p>
            <w:pPr>
              <w:ind w:firstLine="28"/>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.5</w:t>
            </w:r>
            <w:r/>
          </w:p>
        </w:tc>
        <w:tc>
          <w:tcPr>
            <w:tcW w:w="1241" w:type="dxa"/>
            <w:vAlign w:val="center"/>
            <w:textDirection w:val="lrTb"/>
            <w:noWrap w:val="false"/>
          </w:tcPr>
          <w:p>
            <w:pPr>
              <w:jc w:val="cente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pacing w:val="8"/>
                <w:sz w:val="21"/>
                <w:szCs w:val="21"/>
                <w:highlight w:val="none"/>
              </w:rPr>
            </w:pPr>
            <w:r>
              <w:rPr>
                <w:rFonts w:hint="eastAsia" w:ascii="宋体" w:hAnsi="宋体" w:cs="宋体"/>
                <w:spacing w:val="8"/>
                <w:sz w:val="21"/>
                <w:szCs w:val="21"/>
                <w:highlight w:val="none"/>
              </w:rPr>
              <w:t xml:space="preserve">与其他财政业务系统对接</w:t>
            </w:r>
            <w:r>
              <w:rPr>
                <w:rFonts w:hint="eastAsia" w:ascii="宋体" w:hAnsi="宋体" w:cs="宋体"/>
                <w:spacing w:val="8"/>
                <w:sz w:val="21"/>
                <w:szCs w:val="21"/>
                <w:highlight w:val="none"/>
                <w:lang w:val="zh-CN"/>
              </w:rPr>
              <w:t xml:space="preserve">熟悉程度</w:t>
            </w:r>
            <w:r>
              <w:rPr>
                <w:rFonts w:hint="eastAsia" w:ascii="宋体" w:hAnsi="宋体" w:cs="宋体"/>
                <w:spacing w:val="8"/>
                <w:sz w:val="21"/>
                <w:szCs w:val="21"/>
                <w:highlight w:val="none"/>
              </w:rPr>
              <w:t xml:space="preserve">方案（一）</w:t>
            </w:r>
            <w:r/>
          </w:p>
          <w:p>
            <w:pPr>
              <w:jc w:val="center"/>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76" w:type="dxa"/>
            <w:vAlign w:val="center"/>
            <w:textDirection w:val="lrTb"/>
            <w:noWrap w:val="false"/>
          </w:tcPr>
          <w:p>
            <w:pPr>
              <w:ind w:firstLine="28"/>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c>
          <w:tcPr>
            <w:tcW w:w="5554" w:type="dxa"/>
            <w:vAlign w:val="center"/>
            <w:textDirection w:val="lrTb"/>
            <w:noWrap w:val="false"/>
          </w:tcPr>
          <w:p>
            <w:pPr>
              <w:ind w:firstLine="420"/>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根据供应商对本项目中提供对苏采云平台熟悉程度方案行综合评定（</w:t>
            </w:r>
            <w:r>
              <w:rPr>
                <w:rFonts w:hint="eastAsia" w:ascii="宋体" w:hAnsi="宋体" w:eastAsia="宋体" w:cs="宋体"/>
                <w:spacing w:val="0"/>
                <w:sz w:val="21"/>
                <w:szCs w:val="21"/>
                <w:highlight w:val="none"/>
                <w:lang w:val="en-US" w:eastAsia="zh-CN"/>
              </w:rPr>
              <w:t xml:space="preserve">5</w:t>
            </w:r>
            <w:r>
              <w:rPr>
                <w:rFonts w:hint="eastAsia" w:ascii="宋体" w:hAnsi="宋体" w:eastAsia="宋体" w:cs="宋体"/>
                <w:spacing w:val="0"/>
                <w:sz w:val="21"/>
                <w:szCs w:val="21"/>
                <w:highlight w:val="none"/>
              </w:rPr>
              <w:t xml:space="preserve">分）</w:t>
            </w:r>
            <w:r/>
          </w:p>
          <w:p>
            <w:pPr>
              <w:ind w:firstLine="420"/>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方案内容完整，能够详细阐述苏采云平台现状，与一体化对接流程的得</w:t>
            </w:r>
            <w:r>
              <w:rPr>
                <w:rFonts w:hint="eastAsia" w:ascii="宋体" w:hAnsi="宋体" w:eastAsia="宋体" w:cs="宋体"/>
                <w:spacing w:val="0"/>
                <w:sz w:val="21"/>
                <w:szCs w:val="21"/>
                <w:highlight w:val="none"/>
                <w:lang w:val="en-US" w:eastAsia="zh-CN"/>
              </w:rPr>
              <w:t xml:space="preserve">5</w:t>
            </w:r>
            <w:r>
              <w:rPr>
                <w:rFonts w:hint="eastAsia" w:ascii="宋体" w:hAnsi="宋体" w:eastAsia="宋体" w:cs="宋体"/>
                <w:spacing w:val="0"/>
                <w:sz w:val="21"/>
                <w:szCs w:val="21"/>
                <w:highlight w:val="none"/>
              </w:rPr>
              <w:t xml:space="preserve">分；</w:t>
            </w:r>
            <w:r/>
          </w:p>
          <w:p>
            <w:pPr>
              <w:ind w:firstLine="420"/>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方案内容较为完整，能够较为详细的阐述苏采云平台现状，与一体化对接流程的得</w:t>
            </w: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rPr>
              <w:t xml:space="preserve">分；</w:t>
            </w:r>
            <w:r/>
          </w:p>
          <w:p>
            <w:pPr>
              <w:ind w:firstLine="420"/>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方案内容不够完整，阐述苏采云平台现状，与一体化对接流程的内容不太符合实际的得</w:t>
            </w:r>
            <w:r>
              <w:rPr>
                <w:rFonts w:hint="eastAsia" w:ascii="宋体" w:hAnsi="宋体" w:eastAsia="宋体" w:cs="宋体"/>
                <w:spacing w:val="0"/>
                <w:sz w:val="21"/>
                <w:szCs w:val="21"/>
                <w:highlight w:val="none"/>
                <w:lang w:val="en-US" w:eastAsia="zh-CN"/>
              </w:rPr>
              <w:t xml:space="preserve">1</w:t>
            </w:r>
            <w:r>
              <w:rPr>
                <w:rFonts w:hint="eastAsia" w:ascii="宋体" w:hAnsi="宋体" w:eastAsia="宋体" w:cs="宋体"/>
                <w:spacing w:val="0"/>
                <w:sz w:val="21"/>
                <w:szCs w:val="21"/>
                <w:highlight w:val="none"/>
              </w:rPr>
              <w:t xml:space="preserve">分；</w:t>
            </w:r>
            <w:r/>
          </w:p>
          <w:p>
            <w:pPr>
              <w:ind w:firstLine="420"/>
              <w:rPr>
                <w:rFonts w:hint="eastAsia" w:ascii="宋体" w:hAnsi="宋体" w:eastAsia="宋体" w:cs="宋体"/>
                <w:color w:val="000000"/>
                <w:sz w:val="21"/>
                <w:szCs w:val="21"/>
                <w:highlight w:val="none"/>
                <w:lang w:val="en-US" w:eastAsia="zh-CN"/>
              </w:rPr>
            </w:pPr>
            <w:r>
              <w:rPr>
                <w:rFonts w:hint="eastAsia" w:ascii="宋体" w:hAnsi="宋体" w:cs="宋体"/>
                <w:sz w:val="21"/>
                <w:szCs w:val="21"/>
                <w:highlight w:val="none"/>
              </w:rPr>
              <w:t xml:space="preserve">未提供不得分。</w:t>
            </w:r>
            <w:r/>
          </w:p>
        </w:tc>
        <w:tc>
          <w:tcPr>
            <w:tcW w:w="2325" w:type="dxa"/>
            <w:vAlign w:val="center"/>
            <w:textDirection w:val="lrTb"/>
            <w:noWrap w:val="false"/>
          </w:tcPr>
          <w:p>
            <w:pPr>
              <w:ind w:left="-38"/>
              <w:jc w:val="center"/>
              <w:rPr>
                <w:rFonts w:hint="eastAsia" w:ascii="宋体" w:hAnsi="宋体" w:eastAsia="宋体" w:cs="宋体"/>
                <w:sz w:val="21"/>
                <w:szCs w:val="21"/>
                <w:highlight w:val="none"/>
                <w:lang w:val="en-US" w:eastAsia="zh-CN"/>
              </w:rPr>
            </w:pPr>
            <w:r>
              <w:rPr>
                <w:rFonts w:hint="eastAsia" w:ascii="宋体" w:hAnsi="宋体" w:eastAsia="宋体" w:cs="宋体"/>
                <w:bCs/>
                <w:color w:val="000000"/>
                <w:sz w:val="21"/>
                <w:szCs w:val="21"/>
                <w:highlight w:val="none"/>
                <w:lang w:val="en-US" w:eastAsia="zh-CN" w:bidi="ar-SA"/>
              </w:rPr>
              <w:t xml:space="preserve">响应文件中提供方案</w:t>
            </w:r>
            <w:r/>
          </w:p>
        </w:tc>
      </w:tr>
      <w:tr>
        <w:trPr>
          <w:jc w:val="center"/>
          <w:trHeight w:val="3364"/>
        </w:trPr>
        <w:tc>
          <w:tcPr>
            <w:tcW w:w="705" w:type="dxa"/>
            <w:vAlign w:val="center"/>
            <w:textDirection w:val="lrTb"/>
            <w:noWrap w:val="false"/>
          </w:tcPr>
          <w:p>
            <w:pPr>
              <w:ind w:firstLine="28"/>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3.6</w:t>
            </w:r>
            <w:r/>
          </w:p>
        </w:tc>
        <w:tc>
          <w:tcPr>
            <w:tcW w:w="1241" w:type="dxa"/>
            <w:vAlign w:val="center"/>
            <w:textDirection w:val="lrTb"/>
            <w:noWrap w:val="false"/>
          </w:tcPr>
          <w:p>
            <w:pPr>
              <w:jc w:val="center"/>
              <w:spacing w:line="288"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pacing w:val="8"/>
                <w:sz w:val="21"/>
                <w:szCs w:val="21"/>
                <w:highlight w:val="none"/>
              </w:rPr>
            </w:pPr>
            <w:r>
              <w:rPr>
                <w:rFonts w:hint="eastAsia" w:ascii="宋体" w:hAnsi="宋体" w:cs="宋体"/>
                <w:spacing w:val="8"/>
                <w:sz w:val="21"/>
                <w:szCs w:val="21"/>
                <w:highlight w:val="none"/>
              </w:rPr>
              <w:t xml:space="preserve">与其他财政业务系统对接</w:t>
            </w:r>
            <w:r>
              <w:rPr>
                <w:rFonts w:hint="eastAsia" w:ascii="宋体" w:hAnsi="宋体" w:cs="宋体"/>
                <w:spacing w:val="8"/>
                <w:sz w:val="21"/>
                <w:szCs w:val="21"/>
                <w:highlight w:val="none"/>
                <w:lang w:val="zh-CN"/>
              </w:rPr>
              <w:t xml:space="preserve">熟悉程度</w:t>
            </w:r>
            <w:r>
              <w:rPr>
                <w:rFonts w:hint="eastAsia" w:ascii="宋体" w:hAnsi="宋体" w:cs="宋体"/>
                <w:spacing w:val="8"/>
                <w:sz w:val="21"/>
                <w:szCs w:val="21"/>
                <w:highlight w:val="none"/>
              </w:rPr>
              <w:t xml:space="preserve">方案（二）</w:t>
            </w:r>
            <w:r/>
          </w:p>
          <w:p>
            <w:pPr>
              <w:jc w:val="center"/>
              <w:widowControl/>
              <w:rPr>
                <w:rFonts w:hint="eastAsia" w:ascii="宋体" w:hAnsi="宋体" w:eastAsia="宋体" w:cs="宋体"/>
                <w:color w:val="000000"/>
                <w:sz w:val="21"/>
                <w:szCs w:val="21"/>
                <w:highlight w:val="none"/>
                <w:lang w:val="zh-CN"/>
              </w:rPr>
            </w:pPr>
            <w:r>
              <w:rPr>
                <w:rFonts w:hint="eastAsia" w:ascii="宋体" w:hAnsi="宋体" w:eastAsia="宋体" w:cs="宋体"/>
                <w:color w:val="000000"/>
                <w:sz w:val="21"/>
                <w:szCs w:val="21"/>
                <w:highlight w:val="none"/>
                <w:lang w:val="zh-CN"/>
              </w:rPr>
            </w:r>
            <w:r/>
          </w:p>
        </w:tc>
        <w:tc>
          <w:tcPr>
            <w:tcW w:w="676" w:type="dxa"/>
            <w:vAlign w:val="center"/>
            <w:textDirection w:val="lrTb"/>
            <w:noWrap w:val="false"/>
          </w:tcPr>
          <w:p>
            <w:pPr>
              <w:ind w:firstLine="28"/>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c>
          <w:tcPr>
            <w:tcW w:w="5554" w:type="dxa"/>
            <w:vAlign w:val="center"/>
            <w:textDirection w:val="lrTb"/>
            <w:noWrap w:val="false"/>
          </w:tcPr>
          <w:p>
            <w:pPr>
              <w:ind w:firstLine="420"/>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根据供应商对本项目中提供对常州市非税电子化收缴管理系统关于非税一体化过账及退付熟悉程度方案行综合评定（</w:t>
            </w:r>
            <w:r>
              <w:rPr>
                <w:rFonts w:hint="eastAsia" w:ascii="宋体" w:hAnsi="宋体" w:eastAsia="宋体" w:cs="宋体"/>
                <w:spacing w:val="0"/>
                <w:sz w:val="21"/>
                <w:szCs w:val="21"/>
                <w:highlight w:val="none"/>
                <w:lang w:val="en-US" w:eastAsia="zh-CN"/>
              </w:rPr>
              <w:t xml:space="preserve">5</w:t>
            </w:r>
            <w:r>
              <w:rPr>
                <w:rFonts w:hint="eastAsia" w:ascii="宋体" w:hAnsi="宋体" w:eastAsia="宋体" w:cs="宋体"/>
                <w:spacing w:val="0"/>
                <w:sz w:val="21"/>
                <w:szCs w:val="21"/>
                <w:highlight w:val="none"/>
              </w:rPr>
              <w:t xml:space="preserve">分）</w:t>
            </w:r>
            <w:r/>
          </w:p>
          <w:p>
            <w:pPr>
              <w:ind w:firstLine="420"/>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方案内容完整，能够详细阐述常州市非税电子化收缴管理系统现状，非税一体化过账及退付流程的得</w:t>
            </w:r>
            <w:r>
              <w:rPr>
                <w:rFonts w:hint="eastAsia" w:ascii="宋体" w:hAnsi="宋体" w:eastAsia="宋体" w:cs="宋体"/>
                <w:spacing w:val="0"/>
                <w:sz w:val="21"/>
                <w:szCs w:val="21"/>
                <w:highlight w:val="none"/>
                <w:lang w:val="en-US" w:eastAsia="zh-CN"/>
              </w:rPr>
              <w:t xml:space="preserve">5</w:t>
            </w:r>
            <w:r>
              <w:rPr>
                <w:rFonts w:hint="eastAsia" w:ascii="宋体" w:hAnsi="宋体" w:eastAsia="宋体" w:cs="宋体"/>
                <w:spacing w:val="0"/>
                <w:sz w:val="21"/>
                <w:szCs w:val="21"/>
                <w:highlight w:val="none"/>
              </w:rPr>
              <w:t xml:space="preserve">分；</w:t>
            </w:r>
            <w:r/>
          </w:p>
          <w:p>
            <w:pPr>
              <w:ind w:firstLine="420"/>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方案内容较为完整，能够较为详细的阐述常州市非税电子化收缴管理系统现状，非税一体化过账及退付的得</w:t>
            </w:r>
            <w:r>
              <w:rPr>
                <w:rFonts w:hint="eastAsia" w:ascii="宋体" w:hAnsi="宋体" w:eastAsia="宋体" w:cs="宋体"/>
                <w:spacing w:val="0"/>
                <w:sz w:val="21"/>
                <w:szCs w:val="21"/>
                <w:highlight w:val="none"/>
                <w:lang w:val="en-US" w:eastAsia="zh-CN"/>
              </w:rPr>
              <w:t xml:space="preserve">3</w:t>
            </w:r>
            <w:r>
              <w:rPr>
                <w:rFonts w:hint="eastAsia" w:ascii="宋体" w:hAnsi="宋体" w:eastAsia="宋体" w:cs="宋体"/>
                <w:spacing w:val="0"/>
                <w:sz w:val="21"/>
                <w:szCs w:val="21"/>
                <w:highlight w:val="none"/>
              </w:rPr>
              <w:t xml:space="preserve">分；</w:t>
            </w:r>
            <w:r/>
          </w:p>
          <w:p>
            <w:pPr>
              <w:ind w:firstLine="420"/>
              <w:rPr>
                <w:rFonts w:hint="eastAsia" w:ascii="宋体" w:hAnsi="宋体" w:eastAsia="宋体" w:cs="宋体"/>
                <w:spacing w:val="0"/>
                <w:sz w:val="21"/>
                <w:szCs w:val="21"/>
                <w:highlight w:val="none"/>
              </w:rPr>
            </w:pPr>
            <w:r>
              <w:rPr>
                <w:rFonts w:hint="eastAsia" w:ascii="宋体" w:hAnsi="宋体" w:eastAsia="宋体" w:cs="宋体"/>
                <w:spacing w:val="0"/>
                <w:sz w:val="21"/>
                <w:szCs w:val="21"/>
                <w:highlight w:val="none"/>
              </w:rPr>
              <w:t xml:space="preserve">方案内容不够完整，阐述苏采常州市非税电子化收缴管理系统现状，非税一体化过账及退付的内容不太符合实际的得</w:t>
            </w:r>
            <w:r>
              <w:rPr>
                <w:rFonts w:hint="eastAsia" w:ascii="宋体" w:hAnsi="宋体" w:eastAsia="宋体" w:cs="宋体"/>
                <w:spacing w:val="0"/>
                <w:sz w:val="21"/>
                <w:szCs w:val="21"/>
                <w:highlight w:val="none"/>
                <w:lang w:val="en-US" w:eastAsia="zh-CN"/>
              </w:rPr>
              <w:t xml:space="preserve">1</w:t>
            </w:r>
            <w:r>
              <w:rPr>
                <w:rFonts w:hint="eastAsia" w:ascii="宋体" w:hAnsi="宋体" w:eastAsia="宋体" w:cs="宋体"/>
                <w:spacing w:val="0"/>
                <w:sz w:val="21"/>
                <w:szCs w:val="21"/>
                <w:highlight w:val="none"/>
              </w:rPr>
              <w:t xml:space="preserve">分；</w:t>
            </w:r>
            <w:r/>
          </w:p>
          <w:p>
            <w:pPr>
              <w:ind w:firstLine="420"/>
              <w:rPr>
                <w:rFonts w:hint="eastAsia" w:ascii="宋体" w:hAnsi="宋体" w:eastAsia="宋体" w:cs="宋体"/>
                <w:color w:val="000000"/>
                <w:sz w:val="21"/>
                <w:szCs w:val="21"/>
                <w:highlight w:val="none"/>
                <w:lang w:val="zh-CN"/>
              </w:rPr>
            </w:pPr>
            <w:r>
              <w:rPr>
                <w:rFonts w:hint="eastAsia" w:ascii="宋体" w:hAnsi="宋体" w:cs="宋体"/>
                <w:sz w:val="21"/>
                <w:szCs w:val="21"/>
                <w:highlight w:val="none"/>
              </w:rPr>
              <w:t xml:space="preserve">未提供不得分。</w:t>
            </w:r>
            <w:r/>
          </w:p>
        </w:tc>
        <w:tc>
          <w:tcPr>
            <w:tcW w:w="2325" w:type="dxa"/>
            <w:vAlign w:val="center"/>
            <w:textDirection w:val="lrTb"/>
            <w:noWrap w:val="false"/>
          </w:tcPr>
          <w:p>
            <w:pPr>
              <w:ind w:left="-38"/>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响应文件中提供方案</w:t>
            </w:r>
            <w:r/>
          </w:p>
        </w:tc>
      </w:tr>
      <w:tr>
        <w:trPr>
          <w:jc w:val="center"/>
          <w:trHeight w:val="2304"/>
        </w:trPr>
        <w:tc>
          <w:tcPr>
            <w:tcW w:w="705" w:type="dxa"/>
            <w:vAlign w:val="center"/>
            <w:textDirection w:val="lrTb"/>
            <w:noWrap w:val="false"/>
          </w:tcPr>
          <w:p>
            <w:pPr>
              <w:ind w:firstLine="28"/>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3.7</w:t>
            </w:r>
            <w:r/>
          </w:p>
        </w:tc>
        <w:tc>
          <w:tcPr>
            <w:tcW w:w="1241" w:type="dxa"/>
            <w:vAlign w:val="center"/>
            <w:textDirection w:val="lrTb"/>
            <w:noWrap w:val="false"/>
          </w:tcPr>
          <w:p>
            <w:pPr>
              <w:jc w:val="center"/>
              <w:keepLines w:val="0"/>
              <w:keepNext w:val="0"/>
              <w:pageBreakBefore w:val="0"/>
              <w:spacing w:line="460" w:lineRule="exact"/>
              <w:tabs>
                <w:tab w:val="left" w:pos="426" w:leader="none"/>
              </w:tabs>
              <w:rPr>
                <w:rFonts w:hint="eastAsia" w:ascii="宋体" w:hAnsi="宋体" w:eastAsia="宋体" w:cs="宋体"/>
                <w:color w:val="000000"/>
                <w:sz w:val="21"/>
                <w:szCs w:val="21"/>
                <w:highlight w:val="none"/>
                <w:lang w:val="zh-CN"/>
              </w:rPr>
              <w:outlineLvl w:val="9"/>
            </w:pPr>
            <w:r>
              <w:rPr>
                <w:rFonts w:hint="eastAsia" w:ascii="宋体" w:hAnsi="宋体" w:cs="宋体"/>
                <w:sz w:val="21"/>
                <w:szCs w:val="21"/>
                <w:highlight w:val="none"/>
              </w:rPr>
              <w:t xml:space="preserve">现场运维服务方案</w:t>
            </w:r>
            <w:r/>
          </w:p>
        </w:tc>
        <w:tc>
          <w:tcPr>
            <w:tcW w:w="676" w:type="dxa"/>
            <w:vAlign w:val="center"/>
            <w:textDirection w:val="lrTb"/>
            <w:noWrap w:val="false"/>
          </w:tcPr>
          <w:p>
            <w:pPr>
              <w:ind w:firstLine="28"/>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6</w:t>
            </w:r>
            <w:r/>
          </w:p>
        </w:tc>
        <w:tc>
          <w:tcPr>
            <w:shd w:val="clear" w:color="auto" w:fill="auto"/>
            <w:tcW w:w="5554" w:type="dxa"/>
            <w:vAlign w:val="center"/>
            <w:textDirection w:val="lrTb"/>
            <w:noWrap w:val="false"/>
          </w:tcPr>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根据供应商提供的现场运维服务方案进行综合评定（</w:t>
            </w:r>
            <w:r>
              <w:rPr>
                <w:rFonts w:hint="eastAsia" w:ascii="宋体" w:hAnsi="宋体" w:cs="宋体"/>
                <w:sz w:val="21"/>
                <w:szCs w:val="21"/>
                <w:highlight w:val="none"/>
                <w:lang w:val="en-US" w:eastAsia="zh-CN"/>
              </w:rPr>
              <w:t xml:space="preserve">6</w:t>
            </w:r>
            <w:r>
              <w:rPr>
                <w:rFonts w:hint="eastAsia" w:ascii="宋体" w:hAnsi="宋体" w:eastAsia="宋体" w:cs="宋体"/>
                <w:sz w:val="21"/>
                <w:szCs w:val="21"/>
                <w:highlight w:val="none"/>
              </w:rPr>
              <w:t xml:space="preserve">分</w:t>
            </w:r>
            <w:r>
              <w:rPr>
                <w:rFonts w:hint="eastAsia" w:ascii="宋体" w:hAnsi="宋体" w:cs="宋体"/>
                <w:sz w:val="21"/>
                <w:szCs w:val="21"/>
                <w:highlight w:val="none"/>
              </w:rPr>
              <w:t xml:space="preserve">）</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供应商制定详细的现场运维服务方案，包括但不限于运维服务方式、运维服务流程、运维服务内容等方面。</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现场运维服务方案完整、合理的得</w:t>
            </w:r>
            <w:r>
              <w:rPr>
                <w:rFonts w:hint="eastAsia" w:ascii="宋体" w:hAnsi="宋体" w:cs="宋体"/>
                <w:sz w:val="21"/>
                <w:szCs w:val="21"/>
                <w:highlight w:val="none"/>
                <w:lang w:val="en-US" w:eastAsia="zh-CN"/>
              </w:rPr>
              <w:t xml:space="preserve">6</w:t>
            </w:r>
            <w:r>
              <w:rPr>
                <w:rFonts w:hint="eastAsia" w:ascii="宋体" w:hAnsi="宋体" w:cs="宋体"/>
                <w:sz w:val="21"/>
                <w:szCs w:val="21"/>
                <w:highlight w:val="none"/>
              </w:rPr>
              <w:t xml:space="preserve">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现场运维服务方案较完整、较合理的得</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现场运维服务方案较差或者缺漏、不合理的得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p>
          <w:p>
            <w:pPr>
              <w:ind w:firstLine="420"/>
              <w:jc w:val="left"/>
              <w:widowControl/>
              <w:rPr>
                <w:rFonts w:hint="eastAsia" w:ascii="宋体" w:hAnsi="宋体" w:eastAsia="宋体" w:cs="宋体"/>
                <w:sz w:val="21"/>
                <w:szCs w:val="21"/>
                <w:highlight w:val="none"/>
                <w:lang w:val="zh-CN" w:eastAsia="zh-CN" w:bidi="ar-SA"/>
              </w:rPr>
            </w:pPr>
            <w:r>
              <w:rPr>
                <w:rFonts w:hint="eastAsia" w:ascii="宋体" w:hAnsi="宋体" w:cs="宋体"/>
                <w:sz w:val="21"/>
                <w:szCs w:val="21"/>
                <w:highlight w:val="none"/>
              </w:rPr>
              <w:t xml:space="preserve">未提供不得分。</w:t>
            </w:r>
            <w:r/>
          </w:p>
        </w:tc>
        <w:tc>
          <w:tcPr>
            <w:tcW w:w="2325" w:type="dxa"/>
            <w:vAlign w:val="center"/>
            <w:textDirection w:val="lrTb"/>
            <w:noWrap w:val="false"/>
          </w:tcPr>
          <w:p>
            <w:pPr>
              <w:ind w:left="-38"/>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响应文件中提供方案</w:t>
            </w:r>
            <w:r/>
          </w:p>
        </w:tc>
      </w:tr>
      <w:tr>
        <w:trPr>
          <w:jc w:val="center"/>
          <w:trHeight w:val="2042"/>
        </w:trPr>
        <w:tc>
          <w:tcPr>
            <w:tcW w:w="705" w:type="dxa"/>
            <w:vAlign w:val="center"/>
            <w:textDirection w:val="lrTb"/>
            <w:noWrap w:val="false"/>
          </w:tcPr>
          <w:p>
            <w:pPr>
              <w:ind w:firstLine="28"/>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3.8</w:t>
            </w:r>
            <w:r/>
          </w:p>
        </w:tc>
        <w:tc>
          <w:tcPr>
            <w:tcW w:w="1241" w:type="dxa"/>
            <w:vAlign w:val="center"/>
            <w:textDirection w:val="lrTb"/>
            <w:noWrap w:val="false"/>
          </w:tcPr>
          <w:p>
            <w:pPr>
              <w:jc w:val="center"/>
              <w:keepLines w:val="0"/>
              <w:keepNext w:val="0"/>
              <w:pageBreakBefore w:val="0"/>
              <w:spacing w:line="460" w:lineRule="exact"/>
              <w:tabs>
                <w:tab w:val="left" w:pos="426" w:leader="none"/>
              </w:tabs>
              <w:rPr>
                <w:rFonts w:hint="eastAsia" w:ascii="宋体" w:hAnsi="宋体" w:cs="宋体"/>
                <w:sz w:val="21"/>
                <w:szCs w:val="21"/>
                <w:highlight w:val="none"/>
              </w:rPr>
              <w:outlineLvl w:val="9"/>
            </w:pPr>
            <w:r>
              <w:rPr>
                <w:rFonts w:hint="eastAsia" w:ascii="宋体" w:hAnsi="宋体" w:cs="宋体"/>
                <w:sz w:val="21"/>
                <w:szCs w:val="21"/>
                <w:highlight w:val="none"/>
              </w:rPr>
              <w:t xml:space="preserve">质量保证方案</w:t>
            </w:r>
            <w:r/>
          </w:p>
        </w:tc>
        <w:tc>
          <w:tcPr>
            <w:tcW w:w="676" w:type="dxa"/>
            <w:vAlign w:val="center"/>
            <w:textDirection w:val="lrTb"/>
            <w:noWrap w:val="false"/>
          </w:tcPr>
          <w:p>
            <w:pPr>
              <w:ind w:firstLine="28"/>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c>
          <w:tcPr>
            <w:shd w:val="clear" w:color="auto" w:fill="auto"/>
            <w:tcW w:w="5554" w:type="dxa"/>
            <w:vAlign w:val="center"/>
            <w:textDirection w:val="lrTb"/>
            <w:noWrap w:val="false"/>
          </w:tcPr>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根据供应商提供的质量保证方案进行综合评定（</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供应商制定详细的质量保证方案，包括但不限于服务保证团队、项目管理、质量控制、风险管控等方面。</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服务保证方案完整、合理的得</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服务保证方案较完整、较合理的得</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rPr>
              <w:t xml:space="preserve">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服务保证方案较差或者缺漏、不合理的得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p>
          <w:p>
            <w:pPr>
              <w:ind w:firstLine="420"/>
              <w:jc w:val="left"/>
              <w:widowControl/>
              <w:rPr>
                <w:rFonts w:hint="eastAsia" w:ascii="宋体" w:hAnsi="宋体" w:eastAsia="宋体" w:cs="宋体"/>
                <w:color w:val="auto"/>
                <w:sz w:val="21"/>
                <w:szCs w:val="21"/>
                <w:highlight w:val="none"/>
                <w:lang w:val="en-US" w:eastAsia="zh-CN" w:bidi="ar-SA"/>
              </w:rPr>
            </w:pPr>
            <w:r>
              <w:rPr>
                <w:rFonts w:hint="eastAsia" w:ascii="宋体" w:hAnsi="宋体" w:cs="宋体"/>
                <w:sz w:val="21"/>
                <w:szCs w:val="21"/>
                <w:highlight w:val="none"/>
              </w:rPr>
              <w:t xml:space="preserve">未提供不得分。</w:t>
            </w:r>
            <w:r/>
          </w:p>
        </w:tc>
        <w:tc>
          <w:tcPr>
            <w:tcW w:w="2325" w:type="dxa"/>
            <w:vAlign w:val="center"/>
            <w:textDirection w:val="lrTb"/>
            <w:noWrap w:val="false"/>
          </w:tcPr>
          <w:p>
            <w:pPr>
              <w:ind w:left="-38"/>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响应文件中提供方案</w:t>
            </w:r>
            <w:r/>
          </w:p>
        </w:tc>
      </w:tr>
      <w:tr>
        <w:trPr>
          <w:jc w:val="center"/>
          <w:trHeight w:val="2192"/>
        </w:trPr>
        <w:tc>
          <w:tcPr>
            <w:tcW w:w="705" w:type="dxa"/>
            <w:vAlign w:val="center"/>
            <w:textDirection w:val="lrTb"/>
            <w:noWrap w:val="false"/>
          </w:tcPr>
          <w:p>
            <w:pPr>
              <w:ind w:firstLine="28"/>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3.9</w:t>
            </w:r>
            <w:r/>
          </w:p>
        </w:tc>
        <w:tc>
          <w:tcPr>
            <w:tcW w:w="1241" w:type="dxa"/>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安全保障方案</w:t>
            </w:r>
            <w:r/>
          </w:p>
        </w:tc>
        <w:tc>
          <w:tcPr>
            <w:tcW w:w="676" w:type="dxa"/>
            <w:vAlign w:val="center"/>
            <w:textDirection w:val="lrTb"/>
            <w:noWrap w:val="false"/>
          </w:tcPr>
          <w:p>
            <w:pPr>
              <w:ind w:firstLine="28"/>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c>
          <w:tcPr>
            <w:shd w:val="clear" w:color="auto" w:fill="auto"/>
            <w:tcW w:w="5554" w:type="dxa"/>
            <w:vAlign w:val="center"/>
            <w:textDirection w:val="lrTb"/>
            <w:noWrap w:val="false"/>
          </w:tcPr>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根据供应商提供的系统安全保障方案进行综合评定（</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供应商制定详细的安全保障方案，包括但不限于安全运维管理、技术安全防护等方面。</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安全保障方案完整、合理的得5分；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安全保障方案较完整、较合理的得3分；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安全保障方案较差或者缺漏、不合理的得1分；</w:t>
            </w:r>
            <w:r/>
          </w:p>
          <w:p>
            <w:pPr>
              <w:ind w:firstLine="420"/>
              <w:jc w:val="left"/>
              <w:widowControl/>
              <w:rPr>
                <w:rFonts w:hint="eastAsia" w:ascii="宋体" w:hAnsi="宋体" w:eastAsia="宋体" w:cs="宋体"/>
                <w:color w:val="auto"/>
                <w:sz w:val="21"/>
                <w:szCs w:val="21"/>
                <w:highlight w:val="none"/>
                <w:lang w:val="en-US" w:eastAsia="zh-CN" w:bidi="ar-SA"/>
              </w:rPr>
            </w:pPr>
            <w:r>
              <w:rPr>
                <w:rFonts w:hint="eastAsia" w:ascii="宋体" w:hAnsi="宋体" w:cs="宋体"/>
                <w:sz w:val="21"/>
                <w:szCs w:val="21"/>
                <w:highlight w:val="none"/>
              </w:rPr>
              <w:t xml:space="preserve">未提供不得分。</w:t>
            </w:r>
            <w:r/>
          </w:p>
        </w:tc>
        <w:tc>
          <w:tcPr>
            <w:tcW w:w="2325" w:type="dxa"/>
            <w:vAlign w:val="center"/>
            <w:textDirection w:val="lrTb"/>
            <w:noWrap w:val="false"/>
          </w:tcPr>
          <w:p>
            <w:pPr>
              <w:ind w:left="-38"/>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响应文件中提供方案</w:t>
            </w:r>
            <w:r/>
          </w:p>
        </w:tc>
      </w:tr>
      <w:tr>
        <w:trPr>
          <w:jc w:val="center"/>
          <w:trHeight w:val="2103"/>
        </w:trPr>
        <w:tc>
          <w:tcPr>
            <w:tcW w:w="705" w:type="dxa"/>
            <w:vAlign w:val="center"/>
            <w:textDirection w:val="lrTb"/>
            <w:noWrap w:val="false"/>
          </w:tcPr>
          <w:p>
            <w:pPr>
              <w:ind w:firstLine="28"/>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3.10</w:t>
            </w:r>
            <w:r/>
          </w:p>
        </w:tc>
        <w:tc>
          <w:tcPr>
            <w:tcW w:w="1241" w:type="dxa"/>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应急预案</w:t>
            </w:r>
            <w:r/>
          </w:p>
        </w:tc>
        <w:tc>
          <w:tcPr>
            <w:tcW w:w="676" w:type="dxa"/>
            <w:vAlign w:val="center"/>
            <w:textDirection w:val="lrTb"/>
            <w:noWrap w:val="false"/>
          </w:tcPr>
          <w:p>
            <w:pPr>
              <w:ind w:firstLine="28"/>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c>
          <w:tcPr>
            <w:shd w:val="clear" w:color="auto" w:fill="auto"/>
            <w:tcW w:w="5554" w:type="dxa"/>
            <w:vAlign w:val="center"/>
            <w:textDirection w:val="lrTb"/>
            <w:noWrap w:val="false"/>
          </w:tcPr>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根据供应商提供的应急预案进行综合评定（5分）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供应商制定详细的应急预案方案，包括但不限于应急响应流程、应急处置方案、重大节日、活动期间应急保障措施等方面。</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应急预案完整、合理的得5分；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应急预案较完整、较合理的得3分；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应急预案较差或者缺漏、不合理的得1分；</w:t>
            </w:r>
            <w:r/>
          </w:p>
          <w:p>
            <w:pPr>
              <w:ind w:firstLine="420"/>
              <w:jc w:val="left"/>
              <w:widowControl/>
              <w:rPr>
                <w:rFonts w:hint="eastAsia" w:ascii="宋体" w:hAnsi="宋体" w:eastAsia="宋体" w:cs="宋体"/>
                <w:color w:val="auto"/>
                <w:sz w:val="21"/>
                <w:szCs w:val="21"/>
                <w:highlight w:val="none"/>
                <w:lang w:val="en-US" w:eastAsia="zh-CN" w:bidi="ar-SA"/>
              </w:rPr>
            </w:pPr>
            <w:r>
              <w:rPr>
                <w:rFonts w:hint="eastAsia" w:ascii="宋体" w:hAnsi="宋体" w:cs="宋体"/>
                <w:sz w:val="21"/>
                <w:szCs w:val="21"/>
                <w:highlight w:val="none"/>
              </w:rPr>
              <w:t xml:space="preserve">未提供相关说明的不得分。</w:t>
            </w:r>
            <w:r/>
          </w:p>
        </w:tc>
        <w:tc>
          <w:tcPr>
            <w:tcW w:w="2325" w:type="dxa"/>
            <w:vAlign w:val="center"/>
            <w:textDirection w:val="lrTb"/>
            <w:noWrap w:val="false"/>
          </w:tcPr>
          <w:p>
            <w:pPr>
              <w:ind w:left="-38"/>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响应文件中提供方案</w:t>
            </w:r>
            <w:r/>
          </w:p>
        </w:tc>
      </w:tr>
      <w:tr>
        <w:trPr>
          <w:jc w:val="center"/>
          <w:trHeight w:val="2013"/>
        </w:trPr>
        <w:tc>
          <w:tcPr>
            <w:tcW w:w="705" w:type="dxa"/>
            <w:vAlign w:val="center"/>
            <w:textDirection w:val="lrTb"/>
            <w:noWrap w:val="false"/>
          </w:tcPr>
          <w:p>
            <w:pPr>
              <w:ind w:firstLine="28"/>
              <w:jc w:val="center"/>
              <w:rPr>
                <w:rFonts w:hint="eastAsia" w:ascii="宋体" w:hAnsi="宋体" w:eastAsia="宋体" w:cs="宋体"/>
                <w:sz w:val="21"/>
                <w:szCs w:val="21"/>
                <w:highlight w:val="none"/>
                <w:lang w:val="en-US" w:eastAsia="zh-CN"/>
              </w:rPr>
            </w:pPr>
            <w:r>
              <w:rPr>
                <w:rFonts w:hint="eastAsia" w:ascii="宋体" w:hAnsi="宋体" w:cs="宋体"/>
                <w:sz w:val="21"/>
                <w:szCs w:val="21"/>
                <w:highlight w:val="none"/>
                <w:lang w:val="en-US" w:eastAsia="zh-CN"/>
              </w:rPr>
              <w:t xml:space="preserve">3.11</w:t>
            </w:r>
            <w:r/>
          </w:p>
        </w:tc>
        <w:tc>
          <w:tcPr>
            <w:tcW w:w="1241" w:type="dxa"/>
            <w:vAlign w:val="center"/>
            <w:textDirection w:val="lrTb"/>
            <w:noWrap w:val="false"/>
          </w:tcPr>
          <w:p>
            <w:pPr>
              <w:jc w:val="center"/>
              <w:widowControl/>
              <w:rPr>
                <w:rFonts w:hint="eastAsia" w:ascii="宋体" w:hAnsi="宋体" w:cs="宋体"/>
                <w:sz w:val="21"/>
                <w:szCs w:val="21"/>
                <w:highlight w:val="none"/>
              </w:rPr>
            </w:pPr>
            <w:r>
              <w:rPr>
                <w:rFonts w:hint="eastAsia" w:ascii="宋体" w:hAnsi="宋体" w:cs="宋体"/>
                <w:sz w:val="21"/>
                <w:szCs w:val="21"/>
                <w:highlight w:val="none"/>
              </w:rPr>
              <w:t xml:space="preserve">系统培训方案</w:t>
            </w:r>
            <w:r/>
          </w:p>
        </w:tc>
        <w:tc>
          <w:tcPr>
            <w:tcW w:w="676" w:type="dxa"/>
            <w:vAlign w:val="center"/>
            <w:textDirection w:val="lrTb"/>
            <w:noWrap w:val="false"/>
          </w:tcPr>
          <w:p>
            <w:pPr>
              <w:ind w:firstLine="28"/>
              <w:jc w:val="center"/>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5</w:t>
            </w:r>
            <w:r/>
          </w:p>
        </w:tc>
        <w:tc>
          <w:tcPr>
            <w:shd w:val="clear" w:color="auto" w:fill="auto"/>
            <w:tcW w:w="5554" w:type="dxa"/>
            <w:vAlign w:val="center"/>
            <w:textDirection w:val="lrTb"/>
            <w:noWrap w:val="false"/>
          </w:tcPr>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根据供应商提供的系统培训方案进行综合评定（5分）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供应商制定详细的系统培训方案，包括但不限于培训师资力量、培训方式、培训计划等方面。</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系统培训方案完整、合理的得5分；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系统培训方案较完整、较合理的得3分；</w:t>
            </w:r>
            <w:r/>
          </w:p>
          <w:p>
            <w:pPr>
              <w:ind w:firstLine="420"/>
              <w:jc w:val="left"/>
              <w:widowControl/>
              <w:rPr>
                <w:rFonts w:hint="eastAsia" w:ascii="宋体" w:hAnsi="宋体" w:cs="宋体"/>
                <w:sz w:val="21"/>
                <w:szCs w:val="21"/>
                <w:highlight w:val="none"/>
              </w:rPr>
            </w:pPr>
            <w:r>
              <w:rPr>
                <w:rFonts w:hint="eastAsia" w:ascii="宋体" w:hAnsi="宋体" w:cs="宋体"/>
                <w:sz w:val="21"/>
                <w:szCs w:val="21"/>
                <w:highlight w:val="none"/>
              </w:rPr>
              <w:t xml:space="preserve">系统培训方案较差或者缺漏、不合理的得1分；</w:t>
            </w:r>
            <w:r/>
          </w:p>
          <w:p>
            <w:pPr>
              <w:ind w:firstLine="420"/>
              <w:jc w:val="left"/>
              <w:widowControl/>
              <w:rPr>
                <w:rFonts w:hint="eastAsia" w:ascii="宋体" w:hAnsi="宋体" w:eastAsia="宋体" w:cs="宋体"/>
                <w:color w:val="auto"/>
                <w:sz w:val="21"/>
                <w:szCs w:val="21"/>
                <w:highlight w:val="none"/>
                <w:lang w:val="en-US" w:eastAsia="zh-CN" w:bidi="ar-SA"/>
              </w:rPr>
            </w:pPr>
            <w:r>
              <w:rPr>
                <w:rFonts w:hint="eastAsia" w:ascii="宋体" w:hAnsi="宋体" w:cs="宋体"/>
                <w:sz w:val="21"/>
                <w:szCs w:val="21"/>
                <w:highlight w:val="none"/>
              </w:rPr>
              <w:t xml:space="preserve">未提供相关说明的不得分。</w:t>
            </w:r>
            <w:r/>
          </w:p>
        </w:tc>
        <w:tc>
          <w:tcPr>
            <w:tcW w:w="2325" w:type="dxa"/>
            <w:vAlign w:val="center"/>
            <w:textDirection w:val="lrTb"/>
            <w:noWrap w:val="false"/>
          </w:tcPr>
          <w:p>
            <w:pPr>
              <w:ind w:left="-38"/>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t xml:space="preserve">响应文件中提供方案</w:t>
            </w:r>
            <w:r/>
          </w:p>
        </w:tc>
      </w:tr>
      <w:tr>
        <w:trPr>
          <w:jc w:val="center"/>
          <w:trHeight w:val="90"/>
        </w:trPr>
        <w:tc>
          <w:tcPr>
            <w:gridSpan w:val="2"/>
            <w:tcW w:w="1946" w:type="dxa"/>
            <w:vAlign w:val="center"/>
            <w:textDirection w:val="lrTb"/>
            <w:noWrap w:val="false"/>
          </w:tcPr>
          <w:p>
            <w:pPr>
              <w:pStyle w:val="892"/>
              <w:jc w:val="center"/>
              <w:spacing w:before="0" w:line="240" w:lineRule="auto"/>
              <w:widowControl w:val="off"/>
              <w:rPr>
                <w:rFonts w:hint="eastAsia" w:ascii="宋体" w:hAnsi="宋体" w:cs="宋体"/>
                <w:color w:val="auto"/>
                <w:sz w:val="21"/>
                <w:szCs w:val="21"/>
                <w:highlight w:val="none"/>
              </w:rPr>
            </w:pPr>
            <w:r>
              <w:rPr>
                <w:rFonts w:hint="eastAsia" w:ascii="宋体" w:hAnsi="宋体" w:eastAsia="宋体" w:cs="宋体"/>
                <w:sz w:val="21"/>
                <w:szCs w:val="21"/>
                <w:highlight w:val="none"/>
                <w:lang w:val="en-US" w:eastAsia="zh-CN" w:bidi="ar-SA"/>
              </w:rPr>
              <w:t xml:space="preserve">合计</w:t>
            </w:r>
            <w:r/>
          </w:p>
        </w:tc>
        <w:tc>
          <w:tcPr>
            <w:tcW w:w="676" w:type="dxa"/>
            <w:vAlign w:val="center"/>
            <w:textDirection w:val="lrTb"/>
            <w:noWrap w:val="false"/>
          </w:tcPr>
          <w:p>
            <w:pPr>
              <w:pStyle w:val="892"/>
              <w:jc w:val="center"/>
              <w:spacing w:before="0" w:line="240" w:lineRule="auto"/>
              <w:widowControl w:val="off"/>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bidi="ar-SA"/>
              </w:rPr>
              <w:t xml:space="preserve">100</w:t>
            </w:r>
            <w:r/>
          </w:p>
        </w:tc>
        <w:tc>
          <w:tcPr>
            <w:tcW w:w="5554" w:type="dxa"/>
            <w:vAlign w:val="center"/>
            <w:textDirection w:val="lrTb"/>
            <w:noWrap w:val="false"/>
          </w:tcPr>
          <w:p>
            <w:pPr>
              <w:ind w:firstLine="420"/>
              <w:keepLines w:val="0"/>
              <w:keepNext w:val="0"/>
              <w:pageBreakBefore w:val="0"/>
              <w:spacing w:line="240" w:lineRule="auto"/>
              <w:widowControl w:val="off"/>
              <w:rPr>
                <w:rFonts w:hint="eastAsia" w:ascii="宋体" w:hAnsi="宋体" w:eastAsia="宋体" w:cs="宋体"/>
                <w:color w:val="auto"/>
                <w:sz w:val="21"/>
                <w:szCs w:val="21"/>
                <w:highlight w:val="none"/>
                <w:lang w:val="en-US" w:eastAsia="zh-CN" w:bidi="ar-SA"/>
              </w:rPr>
              <w:outlineLvl w:val="9"/>
            </w:pPr>
            <w:r>
              <w:rPr>
                <w:rFonts w:hint="eastAsia" w:ascii="宋体" w:hAnsi="宋体" w:eastAsia="宋体" w:cs="宋体"/>
                <w:color w:val="auto"/>
                <w:sz w:val="21"/>
                <w:szCs w:val="21"/>
                <w:highlight w:val="none"/>
                <w:lang w:val="en-US" w:eastAsia="zh-CN" w:bidi="ar-SA"/>
              </w:rPr>
            </w:r>
            <w:r/>
          </w:p>
        </w:tc>
        <w:tc>
          <w:tcPr>
            <w:tcW w:w="2325" w:type="dxa"/>
            <w:vAlign w:val="center"/>
            <w:textDirection w:val="lrTb"/>
            <w:noWrap w:val="false"/>
          </w:tcPr>
          <w:p>
            <w:pPr>
              <w:ind w:left="-38"/>
              <w:jc w:val="center"/>
              <w:rPr>
                <w:rFonts w:hint="eastAsia" w:ascii="宋体" w:hAnsi="宋体" w:eastAsia="宋体" w:cs="宋体"/>
                <w:bCs/>
                <w:color w:val="000000"/>
                <w:sz w:val="21"/>
                <w:szCs w:val="21"/>
                <w:highlight w:val="none"/>
                <w:lang w:val="en-US" w:eastAsia="zh-CN" w:bidi="ar-SA"/>
              </w:rPr>
            </w:pPr>
            <w:r>
              <w:rPr>
                <w:rFonts w:hint="eastAsia" w:ascii="宋体" w:hAnsi="宋体" w:eastAsia="宋体" w:cs="宋体"/>
                <w:bCs/>
                <w:color w:val="000000"/>
                <w:sz w:val="21"/>
                <w:szCs w:val="21"/>
                <w:highlight w:val="none"/>
                <w:lang w:val="en-US" w:eastAsia="zh-CN" w:bidi="ar-SA"/>
              </w:rPr>
            </w:r>
            <w:r/>
          </w:p>
        </w:tc>
      </w:tr>
    </w:tbl>
    <w:p>
      <w:pPr>
        <w:jc w:val="left"/>
        <w:spacing w:line="360" w:lineRule="auto"/>
        <w:rPr>
          <w:rFonts w:hint="eastAsia" w:ascii="宋体" w:hAnsi="宋体" w:eastAsia="宋体" w:cs="宋体"/>
          <w:b/>
          <w:bCs/>
          <w:sz w:val="24"/>
          <w:highlight w:val="none"/>
        </w:rPr>
        <w:outlineLvl w:val="9"/>
      </w:pPr>
      <w:r>
        <w:rPr>
          <w:rFonts w:hint="eastAsia" w:ascii="宋体" w:hAnsi="宋体" w:eastAsia="宋体" w:cs="宋体"/>
          <w:b/>
          <w:bCs/>
          <w:sz w:val="24"/>
          <w:highlight w:val="none"/>
        </w:rPr>
      </w:r>
      <w:r/>
    </w:p>
    <w:p>
      <w:pPr>
        <w:jc w:val="left"/>
        <w:spacing w:line="360" w:lineRule="auto"/>
        <w:rPr>
          <w:rFonts w:hint="eastAsia" w:ascii="宋体" w:hAnsi="宋体" w:eastAsia="宋体" w:cs="宋体"/>
          <w:b/>
          <w:bCs/>
          <w:sz w:val="24"/>
          <w:highlight w:val="none"/>
        </w:rPr>
        <w:outlineLvl w:val="9"/>
      </w:pPr>
      <w:r>
        <w:rPr>
          <w:rFonts w:hint="eastAsia" w:ascii="宋体" w:hAnsi="宋体" w:eastAsia="宋体" w:cs="宋体"/>
          <w:b/>
          <w:bCs/>
          <w:sz w:val="24"/>
          <w:highlight w:val="none"/>
        </w:rPr>
        <w:t xml:space="preserve">注：</w:t>
      </w:r>
      <w:bookmarkEnd w:id="553"/>
      <w:r/>
      <w:r/>
    </w:p>
    <w:p>
      <w:pPr>
        <w:jc w:val="left"/>
        <w:spacing w:line="360" w:lineRule="auto"/>
        <w:rPr>
          <w:rFonts w:hint="eastAsia" w:ascii="宋体" w:hAnsi="宋体" w:eastAsia="宋体" w:cs="宋体"/>
          <w:b/>
          <w:bCs/>
          <w:sz w:val="24"/>
          <w:highlight w:val="none"/>
        </w:rPr>
        <w:outlineLvl w:val="9"/>
      </w:pPr>
      <w:r/>
      <w:bookmarkStart w:id="555" w:name="_Toc19224"/>
      <w:r>
        <w:rPr>
          <w:rFonts w:hint="eastAsia" w:ascii="宋体" w:hAnsi="宋体" w:eastAsia="宋体" w:cs="宋体"/>
          <w:b/>
          <w:bCs/>
          <w:sz w:val="24"/>
          <w:highlight w:val="none"/>
        </w:rPr>
        <w:t xml:space="preserve">1.未能按以上要求提供相应证明的，不作为评审依据，不得分。</w:t>
      </w:r>
      <w:bookmarkEnd w:id="555"/>
      <w:r/>
      <w:r/>
    </w:p>
    <w:p>
      <w:pPr>
        <w:ind w:left="0"/>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2.评分标准中要求提供的证明文件及资料通过“政府采购一体化平台“苏采云”按对应评分项目（或数字编号）分别制作上传，必须保证内容具体、印章完整、清晰可辨。未按以上要求制作上传的，经评审小组半数以上认定后作不得分处理。</w:t>
      </w:r>
      <w:r/>
    </w:p>
    <w:p>
      <w:pPr>
        <w:jc w:val="left"/>
        <w:spacing w:line="360" w:lineRule="auto"/>
        <w:rPr>
          <w:rFonts w:hint="eastAsia" w:ascii="宋体" w:hAnsi="宋体" w:cs="宋体"/>
          <w:b/>
          <w:color w:val="auto"/>
          <w:sz w:val="24"/>
          <w:highlight w:val="none"/>
        </w:rPr>
      </w:pPr>
      <w:r>
        <w:rPr>
          <w:rFonts w:hint="eastAsia" w:ascii="宋体" w:hAnsi="宋体" w:cs="宋体"/>
          <w:b/>
          <w:color w:val="auto"/>
          <w:sz w:val="24"/>
          <w:highlight w:val="none"/>
        </w:rPr>
      </w:r>
      <w:r/>
    </w:p>
    <w:p>
      <w:pPr>
        <w:jc w:val="center"/>
        <w:spacing w:line="360" w:lineRule="auto"/>
        <w:rPr>
          <w:rFonts w:hint="eastAsia" w:ascii="宋体" w:hAnsi="宋体" w:eastAsia="宋体" w:cs="宋体"/>
          <w:b/>
          <w:color w:val="auto"/>
          <w:sz w:val="36"/>
          <w:szCs w:val="36"/>
          <w:highlight w:val="none"/>
        </w:rPr>
        <w:outlineLvl w:val="0"/>
      </w:pPr>
      <w:r/>
      <w:bookmarkStart w:id="556" w:name="_Toc7049"/>
      <w:r>
        <w:rPr>
          <w:rFonts w:hint="eastAsia" w:ascii="宋体" w:hAnsi="宋体" w:cs="宋体"/>
          <w:b/>
          <w:color w:val="auto"/>
          <w:sz w:val="36"/>
          <w:szCs w:val="36"/>
          <w:highlight w:val="none"/>
        </w:rPr>
        <w:br w:type="page" w:clear="all"/>
      </w:r>
      <w:bookmarkStart w:id="557" w:name="_Toc14920"/>
      <w:r>
        <w:rPr>
          <w:rFonts w:hint="eastAsia" w:ascii="宋体" w:hAnsi="宋体" w:cs="宋体"/>
          <w:b/>
          <w:color w:val="auto"/>
          <w:sz w:val="36"/>
          <w:szCs w:val="36"/>
          <w:highlight w:val="none"/>
        </w:rPr>
        <w:t xml:space="preserve">第四章   采购需求</w:t>
      </w:r>
      <w:bookmarkEnd w:id="556"/>
      <w:r/>
      <w:bookmarkEnd w:id="557"/>
      <w:r/>
      <w:bookmarkStart w:id="558" w:name="_Toc20619"/>
      <w:r/>
      <w:r/>
    </w:p>
    <w:p>
      <w:pPr>
        <w:ind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bCs/>
          <w:color w:val="000000"/>
          <w:sz w:val="24"/>
          <w:szCs w:val="24"/>
          <w:highlight w:val="none"/>
        </w:rPr>
        <w:t xml:space="preserve">项目背景</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根据财政部关于财政预算管理一体化平台建设和部署的要求，对标财政部业务规范和技术标准，江苏省财政厅建设了全省统一的预算管理一体化平台。按照省财政厅统一组织、地方财政部门具体负责、系统开发厂商后台支撑、服务团队现场保障模式组织实施，保障预算管理一体化平台部署及运维,常州市金坛区财政局从2021年6月起使用全省一体化平台编制预算业务，2022年起使用一体化平台开展预算执行业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积极稳妥推进全省乡镇财政纳入预算管理一体化平台，如期完成我省预算管理一体化业务全覆盖工作目标，省财政厅研究制定了《江苏省乡镇财政纳入预算管理一体化平台实施方案》，并于2022年7月下发了《江苏省财政厅关于印发乡镇财政纳入预算管理一体化平台实施方案的通知》（苏财办发〔2022〕12号）。文件中要求，全省所有乡镇财政（包括名称为街道、开发区的基层财政，下同）应在2022年底前纳入预算管理一体化平台。</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auto"/>
          <w:sz w:val="24"/>
          <w:szCs w:val="22"/>
          <w:highlight w:val="none"/>
        </w:rPr>
        <w:t xml:space="preserve">采购需求：</w:t>
      </w:r>
      <w:r>
        <w:rPr>
          <w:rFonts w:hint="eastAsia" w:ascii="宋体" w:hAnsi="宋体" w:cs="宋体"/>
          <w:color w:val="auto"/>
          <w:sz w:val="24"/>
          <w:szCs w:val="22"/>
          <w:highlight w:val="none"/>
        </w:rPr>
        <w:t xml:space="preserve">本项目</w:t>
      </w:r>
      <w:r>
        <w:rPr>
          <w:rFonts w:hint="eastAsia" w:ascii="宋体" w:hAnsi="宋体" w:cs="宋体"/>
          <w:color w:val="auto"/>
          <w:sz w:val="24"/>
          <w:szCs w:val="22"/>
          <w:highlight w:val="none"/>
          <w:lang w:val="en-US" w:eastAsia="zh-CN"/>
        </w:rPr>
        <w:t xml:space="preserve">为</w:t>
      </w:r>
      <w:r>
        <w:rPr>
          <w:rFonts w:hint="eastAsia" w:ascii="宋体" w:hAnsi="宋体" w:cs="宋体"/>
          <w:color w:val="auto"/>
          <w:sz w:val="24"/>
          <w:szCs w:val="22"/>
          <w:highlight w:val="none"/>
          <w:lang w:eastAsia="zh-CN"/>
        </w:rPr>
        <w:t xml:space="preserve">常州市金坛区财政局区本级及乡镇系统运维服务项目，</w:t>
      </w:r>
      <w:r>
        <w:rPr>
          <w:rFonts w:hint="eastAsia" w:ascii="宋体" w:hAnsi="宋体" w:cs="宋体"/>
          <w:color w:val="auto"/>
          <w:sz w:val="24"/>
          <w:szCs w:val="22"/>
          <w:highlight w:val="none"/>
        </w:rPr>
        <w:t xml:space="preserve">依据省财政一体化建设</w:t>
      </w:r>
      <w:r>
        <w:rPr>
          <w:rFonts w:hint="eastAsia" w:ascii="宋体" w:hAnsi="宋体" w:cs="宋体"/>
          <w:sz w:val="24"/>
          <w:szCs w:val="22"/>
          <w:highlight w:val="none"/>
        </w:rPr>
        <w:t xml:space="preserve">及常州市非税电子化收缴系统建设的</w:t>
      </w:r>
      <w:r>
        <w:rPr>
          <w:rFonts w:hint="eastAsia" w:ascii="宋体" w:hAnsi="宋体" w:cs="宋体"/>
          <w:color w:val="auto"/>
          <w:sz w:val="24"/>
          <w:szCs w:val="22"/>
          <w:highlight w:val="none"/>
        </w:rPr>
        <w:t xml:space="preserve">相关文件，需</w:t>
      </w:r>
      <w:r>
        <w:rPr>
          <w:rFonts w:hint="eastAsia" w:ascii="宋体" w:hAnsi="宋体" w:cs="宋体"/>
          <w:color w:val="auto"/>
          <w:sz w:val="24"/>
          <w:szCs w:val="22"/>
          <w:highlight w:val="none"/>
          <w:lang w:val="en-US" w:eastAsia="zh-CN"/>
        </w:rPr>
        <w:t xml:space="preserve">为</w:t>
      </w:r>
      <w:r>
        <w:rPr>
          <w:rFonts w:hint="eastAsia" w:ascii="宋体" w:hAnsi="宋体" w:cs="宋体"/>
          <w:color w:val="auto"/>
          <w:sz w:val="24"/>
          <w:szCs w:val="22"/>
          <w:highlight w:val="none"/>
        </w:rPr>
        <w:t xml:space="preserve">区本级及乡镇</w:t>
      </w:r>
      <w:r>
        <w:rPr>
          <w:rFonts w:hint="eastAsia" w:ascii="宋体" w:hAnsi="宋体" w:eastAsia="宋体" w:cs="宋体"/>
          <w:color w:val="000000"/>
          <w:sz w:val="24"/>
          <w:szCs w:val="24"/>
          <w:highlight w:val="none"/>
        </w:rPr>
        <w:t xml:space="preserve">财政预算管理一体化平台</w:t>
      </w:r>
      <w:r>
        <w:rPr>
          <w:rFonts w:hint="eastAsia" w:ascii="宋体" w:hAnsi="宋体" w:cs="宋体"/>
          <w:color w:val="auto"/>
          <w:sz w:val="24"/>
          <w:szCs w:val="22"/>
          <w:highlight w:val="none"/>
        </w:rPr>
        <w:t xml:space="preserve">、非税电子化收缴系统</w:t>
      </w:r>
      <w:r>
        <w:rPr>
          <w:rFonts w:hint="eastAsia" w:ascii="宋体" w:hAnsi="宋体" w:cs="宋体"/>
          <w:color w:val="auto"/>
          <w:sz w:val="24"/>
          <w:szCs w:val="22"/>
          <w:highlight w:val="none"/>
          <w:lang w:val="en-US" w:eastAsia="zh-CN"/>
        </w:rPr>
        <w:t xml:space="preserve">提供</w:t>
      </w:r>
      <w:r>
        <w:rPr>
          <w:rFonts w:hint="eastAsia" w:ascii="宋体" w:hAnsi="宋体" w:cs="宋体"/>
          <w:color w:val="auto"/>
          <w:sz w:val="24"/>
          <w:szCs w:val="22"/>
          <w:highlight w:val="none"/>
        </w:rPr>
        <w:t xml:space="preserve">运维</w:t>
      </w:r>
      <w:r>
        <w:rPr>
          <w:rFonts w:hint="eastAsia" w:ascii="宋体" w:hAnsi="宋体" w:cs="宋体"/>
          <w:color w:val="auto"/>
          <w:sz w:val="24"/>
          <w:szCs w:val="22"/>
          <w:highlight w:val="none"/>
          <w:lang w:val="en-US" w:eastAsia="zh-CN"/>
        </w:rPr>
        <w:t xml:space="preserve">服务</w:t>
      </w:r>
      <w:r>
        <w:rPr>
          <w:rFonts w:hint="eastAsia" w:ascii="宋体" w:hAnsi="宋体" w:cs="宋体"/>
          <w:color w:val="auto"/>
          <w:sz w:val="24"/>
          <w:szCs w:val="22"/>
          <w:highlight w:val="none"/>
        </w:rPr>
        <w:t xml:space="preserve">，</w:t>
      </w:r>
      <w:r>
        <w:rPr>
          <w:rFonts w:hint="eastAsia" w:ascii="宋体" w:hAnsi="宋体" w:cs="宋体"/>
          <w:color w:val="auto"/>
          <w:sz w:val="24"/>
          <w:szCs w:val="22"/>
          <w:highlight w:val="none"/>
          <w:lang w:val="en-US" w:eastAsia="zh-CN"/>
        </w:rPr>
        <w:t xml:space="preserve">包</w:t>
      </w:r>
      <w:r>
        <w:rPr>
          <w:rFonts w:hint="eastAsia" w:ascii="宋体" w:hAnsi="宋体" w:cs="宋体"/>
          <w:color w:val="auto"/>
          <w:sz w:val="24"/>
          <w:szCs w:val="22"/>
          <w:highlight w:val="none"/>
        </w:rPr>
        <w:t xml:space="preserve">含</w:t>
      </w:r>
      <w:r>
        <w:rPr>
          <w:rFonts w:hint="eastAsia" w:ascii="宋体" w:hAnsi="宋体" w:cs="宋体"/>
          <w:color w:val="auto"/>
          <w:sz w:val="24"/>
          <w:szCs w:val="22"/>
          <w:highlight w:val="none"/>
          <w:lang w:val="en-US" w:eastAsia="zh-CN"/>
        </w:rPr>
        <w:t xml:space="preserve">但不限于</w:t>
      </w:r>
      <w:r>
        <w:rPr>
          <w:rFonts w:hint="eastAsia" w:ascii="宋体" w:hAnsi="宋体" w:cs="宋体"/>
          <w:color w:val="auto"/>
          <w:sz w:val="24"/>
          <w:szCs w:val="22"/>
          <w:highlight w:val="none"/>
        </w:rPr>
        <w:t xml:space="preserve">日常系统维护、年度结转、数据备份、故障</w:t>
      </w:r>
      <w:r>
        <w:rPr>
          <w:rFonts w:hint="eastAsia" w:ascii="宋体" w:hAnsi="宋体" w:cs="宋体"/>
          <w:color w:val="auto"/>
          <w:sz w:val="24"/>
          <w:szCs w:val="22"/>
          <w:highlight w:val="none"/>
          <w:lang w:val="en-US" w:eastAsia="zh-CN"/>
        </w:rPr>
        <w:t xml:space="preserve">修复</w:t>
      </w:r>
      <w:r>
        <w:rPr>
          <w:rFonts w:hint="eastAsia" w:ascii="宋体" w:hAnsi="宋体" w:cs="宋体"/>
          <w:color w:val="auto"/>
          <w:sz w:val="24"/>
          <w:szCs w:val="22"/>
          <w:highlight w:val="none"/>
        </w:rPr>
        <w:t xml:space="preserve">、对账数据修复、季度权限审计、多频次操作培训等。</w:t>
      </w:r>
      <w:r/>
    </w:p>
    <w:p>
      <w:pPr>
        <w:ind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二</w:t>
      </w:r>
      <w:r>
        <w:rPr>
          <w:rFonts w:hint="eastAsia" w:ascii="宋体" w:hAnsi="宋体" w:eastAsia="宋体" w:cs="宋体"/>
          <w:b/>
          <w:bCs/>
          <w:color w:val="000000"/>
          <w:sz w:val="24"/>
          <w:szCs w:val="24"/>
          <w:highlight w:val="none"/>
        </w:rPr>
        <w:t xml:space="preserve">、建设目标</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2.1</w:t>
      </w:r>
      <w:r>
        <w:rPr>
          <w:rFonts w:hint="eastAsia" w:ascii="宋体" w:hAnsi="宋体" w:eastAsia="宋体" w:cs="宋体"/>
          <w:color w:val="000000"/>
          <w:sz w:val="24"/>
          <w:szCs w:val="24"/>
          <w:highlight w:val="none"/>
        </w:rPr>
        <w:t xml:space="preserve">常州市金坛区财政局区本级及乡镇财政预算管理一体化平台运维服务。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2.2</w:t>
      </w:r>
      <w:r>
        <w:rPr>
          <w:rFonts w:hint="eastAsia" w:ascii="宋体" w:hAnsi="宋体" w:eastAsia="宋体" w:cs="宋体"/>
          <w:color w:val="000000"/>
          <w:sz w:val="24"/>
          <w:szCs w:val="24"/>
          <w:highlight w:val="none"/>
        </w:rPr>
        <w:t xml:space="preserve">常州市金坛区财政局区本级及乡镇非税电子化收缴管理系统运维服务。</w:t>
      </w:r>
      <w:r/>
    </w:p>
    <w:p>
      <w:pPr>
        <w:ind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三、</w:t>
      </w:r>
      <w:r>
        <w:rPr>
          <w:rFonts w:hint="eastAsia" w:ascii="宋体" w:hAnsi="宋体" w:eastAsia="宋体" w:cs="宋体"/>
          <w:b/>
          <w:bCs/>
          <w:color w:val="000000"/>
          <w:sz w:val="24"/>
          <w:szCs w:val="24"/>
          <w:highlight w:val="none"/>
        </w:rPr>
        <w:t xml:space="preserve">建设内容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3.1区本级及乡镇财政预算管理一体化</w:t>
      </w:r>
      <w:r>
        <w:rPr>
          <w:rFonts w:hint="eastAsia" w:ascii="宋体" w:hAnsi="宋体" w:eastAsia="宋体" w:cs="宋体"/>
          <w:color w:val="000000"/>
          <w:sz w:val="24"/>
          <w:szCs w:val="24"/>
          <w:highlight w:val="none"/>
          <w:lang w:val="en-US" w:eastAsia="zh-CN"/>
        </w:rPr>
        <w:t xml:space="preserve">平台</w:t>
      </w:r>
      <w:r>
        <w:rPr>
          <w:rFonts w:hint="eastAsia" w:ascii="宋体" w:hAnsi="宋体" w:eastAsia="宋体" w:cs="宋体"/>
          <w:color w:val="000000"/>
          <w:sz w:val="24"/>
          <w:szCs w:val="24"/>
          <w:highlight w:val="none"/>
        </w:rPr>
        <w:t xml:space="preserve">运维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3.1.1系统日常维护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（1）提供日常操作业务咨询，修复异常业务操作。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（2）完成系统初始化，编制查询报表，提供日常调整、配置服务，如配置系统参数、业务参数、凭单格式、打印设置、计算公式、视图、报表模板等。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（3）协调系统开发公司进行系统版本升级、打补丁，调整中间件、插件等相关设置，排除系统运行中出现的故障等。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（4）收集、整理各类故障记录，分析具体原因并协调各方改进。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（5）提供系统实施运维文档，包括且不限于用户手册、系统手册、应急预案、故障紧急处理措施等。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（6）提供年度结转服务，包括建立新年度账、年底业务数据调整、上年数据结转等。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（7）提供系统回流数据的备份服务，确保数据安全性。</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3.1.2系统培训服务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对系统用户提供咨询、操作指导和培训服务。系统培训包括两种：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（1）最终用户培训</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针对预算单位或财政业务人员的操作培训，侧重业务管理与系统的管理操作。不限于集中培训和上门辅导培训服务等方式。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（2）系统管理用户培训</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针对系统管理人员的培训，侧重系统管理、配置、维护的培训，包括基础数据管理、用户角色授权、工作流管理、报表管理、银行接口交换中心、安全认证管理等。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3.2区本级及乡镇非税电子化收缴管理系统运维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（1）执收单位支持：提供对外服务热线，解答各执收单位在开票、缴款、冲正等环节的操作问题。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（2）银行对账：协助完成财政非税收入管理系统与银行的对账，定位并处理差异数据。</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（3）数据修正：因操作失误或系统异常导致的数据错误，</w:t>
      </w:r>
      <w:r>
        <w:rPr>
          <w:rFonts w:hint="eastAsia" w:ascii="宋体" w:hAnsi="宋体" w:eastAsia="宋体" w:cs="宋体"/>
          <w:color w:val="000000"/>
          <w:sz w:val="24"/>
          <w:szCs w:val="24"/>
          <w:highlight w:val="none"/>
          <w:lang w:val="en-US" w:eastAsia="zh-CN"/>
        </w:rPr>
        <w:t xml:space="preserve">成交供应商</w:t>
      </w:r>
      <w:r>
        <w:rPr>
          <w:rFonts w:hint="eastAsia" w:ascii="宋体" w:hAnsi="宋体" w:eastAsia="宋体" w:cs="宋体"/>
          <w:color w:val="000000"/>
          <w:sz w:val="24"/>
          <w:szCs w:val="24"/>
          <w:highlight w:val="none"/>
        </w:rPr>
        <w:t xml:space="preserve">需协助进行底层数据逻辑修复。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（4）数据备份：严格执行数据库每日全备/增量备份策略，定期验证备份集的可用性。</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（5）漏洞修复：根据财政局安全扫描报告，及时完成操作系统、数据库、中间件及应用程序的补丁更新和漏洞修复。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（6）权限审计：每季度对系统用户权限进行清理审计。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（7）培训服务：每年提供不少于2次针对新进执收单位财务人员的系统操作培训。</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（8）数据防泄漏：签署保密协议，运维人员不得以任何形式导出敏感执收单位及缴款人信息。</w:t>
      </w:r>
      <w:r/>
    </w:p>
    <w:p>
      <w:pPr>
        <w:ind w:firstLine="0"/>
        <w:spacing w:line="360" w:lineRule="auto"/>
        <w:rPr>
          <w:rFonts w:hint="eastAsia" w:ascii="宋体" w:hAnsi="宋体" w:eastAsia="宋体" w:cs="宋体"/>
          <w:b/>
          <w:bCs/>
          <w:sz w:val="24"/>
          <w:szCs w:val="24"/>
          <w:highlight w:val="none"/>
        </w:rPr>
      </w:pPr>
      <w:r>
        <w:rPr>
          <w:rFonts w:hint="eastAsia" w:ascii="宋体" w:hAnsi="宋体" w:cs="宋体"/>
          <w:b/>
          <w:bCs/>
          <w:sz w:val="24"/>
          <w:szCs w:val="24"/>
          <w:highlight w:val="none"/>
          <w:lang w:val="en-US" w:eastAsia="zh-CN"/>
        </w:rPr>
        <w:t xml:space="preserve">四、</w:t>
      </w:r>
      <w:r>
        <w:rPr>
          <w:rFonts w:hint="eastAsia" w:ascii="宋体" w:hAnsi="宋体" w:cs="宋体"/>
          <w:b/>
          <w:bCs/>
          <w:sz w:val="24"/>
          <w:szCs w:val="24"/>
          <w:highlight w:val="none"/>
        </w:rPr>
        <w:t xml:space="preserve">技术及业务层面要求</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4.1系统总体认识和理解：</w:t>
      </w:r>
      <w:r>
        <w:rPr>
          <w:rFonts w:hint="eastAsia" w:ascii="宋体" w:hAnsi="宋体" w:cs="宋体"/>
          <w:sz w:val="24"/>
          <w:szCs w:val="24"/>
          <w:highlight w:val="none"/>
          <w:lang w:val="zh-CN"/>
        </w:rPr>
        <w:t xml:space="preserve">供应商结合</w:t>
      </w:r>
      <w:r>
        <w:rPr>
          <w:rFonts w:hint="eastAsia" w:ascii="宋体" w:hAnsi="宋体" w:cs="宋体"/>
          <w:sz w:val="24"/>
          <w:szCs w:val="24"/>
          <w:highlight w:val="none"/>
        </w:rPr>
        <w:t xml:space="preserve">所需要提供服务的系统和</w:t>
      </w:r>
      <w:r>
        <w:rPr>
          <w:rFonts w:hint="eastAsia" w:ascii="宋体" w:hAnsi="宋体" w:cs="宋体"/>
          <w:sz w:val="24"/>
          <w:szCs w:val="24"/>
          <w:highlight w:val="none"/>
          <w:lang w:val="zh-CN"/>
        </w:rPr>
        <w:t xml:space="preserve">《预算管理一体化业务规范》</w:t>
      </w:r>
      <w:r>
        <w:rPr>
          <w:rFonts w:hint="eastAsia" w:ascii="宋体" w:hAnsi="宋体" w:cs="宋体"/>
          <w:sz w:val="24"/>
          <w:szCs w:val="24"/>
          <w:highlight w:val="none"/>
        </w:rPr>
        <w:t xml:space="preserve">等相关内容</w:t>
      </w:r>
      <w:r>
        <w:rPr>
          <w:rFonts w:hint="eastAsia" w:ascii="宋体" w:hAnsi="宋体" w:cs="宋体"/>
          <w:sz w:val="24"/>
          <w:szCs w:val="24"/>
          <w:highlight w:val="none"/>
          <w:lang w:val="zh-CN"/>
        </w:rPr>
        <w:t xml:space="preserve">，提供对</w:t>
      </w:r>
      <w:r>
        <w:rPr>
          <w:rFonts w:hint="eastAsia" w:ascii="宋体" w:hAnsi="宋体" w:cs="宋体"/>
          <w:sz w:val="24"/>
          <w:szCs w:val="24"/>
          <w:highlight w:val="none"/>
        </w:rPr>
        <w:t xml:space="preserve">金坛区本级及乡镇</w:t>
      </w:r>
      <w:r>
        <w:rPr>
          <w:rFonts w:hint="eastAsia" w:ascii="宋体" w:hAnsi="宋体" w:cs="宋体"/>
          <w:sz w:val="24"/>
          <w:szCs w:val="24"/>
          <w:highlight w:val="none"/>
          <w:lang w:val="zh-CN"/>
        </w:rPr>
        <w:t xml:space="preserve">预算管理一体化系统总体认识和理解。</w:t>
      </w:r>
      <w:r>
        <w:rPr>
          <w:rFonts w:hint="eastAsia" w:ascii="宋体" w:hAnsi="宋体" w:cs="宋体"/>
          <w:sz w:val="24"/>
          <w:szCs w:val="24"/>
          <w:highlight w:val="none"/>
        </w:rPr>
        <w:t xml:space="preserve">内容包括但不限于：</w:t>
      </w:r>
      <w:r/>
    </w:p>
    <w:p>
      <w:pPr>
        <w:ind w:left="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4.1.1系统理解（系统业务架构、技术架构、应用架构、网络架构等内容的理解）</w:t>
      </w:r>
      <w:r/>
    </w:p>
    <w:p>
      <w:pPr>
        <w:ind w:left="42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4.1.2业务理解（基础信息管理、项目库管理、预算编制、预算批复、预算调整和调剂、预算执行等内容的理解）</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4.2</w:t>
      </w:r>
      <w:r>
        <w:rPr>
          <w:rFonts w:hint="eastAsia" w:ascii="宋体" w:hAnsi="宋体" w:cs="宋体"/>
          <w:sz w:val="24"/>
          <w:szCs w:val="24"/>
          <w:highlight w:val="none"/>
          <w:lang w:val="zh-CN"/>
        </w:rPr>
        <w:t xml:space="preserve">系统逻辑框架、技术框架、数据框架认识和理解：供应商结合《预算管理一体化系统技术标准》，提供对</w:t>
      </w:r>
      <w:r>
        <w:rPr>
          <w:rFonts w:hint="eastAsia" w:ascii="宋体" w:hAnsi="宋体" w:cs="宋体"/>
          <w:sz w:val="24"/>
          <w:szCs w:val="24"/>
          <w:highlight w:val="none"/>
        </w:rPr>
        <w:t xml:space="preserve">金坛区本级及乡镇</w:t>
      </w:r>
      <w:r>
        <w:rPr>
          <w:rFonts w:hint="eastAsia" w:ascii="宋体" w:hAnsi="宋体" w:cs="宋体"/>
          <w:sz w:val="24"/>
          <w:szCs w:val="24"/>
          <w:highlight w:val="none"/>
          <w:lang w:val="zh-CN"/>
        </w:rPr>
        <w:t xml:space="preserve">预算管理一体化系统系统逻辑框架、技术框架、数据框架认识和理解。</w:t>
      </w:r>
      <w:r>
        <w:rPr>
          <w:rFonts w:hint="eastAsia" w:ascii="宋体" w:hAnsi="宋体" w:cs="宋体"/>
          <w:sz w:val="24"/>
          <w:szCs w:val="24"/>
          <w:highlight w:val="none"/>
        </w:rPr>
        <w:t xml:space="preserve">内容包括但不限于：</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4.2.1逻辑框架（系统整体框架、应用框架和系统逻辑描述等相关内容）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4.2.2 技术框架（系统技术框架设计思路、外部接口管理等相关内容）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4.2.3数据框架（一体化数据架构模型等相关内容）</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4.3</w:t>
      </w:r>
      <w:r>
        <w:rPr>
          <w:rFonts w:hint="eastAsia" w:ascii="宋体" w:hAnsi="宋体" w:cs="宋体"/>
          <w:sz w:val="24"/>
          <w:szCs w:val="24"/>
          <w:highlight w:val="none"/>
          <w:lang w:val="zh-CN"/>
        </w:rPr>
        <w:t xml:space="preserve">预算编制和绩效板块年度工作理解：供应商结合《</w:t>
      </w:r>
      <w:r>
        <w:rPr>
          <w:rFonts w:hint="eastAsia" w:ascii="宋体" w:hAnsi="宋体" w:cs="宋体"/>
          <w:sz w:val="24"/>
          <w:szCs w:val="24"/>
          <w:highlight w:val="none"/>
        </w:rPr>
        <w:t xml:space="preserve">常州市金坛区本级及乡镇</w:t>
      </w:r>
      <w:r>
        <w:rPr>
          <w:rFonts w:hint="eastAsia" w:ascii="宋体" w:hAnsi="宋体" w:cs="宋体"/>
          <w:sz w:val="24"/>
          <w:szCs w:val="24"/>
          <w:highlight w:val="none"/>
          <w:lang w:val="zh-CN"/>
        </w:rPr>
        <w:t xml:space="preserve">预算管理一体化系统（预算编制板块）需求规格说明书》、《</w:t>
      </w:r>
      <w:r>
        <w:rPr>
          <w:rFonts w:hint="eastAsia" w:ascii="宋体" w:hAnsi="宋体" w:cs="宋体"/>
          <w:sz w:val="24"/>
          <w:szCs w:val="24"/>
          <w:highlight w:val="none"/>
        </w:rPr>
        <w:t xml:space="preserve">常州市金坛区本级及乡镇</w:t>
      </w:r>
      <w:r>
        <w:rPr>
          <w:rFonts w:hint="eastAsia" w:ascii="宋体" w:hAnsi="宋体" w:cs="宋体"/>
          <w:sz w:val="24"/>
          <w:szCs w:val="24"/>
          <w:highlight w:val="none"/>
          <w:lang w:val="zh-CN"/>
        </w:rPr>
        <w:t xml:space="preserve">预算管理一体化系统（绩效管理板块）需求规格说明书》，提供年度工作和理解，内容包括</w:t>
      </w:r>
      <w:r>
        <w:rPr>
          <w:rFonts w:hint="eastAsia" w:ascii="宋体" w:hAnsi="宋体" w:cs="宋体"/>
          <w:sz w:val="24"/>
          <w:szCs w:val="24"/>
          <w:highlight w:val="none"/>
        </w:rPr>
        <w:t xml:space="preserve">但不限于：</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4.3.1业务需求理解（预算编制和绩效板块需求内容理解）</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4.3.2系统模块配置（</w:t>
      </w:r>
      <w:r>
        <w:rPr>
          <w:rFonts w:hint="eastAsia" w:ascii="宋体" w:hAnsi="宋体" w:cs="宋体"/>
          <w:sz w:val="24"/>
          <w:szCs w:val="24"/>
          <w:highlight w:val="none"/>
          <w:lang w:val="zh-CN"/>
        </w:rPr>
        <w:t xml:space="preserve">基础数据整理、基础信息库流程配置、项目库流程配置、预算编制流程配置、绩效流程配置、支出试算配置、报表编制</w:t>
      </w:r>
      <w:r>
        <w:rPr>
          <w:rFonts w:hint="eastAsia" w:ascii="宋体" w:hAnsi="宋体" w:cs="宋体"/>
          <w:sz w:val="24"/>
          <w:szCs w:val="24"/>
          <w:highlight w:val="none"/>
        </w:rPr>
        <w:t xml:space="preserve">等）</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4.4</w:t>
      </w:r>
      <w:r>
        <w:rPr>
          <w:rFonts w:hint="eastAsia" w:ascii="宋体" w:hAnsi="宋体" w:cs="宋体"/>
          <w:sz w:val="24"/>
          <w:szCs w:val="24"/>
          <w:highlight w:val="none"/>
          <w:lang w:val="zh-CN"/>
        </w:rPr>
        <w:t xml:space="preserve">预算执行版块年度工作理解：供应商结合《</w:t>
      </w:r>
      <w:r>
        <w:rPr>
          <w:rFonts w:hint="eastAsia" w:ascii="宋体" w:hAnsi="宋体" w:cs="宋体"/>
          <w:sz w:val="24"/>
          <w:szCs w:val="24"/>
          <w:highlight w:val="none"/>
        </w:rPr>
        <w:t xml:space="preserve">常州市金坛区本级及乡镇</w:t>
      </w:r>
      <w:r>
        <w:rPr>
          <w:rFonts w:hint="eastAsia" w:ascii="宋体" w:hAnsi="宋体" w:cs="宋体"/>
          <w:sz w:val="24"/>
          <w:szCs w:val="24"/>
          <w:highlight w:val="none"/>
          <w:lang w:val="zh-CN"/>
        </w:rPr>
        <w:t xml:space="preserve">预算管理一体化系统（预算执行板块）需求规格说明书》，提供年度工作和理解，内容包括</w:t>
      </w:r>
      <w:r>
        <w:rPr>
          <w:rFonts w:hint="eastAsia" w:ascii="宋体" w:hAnsi="宋体" w:cs="宋体"/>
          <w:sz w:val="24"/>
          <w:szCs w:val="24"/>
          <w:highlight w:val="none"/>
        </w:rPr>
        <w:t xml:space="preserve">但不限于：</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4.4.1业务需求理解（预算执行板块需求内容理解）</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4.4.2系统模块配置（</w:t>
      </w:r>
      <w:r>
        <w:rPr>
          <w:rFonts w:hint="eastAsia" w:ascii="宋体" w:hAnsi="宋体" w:cs="宋体"/>
          <w:sz w:val="24"/>
          <w:szCs w:val="24"/>
          <w:highlight w:val="none"/>
          <w:lang w:val="zh-CN"/>
        </w:rPr>
        <w:t xml:space="preserve">基础数据整理、预算调整调剂、预算执行流程配置、会计核算、报表编制</w:t>
      </w:r>
      <w:r>
        <w:rPr>
          <w:rFonts w:hint="eastAsia" w:ascii="宋体" w:hAnsi="宋体" w:cs="宋体"/>
          <w:sz w:val="24"/>
          <w:szCs w:val="24"/>
          <w:highlight w:val="none"/>
        </w:rPr>
        <w:t xml:space="preserve">等）</w:t>
      </w:r>
      <w:r/>
    </w:p>
    <w:p>
      <w:pPr>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4.5与其他财政业务系统对接</w:t>
      </w:r>
      <w:r>
        <w:rPr>
          <w:rFonts w:hint="eastAsia" w:ascii="宋体" w:hAnsi="宋体" w:cs="宋体"/>
          <w:sz w:val="24"/>
          <w:szCs w:val="24"/>
          <w:highlight w:val="none"/>
          <w:lang w:val="zh-CN"/>
        </w:rPr>
        <w:t xml:space="preserve">熟悉程度</w:t>
      </w:r>
      <w:r>
        <w:rPr>
          <w:rFonts w:hint="eastAsia" w:ascii="宋体" w:hAnsi="宋体" w:cs="宋体"/>
          <w:sz w:val="24"/>
          <w:szCs w:val="24"/>
          <w:highlight w:val="none"/>
        </w:rPr>
        <w:t xml:space="preserve">要求</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4.5.1</w:t>
      </w:r>
      <w:r>
        <w:rPr>
          <w:rFonts w:hint="eastAsia" w:ascii="宋体" w:hAnsi="宋体" w:cs="宋体"/>
          <w:sz w:val="24"/>
          <w:szCs w:val="24"/>
          <w:highlight w:val="none"/>
          <w:lang w:val="zh-CN"/>
        </w:rPr>
        <w:t xml:space="preserve">供应商根据项目运维实施部署要求，结合</w:t>
      </w:r>
      <w:r>
        <w:rPr>
          <w:rFonts w:hint="eastAsia" w:ascii="宋体" w:hAnsi="宋体" w:cs="宋体"/>
          <w:sz w:val="24"/>
          <w:szCs w:val="24"/>
          <w:highlight w:val="none"/>
        </w:rPr>
        <w:t xml:space="preserve">苏采云平台</w:t>
      </w:r>
      <w:r>
        <w:rPr>
          <w:rFonts w:hint="eastAsia" w:ascii="宋体" w:hAnsi="宋体" w:cs="宋体"/>
          <w:sz w:val="24"/>
          <w:szCs w:val="24"/>
          <w:highlight w:val="none"/>
          <w:lang w:val="zh-CN"/>
        </w:rPr>
        <w:t xml:space="preserve">现状，制定预算管理一体化系统与</w:t>
      </w:r>
      <w:r>
        <w:rPr>
          <w:rFonts w:hint="eastAsia" w:ascii="宋体" w:hAnsi="宋体" w:cs="宋体"/>
          <w:sz w:val="24"/>
          <w:szCs w:val="24"/>
          <w:highlight w:val="none"/>
        </w:rPr>
        <w:t xml:space="preserve">苏采云</w:t>
      </w:r>
      <w:r>
        <w:rPr>
          <w:rFonts w:hint="eastAsia" w:ascii="宋体" w:hAnsi="宋体" w:cs="宋体"/>
          <w:sz w:val="24"/>
          <w:szCs w:val="24"/>
          <w:highlight w:val="none"/>
          <w:lang w:val="zh-CN"/>
        </w:rPr>
        <w:t xml:space="preserve">平台关于</w:t>
      </w:r>
      <w:r>
        <w:rPr>
          <w:rFonts w:hint="eastAsia" w:ascii="宋体" w:hAnsi="宋体" w:cs="宋体"/>
          <w:sz w:val="24"/>
          <w:szCs w:val="24"/>
          <w:highlight w:val="none"/>
        </w:rPr>
        <w:t xml:space="preserve">政府采购</w:t>
      </w:r>
      <w:r>
        <w:rPr>
          <w:rFonts w:hint="eastAsia" w:ascii="宋体" w:hAnsi="宋体" w:cs="宋体"/>
          <w:sz w:val="24"/>
          <w:szCs w:val="24"/>
          <w:highlight w:val="none"/>
          <w:lang w:val="zh-CN"/>
        </w:rPr>
        <w:t xml:space="preserve">的业务熟悉程度方案，方案包含需求分析、流程衔接等内容。</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rPr>
        <w:t xml:space="preserve">4.5.2</w:t>
      </w:r>
      <w:r>
        <w:rPr>
          <w:rFonts w:hint="eastAsia" w:ascii="宋体" w:hAnsi="宋体" w:cs="宋体"/>
          <w:sz w:val="24"/>
          <w:szCs w:val="24"/>
          <w:highlight w:val="none"/>
          <w:lang w:val="zh-CN"/>
        </w:rPr>
        <w:t xml:space="preserve">供应商根据项目运维实施部署要求，结合</w:t>
      </w:r>
      <w:r>
        <w:rPr>
          <w:rFonts w:hint="eastAsia" w:ascii="宋体" w:hAnsi="宋体" w:cs="宋体"/>
          <w:sz w:val="24"/>
          <w:szCs w:val="24"/>
          <w:highlight w:val="none"/>
        </w:rPr>
        <w:t xml:space="preserve">常州</w:t>
      </w:r>
      <w:r>
        <w:rPr>
          <w:rFonts w:hint="eastAsia" w:ascii="宋体" w:hAnsi="宋体" w:cs="宋体"/>
          <w:sz w:val="24"/>
          <w:szCs w:val="24"/>
          <w:highlight w:val="none"/>
          <w:lang w:val="zh-CN"/>
        </w:rPr>
        <w:t xml:space="preserve">市</w:t>
      </w:r>
      <w:r>
        <w:rPr>
          <w:rFonts w:hint="eastAsia" w:ascii="宋体" w:hAnsi="宋体" w:eastAsia="宋体" w:cs="宋体"/>
          <w:color w:val="000000"/>
          <w:sz w:val="24"/>
          <w:szCs w:val="24"/>
          <w:highlight w:val="none"/>
        </w:rPr>
        <w:t xml:space="preserve">非税电子化收缴管理系统</w:t>
      </w:r>
      <w:r>
        <w:rPr>
          <w:rFonts w:hint="eastAsia" w:ascii="宋体" w:hAnsi="宋体" w:cs="宋体"/>
          <w:sz w:val="24"/>
          <w:szCs w:val="24"/>
          <w:highlight w:val="none"/>
          <w:lang w:val="zh-CN"/>
        </w:rPr>
        <w:t xml:space="preserve">现状，制定预算管理一体化系统与</w:t>
      </w:r>
      <w:r>
        <w:rPr>
          <w:rFonts w:hint="eastAsia" w:ascii="宋体" w:hAnsi="宋体" w:cs="宋体"/>
          <w:sz w:val="24"/>
          <w:szCs w:val="24"/>
          <w:highlight w:val="none"/>
        </w:rPr>
        <w:t xml:space="preserve">常州</w:t>
      </w:r>
      <w:r>
        <w:rPr>
          <w:rFonts w:hint="eastAsia" w:ascii="宋体" w:hAnsi="宋体" w:cs="宋体"/>
          <w:sz w:val="24"/>
          <w:szCs w:val="24"/>
          <w:highlight w:val="none"/>
          <w:lang w:val="zh-CN"/>
        </w:rPr>
        <w:t xml:space="preserve">市</w:t>
      </w:r>
      <w:r>
        <w:rPr>
          <w:rFonts w:hint="eastAsia" w:ascii="宋体" w:hAnsi="宋体" w:eastAsia="宋体" w:cs="宋体"/>
          <w:color w:val="000000"/>
          <w:sz w:val="24"/>
          <w:szCs w:val="24"/>
          <w:highlight w:val="none"/>
        </w:rPr>
        <w:t xml:space="preserve">非税电子化收缴管理系统</w:t>
      </w:r>
      <w:r>
        <w:rPr>
          <w:rFonts w:hint="eastAsia" w:ascii="宋体" w:hAnsi="宋体" w:cs="宋体"/>
          <w:sz w:val="24"/>
          <w:szCs w:val="24"/>
          <w:highlight w:val="none"/>
          <w:lang w:val="zh-CN"/>
        </w:rPr>
        <w:t xml:space="preserve">关于非税一体化过账及退付的业务熟悉程度方案，内容包括但不限于：</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lang w:val="en-US" w:eastAsia="zh-CN"/>
        </w:rPr>
        <w:t xml:space="preserve">1</w:t>
      </w:r>
      <w:r>
        <w:rPr>
          <w:rFonts w:hint="eastAsia" w:ascii="宋体" w:hAnsi="宋体" w:cs="宋体"/>
          <w:sz w:val="24"/>
          <w:szCs w:val="24"/>
          <w:highlight w:val="none"/>
          <w:lang w:val="zh-CN"/>
        </w:rPr>
        <w:t xml:space="preserve">）</w:t>
      </w:r>
      <w:r>
        <w:rPr>
          <w:rFonts w:hint="eastAsia" w:ascii="宋体" w:hAnsi="宋体" w:cs="宋体"/>
          <w:sz w:val="24"/>
          <w:szCs w:val="24"/>
          <w:highlight w:val="none"/>
        </w:rPr>
        <w:t xml:space="preserve">常州</w:t>
      </w:r>
      <w:r>
        <w:rPr>
          <w:rFonts w:hint="eastAsia" w:ascii="宋体" w:hAnsi="宋体" w:cs="宋体"/>
          <w:sz w:val="24"/>
          <w:szCs w:val="24"/>
          <w:highlight w:val="none"/>
          <w:lang w:val="zh-CN"/>
        </w:rPr>
        <w:t xml:space="preserve">市</w:t>
      </w:r>
      <w:r>
        <w:rPr>
          <w:rFonts w:hint="eastAsia" w:ascii="宋体" w:hAnsi="宋体" w:eastAsia="宋体" w:cs="宋体"/>
          <w:color w:val="000000"/>
          <w:sz w:val="24"/>
          <w:szCs w:val="24"/>
          <w:highlight w:val="none"/>
        </w:rPr>
        <w:t xml:space="preserve">非税电子化收缴管理系统</w:t>
      </w:r>
      <w:r>
        <w:rPr>
          <w:rFonts w:hint="eastAsia" w:ascii="宋体" w:hAnsi="宋体" w:cs="宋体"/>
          <w:sz w:val="24"/>
          <w:szCs w:val="24"/>
          <w:highlight w:val="none"/>
          <w:lang w:val="zh-CN"/>
        </w:rPr>
        <w:t xml:space="preserve">现状。</w:t>
      </w:r>
      <w:r/>
    </w:p>
    <w:p>
      <w:pPr>
        <w:ind w:firstLine="480"/>
        <w:spacing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w:t>
      </w:r>
      <w:r>
        <w:rPr>
          <w:rFonts w:hint="eastAsia" w:ascii="宋体" w:hAnsi="宋体" w:cs="宋体"/>
          <w:sz w:val="24"/>
          <w:szCs w:val="24"/>
          <w:highlight w:val="none"/>
          <w:lang w:val="en-US" w:eastAsia="zh-CN"/>
        </w:rPr>
        <w:t xml:space="preserve">2</w:t>
      </w:r>
      <w:r>
        <w:rPr>
          <w:rFonts w:hint="eastAsia" w:ascii="宋体" w:hAnsi="宋体" w:cs="宋体"/>
          <w:sz w:val="24"/>
          <w:szCs w:val="24"/>
          <w:highlight w:val="none"/>
          <w:lang w:val="zh-CN"/>
        </w:rPr>
        <w:t xml:space="preserve">）关于非税一体化过账及退付的业务流程和相关对接接口的熟悉程度方案。</w:t>
      </w:r>
      <w:r/>
    </w:p>
    <w:p>
      <w:pPr>
        <w:numPr>
          <w:ilvl w:val="-1"/>
          <w:numId w:val="0"/>
        </w:numPr>
        <w:ind w:firstLine="0"/>
        <w:spacing w:line="360" w:lineRule="auto"/>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lang w:val="en-US" w:eastAsia="zh-CN"/>
        </w:rPr>
        <w:t xml:space="preserve">五、</w:t>
      </w:r>
      <w:r>
        <w:rPr>
          <w:rFonts w:hint="eastAsia" w:ascii="宋体" w:hAnsi="宋体" w:eastAsia="宋体" w:cs="宋体"/>
          <w:b/>
          <w:bCs/>
          <w:color w:val="000000"/>
          <w:sz w:val="24"/>
          <w:szCs w:val="24"/>
          <w:highlight w:val="none"/>
        </w:rPr>
        <w:t xml:space="preserve">实施服务要求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5.1质量保证方案</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为保障业务高峰期内系统平稳运行，缓解系统高峰期内因业务发生量增大而带来系统压力风险，要求供应商根据财政业务周期性特点，如法定节假日、重大会议和年底财政工作比较集中等时期，加大运维保障力度，增加省厅运维基地技术支持人员，保证在财政业务高峰期内系统平稳运行。方案内容包括但不限于</w:t>
      </w:r>
      <w:r>
        <w:rPr>
          <w:rFonts w:hint="eastAsia" w:ascii="宋体" w:hAnsi="宋体" w:eastAsia="宋体" w:cs="宋体"/>
          <w:color w:val="000000"/>
          <w:sz w:val="24"/>
          <w:szCs w:val="24"/>
          <w:highlight w:val="none"/>
        </w:rPr>
        <w:t xml:space="preserve">服务保障团队、项目管理、质量控制、风险管控等方面。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5.2服务管理体系</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须结合《江苏财政省级统建信息系统运行维护工作制度（试行）》（苏财办〔2023〕14号）、《江苏省预算管理一体化系统生产数据库数据变更操作规范（试行）（苏财办发〔2024〕5号）文件要求制定服务管理体系方案。方案包括但不限于服务管理体系建设原则、服务管理体系总体架构、服务管理体系内容等方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5.3现场运维服务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供应商按照采购人的相关规定及要求，完成日常一切运维工作。</w:t>
      </w:r>
      <w:r>
        <w:rPr>
          <w:rFonts w:hint="eastAsia" w:ascii="宋体" w:hAnsi="宋体" w:eastAsia="宋体" w:cs="宋体"/>
          <w:color w:val="000000"/>
          <w:sz w:val="24"/>
          <w:szCs w:val="24"/>
          <w:highlight w:val="none"/>
        </w:rPr>
        <w:t xml:space="preserve">服务要充分考虑容错、应急、负载等要求，依托智能运维服务平台，结合严谨的测试管理，以保证系统的高可用性。服务模式包括现场支持、电话咨询、Email等。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5.3.1现场服务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服务商负责提供服务支持小组7*24小时现场服务。服务工作包括软件使用咨询、软件异常情况处理、数据异常维护、系统缺陷修复、系统迁移、重新安装等服务。并根据用户需要，派技术服务人员到用户现场服务。包括软件使用咨询、软件异常情况处理、软件数据异常的维护等。现场指导用户完成系统操作，对系统的功能操作或用户提出的其他系统问题进行现场讲解，对用户进行系统操作培训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5.3.2电话服务标准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实施服务商提供7*24小时电话服务，在日常技术支持服务中，服务团队接听财政用户、预算单位用户的热线电话，详细记录问题并解答用户提出的问题，及时更新对应系统的运维知识库，做好问题跟踪记录。对电话服务承诺如下：</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工作日内实时响应客户电话。</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非工作日30分钟内回复客户电话。</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5.3.3故障响应标准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积极与省系统开发运维团队沟通协调，对一般故障，在半小时内响应并在1小时内解决；重大故障在2小时内解决。</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服务故障响应及时性要求：对日间突发故障，要求1小时内到现场，对于夜间突发故障，12小时内到达现场。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5.3.4服务人员要求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为保障项目质量，需提供充足的人力资源驻场实施服务，并设计人力资源保障解决方案，要求服务人员配备充足、分工合理，计划科学。驻场实施服务人数不得少于</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人</w:t>
      </w:r>
      <w:r>
        <w:rPr>
          <w:rFonts w:hint="eastAsia" w:ascii="宋体" w:hAnsi="宋体" w:cs="宋体"/>
          <w:color w:val="000000"/>
          <w:sz w:val="24"/>
          <w:highlight w:val="none"/>
        </w:rPr>
        <w:t xml:space="preserve">(包含1名项目经理)</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highlight w:val="none"/>
          <w:lang w:val="en-US" w:eastAsia="zh-CN"/>
        </w:rPr>
        <w:t xml:space="preserve">驻场工作时间与采购人工作人员同步。</w:t>
      </w:r>
      <w:r>
        <w:rPr>
          <w:rFonts w:hint="eastAsia" w:ascii="宋体" w:hAnsi="宋体" w:eastAsia="宋体" w:cs="宋体"/>
          <w:color w:val="000000"/>
          <w:sz w:val="24"/>
          <w:szCs w:val="24"/>
          <w:highlight w:val="none"/>
          <w:lang w:val="en-US" w:eastAsia="zh-CN"/>
        </w:rPr>
        <w:t xml:space="preserve">供应商需在响应文件中提供《</w:t>
      </w:r>
      <w:r>
        <w:rPr>
          <w:rFonts w:hint="eastAsia" w:ascii="宋体" w:hAnsi="宋体" w:cs="宋体"/>
          <w:b w:val="0"/>
          <w:color w:val="000000"/>
          <w:sz w:val="24"/>
          <w:szCs w:val="24"/>
          <w:highlight w:val="none"/>
        </w:rPr>
        <w:t xml:space="preserve">参加本项目人员一览表</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rPr>
        <w:t xml:space="preserve">。驻场实施服务人员在常州市金坛区财政局的统一领导下开展项目要求的工作，遵从采购人制定的服务质量考核管理办法要求，在系统实施阶段不能更换项目实施人员，如确需更换，须经采购人批准。</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方案内容包括但不限于运维服务方式、运维服务流程、运维服务内容等方面。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5.4安全保障方案</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5.4.1安全运维管理要求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供应商必须规范日常的安全操作，通过实施必要的安全运行维护措施，保障符合财政部的总体安全策略。配合采购人定期开展网络安全自查，自查内容至少包括系统日常运行情况、系统漏洞等；配合采购人定期进行安全审计，审计内容至少包括系统账号、权限、操作行为和安全技术措施有效性等，及时发现和处理信息系统运行过程中的安全隐患，减少或避免网络安全事件的发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5.4.2技术安全防护要求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范管理信息化设备的安全维护；根据工作所需设置最小访问权限；禁止将系统管理员权限授予其他人员；禁止绕过运维安全审计系统对基础软件进行远程维护；严格控制运维工具的使用，经过采购人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5.4.3信息保密要求</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成交供应商承诺对采购人提供的内部资料、数据和信息予以保密。未经采购人书面许可，不许以任何形式向第三方透露。成交供应商应与驻场运维服务人员签订保密协议，督促运维服务人员严格遵守保密规定。</w:t>
      </w:r>
      <w:r/>
    </w:p>
    <w:p>
      <w:pPr>
        <w:ind w:firstLine="42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方案内容包括但不限于安全运维管理、技术安全防护等方面。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5.5应急预案</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根据系统运行情况提供预防性维护，建立系统异常应急预案，出现故障时及时处理并反馈，针对不同突发事件提供相应的应对策略。内容包括但不限于应急响应流程、应急处置方案、重大节日、活动期间应急保障措施等方面。</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5.6系统培训方案</w:t>
      </w:r>
      <w:r/>
    </w:p>
    <w:p>
      <w:pPr>
        <w:ind w:firstLine="24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要求具有完整的培训计划；根据实际情况安排定期或不定期的培训，具体培训需求由财政提出，根据用户的需求提供完整的培训方案并实施培训，方案内容包括但不限于培训师资力量、培训方式、培训计划等方面。</w:t>
      </w:r>
      <w:r/>
    </w:p>
    <w:p>
      <w:pPr>
        <w:numPr>
          <w:ilvl w:val="0"/>
          <w:numId w:val="0"/>
        </w:numPr>
        <w:ind w:right="210" w:firstLine="0"/>
        <w:jc w:val="left"/>
        <w:keepLines w:val="0"/>
        <w:keepNext w:val="0"/>
        <w:pageBreakBefore w:val="0"/>
        <w:spacing w:line="360" w:lineRule="auto"/>
        <w:widowControl w:val="off"/>
        <w:rPr>
          <w:rFonts w:hint="eastAsia" w:ascii="宋体" w:hAnsi="宋体" w:eastAsia="宋体" w:cs="宋体"/>
          <w:b/>
          <w:color w:val="auto"/>
          <w:sz w:val="24"/>
          <w:szCs w:val="24"/>
          <w:highlight w:val="none"/>
          <w:u w:val="none"/>
        </w:rPr>
        <w:outlineLvl w:val="9"/>
      </w:pPr>
      <w:r>
        <w:rPr>
          <w:rFonts w:hint="eastAsia" w:ascii="宋体" w:hAnsi="宋体" w:cs="宋体"/>
          <w:b/>
          <w:color w:val="auto"/>
          <w:sz w:val="24"/>
          <w:szCs w:val="24"/>
          <w:highlight w:val="none"/>
          <w:u w:val="none"/>
          <w:lang w:val="en-US" w:eastAsia="zh-CN"/>
        </w:rPr>
        <w:t xml:space="preserve">六</w:t>
      </w:r>
      <w:r>
        <w:rPr>
          <w:rFonts w:hint="eastAsia" w:ascii="宋体" w:hAnsi="宋体" w:eastAsia="宋体" w:cs="宋体"/>
          <w:b/>
          <w:color w:val="auto"/>
          <w:sz w:val="24"/>
          <w:szCs w:val="24"/>
          <w:highlight w:val="none"/>
          <w:u w:val="none"/>
        </w:rPr>
        <w:t xml:space="preserve">、报价方式</w:t>
      </w:r>
      <w:r/>
    </w:p>
    <w:p>
      <w:pPr>
        <w:ind w:firstLine="480"/>
        <w:keepLines w:val="0"/>
        <w:keepNext w:val="0"/>
        <w:pageBreakBefore w:val="0"/>
        <w:spacing w:line="360" w:lineRule="auto"/>
        <w:rPr>
          <w:rFonts w:hint="eastAsia" w:ascii="宋体" w:hAnsi="宋体" w:cs="宋体"/>
          <w:b/>
          <w:color w:val="auto"/>
          <w:sz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本项目投标报价为</w:t>
      </w:r>
      <w:r>
        <w:rPr>
          <w:rFonts w:hint="eastAsia" w:ascii="宋体" w:hAnsi="宋体" w:eastAsia="宋体" w:cs="宋体"/>
          <w:b/>
          <w:bCs/>
          <w:color w:val="auto"/>
          <w:sz w:val="24"/>
          <w:szCs w:val="24"/>
          <w:highlight w:val="none"/>
          <w:lang w:val="en-US" w:eastAsia="zh-CN"/>
        </w:rPr>
        <w:t xml:space="preserve">固定</w:t>
      </w:r>
      <w:r>
        <w:rPr>
          <w:rFonts w:hint="eastAsia" w:ascii="宋体" w:hAnsi="宋体" w:cs="宋体"/>
          <w:b/>
          <w:bCs/>
          <w:color w:val="auto"/>
          <w:sz w:val="24"/>
          <w:szCs w:val="24"/>
          <w:highlight w:val="none"/>
          <w:lang w:val="en-US" w:eastAsia="zh-CN"/>
        </w:rPr>
        <w:t xml:space="preserve">总价</w:t>
      </w:r>
      <w:r>
        <w:rPr>
          <w:rFonts w:hint="eastAsia" w:ascii="宋体" w:hAnsi="宋体" w:eastAsia="宋体" w:cs="宋体"/>
          <w:color w:val="auto"/>
          <w:sz w:val="24"/>
          <w:szCs w:val="24"/>
          <w:highlight w:val="none"/>
          <w:lang w:val="en-US" w:eastAsia="zh-CN"/>
        </w:rPr>
        <w:t xml:space="preserve">，投标报价应包括</w:t>
      </w:r>
      <w:r>
        <w:rPr>
          <w:rFonts w:hint="eastAsia" w:ascii="宋体" w:hAnsi="宋体" w:cs="宋体"/>
          <w:color w:val="auto"/>
          <w:sz w:val="24"/>
          <w:highlight w:val="none"/>
        </w:rPr>
        <w:t xml:space="preserve">竞争性磋商文件所确定的采购范围相应服务的提供、人员（包括工资和补贴）、办公场所及设施、保险、劳保、管理、各种税费、利润、管理费、规费（社会保险费、住房公积金）、税金、招标代理服务费、政策性文件规定及合同包含的所有风险、责任等各项应有费用，以及为完成该项服务项目所涉及到的一切相关费用，采购人不再支付其他任何费用。同时，除非合同条款中另有规定，否则，供应商所报价格在合同响应、实施期间不因市场变化因素而变动。</w:t>
      </w:r>
      <w:r/>
    </w:p>
    <w:p>
      <w:pPr>
        <w:contextualSpacing/>
        <w:ind w:firstLine="0"/>
        <w:keepLines w:val="0"/>
        <w:keepNext w:val="0"/>
        <w:pageBreakBefore w:val="0"/>
        <w:spacing w:line="360" w:lineRule="auto"/>
        <w:widowControl w:val="off"/>
        <w:rPr>
          <w:rFonts w:hint="eastAsia" w:ascii="宋体" w:hAnsi="宋体" w:eastAsia="宋体" w:cs="宋体"/>
          <w:b/>
          <w:bCs w:val="0"/>
          <w:color w:val="auto"/>
          <w:sz w:val="24"/>
          <w:szCs w:val="24"/>
          <w:highlight w:val="none"/>
        </w:rPr>
        <w:outlineLvl w:val="9"/>
      </w:pPr>
      <w:r>
        <w:rPr>
          <w:rFonts w:hint="eastAsia" w:ascii="宋体" w:hAnsi="宋体" w:eastAsia="宋体" w:cs="宋体"/>
          <w:b/>
          <w:bCs w:val="0"/>
          <w:color w:val="auto"/>
          <w:sz w:val="24"/>
          <w:szCs w:val="24"/>
          <w:highlight w:val="none"/>
          <w:lang w:val="en-US" w:eastAsia="zh-CN"/>
        </w:rPr>
        <w:t xml:space="preserve">七、</w:t>
      </w:r>
      <w:r>
        <w:rPr>
          <w:rFonts w:hint="eastAsia" w:ascii="宋体" w:hAnsi="宋体" w:eastAsia="宋体" w:cs="宋体"/>
          <w:b/>
          <w:bCs w:val="0"/>
          <w:color w:val="auto"/>
          <w:sz w:val="24"/>
          <w:szCs w:val="24"/>
          <w:highlight w:val="none"/>
        </w:rPr>
        <w:t xml:space="preserve">服务期限</w:t>
      </w:r>
      <w:r/>
    </w:p>
    <w:p>
      <w:pPr>
        <w:contextualSpacing/>
        <w:ind w:firstLine="480"/>
        <w:jc w:val="left"/>
        <w:keepLines w:val="0"/>
        <w:keepNext w:val="0"/>
        <w:pageBreakBefore w:val="0"/>
        <w:spacing w:line="360" w:lineRule="auto"/>
        <w:widowControl/>
        <w:tabs>
          <w:tab w:val="left" w:pos="284" w:leader="none"/>
        </w:tabs>
        <w:rPr>
          <w:rFonts w:hint="eastAsia" w:ascii="宋体" w:hAnsi="宋体" w:eastAsia="宋体" w:cs="宋体"/>
          <w:color w:val="auto"/>
          <w:sz w:val="24"/>
          <w:highlight w:val="none"/>
          <w:lang w:val="en-US" w:eastAsia="zh-CN"/>
        </w:rPr>
        <w:pBdr>
          <w:top w:val="none" w:color="auto" w:sz="0" w:space="0"/>
          <w:left w:val="none" w:color="auto" w:sz="0" w:space="0"/>
          <w:bottom w:val="none" w:color="auto" w:sz="0" w:space="0"/>
          <w:right w:val="none" w:color="auto" w:sz="0" w:space="0"/>
        </w:pBdr>
        <w:outlineLvl w:val="9"/>
      </w:pPr>
      <w:r>
        <w:rPr>
          <w:rFonts w:hint="eastAsia" w:ascii="宋体" w:hAnsi="宋体" w:cs="宋体"/>
          <w:color w:val="auto"/>
          <w:sz w:val="24"/>
          <w:highlight w:val="none"/>
          <w:lang w:eastAsia="zh-CN"/>
        </w:rPr>
        <w:t xml:space="preserve">自</w:t>
      </w:r>
      <w:r>
        <w:rPr>
          <w:rFonts w:hint="eastAsia" w:ascii="宋体" w:hAnsi="宋体" w:cs="宋体"/>
          <w:color w:val="auto"/>
          <w:sz w:val="24"/>
          <w:highlight w:val="none"/>
          <w:lang w:val="en-US" w:eastAsia="zh-CN"/>
        </w:rPr>
        <w:t xml:space="preserve">合同签订之日起</w:t>
      </w:r>
      <w:r>
        <w:rPr>
          <w:rFonts w:hint="eastAsia" w:ascii="宋体" w:hAnsi="宋体" w:cs="宋体"/>
          <w:color w:val="auto"/>
          <w:sz w:val="24"/>
          <w:highlight w:val="none"/>
        </w:rPr>
        <w:t xml:space="preserve">至202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年12月31日</w:t>
      </w:r>
      <w:r>
        <w:rPr>
          <w:rFonts w:hint="eastAsia" w:ascii="宋体" w:hAnsi="宋体" w:cs="宋体"/>
          <w:color w:val="auto"/>
          <w:sz w:val="24"/>
          <w:highlight w:val="none"/>
          <w:lang w:val="en-US" w:eastAsia="zh-CN"/>
        </w:rPr>
        <w:t xml:space="preserve">止</w:t>
      </w:r>
      <w:r>
        <w:rPr>
          <w:rFonts w:hint="eastAsia" w:ascii="宋体" w:hAnsi="宋体" w:cs="宋体"/>
          <w:color w:val="auto"/>
          <w:sz w:val="24"/>
          <w:highlight w:val="none"/>
        </w:rPr>
        <w:t xml:space="preserve">。</w:t>
      </w:r>
      <w:r/>
    </w:p>
    <w:p>
      <w:pPr>
        <w:numPr>
          <w:ilvl w:val="0"/>
          <w:numId w:val="11"/>
        </w:numPr>
        <w:contextualSpacing/>
        <w:ind w:firstLine="0"/>
        <w:keepLines w:val="0"/>
        <w:keepNext w:val="0"/>
        <w:pageBreakBefore w:val="0"/>
        <w:spacing w:line="360" w:lineRule="auto"/>
        <w:widowControl w:val="off"/>
        <w:rPr>
          <w:rFonts w:hint="eastAsia" w:ascii="宋体" w:hAnsi="宋体" w:eastAsia="宋体" w:cs="宋体"/>
          <w:b/>
          <w:bCs w:val="0"/>
          <w:color w:val="auto"/>
          <w:sz w:val="24"/>
          <w:szCs w:val="24"/>
          <w:highlight w:val="none"/>
          <w:lang w:eastAsia="zh-CN"/>
        </w:rPr>
        <w:outlineLvl w:val="9"/>
      </w:pPr>
      <w:r>
        <w:rPr>
          <w:rFonts w:hint="eastAsia" w:ascii="宋体" w:hAnsi="宋体" w:eastAsia="宋体" w:cs="宋体"/>
          <w:b/>
          <w:bCs w:val="0"/>
          <w:color w:val="auto"/>
          <w:sz w:val="24"/>
          <w:szCs w:val="24"/>
          <w:highlight w:val="none"/>
          <w:lang w:eastAsia="zh-CN"/>
        </w:rPr>
        <w:t xml:space="preserve">验收要求</w:t>
      </w:r>
      <w:r/>
    </w:p>
    <w:p>
      <w:pPr>
        <w:contextualSpacing/>
        <w:ind w:firstLine="480"/>
        <w:jc w:val="left"/>
        <w:keepLines w:val="0"/>
        <w:keepNext w:val="0"/>
        <w:pageBreakBefore w:val="0"/>
        <w:spacing w:line="360" w:lineRule="auto"/>
        <w:widowControl/>
        <w:tabs>
          <w:tab w:val="left" w:pos="284" w:leader="none"/>
        </w:tabs>
        <w:rPr>
          <w:rFonts w:hint="eastAsia" w:ascii="宋体" w:hAnsi="宋体" w:eastAsia="宋体" w:cs="宋体"/>
          <w:b w:val="0"/>
          <w:bCs w:val="0"/>
          <w:color w:val="auto"/>
          <w:sz w:val="24"/>
          <w:szCs w:val="24"/>
          <w:highlight w:val="none"/>
          <w:lang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在项目服务过程中，按照</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要求</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相关标准</w:t>
      </w:r>
      <w:r>
        <w:rPr>
          <w:rFonts w:hint="eastAsia" w:ascii="宋体" w:hAnsi="宋体" w:cs="宋体"/>
          <w:color w:val="auto"/>
          <w:sz w:val="24"/>
          <w:highlight w:val="none"/>
          <w:lang w:val="en-US" w:eastAsia="zh-CN"/>
        </w:rPr>
        <w:t xml:space="preserve">和服务</w:t>
      </w:r>
      <w:r>
        <w:rPr>
          <w:rFonts w:hint="eastAsia" w:ascii="宋体" w:hAnsi="宋体" w:eastAsia="宋体" w:cs="宋体"/>
          <w:color w:val="auto"/>
          <w:sz w:val="24"/>
          <w:szCs w:val="24"/>
          <w:highlight w:val="none"/>
        </w:rPr>
        <w:t xml:space="preserve">进度进行验收</w:t>
      </w:r>
      <w:r>
        <w:rPr>
          <w:rFonts w:hint="eastAsia" w:ascii="宋体" w:hAnsi="宋体" w:eastAsia="宋体" w:cs="宋体"/>
          <w:color w:val="auto"/>
          <w:sz w:val="24"/>
          <w:highlight w:val="none"/>
        </w:rPr>
        <w:t xml:space="preserve">，若履约验收不合格，</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将终止合同，且</w:t>
      </w:r>
      <w:r>
        <w:rPr>
          <w:rFonts w:hint="eastAsia" w:ascii="宋体" w:hAnsi="宋体" w:eastAsia="宋体" w:cs="宋体"/>
          <w:color w:val="auto"/>
          <w:sz w:val="24"/>
          <w:highlight w:val="none"/>
          <w:lang w:eastAsia="zh-CN"/>
        </w:rPr>
        <w:t xml:space="preserve">采购人</w:t>
      </w:r>
      <w:r>
        <w:rPr>
          <w:rFonts w:hint="eastAsia" w:ascii="宋体" w:hAnsi="宋体" w:eastAsia="宋体" w:cs="宋体"/>
          <w:color w:val="auto"/>
          <w:sz w:val="24"/>
          <w:highlight w:val="none"/>
        </w:rPr>
        <w:t xml:space="preserve">无需承担任何赔偿义务。</w:t>
      </w:r>
      <w:r/>
    </w:p>
    <w:p>
      <w:pPr>
        <w:contextualSpacing/>
        <w:ind w:firstLine="0"/>
        <w:keepLines w:val="0"/>
        <w:keepNext w:val="0"/>
        <w:pageBreakBefore w:val="0"/>
        <w:spacing w:line="360" w:lineRule="auto"/>
        <w:widowControl w:val="off"/>
        <w:rPr>
          <w:rFonts w:hint="eastAsia" w:ascii="宋体" w:hAnsi="宋体" w:eastAsia="宋体" w:cs="宋体"/>
          <w:b/>
          <w:bCs w:val="0"/>
          <w:color w:val="auto"/>
          <w:sz w:val="24"/>
          <w:szCs w:val="24"/>
          <w:highlight w:val="none"/>
          <w:lang w:val="en-US" w:eastAsia="zh-CN"/>
        </w:rPr>
        <w:outlineLvl w:val="9"/>
      </w:pPr>
      <w:r>
        <w:rPr>
          <w:rFonts w:hint="eastAsia" w:ascii="宋体" w:hAnsi="宋体" w:eastAsia="宋体" w:cs="宋体"/>
          <w:b/>
          <w:bCs w:val="0"/>
          <w:color w:val="auto"/>
          <w:sz w:val="24"/>
          <w:szCs w:val="24"/>
          <w:highlight w:val="none"/>
          <w:lang w:val="en-US" w:eastAsia="zh-CN"/>
        </w:rPr>
        <w:t xml:space="preserve">九、付款方式</w:t>
      </w:r>
      <w:r/>
    </w:p>
    <w:p>
      <w:pPr>
        <w:ind w:firstLine="480"/>
        <w:keepLines w:val="0"/>
        <w:keepNext w:val="0"/>
        <w:pageBreakBefore w:val="0"/>
        <w:spacing w:line="360" w:lineRule="auto"/>
        <w:rPr>
          <w:rFonts w:hint="eastAsia" w:ascii="宋体" w:hAnsi="宋体" w:cs="宋体"/>
          <w:bCs/>
          <w:color w:val="auto"/>
          <w:sz w:val="24"/>
          <w:highlight w:val="none"/>
        </w:rPr>
        <w:outlineLvl w:val="9"/>
      </w:pPr>
      <w:r>
        <w:rPr>
          <w:rFonts w:hint="eastAsia" w:ascii="宋体" w:hAnsi="宋体" w:cs="宋体"/>
          <w:bCs/>
          <w:color w:val="auto"/>
          <w:sz w:val="24"/>
          <w:highlight w:val="none"/>
        </w:rPr>
        <w:t xml:space="preserve">合同签订后30日内支付合同总价款50%作为预付款；</w:t>
      </w:r>
      <w:r>
        <w:rPr>
          <w:rFonts w:hint="eastAsia" w:ascii="宋体" w:hAnsi="宋体" w:cs="宋体"/>
          <w:bCs/>
          <w:color w:val="auto"/>
          <w:sz w:val="24"/>
          <w:highlight w:val="none"/>
          <w:lang w:val="en-US" w:eastAsia="zh-CN"/>
        </w:rPr>
        <w:t xml:space="preserve">服务结束</w:t>
      </w:r>
      <w:r>
        <w:rPr>
          <w:rFonts w:hint="eastAsia" w:ascii="宋体" w:hAnsi="宋体" w:cs="宋体"/>
          <w:color w:val="auto"/>
          <w:sz w:val="24"/>
          <w:highlight w:val="none"/>
          <w:lang w:val="en-US" w:eastAsia="zh-CN"/>
        </w:rPr>
        <w:t xml:space="preserve">经采购人确认后再</w:t>
      </w:r>
      <w:r>
        <w:rPr>
          <w:rFonts w:hint="eastAsia" w:ascii="宋体" w:hAnsi="宋体" w:cs="宋体"/>
          <w:bCs/>
          <w:color w:val="auto"/>
          <w:sz w:val="24"/>
          <w:highlight w:val="none"/>
        </w:rPr>
        <w:t xml:space="preserve">支付合同总价款50%。</w:t>
      </w:r>
      <w:r/>
    </w:p>
    <w:p>
      <w:pPr>
        <w:numPr>
          <w:ilvl w:val="-1"/>
          <w:numId w:val="0"/>
        </w:numPr>
        <w:ind w:firstLine="0"/>
        <w:jc w:val="left"/>
        <w:spacing w:line="360" w:lineRule="auto"/>
        <w:widowControl/>
        <w:rPr>
          <w:rFonts w:hint="eastAsia" w:ascii="宋体" w:hAnsi="宋体" w:eastAsia="宋体" w:cs="宋体"/>
          <w:b/>
          <w:bCs/>
          <w:i w:val="0"/>
          <w:iCs w:val="0"/>
          <w:color w:val="auto"/>
          <w:spacing w:val="0"/>
          <w:sz w:val="24"/>
          <w:szCs w:val="24"/>
          <w:highlight w:val="none"/>
          <w:lang w:val="en-US" w:eastAsia="zh-CN"/>
        </w:rPr>
        <w:outlineLvl w:val="9"/>
      </w:pPr>
      <w:r>
        <w:rPr>
          <w:rFonts w:hint="eastAsia" w:ascii="宋体" w:hAnsi="宋体" w:eastAsia="宋体" w:cs="宋体"/>
          <w:b/>
          <w:bCs/>
          <w:i w:val="0"/>
          <w:iCs w:val="0"/>
          <w:color w:val="auto"/>
          <w:spacing w:val="0"/>
          <w:sz w:val="24"/>
          <w:szCs w:val="24"/>
          <w:highlight w:val="none"/>
          <w:lang w:val="en-US" w:eastAsia="zh-CN"/>
        </w:rPr>
        <w:t xml:space="preserve">十、预算金额、最高限价</w:t>
      </w:r>
      <w:r/>
    </w:p>
    <w:p>
      <w:pPr>
        <w:ind w:firstLine="480"/>
        <w:jc w:val="left"/>
        <w:spacing w:line="360" w:lineRule="auto"/>
        <w:tabs>
          <w:tab w:val="left" w:pos="284" w:leader="none"/>
        </w:tabs>
        <w:rPr>
          <w:rFonts w:hint="eastAsia" w:ascii="宋体" w:hAnsi="宋体" w:cs="宋体"/>
          <w:color w:val="auto"/>
          <w:sz w:val="24"/>
          <w:highlight w:val="none"/>
          <w:lang w:val="zh-TW"/>
        </w:rPr>
      </w:pPr>
      <w:r>
        <w:rPr>
          <w:rFonts w:hint="eastAsia" w:ascii="宋体" w:hAnsi="宋体" w:cs="宋体"/>
          <w:color w:val="auto"/>
          <w:sz w:val="24"/>
          <w:highlight w:val="none"/>
          <w:lang w:val="zh-TW"/>
        </w:rPr>
        <w:t xml:space="preserve">预算金额：</w:t>
      </w:r>
      <w:r>
        <w:rPr>
          <w:rFonts w:hint="eastAsia" w:ascii="宋体" w:hAnsi="宋体" w:cs="宋体"/>
          <w:color w:val="auto"/>
          <w:sz w:val="24"/>
          <w:highlight w:val="none"/>
          <w:lang w:val="en-US" w:eastAsia="zh-CN"/>
        </w:rPr>
        <w:t xml:space="preserve">人民币139万元</w:t>
      </w:r>
      <w:r/>
    </w:p>
    <w:p>
      <w:pPr>
        <w:ind w:firstLine="480"/>
        <w:jc w:val="left"/>
        <w:spacing w:line="360" w:lineRule="auto"/>
        <w:tabs>
          <w:tab w:val="left" w:pos="284" w:leader="none"/>
        </w:tabs>
        <w:rPr>
          <w:rFonts w:hint="eastAsia" w:ascii="宋体" w:hAnsi="宋体" w:eastAsia="宋体" w:cs="宋体"/>
          <w:color w:val="auto"/>
          <w:sz w:val="24"/>
          <w:highlight w:val="none"/>
          <w:lang w:val="zh-TW" w:eastAsia="zh-CN"/>
        </w:rPr>
      </w:pPr>
      <w:r>
        <w:rPr>
          <w:rFonts w:hint="eastAsia" w:ascii="宋体" w:hAnsi="宋体" w:cs="宋体"/>
          <w:color w:val="auto"/>
          <w:sz w:val="24"/>
          <w:highlight w:val="none"/>
          <w:lang w:val="zh-TW"/>
        </w:rPr>
        <w:t xml:space="preserve">最高限价（如有）：</w:t>
      </w:r>
      <w:r>
        <w:rPr>
          <w:rFonts w:hint="eastAsia" w:ascii="宋体" w:hAnsi="宋体" w:eastAsia="宋体" w:cs="宋体"/>
          <w:color w:val="auto"/>
          <w:sz w:val="24"/>
          <w:highlight w:val="none"/>
          <w:lang w:val="en-US" w:eastAsia="zh-CN"/>
        </w:rPr>
        <w:t xml:space="preserve">人民币</w:t>
      </w:r>
      <w:r>
        <w:rPr>
          <w:rFonts w:hint="eastAsia" w:ascii="宋体" w:hAnsi="宋体" w:cs="宋体"/>
          <w:color w:val="auto"/>
          <w:sz w:val="24"/>
          <w:highlight w:val="none"/>
          <w:lang w:val="en-US" w:eastAsia="zh-CN"/>
        </w:rPr>
        <w:t xml:space="preserve">139</w:t>
      </w:r>
      <w:r>
        <w:rPr>
          <w:rFonts w:hint="eastAsia" w:ascii="宋体" w:hAnsi="宋体" w:eastAsia="宋体" w:cs="宋体"/>
          <w:color w:val="auto"/>
          <w:sz w:val="24"/>
          <w:highlight w:val="none"/>
          <w:lang w:val="en-US" w:eastAsia="zh-CN"/>
        </w:rPr>
        <w:t xml:space="preserve">万元</w:t>
      </w:r>
      <w:r>
        <w:rPr>
          <w:rFonts w:hint="eastAsia" w:ascii="宋体" w:hAnsi="宋体" w:eastAsia="宋体" w:cs="宋体"/>
          <w:color w:val="auto"/>
          <w:sz w:val="24"/>
          <w:highlight w:val="none"/>
          <w:lang w:val="en-US"/>
        </w:rPr>
        <w:t xml:space="preserve">，</w:t>
      </w:r>
      <w:r>
        <w:rPr>
          <w:rFonts w:hint="eastAsia" w:ascii="宋体" w:hAnsi="宋体" w:eastAsia="宋体" w:cs="宋体"/>
          <w:color w:val="auto"/>
          <w:sz w:val="24"/>
          <w:highlight w:val="none"/>
          <w:lang w:val="en-US" w:eastAsia="zh-CN"/>
        </w:rPr>
        <w:t xml:space="preserve">供应商</w:t>
      </w:r>
      <w:r>
        <w:rPr>
          <w:rFonts w:hint="eastAsia" w:ascii="宋体" w:hAnsi="宋体" w:cs="宋体"/>
          <w:color w:val="auto"/>
          <w:sz w:val="24"/>
          <w:highlight w:val="none"/>
          <w:lang w:val="en-US" w:eastAsia="zh-CN"/>
        </w:rPr>
        <w:t xml:space="preserve">投标报价不得超过最高限价</w:t>
      </w:r>
      <w:r>
        <w:rPr>
          <w:rFonts w:hint="eastAsia" w:ascii="宋体" w:hAnsi="宋体" w:eastAsia="宋体" w:cs="宋体"/>
          <w:color w:val="auto"/>
          <w:sz w:val="24"/>
          <w:highlight w:val="none"/>
          <w:lang w:val="en-US" w:eastAsia="zh-CN"/>
        </w:rPr>
        <w:t xml:space="preserve">，否则作为无效响应处理</w:t>
      </w:r>
      <w:r>
        <w:rPr>
          <w:rFonts w:hint="eastAsia" w:ascii="宋体" w:hAnsi="宋体" w:eastAsia="宋体" w:cs="宋体"/>
          <w:color w:val="auto"/>
          <w:sz w:val="24"/>
          <w:highlight w:val="none"/>
          <w:lang w:val="en-US"/>
        </w:rPr>
        <w:t xml:space="preserve">。</w:t>
      </w:r>
      <w:r/>
    </w:p>
    <w:p>
      <w:pPr>
        <w:numPr>
          <w:ilvl w:val="-1"/>
          <w:numId w:val="0"/>
        </w:numPr>
        <w:contextualSpacing w:val="0"/>
        <w:ind w:firstLine="723"/>
        <w:jc w:val="left"/>
        <w:spacing w:line="360" w:lineRule="auto"/>
        <w:rPr>
          <w:rFonts w:hint="eastAsia" w:ascii="宋体" w:hAnsi="宋体" w:eastAsia="宋体" w:cs="宋体"/>
          <w:b/>
          <w:color w:val="auto"/>
          <w:sz w:val="36"/>
          <w:szCs w:val="36"/>
          <w:highlight w:val="none"/>
        </w:rPr>
        <w:outlineLvl w:val="9"/>
      </w:pPr>
      <w:r>
        <w:rPr>
          <w:rFonts w:hint="eastAsia" w:ascii="宋体" w:hAnsi="宋体" w:eastAsia="宋体" w:cs="宋体"/>
          <w:b/>
          <w:color w:val="auto"/>
          <w:sz w:val="36"/>
          <w:szCs w:val="36"/>
          <w:highlight w:val="none"/>
        </w:rPr>
        <w:br w:type="page" w:clear="all"/>
      </w:r>
      <w:bookmarkEnd w:id="558"/>
      <w:r/>
      <w:bookmarkStart w:id="559" w:name="_Toc7106"/>
      <w:r/>
      <w:bookmarkStart w:id="560" w:name="_Toc104818930"/>
      <w:r/>
      <w:r/>
    </w:p>
    <w:p>
      <w:pPr>
        <w:numPr>
          <w:ilvl w:val="-1"/>
          <w:numId w:val="0"/>
        </w:numPr>
        <w:contextualSpacing w:val="0"/>
        <w:ind w:firstLine="0"/>
        <w:jc w:val="center"/>
        <w:spacing w:line="360" w:lineRule="auto"/>
        <w:rPr>
          <w:rFonts w:hint="eastAsia" w:ascii="宋体" w:hAnsi="宋体" w:eastAsia="宋体" w:cs="宋体"/>
          <w:color w:val="auto"/>
          <w:sz w:val="24"/>
          <w:szCs w:val="24"/>
          <w:highlight w:val="none"/>
          <w:lang w:val="zh-CN"/>
        </w:rPr>
        <w:outlineLvl w:val="0"/>
      </w:pPr>
      <w:r>
        <w:rPr>
          <w:rFonts w:hint="eastAsia" w:ascii="宋体" w:hAnsi="宋体" w:eastAsia="宋体" w:cs="宋体"/>
          <w:b/>
          <w:color w:val="auto"/>
          <w:sz w:val="36"/>
          <w:szCs w:val="36"/>
          <w:highlight w:val="none"/>
        </w:rPr>
        <w:t xml:space="preserve">第五章   合同草案条款</w:t>
      </w:r>
      <w:r/>
    </w:p>
    <w:p>
      <w:pPr>
        <w:ind w:left="0" w:right="0" w:firstLine="0"/>
        <w:jc w:val="both"/>
        <w:spacing w:before="0" w:after="0"/>
        <w:rPr>
          <w:rFonts w:hint="eastAsia"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bookmarkStart w:id="561" w:name="_Toc10039"/>
      <w:r/>
      <w:r/>
    </w:p>
    <w:p>
      <w:pPr>
        <w:ind w:left="0" w:right="0" w:firstLine="0"/>
        <w:jc w:val="both"/>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合同编号：</w:t>
      </w:r>
      <w:r>
        <w:rPr>
          <w:rFonts w:hint="eastAsia" w:ascii="宋体" w:hAnsi="宋体" w:eastAsia="宋体" w:cs="宋体"/>
          <w:color w:val="auto"/>
          <w:sz w:val="24"/>
          <w:highlight w:val="none"/>
          <w:u w:val="single"/>
        </w:rPr>
        <w:t xml:space="preserve">           </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32"/>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8"/>
          <w:highlight w:val="none"/>
        </w:rPr>
        <w:t xml:space="preserve"> </w:t>
      </w:r>
      <w:r/>
    </w:p>
    <w:p>
      <w:pPr>
        <w:ind w:left="0" w:right="0" w:firstLine="0"/>
        <w:jc w:val="center"/>
        <w:spacing w:before="0" w:after="0"/>
        <w:rPr>
          <w:rFonts w:hint="eastAsia" w:ascii="宋体" w:hAnsi="宋体" w:eastAsia="宋体" w:cs="宋体"/>
          <w:color w:val="auto"/>
          <w:sz w:val="20"/>
          <w:szCs w:val="2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8"/>
          <w:szCs w:val="22"/>
          <w:highlight w:val="none"/>
          <w:lang w:eastAsia="zh-CN"/>
        </w:rPr>
        <w:t xml:space="preserve">服</w:t>
      </w:r>
      <w:r>
        <w:rPr>
          <w:rFonts w:hint="eastAsia" w:ascii="宋体" w:hAnsi="宋体" w:eastAsia="宋体" w:cs="宋体"/>
          <w:b/>
          <w:color w:val="auto"/>
          <w:sz w:val="48"/>
          <w:szCs w:val="22"/>
          <w:highlight w:val="none"/>
          <w:lang w:val="en-US" w:eastAsia="zh-CN"/>
        </w:rPr>
        <w:t xml:space="preserve"> </w:t>
      </w:r>
      <w:r>
        <w:rPr>
          <w:rFonts w:hint="eastAsia" w:ascii="宋体" w:hAnsi="宋体" w:eastAsia="宋体" w:cs="宋体"/>
          <w:b/>
          <w:color w:val="auto"/>
          <w:sz w:val="48"/>
          <w:szCs w:val="22"/>
          <w:highlight w:val="none"/>
          <w:lang w:eastAsia="zh-CN"/>
        </w:rPr>
        <w:t xml:space="preserve">务</w:t>
      </w:r>
      <w:r>
        <w:rPr>
          <w:rFonts w:hint="eastAsia" w:ascii="宋体" w:hAnsi="宋体" w:eastAsia="宋体" w:cs="宋体"/>
          <w:b/>
          <w:color w:val="auto"/>
          <w:sz w:val="48"/>
          <w:szCs w:val="22"/>
          <w:highlight w:val="none"/>
        </w:rPr>
        <w:t xml:space="preserve"> 合 同</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52"/>
          <w:highlight w:val="none"/>
        </w:rPr>
        <w:t xml:space="preserve"> </w:t>
      </w:r>
      <w:r/>
    </w:p>
    <w:p>
      <w:pPr>
        <w:ind w:left="0" w:right="0" w:firstLine="0"/>
        <w:jc w:val="center"/>
        <w:spacing w:before="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44"/>
          <w:highlight w:val="none"/>
        </w:rPr>
        <w:t xml:space="preserve"> </w:t>
      </w:r>
      <w:r/>
    </w:p>
    <w:p>
      <w:pPr>
        <w:ind w:left="0" w:right="0" w:firstLine="48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highlight w:val="none"/>
        </w:rPr>
        <w:t xml:space="preserve"> </w:t>
      </w:r>
      <w:r/>
    </w:p>
    <w:p>
      <w:pPr>
        <w:ind w:left="0" w:right="0" w:firstLine="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0" w:firstLine="480"/>
        <w:spacing w:before="240" w:after="24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highlight w:val="none"/>
        </w:rPr>
        <w:t xml:space="preserve"> </w:t>
      </w:r>
      <w:r/>
    </w:p>
    <w:p>
      <w:pPr>
        <w:ind w:left="0" w:right="0" w:firstLine="0"/>
        <w:jc w:val="both"/>
        <w:spacing w:before="120" w:after="0"/>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ind w:left="960" w:right="0" w:firstLine="0"/>
        <w:jc w:val="both"/>
        <w:spacing w:before="120" w:after="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eastAsia="zh-CN"/>
        </w:rPr>
        <w:t xml:space="preserve">常州市金坛区财政局区本级及乡镇系统运维服务项目</w:t>
      </w:r>
      <w:r/>
    </w:p>
    <w:p>
      <w:pPr>
        <w:ind w:left="960" w:right="0" w:firstLine="0"/>
        <w:jc w:val="both"/>
        <w:spacing w:before="120" w:after="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eastAsia="zh-CN"/>
        </w:rPr>
        <w:t xml:space="preserve">JSZC-320413-CZZY-C2026-0027</w:t>
      </w:r>
      <w:r/>
    </w:p>
    <w:p>
      <w:pPr>
        <w:ind w:left="960" w:right="0" w:firstLine="0"/>
        <w:jc w:val="both"/>
        <w:spacing w:before="120" w:after="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lang w:val="zh-CN"/>
        </w:rPr>
        <w:t xml:space="preserve">常州市金坛区财政局</w:t>
      </w:r>
      <w:r/>
    </w:p>
    <w:p>
      <w:pPr>
        <w:ind w:left="960" w:right="0" w:firstLine="0"/>
        <w:jc w:val="both"/>
        <w:spacing w:before="120" w:after="0"/>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乙方：</w:t>
      </w:r>
      <w:r>
        <w:rPr>
          <w:rFonts w:hint="eastAsia" w:ascii="宋体" w:hAnsi="宋体" w:eastAsia="宋体" w:cs="宋体"/>
          <w:color w:val="auto"/>
          <w:sz w:val="28"/>
          <w:szCs w:val="28"/>
          <w:highlight w:val="none"/>
          <w:lang w:val="en-US" w:eastAsia="zh-CN"/>
        </w:rPr>
        <w:t xml:space="preserve"> </w:t>
      </w:r>
      <w:r/>
    </w:p>
    <w:p>
      <w:pPr>
        <w:ind w:left="960" w:right="0" w:firstLine="0"/>
        <w:jc w:val="both"/>
        <w:spacing w:before="120" w:after="0"/>
        <w:rPr>
          <w:rFonts w:hint="eastAsia" w:ascii="宋体" w:hAnsi="宋体" w:eastAsia="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签订地：</w:t>
      </w:r>
      <w:r>
        <w:rPr>
          <w:rFonts w:hint="eastAsia" w:ascii="宋体" w:hAnsi="宋体" w:eastAsia="宋体" w:cs="宋体"/>
          <w:color w:val="auto"/>
          <w:sz w:val="28"/>
          <w:szCs w:val="28"/>
          <w:highlight w:val="none"/>
          <w:lang w:val="zh-CN"/>
        </w:rPr>
        <w:t xml:space="preserve">常州市金坛区财政局</w:t>
      </w:r>
      <w:r/>
    </w:p>
    <w:p>
      <w:pPr>
        <w:ind w:left="0" w:right="0" w:firstLine="0"/>
        <w:jc w:val="both"/>
        <w:spacing w:before="120" w:after="0"/>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 </w:t>
      </w:r>
      <w:r/>
    </w:p>
    <w:p>
      <w:pPr>
        <w:ind w:left="0" w:right="0" w:firstLine="960"/>
        <w:jc w:val="both"/>
        <w:spacing w:before="120" w:after="0"/>
        <w:rPr>
          <w:rFonts w:hint="eastAsia" w:ascii="宋体" w:hAnsi="宋体" w:eastAsia="宋体" w:cs="宋体"/>
          <w:color w:val="auto"/>
          <w:sz w:val="22"/>
          <w:szCs w:val="28"/>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rPr>
        <w:t xml:space="preserve">签订日期：20</w:t>
      </w:r>
      <w:r>
        <w:rPr>
          <w:rFonts w:hint="eastAsia" w:ascii="宋体" w:hAnsi="宋体" w:eastAsia="宋体" w:cs="宋体"/>
          <w:color w:val="auto"/>
          <w:sz w:val="28"/>
          <w:szCs w:val="28"/>
          <w:highlight w:val="none"/>
          <w:lang w:val="en-US" w:eastAsia="zh-CN"/>
        </w:rPr>
        <w:t xml:space="preserve">26</w:t>
      </w:r>
      <w:r>
        <w:rPr>
          <w:rFonts w:hint="eastAsia" w:ascii="宋体" w:hAnsi="宋体" w:eastAsia="宋体" w:cs="宋体"/>
          <w:color w:val="auto"/>
          <w:sz w:val="28"/>
          <w:szCs w:val="28"/>
          <w:highlight w:val="none"/>
        </w:rPr>
        <w:t xml:space="preserve">年</w:t>
      </w:r>
      <w:r>
        <w:rPr>
          <w:rFonts w:hint="eastAsia" w:ascii="宋体" w:hAnsi="宋体" w:eastAsia="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月</w:t>
      </w:r>
      <w:r/>
    </w:p>
    <w:p>
      <w:pPr>
        <w:ind w:left="0" w:right="0" w:firstLine="480"/>
        <w:jc w:val="both"/>
        <w:spacing w:before="0" w:after="0" w:line="400" w:lineRule="atLeast"/>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rPr>
        <w:t xml:space="preserve"> </w:t>
      </w:r>
      <w:r/>
    </w:p>
    <w:p>
      <w:pPr>
        <w:rPr>
          <w:rFonts w:hint="eastAsia" w:ascii="宋体" w:hAnsi="宋体" w:eastAsia="宋体" w:cs="宋体"/>
          <w:b/>
          <w:color w:val="auto"/>
          <w:sz w:val="24"/>
          <w:szCs w:val="24"/>
          <w:highlight w:val="none"/>
          <w:lang w:val="zh-CN"/>
        </w:rPr>
      </w:pPr>
      <w:r>
        <w:rPr>
          <w:rFonts w:hint="eastAsia" w:ascii="宋体" w:hAnsi="宋体" w:eastAsia="宋体" w:cs="宋体"/>
          <w:b/>
          <w:color w:val="auto"/>
          <w:sz w:val="24"/>
          <w:szCs w:val="24"/>
          <w:highlight w:val="none"/>
          <w:lang w:val="zh-CN"/>
        </w:rPr>
        <w:br w:type="page" w:clear="all"/>
      </w:r>
      <w:r/>
    </w:p>
    <w:p>
      <w:pPr>
        <w:pStyle w:val="820"/>
        <w:ind w:firstLine="484"/>
        <w:spacing w:line="360" w:lineRule="auto"/>
        <w:rPr>
          <w:rFonts w:hint="eastAsia" w:hAnsi="宋体" w:cs="宋体"/>
          <w:color w:val="auto"/>
          <w:sz w:val="24"/>
          <w:szCs w:val="24"/>
          <w:highlight w:val="none"/>
        </w:rPr>
      </w:pPr>
      <w:r>
        <w:rPr>
          <w:rFonts w:hint="eastAsia" w:hAnsi="宋体" w:cs="宋体"/>
          <w:color w:val="auto"/>
          <w:sz w:val="24"/>
          <w:szCs w:val="24"/>
          <w:highlight w:val="none"/>
        </w:rPr>
        <w:t xml:space="preserve">甲乙双方依据《中华人民共和国民法典》以及有关法律、法规的规定，经协商一致，订立本合同，以便共同遵守。</w:t>
      </w:r>
      <w:r/>
    </w:p>
    <w:p>
      <w:pPr>
        <w:ind w:firstLine="482"/>
        <w:jc w:val="left"/>
        <w:spacing w:line="360" w:lineRule="auto"/>
        <w:widowControl/>
        <w:rPr>
          <w:rFonts w:hint="eastAsia" w:ascii="宋体" w:hAnsi="宋体" w:cs="宋体"/>
          <w:color w:val="auto"/>
          <w:sz w:val="24"/>
          <w:highlight w:val="none"/>
        </w:rPr>
      </w:pPr>
      <w:r>
        <w:rPr>
          <w:rFonts w:hint="eastAsia" w:ascii="宋体" w:hAnsi="宋体" w:cs="宋体"/>
          <w:b/>
          <w:bCs/>
          <w:color w:val="auto"/>
          <w:sz w:val="24"/>
          <w:highlight w:val="none"/>
          <w:lang w:val="en-US" w:eastAsia="zh-CN" w:bidi="ar"/>
        </w:rPr>
        <w:t xml:space="preserve">一、</w:t>
      </w:r>
      <w:r>
        <w:rPr>
          <w:rFonts w:hint="eastAsia" w:ascii="宋体" w:hAnsi="宋体" w:cs="宋体"/>
          <w:b/>
          <w:bCs/>
          <w:color w:val="auto"/>
          <w:sz w:val="24"/>
          <w:highlight w:val="none"/>
          <w:lang w:bidi="ar"/>
        </w:rPr>
        <w:t xml:space="preserve">合同标的内容、时间、地点 </w:t>
      </w:r>
      <w:r/>
    </w:p>
    <w:p>
      <w:pPr>
        <w:ind w:firstLine="480"/>
        <w:jc w:val="left"/>
        <w:spacing w:line="360" w:lineRule="auto"/>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1.乙方根据甲方需求提供下列服务：</w:t>
      </w:r>
      <w:r/>
    </w:p>
    <w:p>
      <w:pPr>
        <w:ind w:firstLine="488"/>
        <w:jc w:val="left"/>
        <w:spacing w:line="440" w:lineRule="exact"/>
        <w:widowControl/>
        <w:rPr>
          <w:rFonts w:hint="eastAsia" w:ascii="宋体" w:hAnsi="宋体" w:cs="宋体"/>
          <w:color w:val="auto"/>
          <w:sz w:val="24"/>
          <w:highlight w:val="none"/>
          <w:lang w:bidi="ar"/>
        </w:rPr>
      </w:pPr>
      <w:r>
        <w:rPr>
          <w:rFonts w:hint="eastAsia" w:ascii="宋体" w:hAnsi="宋体" w:cs="宋体"/>
          <w:color w:val="auto"/>
          <w:spacing w:val="2"/>
          <w:sz w:val="24"/>
          <w:highlight w:val="none"/>
          <w:u w:val="none"/>
        </w:rPr>
        <w:t xml:space="preserve">为区本级及乡镇财政预算管理一体化平台、非税电子化收缴系统提供运维服务，包含但不限于日常系统维护、年度结转、数据备份、故障修复、对账数据修复、季度权限审计、多频次操作培训等。</w:t>
      </w:r>
      <w:r/>
    </w:p>
    <w:p>
      <w:pPr>
        <w:numPr>
          <w:ilvl w:val="-1"/>
          <w:numId w:val="0"/>
        </w:numPr>
        <w:ind w:firstLine="480"/>
        <w:jc w:val="left"/>
        <w:spacing w:line="440" w:lineRule="exact"/>
        <w:widowControl/>
        <w:rPr>
          <w:rFonts w:hint="eastAsia" w:ascii="宋体" w:hAnsi="宋体" w:cs="宋体"/>
          <w:color w:val="auto"/>
          <w:sz w:val="24"/>
          <w:highlight w:val="none"/>
          <w:lang w:bidi="ar"/>
        </w:rPr>
      </w:pPr>
      <w:r>
        <w:rPr>
          <w:rFonts w:hint="eastAsia" w:ascii="宋体" w:hAnsi="宋体" w:cs="宋体"/>
          <w:color w:val="auto"/>
          <w:sz w:val="24"/>
          <w:highlight w:val="none"/>
          <w:lang w:val="en-US" w:eastAsia="zh-CN" w:bidi="ar"/>
        </w:rPr>
        <w:t xml:space="preserve">2.</w:t>
      </w:r>
      <w:r>
        <w:rPr>
          <w:rFonts w:hint="eastAsia" w:ascii="宋体" w:hAnsi="宋体" w:cs="宋体"/>
          <w:color w:val="auto"/>
          <w:sz w:val="24"/>
          <w:highlight w:val="none"/>
          <w:lang w:bidi="ar"/>
        </w:rPr>
        <w:t xml:space="preserve">合同期限：</w:t>
      </w:r>
      <w:r>
        <w:rPr>
          <w:rFonts w:hint="eastAsia" w:ascii="宋体" w:hAnsi="宋体" w:cs="宋体"/>
          <w:color w:val="auto"/>
          <w:sz w:val="24"/>
          <w:highlight w:val="none"/>
          <w:lang w:eastAsia="zh-CN"/>
        </w:rPr>
        <w:t xml:space="preserve">自</w:t>
      </w:r>
      <w:r>
        <w:rPr>
          <w:rFonts w:hint="eastAsia" w:ascii="宋体" w:hAnsi="宋体" w:cs="宋体"/>
          <w:color w:val="auto"/>
          <w:sz w:val="24"/>
          <w:highlight w:val="none"/>
        </w:rPr>
        <w:t xml:space="preserve">202</w:t>
      </w: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起</w:t>
      </w:r>
      <w:r>
        <w:rPr>
          <w:rFonts w:hint="eastAsia" w:ascii="宋体" w:hAnsi="宋体" w:cs="宋体"/>
          <w:color w:val="auto"/>
          <w:sz w:val="24"/>
          <w:highlight w:val="none"/>
        </w:rPr>
        <w:t xml:space="preserve">至20</w:t>
      </w:r>
      <w:r>
        <w:rPr>
          <w:rFonts w:hint="eastAsia" w:ascii="宋体" w:hAnsi="宋体" w:cs="宋体"/>
          <w:color w:val="auto"/>
          <w:sz w:val="24"/>
          <w:highlight w:val="none"/>
          <w:lang w:val="en-US" w:eastAsia="zh-CN"/>
        </w:rPr>
        <w:t xml:space="preserve">26</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lang w:val="en-US" w:eastAsia="zh-CN"/>
        </w:rPr>
        <w:t xml:space="preserve"> 12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31</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日</w:t>
      </w:r>
      <w:r>
        <w:rPr>
          <w:rFonts w:hint="eastAsia" w:ascii="宋体" w:hAnsi="宋体" w:cs="宋体"/>
          <w:color w:val="auto"/>
          <w:sz w:val="24"/>
          <w:highlight w:val="none"/>
          <w:lang w:val="en-US" w:eastAsia="zh-CN"/>
        </w:rPr>
        <w:t xml:space="preserve">止</w:t>
      </w:r>
      <w:r>
        <w:rPr>
          <w:rFonts w:hint="eastAsia" w:ascii="宋体" w:hAnsi="宋体" w:cs="宋体"/>
          <w:color w:val="auto"/>
          <w:sz w:val="24"/>
          <w:highlight w:val="none"/>
        </w:rPr>
        <w:t xml:space="preserve">。</w:t>
      </w:r>
      <w:r/>
    </w:p>
    <w:p>
      <w:pPr>
        <w:ind w:firstLine="480"/>
        <w:jc w:val="left"/>
        <w:spacing w:line="440" w:lineRule="exact"/>
        <w:widowControl/>
        <w:rPr>
          <w:rFonts w:hint="eastAsia" w:ascii="宋体" w:hAnsi="宋体" w:cs="宋体"/>
          <w:color w:val="auto"/>
          <w:sz w:val="24"/>
          <w:highlight w:val="none"/>
          <w:lang w:bidi="ar"/>
        </w:rPr>
      </w:pPr>
      <w:r>
        <w:rPr>
          <w:rFonts w:hint="eastAsia" w:ascii="宋体" w:hAnsi="宋体" w:cs="宋体"/>
          <w:color w:val="auto"/>
          <w:sz w:val="24"/>
          <w:highlight w:val="none"/>
          <w:lang w:bidi="ar"/>
        </w:rPr>
        <w:t xml:space="preserve">3.服务地点：常州市金坛区财政局。 </w:t>
      </w:r>
      <w:r/>
    </w:p>
    <w:p>
      <w:pPr>
        <w:ind w:firstLine="482"/>
        <w:spacing w:line="44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二、组成本合同的其他文件</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下列文件为本合同不可分割的部分，并与本合同具有同等法律效力，这些文件包括但不限于：</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szCs w:val="22"/>
          <w:highlight w:val="none"/>
        </w:rPr>
        <w:t xml:space="preserve">1.</w:t>
      </w:r>
      <w:r>
        <w:rPr>
          <w:rFonts w:hint="eastAsia" w:ascii="宋体" w:hAnsi="宋体" w:cs="宋体"/>
          <w:color w:val="auto"/>
          <w:sz w:val="24"/>
          <w:highlight w:val="none"/>
        </w:rPr>
        <w:t xml:space="preserve">采购文件及相关资料（项目编号：</w:t>
      </w:r>
      <w:r>
        <w:rPr>
          <w:rFonts w:hint="eastAsia" w:ascii="宋体" w:hAnsi="宋体" w:cs="宋体"/>
          <w:color w:val="auto"/>
          <w:sz w:val="24"/>
          <w:highlight w:val="none"/>
          <w:u w:val="single"/>
          <w:lang w:eastAsia="zh-CN"/>
        </w:rPr>
        <w:t xml:space="preserve">JSZC-320413-CZZY-C2026-0027</w:t>
      </w:r>
      <w:r>
        <w:rPr>
          <w:rFonts w:hint="eastAsia" w:ascii="宋体" w:hAnsi="宋体" w:cs="宋体"/>
          <w:color w:val="auto"/>
          <w:sz w:val="24"/>
          <w:highlight w:val="none"/>
        </w:rPr>
        <w:t xml:space="preserve">）；</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2.乙方响应文件以及在招投标过程中所作出的其他承诺、声明、书面澄清等；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3.成交通知书；</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4.甲、乙双方商定的其他文件等。</w:t>
      </w:r>
      <w:r/>
    </w:p>
    <w:p>
      <w:pPr>
        <w:ind w:firstLine="482"/>
        <w:jc w:val="left"/>
        <w:spacing w:line="360" w:lineRule="auto"/>
        <w:tabs>
          <w:tab w:val="left" w:pos="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三、服务范围</w:t>
      </w:r>
      <w:r/>
    </w:p>
    <w:p>
      <w:pPr>
        <w:ind w:firstLine="480"/>
        <w:jc w:val="left"/>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常州市金坛区财政局区本级及乡镇</w:t>
      </w:r>
      <w:r>
        <w:rPr>
          <w:rFonts w:hint="eastAsia" w:ascii="宋体" w:hAnsi="宋体" w:cs="宋体"/>
          <w:color w:val="auto"/>
          <w:sz w:val="24"/>
          <w:highlight w:val="none"/>
          <w:lang w:val="en-US" w:eastAsia="zh-CN"/>
        </w:rPr>
        <w:t xml:space="preserve">财政预算管理</w:t>
      </w:r>
      <w:r>
        <w:rPr>
          <w:rFonts w:hint="eastAsia" w:ascii="宋体" w:hAnsi="宋体" w:cs="宋体"/>
          <w:color w:val="auto"/>
          <w:sz w:val="24"/>
          <w:highlight w:val="none"/>
        </w:rPr>
        <w:t xml:space="preserve">一体化</w:t>
      </w:r>
      <w:r>
        <w:rPr>
          <w:rFonts w:hint="eastAsia" w:ascii="宋体" w:hAnsi="宋体" w:cs="宋体"/>
          <w:color w:val="auto"/>
          <w:sz w:val="24"/>
          <w:highlight w:val="none"/>
          <w:lang w:val="en-US" w:eastAsia="zh-CN"/>
        </w:rPr>
        <w:t xml:space="preserve">平台</w:t>
      </w:r>
      <w:r>
        <w:rPr>
          <w:rFonts w:hint="eastAsia" w:ascii="宋体" w:hAnsi="宋体" w:cs="宋体"/>
          <w:color w:val="auto"/>
          <w:sz w:val="24"/>
          <w:highlight w:val="none"/>
        </w:rPr>
        <w:t xml:space="preserve">运维服务。</w:t>
      </w:r>
      <w:r/>
    </w:p>
    <w:p>
      <w:pPr>
        <w:ind w:firstLine="480"/>
        <w:jc w:val="left"/>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t xml:space="preserve">2.常州市金坛区财政局区本级及乡镇非税电子化收缴管理系统运维服务。</w:t>
      </w:r>
      <w:r/>
    </w:p>
    <w:p>
      <w:pPr>
        <w:ind w:firstLine="482"/>
        <w:spacing w:line="360" w:lineRule="auto"/>
        <w:rPr>
          <w:rFonts w:hint="eastAsia" w:ascii="宋体" w:hAnsi="宋体" w:eastAsia="宋体" w:cs="宋体"/>
          <w:b/>
          <w:color w:val="auto"/>
          <w:sz w:val="24"/>
          <w:highlight w:val="none"/>
          <w:lang w:val="en-US" w:eastAsia="zh-CN"/>
        </w:rPr>
      </w:pPr>
      <w:r>
        <w:rPr>
          <w:rFonts w:hint="eastAsia" w:ascii="宋体" w:hAnsi="宋体" w:cs="宋体"/>
          <w:b/>
          <w:color w:val="auto"/>
          <w:sz w:val="24"/>
          <w:highlight w:val="none"/>
          <w:lang w:val="en-US" w:eastAsia="zh-CN"/>
        </w:rPr>
        <w:t xml:space="preserve">四</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合同价款</w:t>
      </w:r>
      <w:r/>
    </w:p>
    <w:p>
      <w:pPr>
        <w:ind w:firstLine="488"/>
        <w:jc w:val="left"/>
        <w:spacing w:line="360" w:lineRule="auto"/>
        <w:widowControl w:val="off"/>
        <w:rPr>
          <w:rFonts w:hint="eastAsia" w:ascii="宋体" w:hAnsi="宋体" w:cs="宋体"/>
          <w:color w:val="auto"/>
          <w:spacing w:val="2"/>
          <w:sz w:val="24"/>
          <w:highlight w:val="none"/>
          <w:u w:val="none"/>
          <w:lang w:val="en-US" w:eastAsia="zh-CN"/>
        </w:rPr>
        <w:outlineLvl w:val="9"/>
      </w:pPr>
      <w:r>
        <w:rPr>
          <w:rFonts w:hint="eastAsia" w:ascii="宋体" w:hAnsi="宋体" w:cs="宋体"/>
          <w:color w:val="auto"/>
          <w:spacing w:val="2"/>
          <w:sz w:val="24"/>
          <w:highlight w:val="none"/>
          <w:u w:val="none"/>
          <w:lang w:val="en-US" w:eastAsia="zh-CN"/>
        </w:rPr>
        <w:t xml:space="preserve">合同总价：人民币</w:t>
      </w:r>
      <w:r>
        <w:rPr>
          <w:rFonts w:hint="eastAsia" w:ascii="宋体" w:hAnsi="宋体" w:cs="宋体"/>
          <w:color w:val="auto"/>
          <w:spacing w:val="2"/>
          <w:sz w:val="24"/>
          <w:highlight w:val="none"/>
          <w:u w:val="single"/>
          <w:lang w:val="en-US" w:eastAsia="zh-CN"/>
        </w:rPr>
        <w:t xml:space="preserve">    </w:t>
      </w:r>
      <w:r>
        <w:rPr>
          <w:rFonts w:hint="eastAsia" w:ascii="宋体" w:hAnsi="宋体" w:cs="宋体"/>
          <w:color w:val="auto"/>
          <w:spacing w:val="2"/>
          <w:sz w:val="24"/>
          <w:highlight w:val="none"/>
          <w:u w:val="none"/>
          <w:lang w:val="en-US" w:eastAsia="zh-CN"/>
        </w:rPr>
        <w:t xml:space="preserve">元（小写：¥</w:t>
      </w:r>
      <w:r>
        <w:rPr>
          <w:rFonts w:hint="eastAsia" w:ascii="宋体" w:hAnsi="宋体" w:cs="宋体"/>
          <w:color w:val="auto"/>
          <w:spacing w:val="2"/>
          <w:sz w:val="24"/>
          <w:highlight w:val="none"/>
          <w:u w:val="single"/>
          <w:lang w:val="en-US" w:eastAsia="zh-CN"/>
        </w:rPr>
        <w:t xml:space="preserve">      </w:t>
      </w:r>
      <w:r>
        <w:rPr>
          <w:rFonts w:hint="eastAsia" w:ascii="宋体" w:hAnsi="宋体" w:cs="宋体"/>
          <w:color w:val="auto"/>
          <w:spacing w:val="2"/>
          <w:sz w:val="24"/>
          <w:highlight w:val="none"/>
          <w:u w:val="none"/>
          <w:lang w:val="en-US" w:eastAsia="zh-CN"/>
        </w:rPr>
        <w:t xml:space="preserve">元/年）</w:t>
      </w:r>
      <w:r/>
    </w:p>
    <w:p>
      <w:pPr>
        <w:jc w:val="left"/>
        <w:spacing w:line="360" w:lineRule="auto"/>
        <w:rPr>
          <w:rFonts w:hint="eastAsia" w:ascii="宋体" w:hAnsi="宋体" w:cs="宋体"/>
          <w:b/>
          <w:color w:val="auto"/>
          <w:sz w:val="24"/>
          <w:highlight w:val="none"/>
        </w:rPr>
      </w:pPr>
      <w:r>
        <w:rPr>
          <w:rFonts w:hint="eastAsia" w:ascii="宋体" w:hAnsi="宋体" w:cs="宋体"/>
          <w:color w:val="auto"/>
          <w:sz w:val="24"/>
          <w:szCs w:val="24"/>
          <w:highlight w:val="none"/>
          <w:lang w:val="en-US" w:eastAsia="zh-CN"/>
        </w:rPr>
        <w:t xml:space="preserve">合同总价</w:t>
      </w:r>
      <w:r>
        <w:rPr>
          <w:rFonts w:hint="eastAsia" w:ascii="宋体" w:hAnsi="宋体" w:eastAsia="宋体" w:cs="宋体"/>
          <w:color w:val="auto"/>
          <w:sz w:val="24"/>
          <w:szCs w:val="24"/>
          <w:highlight w:val="none"/>
          <w:lang w:val="en-US" w:eastAsia="zh-CN"/>
        </w:rPr>
        <w:t xml:space="preserve">包括</w:t>
      </w:r>
      <w:r>
        <w:rPr>
          <w:rFonts w:hint="eastAsia" w:ascii="宋体" w:hAnsi="宋体" w:cs="宋体"/>
          <w:color w:val="auto"/>
          <w:sz w:val="24"/>
          <w:highlight w:val="none"/>
        </w:rPr>
        <w:t xml:space="preserve">竞争性磋商文件所确定的采购范围相应服务的提供、人员（包括工资和补贴）、办公场所及设施、保险、劳保、管理、各种税费、利润、管理费、规费（社会保险费、住房公积金）、税金、招标代理服务费、政策性文件规定及合同包含的所有风险、责任等各项应有费用，以及为完成该项服务项目所涉及到的一切相关费用，</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不再支付其他任何费用。</w:t>
      </w:r>
      <w:r>
        <w:rPr>
          <w:rFonts w:hint="eastAsia" w:ascii="宋体" w:hAnsi="宋体" w:cs="宋体"/>
          <w:color w:val="auto"/>
          <w:sz w:val="24"/>
          <w:highlight w:val="none"/>
          <w:lang w:val="en-US" w:eastAsia="zh-CN"/>
        </w:rPr>
        <w:t xml:space="preserve">       </w:t>
      </w:r>
      <w:r/>
    </w:p>
    <w:p>
      <w:pPr>
        <w:ind w:firstLine="480"/>
        <w:spacing w:line="360" w:lineRule="auto"/>
        <w:rPr>
          <w:rFonts w:hint="eastAsia" w:ascii="宋体" w:hAnsi="宋体" w:cs="宋体"/>
          <w:b/>
          <w:bCs/>
          <w:color w:val="000000"/>
          <w:sz w:val="24"/>
          <w:szCs w:val="24"/>
          <w:highlight w:val="none"/>
          <w:lang w:val="en-US" w:eastAsia="zh-CN"/>
        </w:rPr>
      </w:pPr>
      <w:r>
        <w:rPr>
          <w:rFonts w:hint="eastAsia" w:ascii="宋体" w:hAnsi="宋体" w:cs="宋体"/>
          <w:b/>
          <w:bCs/>
          <w:color w:val="000000"/>
          <w:sz w:val="24"/>
          <w:szCs w:val="24"/>
          <w:highlight w:val="none"/>
          <w:lang w:val="en-US" w:eastAsia="zh-CN"/>
        </w:rPr>
        <w:t xml:space="preserve">五、服务内容</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（一）</w:t>
      </w:r>
      <w:r>
        <w:rPr>
          <w:rFonts w:hint="eastAsia" w:ascii="宋体" w:hAnsi="宋体" w:eastAsia="宋体" w:cs="宋体"/>
          <w:color w:val="000000"/>
          <w:sz w:val="24"/>
          <w:szCs w:val="24"/>
          <w:highlight w:val="none"/>
        </w:rPr>
        <w:t xml:space="preserve">区本级及乡镇财政预算管理一体化</w:t>
      </w:r>
      <w:r>
        <w:rPr>
          <w:rFonts w:hint="eastAsia" w:ascii="宋体" w:hAnsi="宋体" w:eastAsia="宋体" w:cs="宋体"/>
          <w:color w:val="000000"/>
          <w:sz w:val="24"/>
          <w:szCs w:val="24"/>
          <w:highlight w:val="none"/>
          <w:lang w:val="en-US" w:eastAsia="zh-CN"/>
        </w:rPr>
        <w:t xml:space="preserve">平台</w:t>
      </w:r>
      <w:r>
        <w:rPr>
          <w:rFonts w:hint="eastAsia" w:ascii="宋体" w:hAnsi="宋体" w:eastAsia="宋体" w:cs="宋体"/>
          <w:color w:val="000000"/>
          <w:sz w:val="24"/>
          <w:szCs w:val="24"/>
          <w:highlight w:val="none"/>
        </w:rPr>
        <w:t xml:space="preserve">运维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系统日常维护</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（1）提供日常操作业务咨询，修复异常业务操作。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（2）完成系统初始化，编制查询报表，提供日常调整、配置服务，如配置系统参数、业务参数、凭单格式、打印设置、计算公式、视图、报表模板等。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（3）协调系统开发公司进行系统版本升级、打补丁，调整中间件、插件等相关设置，排除系统运行中出现的故障等。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（4）收集、整理各类故障记录，分析具体原因并协调各方改进。</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（5）提供系统实施运维文档，包括且不限于用户手册、系统手册、应急预案、故障紧急处理措施等。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（6）提供年度结转服务，包括建立新年度账、年底业务数据调整、上年数据结转等。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（7）提供系统回流数据的备份服务，确保数据安全性。</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系统培训服务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对系统用户提供咨询、操作指导和培训服务。系统培训包括两种：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（1）最终用户培训</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针对预算单位或财政业务人员的操作培训，侧重业务管理与系统的管理操作。不限于集中培训和上门辅导培训服务等方式。</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（2）系统管理用户培训</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针对系统管理人员的培训，侧重系统管理、配置、维护的培训，包括基础数据管理、用户角色授权、工作流管理、报表管理、银行接口交换中心、安全认证管理等。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二</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区本级及乡镇非税电子化收缴管理系统运维</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执收单位支持：提供对外服务热线，解答各执收单位在开票、缴款、冲正等环节的操作问题。</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银行对账：协助完成财政非税收入管理系统与银行的对账，定位并处理差异数据。</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数据修正：因操作失误或系统异常导致的数据错误，</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需协助进行底层数据逻辑修复。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数据备份：严格执行数据库每日全备/增量备份策略，定期验证备份集的可用性。</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漏洞修复：根据财政局安全扫描报告，及时完成操作系统、数据库、中间件及应用程序的补丁更新和漏洞修复。</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权限审计：每季度对系统用户权限进行清理审计。</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培训服务：每年提供不少于2次针对新进执收单位财务人员的系统操作培训。</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数据防泄漏：签署保密协议，运维人员不得以任何形式导出敏感执收单位及缴款人信息。</w:t>
      </w:r>
      <w:r/>
    </w:p>
    <w:p>
      <w:pPr>
        <w:ind w:firstLine="482"/>
        <w:spacing w:line="360" w:lineRule="auto"/>
        <w:rPr>
          <w:rFonts w:hint="eastAsia" w:ascii="宋体" w:hAnsi="宋体" w:eastAsia="宋体" w:cs="宋体"/>
          <w:b/>
          <w:color w:val="auto"/>
          <w:sz w:val="24"/>
          <w:highlight w:val="none"/>
          <w:lang w:val="en-US" w:eastAsia="zh-CN"/>
        </w:rPr>
        <w:outlineLvl w:val="9"/>
      </w:pPr>
      <w:r>
        <w:rPr>
          <w:rFonts w:hint="eastAsia" w:ascii="宋体" w:hAnsi="宋体" w:cs="宋体"/>
          <w:b/>
          <w:color w:val="auto"/>
          <w:sz w:val="24"/>
          <w:highlight w:val="none"/>
          <w:lang w:val="en-US" w:eastAsia="zh-CN"/>
        </w:rPr>
        <w:t xml:space="preserve">六</w:t>
      </w: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实施要求</w:t>
      </w:r>
      <w:r/>
    </w:p>
    <w:p>
      <w:pPr>
        <w:ind w:firstLine="420"/>
        <w:spacing w:line="360" w:lineRule="auto"/>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为保障业务高峰期内系统平稳运行，缓解系统高峰期内因业务发生量增大而带来系统压力风险，要求</w:t>
      </w:r>
      <w:r>
        <w:rPr>
          <w:rFonts w:hint="eastAsia" w:ascii="宋体" w:hAnsi="宋体" w:cs="宋体"/>
          <w:sz w:val="24"/>
          <w:szCs w:val="24"/>
          <w:highlight w:val="none"/>
          <w:lang w:val="en-US" w:eastAsia="zh-CN"/>
        </w:rPr>
        <w:t xml:space="preserve">乙方</w:t>
      </w:r>
      <w:r>
        <w:rPr>
          <w:rFonts w:hint="eastAsia" w:ascii="宋体" w:hAnsi="宋体" w:eastAsia="宋体" w:cs="宋体"/>
          <w:sz w:val="24"/>
          <w:szCs w:val="24"/>
          <w:highlight w:val="none"/>
        </w:rPr>
        <w:t xml:space="preserve">根据财政业务周期性特点，如法定节假日、重大会议和年底财政工作比较集中等时期，加大运维保障力度，增加省厅运维基地技术支持人员，保证在财政业务高峰期内系统平稳运行。</w:t>
      </w:r>
      <w:r/>
    </w:p>
    <w:p>
      <w:pPr>
        <w:ind w:firstLine="420"/>
        <w:spacing w:line="360" w:lineRule="auto"/>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 xml:space="preserve">2.乙方</w:t>
      </w:r>
      <w:r>
        <w:rPr>
          <w:rFonts w:hint="eastAsia" w:ascii="宋体" w:hAnsi="宋体" w:eastAsia="宋体" w:cs="宋体"/>
          <w:sz w:val="24"/>
          <w:szCs w:val="24"/>
          <w:highlight w:val="none"/>
        </w:rPr>
        <w:t xml:space="preserve">须</w:t>
      </w:r>
      <w:r>
        <w:rPr>
          <w:rFonts w:hint="eastAsia" w:ascii="宋体" w:hAnsi="宋体" w:cs="宋体"/>
          <w:sz w:val="24"/>
          <w:szCs w:val="24"/>
          <w:highlight w:val="none"/>
          <w:lang w:val="en-US" w:eastAsia="zh-CN"/>
        </w:rPr>
        <w:t xml:space="preserve">根据</w:t>
      </w:r>
      <w:r>
        <w:rPr>
          <w:rFonts w:hint="eastAsia" w:ascii="宋体" w:hAnsi="宋体" w:eastAsia="宋体" w:cs="宋体"/>
          <w:sz w:val="24"/>
          <w:szCs w:val="24"/>
          <w:highlight w:val="none"/>
        </w:rPr>
        <w:t xml:space="preserve">《江苏财政省级统建信息系统运行维护工作制度（试行）》（苏财办〔2023〕14号）、《江苏省预算管理一体化系统生产数据库数据变更操作规范（试行）（苏财办发〔2024〕5号）文件要求</w:t>
      </w:r>
      <w:r>
        <w:rPr>
          <w:rFonts w:hint="eastAsia" w:ascii="宋体" w:hAnsi="宋体" w:cs="宋体"/>
          <w:sz w:val="24"/>
          <w:szCs w:val="24"/>
          <w:highlight w:val="none"/>
          <w:lang w:val="en-US" w:eastAsia="zh-CN"/>
        </w:rPr>
        <w:t xml:space="preserve">提供系统运维服务</w:t>
      </w:r>
      <w:r>
        <w:rPr>
          <w:rFonts w:hint="eastAsia" w:ascii="宋体" w:hAnsi="宋体" w:eastAsia="宋体" w:cs="宋体"/>
          <w:sz w:val="24"/>
          <w:szCs w:val="24"/>
          <w:highlight w:val="none"/>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sz w:val="24"/>
          <w:szCs w:val="24"/>
          <w:highlight w:val="none"/>
          <w:lang w:val="en-US" w:eastAsia="zh-CN"/>
        </w:rPr>
        <w:t xml:space="preserve">3.乙方</w:t>
      </w:r>
      <w:r>
        <w:rPr>
          <w:rFonts w:hint="eastAsia" w:ascii="宋体" w:hAnsi="宋体" w:eastAsia="宋体" w:cs="宋体"/>
          <w:sz w:val="24"/>
          <w:szCs w:val="24"/>
          <w:highlight w:val="none"/>
        </w:rPr>
        <w:t xml:space="preserve">按照</w:t>
      </w:r>
      <w:r>
        <w:rPr>
          <w:rFonts w:hint="eastAsia" w:ascii="宋体" w:hAnsi="宋体" w:cs="宋体"/>
          <w:sz w:val="24"/>
          <w:szCs w:val="24"/>
          <w:highlight w:val="none"/>
          <w:lang w:val="en-US" w:eastAsia="zh-CN"/>
        </w:rPr>
        <w:t xml:space="preserve">甲方</w:t>
      </w:r>
      <w:r>
        <w:rPr>
          <w:rFonts w:hint="eastAsia" w:ascii="宋体" w:hAnsi="宋体" w:eastAsia="宋体" w:cs="宋体"/>
          <w:sz w:val="24"/>
          <w:szCs w:val="24"/>
          <w:highlight w:val="none"/>
        </w:rPr>
        <w:t xml:space="preserve">的相关规定及要求，完成日常一切运维工作。</w:t>
      </w:r>
      <w:r>
        <w:rPr>
          <w:rFonts w:hint="eastAsia" w:ascii="宋体" w:hAnsi="宋体" w:eastAsia="宋体" w:cs="宋体"/>
          <w:color w:val="000000"/>
          <w:sz w:val="24"/>
          <w:szCs w:val="24"/>
          <w:highlight w:val="none"/>
        </w:rPr>
        <w:t xml:space="preserve">服务要充分考虑容错、应急、负载等要求，依托智能运维服务平台，结合严谨的测试管理，以保证系统的高可用性。服务模式包括现场支持、电话咨询、Email等。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4.乙方</w:t>
      </w:r>
      <w:r>
        <w:rPr>
          <w:rFonts w:hint="eastAsia" w:ascii="宋体" w:hAnsi="宋体" w:eastAsia="宋体" w:cs="宋体"/>
          <w:color w:val="000000"/>
          <w:sz w:val="24"/>
          <w:szCs w:val="24"/>
          <w:highlight w:val="none"/>
        </w:rPr>
        <w:t xml:space="preserve">负责提供服务支持小组7*24小时现场服务。服务工作包括软件使用咨询、软件异常情况处理、数据异常维护、系统缺陷修复、系统迁移、重新安装等服务。并根据用户需要，派技术服务人员到用户现场服务。包括软件使用咨询、软件异常情况处理、软件数据异常的维护等。现场指导用户完成系统操作，对系统的功能操作或用户提出的其他系统问题进行现场讲解，对用户进行系统操作培训等。</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5.乙方提供</w:t>
      </w:r>
      <w:r>
        <w:rPr>
          <w:rFonts w:hint="eastAsia" w:ascii="宋体" w:hAnsi="宋体" w:eastAsia="宋体" w:cs="宋体"/>
          <w:color w:val="000000"/>
          <w:sz w:val="24"/>
          <w:szCs w:val="24"/>
          <w:highlight w:val="none"/>
        </w:rPr>
        <w:t xml:space="preserve">7*24小时电话服务，在日常技术支持服务中，服务团队接听财政用户、预算单位用户的热线电话，详细记录问题并解答用户提出的问题，及时更新对应系统的运维知识库，做好问题跟踪记录。对电话服务承诺如下：</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工作日内实时响应客户电话。</w:t>
      </w:r>
      <w:r/>
    </w:p>
    <w:p>
      <w:pPr>
        <w:ind w:firstLine="42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非工作日30分钟内回复客户电话。</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故障响应标准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积极与省系统开发运维团队沟通协调，对一般故障，在半小时内响应并在1小时内解决；重大故障在2小时内解决。</w:t>
      </w:r>
      <w:r>
        <w:rPr>
          <w:rFonts w:hint="eastAsia" w:ascii="宋体" w:hAnsi="宋体" w:cs="宋体"/>
          <w:color w:val="000000"/>
          <w:sz w:val="24"/>
          <w:szCs w:val="24"/>
          <w:highlight w:val="none"/>
          <w:lang w:val="en-US" w:eastAsia="zh-CN"/>
        </w:rPr>
        <w:t xml:space="preserve">对于</w:t>
      </w:r>
      <w:r>
        <w:rPr>
          <w:rFonts w:hint="eastAsia" w:ascii="宋体" w:hAnsi="宋体" w:eastAsia="宋体" w:cs="宋体"/>
          <w:color w:val="000000"/>
          <w:sz w:val="24"/>
          <w:szCs w:val="24"/>
          <w:highlight w:val="none"/>
        </w:rPr>
        <w:t xml:space="preserve">日间突发故障，要求</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小时内到现场，对于夜间突发故障，要求</w:t>
      </w:r>
      <w:r>
        <w:rPr>
          <w:rFonts w:hint="eastAsia" w:ascii="宋体" w:hAnsi="宋体" w:cs="宋体"/>
          <w:color w:val="000000"/>
          <w:sz w:val="24"/>
          <w:szCs w:val="24"/>
          <w:highlight w:val="none"/>
          <w:u w:val="single"/>
          <w:lang w:val="en-US" w:eastAsia="zh-CN"/>
        </w:rPr>
        <w:t xml:space="preserve">     </w:t>
      </w:r>
      <w:r>
        <w:rPr>
          <w:rFonts w:hint="eastAsia" w:ascii="宋体" w:hAnsi="宋体" w:eastAsia="宋体" w:cs="宋体"/>
          <w:color w:val="000000"/>
          <w:sz w:val="24"/>
          <w:szCs w:val="24"/>
          <w:highlight w:val="none"/>
        </w:rPr>
        <w:t xml:space="preserve">小时内到达现场。</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7.</w:t>
      </w:r>
      <w:r>
        <w:rPr>
          <w:rFonts w:hint="eastAsia" w:ascii="宋体" w:hAnsi="宋体" w:eastAsia="宋体" w:cs="宋体"/>
          <w:color w:val="000000"/>
          <w:sz w:val="24"/>
          <w:szCs w:val="24"/>
          <w:highlight w:val="none"/>
        </w:rPr>
        <w:t xml:space="preserve">服务人员要求</w:t>
      </w:r>
      <w:r/>
    </w:p>
    <w:p>
      <w:pPr>
        <w:numPr>
          <w:ilvl w:val="-1"/>
          <w:numId w:val="0"/>
        </w:numPr>
        <w:ind w:firstLine="480"/>
        <w:jc w:val="left"/>
        <w:spacing w:line="360" w:lineRule="auto"/>
        <w:widowControl/>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为保障项目质量，需提供充足的人力资源驻场实施服务，并设计人力资源保障解决方案，要求服务人员配备充足、分工合理，计划科学。驻场实施服务人数不得少于</w:t>
      </w:r>
      <w:r>
        <w:rPr>
          <w:rFonts w:hint="eastAsia" w:ascii="宋体" w:hAnsi="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rPr>
        <w:t xml:space="preserve">人</w:t>
      </w:r>
      <w:r>
        <w:rPr>
          <w:rFonts w:hint="eastAsia" w:ascii="宋体" w:hAnsi="宋体" w:cs="宋体"/>
          <w:color w:val="000000"/>
          <w:sz w:val="24"/>
          <w:szCs w:val="24"/>
          <w:highlight w:val="none"/>
          <w:lang w:eastAsia="zh-CN"/>
        </w:rPr>
        <w:t xml:space="preserve">（</w:t>
      </w:r>
      <w:r>
        <w:rPr>
          <w:rFonts w:hint="eastAsia" w:ascii="宋体" w:hAnsi="宋体" w:cs="宋体"/>
          <w:color w:val="000000"/>
          <w:sz w:val="24"/>
          <w:szCs w:val="24"/>
          <w:highlight w:val="none"/>
          <w:lang w:val="en-US" w:eastAsia="zh-CN"/>
        </w:rPr>
        <w:t xml:space="preserve">包含1名项目经理</w:t>
      </w:r>
      <w:r>
        <w:rPr>
          <w:rFonts w:hint="eastAsia" w:ascii="宋体" w:hAnsi="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w:t>
      </w:r>
      <w:r>
        <w:rPr>
          <w:rFonts w:hint="eastAsia" w:ascii="宋体" w:hAnsi="宋体" w:cs="宋体"/>
          <w:color w:val="000000"/>
          <w:sz w:val="24"/>
          <w:highlight w:val="none"/>
          <w:lang w:val="en-US" w:eastAsia="zh-CN"/>
        </w:rPr>
        <w:t xml:space="preserve">驻场工作时间与采购人工作人员同步。</w:t>
      </w:r>
      <w:r>
        <w:rPr>
          <w:rFonts w:hint="eastAsia" w:ascii="宋体" w:hAnsi="宋体" w:eastAsia="宋体" w:cs="宋体"/>
          <w:color w:val="000000"/>
          <w:sz w:val="24"/>
          <w:szCs w:val="24"/>
          <w:highlight w:val="none"/>
        </w:rPr>
        <w:t xml:space="preserve">。</w:t>
      </w:r>
      <w:r/>
    </w:p>
    <w:p>
      <w:pPr>
        <w:numPr>
          <w:ilvl w:val="-1"/>
          <w:numId w:val="0"/>
        </w:numPr>
        <w:ind w:firstLine="480"/>
        <w:jc w:val="left"/>
        <w:spacing w:line="360" w:lineRule="auto"/>
        <w:widowControl/>
        <w:rPr>
          <w:rFonts w:hint="eastAsia" w:ascii="宋体" w:hAnsi="宋体" w:cs="宋体"/>
          <w:b/>
          <w:bCs/>
          <w:color w:val="auto"/>
          <w:sz w:val="24"/>
          <w:highlight w:val="none"/>
          <w:lang w:val="en-US" w:eastAsia="zh-CN"/>
        </w:rPr>
      </w:pPr>
      <w:r>
        <w:rPr>
          <w:rFonts w:hint="eastAsia" w:ascii="宋体" w:hAnsi="宋体" w:cs="宋体"/>
          <w:b/>
          <w:bCs/>
          <w:color w:val="auto"/>
          <w:sz w:val="24"/>
          <w:highlight w:val="none"/>
          <w:lang w:val="en-US" w:eastAsia="zh-CN"/>
        </w:rPr>
        <w:t xml:space="preserve">人员配备如下：</w:t>
      </w:r>
      <w:r/>
    </w:p>
    <w:p>
      <w:pPr>
        <w:numPr>
          <w:ilvl w:val="0"/>
          <w:numId w:val="0"/>
        </w:numPr>
        <w:ind w:firstLine="480"/>
        <w:jc w:val="left"/>
        <w:spacing w:line="360" w:lineRule="auto"/>
        <w:widowControl/>
        <w:rPr>
          <w:rFonts w:hint="eastAsia" w:ascii="宋体" w:hAnsi="宋体" w:cs="宋体"/>
          <w:color w:val="auto"/>
          <w:sz w:val="24"/>
          <w:highlight w:val="none"/>
          <w:u w:val="single"/>
          <w:lang w:val="en-US" w:eastAsia="zh-CN"/>
        </w:rPr>
      </w:pPr>
      <w:r>
        <w:rPr>
          <w:rFonts w:hint="eastAsia" w:ascii="宋体" w:hAnsi="宋体" w:cs="宋体"/>
          <w:color w:val="auto"/>
          <w:sz w:val="24"/>
          <w:highlight w:val="none"/>
          <w:lang w:val="en-US" w:eastAsia="zh-CN"/>
        </w:rPr>
        <w:t xml:space="preserve">项目经理：</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p>
    <w:p>
      <w:pPr>
        <w:numPr>
          <w:ilvl w:val="0"/>
          <w:numId w:val="0"/>
        </w:numPr>
        <w:ind w:firstLine="480"/>
        <w:jc w:val="left"/>
        <w:spacing w:line="360" w:lineRule="auto"/>
        <w:widowControl/>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驻场人员1：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p>
    <w:p>
      <w:pPr>
        <w:numPr>
          <w:ilvl w:val="0"/>
          <w:numId w:val="0"/>
        </w:numPr>
        <w:ind w:firstLine="480"/>
        <w:jc w:val="left"/>
        <w:spacing w:line="360" w:lineRule="auto"/>
        <w:widowControl/>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驻场人员2：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p>
    <w:p>
      <w:pPr>
        <w:numPr>
          <w:ilvl w:val="0"/>
          <w:numId w:val="0"/>
        </w:numPr>
        <w:ind w:firstLine="480"/>
        <w:jc w:val="left"/>
        <w:spacing w:line="360" w:lineRule="auto"/>
        <w:widowControl/>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驻场人员3：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p>
    <w:p>
      <w:pPr>
        <w:ind w:firstLine="480"/>
        <w:spacing w:line="360" w:lineRule="auto"/>
        <w:rPr>
          <w:rFonts w:hint="eastAsia" w:ascii="宋体" w:hAnsi="宋体" w:cs="宋体"/>
          <w:color w:val="auto"/>
          <w:sz w:val="24"/>
          <w:highlight w:val="none"/>
          <w:u w:val="none"/>
          <w:lang w:val="en-US" w:eastAsia="zh-CN"/>
        </w:rPr>
      </w:pPr>
      <w:r>
        <w:rPr>
          <w:rFonts w:hint="eastAsia" w:ascii="宋体" w:hAnsi="宋体" w:cs="宋体"/>
          <w:color w:val="auto"/>
          <w:sz w:val="24"/>
          <w:highlight w:val="none"/>
          <w:u w:val="none"/>
          <w:lang w:val="en-US" w:eastAsia="zh-CN"/>
        </w:rPr>
        <w:t xml:space="preserve">驻场人员4：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驻场实施服务人员在常州市金坛区财政局的统一领导下开展项目要求的工作，遵从</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制定的服务质量考核管理办法要求，在系统实施阶段不能更换项目实施人员，如确需更换，须经</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批准。</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安全运维管理要求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必须规范日常的安全操作，通过实施必要的安全运行维护措施，保障符合财政部的总体安全策略。配合</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定期开展网络安全自查，自查内容至少包括系统日常运行情况、系统漏洞等；配合</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定期进行安全审计，审计内容至少包括系统账号、权限、操作行为和安全技术措施有效性等，及时发现和处理信息系统运行过程中的安全隐患，减少或避免网络安全事件的发生。</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技术安全防护要求</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规范管理信息化设备的安全维护；根据工作所需设置最小访问权限；禁止将系统管理员权限授予其他人员；禁止绕过运维安全审计系统对基础软件进行远程维护；严格控制运维工具的使用，经过</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审核后才可接入财政网络进行操作；规范财政网络和信息系统软硬件的配置管理，信息系统配置、升级或改造等方面的变更按照审批流程操作。因运维实施人员配置错误、操作错误，造成系统、设备、资金损失，追究相关公司责任。</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10.</w:t>
      </w:r>
      <w:r>
        <w:rPr>
          <w:rFonts w:hint="eastAsia" w:ascii="宋体" w:hAnsi="宋体" w:eastAsia="宋体" w:cs="宋体"/>
          <w:color w:val="000000"/>
          <w:sz w:val="24"/>
          <w:szCs w:val="24"/>
          <w:highlight w:val="none"/>
        </w:rPr>
        <w:t xml:space="preserve">信息保密要求</w:t>
      </w:r>
      <w:r/>
    </w:p>
    <w:p>
      <w:pPr>
        <w:ind w:firstLine="42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承诺对</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提供的内部资料、数据和信息予以保密。未经</w:t>
      </w:r>
      <w:r>
        <w:rPr>
          <w:rFonts w:hint="eastAsia" w:ascii="宋体" w:hAnsi="宋体" w:cs="宋体"/>
          <w:color w:val="000000"/>
          <w:sz w:val="24"/>
          <w:szCs w:val="24"/>
          <w:highlight w:val="none"/>
          <w:lang w:val="en-US" w:eastAsia="zh-CN"/>
        </w:rPr>
        <w:t xml:space="preserve">甲方</w:t>
      </w:r>
      <w:r>
        <w:rPr>
          <w:rFonts w:hint="eastAsia" w:ascii="宋体" w:hAnsi="宋体" w:eastAsia="宋体" w:cs="宋体"/>
          <w:color w:val="000000"/>
          <w:sz w:val="24"/>
          <w:szCs w:val="24"/>
          <w:highlight w:val="none"/>
        </w:rPr>
        <w:t xml:space="preserve">书面许可，不许以任何形式向第三方透露。</w:t>
      </w:r>
      <w:r>
        <w:rPr>
          <w:rFonts w:hint="eastAsia" w:ascii="宋体" w:hAnsi="宋体" w:cs="宋体"/>
          <w:color w:val="000000"/>
          <w:sz w:val="24"/>
          <w:szCs w:val="24"/>
          <w:highlight w:val="none"/>
          <w:lang w:val="en-US" w:eastAsia="zh-CN"/>
        </w:rPr>
        <w:t xml:space="preserve">乙方</w:t>
      </w:r>
      <w:r>
        <w:rPr>
          <w:rFonts w:hint="eastAsia" w:ascii="宋体" w:hAnsi="宋体" w:eastAsia="宋体" w:cs="宋体"/>
          <w:color w:val="000000"/>
          <w:sz w:val="24"/>
          <w:szCs w:val="24"/>
          <w:highlight w:val="none"/>
        </w:rPr>
        <w:t xml:space="preserve">应与驻场运维服务人员签订保密协议，督促运维服务人员严格遵守保密规定。</w:t>
      </w:r>
      <w:r/>
    </w:p>
    <w:p>
      <w:pPr>
        <w:ind w:firstLine="480"/>
        <w:spacing w:line="360" w:lineRule="auto"/>
        <w:rPr>
          <w:rFonts w:hint="eastAsia" w:ascii="宋体" w:hAnsi="宋体" w:eastAsia="宋体" w:cs="宋体"/>
          <w:color w:val="000000"/>
          <w:sz w:val="24"/>
          <w:szCs w:val="24"/>
          <w:highlight w:val="none"/>
        </w:rPr>
      </w:pPr>
      <w:r>
        <w:rPr>
          <w:rFonts w:hint="eastAsia" w:ascii="宋体" w:hAnsi="宋体" w:cs="宋体"/>
          <w:color w:val="000000"/>
          <w:sz w:val="24"/>
          <w:szCs w:val="24"/>
          <w:highlight w:val="none"/>
          <w:lang w:val="en-US" w:eastAsia="zh-CN"/>
        </w:rPr>
        <w:t xml:space="preserve">11.乙方</w:t>
      </w:r>
      <w:r>
        <w:rPr>
          <w:rFonts w:hint="eastAsia" w:ascii="宋体" w:hAnsi="宋体" w:eastAsia="宋体" w:cs="宋体"/>
          <w:color w:val="000000"/>
          <w:sz w:val="24"/>
          <w:szCs w:val="24"/>
          <w:highlight w:val="none"/>
        </w:rPr>
        <w:t xml:space="preserve">根据系统运行情况提供预防性维护，建立系统异常应急预案，出现故障时及时处理并反馈，针对不同突发事件提供相应的应对策略。内容包括但不限于应急响应流程、应急处置方案、重大节日、活动期间应急保障措施等方面。</w:t>
      </w:r>
      <w:r/>
    </w:p>
    <w:p>
      <w:pPr>
        <w:numPr>
          <w:ilvl w:val="0"/>
          <w:numId w:val="0"/>
        </w:numPr>
        <w:ind w:firstLine="480"/>
        <w:jc w:val="left"/>
        <w:spacing w:line="360" w:lineRule="auto"/>
        <w:widowControl/>
        <w:rPr>
          <w:rFonts w:hint="eastAsia" w:ascii="宋体" w:hAnsi="宋体" w:cs="宋体"/>
          <w:color w:val="auto"/>
          <w:sz w:val="24"/>
          <w:highlight w:val="none"/>
          <w:u w:val="none"/>
          <w:lang w:val="en-US" w:eastAsia="zh-CN"/>
        </w:rPr>
      </w:pPr>
      <w:r>
        <w:rPr>
          <w:rFonts w:hint="eastAsia" w:ascii="宋体" w:hAnsi="宋体" w:cs="宋体"/>
          <w:sz w:val="24"/>
          <w:szCs w:val="24"/>
          <w:highlight w:val="none"/>
          <w:lang w:val="en-US" w:eastAsia="zh-CN"/>
        </w:rPr>
        <w:t xml:space="preserve">12.</w:t>
      </w:r>
      <w:r>
        <w:rPr>
          <w:rFonts w:hint="eastAsia" w:ascii="宋体" w:hAnsi="宋体" w:eastAsia="宋体" w:cs="宋体"/>
          <w:sz w:val="24"/>
          <w:szCs w:val="24"/>
          <w:highlight w:val="none"/>
        </w:rPr>
        <w:t xml:space="preserve">根据实际情况安排定期或不定</w:t>
      </w:r>
      <w:bookmarkStart w:id="621" w:name="_GoBack"/>
      <w:r/>
      <w:bookmarkEnd w:id="621"/>
      <w:r>
        <w:rPr>
          <w:rFonts w:hint="eastAsia" w:ascii="宋体" w:hAnsi="宋体" w:eastAsia="宋体" w:cs="宋体"/>
          <w:sz w:val="24"/>
          <w:szCs w:val="24"/>
          <w:highlight w:val="none"/>
        </w:rPr>
        <w:t xml:space="preserve">期的培训，具体培训需求由财政提出，根据用户的需求提供完整的培训方案并实施培训，方案内容包括但不限于培训师资力量、培训方式、培训计划等方面。</w:t>
      </w:r>
      <w:r/>
    </w:p>
    <w:p>
      <w:pPr>
        <w:numPr>
          <w:ilvl w:val="0"/>
          <w:numId w:val="0"/>
        </w:numPr>
        <w:ind w:firstLine="482"/>
        <w:jc w:val="left"/>
        <w:spacing w:line="360" w:lineRule="auto"/>
        <w:widowControl/>
        <w:rPr>
          <w:rFonts w:hint="eastAsia" w:ascii="宋体" w:hAnsi="宋体" w:eastAsia="宋体" w:cs="宋体"/>
          <w:b/>
          <w:color w:val="auto"/>
          <w:sz w:val="24"/>
          <w:highlight w:val="none"/>
          <w:u w:val="single"/>
          <w:lang w:val="en-US" w:eastAsia="zh-CN"/>
        </w:rPr>
      </w:pPr>
      <w:r>
        <w:rPr>
          <w:rFonts w:hint="eastAsia" w:ascii="宋体" w:hAnsi="宋体" w:cs="宋体"/>
          <w:b/>
          <w:color w:val="auto"/>
          <w:sz w:val="24"/>
          <w:highlight w:val="none"/>
          <w:lang w:val="en-US" w:eastAsia="zh-CN"/>
        </w:rPr>
        <w:t xml:space="preserve">七</w:t>
      </w:r>
      <w:r>
        <w:rPr>
          <w:rFonts w:hint="eastAsia" w:ascii="宋体" w:hAnsi="宋体" w:cs="宋体"/>
          <w:b/>
          <w:color w:val="auto"/>
          <w:sz w:val="24"/>
          <w:highlight w:val="none"/>
        </w:rPr>
        <w:t xml:space="preserve">、质量要求</w:t>
      </w:r>
      <w:r>
        <w:rPr>
          <w:rFonts w:hint="eastAsia" w:ascii="宋体" w:hAnsi="宋体" w:cs="宋体"/>
          <w:b/>
          <w:color w:val="auto"/>
          <w:sz w:val="24"/>
          <w:highlight w:val="none"/>
          <w:lang w:val="en-US" w:eastAsia="zh-CN"/>
        </w:rPr>
        <w:t xml:space="preserve"> </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乙方</w:t>
      </w:r>
      <w:r>
        <w:rPr>
          <w:rFonts w:hint="eastAsia" w:ascii="宋体" w:hAnsi="宋体" w:cs="宋体"/>
          <w:color w:val="auto"/>
          <w:sz w:val="24"/>
          <w:highlight w:val="none"/>
        </w:rPr>
        <w:t xml:space="preserve">必须严格按照</w:t>
      </w:r>
      <w:r>
        <w:rPr>
          <w:rFonts w:hint="eastAsia" w:ascii="宋体" w:hAnsi="宋体" w:eastAsia="宋体" w:cs="宋体"/>
          <w:color w:val="auto"/>
          <w:sz w:val="24"/>
          <w:highlight w:val="none"/>
          <w:lang w:eastAsia="zh-CN"/>
        </w:rPr>
        <w:t xml:space="preserve">磋商文件</w:t>
      </w:r>
      <w:r>
        <w:rPr>
          <w:rFonts w:hint="eastAsia" w:ascii="宋体" w:hAnsi="宋体" w:eastAsia="宋体" w:cs="宋体"/>
          <w:color w:val="auto"/>
          <w:sz w:val="24"/>
          <w:highlight w:val="none"/>
        </w:rPr>
        <w:t xml:space="preserve">要求</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相关标准</w:t>
      </w:r>
      <w:r>
        <w:rPr>
          <w:rFonts w:hint="eastAsia" w:ascii="宋体" w:hAnsi="宋体" w:cs="宋体"/>
          <w:color w:val="auto"/>
          <w:sz w:val="24"/>
          <w:highlight w:val="none"/>
          <w:lang w:val="en-US" w:eastAsia="zh-CN"/>
        </w:rPr>
        <w:t xml:space="preserve">和规范</w:t>
      </w:r>
      <w:r>
        <w:rPr>
          <w:rFonts w:hint="eastAsia" w:ascii="宋体" w:hAnsi="宋体" w:cs="宋体"/>
          <w:color w:val="auto"/>
          <w:sz w:val="24"/>
          <w:highlight w:val="none"/>
        </w:rPr>
        <w:t xml:space="preserve">实施，并无条件的接受</w:t>
      </w:r>
      <w:r>
        <w:rPr>
          <w:rFonts w:hint="eastAsia" w:ascii="宋体" w:hAnsi="宋体" w:cs="宋体"/>
          <w:color w:val="auto"/>
          <w:sz w:val="24"/>
          <w:highlight w:val="none"/>
          <w:lang w:val="en-US" w:eastAsia="zh-CN"/>
        </w:rPr>
        <w:t xml:space="preserve">甲方</w:t>
      </w:r>
      <w:r>
        <w:rPr>
          <w:rFonts w:hint="eastAsia" w:ascii="宋体" w:hAnsi="宋体" w:cs="宋体"/>
          <w:color w:val="auto"/>
          <w:sz w:val="24"/>
          <w:highlight w:val="none"/>
        </w:rPr>
        <w:t xml:space="preserve">全方位、全过程的监督管理。</w:t>
      </w:r>
      <w:r/>
    </w:p>
    <w:p>
      <w:pPr>
        <w:ind w:firstLine="482"/>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本项目实施过程中的一切安全责任全部由</w:t>
      </w:r>
      <w:r>
        <w:rPr>
          <w:rFonts w:hint="eastAsia" w:ascii="宋体" w:hAnsi="宋体" w:cs="宋体"/>
          <w:b/>
          <w:bCs/>
          <w:color w:val="auto"/>
          <w:sz w:val="24"/>
          <w:highlight w:val="none"/>
          <w:lang w:val="en-US" w:eastAsia="zh-CN"/>
        </w:rPr>
        <w:t xml:space="preserve">乙方</w:t>
      </w:r>
      <w:r>
        <w:rPr>
          <w:rFonts w:hint="eastAsia" w:ascii="宋体" w:hAnsi="宋体" w:cs="宋体"/>
          <w:b/>
          <w:bCs/>
          <w:color w:val="auto"/>
          <w:sz w:val="24"/>
          <w:highlight w:val="none"/>
        </w:rPr>
        <w:t xml:space="preserve">负责并承担因此发生的全部费用。</w:t>
      </w:r>
      <w:r/>
    </w:p>
    <w:p>
      <w:pPr>
        <w:ind w:firstLine="482"/>
        <w:spacing w:line="360" w:lineRule="auto"/>
        <w:tabs>
          <w:tab w:val="left" w:pos="570" w:leader="none"/>
        </w:tabs>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八</w:t>
      </w:r>
      <w:r>
        <w:rPr>
          <w:rFonts w:hint="eastAsia" w:ascii="宋体" w:hAnsi="宋体" w:cs="宋体"/>
          <w:b/>
          <w:color w:val="auto"/>
          <w:sz w:val="24"/>
          <w:highlight w:val="none"/>
        </w:rPr>
        <w:t xml:space="preserve">、付款方式</w:t>
      </w:r>
      <w:r/>
    </w:p>
    <w:p>
      <w:pPr>
        <w:ind w:firstLine="480"/>
        <w:spacing w:line="360" w:lineRule="auto"/>
        <w:rPr>
          <w:rFonts w:hint="eastAsia" w:ascii="宋体" w:hAnsi="宋体" w:cs="宋体"/>
          <w:b/>
          <w:color w:val="auto"/>
          <w:sz w:val="24"/>
          <w:highlight w:val="none"/>
        </w:rPr>
      </w:pPr>
      <w:r>
        <w:rPr>
          <w:rFonts w:hint="eastAsia" w:ascii="宋体" w:hAnsi="宋体" w:cs="宋体"/>
          <w:bCs/>
          <w:color w:val="auto"/>
          <w:sz w:val="24"/>
          <w:highlight w:val="none"/>
        </w:rPr>
        <w:t xml:space="preserve">合同签订后30日内支付合同总价款50%作为预付款；</w:t>
      </w:r>
      <w:r>
        <w:rPr>
          <w:rFonts w:hint="eastAsia" w:ascii="宋体" w:hAnsi="宋体" w:cs="宋体"/>
          <w:bCs/>
          <w:color w:val="auto"/>
          <w:sz w:val="24"/>
          <w:highlight w:val="none"/>
          <w:lang w:val="en-US" w:eastAsia="zh-CN"/>
        </w:rPr>
        <w:t xml:space="preserve">服务结束</w:t>
      </w:r>
      <w:r>
        <w:rPr>
          <w:rFonts w:hint="eastAsia" w:ascii="宋体" w:hAnsi="宋体" w:cs="宋体"/>
          <w:color w:val="auto"/>
          <w:sz w:val="24"/>
          <w:highlight w:val="none"/>
          <w:lang w:val="en-US" w:eastAsia="zh-CN"/>
        </w:rPr>
        <w:t xml:space="preserve">经甲方确认后再</w:t>
      </w:r>
      <w:r>
        <w:rPr>
          <w:rFonts w:hint="eastAsia" w:ascii="宋体" w:hAnsi="宋体" w:cs="宋体"/>
          <w:bCs/>
          <w:color w:val="auto"/>
          <w:sz w:val="24"/>
          <w:highlight w:val="none"/>
        </w:rPr>
        <w:t xml:space="preserve">支付合同总价款50%。</w:t>
      </w:r>
      <w:r/>
    </w:p>
    <w:p>
      <w:pPr>
        <w:ind w:firstLine="482"/>
        <w:spacing w:line="360" w:lineRule="auto"/>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九</w:t>
      </w:r>
      <w:r>
        <w:rPr>
          <w:rFonts w:hint="eastAsia" w:ascii="宋体" w:hAnsi="宋体" w:cs="宋体"/>
          <w:b/>
          <w:color w:val="auto"/>
          <w:sz w:val="24"/>
          <w:highlight w:val="none"/>
        </w:rPr>
        <w:t xml:space="preserve">、违约条款</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1.甲方未按合同约定期限向乙方按时足额支付服务费用的，视为违约，每逾期一天，甲方应向乙方支付拖欠服务费用总额的5‰违约金，但累计违约金总额不超过欠款总额的5%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乙方未按合同约定时间向甲方提供服务的，视为违约，每逾期一天，乙方应向甲方支付延期付款总额5‰的违约金。若乙方逾期10天以上（含10天），甲方除了有权主张上述违约金外，还有权解除合同，解除合同通知送达之日即生效。</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3.甲方无正当理由拒绝验收、拒付服务费用的，甲方应向乙方支付合同总价的5%违约金。</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4.无论乙方因何种原因不能验收服务的，乙方应向甲方支付合同总价5%的违约金。</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5.乙方所提供的服务内容不符合合同约定的，甲方有权拒收，同时有权向乙方主张合同总额5%的违约金。</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6.乙方未按本合同约定的服务承诺提供服务的，视为违约，甲方有权寻找第三方解决，因此产生的所有费用全部由乙方承担，且甲方有权每次向乙方主张合同总价款1%的违约金。</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十</w:t>
      </w:r>
      <w:r>
        <w:rPr>
          <w:rFonts w:hint="eastAsia" w:ascii="宋体" w:hAnsi="宋体" w:cs="宋体"/>
          <w:b/>
          <w:color w:val="auto"/>
          <w:sz w:val="24"/>
          <w:highlight w:val="none"/>
        </w:rPr>
        <w:t xml:space="preserve">、合同的变更和终止</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本合同一经签订，甲、乙双方不得擅自变更、中止或终止合同。</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一</w:t>
      </w:r>
      <w:r>
        <w:rPr>
          <w:rFonts w:hint="eastAsia" w:ascii="宋体" w:hAnsi="宋体" w:cs="宋体"/>
          <w:b/>
          <w:color w:val="auto"/>
          <w:sz w:val="24"/>
          <w:highlight w:val="none"/>
        </w:rPr>
        <w:t xml:space="preserve">、合同的转让</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乙方不得擅自部分或全部转让其应履行的合同义务，否则，甲方有权立即解除合同，并有权要求乙方支付合同总额30%的违约金。</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二</w:t>
      </w:r>
      <w:r>
        <w:rPr>
          <w:rFonts w:hint="eastAsia" w:ascii="宋体" w:hAnsi="宋体" w:cs="宋体"/>
          <w:b/>
          <w:color w:val="auto"/>
          <w:sz w:val="24"/>
          <w:highlight w:val="none"/>
        </w:rPr>
        <w:t xml:space="preserve">、争议解决</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1.因服务质量问题发生争议的，应当邀请双方认可的第三方对服务质量进行鉴定，鉴定费由乙方承担。</w:t>
      </w:r>
      <w:r/>
    </w:p>
    <w:p>
      <w:pPr>
        <w:ind w:firstLine="480"/>
        <w:spacing w:line="440" w:lineRule="exact"/>
        <w:rPr>
          <w:rFonts w:hint="eastAsia" w:ascii="宋体" w:hAnsi="宋体" w:cs="宋体"/>
          <w:i/>
          <w:color w:val="auto"/>
          <w:sz w:val="24"/>
          <w:highlight w:val="none"/>
        </w:rPr>
      </w:pPr>
      <w:r>
        <w:rPr>
          <w:rFonts w:hint="eastAsia" w:ascii="宋体" w:hAnsi="宋体" w:cs="宋体"/>
          <w:color w:val="auto"/>
          <w:sz w:val="24"/>
          <w:highlight w:val="none"/>
        </w:rPr>
        <w:t xml:space="preserve">2.因履行本合同引起的或与本合同有关的争议，甲、乙双方应当通过友好协商解决，如果协商不能解决争议的，</w:t>
      </w:r>
      <w:r>
        <w:rPr>
          <w:rFonts w:hint="eastAsia" w:ascii="宋体" w:hAnsi="宋体" w:cs="宋体"/>
          <w:iCs/>
          <w:color w:val="auto"/>
          <w:sz w:val="24"/>
          <w:highlight w:val="none"/>
        </w:rPr>
        <w:t xml:space="preserve">则采取以下第</w:t>
      </w:r>
      <w:r>
        <w:rPr>
          <w:rFonts w:hint="eastAsia" w:ascii="宋体" w:hAnsi="宋体" w:cs="宋体"/>
          <w:iCs/>
          <w:color w:val="auto"/>
          <w:sz w:val="24"/>
          <w:highlight w:val="none"/>
          <w:u w:val="single"/>
        </w:rPr>
        <w:t xml:space="preserve">   </w:t>
      </w:r>
      <w:r>
        <w:rPr>
          <w:rFonts w:hint="eastAsia" w:ascii="宋体" w:hAnsi="宋体" w:cs="宋体"/>
          <w:iCs/>
          <w:color w:val="auto"/>
          <w:sz w:val="24"/>
          <w:highlight w:val="none"/>
        </w:rPr>
        <w:t xml:space="preserve">种方式解决争议：</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（1）向甲方所在地有管辖权的地方人民法院提起诉讼；</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（2）向常州仲裁委员会申请仲裁。</w:t>
      </w:r>
      <w:r/>
    </w:p>
    <w:p>
      <w:pPr>
        <w:ind w:firstLine="482"/>
        <w:spacing w:line="44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十</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、合同生效及其他</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1.本合同经甲、乙双方盖章后生效</w:t>
      </w:r>
      <w:r>
        <w:rPr>
          <w:rFonts w:hint="eastAsia" w:ascii="宋体" w:hAnsi="宋体" w:cs="宋体"/>
          <w:i/>
          <w:color w:val="auto"/>
          <w:sz w:val="24"/>
          <w:highlight w:val="none"/>
        </w:rPr>
        <w:t xml:space="preserve">。</w:t>
      </w:r>
      <w:r>
        <w:rPr>
          <w:rFonts w:hint="eastAsia" w:ascii="宋体" w:hAnsi="宋体" w:cs="宋体"/>
          <w:color w:val="auto"/>
          <w:sz w:val="24"/>
          <w:highlight w:val="none"/>
        </w:rPr>
        <w:t xml:space="preserve">自双方各自履行完成合同中约定的义务后，本合同自然失效。</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2.合同生效后，不论市场价格如何波动，任何一方都不得要求调整合同单价。</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3.合同生效后，</w:t>
      </w:r>
      <w:r>
        <w:rPr>
          <w:rFonts w:hint="eastAsia" w:ascii="宋体" w:hAnsi="宋体" w:cs="宋体"/>
          <w:color w:val="auto"/>
          <w:sz w:val="24"/>
          <w:highlight w:val="none"/>
          <w:lang w:val="en-US" w:eastAsia="zh-CN"/>
        </w:rPr>
        <w:t xml:space="preserve">如</w:t>
      </w:r>
      <w:r>
        <w:rPr>
          <w:rFonts w:hint="eastAsia" w:ascii="宋体" w:hAnsi="宋体" w:cs="宋体"/>
          <w:color w:val="auto"/>
          <w:sz w:val="24"/>
          <w:highlight w:val="none"/>
        </w:rPr>
        <w:t xml:space="preserve">需要变更或解除合同的，要求变更或解除合同的一方应及时书面通知对方，协商结果以协议或纪要的形式作为合同的附件。未经对方同意，由于擅自变更或解除合同给对方所造成的损失全部由责任方承担。</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4.知识产权</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（1）乙方保证其向甲方提供的服务及产品未侵犯任何第三方的专利权、著作权、商标权及其他合法权利。</w:t>
      </w:r>
      <w:r/>
    </w:p>
    <w:p>
      <w:pPr>
        <w:ind w:firstLine="480"/>
        <w:spacing w:line="440" w:lineRule="exact"/>
        <w:rPr>
          <w:rFonts w:hint="eastAsia" w:ascii="宋体" w:hAnsi="宋体" w:cs="宋体"/>
          <w:i/>
          <w:color w:val="auto"/>
          <w:sz w:val="24"/>
          <w:highlight w:val="none"/>
        </w:rPr>
      </w:pPr>
      <w:r>
        <w:rPr>
          <w:rFonts w:hint="eastAsia" w:ascii="宋体" w:hAnsi="宋体" w:cs="宋体"/>
          <w:color w:val="auto"/>
          <w:sz w:val="24"/>
          <w:highlight w:val="none"/>
        </w:rPr>
        <w:t xml:space="preserve">（2）甲方因按本合同约定合理使用产品或享有服务，而导致第三方指控甲方侵犯其专利权、著作权、商标权或其他合法权利的，由此产生的一切法律责任和费用由乙方承担，同时由乙方赔偿因此给甲方造成的损失。</w:t>
      </w:r>
      <w:r>
        <w:rPr>
          <w:rFonts w:hint="eastAsia" w:ascii="宋体" w:hAnsi="宋体" w:cs="宋体"/>
          <w:i/>
          <w:color w:val="auto"/>
          <w:sz w:val="24"/>
          <w:highlight w:val="none"/>
        </w:rPr>
        <w:t xml:space="preserve"> </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5.本项目的招标采购文件、投标/响应文件等文件作为本合同的附件，如与本合同有矛盾的，则以本合同为准；本合同未约定的，则按照招标采购文件要求和投标/响应文件等承诺执行。</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6.本合同中的未尽事宜，双方协商解决，并按《中华人民共和国民法典》调整。</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7.本合同一式</w:t>
      </w:r>
      <w:r>
        <w:rPr>
          <w:rFonts w:hint="eastAsia" w:ascii="宋体" w:hAnsi="宋体" w:cs="宋体"/>
          <w:color w:val="auto"/>
          <w:sz w:val="24"/>
          <w:highlight w:val="none"/>
          <w:u w:val="single"/>
        </w:rPr>
        <w:t xml:space="preserve">伍</w:t>
      </w:r>
      <w:r>
        <w:rPr>
          <w:rFonts w:hint="eastAsia" w:ascii="宋体" w:hAnsi="宋体" w:cs="宋体"/>
          <w:color w:val="auto"/>
          <w:sz w:val="24"/>
          <w:highlight w:val="none"/>
        </w:rPr>
        <w:t xml:space="preserve">份，甲方执</w:t>
      </w:r>
      <w:r>
        <w:rPr>
          <w:rFonts w:hint="eastAsia" w:ascii="宋体" w:hAnsi="宋体" w:cs="宋体"/>
          <w:color w:val="auto"/>
          <w:sz w:val="24"/>
          <w:highlight w:val="none"/>
          <w:u w:val="single"/>
          <w:lang w:val="en-US" w:eastAsia="zh-CN"/>
        </w:rPr>
        <w:t xml:space="preserve">叁</w:t>
      </w:r>
      <w:r>
        <w:rPr>
          <w:rFonts w:hint="eastAsia" w:ascii="宋体" w:hAnsi="宋体" w:cs="宋体"/>
          <w:color w:val="auto"/>
          <w:sz w:val="24"/>
          <w:highlight w:val="none"/>
        </w:rPr>
        <w:t xml:space="preserve">份，乙方执</w:t>
      </w:r>
      <w:r>
        <w:rPr>
          <w:rFonts w:hint="eastAsia" w:ascii="宋体" w:hAnsi="宋体" w:cs="宋体"/>
          <w:color w:val="auto"/>
          <w:sz w:val="24"/>
          <w:highlight w:val="none"/>
          <w:u w:val="single"/>
        </w:rPr>
        <w:t xml:space="preserve">壹</w:t>
      </w:r>
      <w:r>
        <w:rPr>
          <w:rFonts w:hint="eastAsia" w:ascii="宋体" w:hAnsi="宋体" w:cs="宋体"/>
          <w:color w:val="auto"/>
          <w:sz w:val="24"/>
          <w:highlight w:val="none"/>
        </w:rPr>
        <w:t xml:space="preserve">份</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代理机构执壹份</w:t>
      </w:r>
      <w:r>
        <w:rPr>
          <w:rFonts w:hint="eastAsia" w:ascii="宋体" w:hAnsi="宋体" w:cs="宋体"/>
          <w:color w:val="auto"/>
          <w:sz w:val="24"/>
          <w:highlight w:val="none"/>
        </w:rPr>
        <w:t xml:space="preserve">。具有同等法律效力。</w:t>
      </w:r>
      <w:r/>
    </w:p>
    <w:p>
      <w:pPr>
        <w:spacing w:line="288"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19"/>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甲方（盖章）：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乙方（盖章）：</w:t>
      </w:r>
      <w:r>
        <w:rPr>
          <w:rFonts w:hint="eastAsia" w:ascii="宋体" w:hAnsi="宋体" w:cs="宋体"/>
          <w:color w:val="auto"/>
          <w:sz w:val="24"/>
          <w:highlight w:val="none"/>
          <w:u w:val="single"/>
        </w:rPr>
        <w:t xml:space="preserve">                       </w:t>
      </w:r>
      <w:r/>
    </w:p>
    <w:p>
      <w:pPr>
        <w:ind w:right="-19"/>
        <w:spacing w:line="288" w:lineRule="auto"/>
        <w:rPr>
          <w:rFonts w:hint="eastAsia" w:ascii="宋体" w:hAnsi="宋体" w:cs="宋体"/>
          <w:color w:val="auto"/>
          <w:sz w:val="24"/>
          <w:highlight w:val="none"/>
        </w:rPr>
      </w:pPr>
      <w:r>
        <w:rPr>
          <w:rFonts w:hint="eastAsia" w:ascii="宋体" w:hAnsi="宋体" w:cs="宋体"/>
          <w:color w:val="auto"/>
          <w:sz w:val="24"/>
          <w:highlight w:val="none"/>
        </w:rPr>
        <w:t xml:space="preserve">法定（授权）代表人（签字）：         法定（授权）代表人（签字）：</w:t>
      </w:r>
      <w:r/>
    </w:p>
    <w:p>
      <w:pPr>
        <w:ind w:right="-19"/>
        <w:spacing w:line="288" w:lineRule="auto"/>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开 户 银 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 户 银 行：</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签 订 日 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   </w:t>
      </w:r>
      <w:r/>
    </w:p>
    <w:p>
      <w:pPr>
        <w:spacing w:line="360" w:lineRule="auto"/>
        <w:rPr>
          <w:rFonts w:hint="eastAsia" w:ascii="宋体" w:hAnsi="宋体" w:cs="宋体"/>
          <w:color w:val="auto"/>
          <w:sz w:val="24"/>
          <w:highlight w:val="none"/>
          <w:u w:val="single"/>
        </w:rPr>
      </w:pPr>
      <w:r>
        <w:rPr>
          <w:rFonts w:hint="eastAsia" w:ascii="宋体" w:hAnsi="宋体" w:cs="宋体"/>
          <w:color w:val="auto"/>
          <w:sz w:val="24"/>
          <w:highlight w:val="none"/>
        </w:rPr>
        <w:t xml:space="preserve">签 订 地 点：</w:t>
      </w:r>
      <w:r>
        <w:rPr>
          <w:rFonts w:hint="eastAsia" w:ascii="宋体" w:hAnsi="宋体" w:cs="宋体"/>
          <w:color w:val="auto"/>
          <w:sz w:val="24"/>
          <w:highlight w:val="none"/>
          <w:u w:val="single"/>
        </w:rPr>
        <w:t xml:space="preserve">江苏省常州市</w:t>
      </w:r>
      <w:r/>
    </w:p>
    <w:p>
      <w:pPr>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b/>
          <w:bCs/>
          <w:color w:val="auto"/>
          <w:sz w:val="24"/>
          <w:highlight w:val="none"/>
        </w:rPr>
        <w:t xml:space="preserve">见证方：</w:t>
      </w:r>
      <w:r>
        <w:rPr>
          <w:rFonts w:hint="eastAsia" w:ascii="宋体" w:hAnsi="宋体" w:cs="宋体"/>
          <w:color w:val="auto"/>
          <w:sz w:val="24"/>
          <w:highlight w:val="none"/>
        </w:rPr>
        <w:t xml:space="preserve">常州中宇建设工程管理有限公司</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联系电话：0519-85782055 </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联系人：                  </w:t>
      </w:r>
      <w:r/>
    </w:p>
    <w:p>
      <w:pPr>
        <w:pStyle w:val="820"/>
        <w:spacing w:line="360" w:lineRule="auto"/>
        <w:rPr>
          <w:rFonts w:hint="eastAsia" w:ascii="宋体" w:hAnsi="宋体" w:eastAsia="宋体" w:cs="宋体"/>
          <w:b/>
          <w:color w:val="auto"/>
          <w:sz w:val="36"/>
          <w:szCs w:val="36"/>
          <w:highlight w:val="none"/>
        </w:rPr>
        <w:outlineLvl w:val="9"/>
      </w:pPr>
      <w:r>
        <w:rPr>
          <w:rFonts w:hint="eastAsia" w:ascii="宋体" w:hAnsi="宋体" w:eastAsia="宋体" w:cs="宋体"/>
          <w:b/>
          <w:bCs/>
          <w:color w:val="auto"/>
          <w:sz w:val="24"/>
          <w:highlight w:val="none"/>
        </w:rPr>
        <w:t xml:space="preserve">注：上述格式及内容仅供参考，具体以甲方签订合同时内容为准。</w:t>
      </w:r>
      <w:bookmarkEnd w:id="559"/>
      <w:r/>
      <w:bookmarkEnd w:id="561"/>
      <w:r/>
      <w:bookmarkStart w:id="562" w:name="_Toc23397"/>
      <w:r>
        <w:rPr>
          <w:rFonts w:hint="eastAsia" w:ascii="宋体" w:hAnsi="宋体" w:eastAsia="宋体" w:cs="宋体"/>
          <w:b/>
          <w:color w:val="auto"/>
          <w:sz w:val="36"/>
          <w:szCs w:val="36"/>
          <w:highlight w:val="none"/>
        </w:rPr>
        <w:br w:type="page" w:clear="all"/>
      </w:r>
      <w:r/>
    </w:p>
    <w:p>
      <w:pPr>
        <w:numPr>
          <w:ilvl w:val="0"/>
          <w:numId w:val="0"/>
        </w:numPr>
        <w:jc w:val="center"/>
        <w:spacing w:line="360" w:lineRule="auto"/>
        <w:rPr>
          <w:rFonts w:hint="eastAsia" w:ascii="宋体" w:hAnsi="宋体" w:cs="宋体"/>
          <w:b/>
          <w:color w:val="auto"/>
          <w:sz w:val="36"/>
          <w:szCs w:val="36"/>
          <w:highlight w:val="none"/>
        </w:rPr>
        <w:outlineLvl w:val="0"/>
      </w:pPr>
      <w:r>
        <w:rPr>
          <w:rFonts w:hint="eastAsia" w:ascii="宋体" w:hAnsi="宋体" w:cs="宋体"/>
          <w:b/>
          <w:color w:val="auto"/>
          <w:sz w:val="36"/>
          <w:szCs w:val="36"/>
          <w:highlight w:val="none"/>
        </w:rPr>
        <w:t xml:space="preserve">第六章   响应文件格式</w:t>
      </w:r>
      <w:bookmarkEnd w:id="560"/>
      <w:r/>
      <w:bookmarkEnd w:id="562"/>
      <w:r/>
      <w:r/>
    </w:p>
    <w:p>
      <w:pPr>
        <w:jc w:val="left"/>
        <w:spacing w:line="360" w:lineRule="auto"/>
        <w:widowControl/>
        <w:rPr>
          <w:rFonts w:hint="eastAsia" w:ascii="宋体" w:hAnsi="宋体" w:cs="宋体"/>
          <w:b/>
          <w:color w:val="auto"/>
          <w:sz w:val="24"/>
          <w:highlight w:val="none"/>
        </w:rPr>
      </w:pPr>
      <w:r>
        <w:rPr>
          <w:rFonts w:hint="eastAsia" w:ascii="宋体" w:hAnsi="宋体" w:cs="宋体"/>
          <w:b/>
          <w:color w:val="auto"/>
          <w:sz w:val="24"/>
          <w:highlight w:val="none"/>
        </w:rPr>
      </w:r>
      <w:r/>
    </w:p>
    <w:p>
      <w:pPr>
        <w:spacing w:line="360" w:lineRule="auto"/>
        <w:tabs>
          <w:tab w:val="left" w:pos="900" w:leader="none"/>
          <w:tab w:val="left" w:pos="19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供应商编制文件须知</w:t>
      </w:r>
      <w:r/>
    </w:p>
    <w:p>
      <w:pPr>
        <w:ind w:left="142" w:firstLine="480"/>
        <w:spacing w:line="360" w:lineRule="auto"/>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1、供应商按照本部分的顺序编制响应文件，编制中涉及格式资料的，应按照本部分提供的内容和格式（所有表格的格式可扩展）填写提交。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对于竞争性磋商文件中标记了“实质性格式”文件的，供应商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b/>
          <w:color w:val="auto"/>
          <w:sz w:val="24"/>
          <w:highlight w:val="none"/>
        </w:rPr>
        <w:t xml:space="preserve">否则响应无效</w:t>
      </w:r>
      <w:r>
        <w:rPr>
          <w:rFonts w:hint="eastAsia" w:ascii="宋体" w:hAnsi="宋体" w:cs="宋体"/>
          <w:color w:val="auto"/>
          <w:sz w:val="24"/>
          <w:highlight w:val="none"/>
        </w:rPr>
        <w:t xml:space="preserve">。未标记“实质性格式”的文件和竞争性磋商文件未提供格式的内容，可由供应商自行编写。</w:t>
      </w:r>
      <w:r/>
    </w:p>
    <w:p>
      <w:pPr>
        <w:ind w:left="142" w:firstLine="480"/>
        <w:spacing w:line="360" w:lineRule="auto"/>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3、全部声明和问题的回答及所附材料必须是真实的、准确的和完整的。</w:t>
      </w:r>
      <w:r/>
    </w:p>
    <w:p>
      <w:pPr>
        <w:ind w:left="142" w:firstLine="480"/>
        <w:spacing w:line="360" w:lineRule="auto"/>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t xml:space="preserve">4、实行电子化不见面交易方式的，加盖公章、签名等均通过响应文件编制工具加盖电子公章、签字、签章或印鉴。</w:t>
      </w:r>
      <w:r/>
    </w:p>
    <w:p>
      <w:pPr>
        <w:ind w:left="142"/>
        <w:spacing w:line="360" w:lineRule="auto"/>
        <w:tabs>
          <w:tab w:val="left" w:pos="900" w:leader="none"/>
          <w:tab w:val="left" w:pos="19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pStyle w:val="852"/>
        <w:ind w:firstLine="480"/>
        <w:rPr>
          <w:rFonts w:hint="eastAsia" w:ascii="宋体" w:hAnsi="宋体" w:cs="宋体"/>
          <w:color w:val="auto"/>
          <w:highlight w:val="none"/>
        </w:rPr>
      </w:pPr>
      <w:r>
        <w:rPr>
          <w:rFonts w:hint="eastAsia" w:ascii="宋体" w:hAnsi="宋体" w:cs="宋体"/>
          <w:color w:val="auto"/>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b/>
          <w:color w:val="auto"/>
          <w:spacing w:val="20"/>
          <w:szCs w:val="21"/>
          <w:highlight w:val="none"/>
        </w:rPr>
      </w:pPr>
      <w:r>
        <w:rPr>
          <w:rFonts w:hint="eastAsia" w:ascii="宋体" w:hAnsi="宋体" w:cs="宋体"/>
          <w:b/>
          <w:color w:val="auto"/>
          <w:spacing w:val="20"/>
          <w:szCs w:val="21"/>
          <w:highlight w:val="none"/>
        </w:rPr>
      </w:r>
      <w:r/>
    </w:p>
    <w:p>
      <w:pPr>
        <w:rPr>
          <w:rFonts w:hint="eastAsia" w:ascii="宋体" w:hAnsi="宋体" w:cs="宋体"/>
          <w:b/>
          <w:color w:val="auto"/>
          <w:sz w:val="24"/>
          <w:highlight w:val="none"/>
        </w:rPr>
      </w:pPr>
      <w:r>
        <w:rPr>
          <w:rFonts w:hint="eastAsia" w:ascii="宋体" w:hAnsi="宋体" w:cs="宋体"/>
          <w:b/>
          <w:color w:val="auto"/>
          <w:spacing w:val="20"/>
          <w:sz w:val="24"/>
          <w:highlight w:val="none"/>
        </w:rPr>
        <w:br w:type="page" w:clear="all"/>
      </w:r>
      <w:r>
        <w:rPr>
          <w:rFonts w:hint="eastAsia" w:ascii="宋体" w:hAnsi="宋体" w:cs="宋体"/>
          <w:b/>
          <w:color w:val="auto"/>
          <w:spacing w:val="20"/>
          <w:sz w:val="24"/>
          <w:highlight w:val="none"/>
        </w:rPr>
        <w:t xml:space="preserve">响应文件</w:t>
      </w:r>
      <w:r>
        <w:rPr>
          <w:rFonts w:hint="eastAsia" w:ascii="宋体" w:hAnsi="宋体" w:cs="宋体"/>
          <w:b/>
          <w:color w:val="auto"/>
          <w:sz w:val="24"/>
          <w:highlight w:val="none"/>
        </w:rPr>
        <w:t xml:space="preserve">封面（非实质性格式）</w:t>
      </w:r>
      <w:r/>
    </w:p>
    <w:p>
      <w:pPr>
        <w:jc w:val="center"/>
        <w:rPr>
          <w:rFonts w:hint="eastAsia" w:ascii="宋体" w:hAnsi="宋体" w:cs="宋体"/>
          <w:color w:val="auto"/>
          <w:szCs w:val="21"/>
          <w:highlight w:val="none"/>
        </w:rPr>
      </w:pPr>
      <w:r>
        <w:rPr>
          <w:rFonts w:hint="eastAsia" w:ascii="宋体" w:hAnsi="宋体" w:cs="宋体"/>
          <w:color w:val="auto"/>
          <w:szCs w:val="21"/>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84"/>
          <w:szCs w:val="84"/>
          <w:highlight w:val="none"/>
        </w:rPr>
      </w:r>
      <w:r/>
    </w:p>
    <w:p>
      <w:pPr>
        <w:jc w:val="both"/>
        <w:rPr>
          <w:rFonts w:hint="eastAsia" w:ascii="宋体" w:hAnsi="宋体" w:cs="宋体"/>
          <w:b/>
          <w:color w:val="auto"/>
          <w:spacing w:val="60"/>
          <w:sz w:val="84"/>
          <w:szCs w:val="84"/>
          <w:highlight w:val="none"/>
        </w:rPr>
      </w:pPr>
      <w:r>
        <w:rPr>
          <w:rFonts w:hint="eastAsia" w:ascii="宋体" w:hAnsi="宋体" w:cs="宋体"/>
          <w:b/>
          <w:color w:val="auto"/>
          <w:spacing w:val="60"/>
          <w:sz w:val="84"/>
          <w:szCs w:val="84"/>
          <w:highlight w:val="none"/>
        </w:rPr>
      </w:r>
      <w:r/>
    </w:p>
    <w:p>
      <w:pPr>
        <w:jc w:val="center"/>
        <w:rPr>
          <w:rFonts w:hint="eastAsia" w:ascii="宋体" w:hAnsi="宋体" w:cs="宋体"/>
          <w:b/>
          <w:color w:val="auto"/>
          <w:spacing w:val="60"/>
          <w:sz w:val="84"/>
          <w:szCs w:val="84"/>
          <w:highlight w:val="none"/>
        </w:rPr>
      </w:pPr>
      <w:r>
        <w:rPr>
          <w:rFonts w:hint="eastAsia" w:ascii="宋体" w:hAnsi="宋体" w:cs="宋体"/>
          <w:b/>
          <w:color w:val="auto"/>
          <w:spacing w:val="60"/>
          <w:sz w:val="84"/>
          <w:szCs w:val="84"/>
          <w:highlight w:val="none"/>
        </w:rPr>
        <w:t xml:space="preserve">响 应 文 件</w:t>
      </w:r>
      <w:r/>
    </w:p>
    <w:p>
      <w:pPr>
        <w:jc w:val="center"/>
        <w:rPr>
          <w:rFonts w:hint="eastAsia" w:ascii="宋体" w:hAnsi="宋体" w:cs="宋体"/>
          <w:b/>
          <w:color w:val="auto"/>
          <w:spacing w:val="60"/>
          <w:sz w:val="52"/>
          <w:szCs w:val="52"/>
          <w:highlight w:val="none"/>
        </w:rPr>
      </w:pPr>
      <w:r>
        <w:rPr>
          <w:rFonts w:hint="eastAsia" w:ascii="宋体" w:hAnsi="宋体" w:cs="宋体"/>
          <w:b/>
          <w:color w:val="auto"/>
          <w:spacing w:val="60"/>
          <w:sz w:val="52"/>
          <w:szCs w:val="52"/>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pStyle w:val="1065"/>
        <w:rPr>
          <w:rFonts w:hint="eastAsia" w:hAnsi="宋体" w:cs="宋体"/>
          <w:b/>
          <w:color w:val="auto"/>
          <w:spacing w:val="20"/>
          <w:sz w:val="32"/>
          <w:szCs w:val="32"/>
          <w:highlight w:val="none"/>
        </w:rPr>
      </w:pPr>
      <w:r>
        <w:rPr>
          <w:rFonts w:hint="eastAsia" w:hAnsi="宋体" w:cs="宋体"/>
          <w:b/>
          <w:color w:val="auto"/>
          <w:spacing w:val="20"/>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ind w:firstLine="542"/>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1084"/>
        <w:rPr>
          <w:rFonts w:hint="eastAsia" w:ascii="宋体" w:hAnsi="宋体" w:cs="宋体"/>
          <w:b/>
          <w:color w:val="auto"/>
          <w:sz w:val="36"/>
          <w:highlight w:val="none"/>
        </w:rPr>
      </w:pPr>
      <w:r>
        <w:rPr>
          <w:rFonts w:hint="eastAsia" w:ascii="宋体" w:hAnsi="宋体" w:cs="宋体"/>
          <w:b/>
          <w:color w:val="auto"/>
          <w:sz w:val="36"/>
          <w:highlight w:val="none"/>
        </w:rPr>
        <w:t xml:space="preserve">项 目 名 称：</w:t>
      </w:r>
      <w:r/>
    </w:p>
    <w:p>
      <w:pPr>
        <w:ind w:firstLine="1084"/>
        <w:rPr>
          <w:rFonts w:hint="eastAsia" w:ascii="宋体" w:hAnsi="宋体" w:cs="宋体"/>
          <w:b/>
          <w:color w:val="auto"/>
          <w:sz w:val="36"/>
          <w:highlight w:val="none"/>
          <w:u w:val="single"/>
        </w:rPr>
      </w:pPr>
      <w:r>
        <w:rPr>
          <w:rFonts w:hint="eastAsia" w:ascii="宋体" w:hAnsi="宋体" w:cs="宋体"/>
          <w:b/>
          <w:color w:val="auto"/>
          <w:sz w:val="36"/>
          <w:highlight w:val="none"/>
        </w:rPr>
        <w:t xml:space="preserve">项 目 编 号：</w:t>
      </w:r>
      <w:r/>
    </w:p>
    <w:p>
      <w:pPr>
        <w:rPr>
          <w:rFonts w:hint="eastAsia" w:ascii="宋体" w:hAnsi="宋体" w:cs="宋体"/>
          <w:b/>
          <w:color w:val="auto"/>
          <w:sz w:val="36"/>
          <w:highlight w:val="none"/>
          <w:u w:val="single"/>
        </w:rPr>
      </w:pPr>
      <w:r>
        <w:rPr>
          <w:rFonts w:hint="eastAsia" w:ascii="宋体" w:hAnsi="宋体" w:cs="宋体"/>
          <w:b/>
          <w:color w:val="auto"/>
          <w:sz w:val="36"/>
          <w:highlight w:val="none"/>
        </w:rPr>
        <w:t xml:space="preserve">      供应商名称 ：</w:t>
      </w:r>
      <w:r/>
    </w:p>
    <w:p>
      <w:pPr>
        <w:rPr>
          <w:rFonts w:hint="eastAsia" w:ascii="宋体" w:hAnsi="宋体" w:cs="宋体"/>
          <w:b/>
          <w:color w:val="auto"/>
          <w:sz w:val="36"/>
          <w:highlight w:val="none"/>
        </w:rPr>
      </w:pPr>
      <w:r>
        <w:rPr>
          <w:rFonts w:hint="eastAsia" w:ascii="宋体" w:hAnsi="宋体" w:cs="宋体"/>
          <w:b/>
          <w:color w:val="auto"/>
          <w:sz w:val="36"/>
          <w:highlight w:val="none"/>
        </w:rPr>
        <w:t xml:space="preserve">      日      期 ：</w:t>
      </w:r>
      <w:r/>
    </w:p>
    <w:p>
      <w:pPr>
        <w:ind w:firstLine="1084"/>
        <w:rPr>
          <w:rFonts w:hint="eastAsia" w:ascii="宋体" w:hAnsi="宋体" w:cs="宋体"/>
          <w:b/>
          <w:color w:val="auto"/>
          <w:sz w:val="36"/>
          <w:highlight w:val="none"/>
        </w:rPr>
      </w:pPr>
      <w:r>
        <w:rPr>
          <w:rFonts w:hint="eastAsia" w:ascii="宋体" w:hAnsi="宋体" w:cs="宋体"/>
          <w:b/>
          <w:color w:val="auto"/>
          <w:spacing w:val="20"/>
          <w:sz w:val="32"/>
          <w:szCs w:val="32"/>
          <w:highlight w:val="none"/>
        </w:rPr>
        <w:t xml:space="preserve">授权委托人或法定代表人</w:t>
      </w:r>
      <w:r>
        <w:rPr>
          <w:rFonts w:hint="eastAsia" w:ascii="宋体" w:hAnsi="宋体" w:cs="宋体"/>
          <w:b/>
          <w:color w:val="auto"/>
          <w:sz w:val="36"/>
          <w:highlight w:val="none"/>
        </w:rPr>
        <w:t xml:space="preserve">：</w:t>
      </w:r>
      <w:r/>
    </w:p>
    <w:p>
      <w:pPr>
        <w:ind w:firstLine="1084"/>
        <w:spacing w:line="240" w:lineRule="auto"/>
        <w:rPr>
          <w:rFonts w:hint="eastAsia" w:ascii="宋体" w:hAnsi="宋体" w:cs="宋体"/>
          <w:b/>
          <w:color w:val="auto"/>
          <w:spacing w:val="20"/>
          <w:sz w:val="32"/>
          <w:szCs w:val="32"/>
          <w:highlight w:val="none"/>
        </w:rPr>
        <w:outlineLvl w:val="9"/>
      </w:pPr>
      <w:r>
        <w:rPr>
          <w:rFonts w:hint="eastAsia" w:ascii="宋体" w:hAnsi="宋体" w:cs="宋体"/>
          <w:b/>
          <w:color w:val="auto"/>
          <w:spacing w:val="20"/>
          <w:sz w:val="32"/>
          <w:szCs w:val="32"/>
          <w:highlight w:val="none"/>
        </w:rPr>
        <w:t xml:space="preserve">（签字或盖章）</w:t>
      </w:r>
      <w:r/>
    </w:p>
    <w:p>
      <w:pPr>
        <w:ind w:firstLine="1084"/>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1084"/>
        <w:spacing w:line="360" w:lineRule="auto"/>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firstLine="0"/>
        <w:jc w:val="center"/>
        <w:spacing w:line="240" w:lineRule="auto"/>
        <w:rPr>
          <w:rFonts w:hint="eastAsia" w:ascii="宋体" w:hAnsi="宋体" w:cs="宋体"/>
          <w:b/>
          <w:color w:val="auto"/>
          <w:spacing w:val="20"/>
          <w:sz w:val="32"/>
          <w:szCs w:val="32"/>
          <w:highlight w:val="none"/>
        </w:rPr>
        <w:outlineLvl w:val="9"/>
      </w:pPr>
      <w:r>
        <w:rPr>
          <w:rFonts w:hint="eastAsia" w:ascii="宋体" w:hAnsi="宋体" w:cs="宋体"/>
          <w:b/>
          <w:color w:val="auto"/>
          <w:spacing w:val="20"/>
          <w:sz w:val="32"/>
          <w:szCs w:val="32"/>
          <w:highlight w:val="none"/>
        </w:rPr>
        <w:t xml:space="preserve">开标时启封</w:t>
      </w:r>
      <w:r/>
    </w:p>
    <w:p>
      <w:pPr>
        <w:jc w:val="left"/>
        <w:spacing w:line="360" w:lineRule="auto"/>
        <w:rPr>
          <w:rFonts w:hint="eastAsia" w:ascii="宋体" w:hAnsi="宋体" w:cs="宋体"/>
          <w:color w:val="auto"/>
          <w:sz w:val="24"/>
          <w:highlight w:val="none"/>
        </w:rPr>
        <w:outlineLvl w:val="2"/>
      </w:pPr>
      <w:r>
        <w:rPr>
          <w:rFonts w:hint="eastAsia" w:ascii="宋体" w:hAnsi="宋体" w:cs="宋体"/>
          <w:b/>
          <w:color w:val="auto"/>
          <w:spacing w:val="20"/>
          <w:sz w:val="32"/>
          <w:szCs w:val="32"/>
          <w:highlight w:val="none"/>
        </w:rPr>
        <w:br w:type="page" w:clear="all"/>
      </w:r>
      <w:r>
        <w:rPr>
          <w:rFonts w:hint="eastAsia" w:ascii="宋体" w:hAnsi="宋体" w:cs="宋体"/>
          <w:color w:val="auto"/>
          <w:sz w:val="24"/>
          <w:szCs w:val="20"/>
          <w:highlight w:val="none"/>
        </w:rPr>
        <w:t xml:space="preserve">1 </w:t>
      </w:r>
      <w:r>
        <w:rPr>
          <w:rFonts w:hint="eastAsia" w:ascii="宋体" w:hAnsi="宋体" w:cs="宋体"/>
          <w:color w:val="auto"/>
          <w:sz w:val="24"/>
          <w:highlight w:val="none"/>
        </w:rPr>
        <w:t xml:space="preserve">满足《中华人民共和国政府采购法》第二十二条规定及法律法规的其他规定</w:t>
      </w:r>
      <w:r/>
    </w:p>
    <w:p>
      <w:pPr>
        <w:jc w:val="left"/>
        <w:spacing w:before="0" w:line="360" w:lineRule="auto"/>
        <w:widowControl/>
        <w:rPr>
          <w:rFonts w:hint="eastAsia" w:ascii="宋体" w:hAnsi="宋体" w:cs="宋体"/>
          <w:b/>
          <w:color w:val="auto"/>
          <w:sz w:val="28"/>
          <w:szCs w:val="28"/>
          <w:highlight w:val="none"/>
        </w:rPr>
        <w:outlineLvl w:val="3"/>
      </w:pPr>
      <w:r>
        <w:rPr>
          <w:rFonts w:hint="eastAsia" w:ascii="宋体" w:hAnsi="宋体" w:cs="宋体"/>
          <w:b/>
          <w:color w:val="auto"/>
          <w:sz w:val="24"/>
          <w:szCs w:val="32"/>
          <w:highlight w:val="none"/>
        </w:rPr>
        <w:t xml:space="preserve">1-1 供应商资格声明函（实质性格式）</w:t>
      </w:r>
      <w:r/>
    </w:p>
    <w:p>
      <w:pPr>
        <w:jc w:val="center"/>
        <w:spacing w:before="120" w:line="360" w:lineRule="auto"/>
        <w:widowControl/>
        <w:rPr>
          <w:rFonts w:hint="eastAsia" w:ascii="宋体" w:hAnsi="宋体" w:cs="宋体"/>
          <w:color w:val="auto"/>
          <w:highlight w:val="none"/>
        </w:rPr>
      </w:pPr>
      <w:r>
        <w:rPr>
          <w:rFonts w:hint="eastAsia" w:ascii="宋体" w:hAnsi="宋体" w:cs="宋体"/>
          <w:b/>
          <w:color w:val="auto"/>
          <w:sz w:val="28"/>
          <w:szCs w:val="28"/>
          <w:highlight w:val="none"/>
        </w:rPr>
        <w:t xml:space="preserve">供应商资格声明函</w:t>
      </w:r>
      <w:r/>
    </w:p>
    <w:p>
      <w:pPr>
        <w:pStyle w:val="1065"/>
        <w:ind w:firstLine="480"/>
        <w:spacing w:line="460" w:lineRule="exact"/>
        <w:rPr>
          <w:rFonts w:hint="eastAsia" w:hAnsi="宋体" w:cs="宋体"/>
          <w:color w:val="auto"/>
          <w:highlight w:val="none"/>
        </w:rPr>
      </w:pPr>
      <w:r>
        <w:rPr>
          <w:rFonts w:hint="eastAsia" w:hAnsi="宋体" w:cs="宋体"/>
          <w:color w:val="auto"/>
          <w:highlight w:val="none"/>
        </w:rPr>
        <w:t xml:space="preserve">致：常州中宇建设工程管理有限公司</w:t>
      </w:r>
      <w:r/>
    </w:p>
    <w:p>
      <w:pPr>
        <w:pStyle w:val="1065"/>
        <w:ind w:firstLine="960"/>
        <w:spacing w:line="460" w:lineRule="exact"/>
        <w:rPr>
          <w:rFonts w:hint="eastAsia" w:hAnsi="宋体" w:cs="宋体"/>
          <w:color w:val="auto"/>
          <w:highlight w:val="none"/>
          <w:u w:val="single"/>
        </w:rPr>
      </w:pPr>
      <w:r>
        <w:rPr>
          <w:rFonts w:hint="eastAsia" w:hAnsi="宋体" w:cs="宋体"/>
          <w:color w:val="auto"/>
          <w:highlight w:val="none"/>
          <w:u w:val="single"/>
        </w:rPr>
        <w:t xml:space="preserve">（</w:t>
      </w:r>
      <w:r>
        <w:rPr>
          <w:rFonts w:hint="eastAsia" w:hAnsi="宋体" w:cs="宋体"/>
          <w:color w:val="auto"/>
          <w:highlight w:val="none"/>
          <w:u w:val="single"/>
          <w:lang w:eastAsia="zh-CN"/>
        </w:rPr>
        <w:t xml:space="preserve">常州市金坛区财政局</w:t>
      </w:r>
      <w:r>
        <w:rPr>
          <w:rFonts w:hint="eastAsia" w:hAnsi="宋体" w:cs="宋体"/>
          <w:color w:val="auto"/>
          <w:highlight w:val="none"/>
          <w:u w:val="single"/>
        </w:rPr>
        <w:t xml:space="preserve">）</w:t>
      </w:r>
      <w:r/>
    </w:p>
    <w:p>
      <w:pPr>
        <w:pStyle w:val="1065"/>
        <w:ind w:firstLine="480"/>
        <w:spacing w:line="460" w:lineRule="exact"/>
        <w:rPr>
          <w:rFonts w:hint="eastAsia" w:hAnsi="宋体" w:cs="宋体"/>
          <w:color w:val="auto"/>
          <w:highlight w:val="none"/>
        </w:rPr>
      </w:pPr>
      <w:r>
        <w:rPr>
          <w:rFonts w:hint="eastAsia" w:hAnsi="宋体" w:cs="宋体"/>
          <w:color w:val="auto"/>
          <w:highlight w:val="none"/>
        </w:rPr>
      </w:r>
      <w:r/>
    </w:p>
    <w:p>
      <w:pPr>
        <w:pStyle w:val="1065"/>
        <w:ind w:firstLine="480"/>
        <w:spacing w:line="460" w:lineRule="exact"/>
        <w:rPr>
          <w:rFonts w:hint="eastAsia" w:hAnsi="宋体" w:cs="宋体"/>
          <w:color w:val="auto"/>
          <w:highlight w:val="none"/>
        </w:rPr>
      </w:pPr>
      <w:r>
        <w:rPr>
          <w:rFonts w:hint="eastAsia" w:hAnsi="宋体" w:cs="宋体"/>
          <w:color w:val="auto"/>
          <w:highlight w:val="none"/>
        </w:rPr>
        <w:t xml:space="preserve">按照《中华人民共和国政府采购法》第二十二条和磋商文件的规定，我单位郑重声明如下：</w:t>
      </w:r>
      <w:r/>
    </w:p>
    <w:p>
      <w:pPr>
        <w:pStyle w:val="1065"/>
        <w:ind w:firstLine="480"/>
        <w:spacing w:line="460" w:lineRule="exact"/>
        <w:rPr>
          <w:rFonts w:hint="eastAsia" w:hAnsi="宋体" w:cs="宋体"/>
          <w:color w:val="auto"/>
          <w:highlight w:val="none"/>
        </w:rPr>
      </w:pPr>
      <w:r>
        <w:rPr>
          <w:rFonts w:hint="eastAsia" w:hAnsi="宋体" w:cs="宋体"/>
          <w:color w:val="auto"/>
          <w:highlight w:val="none"/>
        </w:rPr>
        <w:t xml:space="preserve">一、</w:t>
      </w:r>
      <w:r>
        <w:rPr>
          <w:rFonts w:hint="eastAsia" w:hAnsi="宋体" w:cs="宋体"/>
          <w:color w:val="auto"/>
          <w:highlight w:val="none"/>
          <w:u w:val="single"/>
        </w:rPr>
        <w:t xml:space="preserve">我单位是按照中华人民共和国法律规定登记注册的，注册地点为</w:t>
      </w:r>
      <w:r>
        <w:rPr>
          <w:rFonts w:hint="eastAsia" w:hAnsi="宋体" w:cs="宋体"/>
          <w:color w:val="auto"/>
          <w:highlight w:val="none"/>
          <w:u w:val="single"/>
          <w:lang w:eastAsia="zh-CN"/>
        </w:rPr>
        <w:t xml:space="preserve">：</w:t>
      </w:r>
      <w:r>
        <w:rPr>
          <w:rFonts w:hint="eastAsia" w:hAnsi="宋体" w:cs="宋体"/>
          <w:color w:val="auto"/>
          <w:highlight w:val="none"/>
          <w:u w:val="single"/>
          <w:lang w:val="en-US" w:eastAsia="zh-CN"/>
        </w:rPr>
        <w:t xml:space="preserve">          </w:t>
      </w:r>
      <w:r>
        <w:rPr>
          <w:rFonts w:hint="eastAsia" w:hAnsi="宋体" w:cs="宋体"/>
          <w:color w:val="auto"/>
          <w:highlight w:val="none"/>
          <w:u w:val="single"/>
        </w:rPr>
        <w:t xml:space="preserve">，全称为</w:t>
      </w:r>
      <w:r>
        <w:rPr>
          <w:rFonts w:hint="eastAsia" w:hAnsi="宋体" w:cs="宋体"/>
          <w:color w:val="auto"/>
          <w:highlight w:val="none"/>
          <w:u w:val="single"/>
          <w:lang w:eastAsia="zh-CN"/>
        </w:rPr>
        <w:t xml:space="preserve">：</w:t>
      </w:r>
      <w:r>
        <w:rPr>
          <w:rFonts w:hint="eastAsia" w:hAnsi="宋体" w:cs="宋体"/>
          <w:color w:val="auto"/>
          <w:highlight w:val="none"/>
          <w:u w:val="single"/>
          <w:lang w:val="en-US" w:eastAsia="zh-CN"/>
        </w:rPr>
        <w:t xml:space="preserve">            </w:t>
      </w:r>
      <w:r>
        <w:rPr>
          <w:rFonts w:hint="eastAsia" w:hAnsi="宋体" w:cs="宋体"/>
          <w:color w:val="auto"/>
          <w:highlight w:val="none"/>
          <w:u w:val="single"/>
        </w:rPr>
        <w:t xml:space="preserve">，统一社会信用代码为</w:t>
      </w:r>
      <w:r>
        <w:rPr>
          <w:rFonts w:hint="eastAsia" w:hAnsi="宋体" w:cs="宋体"/>
          <w:color w:val="auto"/>
          <w:highlight w:val="none"/>
          <w:u w:val="single"/>
          <w:lang w:eastAsia="zh-CN"/>
        </w:rPr>
        <w:t xml:space="preserve">：</w:t>
      </w:r>
      <w:r>
        <w:rPr>
          <w:rFonts w:hint="eastAsia" w:hAnsi="宋体" w:cs="宋体"/>
          <w:color w:val="auto"/>
          <w:highlight w:val="none"/>
          <w:u w:val="single"/>
        </w:rPr>
        <w:t xml:space="preserve"> </w:t>
      </w:r>
      <w:r>
        <w:rPr>
          <w:rFonts w:hint="eastAsia" w:hAnsi="宋体" w:cs="宋体"/>
          <w:color w:val="auto"/>
          <w:highlight w:val="none"/>
          <w:u w:val="single"/>
          <w:lang w:val="en-US" w:eastAsia="zh-CN"/>
        </w:rPr>
        <w:t xml:space="preserve">              </w:t>
      </w:r>
      <w:r>
        <w:rPr>
          <w:rFonts w:hint="eastAsia" w:hAnsi="宋体" w:cs="宋体"/>
          <w:color w:val="auto"/>
          <w:highlight w:val="none"/>
          <w:u w:val="single"/>
        </w:rPr>
        <w:t xml:space="preserve">，法定代表人（单位负责人）为</w:t>
      </w:r>
      <w:r>
        <w:rPr>
          <w:rFonts w:hint="eastAsia" w:hAnsi="宋体" w:cs="宋体"/>
          <w:color w:val="auto"/>
          <w:highlight w:val="none"/>
          <w:u w:val="single"/>
          <w:lang w:eastAsia="zh-CN"/>
        </w:rPr>
        <w:t xml:space="preserve">：</w:t>
      </w:r>
      <w:r>
        <w:rPr>
          <w:rFonts w:hint="eastAsia" w:hAnsi="宋体" w:cs="宋体"/>
          <w:color w:val="auto"/>
          <w:highlight w:val="none"/>
          <w:u w:val="single"/>
          <w:lang w:val="en-US" w:eastAsia="zh-CN"/>
        </w:rPr>
        <w:t xml:space="preserve">         </w:t>
      </w:r>
      <w:r>
        <w:rPr>
          <w:rFonts w:hint="eastAsia" w:hAnsi="宋体" w:cs="宋体"/>
          <w:color w:val="auto"/>
          <w:highlight w:val="none"/>
          <w:u w:val="single"/>
        </w:rPr>
        <w:t xml:space="preserve">，具有独立承担民事责任的能力</w:t>
      </w:r>
      <w:r>
        <w:rPr>
          <w:rFonts w:hint="eastAsia" w:hAnsi="宋体" w:cs="宋体"/>
          <w:bCs/>
          <w:color w:val="auto"/>
          <w:highlight w:val="none"/>
        </w:rPr>
        <w:t xml:space="preserve">。</w:t>
      </w:r>
      <w:r/>
    </w:p>
    <w:p>
      <w:pPr>
        <w:pStyle w:val="1065"/>
        <w:ind w:firstLine="480"/>
        <w:spacing w:line="460" w:lineRule="exact"/>
        <w:rPr>
          <w:rFonts w:hint="eastAsia" w:hAnsi="宋体" w:cs="宋体"/>
          <w:color w:val="auto"/>
          <w:highlight w:val="none"/>
        </w:rPr>
      </w:pPr>
      <w:r>
        <w:rPr>
          <w:rFonts w:hint="eastAsia" w:hAnsi="宋体" w:cs="宋体"/>
          <w:color w:val="auto"/>
          <w:highlight w:val="none"/>
        </w:rPr>
        <w:t xml:space="preserve">二、我单位未被“国家企业信用信息系统”列入经营异常名录或者严重违法企业名单。</w:t>
      </w:r>
      <w:r/>
    </w:p>
    <w:p>
      <w:pPr>
        <w:pStyle w:val="1065"/>
        <w:ind w:firstLine="480"/>
        <w:spacing w:line="460" w:lineRule="exact"/>
        <w:rPr>
          <w:rFonts w:hint="eastAsia" w:hAnsi="宋体" w:cs="宋体"/>
          <w:color w:val="auto"/>
          <w:highlight w:val="none"/>
        </w:rPr>
      </w:pPr>
      <w:r>
        <w:rPr>
          <w:rFonts w:hint="eastAsia" w:hAnsi="宋体" w:cs="宋体"/>
          <w:color w:val="auto"/>
          <w:highlight w:val="none"/>
        </w:rPr>
        <w:t xml:space="preserve">三、我单位具有良好的商业信誉（指供应商经营状况良好，无本资格声明第十条情形）和健全的财务会计制度。</w:t>
      </w:r>
      <w:r/>
    </w:p>
    <w:p>
      <w:pPr>
        <w:pStyle w:val="1065"/>
        <w:ind w:firstLine="480"/>
        <w:spacing w:line="460" w:lineRule="exact"/>
        <w:rPr>
          <w:rFonts w:hint="eastAsia" w:hAnsi="宋体" w:cs="宋体"/>
          <w:color w:val="auto"/>
          <w:highlight w:val="none"/>
        </w:rPr>
      </w:pPr>
      <w:r>
        <w:rPr>
          <w:rFonts w:hint="eastAsia" w:hAnsi="宋体" w:cs="宋体"/>
          <w:color w:val="auto"/>
          <w:highlight w:val="none"/>
        </w:rPr>
        <w:t xml:space="preserve">四、我单位依法进行纳税和社会保险申报并实际履行了义务。</w:t>
      </w:r>
      <w:r/>
    </w:p>
    <w:p>
      <w:pPr>
        <w:pStyle w:val="1065"/>
        <w:ind w:firstLine="480"/>
        <w:spacing w:line="460" w:lineRule="exact"/>
        <w:rPr>
          <w:rFonts w:hint="eastAsia" w:hAnsi="宋体" w:cs="宋体"/>
          <w:color w:val="auto"/>
          <w:highlight w:val="none"/>
        </w:rPr>
      </w:pPr>
      <w:r>
        <w:rPr>
          <w:rFonts w:hint="eastAsia" w:hAnsi="宋体" w:cs="宋体"/>
          <w:color w:val="auto"/>
          <w:highlight w:val="none"/>
        </w:rPr>
        <w:t xml:space="preserve">五、我单位具有履行本项目采购合同所必需的设备和专业技术能力，并具有履行合同的良好记录。为履行本项采购合同我单位具备如下主要设备和主要专业技术能力:</w:t>
      </w:r>
      <w:r/>
    </w:p>
    <w:p>
      <w:pPr>
        <w:pStyle w:val="1043"/>
        <w:ind w:firstLine="480"/>
        <w:spacing w:line="460" w:lineRule="exact"/>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主要设备有：</w:t>
      </w:r>
      <w:r>
        <w:rPr>
          <w:rFonts w:hint="eastAsia" w:hAnsi="宋体" w:cs="宋体"/>
          <w:color w:val="000000" w:themeColor="text1"/>
          <w:highlight w:val="none"/>
          <w:u w:val="single"/>
          <w14:textFill>
            <w14:solidFill>
              <w14:schemeClr w14:val="tx1"/>
            </w14:solidFill>
          </w14:textFill>
        </w:rPr>
        <w:t xml:space="preserve">            </w:t>
      </w:r>
      <w:r/>
    </w:p>
    <w:p>
      <w:pPr>
        <w:pStyle w:val="1043"/>
        <w:ind w:firstLine="480"/>
        <w:spacing w:line="460" w:lineRule="exact"/>
        <w:rPr>
          <w:rFonts w:hint="eastAsia" w:hAnsi="宋体" w:cs="宋体"/>
          <w:color w:val="000000" w:themeColor="text1"/>
          <w:highlight w:val="none"/>
          <w14:textFill>
            <w14:solidFill>
              <w14:schemeClr w14:val="tx1"/>
            </w14:solidFill>
          </w14:textFill>
        </w:rPr>
      </w:pPr>
      <w:r>
        <w:rPr>
          <w:rFonts w:hint="eastAsia" w:hAnsi="宋体" w:cs="宋体"/>
          <w:color w:val="000000" w:themeColor="text1"/>
          <w:highlight w:val="none"/>
          <w14:textFill>
            <w14:solidFill>
              <w14:schemeClr w14:val="tx1"/>
            </w14:solidFill>
          </w14:textFill>
        </w:rPr>
        <w:t xml:space="preserve">主要专业技术能力有</w:t>
      </w:r>
      <w:r>
        <w:rPr>
          <w:rFonts w:hint="eastAsia" w:hAnsi="宋体" w:cs="宋体"/>
          <w:color w:val="000000" w:themeColor="text1"/>
          <w:highlight w:val="none"/>
          <w:lang w:eastAsia="zh-CN"/>
          <w14:textFill>
            <w14:solidFill>
              <w14:schemeClr w14:val="tx1"/>
            </w14:solidFill>
          </w14:textFill>
        </w:rPr>
        <w:t xml:space="preserve">：</w:t>
      </w:r>
      <w:r>
        <w:rPr>
          <w:rFonts w:hint="eastAsia" w:hAnsi="宋体" w:cs="宋体"/>
          <w:color w:val="000000" w:themeColor="text1"/>
          <w:highlight w:val="none"/>
          <w:u w:val="single"/>
          <w14:textFill>
            <w14:solidFill>
              <w14:schemeClr w14:val="tx1"/>
            </w14:solidFill>
          </w14:textFill>
        </w:rPr>
        <w:t xml:space="preserve">                 </w:t>
      </w:r>
      <w:r/>
    </w:p>
    <w:p>
      <w:pPr>
        <w:pStyle w:val="1065"/>
        <w:ind w:firstLine="480"/>
        <w:spacing w:line="460" w:lineRule="exact"/>
        <w:rPr>
          <w:rFonts w:hint="eastAsia" w:hAnsi="宋体" w:cs="宋体"/>
          <w:color w:val="auto"/>
          <w:highlight w:val="none"/>
        </w:rPr>
      </w:pPr>
      <w:r>
        <w:rPr>
          <w:rFonts w:hint="eastAsia" w:hAnsi="宋体" w:cs="宋体"/>
          <w:color w:val="auto"/>
          <w:highlight w:val="none"/>
        </w:rPr>
        <w:t xml:space="preserve">六、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65"/>
        <w:ind w:firstLine="480"/>
        <w:spacing w:line="360" w:lineRule="auto"/>
        <w:rPr>
          <w:rFonts w:hint="eastAsia" w:hAnsi="宋体" w:cs="宋体"/>
          <w:color w:val="auto"/>
          <w:highlight w:val="none"/>
        </w:rPr>
      </w:pPr>
      <w:r>
        <w:rPr>
          <w:rFonts w:hint="eastAsia" w:hAnsi="宋体" w:cs="宋体"/>
          <w:color w:val="auto"/>
          <w:highlight w:val="none"/>
        </w:rPr>
        <w:t xml:space="preserve">七、我单位具备法律、行政法规规定的其他条件。</w:t>
      </w:r>
      <w:r/>
    </w:p>
    <w:p>
      <w:pPr>
        <w:pStyle w:val="1065"/>
        <w:ind w:firstLine="480"/>
        <w:spacing w:line="360" w:lineRule="auto"/>
        <w:rPr>
          <w:rFonts w:hint="eastAsia" w:hAnsi="宋体" w:cs="宋体"/>
          <w:color w:val="auto"/>
          <w:highlight w:val="none"/>
        </w:rPr>
      </w:pPr>
      <w:r>
        <w:rPr>
          <w:rFonts w:hint="eastAsia" w:hAnsi="宋体" w:cs="宋体"/>
          <w:color w:val="auto"/>
          <w:highlight w:val="none"/>
        </w:rPr>
        <w:t xml:space="preserve">八、与我单位存在“单位负责人为同一人或者存在直接控股、管理关系”的其他单位信息如下（如无此情形的，填写“无”）：</w:t>
      </w:r>
      <w:r/>
    </w:p>
    <w:p>
      <w:pPr>
        <w:pStyle w:val="1065"/>
        <w:ind w:firstLine="480"/>
        <w:spacing w:line="360" w:lineRule="auto"/>
        <w:rPr>
          <w:rFonts w:hint="eastAsia" w:hAnsi="宋体" w:cs="宋体"/>
          <w:color w:val="auto"/>
          <w:highlight w:val="none"/>
        </w:rPr>
      </w:pPr>
      <w:r>
        <w:rPr>
          <w:rFonts w:hint="eastAsia" w:hAnsi="宋体" w:cs="宋体"/>
          <w:color w:val="auto"/>
          <w:highlight w:val="none"/>
        </w:rPr>
        <w:t xml:space="preserve">1、与我单位的法定代表人（单位负责人）为同一人的其他单位如下：</w:t>
      </w:r>
      <w:r/>
    </w:p>
    <w:p>
      <w:pPr>
        <w:pStyle w:val="1065"/>
        <w:ind w:firstLine="480"/>
        <w:spacing w:line="360" w:lineRule="auto"/>
        <w:rPr>
          <w:rFonts w:hint="eastAsia" w:hAnsi="宋体" w:cs="宋体"/>
          <w:color w:val="auto"/>
          <w:highlight w:val="none"/>
        </w:rPr>
      </w:pPr>
      <w:r>
        <w:rPr>
          <w:rFonts w:hint="eastAsia" w:hAnsi="宋体" w:cs="宋体"/>
          <w:color w:val="auto"/>
          <w:highlight w:val="none"/>
        </w:rPr>
        <w:t xml:space="preserve">2、我单位直接控股的其他单位如下：</w:t>
      </w:r>
      <w:r/>
    </w:p>
    <w:p>
      <w:pPr>
        <w:pStyle w:val="1065"/>
        <w:ind w:firstLine="480"/>
        <w:spacing w:line="360" w:lineRule="auto"/>
        <w:rPr>
          <w:rFonts w:hint="eastAsia" w:hAnsi="宋体" w:cs="宋体"/>
          <w:color w:val="auto"/>
          <w:highlight w:val="none"/>
        </w:rPr>
      </w:pPr>
      <w:r>
        <w:rPr>
          <w:rFonts w:hint="eastAsia" w:hAnsi="宋体" w:cs="宋体"/>
          <w:color w:val="auto"/>
          <w:highlight w:val="none"/>
        </w:rPr>
        <w:t xml:space="preserve">3、与我单位存在管理关系的其他单位如下：</w:t>
      </w:r>
      <w:r/>
    </w:p>
    <w:p>
      <w:pPr>
        <w:pStyle w:val="1065"/>
        <w:ind w:firstLine="480"/>
        <w:spacing w:line="360" w:lineRule="auto"/>
        <w:rPr>
          <w:rFonts w:hint="eastAsia" w:hAnsi="宋体" w:cs="宋体"/>
          <w:color w:val="auto"/>
          <w:highlight w:val="none"/>
        </w:rPr>
      </w:pPr>
      <w:r>
        <w:rPr>
          <w:rFonts w:hint="eastAsia" w:hAnsi="宋体" w:cs="宋体"/>
          <w:color w:val="auto"/>
          <w:highlight w:val="none"/>
        </w:rPr>
        <w:t xml:space="preserve">九、我单位不属于为本项目提供整体设计、规范编制或者项目管理、监理、检测等服务的供应商。</w:t>
      </w:r>
      <w:r/>
    </w:p>
    <w:p>
      <w:pPr>
        <w:ind w:firstLine="420"/>
        <w:jc w:val="left"/>
        <w:spacing w:line="360" w:lineRule="auto"/>
        <w:rPr>
          <w:rFonts w:hint="eastAsia" w:ascii="宋体" w:hAnsi="宋体" w:cs="宋体"/>
          <w:color w:val="auto"/>
          <w:sz w:val="24"/>
          <w:highlight w:val="none"/>
        </w:rPr>
      </w:pPr>
      <w:r>
        <w:rPr>
          <w:rFonts w:hint="eastAsia" w:ascii="宋体" w:hAnsi="宋体" w:cs="宋体"/>
          <w:color w:val="auto"/>
          <w:highlight w:val="none"/>
        </w:rPr>
        <w:t xml:space="preserve">十、</w:t>
      </w:r>
      <w:r>
        <w:rPr>
          <w:rFonts w:hint="eastAsia" w:ascii="宋体" w:hAnsi="宋体" w:cs="宋体"/>
          <w:color w:val="auto"/>
          <w:sz w:val="24"/>
          <w:highlight w:val="none"/>
        </w:rPr>
        <w:t xml:space="preserve">我单位不存在以下需要回避的情形：</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1、同一项目已接受磋商供应商、承包单位等委托的，不得再接受投资主体、建设单位或代建单位等相对利益关系人的委托；</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2、同一项目已接受工程量清单编制业务委托的，不得再接受审核业务的委托。</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3、其他存在法律法规及相关文件要求回避情形的。</w:t>
      </w:r>
      <w:r/>
    </w:p>
    <w:p>
      <w:pPr>
        <w:pStyle w:val="1065"/>
        <w:ind w:firstLine="480"/>
        <w:spacing w:line="360" w:lineRule="auto"/>
        <w:rPr>
          <w:rFonts w:hint="eastAsia" w:hAnsi="宋体" w:cs="宋体"/>
          <w:color w:val="auto"/>
          <w:highlight w:val="none"/>
        </w:rPr>
      </w:pPr>
      <w:r>
        <w:rPr>
          <w:rFonts w:hint="eastAsia" w:hAnsi="宋体" w:cs="宋体"/>
          <w:color w:val="auto"/>
          <w:highlight w:val="none"/>
        </w:rPr>
        <w:t xml:space="preserve">十一、我单位无以下不良信用记录情形：</w:t>
      </w:r>
      <w:r/>
    </w:p>
    <w:p>
      <w:pPr>
        <w:pStyle w:val="1065"/>
        <w:ind w:firstLine="480"/>
        <w:spacing w:line="360" w:lineRule="auto"/>
        <w:rPr>
          <w:rFonts w:hint="eastAsia" w:hAnsi="宋体" w:cs="宋体"/>
          <w:color w:val="auto"/>
          <w:highlight w:val="none"/>
        </w:rPr>
      </w:pPr>
      <w:r>
        <w:rPr>
          <w:rFonts w:hint="eastAsia" w:hAnsi="宋体" w:cs="宋体"/>
          <w:color w:val="auto"/>
          <w:highlight w:val="none"/>
        </w:rPr>
        <w:t xml:space="preserve">1、在“信用中国”网站被列入失信被执行人和重大税收违法</w:t>
      </w:r>
      <w:r>
        <w:rPr>
          <w:rFonts w:hint="eastAsia" w:hAnsi="宋体" w:cs="宋体"/>
          <w:color w:val="auto"/>
          <w:highlight w:val="none"/>
          <w:lang w:val="en-US" w:eastAsia="zh-CN"/>
        </w:rPr>
        <w:t xml:space="preserve">失信主体</w:t>
      </w:r>
      <w:r>
        <w:rPr>
          <w:rFonts w:hint="eastAsia" w:hAnsi="宋体" w:cs="宋体"/>
          <w:color w:val="auto"/>
          <w:highlight w:val="none"/>
        </w:rPr>
        <w:t xml:space="preserve">名单；</w:t>
      </w:r>
      <w:r/>
    </w:p>
    <w:p>
      <w:pPr>
        <w:pStyle w:val="1065"/>
        <w:ind w:firstLine="480"/>
        <w:spacing w:line="360" w:lineRule="auto"/>
        <w:rPr>
          <w:rFonts w:hint="eastAsia" w:hAnsi="宋体" w:cs="宋体"/>
          <w:color w:val="auto"/>
          <w:highlight w:val="none"/>
        </w:rPr>
      </w:pPr>
      <w:r>
        <w:rPr>
          <w:rFonts w:hint="eastAsia" w:hAnsi="宋体" w:cs="宋体"/>
          <w:color w:val="auto"/>
          <w:highlight w:val="none"/>
        </w:rPr>
        <w:t xml:space="preserve">2、在“中国政府采购网”网站被列入政府采购严重违法失信行为记录名单；</w:t>
      </w:r>
      <w:r/>
    </w:p>
    <w:p>
      <w:pPr>
        <w:pStyle w:val="1065"/>
        <w:ind w:firstLine="480"/>
        <w:spacing w:line="360" w:lineRule="auto"/>
        <w:rPr>
          <w:rFonts w:hint="eastAsia" w:hAnsi="宋体" w:cs="宋体"/>
          <w:color w:val="auto"/>
          <w:highlight w:val="none"/>
        </w:rPr>
      </w:pPr>
      <w:r>
        <w:rPr>
          <w:rFonts w:hint="eastAsia" w:hAnsi="宋体" w:cs="宋体"/>
          <w:color w:val="auto"/>
          <w:highlight w:val="none"/>
        </w:rPr>
        <w:t xml:space="preserve">3、不符合《政府采购法》第二十二条规定的条件。</w:t>
      </w:r>
      <w:r/>
    </w:p>
    <w:p>
      <w:pPr>
        <w:pStyle w:val="1065"/>
        <w:ind w:firstLine="480"/>
        <w:spacing w:line="460" w:lineRule="exact"/>
        <w:rPr>
          <w:rFonts w:hint="eastAsia" w:hAnsi="宋体" w:cs="宋体"/>
          <w:color w:val="auto"/>
          <w:highlight w:val="none"/>
        </w:rPr>
      </w:pPr>
      <w:r>
        <w:rPr>
          <w:rFonts w:hint="eastAsia" w:hAnsi="宋体" w:cs="宋体"/>
          <w:color w:val="auto"/>
          <w:highlight w:val="none"/>
        </w:rPr>
      </w:r>
      <w:r/>
    </w:p>
    <w:p>
      <w:pPr>
        <w:pStyle w:val="1065"/>
        <w:ind w:firstLine="480"/>
        <w:spacing w:line="460" w:lineRule="exact"/>
        <w:rPr>
          <w:rFonts w:hint="eastAsia" w:hAnsi="宋体" w:cs="宋体"/>
          <w:color w:val="auto"/>
          <w:highlight w:val="none"/>
        </w:rPr>
      </w:pPr>
      <w:r>
        <w:rPr>
          <w:rFonts w:hint="eastAsia" w:hAnsi="宋体" w:cs="宋体"/>
          <w:color w:val="auto"/>
          <w:highlight w:val="none"/>
        </w:rPr>
        <w:t xml:space="preserve">我单位保证上述声明的事项都是真实的，如有虚假，我单位愿意承担相应的法律责任，并承担因此所造成的一切损失。</w:t>
      </w:r>
      <w:r/>
    </w:p>
    <w:p>
      <w:pPr>
        <w:pStyle w:val="1065"/>
        <w:ind w:firstLine="480"/>
        <w:spacing w:line="460" w:lineRule="exact"/>
        <w:rPr>
          <w:rFonts w:hint="eastAsia" w:hAnsi="宋体" w:cs="宋体"/>
          <w:color w:val="auto"/>
          <w:highlight w:val="none"/>
        </w:rPr>
      </w:pPr>
      <w:r>
        <w:rPr>
          <w:rFonts w:hint="eastAsia" w:hAnsi="宋体" w:cs="宋体"/>
          <w:color w:val="auto"/>
          <w:highlight w:val="none"/>
        </w:rPr>
      </w:r>
      <w:r/>
    </w:p>
    <w:p>
      <w:pPr>
        <w:pStyle w:val="1065"/>
        <w:ind w:firstLine="480"/>
        <w:spacing w:line="460" w:lineRule="exact"/>
        <w:rPr>
          <w:rFonts w:hint="eastAsia" w:hAnsi="宋体" w:cs="宋体"/>
          <w:color w:val="auto"/>
          <w:highlight w:val="none"/>
        </w:rPr>
      </w:pPr>
      <w:r>
        <w:rPr>
          <w:rFonts w:hint="eastAsia" w:hAnsi="宋体" w:cs="宋体"/>
          <w:color w:val="auto"/>
          <w:highlight w:val="none"/>
        </w:rPr>
      </w:r>
      <w:r/>
    </w:p>
    <w:p>
      <w:pPr>
        <w:pStyle w:val="1065"/>
        <w:ind w:firstLine="480"/>
        <w:spacing w:line="460" w:lineRule="exact"/>
        <w:rPr>
          <w:rFonts w:hint="eastAsia" w:hAnsi="宋体" w:cs="宋体"/>
          <w:color w:val="auto"/>
          <w:highlight w:val="none"/>
        </w:rPr>
      </w:pPr>
      <w:r>
        <w:rPr>
          <w:rFonts w:hint="eastAsia" w:hAnsi="宋体" w:cs="宋体"/>
          <w:color w:val="auto"/>
          <w:highlight w:val="none"/>
        </w:rPr>
        <w:t xml:space="preserve">                                            供应商：（加盖公章）</w:t>
      </w:r>
      <w:r/>
    </w:p>
    <w:p>
      <w:pPr>
        <w:pStyle w:val="1065"/>
        <w:ind w:firstLine="480"/>
        <w:spacing w:line="460" w:lineRule="exact"/>
        <w:rPr>
          <w:rFonts w:hint="eastAsia" w:hAnsi="宋体" w:cs="宋体"/>
          <w:color w:val="auto"/>
          <w:highlight w:val="none"/>
        </w:rPr>
      </w:pPr>
      <w:r>
        <w:rPr>
          <w:rFonts w:hint="eastAsia" w:hAnsi="宋体" w:cs="宋体"/>
          <w:color w:val="auto"/>
          <w:highlight w:val="none"/>
        </w:rPr>
        <w:t xml:space="preserve">                                      法定代表人（或单位负责人）签字或盖章：</w:t>
      </w:r>
      <w:r/>
    </w:p>
    <w:p>
      <w:pPr>
        <w:pStyle w:val="1065"/>
        <w:ind w:firstLine="4920"/>
        <w:spacing w:line="460" w:lineRule="exact"/>
        <w:rPr>
          <w:rFonts w:hint="eastAsia" w:hAnsi="宋体" w:cs="宋体"/>
          <w:color w:val="auto"/>
          <w:highlight w:val="none"/>
        </w:rPr>
      </w:pPr>
      <w:r>
        <w:rPr>
          <w:rFonts w:hint="eastAsia" w:hAnsi="宋体" w:cs="宋体"/>
          <w:color w:val="auto"/>
          <w:highlight w:val="none"/>
        </w:rPr>
        <w:t xml:space="preserve">日期：    年    月    日</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说明：</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供应商承诺不实的，依据《政府采购法》第七十七条“提供虚假材料谋取中标、成交的”有关规定予以处理。</w:t>
      </w:r>
      <w:r/>
    </w:p>
    <w:p>
      <w:pPr>
        <w:ind w:firstLine="720"/>
        <w:jc w:val="left"/>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lang w:val="en-US" w:eastAsia="zh-CN"/>
        </w:rPr>
        <w:t xml:space="preserve">2</w:t>
      </w:r>
      <w:r>
        <w:rPr>
          <w:rFonts w:hint="eastAsia" w:ascii="宋体" w:hAnsi="宋体" w:cs="宋体"/>
          <w:color w:val="auto"/>
          <w:sz w:val="24"/>
          <w:szCs w:val="20"/>
          <w:highlight w:val="none"/>
        </w:rPr>
        <w:t xml:space="preserve">.若供应商为事业单位或其他组织或分支机构（仅当磋商文件注明允许分支机构响应的），则法定代表人（单位负责人）处的签署人可为单位负责人。</w:t>
      </w:r>
      <w:r/>
    </w:p>
    <w:p>
      <w:pPr>
        <w:spacing w:line="360" w:lineRule="auto"/>
        <w:tabs>
          <w:tab w:val="left" w:pos="5580" w:leader="none"/>
        </w:tabs>
        <w:rPr>
          <w:rFonts w:hint="eastAsia" w:ascii="宋体" w:hAnsi="宋体" w:eastAsia="宋体" w:cs="宋体"/>
          <w:color w:val="auto"/>
          <w:sz w:val="24"/>
          <w:highlight w:val="none"/>
        </w:rPr>
        <w:sectPr>
          <w:footnotePr/>
          <w:endnotePr/>
          <w:type w:val="nextPage"/>
          <w:pgSz w:w="11907" w:h="16840" w:orient="portrait"/>
          <w:pgMar w:top="1418" w:right="1134" w:bottom="1418" w:left="1134" w:header="851" w:footer="851" w:gutter="0"/>
          <w:cols w:num="1" w:sep="0" w:space="1701" w:equalWidth="1"/>
          <w:docGrid w:linePitch="360"/>
        </w:sectPr>
      </w:pPr>
      <w:r>
        <w:rPr>
          <w:rFonts w:hint="eastAsia" w:ascii="宋体" w:hAnsi="宋体" w:eastAsia="宋体" w:cs="宋体"/>
          <w:color w:val="auto"/>
          <w:sz w:val="24"/>
          <w:highlight w:val="none"/>
        </w:rPr>
      </w:r>
      <w:r/>
    </w:p>
    <w:p>
      <w:pPr>
        <w:jc w:val="left"/>
        <w:spacing w:line="360" w:lineRule="auto"/>
        <w:rPr>
          <w:rFonts w:hint="eastAsia" w:ascii="宋体" w:hAnsi="宋体" w:eastAsia="宋体" w:cs="宋体"/>
          <w:b w:val="0"/>
          <w:bCs w:val="0"/>
          <w:color w:val="auto"/>
          <w:sz w:val="24"/>
          <w:highlight w:val="none"/>
          <w:u w:val="none"/>
          <w:lang w:eastAsia="zh-CN"/>
        </w:rPr>
        <w:outlineLvl w:val="3"/>
      </w:pPr>
      <w:r>
        <w:rPr>
          <w:rFonts w:hint="eastAsia" w:ascii="宋体" w:hAnsi="宋体" w:cs="宋体"/>
          <w:b w:val="0"/>
          <w:bCs w:val="0"/>
          <w:color w:val="auto"/>
          <w:sz w:val="24"/>
          <w:highlight w:val="none"/>
          <w:u w:val="none"/>
        </w:rPr>
        <w:t xml:space="preserve">1-2提供有效的营业执照副本复印件(三证合一</w:t>
      </w:r>
      <w:r>
        <w:rPr>
          <w:rFonts w:hint="eastAsia" w:ascii="宋体" w:hAnsi="宋体" w:cs="宋体"/>
          <w:b w:val="0"/>
          <w:bCs w:val="0"/>
          <w:color w:val="auto"/>
          <w:sz w:val="24"/>
          <w:highlight w:val="none"/>
          <w:u w:val="none"/>
          <w:lang w:eastAsia="zh-CN"/>
        </w:rPr>
        <w:t xml:space="preserve">）</w:t>
      </w:r>
      <w:r/>
    </w:p>
    <w:p>
      <w:pPr>
        <w:spacing w:line="24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ind w:left="0" w:firstLine="0"/>
        <w:jc w:val="left"/>
        <w:keepLines w:val="0"/>
        <w:keepNext w:val="0"/>
        <w:pageBreakBefore w:val="0"/>
        <w:spacing w:line="360" w:lineRule="auto"/>
        <w:widowControl/>
        <w:rPr>
          <w:rFonts w:hint="eastAsia" w:ascii="宋体" w:hAnsi="宋体" w:eastAsia="宋体" w:cs="宋体"/>
          <w:color w:val="auto"/>
          <w:sz w:val="24"/>
          <w:highlight w:val="none"/>
        </w:rPr>
        <w:outlineLvl w:val="2"/>
      </w:pPr>
      <w:r>
        <w:rPr>
          <w:rFonts w:hint="eastAsia" w:ascii="宋体" w:hAnsi="宋体" w:eastAsia="宋体" w:cs="宋体"/>
          <w:color w:val="auto"/>
          <w:sz w:val="24"/>
          <w:szCs w:val="20"/>
          <w:highlight w:val="none"/>
        </w:rPr>
        <w:t xml:space="preserve">2 落实政府采购政策需满足的资格要求</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highlight w:val="none"/>
        </w:rPr>
        <w:t xml:space="preserve">具体要求见第一章《采购邀请》</w:t>
      </w:r>
      <w:r/>
    </w:p>
    <w:p>
      <w:pPr>
        <w:spacing w:line="360" w:lineRule="auto"/>
        <w:rPr>
          <w:rFonts w:hint="eastAsia" w:ascii="宋体" w:hAnsi="宋体" w:cs="宋体"/>
          <w:color w:val="auto"/>
          <w:sz w:val="24"/>
          <w:szCs w:val="20"/>
          <w:highlight w:val="none"/>
        </w:rPr>
        <w:outlineLvl w:val="3"/>
      </w:pPr>
      <w:r>
        <w:rPr>
          <w:rFonts w:hint="eastAsia" w:ascii="宋体" w:hAnsi="宋体" w:cs="宋体"/>
          <w:color w:val="auto"/>
          <w:sz w:val="24"/>
          <w:szCs w:val="20"/>
          <w:highlight w:val="none"/>
          <w:lang w:val="en-US" w:eastAsia="zh-CN"/>
        </w:rPr>
        <w:t xml:space="preserve">2-1</w:t>
      </w:r>
      <w:r>
        <w:rPr>
          <w:rFonts w:hint="eastAsia" w:ascii="宋体" w:hAnsi="宋体" w:cs="宋体"/>
          <w:color w:val="auto"/>
          <w:sz w:val="24"/>
          <w:szCs w:val="20"/>
          <w:highlight w:val="none"/>
        </w:rPr>
        <w:t xml:space="preserve"> </w:t>
      </w:r>
      <w:r>
        <w:rPr>
          <w:rFonts w:hint="eastAsia" w:ascii="宋体" w:hAnsi="宋体" w:cs="宋体"/>
          <w:color w:val="auto"/>
          <w:sz w:val="24"/>
          <w:highlight w:val="none"/>
        </w:rPr>
        <w:t xml:space="preserve">中小企业声明函</w:t>
      </w:r>
      <w:r>
        <w:rPr>
          <w:rFonts w:hint="eastAsia" w:ascii="宋体" w:hAnsi="宋体" w:cs="宋体"/>
          <w:color w:val="auto"/>
          <w:sz w:val="24"/>
          <w:szCs w:val="20"/>
          <w:highlight w:val="none"/>
        </w:rPr>
        <w:t xml:space="preserve">：</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说明：</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（1）如本项目（包）不专门面向中小企业预留采购份额，资格证明文件部分无需提供《中小企业声明函》。</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（2）如本项目（包）专门面向中小/小微企业采购，须提供《中小企业声明函》</w:t>
      </w:r>
      <w:r>
        <w:rPr>
          <w:rFonts w:hint="eastAsia" w:ascii="宋体" w:hAnsi="宋体" w:cs="宋体"/>
          <w:color w:val="auto"/>
          <w:sz w:val="24"/>
          <w:szCs w:val="20"/>
          <w:highlight w:val="none"/>
        </w:rPr>
        <w:t xml:space="preserve">（实质性格式）</w:t>
      </w:r>
      <w:r>
        <w:rPr>
          <w:rFonts w:hint="eastAsia" w:ascii="宋体" w:hAnsi="宋体" w:cs="宋体"/>
          <w:color w:val="auto"/>
          <w:sz w:val="24"/>
          <w:highlight w:val="none"/>
        </w:rPr>
        <w:t xml:space="preserve">。</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（4）其他</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240" w:after="240" w:line="360" w:lineRule="auto"/>
        <w:rPr>
          <w:rFonts w:hint="eastAsia" w:ascii="宋体" w:hAnsi="宋体" w:cs="宋体"/>
          <w:b/>
          <w:bCs/>
          <w:color w:val="auto"/>
          <w:sz w:val="36"/>
          <w:szCs w:val="36"/>
          <w:highlight w:val="none"/>
        </w:rPr>
      </w:pPr>
      <w:r>
        <w:rPr>
          <w:rFonts w:hint="eastAsia" w:ascii="宋体" w:hAnsi="宋体" w:cs="宋体"/>
          <w:color w:val="auto"/>
          <w:sz w:val="24"/>
          <w:highlight w:val="none"/>
        </w:rPr>
        <w:br w:type="page" w:clear="all"/>
      </w:r>
      <w:r>
        <w:rPr>
          <w:rFonts w:hint="eastAsia" w:ascii="宋体" w:hAnsi="宋体" w:cs="宋体"/>
          <w:b/>
          <w:bCs/>
          <w:color w:val="auto"/>
          <w:sz w:val="36"/>
          <w:szCs w:val="36"/>
          <w:highlight w:val="none"/>
        </w:rPr>
        <w:t xml:space="preserve">中小企业声明函（服务）格式</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本公司（联合体）郑重声明，根据《政府采购促进中小企业发展管理办法》（财库﹝2020﹞46 号）的规定，本公司（联合体）参加（单位名称）的（项目名称）采购活动，服务全部由符合政策要求的中小企业承接。相关企业（含联合体中的中小企业、签订分包意向协议的中小企业）的具体情况如下：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1.</w:t>
      </w: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行业；承接企业为</w:t>
      </w:r>
      <w:r>
        <w:rPr>
          <w:rFonts w:hint="eastAsia" w:ascii="宋体" w:hAnsi="宋体" w:cs="宋体"/>
          <w:color w:val="auto"/>
          <w:spacing w:val="6"/>
          <w:sz w:val="24"/>
          <w:highlight w:val="none"/>
          <w:u w:val="single"/>
        </w:rPr>
        <w:t xml:space="preserve">（企业名称）</w:t>
      </w:r>
      <w:r>
        <w:rPr>
          <w:rFonts w:hint="eastAsia" w:ascii="宋体" w:hAnsi="宋体" w:cs="宋体"/>
          <w:color w:val="auto"/>
          <w:spacing w:val="6"/>
          <w:sz w:val="24"/>
          <w:highlight w:val="none"/>
        </w:rPr>
        <w:t xml:space="preserve">，从业人员______人，营业收入为______万元，资产总额为______万元</w:t>
      </w:r>
      <w:r>
        <w:rPr>
          <w:rFonts w:hint="eastAsia" w:ascii="宋体" w:hAnsi="宋体" w:cs="宋体"/>
          <w:color w:val="auto"/>
          <w:spacing w:val="6"/>
          <w:sz w:val="24"/>
          <w:highlight w:val="none"/>
          <w:vertAlign w:val="superscript"/>
        </w:rPr>
        <w:t xml:space="preserve">1</w:t>
      </w:r>
      <w:r>
        <w:rPr>
          <w:rFonts w:hint="eastAsia" w:ascii="宋体" w:hAnsi="宋体" w:cs="宋体"/>
          <w:color w:val="auto"/>
          <w:spacing w:val="6"/>
          <w:sz w:val="24"/>
          <w:highlight w:val="none"/>
        </w:rPr>
        <w:t xml:space="preserve">，属于（中型企业、小型企业、微型企业）；</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2.</w:t>
      </w:r>
      <w:r>
        <w:rPr>
          <w:rFonts w:hint="eastAsia" w:ascii="宋体" w:hAnsi="宋体" w:cs="宋体"/>
          <w:color w:val="auto"/>
          <w:spacing w:val="6"/>
          <w:sz w:val="24"/>
          <w:highlight w:val="none"/>
          <w:u w:val="single"/>
        </w:rPr>
        <w:t xml:space="preserve">（标的名称）</w:t>
      </w:r>
      <w:r>
        <w:rPr>
          <w:rFonts w:hint="eastAsia" w:ascii="宋体" w:hAnsi="宋体" w:cs="宋体"/>
          <w:color w:val="auto"/>
          <w:spacing w:val="6"/>
          <w:sz w:val="24"/>
          <w:highlight w:val="none"/>
        </w:rPr>
        <w:t xml:space="preserve">，属于</w:t>
      </w:r>
      <w:r>
        <w:rPr>
          <w:rFonts w:hint="eastAsia" w:ascii="宋体" w:hAnsi="宋体" w:cs="宋体"/>
          <w:color w:val="auto"/>
          <w:spacing w:val="6"/>
          <w:sz w:val="24"/>
          <w:highlight w:val="none"/>
          <w:u w:val="single"/>
        </w:rPr>
        <w:t xml:space="preserve">（采购文件中明确的所属行业）</w:t>
      </w:r>
      <w:r>
        <w:rPr>
          <w:rFonts w:hint="eastAsia" w:ascii="宋体" w:hAnsi="宋体" w:cs="宋体"/>
          <w:color w:val="auto"/>
          <w:spacing w:val="6"/>
          <w:sz w:val="24"/>
          <w:highlight w:val="none"/>
        </w:rPr>
        <w:t xml:space="preserve">行业；承接企业为</w:t>
      </w:r>
      <w:r>
        <w:rPr>
          <w:rFonts w:hint="eastAsia" w:ascii="宋体" w:hAnsi="宋体" w:cs="宋体"/>
          <w:color w:val="auto"/>
          <w:spacing w:val="6"/>
          <w:sz w:val="24"/>
          <w:highlight w:val="none"/>
          <w:u w:val="single"/>
        </w:rPr>
        <w:t xml:space="preserve">（企业名称）</w:t>
      </w:r>
      <w:r>
        <w:rPr>
          <w:rFonts w:hint="eastAsia" w:ascii="宋体" w:hAnsi="宋体" w:cs="宋体"/>
          <w:color w:val="auto"/>
          <w:spacing w:val="6"/>
          <w:sz w:val="24"/>
          <w:highlight w:val="none"/>
        </w:rPr>
        <w:t xml:space="preserve">，从业人员______人，营业收入为______万元，资产总额为______万元，属于</w:t>
      </w:r>
      <w:r>
        <w:rPr>
          <w:rFonts w:hint="eastAsia" w:ascii="宋体" w:hAnsi="宋体" w:cs="宋体"/>
          <w:color w:val="auto"/>
          <w:spacing w:val="6"/>
          <w:sz w:val="24"/>
          <w:highlight w:val="none"/>
          <w:u w:val="single"/>
        </w:rPr>
        <w:t xml:space="preserve">（中型企业、小型企业、微型企业）</w:t>
      </w:r>
      <w:r>
        <w:rPr>
          <w:rFonts w:hint="eastAsia" w:ascii="宋体" w:hAnsi="宋体" w:cs="宋体"/>
          <w:color w:val="auto"/>
          <w:spacing w:val="6"/>
          <w:sz w:val="24"/>
          <w:highlight w:val="none"/>
        </w:rPr>
        <w:t xml:space="preserve">；</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本企业对上述声明内容的真实性负责。如有虚假，将依法承担相应责任。</w:t>
      </w:r>
      <w:r/>
    </w:p>
    <w:p>
      <w:pPr>
        <w:ind w:right="360"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360"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企业名称（加盖公章）：________</w:t>
      </w:r>
      <w:r/>
    </w:p>
    <w:p>
      <w:pPr>
        <w:ind w:right="360"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 期：________</w:t>
      </w:r>
      <w:r/>
    </w:p>
    <w:p>
      <w:pPr>
        <w:jc w:val="left"/>
        <w:rPr>
          <w:rFonts w:hint="eastAsia" w:ascii="宋体" w:hAnsi="宋体" w:cs="宋体"/>
          <w:color w:val="auto"/>
          <w:sz w:val="24"/>
          <w:szCs w:val="21"/>
          <w:highlight w:val="none"/>
        </w:rPr>
      </w:pPr>
      <w:r>
        <w:rPr>
          <w:rFonts w:hint="eastAsia" w:ascii="宋体" w:hAnsi="宋体" w:cs="宋体"/>
          <w:color w:val="auto"/>
          <w:sz w:val="24"/>
          <w:szCs w:val="21"/>
          <w:highlight w:val="none"/>
        </w:rPr>
      </w:r>
      <w:r/>
    </w:p>
    <w:p>
      <w:pPr>
        <w:jc w:val="left"/>
        <w:rPr>
          <w:rFonts w:hint="eastAsia" w:ascii="宋体" w:hAnsi="宋体" w:cs="宋体"/>
          <w:color w:val="auto"/>
          <w:sz w:val="24"/>
          <w:szCs w:val="21"/>
          <w:highlight w:val="none"/>
        </w:rPr>
      </w:pPr>
      <w:r>
        <w:rPr>
          <w:rFonts w:hint="eastAsia" w:ascii="宋体" w:hAnsi="宋体" w:cs="宋体"/>
          <w:color w:val="auto"/>
          <w:sz w:val="24"/>
          <w:szCs w:val="21"/>
          <w:highlight w:val="none"/>
        </w:rPr>
      </w:r>
      <w:r/>
    </w:p>
    <w:tbl>
      <w:tblPr>
        <w:tblStyle w:val="809"/>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946"/>
      </w:tblGrid>
      <w:tr>
        <w:trPr/>
        <w:tc>
          <w:tcPr>
            <w:tcW w:w="8946" w:type="dxa"/>
            <w:vAlign w:val="top"/>
            <w:textDirection w:val="lrTb"/>
            <w:noWrap w:val="false"/>
          </w:tcPr>
          <w:p>
            <w:pPr>
              <w:jc w:val="left"/>
              <w:rPr>
                <w:rFonts w:hint="eastAsia" w:ascii="宋体" w:hAnsi="宋体" w:cs="宋体"/>
                <w:color w:val="auto"/>
                <w:szCs w:val="21"/>
                <w:highlight w:val="none"/>
              </w:rPr>
            </w:pPr>
            <w:r>
              <w:rPr>
                <w:rFonts w:hint="eastAsia" w:ascii="宋体" w:hAnsi="宋体" w:cs="宋体"/>
                <w:color w:val="auto"/>
                <w:szCs w:val="21"/>
                <w:highlight w:val="none"/>
                <w:vertAlign w:val="superscript"/>
              </w:rPr>
              <w:t xml:space="preserve">1</w:t>
            </w:r>
            <w:r>
              <w:rPr>
                <w:rFonts w:hint="eastAsia" w:ascii="宋体" w:hAnsi="宋体" w:cs="宋体"/>
                <w:color w:val="auto"/>
                <w:szCs w:val="21"/>
                <w:highlight w:val="none"/>
              </w:rPr>
              <w:t xml:space="preserve">从业人员、营业收入、资产总额填报上一年度数据，无上一年度数据的新成立企业可不填报。</w:t>
            </w:r>
            <w:r/>
          </w:p>
        </w:tc>
      </w:tr>
    </w:tbl>
    <w:p>
      <w:pPr>
        <w:jc w:val="left"/>
        <w:rPr>
          <w:rFonts w:hint="eastAsia" w:ascii="宋体" w:hAnsi="宋体" w:cs="宋体"/>
          <w:color w:val="auto"/>
          <w:szCs w:val="21"/>
          <w:highlight w:val="none"/>
          <w:vertAlign w:val="superscript"/>
        </w:rPr>
      </w:pPr>
      <w:r>
        <w:rPr>
          <w:rFonts w:hint="eastAsia" w:ascii="宋体" w:hAnsi="宋体" w:cs="宋体"/>
          <w:color w:val="auto"/>
          <w:szCs w:val="21"/>
          <w:highlight w:val="none"/>
          <w:vertAlign w:val="superscript"/>
        </w:rPr>
      </w:r>
      <w:r/>
    </w:p>
    <w:p>
      <w:pPr>
        <w:ind w:right="360"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ind w:right="360" w:firstLine="480"/>
        <w:jc w:val="righ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jc w:val="center"/>
        <w:spacing w:before="240" w:after="240" w:line="360" w:lineRule="auto"/>
        <w:rPr>
          <w:rFonts w:hint="eastAsia" w:ascii="宋体" w:hAnsi="宋体" w:eastAsia="宋体" w:cs="宋体"/>
          <w:b/>
          <w:bCs/>
          <w:color w:val="auto"/>
          <w:sz w:val="36"/>
          <w:szCs w:val="36"/>
          <w:highlight w:val="none"/>
        </w:rPr>
      </w:pPr>
      <w:r>
        <w:rPr>
          <w:rFonts w:hint="eastAsia" w:ascii="宋体" w:hAnsi="宋体" w:cs="宋体"/>
          <w:color w:val="auto"/>
          <w:sz w:val="24"/>
          <w:szCs w:val="20"/>
          <w:highlight w:val="none"/>
        </w:rPr>
        <w:br w:type="page" w:clear="all"/>
      </w:r>
      <w:r>
        <w:rPr>
          <w:rFonts w:hint="eastAsia" w:ascii="宋体" w:hAnsi="宋体" w:eastAsia="宋体" w:cs="宋体"/>
          <w:b/>
          <w:bCs/>
          <w:color w:val="auto"/>
          <w:sz w:val="36"/>
          <w:szCs w:val="36"/>
          <w:highlight w:val="none"/>
        </w:rPr>
        <w:t xml:space="preserve">残疾人福利性单位声明函格式</w:t>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auto"/>
          <w:sz w:val="24"/>
          <w:highlight w:val="none"/>
        </w:rPr>
        <w:t xml:space="preserve">〔2017〕 141</w:t>
      </w:r>
      <w:r>
        <w:rPr>
          <w:rFonts w:hint="eastAsia" w:ascii="宋体" w:hAnsi="宋体" w:cs="宋体"/>
          <w:color w:val="auto"/>
          <w:spacing w:val="6"/>
          <w:sz w:val="24"/>
          <w:highlight w:val="none"/>
        </w:rPr>
        <w:t xml:space="preserve">号）的规定，本单位</w:t>
      </w:r>
      <w:r>
        <w:rPr>
          <w:rFonts w:hint="eastAsia" w:ascii="宋体" w:hAnsi="宋体" w:cs="宋体"/>
          <w:b/>
          <w:color w:val="auto"/>
          <w:sz w:val="24"/>
          <w:highlight w:val="none"/>
        </w:rPr>
        <w:t xml:space="preserve">（请进行勾选）</w:t>
      </w:r>
      <w:r>
        <w:rPr>
          <w:rFonts w:hint="eastAsia" w:ascii="宋体" w:hAnsi="宋体" w:cs="宋体"/>
          <w:color w:val="auto"/>
          <w:spacing w:val="6"/>
          <w:sz w:val="24"/>
          <w:highlight w:val="none"/>
        </w:rPr>
        <w:t xml:space="preserve">：</w:t>
      </w:r>
      <w:r/>
    </w:p>
    <w:p>
      <w:pPr>
        <w:ind w:firstLine="482"/>
        <w:spacing w:line="588" w:lineRule="exact"/>
        <w:rPr>
          <w:rFonts w:hint="eastAsia" w:ascii="宋体" w:hAnsi="宋体" w:cs="宋体"/>
          <w:b/>
          <w:color w:val="auto"/>
          <w:spacing w:val="6"/>
          <w:sz w:val="24"/>
          <w:highlight w:val="none"/>
        </w:rPr>
      </w:pPr>
      <w:r>
        <w:rPr>
          <w:rFonts w:hint="eastAsia" w:ascii="宋体" w:hAnsi="宋体" w:cs="宋体"/>
          <w:b/>
          <w:color w:val="auto"/>
          <w:sz w:val="24"/>
          <w:highlight w:val="none"/>
        </w:rPr>
        <w:t xml:space="preserve">□</w:t>
      </w:r>
      <w:r>
        <w:rPr>
          <w:rFonts w:hint="eastAsia" w:ascii="宋体" w:hAnsi="宋体" w:cs="宋体"/>
          <w:b/>
          <w:color w:val="auto"/>
          <w:spacing w:val="6"/>
          <w:sz w:val="24"/>
          <w:highlight w:val="none"/>
        </w:rPr>
        <w:t xml:space="preserve">不属于符合条件的残疾人福利性单位。</w:t>
      </w:r>
      <w:r/>
    </w:p>
    <w:p>
      <w:pPr>
        <w:ind w:firstLine="482"/>
        <w:spacing w:line="588" w:lineRule="exact"/>
        <w:rPr>
          <w:rFonts w:hint="eastAsia" w:ascii="宋体" w:hAnsi="宋体" w:cs="宋体"/>
          <w:color w:val="auto"/>
          <w:spacing w:val="6"/>
          <w:sz w:val="24"/>
          <w:highlight w:val="none"/>
        </w:rPr>
      </w:pPr>
      <w:r>
        <w:rPr>
          <w:rFonts w:hint="eastAsia" w:ascii="宋体" w:hAnsi="宋体" w:cs="宋体"/>
          <w:b/>
          <w:color w:val="auto"/>
          <w:sz w:val="24"/>
          <w:highlight w:val="none"/>
        </w:rPr>
        <w:t xml:space="preserve">□</w:t>
      </w:r>
      <w:r>
        <w:rPr>
          <w:rFonts w:hint="eastAsia" w:ascii="宋体" w:hAnsi="宋体" w:cs="宋体"/>
          <w:b/>
          <w:color w:val="auto"/>
          <w:spacing w:val="6"/>
          <w:sz w:val="24"/>
          <w:highlight w:val="none"/>
        </w:rPr>
        <w:t xml:space="preserve">属于符合条件的残疾人福利性单位，</w:t>
      </w:r>
      <w:r>
        <w:rPr>
          <w:rFonts w:hint="eastAsia" w:ascii="宋体" w:hAnsi="宋体" w:cs="宋体"/>
          <w:color w:val="auto"/>
          <w:spacing w:val="6"/>
          <w:sz w:val="24"/>
          <w:highlight w:val="none"/>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cs="宋体"/>
          <w:color w:val="auto"/>
          <w:spacing w:val="6"/>
          <w:sz w:val="24"/>
          <w:highlight w:val="none"/>
        </w:rPr>
      </w:pPr>
      <w:r>
        <w:rPr>
          <w:rFonts w:hint="eastAsia" w:ascii="宋体" w:hAnsi="宋体" w:cs="宋体"/>
          <w:b/>
          <w:color w:val="auto"/>
          <w:spacing w:val="6"/>
          <w:sz w:val="24"/>
          <w:highlight w:val="none"/>
        </w:rPr>
        <w:t xml:space="preserve">本单位对上述声明的真实性负责。如有虚假，将依法承担相应责任。</w:t>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firstLine="504"/>
        <w:spacing w:line="588" w:lineRule="exact"/>
        <w:rPr>
          <w:rFonts w:hint="eastAsia" w:ascii="宋体" w:hAnsi="宋体" w:cs="宋体"/>
          <w:color w:val="auto"/>
          <w:spacing w:val="6"/>
          <w:sz w:val="24"/>
          <w:highlight w:val="none"/>
        </w:rPr>
      </w:pPr>
      <w:r>
        <w:rPr>
          <w:rFonts w:hint="eastAsia" w:ascii="宋体" w:hAnsi="宋体" w:cs="宋体"/>
          <w:color w:val="auto"/>
          <w:spacing w:val="6"/>
          <w:sz w:val="24"/>
          <w:highlight w:val="none"/>
        </w:rPr>
      </w:r>
      <w:r/>
    </w:p>
    <w:p>
      <w:pPr>
        <w:ind w:right="1560" w:firstLine="504"/>
        <w:jc w:val="center"/>
        <w:spacing w:line="588"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单位名称（加盖公章）：</w:t>
      </w:r>
      <w:r/>
    </w:p>
    <w:p>
      <w:pPr>
        <w:ind w:right="1560" w:firstLine="504"/>
        <w:jc w:val="center"/>
        <w:spacing w:line="588" w:lineRule="exact"/>
        <w:tabs>
          <w:tab w:val="left" w:pos="4860" w:leader="none"/>
        </w:tabs>
        <w:rPr>
          <w:rFonts w:hint="eastAsia" w:ascii="宋体" w:hAnsi="宋体" w:cs="宋体"/>
          <w:color w:val="auto"/>
          <w:spacing w:val="6"/>
          <w:sz w:val="24"/>
          <w:highlight w:val="none"/>
        </w:rPr>
      </w:pPr>
      <w:r>
        <w:rPr>
          <w:rFonts w:hint="eastAsia" w:ascii="宋体" w:hAnsi="宋体" w:cs="宋体"/>
          <w:color w:val="auto"/>
          <w:spacing w:val="6"/>
          <w:sz w:val="24"/>
          <w:highlight w:val="none"/>
        </w:rPr>
        <w:t xml:space="preserve">       日  期：</w:t>
      </w:r>
      <w:r/>
    </w:p>
    <w:p>
      <w:pPr>
        <w:ind w:left="0" w:firstLine="240"/>
        <w:jc w:val="left"/>
        <w:keepLines w:val="0"/>
        <w:keepNext w:val="0"/>
        <w:pageBreakBefore w:val="0"/>
        <w:spacing w:line="360" w:lineRule="auto"/>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firstLine="0"/>
        <w:jc w:val="left"/>
        <w:keepLines w:val="0"/>
        <w:keepNext w:val="0"/>
        <w:pageBreakBefore w:val="0"/>
        <w:spacing w:line="240" w:lineRule="auto"/>
        <w:rPr>
          <w:rFonts w:hint="eastAsia" w:ascii="宋体" w:hAnsi="宋体" w:eastAsia="宋体" w:cs="宋体"/>
          <w:color w:val="auto"/>
          <w:sz w:val="24"/>
          <w:szCs w:val="20"/>
          <w:highlight w:val="none"/>
        </w:rPr>
        <w:outlineLvl w:val="9"/>
      </w:pPr>
      <w:r>
        <w:rPr>
          <w:rFonts w:hint="eastAsia" w:ascii="宋体" w:hAnsi="宋体" w:eastAsia="宋体" w:cs="宋体"/>
          <w:color w:val="auto"/>
          <w:sz w:val="24"/>
          <w:szCs w:val="20"/>
          <w:highlight w:val="none"/>
        </w:rPr>
        <w:br w:type="page" w:clear="all"/>
      </w:r>
      <w:r/>
    </w:p>
    <w:p>
      <w:pPr>
        <w:ind w:left="0" w:firstLine="0"/>
        <w:jc w:val="left"/>
        <w:keepLines w:val="0"/>
        <w:keepNext w:val="0"/>
        <w:pageBreakBefore w:val="0"/>
        <w:spacing w:line="360" w:lineRule="auto"/>
        <w:rPr>
          <w:rFonts w:hint="eastAsia" w:ascii="宋体" w:hAnsi="宋体" w:eastAsia="宋体" w:cs="宋体"/>
          <w:color w:val="auto"/>
          <w:sz w:val="24"/>
          <w:szCs w:val="20"/>
          <w:highlight w:val="none"/>
        </w:rPr>
        <w:outlineLvl w:val="2"/>
      </w:pPr>
      <w:r>
        <w:rPr>
          <w:rFonts w:hint="eastAsia" w:ascii="宋体" w:hAnsi="宋体" w:eastAsia="宋体" w:cs="宋体"/>
          <w:color w:val="auto"/>
          <w:sz w:val="24"/>
          <w:szCs w:val="20"/>
          <w:highlight w:val="none"/>
        </w:rPr>
        <w:t xml:space="preserve">3 </w:t>
      </w:r>
      <w:r>
        <w:rPr>
          <w:rFonts w:hint="eastAsia" w:ascii="宋体" w:hAnsi="宋体" w:eastAsia="宋体" w:cs="宋体"/>
          <w:color w:val="auto"/>
          <w:sz w:val="24"/>
          <w:highlight w:val="none"/>
        </w:rPr>
        <w:t xml:space="preserve">本项目的特定资格要求</w:t>
      </w:r>
      <w:r/>
    </w:p>
    <w:p>
      <w:pPr>
        <w:jc w:val="left"/>
        <w:spacing w:line="360" w:lineRule="auto"/>
        <w:rPr>
          <w:rFonts w:hint="eastAsia" w:ascii="宋体" w:hAnsi="宋体" w:cs="宋体"/>
          <w:color w:val="auto"/>
          <w:sz w:val="24"/>
          <w:highlight w:val="none"/>
        </w:rPr>
        <w:outlineLvl w:val="9"/>
      </w:pPr>
      <w:r>
        <w:rPr>
          <w:rFonts w:hint="eastAsia" w:ascii="宋体" w:hAnsi="宋体" w:eastAsia="宋体" w:cs="宋体"/>
          <w:color w:val="auto"/>
          <w:sz w:val="24"/>
          <w:szCs w:val="20"/>
          <w:highlight w:val="none"/>
        </w:rPr>
        <w:t xml:space="preserve">3-</w:t>
      </w:r>
      <w:r>
        <w:rPr>
          <w:rFonts w:hint="eastAsia" w:ascii="宋体" w:hAnsi="宋体" w:eastAsia="宋体" w:cs="宋体"/>
          <w:color w:val="auto"/>
          <w:sz w:val="24"/>
          <w:szCs w:val="20"/>
          <w:highlight w:val="none"/>
          <w:lang w:eastAsia="zh-CN"/>
        </w:rPr>
        <w:t xml:space="preserve">1</w:t>
      </w:r>
      <w:r>
        <w:rPr>
          <w:rFonts w:hint="eastAsia" w:ascii="宋体" w:hAnsi="宋体" w:eastAsia="宋体" w:cs="宋体"/>
          <w:color w:val="auto"/>
          <w:sz w:val="24"/>
          <w:szCs w:val="20"/>
          <w:highlight w:val="none"/>
        </w:rPr>
        <w:t xml:space="preserve">其他特定资格要求</w:t>
      </w:r>
      <w:r>
        <w:rPr>
          <w:rFonts w:hint="eastAsia" w:ascii="宋体" w:hAnsi="宋体" w:cs="宋体"/>
          <w:color w:val="auto"/>
          <w:sz w:val="24"/>
          <w:szCs w:val="20"/>
          <w:highlight w:val="none"/>
          <w:lang w:eastAsia="zh-CN"/>
        </w:rPr>
        <w:t xml:space="preserve">：</w:t>
      </w:r>
      <w:r>
        <w:rPr>
          <w:rFonts w:hint="eastAsia" w:ascii="宋体" w:hAnsi="宋体" w:cs="宋体"/>
          <w:b/>
          <w:bCs/>
          <w:color w:val="auto"/>
          <w:sz w:val="24"/>
          <w:highlight w:val="none"/>
          <w:lang w:val="en-US" w:eastAsia="zh-CN"/>
        </w:rPr>
        <w:t xml:space="preserve">/</w:t>
      </w:r>
      <w:r>
        <w:rPr>
          <w:rFonts w:hint="eastAsia" w:ascii="宋体" w:hAnsi="宋体" w:cs="宋体"/>
          <w:color w:val="auto"/>
          <w:sz w:val="24"/>
          <w:szCs w:val="20"/>
          <w:highlight w:val="none"/>
        </w:rPr>
        <w:br w:type="page" w:clear="all"/>
      </w:r>
      <w:r/>
    </w:p>
    <w:p>
      <w:pPr>
        <w:spacing w:line="360" w:lineRule="auto"/>
        <w:rPr>
          <w:rFonts w:hint="eastAsia" w:ascii="宋体" w:hAnsi="宋体" w:cs="宋体"/>
          <w:color w:val="auto"/>
          <w:sz w:val="24"/>
          <w:highlight w:val="none"/>
        </w:rPr>
        <w:outlineLvl w:val="2"/>
      </w:pPr>
      <w:r/>
      <w:bookmarkStart w:id="563" w:name="_Toc480942350"/>
      <w:r/>
      <w:bookmarkStart w:id="564" w:name="_Toc520356218"/>
      <w:r/>
      <w:bookmarkStart w:id="565" w:name="_Toc142311059"/>
      <w:r/>
      <w:bookmarkStart w:id="566" w:name="_Toc226309801"/>
      <w:r/>
      <w:bookmarkStart w:id="567" w:name="_Toc226337253"/>
      <w:r/>
      <w:bookmarkStart w:id="568" w:name="_Toc150480795"/>
      <w:r/>
      <w:bookmarkStart w:id="569" w:name="_Toc305158899"/>
      <w:r/>
      <w:bookmarkStart w:id="570" w:name="_Toc226965747"/>
      <w:r/>
      <w:bookmarkStart w:id="571" w:name="_Toc150774762"/>
      <w:r/>
      <w:bookmarkStart w:id="572" w:name="_Toc305158825"/>
      <w:r/>
      <w:bookmarkStart w:id="573" w:name="_Toc226965830"/>
      <w:r/>
      <w:bookmarkStart w:id="574" w:name="_Toc264969247"/>
      <w:r/>
      <w:bookmarkStart w:id="575" w:name="_Ref467988705"/>
      <w:r/>
      <w:bookmarkStart w:id="576" w:name="_Toc195842922"/>
      <w:r/>
      <w:bookmarkStart w:id="577" w:name="_Toc265228395"/>
      <w:r/>
      <w:bookmarkStart w:id="578" w:name="_Toc127151557"/>
      <w:r>
        <w:rPr>
          <w:rFonts w:hint="eastAsia" w:ascii="宋体" w:hAnsi="宋体" w:cs="宋体"/>
          <w:color w:val="auto"/>
          <w:sz w:val="24"/>
          <w:highlight w:val="none"/>
        </w:rPr>
        <w:t xml:space="preserve">4</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响应函</w:t>
      </w:r>
      <w:r>
        <w:rPr>
          <w:rFonts w:hint="eastAsia" w:ascii="宋体" w:hAnsi="宋体" w:cs="宋体"/>
          <w:color w:val="auto"/>
          <w:sz w:val="24"/>
          <w:szCs w:val="20"/>
          <w:highlight w:val="none"/>
        </w:rPr>
        <w:t xml:space="preserve">（实质性格式）</w:t>
      </w:r>
      <w:r/>
    </w:p>
    <w:p>
      <w:pPr>
        <w:jc w:val="center"/>
        <w:spacing w:line="360" w:lineRule="auto"/>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响应函</w:t>
      </w:r>
      <w:r/>
    </w:p>
    <w:p>
      <w:pPr>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highlight w:val="none"/>
        </w:rPr>
        <w:t xml:space="preserve">致：常州中宇建设工程管理有限公司</w:t>
      </w:r>
      <w:r/>
    </w:p>
    <w:p>
      <w:pPr>
        <w:ind w:firstLine="408"/>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我方参加你方就</w:t>
      </w:r>
      <w:r>
        <w:rPr>
          <w:rFonts w:hint="eastAsia" w:ascii="宋体" w:hAnsi="宋体" w:cs="宋体"/>
          <w:color w:val="auto"/>
          <w:sz w:val="24"/>
          <w:szCs w:val="20"/>
          <w:highlight w:val="none"/>
          <w:u w:val="single"/>
          <w:lang w:eastAsia="zh-CN"/>
        </w:rPr>
        <w:t xml:space="preserve">常州市金坛区财政局区本级及乡镇系统运维服务项目JSZC-320413-CZZY-C2026-0027</w:t>
      </w:r>
      <w:r>
        <w:rPr>
          <w:rFonts w:hint="eastAsia" w:ascii="宋体" w:hAnsi="宋体" w:cs="宋体"/>
          <w:color w:val="auto"/>
          <w:sz w:val="24"/>
          <w:szCs w:val="20"/>
          <w:highlight w:val="none"/>
        </w:rPr>
        <w:t xml:space="preserve">（项目名称，项目编号/包号）组织的政府采购活动，并对此项目进行响应。</w:t>
      </w:r>
      <w:r/>
    </w:p>
    <w:p>
      <w:pPr>
        <w:ind w:firstLine="408"/>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 我方</w:t>
      </w:r>
      <w:r>
        <w:rPr>
          <w:rFonts w:hint="eastAsia" w:ascii="宋体" w:hAnsi="宋体" w:cs="宋体"/>
          <w:color w:val="auto"/>
          <w:sz w:val="24"/>
          <w:highlight w:val="none"/>
        </w:rPr>
        <w:t xml:space="preserve">已详细审查全部磋商文件</w:t>
      </w:r>
      <w:r>
        <w:rPr>
          <w:rFonts w:hint="eastAsia" w:ascii="宋体" w:hAnsi="宋体" w:cs="宋体"/>
          <w:color w:val="auto"/>
          <w:sz w:val="24"/>
          <w:szCs w:val="20"/>
          <w:highlight w:val="none"/>
        </w:rPr>
        <w:t xml:space="preserve">，自愿参与响应并承诺如下：</w:t>
      </w:r>
      <w:r/>
    </w:p>
    <w:p>
      <w:pPr>
        <w:ind w:left="360" w:firstLine="72"/>
        <w:spacing w:line="360" w:lineRule="auto"/>
        <w:tabs>
          <w:tab w:val="left" w:pos="720" w:leader="none"/>
          <w:tab w:val="left" w:pos="90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（1）本响应有效期为自提交响应文件的截止之日起</w:t>
      </w:r>
      <w:r>
        <w:rPr>
          <w:rFonts w:hint="eastAsia" w:ascii="宋体" w:hAnsi="宋体" w:cs="宋体"/>
          <w:color w:val="auto"/>
          <w:sz w:val="24"/>
          <w:highlight w:val="none"/>
        </w:rPr>
        <w:t xml:space="preserve">60</w:t>
      </w:r>
      <w:r>
        <w:rPr>
          <w:rFonts w:hint="eastAsia" w:ascii="宋体" w:hAnsi="宋体" w:cs="宋体"/>
          <w:color w:val="auto"/>
          <w:sz w:val="24"/>
          <w:szCs w:val="20"/>
          <w:highlight w:val="none"/>
        </w:rPr>
        <w:t xml:space="preserve">个日历日。</w:t>
      </w:r>
      <w:r/>
    </w:p>
    <w:p>
      <w:pPr>
        <w:ind w:left="360" w:firstLine="72"/>
        <w:spacing w:line="360" w:lineRule="auto"/>
        <w:tabs>
          <w:tab w:val="left" w:pos="720" w:leader="none"/>
          <w:tab w:val="left" w:pos="90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（2）除合同条款及采购需求偏离表列出的偏离外，我方响应磋商文件的全部要求。</w:t>
      </w:r>
      <w:r/>
    </w:p>
    <w:p>
      <w:pPr>
        <w:ind w:firstLine="420"/>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cs="宋体"/>
          <w:color w:val="auto"/>
          <w:sz w:val="24"/>
          <w:highlight w:val="none"/>
        </w:rPr>
      </w:pPr>
      <w:r>
        <w:rPr>
          <w:rFonts w:hint="eastAsia" w:ascii="宋体" w:hAnsi="宋体" w:cs="宋体"/>
          <w:color w:val="auto"/>
          <w:sz w:val="24"/>
          <w:szCs w:val="20"/>
          <w:highlight w:val="none"/>
        </w:rPr>
        <w:t xml:space="preserve">（4）如我方中标，我方将在法律规定的期限内与你方签订合同，按照磋商文件要求提交履约保证金，并在合同约定的期限内完成合同规定的全部义务。</w:t>
      </w:r>
      <w:r/>
    </w:p>
    <w:p>
      <w:pPr>
        <w:ind w:left="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 其他补充条款（如有）：</w:t>
      </w:r>
      <w:r>
        <w:rPr>
          <w:rFonts w:hint="eastAsia" w:ascii="宋体" w:hAnsi="宋体" w:cs="宋体"/>
          <w:color w:val="auto"/>
          <w:sz w:val="24"/>
          <w:szCs w:val="20"/>
          <w:highlight w:val="none"/>
        </w:rPr>
        <w:t xml:space="preserve">___________</w:t>
      </w:r>
      <w:r>
        <w:rPr>
          <w:rFonts w:hint="eastAsia" w:ascii="宋体" w:hAnsi="宋体" w:cs="宋体"/>
          <w:color w:val="auto"/>
          <w:sz w:val="24"/>
          <w:highlight w:val="none"/>
        </w:rPr>
        <w:t xml:space="preserve">。</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与本响应有关的一切正式往来信函请寄：</w:t>
      </w:r>
      <w:r/>
    </w:p>
    <w:p>
      <w:pPr>
        <w:ind w:left="420"/>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ind w:left="420"/>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地址_________________________     传真____________________________</w:t>
      </w:r>
      <w:r/>
    </w:p>
    <w:p>
      <w:pPr>
        <w:ind w:left="420"/>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电话_________________________     电子函件________________________</w:t>
      </w:r>
      <w:r/>
    </w:p>
    <w:p>
      <w:pPr>
        <w:ind w:left="420"/>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ind w:left="420"/>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供应商名称（加盖公章） ___________</w:t>
      </w:r>
      <w:r/>
    </w:p>
    <w:p>
      <w:pPr>
        <w:ind w:left="420"/>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日期：_____年______月______日    </w:t>
      </w:r>
      <w:r/>
    </w:p>
    <w:p>
      <w:pPr>
        <w:ind w:left="420"/>
        <w:spacing w:line="360" w:lineRule="auto"/>
        <w:tabs>
          <w:tab w:val="left" w:pos="5580" w:leader="none"/>
        </w:tabs>
        <w:rPr>
          <w:rFonts w:hint="eastAsia" w:ascii="宋体" w:hAnsi="宋体" w:cs="宋体"/>
          <w:color w:val="auto"/>
          <w:sz w:val="24"/>
          <w:szCs w:val="20"/>
          <w:highlight w:val="none"/>
          <w:u w:val="single"/>
        </w:rPr>
      </w:pPr>
      <w:r>
        <w:rPr>
          <w:rFonts w:hint="eastAsia" w:ascii="宋体" w:hAnsi="宋体" w:cs="宋体"/>
          <w:color w:val="auto"/>
          <w:sz w:val="24"/>
          <w:szCs w:val="20"/>
          <w:highlight w:val="none"/>
          <w:u w:val="single"/>
        </w:rPr>
      </w:r>
      <w:r/>
    </w:p>
    <w:p>
      <w:pPr>
        <w:jc w:val="left"/>
        <w:spacing w:line="360" w:lineRule="auto"/>
        <w:widowControl/>
        <w:rPr>
          <w:rFonts w:hint="eastAsia" w:ascii="宋体" w:hAnsi="宋体" w:cs="宋体"/>
          <w:color w:val="auto"/>
          <w:sz w:val="24"/>
          <w:highlight w:val="none"/>
        </w:rPr>
        <w:outlineLvl w:val="2"/>
      </w:pPr>
      <w:r/>
      <w:bookmarkStart w:id="579" w:name="_Hlt520356243"/>
      <w:r/>
      <w:bookmarkEnd w:id="579"/>
      <w:r/>
      <w:bookmarkStart w:id="580" w:name="_Hlt520355938"/>
      <w:r/>
      <w:bookmarkEnd w:id="580"/>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5法定代表人资格证明书</w:t>
      </w:r>
      <w:r>
        <w:rPr>
          <w:rFonts w:hint="eastAsia" w:ascii="宋体" w:hAnsi="宋体" w:cs="宋体"/>
          <w:color w:val="auto"/>
          <w:sz w:val="24"/>
          <w:szCs w:val="20"/>
          <w:highlight w:val="none"/>
        </w:rPr>
        <w:t xml:space="preserve">（实质性格式）</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法定代表人资格证明书</w:t>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单位名称:</w:t>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地址:</w:t>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     性别:       年龄:      职务:</w:t>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系</w:t>
      </w:r>
      <w:r>
        <w:rPr>
          <w:rFonts w:hint="eastAsia" w:ascii="宋体" w:hAnsi="宋体" w:cs="宋体"/>
          <w:color w:val="auto"/>
          <w:sz w:val="24"/>
          <w:highlight w:val="none"/>
          <w:u w:val="single"/>
        </w:rPr>
        <w:t xml:space="preserve">（供应商名称）</w:t>
      </w:r>
      <w:r>
        <w:rPr>
          <w:rFonts w:hint="eastAsia" w:ascii="宋体" w:hAnsi="宋体" w:cs="宋体"/>
          <w:color w:val="auto"/>
          <w:sz w:val="24"/>
          <w:highlight w:val="none"/>
        </w:rPr>
        <w:t xml:space="preserve">的法定代表人。为参与</w:t>
      </w:r>
      <w:r>
        <w:rPr>
          <w:rFonts w:hint="eastAsia" w:ascii="宋体" w:hAnsi="宋体" w:cs="宋体"/>
          <w:color w:val="auto"/>
          <w:sz w:val="24"/>
          <w:szCs w:val="20"/>
          <w:highlight w:val="none"/>
          <w:u w:val="single"/>
          <w:lang w:eastAsia="zh-CN"/>
        </w:rPr>
        <w:t xml:space="preserve">常州市金坛区财政局区本级及乡镇系统运维服务项目</w:t>
      </w:r>
      <w:r>
        <w:rPr>
          <w:rFonts w:hint="eastAsia" w:ascii="宋体" w:hAnsi="宋体" w:cs="宋体"/>
          <w:color w:val="auto"/>
          <w:sz w:val="24"/>
          <w:highlight w:val="none"/>
        </w:rPr>
        <w:t xml:space="preserve">的政府采购活动，</w:t>
      </w:r>
      <w:r>
        <w:rPr>
          <w:rFonts w:hint="eastAsia" w:ascii="宋体" w:hAnsi="宋体" w:cs="宋体"/>
          <w:color w:val="auto"/>
          <w:sz w:val="24"/>
          <w:szCs w:val="20"/>
          <w:highlight w:val="none"/>
        </w:rPr>
        <w:t xml:space="preserve">签署、澄清确认、递交、撤回、修改</w:t>
      </w:r>
      <w:r>
        <w:rPr>
          <w:rFonts w:hint="eastAsia" w:ascii="宋体" w:hAnsi="宋体" w:cs="宋体"/>
          <w:color w:val="auto"/>
          <w:sz w:val="24"/>
          <w:highlight w:val="none"/>
        </w:rPr>
        <w:t xml:space="preserve">上述项目的响应文件、进行合同磋商、签署合同和处理与之有关的一切事务。</w:t>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特此证明。</w:t>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1053"/>
        <w:ind w:right="-46"/>
        <w:spacing w:line="583" w:lineRule="auto"/>
        <w:rPr>
          <w:rFonts w:hint="eastAsia" w:cs="宋体"/>
          <w:color w:val="auto"/>
          <w:spacing w:val="-3"/>
          <w:highlight w:val="none"/>
        </w:rPr>
      </w:pPr>
      <w:r>
        <w:rPr>
          <w:rFonts w:hint="eastAsia" w:cs="宋体"/>
          <w:color w:val="auto"/>
          <w:highlight w:val="none"/>
        </w:rPr>
        <w:t xml:space="preserve">附：</w:t>
      </w:r>
      <w:r>
        <w:rPr>
          <w:rFonts w:hint="eastAsia" w:cs="宋体"/>
          <w:color w:val="auto"/>
          <w:spacing w:val="-3"/>
          <w:highlight w:val="none"/>
        </w:rPr>
        <w:t xml:space="preserve">法</w:t>
      </w:r>
      <w:r>
        <w:rPr>
          <w:rFonts w:hint="eastAsia" w:cs="宋体"/>
          <w:color w:val="auto"/>
          <w:highlight w:val="none"/>
        </w:rPr>
        <w:t xml:space="preserve">定</w:t>
      </w:r>
      <w:r>
        <w:rPr>
          <w:rFonts w:hint="eastAsia" w:cs="宋体"/>
          <w:color w:val="auto"/>
          <w:spacing w:val="-3"/>
          <w:highlight w:val="none"/>
        </w:rPr>
        <w:t xml:space="preserve">代</w:t>
      </w:r>
      <w:r>
        <w:rPr>
          <w:rFonts w:hint="eastAsia" w:cs="宋体"/>
          <w:color w:val="auto"/>
          <w:highlight w:val="none"/>
        </w:rPr>
        <w:t xml:space="preserve">表</w:t>
      </w:r>
      <w:r>
        <w:rPr>
          <w:rFonts w:hint="eastAsia" w:cs="宋体"/>
          <w:color w:val="auto"/>
          <w:spacing w:val="-3"/>
          <w:highlight w:val="none"/>
        </w:rPr>
        <w:t xml:space="preserve">人</w:t>
      </w:r>
      <w:r>
        <w:rPr>
          <w:rFonts w:hint="eastAsia" w:cs="宋体"/>
          <w:color w:val="auto"/>
          <w:highlight w:val="none"/>
        </w:rPr>
        <w:t xml:space="preserve">（</w:t>
      </w:r>
      <w:r>
        <w:rPr>
          <w:rFonts w:hint="eastAsia" w:cs="宋体"/>
          <w:color w:val="auto"/>
          <w:spacing w:val="-3"/>
          <w:highlight w:val="none"/>
        </w:rPr>
        <w:t xml:space="preserve">单</w:t>
      </w:r>
      <w:r>
        <w:rPr>
          <w:rFonts w:hint="eastAsia" w:cs="宋体"/>
          <w:color w:val="auto"/>
          <w:highlight w:val="none"/>
        </w:rPr>
        <w:t xml:space="preserve">位</w:t>
      </w:r>
      <w:r>
        <w:rPr>
          <w:rFonts w:hint="eastAsia" w:cs="宋体"/>
          <w:color w:val="auto"/>
          <w:spacing w:val="-3"/>
          <w:highlight w:val="none"/>
        </w:rPr>
        <w:t xml:space="preserve">负</w:t>
      </w:r>
      <w:r>
        <w:rPr>
          <w:rFonts w:hint="eastAsia" w:cs="宋体"/>
          <w:color w:val="auto"/>
          <w:highlight w:val="none"/>
        </w:rPr>
        <w:t xml:space="preserve">责人</w:t>
      </w:r>
      <w:r>
        <w:rPr>
          <w:rFonts w:hint="eastAsia" w:cs="宋体"/>
          <w:color w:val="auto"/>
          <w:spacing w:val="-3"/>
          <w:highlight w:val="none"/>
        </w:rPr>
        <w:t xml:space="preserve">）有效期内的身份证正反面电子件。</w:t>
      </w:r>
      <w:r/>
    </w:p>
    <w:tbl>
      <w:tblPr>
        <w:tblStyle w:val="809"/>
        <w:tblW w:w="9675" w:type="dxa"/>
        <w:tblInd w:w="-3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785"/>
        <w:gridCol w:w="4890"/>
      </w:tblGrid>
      <w:tr>
        <w:trPr>
          <w:trHeight w:val="1399"/>
        </w:trPr>
        <w:tc>
          <w:tcPr>
            <w:tcW w:w="4785" w:type="dxa"/>
            <w:textDirection w:val="lrTb"/>
            <w:noWrap w:val="false"/>
          </w:tcPr>
          <w:p>
            <w:pPr>
              <w:jc w:val="left"/>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jc w:val="left"/>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jc w:val="left"/>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c>
          <w:tcPr>
            <w:tcW w:w="4890" w:type="dxa"/>
            <w:textDirection w:val="lrTb"/>
            <w:noWrap w:val="false"/>
          </w:tcPr>
          <w:p>
            <w:pPr>
              <w:jc w:val="left"/>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jc w:val="left"/>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jc w:val="left"/>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r>
            <w:r/>
          </w:p>
        </w:tc>
      </w:tr>
    </w:tbl>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供应商：（加盖公章）</w:t>
      </w:r>
      <w:r/>
    </w:p>
    <w:p>
      <w:pPr>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                       法定代表人</w:t>
      </w:r>
      <w:r>
        <w:rPr>
          <w:rFonts w:hint="eastAsia" w:ascii="宋体" w:hAnsi="宋体" w:cs="宋体"/>
          <w:color w:val="auto"/>
          <w:sz w:val="24"/>
          <w:szCs w:val="20"/>
          <w:highlight w:val="none"/>
        </w:rPr>
        <w:t xml:space="preserve">签字、签章或印鉴</w:t>
      </w:r>
      <w:r>
        <w:rPr>
          <w:rFonts w:hint="eastAsia" w:ascii="宋体" w:hAnsi="宋体" w:cs="宋体"/>
          <w:color w:val="auto"/>
          <w:sz w:val="24"/>
          <w:highlight w:val="none"/>
        </w:rPr>
        <w:t xml:space="preserve">：</w:t>
      </w:r>
      <w:r/>
    </w:p>
    <w:p>
      <w:pPr>
        <w:ind w:firstLine="4320"/>
        <w:spacing w:line="560" w:lineRule="exact"/>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tabs>
          <w:tab w:val="left" w:pos="5580" w:leader="none"/>
        </w:tabs>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说明：</w:t>
      </w:r>
      <w:r/>
    </w:p>
    <w:p>
      <w:pPr>
        <w:jc w:val="left"/>
        <w:spacing w:line="360" w:lineRule="auto"/>
        <w:tabs>
          <w:tab w:val="left" w:pos="5580" w:leader="none"/>
        </w:tabs>
        <w:rPr>
          <w:rFonts w:hint="eastAsia" w:ascii="宋体" w:hAnsi="宋体" w:cs="宋体"/>
          <w:color w:val="auto"/>
          <w:sz w:val="24"/>
          <w:szCs w:val="20"/>
          <w:highlight w:val="none"/>
        </w:rPr>
      </w:pPr>
      <w:r/>
      <w:bookmarkStart w:id="581" w:name="OLE_LINK2"/>
      <w:r>
        <w:rPr>
          <w:rFonts w:hint="eastAsia" w:ascii="宋体" w:hAnsi="宋体" w:cs="宋体"/>
          <w:color w:val="auto"/>
          <w:sz w:val="24"/>
          <w:szCs w:val="20"/>
          <w:highlight w:val="none"/>
        </w:rPr>
        <w:t xml:space="preserve">1.若供应商为事业单位或其他组织或分支机构（仅当磋商文件注明允许分支机构响应的），则法定代表人（单位负责人）处的签署人可为单位负责人。</w:t>
      </w:r>
      <w:bookmarkEnd w:id="581"/>
      <w:r/>
    </w:p>
    <w:p>
      <w:pPr>
        <w:jc w:val="left"/>
        <w:spacing w:line="360" w:lineRule="auto"/>
        <w:tabs>
          <w:tab w:val="left" w:pos="5580" w:leader="none"/>
        </w:tabs>
        <w:rPr>
          <w:rFonts w:hint="eastAsia" w:ascii="宋体" w:hAnsi="宋体" w:cs="宋体"/>
          <w:i/>
          <w:color w:val="auto"/>
          <w:sz w:val="24"/>
          <w:szCs w:val="20"/>
          <w:highlight w:val="none"/>
          <w:u w:val="single"/>
        </w:rPr>
      </w:pPr>
      <w:r>
        <w:rPr>
          <w:rFonts w:hint="eastAsia" w:ascii="宋体" w:hAnsi="宋体" w:cs="宋体"/>
          <w:color w:val="auto"/>
          <w:sz w:val="24"/>
          <w:szCs w:val="20"/>
          <w:highlight w:val="none"/>
        </w:rPr>
        <w:t xml:space="preserve">2.供应商为自然人的情形，可不提供本《法定代表人资格证明书》。</w:t>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widowControl/>
        <w:rPr>
          <w:rFonts w:hint="eastAsia" w:ascii="宋体" w:hAnsi="宋体" w:cs="宋体"/>
          <w:color w:val="auto"/>
          <w:sz w:val="24"/>
          <w:highlight w:val="none"/>
        </w:rPr>
      </w:pPr>
      <w:r>
        <w:rPr>
          <w:rFonts w:hint="eastAsia" w:ascii="宋体" w:hAnsi="宋体" w:cs="宋体"/>
          <w:color w:val="auto"/>
          <w:sz w:val="24"/>
          <w:highlight w:val="none"/>
        </w:rPr>
      </w:r>
      <w:r/>
    </w:p>
    <w:p>
      <w:pPr>
        <w:jc w:val="left"/>
        <w:spacing w:line="360" w:lineRule="auto"/>
        <w:widowControl/>
        <w:rPr>
          <w:rFonts w:hint="eastAsia" w:ascii="宋体" w:hAnsi="宋体" w:cs="宋体"/>
          <w:color w:val="auto"/>
          <w:sz w:val="24"/>
          <w:highlight w:val="none"/>
        </w:rPr>
        <w:outlineLvl w:val="2"/>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 政府采购供应商信用承诺书</w:t>
      </w:r>
      <w:r>
        <w:rPr>
          <w:rFonts w:hint="eastAsia" w:ascii="宋体" w:hAnsi="宋体" w:cs="宋体"/>
          <w:color w:val="auto"/>
          <w:sz w:val="24"/>
          <w:szCs w:val="20"/>
          <w:highlight w:val="none"/>
        </w:rPr>
        <w:t xml:space="preserve">（实质性格式）</w:t>
      </w:r>
      <w:r/>
    </w:p>
    <w:p>
      <w:pPr>
        <w:ind w:firstLine="321"/>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firstLine="321"/>
        <w:jc w:val="center"/>
        <w:spacing w:line="560" w:lineRule="exact"/>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 xml:space="preserve">政府采购供应商信用承诺书</w:t>
      </w:r>
      <w:r/>
    </w:p>
    <w:p>
      <w:pPr>
        <w:ind w:firstLine="640"/>
        <w:rPr>
          <w:rFonts w:hint="eastAsia" w:ascii="宋体" w:hAnsi="宋体" w:cs="宋体"/>
          <w:color w:val="auto"/>
          <w:highlight w:val="none"/>
        </w:rPr>
      </w:pPr>
      <w:r>
        <w:rPr>
          <w:rFonts w:hint="eastAsia" w:ascii="宋体" w:hAnsi="宋体" w:cs="宋体"/>
          <w:color w:val="auto"/>
          <w:highlight w:val="none"/>
        </w:rPr>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五、承诺本单位自觉接受行政管理部门、行业组织、社会公众、新闻舆论的监督。 </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七、承诺本单位在信用中国网站中无违法违规、较重或严重失信记录。 </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八、承诺本单位提出政府采购质疑和投诉坚持依法依规、诚实信用原则。</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九、根据政府采购相关法律法规的规定需要作出的其他承诺。 </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cs="宋体"/>
          <w:color w:val="auto"/>
          <w:sz w:val="24"/>
          <w:highlight w:val="none"/>
        </w:rPr>
      </w:pPr>
      <w:r>
        <w:rPr>
          <w:rFonts w:hint="eastAsia" w:ascii="宋体" w:hAnsi="宋体" w:cs="宋体"/>
          <w:color w:val="auto"/>
          <w:sz w:val="24"/>
          <w:highlight w:val="none"/>
        </w:rPr>
        <w:t xml:space="preserve">十一、承诺本单位同意将以上承诺事项上网公示，违背承诺约定行为将作为失信信息，记录到常州市公共信用信息系统，并予以公开。</w:t>
      </w:r>
      <w:r/>
    </w:p>
    <w:p>
      <w:pPr>
        <w:pStyle w:val="1159"/>
        <w:ind w:right="1050" w:firstLine="2880"/>
        <w:jc w:val="both"/>
        <w:spacing w:line="276" w:lineRule="auto"/>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r>
      <w:r/>
    </w:p>
    <w:p>
      <w:pPr>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供应商名称（加盖公章）</w:t>
      </w:r>
      <w:r>
        <w:rPr>
          <w:rFonts w:hint="eastAsia" w:ascii="宋体" w:hAnsi="宋体" w:cs="宋体"/>
          <w:color w:val="auto"/>
          <w:sz w:val="24"/>
          <w:highlight w:val="none"/>
          <w:lang w:val="zh-CN"/>
        </w:rPr>
        <w:t xml:space="preserve">：____________</w:t>
      </w:r>
      <w:r/>
    </w:p>
    <w:p>
      <w:pPr>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br w:type="page" w:clear="all"/>
      </w:r>
      <w:r>
        <w:rPr>
          <w:rFonts w:hint="eastAsia" w:ascii="宋体" w:hAnsi="宋体" w:cs="宋体"/>
          <w:color w:val="auto"/>
          <w:sz w:val="24"/>
          <w:szCs w:val="20"/>
          <w:highlight w:val="none"/>
          <w:lang w:val="en-US" w:eastAsia="zh-CN"/>
        </w:rPr>
        <w:t xml:space="preserve">7</w:t>
      </w:r>
      <w:r>
        <w:rPr>
          <w:rFonts w:hint="eastAsia" w:ascii="宋体" w:hAnsi="宋体" w:cs="宋体"/>
          <w:color w:val="auto"/>
          <w:sz w:val="24"/>
          <w:szCs w:val="20"/>
          <w:highlight w:val="none"/>
        </w:rPr>
        <w:t xml:space="preserve"> 报价一览表</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rPr>
          <w:rFonts w:hint="eastAsia" w:ascii="宋体" w:hAnsi="宋体" w:cs="宋体"/>
          <w:color w:val="auto"/>
          <w:sz w:val="24"/>
          <w:szCs w:val="20"/>
          <w:highlight w:val="none"/>
        </w:rPr>
        <w:t xml:space="preserve">（实质性格式）</w:t>
      </w:r>
      <w:r/>
    </w:p>
    <w:p>
      <w:pPr>
        <w:jc w:val="center"/>
        <w:rPr>
          <w:rFonts w:hint="eastAsia" w:ascii="宋体" w:hAnsi="宋体" w:cs="宋体"/>
          <w:b/>
          <w:color w:val="auto"/>
          <w:sz w:val="36"/>
          <w:szCs w:val="36"/>
          <w:highlight w:val="none"/>
        </w:rPr>
      </w:pPr>
      <w:r/>
      <w:bookmarkStart w:id="582" w:name="_Toc226337254"/>
      <w:r/>
      <w:bookmarkStart w:id="583" w:name="_Toc305158900"/>
      <w:r/>
      <w:bookmarkStart w:id="584" w:name="_Toc164608672"/>
      <w:r/>
      <w:bookmarkStart w:id="585" w:name="_Toc264969248"/>
      <w:r/>
      <w:bookmarkStart w:id="586" w:name="_Toc305158826"/>
      <w:r/>
      <w:bookmarkStart w:id="587" w:name="_Toc265228396"/>
      <w:r/>
      <w:bookmarkStart w:id="588" w:name="_Toc164608827"/>
      <w:r/>
      <w:bookmarkStart w:id="589" w:name="_Toc226309802"/>
      <w:r/>
      <w:bookmarkStart w:id="590" w:name="_Toc226965831"/>
      <w:r/>
      <w:bookmarkStart w:id="591" w:name="_Toc195842923"/>
      <w:r/>
      <w:bookmarkStart w:id="592" w:name="_Toc226965748"/>
      <w:r>
        <w:rPr>
          <w:rFonts w:hint="eastAsia" w:ascii="宋体" w:hAnsi="宋体" w:cs="宋体"/>
          <w:b/>
          <w:color w:val="auto"/>
          <w:sz w:val="36"/>
          <w:szCs w:val="36"/>
          <w:highlight w:val="none"/>
        </w:rPr>
        <w:t xml:space="preserve">报价一览表</w:t>
      </w:r>
      <w:bookmarkEnd w:id="582"/>
      <w:r/>
      <w:bookmarkEnd w:id="583"/>
      <w:r/>
      <w:bookmarkEnd w:id="584"/>
      <w:r/>
      <w:bookmarkEnd w:id="585"/>
      <w:r/>
      <w:bookmarkEnd w:id="586"/>
      <w:r/>
      <w:bookmarkEnd w:id="587"/>
      <w:r/>
      <w:bookmarkEnd w:id="588"/>
      <w:r/>
      <w:bookmarkEnd w:id="589"/>
      <w:r/>
      <w:bookmarkEnd w:id="590"/>
      <w:r/>
      <w:bookmarkEnd w:id="591"/>
      <w:r/>
      <w:bookmarkEnd w:id="592"/>
      <w:r/>
      <w:r/>
    </w:p>
    <w:p>
      <w:pPr>
        <w:jc w:val="left"/>
        <w:spacing w:line="360" w:lineRule="auto"/>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项目编号/包号：</w:t>
      </w:r>
      <w:r>
        <w:rPr>
          <w:rFonts w:hint="eastAsia" w:ascii="宋体" w:hAnsi="宋体" w:cs="宋体"/>
          <w:color w:val="auto"/>
          <w:sz w:val="24"/>
          <w:szCs w:val="20"/>
          <w:highlight w:val="none"/>
          <w:u w:val="single"/>
          <w:lang w:eastAsia="zh-CN"/>
        </w:rPr>
        <w:t xml:space="preserve">JSZC-320413-CZZY-C2026-0027</w:t>
      </w:r>
      <w:r/>
    </w:p>
    <w:p>
      <w:pPr>
        <w:ind w:firstLine="240"/>
        <w:jc w:val="left"/>
        <w:spacing w:line="360" w:lineRule="auto"/>
        <w:tabs>
          <w:tab w:val="left" w:pos="1800" w:leader="none"/>
          <w:tab w:val="left" w:pos="5580" w:leader="none"/>
        </w:tabs>
        <w:rPr>
          <w:rFonts w:hint="eastAsia" w:ascii="宋体" w:hAnsi="宋体" w:cs="宋体"/>
          <w:color w:val="auto"/>
          <w:sz w:val="24"/>
          <w:szCs w:val="20"/>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szCs w:val="20"/>
          <w:highlight w:val="none"/>
          <w:u w:val="single"/>
          <w:lang w:eastAsia="zh-CN"/>
        </w:rPr>
        <w:t xml:space="preserve">常州市金坛区财政局区本级及乡镇系统运维服务项目</w:t>
      </w:r>
      <w:r/>
    </w:p>
    <w:p>
      <w:pPr>
        <w:ind w:firstLine="240"/>
        <w:jc w:val="left"/>
        <w:spacing w:line="360" w:lineRule="auto"/>
        <w:tabs>
          <w:tab w:val="left" w:pos="1800" w:leader="none"/>
          <w:tab w:val="left" w:pos="5580" w:leader="none"/>
        </w:tabs>
        <w:rPr>
          <w:rFonts w:hint="eastAsia" w:ascii="宋体" w:hAnsi="宋体" w:eastAsia="宋体" w:cs="宋体"/>
          <w:color w:val="auto"/>
          <w:sz w:val="24"/>
          <w:szCs w:val="20"/>
          <w:highlight w:val="none"/>
          <w:u w:val="none"/>
          <w:lang w:eastAsia="zh-CN"/>
        </w:rPr>
      </w:pPr>
      <w:r>
        <w:rPr>
          <w:rFonts w:hint="eastAsia" w:ascii="宋体" w:hAnsi="宋体" w:cs="宋体"/>
          <w:b/>
          <w:color w:val="auto"/>
          <w:sz w:val="24"/>
          <w:highlight w:val="none"/>
          <w:u w:val="none"/>
          <w:lang w:val="en-US" w:eastAsia="zh-CN"/>
        </w:rPr>
        <w:t xml:space="preserve">供应商</w:t>
      </w:r>
      <w:r>
        <w:rPr>
          <w:rFonts w:hint="eastAsia" w:ascii="宋体" w:hAnsi="宋体" w:cs="宋体"/>
          <w:b/>
          <w:color w:val="auto"/>
          <w:sz w:val="24"/>
          <w:highlight w:val="none"/>
          <w:u w:val="none"/>
        </w:rPr>
        <w:t xml:space="preserve">名称</w:t>
      </w:r>
      <w:r>
        <w:rPr>
          <w:rFonts w:hint="eastAsia" w:ascii="宋体" w:hAnsi="宋体" w:cs="宋体"/>
          <w:b/>
          <w:color w:val="auto"/>
          <w:sz w:val="24"/>
          <w:highlight w:val="none"/>
          <w:u w:val="none"/>
          <w:lang w:eastAsia="zh-CN"/>
        </w:rPr>
        <w:t xml:space="preserve">：</w:t>
      </w:r>
      <w:r/>
    </w:p>
    <w:tbl>
      <w:tblPr>
        <w:tblStyle w:val="809"/>
        <w:tblW w:w="443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1250"/>
        <w:gridCol w:w="7314"/>
      </w:tblGrid>
      <w:tr>
        <w:trPr>
          <w:jc w:val="center"/>
          <w:trHeight w:val="1185"/>
        </w:trPr>
        <w:tc>
          <w:tcPr>
            <w:tcW w:w="730" w:type="pct"/>
            <w:vAlign w:val="center"/>
            <w:textDirection w:val="lrTb"/>
            <w:noWrap w:val="false"/>
          </w:tcPr>
          <w:p>
            <w:pPr>
              <w:ind w:firstLine="0"/>
              <w:jc w:val="center"/>
              <w:spacing w:line="360" w:lineRule="auto"/>
              <w:tabs>
                <w:tab w:val="left" w:pos="1800" w:leader="none"/>
                <w:tab w:val="left" w:pos="5580" w:leader="none"/>
              </w:tabs>
              <w:rPr>
                <w:rFonts w:hint="eastAsia" w:ascii="宋体" w:hAnsi="宋体" w:cs="宋体"/>
                <w:b/>
                <w:color w:val="auto"/>
                <w:sz w:val="24"/>
                <w:highlight w:val="none"/>
              </w:rPr>
            </w:pPr>
            <w:r>
              <w:rPr>
                <w:rFonts w:hint="eastAsia" w:ascii="宋体" w:hAnsi="宋体" w:cs="宋体"/>
                <w:b/>
                <w:color w:val="auto"/>
                <w:sz w:val="24"/>
                <w:highlight w:val="none"/>
                <w:lang w:val="en-US" w:eastAsia="zh-CN"/>
              </w:rPr>
              <w:t xml:space="preserve">采购包</w:t>
            </w:r>
            <w:r/>
          </w:p>
        </w:tc>
        <w:tc>
          <w:tcPr>
            <w:tcW w:w="4269" w:type="pct"/>
            <w:vAlign w:val="center"/>
            <w:textDirection w:val="lrTb"/>
            <w:noWrap w:val="false"/>
          </w:tcPr>
          <w:p>
            <w:pPr>
              <w:jc w:val="center"/>
              <w:tabs>
                <w:tab w:val="left" w:pos="5580" w:leader="none"/>
              </w:tabs>
              <w:rPr>
                <w:rFonts w:hint="eastAsia" w:ascii="宋体" w:hAnsi="宋体" w:cs="宋体"/>
                <w:b/>
                <w:color w:val="auto"/>
                <w:sz w:val="24"/>
                <w:highlight w:val="none"/>
              </w:rPr>
            </w:pPr>
            <w:r>
              <w:rPr>
                <w:rFonts w:hint="eastAsia" w:ascii="宋体" w:hAnsi="宋体" w:cs="宋体"/>
                <w:b/>
                <w:color w:val="auto"/>
                <w:sz w:val="24"/>
                <w:highlight w:val="none"/>
              </w:rPr>
              <w:t xml:space="preserve">投标</w:t>
            </w:r>
            <w:r>
              <w:rPr>
                <w:rFonts w:hint="eastAsia" w:ascii="宋体" w:hAnsi="宋体" w:cs="宋体"/>
                <w:b/>
                <w:color w:val="auto"/>
                <w:sz w:val="24"/>
                <w:highlight w:val="none"/>
                <w:lang w:val="en-US" w:eastAsia="zh-CN"/>
              </w:rPr>
              <w:t xml:space="preserve">总价</w:t>
            </w:r>
            <w:r/>
          </w:p>
        </w:tc>
      </w:tr>
      <w:tr>
        <w:trPr>
          <w:jc w:val="center"/>
          <w:trHeight w:val="976"/>
        </w:trPr>
        <w:tc>
          <w:tcPr>
            <w:tcW w:w="730" w:type="pct"/>
            <w:vAlign w:val="center"/>
            <w:textDirection w:val="lrTb"/>
            <w:noWrap w:val="false"/>
          </w:tcPr>
          <w:p>
            <w:pPr>
              <w:jc w:val="center"/>
              <w:tabs>
                <w:tab w:val="left" w:pos="5580" w:leader="none"/>
              </w:tabs>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p>
        </w:tc>
        <w:tc>
          <w:tcPr>
            <w:tcW w:w="4269" w:type="pct"/>
            <w:vAlign w:val="center"/>
            <w:textDirection w:val="lrTb"/>
            <w:noWrap w:val="false"/>
          </w:tcPr>
          <w:p>
            <w:pPr>
              <w:jc w:val="center"/>
              <w:tabs>
                <w:tab w:val="left" w:pos="5580" w:leader="none"/>
              </w:tabs>
              <w:rPr>
                <w:rFonts w:hint="eastAsia" w:ascii="宋体" w:hAnsi="宋体" w:cs="宋体"/>
                <w:color w:val="auto"/>
                <w:sz w:val="24"/>
                <w:highlight w:val="none"/>
                <w:u w:val="single"/>
                <w:lang w:val="en-US"/>
              </w:rPr>
            </w:pP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none"/>
                <w:lang w:val="en-US" w:eastAsia="zh-CN"/>
              </w:rPr>
              <w:t xml:space="preserve">元</w:t>
            </w:r>
            <w:r/>
          </w:p>
        </w:tc>
      </w:tr>
    </w:tbl>
    <w:p>
      <w:pPr>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jc w:val="left"/>
        <w:spacing w:before="25" w:after="25" w:line="360" w:lineRule="auto"/>
        <w:rPr>
          <w:rFonts w:hint="eastAsia" w:ascii="宋体" w:hAnsi="宋体" w:cs="宋体"/>
          <w:color w:val="auto"/>
          <w:sz w:val="24"/>
          <w:highlight w:val="none"/>
          <w:lang w:val="zh-CN"/>
        </w:rPr>
      </w:pPr>
      <w:r>
        <w:rPr>
          <w:rFonts w:hint="eastAsia" w:ascii="宋体" w:hAnsi="宋体" w:eastAsia="宋体" w:cs="宋体"/>
          <w:color w:val="auto"/>
          <w:sz w:val="24"/>
          <w:highlight w:val="none"/>
          <w:lang w:val="en-US" w:eastAsia="zh-CN"/>
        </w:rPr>
        <w:t xml:space="preserve">注：1.</w:t>
      </w:r>
      <w:r>
        <w:rPr>
          <w:rFonts w:hint="eastAsia" w:ascii="宋体" w:hAnsi="宋体" w:eastAsia="宋体" w:cs="宋体"/>
          <w:color w:val="auto"/>
          <w:sz w:val="24"/>
          <w:szCs w:val="24"/>
          <w:highlight w:val="none"/>
        </w:rPr>
        <w:t xml:space="preserve">本表必须按包分别填写。</w:t>
      </w:r>
      <w:r>
        <w:rPr>
          <w:rFonts w:hint="eastAsia" w:ascii="宋体" w:hAnsi="宋体" w:eastAsia="宋体" w:cs="宋体"/>
          <w:color w:val="auto"/>
          <w:sz w:val="24"/>
          <w:highlight w:val="none"/>
          <w:lang w:val="en-US"/>
        </w:rPr>
        <w:t xml:space="preserve">  </w:t>
      </w:r>
      <w:r>
        <w:rPr>
          <w:rFonts w:hint="eastAsia" w:ascii="宋体" w:hAnsi="宋体" w:cs="宋体"/>
          <w:color w:val="auto"/>
          <w:sz w:val="24"/>
          <w:highlight w:val="none"/>
          <w:lang w:val="zh-CN"/>
        </w:rPr>
        <w:t xml:space="preserve">                   </w:t>
      </w:r>
      <w:r/>
    </w:p>
    <w:p>
      <w:pPr>
        <w:spacing w:before="25" w:after="25"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before="25" w:after="25"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before="25" w:after="25"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供应商名称（加盖公章）</w:t>
      </w:r>
      <w:r>
        <w:rPr>
          <w:rFonts w:hint="eastAsia" w:ascii="宋体" w:hAnsi="宋体" w:cs="宋体"/>
          <w:color w:val="auto"/>
          <w:sz w:val="24"/>
          <w:highlight w:val="none"/>
          <w:lang w:val="zh-CN"/>
        </w:rPr>
        <w:t xml:space="preserve">：____________</w:t>
      </w:r>
      <w:r/>
    </w:p>
    <w:p>
      <w:pPr>
        <w:spacing w:before="25" w:after="25"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t xml:space="preserve">日期：_____年______月______日   </w:t>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br w:type="page" w:clear="all"/>
      </w:r>
      <w:r/>
    </w:p>
    <w:p>
      <w:pPr>
        <w:spacing w:line="360" w:lineRule="auto"/>
        <w:rPr>
          <w:rFonts w:hint="eastAsia" w:ascii="宋体" w:hAnsi="宋体" w:eastAsia="宋体" w:cs="宋体"/>
          <w:color w:val="auto"/>
          <w:sz w:val="24"/>
          <w:szCs w:val="20"/>
          <w:highlight w:val="none"/>
          <w:lang w:val="en-US" w:eastAsia="zh-CN"/>
        </w:rPr>
        <w:sectPr>
          <w:headerReference w:type="even" r:id="rId11"/>
          <w:headerReference w:type="first" r:id="rId12"/>
          <w:footerReference w:type="even" r:id="rId18"/>
          <w:footnotePr/>
          <w:endnotePr/>
          <w:type w:val="nextPage"/>
          <w:pgSz w:w="11907" w:h="16840" w:orient="portrait"/>
          <w:pgMar w:top="1418" w:right="1134" w:bottom="1418" w:left="1134" w:header="851" w:footer="851" w:gutter="0"/>
          <w:cols w:num="1" w:sep="0" w:space="1701" w:equalWidth="1"/>
          <w:docGrid w:linePitch="360"/>
        </w:sectPr>
        <w:outlineLvl w:val="2"/>
      </w:pPr>
      <w:r/>
      <w:bookmarkStart w:id="593" w:name="_Toc264969252"/>
      <w:r/>
      <w:bookmarkStart w:id="594" w:name="_Toc127151562"/>
      <w:r/>
      <w:bookmarkStart w:id="595" w:name="_Toc150480798"/>
      <w:r/>
      <w:bookmarkStart w:id="596" w:name="_Toc226309806"/>
      <w:r/>
      <w:bookmarkStart w:id="597" w:name="_Toc305158830"/>
      <w:r/>
      <w:bookmarkStart w:id="598" w:name="_Toc195842927"/>
      <w:r/>
      <w:bookmarkStart w:id="599" w:name="_Toc226337258"/>
      <w:r/>
      <w:bookmarkStart w:id="600" w:name="_Toc226965752"/>
      <w:r/>
      <w:bookmarkStart w:id="601" w:name="_Toc265228400"/>
      <w:r/>
      <w:bookmarkStart w:id="602" w:name="_Toc142311062"/>
      <w:r/>
      <w:bookmarkStart w:id="603" w:name="_Toc305158904"/>
      <w:r/>
      <w:bookmarkStart w:id="604" w:name="_Toc150774765"/>
      <w:r/>
      <w:bookmarkStart w:id="605" w:name="_Toc226965835"/>
      <w:r/>
      <w:bookmarkStart w:id="606" w:name="_Toc226965751"/>
      <w:r/>
      <w:bookmarkStart w:id="607" w:name="_Toc142311061"/>
      <w:r/>
      <w:bookmarkStart w:id="608" w:name="_Toc305158903"/>
      <w:r/>
      <w:bookmarkStart w:id="609" w:name="_Toc226965834"/>
      <w:r/>
      <w:bookmarkStart w:id="610" w:name="_Toc150480797"/>
      <w:r/>
      <w:bookmarkStart w:id="611" w:name="_Toc226337257"/>
      <w:r/>
      <w:bookmarkStart w:id="612" w:name="_Toc264969251"/>
      <w:r/>
      <w:bookmarkStart w:id="613" w:name="_Toc265228399"/>
      <w:r/>
      <w:bookmarkStart w:id="614" w:name="_Toc226309805"/>
      <w:r/>
      <w:bookmarkStart w:id="615" w:name="_Toc150774764"/>
      <w:r/>
      <w:bookmarkStart w:id="616" w:name="_Toc127151561"/>
      <w:r/>
      <w:bookmarkStart w:id="617" w:name="_Toc305158829"/>
      <w:r/>
      <w:bookmarkStart w:id="618" w:name="_Toc195842926"/>
      <w:r/>
      <w:r/>
    </w:p>
    <w:p>
      <w:pPr>
        <w:spacing w:line="360" w:lineRule="auto"/>
        <w:rPr>
          <w:rFonts w:hint="eastAsia" w:ascii="宋体" w:hAnsi="宋体" w:cs="宋体"/>
          <w:color w:val="auto"/>
          <w:sz w:val="24"/>
          <w:szCs w:val="20"/>
          <w:highlight w:val="none"/>
          <w:lang w:val="en-US" w:eastAsia="zh-CN"/>
        </w:rPr>
        <w:outlineLvl w:val="2"/>
      </w:pPr>
      <w:r>
        <w:rPr>
          <w:rFonts w:hint="eastAsia" w:ascii="宋体" w:hAnsi="宋体" w:cs="宋体"/>
          <w:color w:val="auto"/>
          <w:sz w:val="24"/>
          <w:szCs w:val="20"/>
          <w:highlight w:val="none"/>
          <w:lang w:val="en-US" w:eastAsia="zh-CN"/>
        </w:rPr>
        <w:t xml:space="preserve">8 分项报价表</w:t>
      </w:r>
      <w:r/>
    </w:p>
    <w:p>
      <w:pPr>
        <w:spacing w:line="360" w:lineRule="auto"/>
        <w:rPr>
          <w:rFonts w:hint="eastAsia" w:ascii="宋体" w:hAnsi="宋体" w:cs="宋体"/>
          <w:color w:val="auto"/>
          <w:sz w:val="24"/>
          <w:szCs w:val="20"/>
          <w:highlight w:val="none"/>
          <w:lang w:val="en-US" w:eastAsia="zh-CN"/>
        </w:rPr>
        <w:outlineLvl w:val="9"/>
      </w:pPr>
      <w:r>
        <w:rPr>
          <w:rFonts w:hint="eastAsia" w:ascii="宋体" w:hAnsi="宋体" w:cs="宋体"/>
          <w:color w:val="auto"/>
          <w:sz w:val="24"/>
          <w:szCs w:val="20"/>
          <w:highlight w:val="none"/>
          <w:lang w:val="en-US" w:eastAsia="zh-CN"/>
        </w:rPr>
      </w:r>
      <w:r/>
    </w:p>
    <w:p>
      <w:pPr>
        <w:jc w:val="center"/>
        <w:spacing w:line="360" w:lineRule="exact"/>
        <w:rPr>
          <w:rFonts w:hint="eastAsia" w:ascii="宋体" w:hAnsi="宋体" w:cs="宋体"/>
          <w:b/>
          <w:sz w:val="32"/>
          <w:szCs w:val="32"/>
          <w:highlight w:val="none"/>
        </w:rPr>
      </w:pPr>
      <w:r>
        <w:rPr>
          <w:rFonts w:hint="eastAsia" w:ascii="宋体" w:hAnsi="宋体" w:eastAsia="宋体" w:cs="宋体"/>
          <w:b/>
          <w:color w:val="auto"/>
          <w:sz w:val="36"/>
          <w:szCs w:val="36"/>
          <w:highlight w:val="none"/>
        </w:rPr>
        <w:t xml:space="preserve">分项报价表</w:t>
      </w:r>
      <w:r/>
    </w:p>
    <w:p>
      <w:pPr>
        <w:rPr>
          <w:rFonts w:hint="eastAsia" w:ascii="宋体" w:hAnsi="宋体" w:cs="宋体"/>
          <w:highlight w:val="none"/>
        </w:rPr>
      </w:pPr>
      <w:r>
        <w:rPr>
          <w:rFonts w:hint="eastAsia" w:ascii="宋体" w:hAnsi="宋体" w:cs="宋体"/>
          <w:highlight w:val="none"/>
        </w:rPr>
      </w:r>
      <w:r/>
    </w:p>
    <w:p>
      <w:pPr>
        <w:tabs>
          <w:tab w:val="left" w:pos="1800" w:leader="none"/>
          <w:tab w:val="left" w:pos="5580" w:leader="none"/>
        </w:tabs>
        <w:rPr>
          <w:rFonts w:hint="eastAsia" w:ascii="宋体" w:hAnsi="宋体" w:cs="宋体"/>
          <w:szCs w:val="21"/>
          <w:highlight w:val="none"/>
        </w:rPr>
      </w:pPr>
      <w:r>
        <w:rPr>
          <w:rFonts w:hint="eastAsia" w:ascii="宋体" w:hAnsi="宋体" w:cs="宋体"/>
          <w:szCs w:val="21"/>
          <w:highlight w:val="none"/>
        </w:rPr>
      </w:r>
      <w:r/>
    </w:p>
    <w:p>
      <w:pPr>
        <w:ind w:firstLine="420"/>
        <w:spacing w:line="360" w:lineRule="auto"/>
        <w:tabs>
          <w:tab w:val="left" w:pos="1800" w:leader="none"/>
          <w:tab w:val="left" w:pos="5580" w:leader="none"/>
        </w:tabs>
        <w:rPr>
          <w:rFonts w:hint="eastAsia" w:ascii="宋体" w:hAnsi="宋体" w:eastAsia="宋体" w:cs="宋体"/>
          <w:color w:val="auto"/>
          <w:sz w:val="24"/>
          <w:highlight w:val="none"/>
          <w:u w:val="single"/>
          <w:lang w:eastAsia="zh-CN"/>
        </w:rPr>
      </w:pPr>
      <w:r>
        <w:rPr>
          <w:rFonts w:hint="eastAsia" w:ascii="宋体" w:hAnsi="宋体" w:cs="宋体"/>
          <w:color w:val="000000"/>
          <w:sz w:val="24"/>
          <w:szCs w:val="24"/>
          <w:highlight w:val="none"/>
        </w:rPr>
        <w:t xml:space="preserve">项目编号/包号：</w:t>
      </w:r>
      <w:r>
        <w:rPr>
          <w:rFonts w:hint="eastAsia" w:ascii="宋体" w:hAnsi="宋体" w:cs="宋体"/>
          <w:color w:val="auto"/>
          <w:sz w:val="24"/>
          <w:highlight w:val="none"/>
          <w:u w:val="single"/>
          <w:lang w:eastAsia="zh-CN"/>
        </w:rPr>
        <w:t xml:space="preserve">JSZC-320413-CZZY-C2026-0027</w:t>
      </w:r>
      <w:r/>
    </w:p>
    <w:p>
      <w:pPr>
        <w:ind w:firstLine="420"/>
        <w:spacing w:line="360" w:lineRule="auto"/>
        <w:tabs>
          <w:tab w:val="left" w:pos="1800" w:leader="none"/>
          <w:tab w:val="left" w:pos="5580" w:leader="none"/>
        </w:tabs>
        <w:rPr>
          <w:rFonts w:hint="eastAsia" w:ascii="宋体" w:hAnsi="宋体" w:cs="宋体"/>
          <w:color w:val="auto"/>
          <w:sz w:val="24"/>
          <w:highlight w:val="none"/>
          <w:u w:val="single"/>
          <w:lang w:eastAsia="zh-CN"/>
        </w:rPr>
      </w:pPr>
      <w:r>
        <w:rPr>
          <w:rFonts w:hint="eastAsia" w:ascii="宋体" w:hAnsi="宋体" w:cs="宋体"/>
          <w:color w:val="000000"/>
          <w:sz w:val="24"/>
          <w:szCs w:val="24"/>
          <w:highlight w:val="none"/>
        </w:rPr>
        <w:t xml:space="preserve">项目名称：</w:t>
      </w:r>
      <w:r>
        <w:rPr>
          <w:rFonts w:hint="eastAsia" w:ascii="宋体" w:hAnsi="宋体" w:cs="宋体"/>
          <w:color w:val="auto"/>
          <w:sz w:val="24"/>
          <w:highlight w:val="none"/>
          <w:u w:val="single"/>
        </w:rPr>
        <w:t xml:space="preserve">常州市金坛区财政局区本级及乡镇系统运维服务项目</w:t>
      </w:r>
      <w:r/>
    </w:p>
    <w:tbl>
      <w:tblPr>
        <w:tblStyle w:val="809"/>
        <w:tblW w:w="82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1"/>
        <w:gridCol w:w="1352"/>
        <w:gridCol w:w="2407"/>
        <w:gridCol w:w="990"/>
        <w:gridCol w:w="942"/>
        <w:gridCol w:w="873"/>
        <w:gridCol w:w="1019"/>
      </w:tblGrid>
      <w:tr>
        <w:trPr>
          <w:cantSplit/>
          <w:jc w:val="center"/>
          <w:trHeight w:val="419"/>
        </w:trPr>
        <w:tc>
          <w:tcPr>
            <w:tcW w:w="711" w:type="dxa"/>
            <w:vAlign w:val="center"/>
            <w:vMerge w:val="restart"/>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序号</w:t>
            </w:r>
            <w:r/>
          </w:p>
        </w:tc>
        <w:tc>
          <w:tcPr>
            <w:tcW w:w="1352" w:type="dxa"/>
            <w:vAlign w:val="center"/>
            <w:vMerge w:val="restart"/>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分项名称</w:t>
            </w:r>
            <w:r/>
          </w:p>
        </w:tc>
        <w:tc>
          <w:tcPr>
            <w:tcW w:w="2407" w:type="dxa"/>
            <w:vAlign w:val="center"/>
            <w:vMerge w:val="restart"/>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服务内容</w:t>
            </w:r>
            <w:r/>
          </w:p>
        </w:tc>
        <w:tc>
          <w:tcPr>
            <w:tcW w:w="990" w:type="dxa"/>
            <w:vAlign w:val="center"/>
            <w:vMerge w:val="restart"/>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数量</w:t>
            </w:r>
            <w:r/>
          </w:p>
        </w:tc>
        <w:tc>
          <w:tcPr>
            <w:tcW w:w="942" w:type="dxa"/>
            <w:vAlign w:val="center"/>
            <w:vMerge w:val="restart"/>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单位</w:t>
            </w:r>
            <w:r/>
          </w:p>
        </w:tc>
        <w:tc>
          <w:tcPr>
            <w:gridSpan w:val="2"/>
            <w:tcW w:w="1892"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投标价格</w:t>
            </w:r>
            <w:r/>
          </w:p>
        </w:tc>
      </w:tr>
      <w:tr>
        <w:trPr>
          <w:cantSplit/>
          <w:jc w:val="center"/>
          <w:trHeight w:val="419"/>
        </w:trPr>
        <w:tc>
          <w:tcPr>
            <w:tcW w:w="711" w:type="dxa"/>
            <w:vAlign w:val="center"/>
            <w:vMerge w:val="continue"/>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352" w:type="dxa"/>
            <w:vAlign w:val="center"/>
            <w:vMerge w:val="continue"/>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2407" w:type="dxa"/>
            <w:vAlign w:val="center"/>
            <w:vMerge w:val="continue"/>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90" w:type="dxa"/>
            <w:vAlign w:val="center"/>
            <w:vMerge w:val="continue"/>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2" w:type="dxa"/>
            <w:vAlign w:val="center"/>
            <w:vMerge w:val="continue"/>
            <w:textDirection w:val="lrTb"/>
            <w:noWrap w:val="false"/>
          </w:tcPr>
          <w:p>
            <w:pPr>
              <w:jc w:val="left"/>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单价</w:t>
            </w:r>
            <w:r/>
          </w:p>
        </w:tc>
        <w:tc>
          <w:tcPr>
            <w:tcW w:w="1019"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合价</w:t>
            </w:r>
            <w:r/>
          </w:p>
        </w:tc>
      </w:tr>
      <w:tr>
        <w:trPr>
          <w:jc w:val="center"/>
          <w:trHeight w:val="491"/>
        </w:trPr>
        <w:tc>
          <w:tcPr>
            <w:tcW w:w="711"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p>
        </w:tc>
        <w:tc>
          <w:tcPr>
            <w:tcW w:w="1352" w:type="dxa"/>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2407"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90"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2"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9"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491"/>
        </w:trPr>
        <w:tc>
          <w:tcPr>
            <w:tcW w:w="711"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w:t>
            </w:r>
            <w:r/>
          </w:p>
        </w:tc>
        <w:tc>
          <w:tcPr>
            <w:tcW w:w="1352" w:type="dxa"/>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2407"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90"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2"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9"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491"/>
        </w:trPr>
        <w:tc>
          <w:tcPr>
            <w:tcW w:w="711"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w:t>
            </w:r>
            <w:r/>
          </w:p>
        </w:tc>
        <w:tc>
          <w:tcPr>
            <w:tcW w:w="1352" w:type="dxa"/>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2407"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90"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2"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9"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491"/>
        </w:trPr>
        <w:tc>
          <w:tcPr>
            <w:tcW w:w="711"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w:t>
            </w:r>
            <w:r/>
          </w:p>
        </w:tc>
        <w:tc>
          <w:tcPr>
            <w:tcW w:w="1352" w:type="dxa"/>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2407"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90"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2"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9"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491"/>
        </w:trPr>
        <w:tc>
          <w:tcPr>
            <w:tcW w:w="711"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w:t>
            </w:r>
            <w:r/>
          </w:p>
        </w:tc>
        <w:tc>
          <w:tcPr>
            <w:tcW w:w="1352" w:type="dxa"/>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2407"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90"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2"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9"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491"/>
        </w:trPr>
        <w:tc>
          <w:tcPr>
            <w:tcW w:w="711"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w:t>
            </w:r>
            <w:r/>
          </w:p>
        </w:tc>
        <w:tc>
          <w:tcPr>
            <w:tcW w:w="1352" w:type="dxa"/>
            <w:vAlign w:val="center"/>
            <w:textDirection w:val="lrTb"/>
            <w:noWrap w:val="false"/>
          </w:tcPr>
          <w:p>
            <w:pPr>
              <w:jc w:val="center"/>
              <w:spacing w:line="360" w:lineRule="auto"/>
              <w:widowControl/>
              <w:rPr>
                <w:rFonts w:hint="eastAsia" w:ascii="宋体" w:hAnsi="宋体" w:cs="宋体"/>
                <w:b/>
                <w:bCs/>
                <w:color w:val="000000"/>
                <w:sz w:val="24"/>
                <w:szCs w:val="24"/>
                <w:highlight w:val="none"/>
              </w:rPr>
            </w:pPr>
            <w:r>
              <w:rPr>
                <w:rFonts w:hint="eastAsia" w:ascii="宋体" w:hAnsi="宋体" w:cs="宋体"/>
                <w:b/>
                <w:bCs/>
                <w:color w:val="000000"/>
                <w:sz w:val="24"/>
                <w:szCs w:val="24"/>
                <w:highlight w:val="none"/>
              </w:rPr>
            </w:r>
            <w:r/>
          </w:p>
        </w:tc>
        <w:tc>
          <w:tcPr>
            <w:tcW w:w="2407"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90"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942"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873"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c>
          <w:tcPr>
            <w:tcW w:w="1019"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r>
            <w:r/>
          </w:p>
        </w:tc>
      </w:tr>
      <w:tr>
        <w:trPr>
          <w:jc w:val="center"/>
          <w:trHeight w:val="501"/>
        </w:trPr>
        <w:tc>
          <w:tcPr>
            <w:gridSpan w:val="3"/>
            <w:tcW w:w="4470" w:type="dxa"/>
            <w:vAlign w:val="center"/>
            <w:textDirection w:val="lrTb"/>
            <w:noWrap w:val="false"/>
          </w:tcPr>
          <w:p>
            <w:pPr>
              <w:jc w:val="center"/>
              <w:spacing w:line="360" w:lineRule="auto"/>
              <w:widowControl/>
              <w:rPr>
                <w:rFonts w:hint="eastAsia" w:ascii="宋体" w:hAnsi="宋体" w:cs="宋体"/>
                <w:color w:val="000000"/>
                <w:sz w:val="24"/>
                <w:szCs w:val="24"/>
                <w:highlight w:val="none"/>
              </w:rPr>
            </w:pPr>
            <w:r>
              <w:rPr>
                <w:rFonts w:hint="eastAsia" w:ascii="宋体" w:hAnsi="宋体" w:cs="宋体"/>
                <w:color w:val="000000"/>
                <w:sz w:val="24"/>
                <w:szCs w:val="24"/>
                <w:highlight w:val="none"/>
                <w:lang w:val="en-US" w:eastAsia="zh-CN"/>
              </w:rPr>
              <w:t xml:space="preserve">合计</w:t>
            </w:r>
            <w:r/>
          </w:p>
        </w:tc>
        <w:tc>
          <w:tcPr>
            <w:gridSpan w:val="4"/>
            <w:tcW w:w="3824" w:type="dxa"/>
            <w:vAlign w:val="center"/>
            <w:textDirection w:val="lrTb"/>
            <w:noWrap w:val="false"/>
          </w:tcPr>
          <w:p>
            <w:pPr>
              <w:jc w:val="center"/>
              <w:spacing w:line="360" w:lineRule="auto"/>
              <w:widowControl/>
              <w:rPr>
                <w:rFonts w:hint="eastAsia" w:ascii="宋体" w:hAnsi="宋体" w:cs="宋体"/>
                <w:color w:val="000000"/>
                <w:sz w:val="24"/>
                <w:szCs w:val="24"/>
                <w:highlight w:val="none"/>
                <w:u w:val="single"/>
              </w:rPr>
            </w:pPr>
            <w:r>
              <w:rPr>
                <w:rFonts w:hint="eastAsia" w:ascii="宋体" w:hAnsi="宋体" w:cs="宋体"/>
                <w:color w:val="000000"/>
                <w:sz w:val="24"/>
                <w:szCs w:val="24"/>
                <w:highlight w:val="none"/>
                <w:u w:val="single"/>
                <w:lang w:val="en-US" w:eastAsia="zh-CN"/>
              </w:rPr>
              <w:t xml:space="preserve">         </w:t>
            </w:r>
            <w:r>
              <w:rPr>
                <w:rFonts w:hint="eastAsia" w:ascii="宋体" w:hAnsi="宋体" w:cs="宋体"/>
                <w:color w:val="000000"/>
                <w:sz w:val="24"/>
                <w:szCs w:val="24"/>
                <w:highlight w:val="none"/>
                <w:u w:val="none"/>
                <w:lang w:val="en-US" w:eastAsia="zh-CN"/>
              </w:rPr>
              <w:t xml:space="preserve">元</w:t>
            </w:r>
            <w:r/>
          </w:p>
        </w:tc>
      </w:tr>
    </w:tbl>
    <w:p>
      <w:pPr>
        <w:ind w:firstLine="420"/>
        <w:jc w:val="left"/>
        <w:spacing w:line="360" w:lineRule="auto"/>
        <w:tabs>
          <w:tab w:val="left" w:pos="1800" w:leader="none"/>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注：1.本表应按包分别填写。</w:t>
      </w:r>
      <w:r/>
    </w:p>
    <w:p>
      <w:pPr>
        <w:ind w:firstLine="840"/>
        <w:jc w:val="left"/>
        <w:spacing w:line="360" w:lineRule="auto"/>
        <w:tabs>
          <w:tab w:val="left" w:pos="1800" w:leader="none"/>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2.如果不提供分项报价将视为没有实质性响应</w:t>
      </w:r>
      <w:r>
        <w:rPr>
          <w:rFonts w:hint="eastAsia" w:ascii="宋体" w:hAnsi="宋体" w:cs="宋体"/>
          <w:color w:val="000000"/>
          <w:sz w:val="24"/>
          <w:szCs w:val="24"/>
          <w:highlight w:val="none"/>
          <w:lang w:val="en-US" w:eastAsia="zh-CN"/>
        </w:rPr>
        <w:t xml:space="preserve">采购</w:t>
      </w:r>
      <w:r>
        <w:rPr>
          <w:rFonts w:hint="eastAsia" w:ascii="宋体" w:hAnsi="宋体" w:cs="宋体"/>
          <w:color w:val="000000"/>
          <w:sz w:val="24"/>
          <w:szCs w:val="24"/>
          <w:highlight w:val="none"/>
        </w:rPr>
        <w:t xml:space="preserve">文件。</w:t>
      </w:r>
      <w:r/>
    </w:p>
    <w:p>
      <w:pPr>
        <w:ind w:firstLine="840"/>
        <w:jc w:val="left"/>
        <w:spacing w:line="360" w:lineRule="auto"/>
        <w:tabs>
          <w:tab w:val="left" w:pos="1800" w:leader="none"/>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3.本表行数可以按照项目分项情况增加。</w:t>
      </w:r>
      <w:r/>
    </w:p>
    <w:p>
      <w:pPr>
        <w:ind w:firstLine="840"/>
        <w:jc w:val="left"/>
        <w:spacing w:line="360" w:lineRule="auto"/>
        <w:tabs>
          <w:tab w:val="left" w:pos="1800" w:leader="none"/>
          <w:tab w:val="left" w:pos="5580" w:leader="none"/>
        </w:tabs>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4.上述各项的服务内容如表格中填写不下的，可以逐项另页描述。</w:t>
      </w:r>
      <w:r/>
    </w:p>
    <w:p>
      <w:pPr>
        <w:spacing w:before="25" w:after="25" w:line="360" w:lineRule="auto"/>
        <w:rPr>
          <w:rFonts w:hint="eastAsia" w:ascii="宋体" w:hAnsi="宋体" w:cs="宋体"/>
          <w:sz w:val="24"/>
          <w:szCs w:val="24"/>
          <w:highlight w:val="none"/>
          <w:lang w:val="zh-CN"/>
        </w:rPr>
      </w:pPr>
      <w:r>
        <w:rPr>
          <w:rFonts w:hint="eastAsia" w:ascii="宋体" w:hAnsi="宋体" w:cs="宋体"/>
          <w:sz w:val="24"/>
          <w:szCs w:val="24"/>
          <w:highlight w:val="none"/>
          <w:lang w:val="zh-CN"/>
        </w:rPr>
        <w:t xml:space="preserve">                  </w:t>
      </w:r>
      <w:r/>
    </w:p>
    <w:p>
      <w:pPr>
        <w:ind w:firstLine="420"/>
        <w:spacing w:before="25" w:after="25" w:line="360" w:lineRule="auto"/>
        <w:rPr>
          <w:rFonts w:hint="eastAsia" w:ascii="宋体" w:hAnsi="宋体" w:cs="宋体"/>
          <w:sz w:val="24"/>
          <w:szCs w:val="24"/>
          <w:highlight w:val="none"/>
          <w:lang w:val="zh-CN"/>
        </w:rPr>
      </w:pPr>
      <w:r>
        <w:rPr>
          <w:rFonts w:hint="eastAsia" w:ascii="宋体" w:hAnsi="宋体" w:cs="宋体"/>
          <w:sz w:val="24"/>
          <w:szCs w:val="24"/>
          <w:highlight w:val="none"/>
          <w:lang w:val="en-US" w:eastAsia="zh-CN"/>
        </w:rPr>
        <w:t xml:space="preserve">供应商</w:t>
      </w:r>
      <w:r>
        <w:rPr>
          <w:rFonts w:hint="eastAsia" w:ascii="宋体" w:hAnsi="宋体" w:cs="宋体"/>
          <w:sz w:val="24"/>
          <w:szCs w:val="24"/>
          <w:highlight w:val="none"/>
        </w:rPr>
        <w:t xml:space="preserve">名称（加盖公章）</w:t>
      </w:r>
      <w:r>
        <w:rPr>
          <w:rFonts w:hint="eastAsia" w:ascii="宋体" w:hAnsi="宋体" w:cs="宋体"/>
          <w:sz w:val="24"/>
          <w:szCs w:val="24"/>
          <w:highlight w:val="none"/>
          <w:lang w:val="zh-CN"/>
        </w:rPr>
        <w:t xml:space="preserve">：____________</w:t>
      </w:r>
      <w:r/>
    </w:p>
    <w:p>
      <w:pPr>
        <w:ind w:firstLine="480"/>
        <w:spacing w:line="360" w:lineRule="auto"/>
        <w:rPr>
          <w:rFonts w:hint="eastAsia" w:ascii="宋体" w:hAnsi="宋体" w:eastAsia="宋体" w:cs="宋体"/>
          <w:color w:val="auto"/>
          <w:sz w:val="24"/>
          <w:szCs w:val="20"/>
          <w:highlight w:val="none"/>
          <w:lang w:val="en-US" w:eastAsia="zh-CN"/>
        </w:rPr>
        <w:sectPr>
          <w:footnotePr/>
          <w:endnotePr/>
          <w:type w:val="nextPage"/>
          <w:pgSz w:w="11907" w:h="16840" w:orient="portrait"/>
          <w:pgMar w:top="1418" w:right="1134" w:bottom="1418" w:left="1134" w:header="851" w:footer="851" w:gutter="0"/>
          <w:cols w:num="1" w:sep="0" w:space="1701" w:equalWidth="1"/>
          <w:docGrid w:linePitch="360"/>
        </w:sectPr>
        <w:outlineLvl w:val="9"/>
      </w:pPr>
      <w:r>
        <w:rPr>
          <w:rFonts w:hint="eastAsia" w:ascii="宋体" w:hAnsi="宋体" w:cs="宋体"/>
          <w:sz w:val="24"/>
          <w:szCs w:val="24"/>
          <w:highlight w:val="none"/>
        </w:rPr>
        <w:t xml:space="preserve">日期：_____年______月______日</w:t>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lang w:val="en-US" w:eastAsia="zh-CN"/>
        </w:rPr>
        <w:t xml:space="preserve">9</w:t>
      </w:r>
      <w:r>
        <w:rPr>
          <w:rFonts w:hint="eastAsia" w:ascii="宋体" w:hAnsi="宋体" w:cs="宋体"/>
          <w:color w:val="auto"/>
          <w:sz w:val="24"/>
          <w:szCs w:val="20"/>
          <w:highlight w:val="none"/>
        </w:rPr>
        <w:t xml:space="preserve"> 合同条款偏离表</w:t>
      </w:r>
      <w:bookmarkEnd w:id="593"/>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rPr>
          <w:rFonts w:hint="eastAsia" w:ascii="宋体" w:hAnsi="宋体" w:cs="宋体"/>
          <w:color w:val="auto"/>
          <w:sz w:val="24"/>
          <w:szCs w:val="20"/>
          <w:highlight w:val="none"/>
        </w:rPr>
        <w:t xml:space="preserve">（实质性格式）</w:t>
      </w:r>
      <w:r/>
    </w:p>
    <w:p>
      <w:pP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合同条款偏离表</w:t>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项目编号/包号：</w:t>
      </w:r>
      <w:r>
        <w:rPr>
          <w:rFonts w:hint="eastAsia" w:ascii="宋体" w:hAnsi="宋体" w:cs="宋体"/>
          <w:color w:val="auto"/>
          <w:sz w:val="24"/>
          <w:szCs w:val="20"/>
          <w:highlight w:val="none"/>
          <w:u w:val="single"/>
          <w:lang w:eastAsia="zh-CN"/>
        </w:rPr>
        <w:t xml:space="preserve">JSZC-320413-CZZY-C2026-0027</w:t>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szCs w:val="20"/>
          <w:highlight w:val="none"/>
          <w:u w:val="single"/>
          <w:lang w:eastAsia="zh-CN"/>
        </w:rPr>
        <w:t xml:space="preserve">常州市金坛区财政局区本级及乡镇系统运维服务项目</w:t>
      </w:r>
      <w:r/>
    </w:p>
    <w:tbl>
      <w:tblPr>
        <w:tblStyle w:val="8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1290"/>
        <w:gridCol w:w="1980"/>
        <w:gridCol w:w="1981"/>
        <w:gridCol w:w="2098"/>
        <w:gridCol w:w="1112"/>
      </w:tblGrid>
      <w:tr>
        <w:trPr>
          <w:jc w:val="center"/>
          <w:trHeight w:val="930"/>
        </w:trPr>
        <w:tc>
          <w:tcPr>
            <w:gridSpan w:val="6"/>
            <w:tcW w:w="9288" w:type="dxa"/>
            <w:vAlign w:val="center"/>
            <w:textDirection w:val="lrTb"/>
            <w:noWrap w:val="false"/>
          </w:tcPr>
          <w:p>
            <w:pPr>
              <w:jc w:val="left"/>
              <w:rPr>
                <w:rFonts w:hint="eastAsia" w:ascii="宋体" w:hAnsi="宋体" w:cs="宋体"/>
                <w:b/>
                <w:color w:val="auto"/>
                <w:sz w:val="24"/>
                <w:highlight w:val="none"/>
              </w:rPr>
            </w:pPr>
            <w:r>
              <w:rPr>
                <w:rFonts w:hint="eastAsia" w:ascii="宋体" w:hAnsi="宋体" w:cs="宋体"/>
                <w:b/>
                <w:color w:val="auto"/>
                <w:sz w:val="24"/>
                <w:highlight w:val="none"/>
              </w:rPr>
              <w:t xml:space="preserve">对本项目合同条款的偏离情况（请进行勾选）：</w:t>
            </w:r>
            <w:r/>
          </w:p>
          <w:p>
            <w:pPr>
              <w:jc w:val="left"/>
              <w:rPr>
                <w:rFonts w:hint="eastAsia" w:ascii="宋体" w:hAnsi="宋体" w:cs="宋体"/>
                <w:b/>
                <w:color w:val="auto"/>
                <w:sz w:val="24"/>
                <w:highlight w:val="none"/>
              </w:rPr>
            </w:pPr>
            <w:r>
              <w:rPr>
                <w:rFonts w:hint="eastAsia" w:ascii="宋体" w:hAnsi="宋体" w:cs="宋体"/>
                <w:b/>
                <w:color w:val="auto"/>
                <w:sz w:val="24"/>
                <w:highlight w:val="none"/>
              </w:rPr>
              <w:t xml:space="preserve">□无偏离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如无偏离，仅勾选无偏离即可</w:t>
            </w:r>
            <w:r>
              <w:rPr>
                <w:rFonts w:hint="eastAsia" w:ascii="宋体" w:hAnsi="宋体" w:cs="宋体"/>
                <w:color w:val="auto"/>
                <w:sz w:val="24"/>
                <w:highlight w:val="none"/>
              </w:rPr>
              <w:t xml:space="preserve">）</w:t>
            </w:r>
            <w:r/>
          </w:p>
          <w:p>
            <w:pPr>
              <w:jc w:val="left"/>
              <w:rPr>
                <w:rFonts w:hint="eastAsia" w:ascii="宋体" w:hAnsi="宋体" w:cs="宋体"/>
                <w:color w:val="auto"/>
                <w:sz w:val="24"/>
                <w:highlight w:val="none"/>
              </w:rPr>
            </w:pPr>
            <w:r>
              <w:rPr>
                <w:rFonts w:hint="eastAsia" w:ascii="宋体" w:hAnsi="宋体" w:cs="宋体"/>
                <w:b/>
                <w:color w:val="auto"/>
                <w:sz w:val="24"/>
                <w:highlight w:val="none"/>
              </w:rPr>
              <w:t xml:space="preserve">□有偏离</w:t>
            </w:r>
            <w:r>
              <w:rPr>
                <w:rFonts w:hint="eastAsia" w:ascii="宋体" w:hAnsi="宋体" w:cs="宋体"/>
                <w:color w:val="auto"/>
                <w:sz w:val="24"/>
                <w:highlight w:val="none"/>
              </w:rPr>
              <w:t xml:space="preserve">（</w:t>
            </w:r>
            <w:r>
              <w:rPr>
                <w:rFonts w:hint="eastAsia" w:ascii="宋体" w:hAnsi="宋体" w:cs="宋体"/>
                <w:color w:val="auto"/>
                <w:sz w:val="24"/>
                <w:szCs w:val="21"/>
                <w:highlight w:val="none"/>
              </w:rPr>
              <w:t xml:space="preserve">如有负偏离，</w:t>
            </w:r>
            <w:r>
              <w:rPr>
                <w:rFonts w:hint="eastAsia" w:ascii="宋体" w:hAnsi="宋体" w:cs="宋体"/>
                <w:color w:val="auto"/>
                <w:sz w:val="24"/>
                <w:highlight w:val="none"/>
              </w:rPr>
              <w:t xml:space="preserve">则须在本表中对负偏离项逐一列明）</w:t>
            </w:r>
            <w:r/>
          </w:p>
        </w:tc>
      </w:tr>
      <w:tr>
        <w:trPr>
          <w:jc w:val="center"/>
          <w:trHeight w:val="930"/>
        </w:trPr>
        <w:tc>
          <w:tcPr>
            <w:tcW w:w="8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29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szCs w:val="21"/>
                <w:highlight w:val="none"/>
              </w:rPr>
              <w:t xml:space="preserve">磋商文件</w:t>
            </w:r>
            <w:r>
              <w:rPr>
                <w:rFonts w:hint="eastAsia" w:ascii="宋体" w:hAnsi="宋体" w:cs="宋体"/>
                <w:color w:val="auto"/>
                <w:sz w:val="24"/>
                <w:highlight w:val="none"/>
              </w:rPr>
              <w:t xml:space="preserve">条目号（页码）</w:t>
            </w:r>
            <w:r/>
          </w:p>
        </w:tc>
        <w:tc>
          <w:tcPr>
            <w:tcW w:w="19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szCs w:val="21"/>
                <w:highlight w:val="none"/>
              </w:rPr>
              <w:t xml:space="preserve">磋商文件</w:t>
            </w:r>
            <w:r>
              <w:rPr>
                <w:rFonts w:hint="eastAsia" w:ascii="宋体" w:hAnsi="宋体" w:cs="宋体"/>
                <w:color w:val="auto"/>
                <w:sz w:val="24"/>
                <w:highlight w:val="none"/>
              </w:rPr>
              <w:t xml:space="preserve">要求</w:t>
            </w:r>
            <w:r/>
          </w:p>
        </w:tc>
        <w:tc>
          <w:tcPr>
            <w:tcW w:w="198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响应文件内容</w:t>
            </w:r>
            <w:r/>
          </w:p>
        </w:tc>
        <w:tc>
          <w:tcPr>
            <w:tcW w:w="209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偏离情况</w:t>
            </w:r>
            <w:r/>
          </w:p>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（据实填写）</w:t>
            </w:r>
            <w:r/>
          </w:p>
        </w:tc>
        <w:tc>
          <w:tcPr>
            <w:tcW w:w="11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说明</w:t>
            </w:r>
            <w:r/>
          </w:p>
        </w:tc>
      </w:tr>
      <w:tr>
        <w:trPr>
          <w:jc w:val="center"/>
          <w:trHeight w:val="930"/>
        </w:trPr>
        <w:tc>
          <w:tcPr>
            <w:tcW w:w="8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9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9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98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09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1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30"/>
        </w:trPr>
        <w:tc>
          <w:tcPr>
            <w:tcW w:w="8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9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9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98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09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1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30"/>
        </w:trPr>
        <w:tc>
          <w:tcPr>
            <w:tcW w:w="8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9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9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98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09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1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30"/>
        </w:trPr>
        <w:tc>
          <w:tcPr>
            <w:tcW w:w="82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29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98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98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09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11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jc w:val="left"/>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r>
      <w:r/>
    </w:p>
    <w:p>
      <w:pPr>
        <w:jc w:val="left"/>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jc w:val="left"/>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1.对合同条款中的所有要求，除本表所列明的所有偏离外，均视作供应商已对之理解和响应。</w:t>
      </w:r>
      <w:r/>
    </w:p>
    <w:p>
      <w:pPr>
        <w:jc w:val="left"/>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2.“偏离情况”列应据实填写“无偏离”“正偏离”或“负偏离”。</w:t>
      </w:r>
      <w:r/>
    </w:p>
    <w:p>
      <w:pP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供应商名称（加盖公章）</w:t>
      </w:r>
      <w:r>
        <w:rPr>
          <w:rFonts w:hint="eastAsia" w:ascii="宋体" w:hAnsi="宋体" w:cs="宋体"/>
          <w:color w:val="auto"/>
          <w:sz w:val="24"/>
          <w:highlight w:val="none"/>
          <w:lang w:val="zh-CN"/>
        </w:rPr>
        <w:t xml:space="preserve">：____________</w:t>
      </w:r>
      <w:r/>
    </w:p>
    <w:p>
      <w:pPr>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4"/>
          <w:szCs w:val="20"/>
          <w:highlight w:val="none"/>
        </w:rPr>
        <w:br w:type="page" w:clear="all"/>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rPr>
          <w:rFonts w:hint="eastAsia" w:ascii="宋体" w:hAnsi="宋体" w:cs="宋体"/>
          <w:color w:val="auto"/>
          <w:sz w:val="24"/>
          <w:szCs w:val="20"/>
          <w:highlight w:val="none"/>
          <w:lang w:val="en-US" w:eastAsia="zh-CN"/>
        </w:rPr>
        <w:t xml:space="preserve">10 </w:t>
      </w:r>
      <w:r>
        <w:rPr>
          <w:rFonts w:hint="eastAsia" w:ascii="宋体" w:hAnsi="宋体" w:cs="宋体"/>
          <w:color w:val="auto"/>
          <w:sz w:val="24"/>
          <w:szCs w:val="20"/>
          <w:highlight w:val="none"/>
        </w:rPr>
        <w:t xml:space="preserve">采购需求偏离表（实质性格式）</w:t>
      </w:r>
      <w:r/>
    </w:p>
    <w:p>
      <w:pPr>
        <w:jc w:val="center"/>
        <w:rPr>
          <w:rFonts w:hint="eastAsia" w:ascii="宋体" w:hAnsi="宋体" w:cs="宋体"/>
          <w:b/>
          <w:color w:val="auto"/>
          <w:sz w:val="36"/>
          <w:szCs w:val="36"/>
          <w:highlight w:val="none"/>
        </w:rPr>
      </w:pPr>
      <w:r>
        <w:rPr>
          <w:rFonts w:hint="eastAsia" w:ascii="宋体" w:hAnsi="宋体" w:cs="宋体"/>
          <w:b/>
          <w:color w:val="auto"/>
          <w:sz w:val="36"/>
          <w:szCs w:val="36"/>
          <w:highlight w:val="none"/>
        </w:rPr>
        <w:t xml:space="preserve">采购需求偏离表</w:t>
      </w:r>
      <w:r/>
    </w:p>
    <w:p>
      <w:pPr>
        <w:jc w:val="cente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项目编号/包号：</w:t>
      </w:r>
      <w:r>
        <w:rPr>
          <w:rFonts w:hint="eastAsia" w:ascii="宋体" w:hAnsi="宋体" w:cs="宋体"/>
          <w:color w:val="auto"/>
          <w:sz w:val="24"/>
          <w:szCs w:val="20"/>
          <w:highlight w:val="none"/>
          <w:u w:val="single"/>
          <w:lang w:eastAsia="zh-CN"/>
        </w:rPr>
        <w:t xml:space="preserve">JSZC-320413-CZZY-C2026-0027</w:t>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u w:val="singl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szCs w:val="20"/>
          <w:highlight w:val="none"/>
          <w:u w:val="single"/>
          <w:lang w:eastAsia="zh-CN"/>
        </w:rPr>
        <w:t xml:space="preserve">常州市金坛区财政局区本级及乡镇系统运维服务项目</w:t>
      </w:r>
      <w:r/>
    </w:p>
    <w:tbl>
      <w:tblPr>
        <w:tblStyle w:val="809"/>
        <w:tblW w:w="965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48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磋商文件条目号(页码)</w:t>
            </w:r>
            <w:r/>
          </w:p>
        </w:tc>
        <w:tc>
          <w:tcPr>
            <w:tcW w:w="238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磋商文件要求</w:t>
            </w:r>
            <w:r/>
          </w:p>
        </w:tc>
        <w:tc>
          <w:tcPr>
            <w:tcW w:w="212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响应内容</w:t>
            </w:r>
            <w:r/>
          </w:p>
        </w:tc>
        <w:tc>
          <w:tcPr>
            <w:tcW w:w="18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偏离情况</w:t>
            </w:r>
            <w:r/>
          </w:p>
          <w:p>
            <w:pPr>
              <w:jc w:val="center"/>
              <w:rPr>
                <w:rFonts w:hint="eastAsia" w:ascii="宋体" w:hAnsi="宋体" w:cs="宋体"/>
                <w:color w:val="auto"/>
                <w:sz w:val="24"/>
                <w:highlight w:val="none"/>
              </w:rPr>
            </w:pPr>
            <w:r>
              <w:rPr>
                <w:rFonts w:hint="eastAsia" w:ascii="宋体" w:hAnsi="宋体" w:cs="宋体"/>
                <w:color w:val="auto"/>
                <w:sz w:val="24"/>
                <w:szCs w:val="21"/>
                <w:highlight w:val="none"/>
              </w:rPr>
              <w:t xml:space="preserve">（据实填写）</w:t>
            </w:r>
            <w:r/>
          </w:p>
        </w:tc>
        <w:tc>
          <w:tcPr>
            <w:tcW w:w="100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说明</w:t>
            </w:r>
            <w:r/>
          </w:p>
        </w:tc>
      </w:tr>
      <w:tr>
        <w:trPr>
          <w:jc w:val="center"/>
          <w:trHeight w:val="930"/>
        </w:trPr>
        <w:tc>
          <w:tcPr>
            <w:tcW w:w="7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38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8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0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38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8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0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38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8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0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38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8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0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Height w:val="930"/>
        </w:trPr>
        <w:tc>
          <w:tcPr>
            <w:tcW w:w="7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482"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38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126"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875"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1009"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r>
            <w:r/>
          </w:p>
        </w:tc>
      </w:tr>
    </w:tbl>
    <w:p>
      <w:pPr>
        <w:ind w:firstLine="360"/>
        <w:jc w:val="left"/>
        <w:spacing w:line="360" w:lineRule="auto"/>
        <w:tabs>
          <w:tab w:val="left" w:pos="1800" w:leader="none"/>
          <w:tab w:val="left" w:pos="5580" w:leader="none"/>
        </w:tabs>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ind w:firstLine="360"/>
        <w:jc w:val="left"/>
        <w:spacing w:line="360" w:lineRule="auto"/>
        <w:tabs>
          <w:tab w:val="left" w:pos="1800" w:leader="none"/>
          <w:tab w:val="left" w:pos="5580" w:leader="none"/>
        </w:tabs>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jc w:val="left"/>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注：</w:t>
      </w:r>
      <w:r/>
    </w:p>
    <w:p>
      <w:pPr>
        <w:jc w:val="left"/>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1.对磋商文件中的所有商务、技术要求，除本表所列明的所有偏离外，均视作供应商已对之理解和响应。此表中若无任何文字说明，内容为空白，则</w:t>
      </w:r>
      <w:r>
        <w:rPr>
          <w:rFonts w:hint="eastAsia" w:ascii="宋体" w:hAnsi="宋体" w:cs="宋体"/>
          <w:b/>
          <w:color w:val="auto"/>
          <w:sz w:val="24"/>
          <w:highlight w:val="none"/>
        </w:rPr>
        <w:t xml:space="preserve">响应无效</w:t>
      </w:r>
      <w:r>
        <w:rPr>
          <w:rFonts w:hint="eastAsia" w:ascii="宋体" w:hAnsi="宋体" w:cs="宋体"/>
          <w:color w:val="auto"/>
          <w:sz w:val="24"/>
          <w:highlight w:val="none"/>
        </w:rPr>
        <w:t xml:space="preserve">。</w:t>
      </w:r>
      <w:r/>
    </w:p>
    <w:p>
      <w:pPr>
        <w:jc w:val="left"/>
        <w:tabs>
          <w:tab w:val="left" w:pos="1800" w:leader="none"/>
          <w:tab w:val="left" w:pos="5580" w:leader="none"/>
        </w:tabs>
        <w:rPr>
          <w:rFonts w:hint="eastAsia" w:ascii="宋体" w:hAnsi="宋体" w:cs="宋体"/>
          <w:color w:val="auto"/>
          <w:sz w:val="24"/>
          <w:highlight w:val="none"/>
        </w:rPr>
      </w:pPr>
      <w:r>
        <w:rPr>
          <w:rFonts w:hint="eastAsia" w:ascii="宋体" w:hAnsi="宋体" w:cs="宋体"/>
          <w:color w:val="auto"/>
          <w:sz w:val="24"/>
          <w:highlight w:val="none"/>
        </w:rPr>
        <w:t xml:space="preserve">2.“偏离情况”列应据实填写“无偏离”、“正偏离”或“负偏离”。</w:t>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供应商名称（加盖公章）</w:t>
      </w:r>
      <w:r>
        <w:rPr>
          <w:rFonts w:hint="eastAsia" w:ascii="宋体" w:hAnsi="宋体" w:cs="宋体"/>
          <w:color w:val="auto"/>
          <w:sz w:val="24"/>
          <w:highlight w:val="none"/>
          <w:lang w:val="zh-CN"/>
        </w:rPr>
        <w:t xml:space="preserve">：    ____________</w:t>
      </w:r>
      <w:r/>
    </w:p>
    <w:p>
      <w:pPr>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rPr>
          <w:rFonts w:hint="eastAsia" w:ascii="宋体" w:hAnsi="宋体" w:cs="宋体"/>
          <w:color w:val="auto"/>
          <w:sz w:val="24"/>
          <w:szCs w:val="20"/>
          <w:highlight w:val="none"/>
          <w:lang w:val="zh-CN"/>
        </w:rPr>
      </w:pPr>
      <w:r>
        <w:rPr>
          <w:rFonts w:hint="eastAsia" w:ascii="宋体" w:hAnsi="宋体" w:cs="宋体"/>
          <w:color w:val="auto"/>
          <w:sz w:val="24"/>
          <w:szCs w:val="20"/>
          <w:highlight w:val="none"/>
          <w:lang w:val="zh-CN"/>
        </w:rPr>
      </w:r>
      <w:r/>
    </w:p>
    <w:p>
      <w:pPr>
        <w:pStyle w:val="852"/>
        <w:ind w:firstLine="480"/>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852"/>
        <w:ind w:firstLine="480"/>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240" w:lineRule="auto"/>
        <w:rPr>
          <w:rFonts w:hint="eastAsia" w:ascii="宋体" w:hAnsi="宋体" w:cs="宋体"/>
          <w:color w:val="auto"/>
          <w:sz w:val="24"/>
          <w:highlight w:val="none"/>
        </w:rPr>
        <w:outlineLvl w:val="9"/>
      </w:pPr>
      <w:r>
        <w:rPr>
          <w:rFonts w:hint="eastAsia" w:ascii="宋体" w:hAnsi="宋体" w:eastAsia="宋体" w:cs="宋体"/>
          <w:color w:val="auto"/>
          <w:sz w:val="24"/>
          <w:szCs w:val="20"/>
          <w:highlight w:val="none"/>
          <w:lang w:val="en-US" w:eastAsia="zh-CN"/>
        </w:rPr>
        <w:t xml:space="preserve">1</w:t>
      </w:r>
      <w:r>
        <w:rPr>
          <w:rFonts w:hint="eastAsia" w:ascii="宋体" w:hAnsi="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rPr>
        <w:t xml:space="preserve"> </w:t>
      </w:r>
      <w:r>
        <w:rPr>
          <w:rFonts w:hint="eastAsia" w:ascii="宋体" w:hAnsi="宋体" w:cs="宋体"/>
          <w:color w:val="auto"/>
          <w:sz w:val="24"/>
          <w:szCs w:val="20"/>
          <w:highlight w:val="none"/>
        </w:rPr>
        <w:t xml:space="preserve">参加本项目人员一览表</w:t>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jc w:val="center"/>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参加本项目人员一览表</w:t>
      </w:r>
      <w:r/>
    </w:p>
    <w:p>
      <w:pPr>
        <w:spacing w:line="360" w:lineRule="auto"/>
        <w:rPr>
          <w:rFonts w:hint="eastAsia" w:ascii="宋体" w:hAnsi="宋体" w:cs="宋体"/>
          <w:color w:val="auto"/>
          <w:sz w:val="22"/>
          <w:highlight w:val="none"/>
        </w:rPr>
      </w:pPr>
      <w:r>
        <w:rPr>
          <w:rFonts w:hint="eastAsia" w:ascii="宋体" w:hAnsi="宋体" w:cs="宋体"/>
          <w:color w:val="auto"/>
          <w:sz w:val="22"/>
          <w:highlight w:val="none"/>
        </w:rPr>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项目编号/包号：</w:t>
      </w:r>
      <w:r>
        <w:rPr>
          <w:rFonts w:hint="eastAsia" w:ascii="宋体" w:hAnsi="宋体" w:cs="宋体"/>
          <w:color w:val="auto"/>
          <w:sz w:val="24"/>
          <w:szCs w:val="20"/>
          <w:highlight w:val="none"/>
          <w:u w:val="single"/>
          <w:lang w:eastAsia="zh-CN"/>
        </w:rPr>
        <w:t xml:space="preserve">JSZC-320413-CZZY-C2026-0027</w:t>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szCs w:val="20"/>
          <w:highlight w:val="none"/>
          <w:u w:val="single"/>
          <w:lang w:eastAsia="zh-CN"/>
        </w:rPr>
        <w:t xml:space="preserve">常州市金坛区财政局区本级及乡镇系统运维服务项目</w:t>
      </w:r>
      <w:r/>
    </w:p>
    <w:tbl>
      <w:tblPr>
        <w:tblStyle w:val="809"/>
        <w:tblW w:w="9615" w:type="dxa"/>
        <w:tblInd w:w="-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65"/>
        <w:gridCol w:w="795"/>
        <w:gridCol w:w="975"/>
        <w:gridCol w:w="915"/>
        <w:gridCol w:w="1205"/>
        <w:gridCol w:w="730"/>
        <w:gridCol w:w="900"/>
        <w:gridCol w:w="1065"/>
        <w:gridCol w:w="1035"/>
        <w:gridCol w:w="1230"/>
      </w:tblGrid>
      <w:tr>
        <w:trPr/>
        <w:tc>
          <w:tcPr>
            <w:tcW w:w="76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79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97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91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20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毕业学校和学历</w:t>
            </w:r>
            <w:r/>
          </w:p>
        </w:tc>
        <w:tc>
          <w:tcPr>
            <w:tcW w:w="730"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专业</w:t>
            </w:r>
            <w:r/>
          </w:p>
        </w:tc>
        <w:tc>
          <w:tcPr>
            <w:tcW w:w="900"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106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专业培训及证书</w:t>
            </w:r>
            <w:r/>
          </w:p>
        </w:tc>
        <w:tc>
          <w:tcPr>
            <w:tcW w:w="1035"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责任</w:t>
            </w:r>
            <w:r/>
          </w:p>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或分工</w:t>
            </w:r>
            <w:r/>
          </w:p>
        </w:tc>
        <w:tc>
          <w:tcPr>
            <w:tcW w:w="1230"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项目经历或主要工作业绩</w:t>
            </w:r>
            <w:r/>
          </w:p>
        </w:tc>
      </w:tr>
      <w:tr>
        <w:trPr/>
        <w:tc>
          <w:tcPr>
            <w:tcW w:w="7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79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7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1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20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0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0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03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2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c>
          <w:tcPr>
            <w:tcW w:w="7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79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7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1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20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0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0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03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2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r>
        <w:trPr/>
        <w:tc>
          <w:tcPr>
            <w:tcW w:w="7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79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1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0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0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03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79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1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0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0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03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79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7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1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0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0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0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03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c>
          <w:tcPr>
            <w:tcW w:w="7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79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7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1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20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90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06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035"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c>
          <w:tcPr>
            <w:tcW w:w="12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t xml:space="preserve"> </w:t>
            </w:r>
            <w:r/>
          </w:p>
        </w:tc>
      </w:tr>
    </w:tbl>
    <w:p>
      <w:pPr>
        <w:tabs>
          <w:tab w:val="left" w:pos="9765" w:leader="none"/>
        </w:tabs>
        <w:rPr>
          <w:rFonts w:hint="eastAsia" w:ascii="宋体" w:hAnsi="宋体" w:cs="宋体"/>
          <w:b/>
          <w:color w:val="auto"/>
          <w:sz w:val="24"/>
          <w:highlight w:val="none"/>
          <w:lang w:val="zh-CN"/>
        </w:rPr>
      </w:pPr>
      <w:r>
        <w:rPr>
          <w:rFonts w:hint="eastAsia" w:ascii="宋体" w:hAnsi="宋体" w:cs="宋体"/>
          <w:b/>
          <w:color w:val="auto"/>
          <w:sz w:val="24"/>
          <w:highlight w:val="none"/>
          <w:lang w:val="zh-CN"/>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供应商名称（加盖公章）</w:t>
      </w:r>
      <w:r>
        <w:rPr>
          <w:rFonts w:hint="eastAsia" w:ascii="宋体" w:hAnsi="宋体" w:cs="宋体"/>
          <w:color w:val="auto"/>
          <w:sz w:val="24"/>
          <w:highlight w:val="none"/>
          <w:lang w:val="zh-CN"/>
        </w:rPr>
        <w:t xml:space="preserve">：    ____________</w:t>
      </w:r>
      <w:r/>
    </w:p>
    <w:p>
      <w:pPr>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spacing w:line="360" w:lineRule="auto"/>
        <w:rPr>
          <w:rFonts w:hint="eastAsia" w:ascii="宋体" w:hAnsi="宋体" w:cs="宋体"/>
          <w:color w:val="auto"/>
          <w:sz w:val="24"/>
          <w:szCs w:val="20"/>
          <w:highlight w:val="none"/>
        </w:rPr>
        <w:outlineLvl w:val="2"/>
      </w:pPr>
      <w:r>
        <w:rPr>
          <w:rFonts w:hint="eastAsia" w:ascii="宋体" w:hAnsi="宋体" w:cs="宋体"/>
          <w:color w:val="auto"/>
          <w:sz w:val="22"/>
          <w:highlight w:val="none"/>
        </w:rPr>
        <w:br w:type="page" w:clear="all"/>
      </w:r>
      <w:bookmarkStart w:id="619" w:name="_Toc288738397"/>
      <w:r/>
      <w:bookmarkStart w:id="620" w:name="_Toc288738839"/>
      <w:r>
        <w:rPr>
          <w:rFonts w:hint="eastAsia" w:ascii="宋体" w:hAnsi="宋体" w:cs="宋体"/>
          <w:color w:val="auto"/>
          <w:sz w:val="24"/>
          <w:szCs w:val="20"/>
          <w:highlight w:val="none"/>
        </w:rPr>
        <w:t xml:space="preserve">1</w:t>
      </w:r>
      <w:r>
        <w:rPr>
          <w:rFonts w:hint="eastAsia" w:ascii="宋体" w:hAnsi="宋体" w:cs="宋体"/>
          <w:color w:val="auto"/>
          <w:sz w:val="24"/>
          <w:szCs w:val="20"/>
          <w:highlight w:val="none"/>
          <w:lang w:val="en-US" w:eastAsia="zh-CN"/>
        </w:rPr>
        <w:t xml:space="preserve">2</w:t>
      </w:r>
      <w:r>
        <w:rPr>
          <w:rFonts w:hint="eastAsia" w:ascii="宋体" w:hAnsi="宋体" w:cs="宋体"/>
          <w:color w:val="auto"/>
          <w:sz w:val="24"/>
          <w:szCs w:val="20"/>
          <w:highlight w:val="none"/>
        </w:rPr>
        <w:t xml:space="preserve"> 相关业绩案例一览表</w:t>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jc w:val="center"/>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相关业绩案例一览表</w:t>
      </w:r>
      <w:bookmarkEnd w:id="619"/>
      <w:r/>
      <w:bookmarkEnd w:id="620"/>
      <w:r/>
      <w:r/>
    </w:p>
    <w:p>
      <w:pPr>
        <w:jc w:val="center"/>
        <w:spacing w:line="360" w:lineRule="auto"/>
        <w:rPr>
          <w:rFonts w:hint="eastAsia" w:ascii="宋体" w:hAnsi="宋体" w:cs="宋体"/>
          <w:b/>
          <w:color w:val="auto"/>
          <w:sz w:val="28"/>
          <w:szCs w:val="30"/>
          <w:highlight w:val="none"/>
        </w:rPr>
      </w:pPr>
      <w:r>
        <w:rPr>
          <w:rFonts w:hint="eastAsia" w:ascii="宋体" w:hAnsi="宋体" w:cs="宋体"/>
          <w:b/>
          <w:color w:val="auto"/>
          <w:sz w:val="28"/>
          <w:szCs w:val="30"/>
          <w:highlight w:val="none"/>
        </w:rPr>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项目编号/包号：</w:t>
      </w:r>
      <w:r>
        <w:rPr>
          <w:rFonts w:hint="eastAsia" w:ascii="宋体" w:hAnsi="宋体" w:cs="宋体"/>
          <w:color w:val="auto"/>
          <w:sz w:val="24"/>
          <w:szCs w:val="20"/>
          <w:highlight w:val="none"/>
          <w:u w:val="single"/>
          <w:lang w:eastAsia="zh-CN"/>
        </w:rPr>
        <w:t xml:space="preserve">JSZC-320413-CZZY-C2026-0027</w:t>
      </w:r>
      <w:r/>
    </w:p>
    <w:p>
      <w:pPr>
        <w:ind w:firstLine="240"/>
        <w:jc w:val="left"/>
        <w:spacing w:line="360" w:lineRule="auto"/>
        <w:tabs>
          <w:tab w:val="left" w:pos="1800" w:leader="none"/>
          <w:tab w:val="left" w:pos="5580" w:leader="none"/>
        </w:tabs>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项目名称：</w:t>
      </w:r>
      <w:r>
        <w:rPr>
          <w:rFonts w:hint="eastAsia" w:ascii="宋体" w:hAnsi="宋体" w:cs="宋体"/>
          <w:color w:val="auto"/>
          <w:sz w:val="24"/>
          <w:szCs w:val="20"/>
          <w:highlight w:val="none"/>
          <w:u w:val="single"/>
          <w:lang w:eastAsia="zh-CN"/>
        </w:rPr>
        <w:t xml:space="preserve">常州市金坛区财政局区本级及乡镇系统运维服务项目</w:t>
      </w:r>
      <w:r/>
    </w:p>
    <w:tbl>
      <w:tblPr>
        <w:tblStyle w:val="809"/>
        <w:tblW w:w="9011" w:type="dxa"/>
        <w:jc w:val="center"/>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项目时间</w:t>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项目甲方单位</w:t>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项目名称</w:t>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合同金额</w:t>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甲方单位地址</w:t>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甲方负责人联系电话</w:t>
            </w:r>
            <w:r/>
          </w:p>
        </w:tc>
      </w:tr>
      <w:tr>
        <w:trPr>
          <w:jc w:val="cente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jc w:val="center"/>
        </w:trPr>
        <w:tc>
          <w:tcPr>
            <w:tcBorders>
              <w:top w:val="single" w:color="000000" w:sz="6" w:space="0"/>
              <w:left w:val="single" w:color="000000" w:sz="6" w:space="0"/>
              <w:bottom w:val="single" w:color="000000" w:sz="6" w:space="0"/>
              <w:right w:val="single" w:color="000000" w:sz="6" w:space="0"/>
            </w:tcBorders>
            <w:tcW w:w="1284"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68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21"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198"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730"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Borders>
              <w:top w:val="single" w:color="000000" w:sz="6" w:space="0"/>
              <w:left w:val="single" w:color="000000" w:sz="6" w:space="0"/>
              <w:bottom w:val="single" w:color="000000" w:sz="6" w:space="0"/>
              <w:right w:val="single" w:color="000000" w:sz="6" w:space="0"/>
            </w:tcBorders>
            <w:tcW w:w="1597" w:type="dxa"/>
            <w:textDirection w:val="lrTb"/>
            <w:noWrap w:val="false"/>
          </w:tcPr>
          <w:p>
            <w:pPr>
              <w:spacing w:line="360" w:lineRule="auto"/>
              <w:tabs>
                <w:tab w:val="left" w:pos="9765" w:leader="none"/>
              </w:tabs>
              <w:rPr>
                <w:rFonts w:hint="eastAsia" w:ascii="宋体" w:hAnsi="宋体" w:cs="宋体"/>
                <w:color w:val="auto"/>
                <w:sz w:val="24"/>
                <w:highlight w:val="none"/>
              </w:rPr>
            </w:pPr>
            <w:r>
              <w:rPr>
                <w:rFonts w:hint="eastAsia" w:ascii="宋体" w:hAnsi="宋体" w:cs="宋体"/>
                <w:color w:val="auto"/>
                <w:sz w:val="24"/>
                <w:highlight w:val="none"/>
              </w:rPr>
            </w:r>
            <w:r/>
          </w:p>
        </w:tc>
      </w:tr>
    </w:tbl>
    <w:p>
      <w:pPr>
        <w:tabs>
          <w:tab w:val="left" w:pos="9765" w:leader="none"/>
        </w:tabs>
        <w:rPr>
          <w:rFonts w:hint="eastAsia" w:ascii="宋体" w:hAnsi="宋体" w:cs="宋体"/>
          <w:color w:val="auto"/>
          <w:sz w:val="24"/>
          <w:highlight w:val="none"/>
          <w:lang w:val="zh-CN"/>
        </w:rPr>
      </w:pPr>
      <w:r>
        <w:rPr>
          <w:rFonts w:hint="eastAsia" w:ascii="宋体" w:hAnsi="宋体" w:cs="宋体"/>
          <w:color w:val="auto"/>
          <w:sz w:val="24"/>
          <w:highlight w:val="none"/>
          <w:lang w:val="zh-CN"/>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highlight w:val="none"/>
        </w:rPr>
        <w:t xml:space="preserve">供应商名称（加盖公章）</w:t>
      </w:r>
      <w:r>
        <w:rPr>
          <w:rFonts w:hint="eastAsia" w:ascii="宋体" w:hAnsi="宋体" w:cs="宋体"/>
          <w:color w:val="auto"/>
          <w:sz w:val="24"/>
          <w:highlight w:val="none"/>
          <w:lang w:val="zh-CN"/>
        </w:rPr>
        <w:t xml:space="preserve">：____________</w:t>
      </w:r>
      <w:r/>
    </w:p>
    <w:p>
      <w:pPr>
        <w:spacing w:before="25" w:after="25" w:line="360" w:lineRule="auto"/>
        <w:rPr>
          <w:rFonts w:hint="eastAsia" w:ascii="宋体" w:hAnsi="宋体" w:cs="宋体"/>
          <w:color w:val="auto"/>
          <w:sz w:val="24"/>
          <w:highlight w:val="none"/>
          <w:lang w:val="zh-CN"/>
        </w:rPr>
      </w:pPr>
      <w:r>
        <w:rPr>
          <w:rFonts w:hint="eastAsia" w:ascii="宋体" w:hAnsi="宋体" w:cs="宋体"/>
          <w:color w:val="auto"/>
          <w:sz w:val="24"/>
          <w:szCs w:val="20"/>
          <w:highlight w:val="none"/>
        </w:rPr>
        <w:t xml:space="preserve">日期：_____年______月______日   </w:t>
      </w:r>
      <w:r/>
    </w:p>
    <w:p>
      <w:pP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852"/>
        <w:ind w:firstLine="480"/>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spacing w:line="360" w:lineRule="auto"/>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1103"/>
        <w:spacing w:before="30" w:beforeAutospacing="0" w:after="30" w:afterAutospacing="0" w:line="0" w:lineRule="atLeast"/>
        <w:rPr>
          <w:rFonts w:hint="eastAsia" w:ascii="宋体" w:hAnsi="宋体" w:eastAsia="宋体" w:cs="宋体"/>
          <w:b w:val="0"/>
          <w:bCs w:val="0"/>
          <w:color w:val="000000" w:themeColor="text1"/>
          <w:sz w:val="24"/>
          <w:szCs w:val="20"/>
          <w14:textFill>
            <w14:solidFill>
              <w14:schemeClr w14:val="tx1"/>
            </w14:solidFill>
          </w14:textFill>
        </w:rPr>
      </w:pPr>
      <w:r>
        <w:rPr>
          <w:rFonts w:hint="eastAsia" w:ascii="宋体" w:hAnsi="宋体" w:eastAsia="宋体" w:cs="宋体"/>
          <w:b w:val="0"/>
          <w:bCs w:val="0"/>
          <w:color w:val="000000" w:themeColor="text1"/>
          <w:sz w:val="24"/>
          <w:szCs w:val="20"/>
          <w:lang w:val="en-US" w:eastAsia="zh-CN"/>
          <w14:textFill>
            <w14:solidFill>
              <w14:schemeClr w14:val="tx1"/>
            </w14:solidFill>
          </w14:textFill>
        </w:rPr>
        <w:t xml:space="preserve">13  关于符合本国产品标准的声明函</w:t>
      </w:r>
      <w:r/>
    </w:p>
    <w:p>
      <w:pPr>
        <w:pStyle w:val="1103"/>
        <w:ind w:firstLine="420"/>
        <w:spacing w:before="0" w:beforeAutospacing="0" w:after="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jc w:val="center"/>
        <w:spacing w:before="0" w:beforeAutospacing="0" w:after="0" w:afterAutospacing="0"/>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关于符合本国产品标准的声明函</w:t>
      </w:r>
      <w:r/>
    </w:p>
    <w:p>
      <w:pPr>
        <w:jc w:val="center"/>
        <w:spacing w:before="0" w:beforeAutospacing="0" w:after="0" w:afterAutospacing="0"/>
        <w:rPr>
          <w:rFonts w:hint="eastAsia" w:ascii="宋体" w:hAnsi="宋体" w:eastAsia="宋体" w:cs="宋体"/>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r>
      <w:r/>
    </w:p>
    <w:p>
      <w:pPr>
        <w:pStyle w:val="1103"/>
        <w:ind w:firstLine="420"/>
        <w:spacing w:before="0" w:beforeAutospacing="0" w:after="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t xml:space="preserve">本公司（单位）郑重声明，根据《国务院办公厅关于在政府采购中实施本国产品标准及相关政策的通知》（国办发〔2025〕34号）的规定，本公司（单位）提供的以下产品属于本国产品。具体情况如下：</w:t>
      </w:r>
      <w:r/>
    </w:p>
    <w:p>
      <w:pPr>
        <w:pStyle w:val="1103"/>
        <w:ind w:firstLine="420"/>
        <w:spacing w:before="30" w:beforeAutospacing="0" w:after="3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2302510</wp:posOffset>
                </wp:positionH>
                <wp:positionV relativeFrom="paragraph">
                  <wp:posOffset>233680</wp:posOffset>
                </wp:positionV>
                <wp:extent cx="723900" cy="137795"/>
                <wp:effectExtent l="5080" t="4445" r="7620" b="10160"/>
                <wp:wrapNone/>
                <wp:docPr id="6" name="任意多边形 18"/>
                <wp:cNvGraphicFramePr/>
                <a:graphic xmlns:a="http://schemas.openxmlformats.org/drawingml/2006/main">
                  <a:graphicData uri="http://schemas.microsoft.com/office/word/2010/wordprocessingShape">
                    <wps:wsp>
                      <wps:cNvPr id="0" name=""/>
                      <wps:cNvSpPr/>
                      <wps:spPr bwMode="auto">
                        <a:xfrm flipV="1">
                          <a:off x="0" y="0"/>
                          <a:ext cx="723900" cy="1377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62336;o:allowoverlap:true;o:allowincell:true;mso-position-horizontal-relative:text;margin-left:181.3pt;mso-position-horizontal:absolute;mso-position-vertical-relative:text;margin-top:18.4pt;mso-position-vertical:absolute;width:57.0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2112645</wp:posOffset>
                </wp:positionH>
                <wp:positionV relativeFrom="paragraph">
                  <wp:posOffset>447675</wp:posOffset>
                </wp:positionV>
                <wp:extent cx="816610" cy="147320"/>
                <wp:effectExtent l="635" t="4445" r="8255" b="13335"/>
                <wp:wrapNone/>
                <wp:docPr id="7" name="任意多边形 8"/>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62336;o:allowoverlap:true;o:allowincell:true;mso-position-horizontal-relative:text;margin-left:166.3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1087755</wp:posOffset>
                </wp:positionH>
                <wp:positionV relativeFrom="paragraph">
                  <wp:posOffset>445770</wp:posOffset>
                </wp:positionV>
                <wp:extent cx="876300" cy="120015"/>
                <wp:effectExtent l="635" t="4445" r="12065" b="15240"/>
                <wp:wrapNone/>
                <wp:docPr id="8" name="任意多边形 9"/>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62336;o:allowoverlap:true;o:allowincell:true;mso-position-horizontal-relative:text;margin-left:85.6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4589145</wp:posOffset>
                </wp:positionH>
                <wp:positionV relativeFrom="paragraph">
                  <wp:posOffset>252730</wp:posOffset>
                </wp:positionV>
                <wp:extent cx="659765" cy="135890"/>
                <wp:effectExtent l="4445" t="5080" r="8890" b="11430"/>
                <wp:wrapNone/>
                <wp:docPr id="9" name="任意多边形 10"/>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62336;o:allowoverlap:true;o:allowincell:true;mso-position-horizontal-relative:text;margin-left:361.3pt;mso-position-horizontal:absolute;mso-position-vertical-relative:text;margin-top:19.9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3380740</wp:posOffset>
                </wp:positionH>
                <wp:positionV relativeFrom="paragraph">
                  <wp:posOffset>278765</wp:posOffset>
                </wp:positionV>
                <wp:extent cx="816610" cy="103505"/>
                <wp:effectExtent l="635" t="4445" r="8255" b="6350"/>
                <wp:wrapNone/>
                <wp:docPr id="10" name="任意多边形 11"/>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62336;o:allowoverlap:true;o:allowincell:true;mso-position-horizontal-relative:text;margin-left:266.2pt;mso-position-horizontal:absolute;mso-position-vertical-relative:text;margin-top:21.9pt;mso-position-vertical:absolute;width:64.3pt;height:8.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4595495</wp:posOffset>
                </wp:positionH>
                <wp:positionV relativeFrom="paragraph">
                  <wp:posOffset>62230</wp:posOffset>
                </wp:positionV>
                <wp:extent cx="602615" cy="116840"/>
                <wp:effectExtent l="4445" t="4445" r="15240" b="5715"/>
                <wp:wrapNone/>
                <wp:docPr id="11" name="任意多边形 12"/>
                <wp:cNvGraphicFramePr/>
                <a:graphic xmlns:a="http://schemas.openxmlformats.org/drawingml/2006/main">
                  <a:graphicData uri="http://schemas.microsoft.com/office/word/2010/wordprocessingShape">
                    <wps:wsp>
                      <wps:cNvPr id="0" name=""/>
                      <wps:cNvSpPr/>
                      <wps:spPr bwMode="auto">
                        <a:xfrm flipV="1">
                          <a:off x="0" y="0"/>
                          <a:ext cx="602615" cy="11684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0" o:spid="_x0000_s10" style="position:absolute;z-index:251662336;o:allowoverlap:true;o:allowincell:true;mso-position-horizontal-relative:text;margin-left:361.8pt;mso-position-horizontal:absolute;mso-position-vertical-relative:text;margin-top:4.9pt;mso-position-vertical:absolute;width:47.4pt;height:9.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shd w:val="clear" w:color="auto" w:fill="ffffff"/>
          <w14:textFill>
            <w14:solidFill>
              <w14:schemeClr w14:val="tx1"/>
            </w14:solidFill>
          </w14:textFill>
        </w:rPr>
        <w:t xml:space="preserve">1.</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（产品名称1）</w:t>
      </w:r>
      <w:r>
        <w:rPr>
          <w:rStyle w:val="1116"/>
          <w:rFonts w:hint="eastAsia" w:ascii="宋体" w:hAnsi="宋体" w:eastAsia="宋体" w:cs="宋体"/>
          <w:color w:val="000000" w:themeColor="text1"/>
          <w:shd w:val="clear" w:color="auto" w:fill="ffffff"/>
          <w:vertAlign w:val="superscript"/>
          <w14:textFill>
            <w14:solidFill>
              <w14:schemeClr w14:val="tx1"/>
            </w14:solidFill>
          </w14:textFill>
        </w:rPr>
        <w:t xml:space="preserve">1</w:t>
      </w:r>
      <w:r>
        <w:rPr>
          <w:rFonts w:hint="eastAsia" w:ascii="宋体" w:hAnsi="宋体" w:eastAsia="宋体" w:cs="宋体"/>
          <w:color w:val="000000" w:themeColor="text1"/>
          <w:shd w:val="clear" w:color="auto" w:fill="ffffff"/>
          <w14:textFill>
            <w14:solidFill>
              <w14:schemeClr w14:val="tx1"/>
            </w14:solidFill>
          </w14:textFill>
        </w:rPr>
        <w:t xml:space="preserve">，生产厂为</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（厂名）</w:t>
      </w:r>
      <w:r>
        <w:rPr>
          <w:rStyle w:val="1116"/>
          <w:rFonts w:hint="eastAsia" w:ascii="宋体" w:hAnsi="宋体" w:eastAsia="宋体" w:cs="宋体"/>
          <w:color w:val="000000" w:themeColor="text1"/>
          <w:shd w:val="clear" w:color="auto" w:fill="ffffff"/>
          <w:vertAlign w:val="superscript"/>
          <w14:textFill>
            <w14:solidFill>
              <w14:schemeClr w14:val="tx1"/>
            </w14:solidFill>
          </w14:textFill>
        </w:rPr>
        <w:t xml:space="preserve">2</w:t>
      </w:r>
      <w:r>
        <w:rPr>
          <w:rFonts w:hint="eastAsia" w:ascii="宋体" w:hAnsi="宋体" w:eastAsia="宋体" w:cs="宋体"/>
          <w:color w:val="000000" w:themeColor="text1"/>
          <w:shd w:val="clear" w:color="auto" w:fill="ffffff"/>
          <w14:textFill>
            <w14:solidFill>
              <w14:schemeClr w14:val="tx1"/>
            </w14:solidFill>
          </w14:textFill>
        </w:rPr>
        <w:t xml:space="preserve">，厂址为</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hd w:val="clear" w:color="auto" w:fill="ffffff"/>
          <w14:textFill>
            <w14:solidFill>
              <w14:schemeClr w14:val="tx1"/>
            </w14:solidFill>
          </w14:textFill>
        </w:rPr>
        <w:t xml:space="preserve">。</w:t>
      </w:r>
      <w:r>
        <w:rPr>
          <w:rFonts w:hint="eastAsia" w:ascii="宋体" w:hAnsi="宋体" w:eastAsia="宋体" w:cs="宋体"/>
          <w:color w:val="000000" w:themeColor="text1"/>
          <w:u w:val="single"/>
          <w:shd w:val="clear" w:color="auto" w:fill="ffffff"/>
          <w14:textFill>
            <w14:solidFill>
              <w14:schemeClr w14:val="tx1"/>
            </w14:solidFill>
          </w14:textFill>
        </w:rPr>
        <w:t xml:space="preserve"> </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（产品名称1） </w:t>
      </w:r>
      <w:r>
        <w:rPr>
          <w:rFonts w:hint="eastAsia" w:ascii="宋体" w:hAnsi="宋体" w:eastAsia="宋体" w:cs="宋体"/>
          <w:color w:val="000000" w:themeColor="text1"/>
          <w:shd w:val="clear" w:color="auto" w:fill="ffffff"/>
          <w14:textFill>
            <w14:solidFill>
              <w14:schemeClr w14:val="tx1"/>
            </w14:solidFill>
          </w14:textFill>
        </w:rPr>
        <w:t xml:space="preserve">的中国境内生产的组件成本占比≥</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（规定比例）</w:t>
      </w:r>
      <w:r>
        <w:rPr>
          <w:rStyle w:val="1116"/>
          <w:rFonts w:hint="eastAsia" w:ascii="宋体" w:hAnsi="宋体" w:eastAsia="宋体" w:cs="宋体"/>
          <w:color w:val="000000" w:themeColor="text1"/>
          <w:shd w:val="clear" w:color="auto" w:fill="ffffff"/>
          <w:vertAlign w:val="superscript"/>
          <w14:textFill>
            <w14:solidFill>
              <w14:schemeClr w14:val="tx1"/>
            </w14:solidFill>
          </w14:textFill>
        </w:rPr>
        <w:t xml:space="preserve">3</w:t>
      </w:r>
      <w:r>
        <w:rPr>
          <w:rFonts w:hint="eastAsia" w:ascii="宋体" w:hAnsi="宋体" w:eastAsia="宋体" w:cs="宋体"/>
          <w:color w:val="000000" w:themeColor="text1"/>
          <w:shd w:val="clear" w:color="auto" w:fill="ffffff"/>
          <w14:textFill>
            <w14:solidFill>
              <w14:schemeClr w14:val="tx1"/>
            </w14:solidFill>
          </w14:textFill>
        </w:rPr>
        <w:t xml:space="preserve">。</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hd w:val="clear" w:color="auto" w:fill="ffffff"/>
          <w14:textFill>
            <w14:solidFill>
              <w14:schemeClr w14:val="tx1"/>
            </w14:solidFill>
          </w14:textFill>
        </w:rPr>
        <w:t xml:space="preserve">的</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（关键组件）</w:t>
      </w:r>
      <w:r>
        <w:rPr>
          <w:rStyle w:val="1116"/>
          <w:rFonts w:hint="eastAsia" w:ascii="宋体" w:hAnsi="宋体" w:eastAsia="宋体" w:cs="宋体"/>
          <w:color w:val="000000" w:themeColor="text1"/>
          <w:shd w:val="clear" w:color="auto" w:fill="ffffff"/>
          <w:vertAlign w:val="superscript"/>
          <w14:textFill>
            <w14:solidFill>
              <w14:schemeClr w14:val="tx1"/>
            </w14:solidFill>
          </w14:textFill>
        </w:rPr>
        <w:t xml:space="preserve">4</w:t>
      </w:r>
      <w:r>
        <w:rPr>
          <w:rFonts w:hint="eastAsia" w:ascii="宋体" w:hAnsi="宋体" w:eastAsia="宋体" w:cs="宋体"/>
          <w:color w:val="000000" w:themeColor="text1"/>
          <w:shd w:val="clear" w:color="auto" w:fill="ffffff"/>
          <w14:textFill>
            <w14:solidFill>
              <w14:schemeClr w14:val="tx1"/>
            </w14:solidFill>
          </w14:textFill>
        </w:rPr>
        <w:t xml:space="preserve">在中国境内生产。</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（产品名称1）</w:t>
      </w:r>
      <w:r>
        <w:rPr>
          <w:rFonts w:hint="eastAsia" w:ascii="宋体" w:hAnsi="宋体" w:eastAsia="宋体" w:cs="宋体"/>
          <w:color w:val="000000" w:themeColor="text1"/>
          <w:shd w:val="clear" w:color="auto" w:fill="ffffff"/>
          <w14:textFill>
            <w14:solidFill>
              <w14:schemeClr w14:val="tx1"/>
            </w14:solidFill>
          </w14:textFill>
        </w:rPr>
        <w:t xml:space="preserve">的</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（关键工序）</w:t>
      </w:r>
      <w:r>
        <w:rPr>
          <w:rStyle w:val="1116"/>
          <w:rFonts w:hint="eastAsia" w:ascii="宋体" w:hAnsi="宋体" w:eastAsia="宋体" w:cs="宋体"/>
          <w:color w:val="000000" w:themeColor="text1"/>
          <w:shd w:val="clear" w:color="auto" w:fill="ffffff"/>
          <w:vertAlign w:val="superscript"/>
          <w14:textFill>
            <w14:solidFill>
              <w14:schemeClr w14:val="tx1"/>
            </w14:solidFill>
          </w14:textFill>
        </w:rPr>
        <w:t xml:space="preserve">5</w:t>
      </w:r>
      <w:r>
        <w:rPr>
          <w:rFonts w:hint="eastAsia" w:ascii="宋体" w:hAnsi="宋体" w:eastAsia="宋体" w:cs="宋体"/>
          <w:color w:val="000000" w:themeColor="text1"/>
          <w:shd w:val="clear" w:color="auto" w:fill="ffffff"/>
          <w14:textFill>
            <w14:solidFill>
              <w14:schemeClr w14:val="tx1"/>
            </w14:solidFill>
          </w14:textFill>
        </w:rPr>
        <w:t xml:space="preserve">在中国境内完成。</w:t>
      </w:r>
      <w:r/>
    </w:p>
    <w:p>
      <w:pPr>
        <w:pStyle w:val="1103"/>
        <w:ind w:firstLine="420"/>
        <w:spacing w:before="30" w:beforeAutospacing="0" w:after="3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2059305</wp:posOffset>
                </wp:positionH>
                <wp:positionV relativeFrom="paragraph">
                  <wp:posOffset>227330</wp:posOffset>
                </wp:positionV>
                <wp:extent cx="843915" cy="125730"/>
                <wp:effectExtent l="635" t="4445" r="6350" b="9525"/>
                <wp:wrapNone/>
                <wp:docPr id="12" name="任意多边形 13"/>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2336;o:allowoverlap:true;o:allowincell:true;mso-position-horizontal-relative:text;margin-left:162.2pt;mso-position-horizontal:absolute;mso-position-vertical-relative:text;margin-top:17.9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1917065</wp:posOffset>
                </wp:positionH>
                <wp:positionV relativeFrom="paragraph">
                  <wp:posOffset>473710</wp:posOffset>
                </wp:positionV>
                <wp:extent cx="821690" cy="102870"/>
                <wp:effectExtent l="635" t="4445" r="3175" b="6985"/>
                <wp:wrapNone/>
                <wp:docPr id="13" name="任意多边形 14"/>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2336;o:allowoverlap:true;o:allowincell:true;mso-position-horizontal-relative:text;margin-left:150.9pt;mso-position-horizontal:absolute;mso-position-vertical-relative:text;margin-top:37.3pt;mso-position-vertical:absolute;width:64.7pt;height:8.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686435</wp:posOffset>
                </wp:positionH>
                <wp:positionV relativeFrom="paragraph">
                  <wp:posOffset>432435</wp:posOffset>
                </wp:positionV>
                <wp:extent cx="908685" cy="140970"/>
                <wp:effectExtent l="635" t="4445" r="5080" b="6985"/>
                <wp:wrapNone/>
                <wp:docPr id="14" name="任意多边形 15"/>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2336;o:allowoverlap:true;o:allowincell:true;mso-position-horizontal-relative:text;margin-left:54.0pt;mso-position-horizontal:absolute;mso-position-vertical-relative:text;margin-top:34.0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4404995</wp:posOffset>
                </wp:positionH>
                <wp:positionV relativeFrom="paragraph">
                  <wp:posOffset>263525</wp:posOffset>
                </wp:positionV>
                <wp:extent cx="659765" cy="135890"/>
                <wp:effectExtent l="4445" t="5080" r="8890" b="11430"/>
                <wp:wrapNone/>
                <wp:docPr id="15" name="任意多边形 16"/>
                <wp:cNvGraphicFramePr/>
                <a:graphic xmlns:a="http://schemas.openxmlformats.org/drawingml/2006/main">
                  <a:graphicData uri="http://schemas.microsoft.com/office/word/2010/wordprocessingShape">
                    <wps:wsp>
                      <wps:cNvPr id="0" name=""/>
                      <wps:cNvSpPr/>
                      <wps:spPr bwMode="auto">
                        <a:xfrm flipV="1">
                          <a:off x="0" y="0"/>
                          <a:ext cx="659765" cy="1358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62336;o:allowoverlap:true;o:allowincell:true;mso-position-horizontal-relative:text;margin-left:346.8pt;mso-position-horizontal:absolute;mso-position-vertical-relative:text;margin-top:20.8pt;mso-position-vertical:absolute;width:51.9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3177540</wp:posOffset>
                </wp:positionH>
                <wp:positionV relativeFrom="paragraph">
                  <wp:posOffset>252095</wp:posOffset>
                </wp:positionV>
                <wp:extent cx="849630" cy="120015"/>
                <wp:effectExtent l="635" t="4445" r="635" b="15240"/>
                <wp:wrapNone/>
                <wp:docPr id="16" name="任意多边形 17"/>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62336;o:allowoverlap:true;o:allowincell:true;mso-position-horizontal-relative:text;margin-left:250.2pt;mso-position-horizontal:absolute;mso-position-vertical-relative:text;margin-top:19.8pt;mso-position-vertical:absolute;width:66.9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ascii="宋体" w:hAnsi="宋体" w:eastAsia="宋体" w:cs="宋体"/>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4476115</wp:posOffset>
                </wp:positionH>
                <wp:positionV relativeFrom="paragraph">
                  <wp:posOffset>22225</wp:posOffset>
                </wp:positionV>
                <wp:extent cx="690245" cy="135255"/>
                <wp:effectExtent l="4445" t="4445" r="16510" b="12700"/>
                <wp:wrapNone/>
                <wp:docPr id="17" name="任意多边形 19"/>
                <wp:cNvGraphicFramePr/>
                <a:graphic xmlns:a="http://schemas.openxmlformats.org/drawingml/2006/main">
                  <a:graphicData uri="http://schemas.microsoft.com/office/word/2010/wordprocessingShape">
                    <wps:wsp>
                      <wps:cNvPr id="0" name=""/>
                      <wps:cNvSpPr/>
                      <wps:spPr bwMode="auto">
                        <a:xfrm flipV="1">
                          <a:off x="0" y="0"/>
                          <a:ext cx="690245" cy="1352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2336;o:allowoverlap:true;o:allowincell:true;mso-position-horizontal-relative:text;margin-left:352.4pt;mso-position-horizontal:absolute;mso-position-vertical-relative:text;margin-top:1.8pt;mso-position-vertical:absolute;width:54.3pt;height:10.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themeColor="text1"/>
          <w:shd w:val="clear" w:color="auto" w:fill="ffffff"/>
          <w14:textFill>
            <w14:solidFill>
              <w14:schemeClr w14:val="tx1"/>
            </w14:solidFill>
          </w14:textFill>
        </w:rPr>
        <w:t xml:space="preserve">2.</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hd w:val="clear" w:color="auto" w:fill="ffffff"/>
          <w14:textFill>
            <w14:solidFill>
              <w14:schemeClr w14:val="tx1"/>
            </w14:solidFill>
          </w14:textFill>
        </w:rPr>
        <w:t xml:space="preserve">，生产厂为</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（厂名）</w:t>
      </w:r>
      <w:r>
        <w:rPr>
          <w:rFonts w:hint="eastAsia" w:ascii="宋体" w:hAnsi="宋体" w:eastAsia="宋体" w:cs="宋体"/>
          <w:color w:val="000000" w:themeColor="text1"/>
          <w:shd w:val="clear" w:color="auto" w:fill="ffffff"/>
          <w14:textFill>
            <w14:solidFill>
              <w14:schemeClr w14:val="tx1"/>
            </w14:solidFill>
          </w14:textFill>
        </w:rPr>
        <w:t xml:space="preserve">，厂址为</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（生产厂址）</w:t>
      </w:r>
      <w:r>
        <w:rPr>
          <w:rFonts w:hint="eastAsia" w:ascii="宋体" w:hAnsi="宋体" w:eastAsia="宋体" w:cs="宋体"/>
          <w:color w:val="000000" w:themeColor="text1"/>
          <w:shd w:val="clear" w:color="auto" w:fill="ffffff"/>
          <w14:textFill>
            <w14:solidFill>
              <w14:schemeClr w14:val="tx1"/>
            </w14:solidFill>
          </w14:textFill>
        </w:rPr>
        <w:t xml:space="preserve">。</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hd w:val="clear" w:color="auto" w:fill="ffffff"/>
          <w14:textFill>
            <w14:solidFill>
              <w14:schemeClr w14:val="tx1"/>
            </w14:solidFill>
          </w14:textFill>
        </w:rPr>
        <w:t xml:space="preserve">的中国境内生产的组件成本占比≥</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（规定比例）</w:t>
      </w:r>
      <w:r>
        <w:rPr>
          <w:rFonts w:hint="eastAsia" w:ascii="宋体" w:hAnsi="宋体" w:eastAsia="宋体" w:cs="宋体"/>
          <w:color w:val="000000" w:themeColor="text1"/>
          <w:shd w:val="clear" w:color="auto" w:fill="ffffff"/>
          <w14:textFill>
            <w14:solidFill>
              <w14:schemeClr w14:val="tx1"/>
            </w14:solidFill>
          </w14:textFill>
        </w:rPr>
        <w:t xml:space="preserve">。</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hd w:val="clear" w:color="auto" w:fill="ffffff"/>
          <w14:textFill>
            <w14:solidFill>
              <w14:schemeClr w14:val="tx1"/>
            </w14:solidFill>
          </w14:textFill>
        </w:rPr>
        <w:t xml:space="preserve">的</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（关键组件）</w:t>
      </w:r>
      <w:r>
        <w:rPr>
          <w:rFonts w:hint="eastAsia" w:ascii="宋体" w:hAnsi="宋体" w:eastAsia="宋体" w:cs="宋体"/>
          <w:color w:val="000000" w:themeColor="text1"/>
          <w:shd w:val="clear" w:color="auto" w:fill="ffffff"/>
          <w14:textFill>
            <w14:solidFill>
              <w14:schemeClr w14:val="tx1"/>
            </w14:solidFill>
          </w14:textFill>
        </w:rPr>
        <w:t xml:space="preserve">在中国境内生产。</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（产品名称2）</w:t>
      </w:r>
      <w:r>
        <w:rPr>
          <w:rFonts w:hint="eastAsia" w:ascii="宋体" w:hAnsi="宋体" w:eastAsia="宋体" w:cs="宋体"/>
          <w:color w:val="000000" w:themeColor="text1"/>
          <w:shd w:val="clear" w:color="auto" w:fill="ffffff"/>
          <w14:textFill>
            <w14:solidFill>
              <w14:schemeClr w14:val="tx1"/>
            </w14:solidFill>
          </w14:textFill>
        </w:rPr>
        <w:t xml:space="preserve">的</w:t>
      </w:r>
      <w:r>
        <w:rPr>
          <w:rStyle w:val="1116"/>
          <w:rFonts w:hint="eastAsia" w:ascii="宋体" w:hAnsi="宋体" w:eastAsia="宋体" w:cs="宋体"/>
          <w:color w:val="000000" w:themeColor="text1"/>
          <w:u w:val="single"/>
          <w:shd w:val="clear" w:color="auto" w:fill="ffffff"/>
          <w14:textFill>
            <w14:solidFill>
              <w14:schemeClr w14:val="tx1"/>
            </w14:solidFill>
          </w14:textFill>
        </w:rPr>
        <w:t xml:space="preserve">（关键工序）</w:t>
      </w:r>
      <w:r>
        <w:rPr>
          <w:rFonts w:hint="eastAsia" w:ascii="宋体" w:hAnsi="宋体" w:eastAsia="宋体" w:cs="宋体"/>
          <w:color w:val="000000" w:themeColor="text1"/>
          <w:shd w:val="clear" w:color="auto" w:fill="ffffff"/>
          <w14:textFill>
            <w14:solidFill>
              <w14:schemeClr w14:val="tx1"/>
            </w14:solidFill>
          </w14:textFill>
        </w:rPr>
        <w:t xml:space="preserve">在中国境内完成。</w:t>
      </w:r>
      <w:r/>
    </w:p>
    <w:p>
      <w:pPr>
        <w:pStyle w:val="1103"/>
        <w:ind w:firstLine="420"/>
        <w:spacing w:before="30" w:beforeAutospacing="0" w:after="3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w:t>
      </w:r>
      <w:r/>
    </w:p>
    <w:p>
      <w:pPr>
        <w:pStyle w:val="1103"/>
        <w:ind w:firstLine="420"/>
        <w:spacing w:before="30" w:beforeAutospacing="0" w:after="3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本公司（单位）对上述声明内容的真实性负责。如有虚假，愿承担相应法律责任。</w:t>
      </w:r>
      <w:r/>
    </w:p>
    <w:p>
      <w:pPr>
        <w:pStyle w:val="1103"/>
        <w:spacing w:before="30" w:beforeAutospacing="0" w:after="3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14:textFill>
            <w14:solidFill>
              <w14:schemeClr w14:val="tx1"/>
            </w14:solidFill>
          </w14:textFill>
        </w:rPr>
      </w:r>
      <w:r/>
    </w:p>
    <w:p>
      <w:pPr>
        <w:pStyle w:val="1103"/>
        <w:ind w:right="480" w:firstLine="3720"/>
        <w:spacing w:before="30" w:beforeAutospacing="0" w:after="3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公司（单位）名称（盖章）：　        </w:t>
      </w:r>
      <w:r/>
    </w:p>
    <w:p>
      <w:pPr>
        <w:pStyle w:val="1103"/>
        <w:jc w:val="center"/>
        <w:spacing w:before="30" w:beforeAutospacing="0" w:after="3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                                日期：　   年　  月　  日         </w:t>
      </w:r>
      <w:r/>
    </w:p>
    <w:p>
      <w:pPr>
        <w:pStyle w:val="1103"/>
        <w:spacing w:before="30" w:beforeAutospacing="0" w:after="30" w:afterAutospacing="0" w:line="0" w:lineRule="atLeast"/>
        <w:rPr>
          <w:rFonts w:hint="eastAsia" w:ascii="宋体" w:hAnsi="宋体" w:eastAsia="宋体" w:cs="宋体"/>
          <w:color w:val="000000" w:themeColor="text1"/>
          <w14:textFill>
            <w14:solidFill>
              <w14:schemeClr w14:val="tx1"/>
            </w14:solidFill>
          </w14:textFill>
        </w:rPr>
      </w:pPr>
      <w:r>
        <w:rPr>
          <w:rFonts w:hint="eastAsia" w:ascii="宋体" w:hAnsi="宋体" w:eastAsia="宋体" w:cs="宋体"/>
          <w:color w:val="000000" w:themeColor="text1"/>
          <w:shd w:val="clear" w:color="auto" w:fill="ffffff"/>
          <w14:textFill>
            <w14:solidFill>
              <w14:schemeClr w14:val="tx1"/>
            </w14:solidFill>
          </w14:textFill>
        </w:rPr>
        <w:t xml:space="preserve">__________________</w:t>
      </w:r>
      <w:r/>
    </w:p>
    <w:p>
      <w:pPr>
        <w:pStyle w:val="1103"/>
        <w:spacing w:before="30" w:beforeAutospacing="0" w:after="30" w:afterAutospacing="0" w:line="0" w:lineRule="atLeast"/>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shd w:val="clear" w:color="auto" w:fill="ffffff"/>
          <w14:textFill>
            <w14:solidFill>
              <w14:schemeClr w14:val="tx1"/>
            </w14:solidFill>
          </w14:textFill>
        </w:rPr>
        <w:t xml:space="preserve">1.产品如有型号，请在“产品名称”栏一并填写。</w:t>
      </w:r>
      <w:r/>
    </w:p>
    <w:p>
      <w:pPr>
        <w:pStyle w:val="1103"/>
        <w:spacing w:before="30" w:beforeAutospacing="0" w:after="30" w:afterAutospacing="0" w:line="0" w:lineRule="atLeast"/>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shd w:val="clear" w:color="auto" w:fill="ffffff"/>
          <w14:textFill>
            <w14:solidFill>
              <w14:schemeClr w14:val="tx1"/>
            </w14:solidFill>
          </w14:textFill>
        </w:rPr>
        <w:t xml:space="preserve">2.生产厂名与厂址应与生产厂营业执照载明的相关信息保持一致。</w:t>
      </w:r>
      <w:r/>
    </w:p>
    <w:p>
      <w:pPr>
        <w:pStyle w:val="1103"/>
        <w:spacing w:before="30" w:beforeAutospacing="0" w:after="30" w:afterAutospacing="0" w:line="0" w:lineRule="atLeast"/>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shd w:val="clear" w:color="auto" w:fill="ffffff"/>
          <w14:textFill>
            <w14:solidFill>
              <w14:schemeClr w14:val="tx1"/>
            </w14:solidFill>
          </w14:textFill>
        </w:rPr>
        <w:t xml:space="preserve">3.该产品的中国境内生产的组件成本占比相关要求实施前，“规定比例”栏可不填，下同。</w:t>
      </w:r>
      <w:r/>
    </w:p>
    <w:p>
      <w:pPr>
        <w:pStyle w:val="1103"/>
        <w:spacing w:before="30" w:beforeAutospacing="0" w:after="30" w:afterAutospacing="0" w:line="0" w:lineRule="atLeast"/>
        <w:rPr>
          <w:rFonts w:hint="eastAsia" w:ascii="宋体" w:hAnsi="宋体" w:eastAsia="宋体" w:cs="宋体"/>
          <w:color w:val="000000" w:themeColor="text1"/>
          <w:sz w:val="22"/>
          <w14:textFill>
            <w14:solidFill>
              <w14:schemeClr w14:val="tx1"/>
            </w14:solidFill>
          </w14:textFill>
        </w:rPr>
      </w:pPr>
      <w:r>
        <w:rPr>
          <w:rFonts w:hint="eastAsia" w:ascii="宋体" w:hAnsi="宋体" w:eastAsia="宋体" w:cs="宋体"/>
          <w:color w:val="000000" w:themeColor="text1"/>
          <w:sz w:val="22"/>
          <w:shd w:val="clear" w:color="auto" w:fill="ffffff"/>
          <w14:textFill>
            <w14:solidFill>
              <w14:schemeClr w14:val="tx1"/>
            </w14:solidFill>
          </w14:textFill>
        </w:rPr>
        <w:t xml:space="preserve">4.该产品的关键组件要求实施前，“关键组件”栏可不填，下同。</w:t>
      </w:r>
      <w:r/>
    </w:p>
    <w:p>
      <w:pPr>
        <w:pStyle w:val="1103"/>
        <w:spacing w:before="30" w:beforeAutospacing="0" w:after="30" w:afterAutospacing="0" w:line="0" w:lineRule="atLeast"/>
        <w:rPr>
          <w:rFonts w:hint="eastAsia" w:ascii="宋体" w:hAnsi="宋体" w:eastAsia="宋体" w:cs="宋体"/>
          <w:color w:val="000000" w:themeColor="text1"/>
          <w:sz w:val="22"/>
          <w:shd w:val="clear" w:color="auto" w:fill="ffffff"/>
          <w14:textFill>
            <w14:solidFill>
              <w14:schemeClr w14:val="tx1"/>
            </w14:solidFill>
          </w14:textFill>
        </w:rPr>
      </w:pPr>
      <w:r>
        <w:rPr>
          <w:rFonts w:hint="eastAsia" w:ascii="宋体" w:hAnsi="宋体" w:eastAsia="宋体" w:cs="宋体"/>
          <w:color w:val="000000" w:themeColor="text1"/>
          <w:sz w:val="22"/>
          <w:shd w:val="clear" w:color="auto" w:fill="ffffff"/>
          <w14:textFill>
            <w14:solidFill>
              <w14:schemeClr w14:val="tx1"/>
            </w14:solidFill>
          </w14:textFill>
        </w:rPr>
        <w:t xml:space="preserve">5.该产品的关键工序要求实施前，“关键工序”栏可不填，下同。</w:t>
      </w:r>
      <w:r/>
    </w:p>
    <w:p>
      <w:pPr>
        <w:pStyle w:val="1103"/>
        <w:spacing w:before="30" w:beforeAutospacing="0" w:after="30" w:afterAutospacing="0" w:line="0" w:lineRule="atLeast"/>
        <w:rPr>
          <w:rFonts w:hint="eastAsia" w:ascii="宋体" w:hAnsi="宋体" w:eastAsia="宋体" w:cs="宋体"/>
          <w:color w:val="000000" w:themeColor="text1"/>
          <w:sz w:val="22"/>
          <w:shd w:val="clear" w:color="auto" w:fill="ffffff"/>
          <w14:textFill>
            <w14:solidFill>
              <w14:schemeClr w14:val="tx1"/>
            </w14:solidFill>
          </w14:textFill>
        </w:rPr>
      </w:pPr>
      <w:r>
        <w:rPr>
          <w:rFonts w:hint="eastAsia" w:ascii="宋体" w:hAnsi="宋体" w:eastAsia="宋体" w:cs="宋体"/>
          <w:color w:val="000000" w:themeColor="text1"/>
          <w:sz w:val="22"/>
          <w:shd w:val="clear" w:color="auto" w:fill="ffffff"/>
          <w14:textFill>
            <w14:solidFill>
              <w14:schemeClr w14:val="tx1"/>
            </w14:solidFill>
          </w14:textFill>
        </w:rPr>
        <w:t xml:space="preserve">6.用斜线划除的地方无需填写。</w:t>
      </w:r>
      <w:r/>
    </w:p>
    <w:p>
      <w:pPr>
        <w:jc w:val="left"/>
        <w:widowControl/>
        <w:rPr>
          <w:rFonts w:hint="eastAsia" w:ascii="宋体" w:hAnsi="宋体" w:cs="宋体"/>
          <w:color w:val="auto"/>
          <w:sz w:val="24"/>
          <w:szCs w:val="20"/>
          <w:highlight w:val="none"/>
          <w:lang w:val="en-US" w:eastAsia="zh-CN"/>
        </w:rPr>
        <w:outlineLvl w:val="9"/>
      </w:pPr>
      <w:r>
        <w:rPr>
          <w:rFonts w:hint="eastAsia" w:ascii="宋体" w:hAnsi="宋体" w:cs="宋体"/>
          <w:color w:val="auto"/>
          <w:sz w:val="24"/>
          <w:szCs w:val="20"/>
          <w:highlight w:val="none"/>
          <w:lang w:val="en-US" w:eastAsia="zh-CN"/>
        </w:rPr>
        <w:br w:type="page" w:clear="all"/>
      </w:r>
      <w:r/>
    </w:p>
    <w:p>
      <w:pPr>
        <w:jc w:val="left"/>
        <w:widowControl/>
        <w:rPr>
          <w:rFonts w:hint="eastAsia" w:ascii="宋体" w:hAnsi="宋体" w:eastAsia="宋体" w:cs="宋体"/>
          <w:color w:val="000000" w:themeColor="text1"/>
          <w:sz w:val="24"/>
          <w:szCs w:val="20"/>
          <w:highlight w:val="none"/>
          <w:lang w:eastAsia="zh-CN"/>
          <w14:textFill>
            <w14:solidFill>
              <w14:schemeClr w14:val="tx1"/>
            </w14:solidFill>
          </w14:textFill>
        </w:rPr>
        <w:outlineLvl w:val="2"/>
      </w:pPr>
      <w:r>
        <w:rPr>
          <w:rFonts w:hint="eastAsia" w:ascii="宋体" w:hAnsi="宋体" w:cs="宋体"/>
          <w:color w:val="000000" w:themeColor="text1"/>
          <w:sz w:val="24"/>
          <w:szCs w:val="20"/>
          <w:highlight w:val="none"/>
          <w:lang w:val="en-US" w:eastAsia="zh-CN"/>
          <w14:textFill>
            <w14:solidFill>
              <w14:schemeClr w14:val="tx1"/>
            </w14:solidFill>
          </w14:textFill>
        </w:rPr>
        <w:t xml:space="preserve">1</w:t>
      </w:r>
      <w:r>
        <w:rPr>
          <w:rFonts w:hint="eastAsia" w:ascii="宋体" w:hAnsi="宋体" w:cs="宋体"/>
          <w:color w:val="000000" w:themeColor="text1"/>
          <w:sz w:val="24"/>
          <w:szCs w:val="20"/>
          <w:lang w:val="en-US" w:eastAsia="zh-CN"/>
          <w14:textFill>
            <w14:solidFill>
              <w14:schemeClr w14:val="tx1"/>
            </w14:solidFill>
          </w14:textFill>
        </w:rPr>
        <w:t xml:space="preserve">4</w:t>
      </w:r>
      <w:r>
        <w:rPr>
          <w:rFonts w:hint="eastAsia" w:ascii="宋体" w:hAnsi="宋体" w:cs="宋体"/>
          <w:color w:val="000000" w:themeColor="text1"/>
          <w:sz w:val="24"/>
          <w:szCs w:val="20"/>
          <w:highlight w:val="none"/>
          <w:lang w:val="en-US" w:eastAsia="zh-CN"/>
          <w14:textFill>
            <w14:solidFill>
              <w14:schemeClr w14:val="tx1"/>
            </w14:solidFill>
          </w14:textFill>
        </w:rPr>
        <w:t xml:space="preserve"> </w:t>
      </w:r>
      <w:r>
        <w:rPr>
          <w:rFonts w:hint="eastAsia" w:ascii="宋体" w:hAnsi="宋体" w:cs="宋体"/>
          <w:color w:val="000000" w:themeColor="text1"/>
          <w:sz w:val="24"/>
          <w:szCs w:val="20"/>
          <w:highlight w:val="none"/>
          <w14:textFill>
            <w14:solidFill>
              <w14:schemeClr w14:val="tx1"/>
            </w14:solidFill>
          </w14:textFill>
        </w:rPr>
        <w:t xml:space="preserve">项目实施方案等，包括但不限于如下主题：</w:t>
      </w:r>
      <w:r>
        <w:rPr>
          <w:rFonts w:hint="eastAsia" w:ascii="宋体" w:hAnsi="宋体" w:cs="宋体"/>
          <w:color w:val="000000" w:themeColor="text1"/>
          <w:sz w:val="24"/>
          <w:szCs w:val="20"/>
          <w:highlight w:val="none"/>
          <w:lang w:eastAsia="zh-CN"/>
          <w14:textFill>
            <w14:solidFill>
              <w14:schemeClr w14:val="tx1"/>
            </w14:solidFill>
          </w14:textFill>
        </w:rPr>
        <w:t xml:space="preserve">详见评分标准</w:t>
      </w:r>
      <w:r/>
    </w:p>
    <w:p>
      <w:pPr>
        <w:spacing w:line="360" w:lineRule="auto"/>
        <w:rPr>
          <w:rFonts w:hint="eastAsia" w:ascii="宋体" w:hAnsi="宋体" w:cs="宋体"/>
          <w:color w:val="auto"/>
          <w:sz w:val="24"/>
          <w:highlight w:val="none"/>
        </w:rPr>
        <w:outlineLvl w:val="9"/>
      </w:pPr>
      <w:r>
        <w:rPr>
          <w:rFonts w:hint="eastAsia" w:ascii="宋体" w:hAnsi="宋体" w:cs="宋体"/>
          <w:color w:val="auto"/>
          <w:sz w:val="24"/>
          <w:highlight w:val="none"/>
        </w:rPr>
      </w:r>
      <w:r/>
    </w:p>
    <w:p>
      <w:pPr>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pStyle w:val="837"/>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837"/>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837"/>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837"/>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837"/>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837"/>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837"/>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837"/>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837"/>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837"/>
        <w:ind w:firstLine="1205"/>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pStyle w:val="837"/>
        <w:ind w:firstLine="1205"/>
        <w:rPr>
          <w:rFonts w:hint="eastAsia" w:ascii="宋体" w:hAnsi="宋体" w:cs="宋体"/>
          <w:color w:val="auto"/>
          <w:sz w:val="24"/>
          <w:szCs w:val="20"/>
          <w:highlight w:val="none"/>
        </w:rPr>
      </w:pPr>
      <w:r>
        <w:rPr>
          <w:rFonts w:hint="eastAsia" w:ascii="宋体" w:hAnsi="宋体" w:cs="宋体"/>
          <w:color w:val="auto"/>
          <w:sz w:val="24"/>
          <w:szCs w:val="20"/>
          <w:highlight w:val="none"/>
        </w:rPr>
      </w:r>
      <w:r/>
    </w:p>
    <w:p>
      <w:pPr>
        <w:ind w:left="0" w:right="0" w:firstLine="0"/>
        <w:jc w:val="left"/>
        <w:spacing w:before="0" w:after="0" w:line="240" w:lineRule="auto"/>
        <w:shd w:val="clear" w:color="auto"/>
        <w:rPr>
          <w:rFonts w:hint="eastAsia" w:ascii="宋体" w:hAnsi="宋体" w:eastAsia="宋体" w:cs="宋体"/>
          <w:color w:val="auto"/>
          <w:sz w:val="24"/>
          <w:highlight w:val="none"/>
          <w:lang w:val="en-US" w:eastAsia="zh-CN"/>
        </w:rPr>
        <w:pBdr>
          <w:top w:val="none" w:color="auto" w:sz="0" w:space="0"/>
          <w:left w:val="none" w:color="auto" w:sz="0" w:space="0"/>
          <w:bottom w:val="none" w:color="auto" w:sz="0" w:space="0"/>
          <w:right w:val="none" w:color="auto" w:sz="0" w:space="0"/>
        </w:pBdr>
        <w:outlineLvl w:val="9"/>
      </w:pPr>
      <w:r>
        <w:rPr>
          <w:rFonts w:hint="eastAsia" w:ascii="宋体" w:hAnsi="宋体" w:eastAsia="宋体" w:cs="宋体"/>
          <w:color w:val="auto"/>
          <w:sz w:val="24"/>
          <w:highlight w:val="none"/>
          <w:lang w:val="en-US" w:eastAsia="zh-CN"/>
        </w:rPr>
        <w:br w:type="page" w:clear="all"/>
      </w:r>
      <w:r/>
    </w:p>
    <w:p>
      <w:pPr>
        <w:ind w:left="0" w:right="0" w:firstLine="0"/>
        <w:jc w:val="left"/>
        <w:spacing w:before="0" w:after="0" w:line="360" w:lineRule="auto"/>
        <w:shd w:val="clear" w:color="auto"/>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pBdr>
        <w:outlineLvl w:val="2"/>
      </w:pP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磋商文件要求提供或供应商认为应附的其他材料</w:t>
      </w:r>
      <w:r/>
    </w:p>
    <w:p>
      <w:pPr>
        <w:pStyle w:val="837"/>
        <w:ind w:left="0" w:firstLine="0"/>
        <w:rPr>
          <w:rFonts w:hint="eastAsia" w:ascii="宋体" w:hAnsi="宋体" w:cs="宋体"/>
          <w:color w:val="auto"/>
          <w:highlight w:val="none"/>
        </w:rPr>
      </w:pPr>
      <w:r>
        <w:rPr>
          <w:rFonts w:hint="eastAsia" w:ascii="宋体" w:hAnsi="宋体" w:cs="宋体"/>
          <w:color w:val="auto"/>
          <w:highlight w:val="none"/>
        </w:rPr>
      </w:r>
      <w:r/>
    </w:p>
    <w:sectPr>
      <w:footnotePr/>
      <w:endnotePr/>
      <w:type w:val="nextPage"/>
      <w:pgSz w:w="11907" w:h="16840" w:orient="portrait"/>
      <w:pgMar w:top="1418" w:right="1134" w:bottom="1418" w:left="1134" w:header="851" w:footer="851"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Adobe 仿宋 Std R">
    <w:panose1 w:val="020B0503020202020204"/>
  </w:font>
  <w:font w:name="Symbol">
    <w:panose1 w:val="05050102010706020507"/>
  </w:font>
  <w:font w:name="Tahoma">
    <w:panose1 w:val="020B0604030504040204"/>
  </w:font>
  <w:font w:name="楷体_GB2312">
    <w:panose1 w:val="02010609060101010101"/>
  </w:font>
  <w:font w:name="ˎ̥">
    <w:panose1 w:val="020B050302020202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monospace">
    <w:panose1 w:val="020B0503020202020204"/>
  </w:font>
  <w:font w:name="Helvetica">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114"/>
      </w:rPr>
      <w:framePr w:wrap="around" w:vAnchor="text" w:hAnchor="margin" w:xAlign="center" w:y="1"/>
    </w:pPr>
    <w:r>
      <w:fldChar w:fldCharType="begin"/>
    </w:r>
    <w:r>
      <w:rPr>
        <w:rStyle w:val="1114"/>
      </w:rPr>
      <w:instrText xml:space="preserve">PAGE  </w:instrText>
    </w:r>
    <w:r>
      <w:fldChar w:fldCharType="end"/>
    </w:r>
    <w:r/>
  </w:p>
  <w:p>
    <w:pPr>
      <w:pStyle w:val="1089"/>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69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t xml:space="preserve">第 </w:t>
                    </w:r>
                    <w:r>
                      <w:fldChar w:fldCharType="begin"/>
                    </w:r>
                    <w:r>
                      <w:instrText xml:space="preserve"> PAGE  \* MERGEFORMAT </w:instrText>
                    </w:r>
                    <w:r>
                      <w:fldChar w:fldCharType="separate"/>
                    </w:r>
                    <w:r>
                      <w:t xml:space="preserve">2</w:t>
                    </w:r>
                    <w:r>
                      <w:fldChar w:fldCharType="end"/>
                    </w:r>
                    <w:r>
                      <w:t xml:space="preserve"> 页 共 </w:t>
                    </w:r>
                    <w:r>
                      <w:rPr>
                        <w:rFonts w:hint="eastAsia"/>
                        <w:lang w:val="en-US" w:eastAsia="zh-CN"/>
                      </w:rPr>
                      <w:t xml:space="preserve">69</w:t>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24"/>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69</w:t>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24"/>
                    </w:pPr>
                    <w:r>
                      <w:t xml:space="preserve">第 </w:t>
                    </w:r>
                    <w:r>
                      <w:fldChar w:fldCharType="begin"/>
                    </w:r>
                    <w:r>
                      <w:instrText xml:space="preserve"> PAGE  \* MERGEFORMAT </w:instrText>
                    </w:r>
                    <w:r>
                      <w:fldChar w:fldCharType="separate"/>
                    </w:r>
                    <w:r>
                      <w:t xml:space="preserve">1</w:t>
                    </w:r>
                    <w:r>
                      <w:fldChar w:fldCharType="end"/>
                    </w:r>
                    <w:r>
                      <w:t xml:space="preserve"> 页 共 </w:t>
                    </w:r>
                    <w:r>
                      <w:rPr>
                        <w:rFonts w:hint="eastAsia"/>
                        <w:lang w:val="en-US" w:eastAsia="zh-CN"/>
                      </w:rPr>
                      <w:t xml:space="preserve">69</w:t>
                    </w:r>
                    <w:r>
                      <w:t xml:space="preserve"> 页</w:t>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9"/>
      <w:rPr>
        <w:rStyle w:val="1114"/>
      </w:rPr>
      <w:framePr w:wrap="around" w:vAnchor="text" w:hAnchor="margin" w:xAlign="right" w:y="1"/>
    </w:pPr>
    <w:r>
      <w:fldChar w:fldCharType="begin"/>
    </w:r>
    <w:r>
      <w:rPr>
        <w:rStyle w:val="1114"/>
      </w:rPr>
      <w:instrText xml:space="preserve">PAGE  </w:instrText>
    </w:r>
    <w:r>
      <w:fldChar w:fldCharType="end"/>
    </w:r>
    <w:r/>
  </w:p>
  <w:p>
    <w:pPr>
      <w:pStyle w:val="1089"/>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right"/>
    </w:pPr>
    <w:r>
      <w:rPr>
        <w:rFonts w:hint="eastAsia"/>
      </w:rPr>
      <w:t xml:space="preserve">常州市政府采购项目竞争性磋商文件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jc w:val="right"/>
      <w:pBdr>
        <w:bottom w:val="single" w:color="000000" w:sz="4" w:space="1"/>
      </w:pBdr>
    </w:pPr>
    <w:r>
      <w:rPr>
        <w:rFonts w:hint="eastAsia"/>
      </w:rPr>
      <w:t xml:space="preserve">常州市政府采购项目竞争性磋商文件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
  </w:p>
  <w:p>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531" w:hanging="900"/>
        <w:tabs>
          <w:tab w:val="left" w:pos="1589" w:leader="none"/>
        </w:tabs>
      </w:pPr>
      <w:rPr>
        <w:rFonts w:ascii="Times New Roman" w:hAnsi="Times New Roman" w:cs="Times New Roman"/>
        <w:b w:val="0"/>
        <w:sz w:val="24"/>
        <w:szCs w:val="24"/>
      </w:rPr>
    </w:lvl>
    <w:lvl w:ilvl="2">
      <w:start w:val="1"/>
      <w:numFmt w:val="decimal"/>
      <w:isLgl w:val="false"/>
      <w:suff w:val="tab"/>
      <w:lvlText w:val="%1.%2.%3"/>
      <w:lvlJc w:val="left"/>
      <w:pPr>
        <w:ind w:left="1980" w:hanging="900"/>
        <w:tabs>
          <w:tab w:val="left" w:pos="1980" w:leader="none"/>
        </w:tabs>
      </w:pPr>
      <w:rPr>
        <w:rFonts w:hint="default" w:ascii="Times New Roman" w:hAnsi="Times New Roman" w:cs="Times New Roman"/>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91"/>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2">
    <w:multiLevelType w:val="hybridMultilevel"/>
    <w:lvl w:ilvl="0">
      <w:start w:val="1"/>
      <w:numFmt w:val="decimal"/>
      <w:pStyle w:val="1190"/>
      <w:isLgl w:val="false"/>
      <w:suff w:val="tab"/>
      <w:lvlText w:val="%1"/>
      <w:lvlJc w:val="left"/>
      <w:pPr>
        <w:ind w:left="680" w:hanging="680"/>
      </w:pPr>
      <w:rPr>
        <w:rFonts w:hint="eastAsia" w:ascii="宋体" w:hAnsi="宋体" w:eastAsia="宋体"/>
      </w:rPr>
    </w:lvl>
    <w:lvl w:ilvl="1">
      <w:start w:val="1"/>
      <w:numFmt w:val="decimal"/>
      <w:pStyle w:val="1289"/>
      <w:isLgl w:val="false"/>
      <w:suff w:val="tab"/>
      <w:lvlText w:val="%1.%2"/>
      <w:lvlJc w:val="left"/>
      <w:pPr>
        <w:ind w:left="851" w:hanging="851"/>
      </w:pPr>
      <w:rPr>
        <w:rFonts w:hint="eastAsia" w:ascii="宋体" w:hAnsi="宋体" w:eastAsia="宋体"/>
        <w:color w:val="000000"/>
      </w:rPr>
    </w:lvl>
    <w:lvl w:ilvl="2">
      <w:start w:val="1"/>
      <w:numFmt w:val="decimal"/>
      <w:pStyle w:val="1279"/>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3">
    <w:multiLevelType w:val="hybridMultilevel"/>
    <w:lvl w:ilvl="0">
      <w:start w:val="1"/>
      <w:numFmt w:val="decimal"/>
      <w:pStyle w:val="1173"/>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4">
    <w:multiLevelType w:val="hybridMultilevel"/>
    <w:lvl w:ilvl="0">
      <w:start w:val="8"/>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172"/>
      <w:isLgl w:val="false"/>
      <w:suff w:val="tab"/>
      <w:lvlText w:val="%1)"/>
      <w:lvlJc w:val="left"/>
      <w:pPr>
        <w:ind w:left="420" w:hanging="420"/>
      </w:p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6">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7">
    <w:multiLevelType w:val="hybridMultilevel"/>
    <w:lvl w:ilvl="0">
      <w:start w:val="1"/>
      <w:numFmt w:val="lowerLetter"/>
      <w:pStyle w:val="1242"/>
      <w:isLgl w:val="false"/>
      <w:suff w:val="tab"/>
      <w:lvlText w:val="%1)"/>
      <w:lvlJc w:val="left"/>
      <w:pPr>
        <w:ind w:left="902" w:hanging="420"/>
      </w:pPr>
      <w:rPr>
        <w:color w:val="000000"/>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8">
    <w:multiLevelType w:val="hybridMultilevel"/>
    <w:lvl w:ilvl="0">
      <w:start w:val="1"/>
      <w:numFmt w:val="decimal"/>
      <w:pStyle w:val="1249"/>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86"/>
      <w:isLgl w:val="false"/>
      <w:suff w:val="nothing"/>
      <w:lvlText w:val="%1　"/>
      <w:lvlJc w:val="left"/>
      <w:pPr>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ind w:left="-25" w:firstLine="0"/>
      </w:pPr>
      <w:rPr>
        <w:rFonts w:ascii="Times New Roman" w:hAnsi="Times New Roman" w:eastAsia="黑体"/>
        <w:b/>
        <w:i w:val="0"/>
        <w:sz w:val="28"/>
      </w:rPr>
    </w:lvl>
    <w:lvl w:ilvl="3">
      <w:start w:val="1"/>
      <w:numFmt w:val="decimal"/>
      <w:pStyle w:val="1205"/>
      <w:isLgl w:val="false"/>
      <w:suff w:val="nothing"/>
      <w:lvlText w:val="%1.%2.%3.%4　"/>
      <w:lvlJc w:val="left"/>
      <w:pPr>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ind w:left="-25" w:firstLine="0"/>
      </w:pPr>
      <w:rPr>
        <w:rFonts w:ascii="Times New Roman" w:hAnsi="Times New Roman" w:eastAsia="宋体"/>
        <w:b/>
        <w:i w:val="0"/>
        <w:sz w:val="28"/>
      </w:rPr>
    </w:lvl>
    <w:lvl w:ilvl="6">
      <w:start w:val="1"/>
      <w:numFmt w:val="lowerLetter"/>
      <w:pStyle w:val="1276"/>
      <w:isLgl w:val="false"/>
      <w:suff w:val="tab"/>
      <w:lvlText w:val="%7) "/>
      <w:lvlJc w:val="left"/>
      <w:pPr>
        <w:ind w:left="-125" w:firstLine="400"/>
        <w:tabs>
          <w:tab w:val="left" w:pos="635" w:leader="none"/>
        </w:tabs>
      </w:pPr>
      <w:rPr>
        <w:rFonts w:ascii="Times New Roman" w:hAnsi="Times New Roman" w:eastAsia="宋体"/>
        <w:b/>
        <w:i w:val="0"/>
        <w:color w:val="000000"/>
        <w:sz w:val="28"/>
        <w:u w:val="none"/>
      </w:rPr>
    </w:lvl>
    <w:lvl w:ilvl="7">
      <w:start w:val="1"/>
      <w:numFmt w:val="decimal"/>
      <w:pStyle w:val="1228"/>
      <w:isLgl w:val="false"/>
      <w:suff w:val="tab"/>
      <w:lvlText w:val="%8) "/>
      <w:lvlJc w:val="left"/>
      <w:pPr>
        <w:ind w:left="500" w:firstLine="0"/>
        <w:tabs>
          <w:tab w:val="left"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ind w:left="500" w:firstLine="0"/>
        <w:tabs>
          <w:tab w:val="left" w:pos="860" w:leader="none"/>
        </w:tabs>
      </w:pPr>
      <w:rPr>
        <w:rFonts w:hint="eastAsia" w:ascii="宋体" w:eastAsia="宋体"/>
        <w:b w:val="0"/>
        <w:i w:val="0"/>
        <w:color w:val="000000"/>
        <w:sz w:val="28"/>
        <w:u w:val="none"/>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default" w:ascii="Times New Roman" w:hAnsi="Times New Roman" w:cs="Times New Roman"/>
      </w:rPr>
    </w:lvl>
    <w:lvl w:ilvl="1">
      <w:start w:val="1"/>
      <w:numFmt w:val="decimal"/>
      <w:isLgl w:val="false"/>
      <w:suff w:val="tab"/>
      <w:lvlText w:val="%1.%2"/>
      <w:lvlJc w:val="left"/>
      <w:pPr>
        <w:ind w:left="1468" w:hanging="900"/>
        <w:tabs>
          <w:tab w:val="left" w:pos="1589" w:leader="none"/>
        </w:tabs>
      </w:pPr>
      <w:rPr>
        <w:rFonts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nothing"/>
      <w:lvlText w:val="%1.%2.%3.%4"/>
      <w:lvlJc w:val="left"/>
      <w:pPr>
        <w:ind w:left="900" w:hanging="900"/>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5"/>
  </w:num>
  <w:num w:numId="2">
    <w:abstractNumId w:val="3"/>
  </w:num>
  <w:num w:numId="3">
    <w:abstractNumId w:val="9"/>
  </w:num>
  <w:num w:numId="4">
    <w:abstractNumId w:val="2"/>
  </w:num>
  <w:num w:numId="5">
    <w:abstractNumId w:val="1"/>
  </w:num>
  <w:num w:numId="6">
    <w:abstractNumId w:val="7"/>
  </w:num>
  <w:num w:numId="7">
    <w:abstractNumId w:val="8"/>
  </w:num>
  <w:num w:numId="8">
    <w:abstractNumId w:val="10"/>
  </w:num>
  <w:num w:numId="9">
    <w:abstractNumId w:val="6"/>
  </w:num>
  <w:num w:numId="10">
    <w:abstractNumId w:val="0"/>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8" w:default="1">
    <w:name w:val="Normal"/>
    <w:link w:val="11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99">
    <w:name w:val="Heading 1"/>
    <w:basedOn w:val="798"/>
    <w:next w:val="798"/>
    <w:link w:val="893"/>
    <w:uiPriority w:val="9"/>
    <w:qFormat/>
    <w:pPr>
      <w:keepLines/>
      <w:keepNext/>
      <w:spacing w:before="480" w:after="200"/>
      <w:outlineLvl w:val="0"/>
    </w:pPr>
    <w:rPr>
      <w:rFonts w:ascii="Arial" w:hAnsi="Arial" w:eastAsia="Arial" w:cs="Arial"/>
      <w:sz w:val="40"/>
      <w:szCs w:val="40"/>
    </w:rPr>
  </w:style>
  <w:style w:type="paragraph" w:styleId="800">
    <w:name w:val="Heading 2"/>
    <w:basedOn w:val="798"/>
    <w:next w:val="798"/>
    <w:link w:val="894"/>
    <w:uiPriority w:val="9"/>
    <w:qFormat/>
    <w:pPr>
      <w:keepLines/>
      <w:keepNext/>
      <w:spacing w:before="360" w:after="200"/>
      <w:outlineLvl w:val="1"/>
    </w:pPr>
    <w:rPr>
      <w:rFonts w:ascii="Arial" w:hAnsi="Arial" w:eastAsia="Arial" w:cs="Arial"/>
      <w:sz w:val="34"/>
    </w:rPr>
  </w:style>
  <w:style w:type="paragraph" w:styleId="801">
    <w:name w:val="Heading 3"/>
    <w:basedOn w:val="798"/>
    <w:next w:val="798"/>
    <w:link w:val="895"/>
    <w:uiPriority w:val="9"/>
    <w:qFormat/>
    <w:pPr>
      <w:keepLines/>
      <w:keepNext/>
      <w:spacing w:before="320" w:after="200"/>
      <w:outlineLvl w:val="2"/>
    </w:pPr>
    <w:rPr>
      <w:rFonts w:ascii="Arial" w:hAnsi="Arial" w:eastAsia="Arial" w:cs="Arial"/>
      <w:sz w:val="30"/>
      <w:szCs w:val="30"/>
    </w:rPr>
  </w:style>
  <w:style w:type="paragraph" w:styleId="802">
    <w:name w:val="Heading 4"/>
    <w:basedOn w:val="798"/>
    <w:next w:val="798"/>
    <w:link w:val="896"/>
    <w:uiPriority w:val="9"/>
    <w:qFormat/>
    <w:pPr>
      <w:keepLines/>
      <w:keepNext/>
      <w:spacing w:before="320" w:after="200"/>
      <w:outlineLvl w:val="3"/>
    </w:pPr>
    <w:rPr>
      <w:rFonts w:ascii="Arial" w:hAnsi="Arial" w:eastAsia="Arial" w:cs="Arial"/>
      <w:b/>
      <w:bCs/>
      <w:sz w:val="26"/>
      <w:szCs w:val="26"/>
    </w:rPr>
  </w:style>
  <w:style w:type="paragraph" w:styleId="803">
    <w:name w:val="Heading 5"/>
    <w:basedOn w:val="798"/>
    <w:next w:val="798"/>
    <w:link w:val="897"/>
    <w:uiPriority w:val="9"/>
    <w:qFormat/>
    <w:pPr>
      <w:keepLines/>
      <w:keepNext/>
      <w:spacing w:before="320" w:after="200"/>
      <w:outlineLvl w:val="4"/>
    </w:pPr>
    <w:rPr>
      <w:rFonts w:ascii="Arial" w:hAnsi="Arial" w:eastAsia="Arial" w:cs="Arial"/>
      <w:b/>
      <w:bCs/>
      <w:sz w:val="24"/>
    </w:rPr>
  </w:style>
  <w:style w:type="paragraph" w:styleId="804">
    <w:name w:val="Heading 6"/>
    <w:basedOn w:val="798"/>
    <w:next w:val="798"/>
    <w:link w:val="898"/>
    <w:uiPriority w:val="9"/>
    <w:qFormat/>
    <w:pPr>
      <w:keepLines/>
      <w:keepNext/>
      <w:spacing w:before="320" w:after="200"/>
      <w:outlineLvl w:val="5"/>
    </w:pPr>
    <w:rPr>
      <w:rFonts w:ascii="Arial" w:hAnsi="Arial" w:eastAsia="Arial" w:cs="Arial"/>
      <w:b/>
      <w:bCs/>
      <w:sz w:val="22"/>
      <w:szCs w:val="22"/>
    </w:rPr>
  </w:style>
  <w:style w:type="paragraph" w:styleId="805">
    <w:name w:val="Heading 7"/>
    <w:basedOn w:val="798"/>
    <w:next w:val="798"/>
    <w:link w:val="899"/>
    <w:uiPriority w:val="9"/>
    <w:qFormat/>
    <w:pPr>
      <w:keepLines/>
      <w:keepNext/>
      <w:spacing w:before="320" w:after="200"/>
      <w:outlineLvl w:val="6"/>
    </w:pPr>
    <w:rPr>
      <w:rFonts w:ascii="Arial" w:hAnsi="Arial" w:eastAsia="Arial" w:cs="Arial"/>
      <w:b/>
      <w:bCs/>
      <w:i/>
      <w:iCs/>
      <w:sz w:val="22"/>
      <w:szCs w:val="22"/>
    </w:rPr>
  </w:style>
  <w:style w:type="paragraph" w:styleId="806">
    <w:name w:val="Heading 8"/>
    <w:basedOn w:val="798"/>
    <w:next w:val="798"/>
    <w:link w:val="900"/>
    <w:uiPriority w:val="9"/>
    <w:qFormat/>
    <w:pPr>
      <w:keepLines/>
      <w:keepNext/>
      <w:spacing w:before="320" w:after="200"/>
      <w:outlineLvl w:val="7"/>
    </w:pPr>
    <w:rPr>
      <w:rFonts w:ascii="Arial" w:hAnsi="Arial" w:eastAsia="Arial" w:cs="Arial"/>
      <w:i/>
      <w:iCs/>
      <w:sz w:val="22"/>
      <w:szCs w:val="22"/>
    </w:rPr>
  </w:style>
  <w:style w:type="paragraph" w:styleId="807">
    <w:name w:val="Heading 9"/>
    <w:basedOn w:val="798"/>
    <w:next w:val="798"/>
    <w:link w:val="901"/>
    <w:uiPriority w:val="9"/>
    <w:qFormat/>
    <w:pPr>
      <w:keepLines/>
      <w:keepNext/>
      <w:spacing w:before="320" w:after="200"/>
      <w:outlineLvl w:val="8"/>
    </w:pPr>
    <w:rPr>
      <w:rFonts w:ascii="Arial" w:hAnsi="Arial" w:eastAsia="Arial" w:cs="Arial"/>
      <w:i/>
      <w:iCs/>
      <w:szCs w:val="21"/>
    </w:rPr>
  </w:style>
  <w:style w:type="character" w:styleId="808" w:default="1">
    <w:name w:val="Default Paragraph Font"/>
    <w:uiPriority w:val="1"/>
    <w:qFormat/>
  </w:style>
  <w:style w:type="table" w:styleId="809" w:default="1">
    <w:name w:val="Normal Table"/>
    <w:uiPriority w:val="99"/>
    <w:qFormat/>
    <w:tblPr>
      <w:tblCellMar>
        <w:left w:w="108" w:type="dxa"/>
        <w:top w:w="0" w:type="dxa"/>
        <w:right w:w="108" w:type="dxa"/>
        <w:bottom w:w="0" w:type="dxa"/>
      </w:tblCellMar>
    </w:tblPr>
  </w:style>
  <w:style w:type="paragraph" w:styleId="810">
    <w:name w:val="toc 7"/>
    <w:basedOn w:val="798"/>
    <w:next w:val="798"/>
    <w:uiPriority w:val="39"/>
    <w:qFormat/>
    <w:pPr>
      <w:ind w:left="1701"/>
      <w:spacing w:after="57"/>
    </w:pPr>
  </w:style>
  <w:style w:type="paragraph" w:styleId="811">
    <w:name w:val="table of authorities"/>
    <w:basedOn w:val="798"/>
    <w:next w:val="798"/>
    <w:uiPriority w:val="99"/>
    <w:qFormat/>
    <w:pPr>
      <w:ind w:left="420"/>
    </w:pPr>
    <w:rPr>
      <w:szCs w:val="20"/>
    </w:rPr>
  </w:style>
  <w:style w:type="paragraph" w:styleId="812">
    <w:name w:val="Normal Indent"/>
    <w:basedOn w:val="798"/>
    <w:next w:val="798"/>
    <w:uiPriority w:val="0"/>
    <w:unhideWhenUsed/>
    <w:qFormat/>
    <w:pPr>
      <w:ind w:firstLine="420"/>
    </w:pPr>
    <w:rPr>
      <w:rFonts w:ascii="宋体" w:hAnsi="Times New Roman"/>
      <w:sz w:val="24"/>
    </w:rPr>
  </w:style>
  <w:style w:type="paragraph" w:styleId="813">
    <w:name w:val="Caption"/>
    <w:basedOn w:val="798"/>
    <w:next w:val="798"/>
    <w:uiPriority w:val="35"/>
    <w:qFormat/>
    <w:pPr>
      <w:spacing w:line="276" w:lineRule="auto"/>
    </w:pPr>
    <w:rPr>
      <w:b/>
      <w:bCs/>
      <w:color w:val="4f81bd"/>
      <w:sz w:val="18"/>
      <w:szCs w:val="18"/>
    </w:rPr>
  </w:style>
  <w:style w:type="paragraph" w:styleId="814">
    <w:name w:val="annotation text"/>
    <w:basedOn w:val="798"/>
    <w:uiPriority w:val="99"/>
    <w:qFormat/>
    <w:pPr>
      <w:jc w:val="left"/>
    </w:pPr>
  </w:style>
  <w:style w:type="paragraph" w:styleId="815">
    <w:name w:val="Body Text"/>
    <w:basedOn w:val="798"/>
    <w:next w:val="798"/>
    <w:uiPriority w:val="0"/>
    <w:qFormat/>
    <w:pPr>
      <w:spacing w:before="120" w:line="22" w:lineRule="atLeast"/>
      <w:tabs>
        <w:tab w:val="left" w:pos="567" w:leader="none"/>
      </w:tabs>
    </w:pPr>
    <w:rPr>
      <w:rFonts w:ascii="宋体" w:hAnsi="宋体"/>
      <w:sz w:val="24"/>
      <w:szCs w:val="20"/>
    </w:rPr>
  </w:style>
  <w:style w:type="paragraph" w:styleId="816">
    <w:name w:val="Body Text Indent"/>
    <w:basedOn w:val="798"/>
    <w:next w:val="798"/>
    <w:uiPriority w:val="0"/>
    <w:qFormat/>
    <w:pPr>
      <w:ind w:firstLine="570"/>
      <w:spacing w:line="360" w:lineRule="auto"/>
    </w:pPr>
    <w:rPr>
      <w:sz w:val="24"/>
    </w:rPr>
  </w:style>
  <w:style w:type="paragraph" w:styleId="817">
    <w:name w:val="index 4"/>
    <w:basedOn w:val="798"/>
    <w:next w:val="798"/>
    <w:uiPriority w:val="0"/>
    <w:semiHidden/>
    <w:qFormat/>
    <w:pPr>
      <w:ind w:left="1260"/>
    </w:pPr>
    <w:rPr>
      <w:rFonts w:ascii="Times New Roman" w:hAnsi="Times New Roman" w:eastAsia="宋体" w:cs="Times New Roman"/>
    </w:rPr>
  </w:style>
  <w:style w:type="paragraph" w:styleId="818">
    <w:name w:val="toc 5"/>
    <w:basedOn w:val="798"/>
    <w:next w:val="798"/>
    <w:uiPriority w:val="39"/>
    <w:qFormat/>
    <w:pPr>
      <w:ind w:left="1134"/>
      <w:spacing w:after="57"/>
    </w:pPr>
  </w:style>
  <w:style w:type="paragraph" w:styleId="819">
    <w:name w:val="toc 3"/>
    <w:basedOn w:val="798"/>
    <w:next w:val="798"/>
    <w:uiPriority w:val="39"/>
    <w:qFormat/>
    <w:pPr>
      <w:ind w:left="567"/>
      <w:spacing w:after="57"/>
    </w:pPr>
  </w:style>
  <w:style w:type="paragraph" w:styleId="820">
    <w:name w:val="Plain Text"/>
    <w:basedOn w:val="798"/>
    <w:next w:val="812"/>
    <w:uiPriority w:val="0"/>
    <w:unhideWhenUsed/>
    <w:qFormat/>
    <w:rPr>
      <w:rFonts w:ascii="宋体" w:hAnsi="宋体"/>
      <w:sz w:val="26"/>
    </w:rPr>
  </w:style>
  <w:style w:type="paragraph" w:styleId="821">
    <w:name w:val="toc 8"/>
    <w:basedOn w:val="798"/>
    <w:next w:val="798"/>
    <w:uiPriority w:val="39"/>
    <w:qFormat/>
    <w:pPr>
      <w:ind w:left="1984"/>
      <w:spacing w:after="57"/>
    </w:pPr>
  </w:style>
  <w:style w:type="paragraph" w:styleId="822">
    <w:name w:val="endnote text"/>
    <w:basedOn w:val="798"/>
    <w:link w:val="1039"/>
    <w:uiPriority w:val="99"/>
    <w:qFormat/>
    <w:rPr>
      <w:sz w:val="20"/>
    </w:rPr>
  </w:style>
  <w:style w:type="paragraph" w:styleId="823">
    <w:name w:val="Balloon Text"/>
    <w:basedOn w:val="798"/>
    <w:link w:val="1306"/>
    <w:uiPriority w:val="99"/>
    <w:qFormat/>
    <w:rPr>
      <w:sz w:val="18"/>
      <w:szCs w:val="18"/>
    </w:rPr>
  </w:style>
  <w:style w:type="paragraph" w:styleId="824">
    <w:name w:val="Footer"/>
    <w:basedOn w:val="798"/>
    <w:link w:val="912"/>
    <w:uiPriority w:val="99"/>
    <w:qFormat/>
    <w:pPr>
      <w:tabs>
        <w:tab w:val="center" w:pos="7143" w:leader="none"/>
        <w:tab w:val="right" w:pos="14287" w:leader="none"/>
      </w:tabs>
    </w:pPr>
  </w:style>
  <w:style w:type="paragraph" w:styleId="825">
    <w:name w:val="envelope return"/>
    <w:basedOn w:val="798"/>
    <w:uiPriority w:val="99"/>
    <w:qFormat/>
    <w:rPr>
      <w:rFonts w:ascii="Arial" w:hAnsi="Arial" w:cs="Arial"/>
    </w:rPr>
  </w:style>
  <w:style w:type="paragraph" w:styleId="826">
    <w:name w:val="Header"/>
    <w:basedOn w:val="798"/>
    <w:link w:val="910"/>
    <w:uiPriority w:val="99"/>
    <w:qFormat/>
    <w:pPr>
      <w:tabs>
        <w:tab w:val="center" w:pos="7143" w:leader="none"/>
        <w:tab w:val="right" w:pos="14287" w:leader="none"/>
      </w:tabs>
    </w:pPr>
  </w:style>
  <w:style w:type="paragraph" w:styleId="827">
    <w:name w:val="toc 1"/>
    <w:basedOn w:val="798"/>
    <w:next w:val="798"/>
    <w:uiPriority w:val="39"/>
    <w:qFormat/>
    <w:pPr>
      <w:spacing w:after="57"/>
    </w:pPr>
  </w:style>
  <w:style w:type="paragraph" w:styleId="828">
    <w:name w:val="toc 4"/>
    <w:basedOn w:val="798"/>
    <w:next w:val="798"/>
    <w:uiPriority w:val="39"/>
    <w:qFormat/>
    <w:pPr>
      <w:ind w:left="850"/>
      <w:spacing w:after="57"/>
    </w:pPr>
  </w:style>
  <w:style w:type="paragraph" w:styleId="829">
    <w:name w:val="Subtitle"/>
    <w:basedOn w:val="798"/>
    <w:next w:val="798"/>
    <w:link w:val="905"/>
    <w:uiPriority w:val="11"/>
    <w:qFormat/>
    <w:pPr>
      <w:spacing w:before="200" w:after="200"/>
    </w:pPr>
    <w:rPr>
      <w:sz w:val="24"/>
    </w:rPr>
  </w:style>
  <w:style w:type="paragraph" w:styleId="830">
    <w:name w:val="footnote text"/>
    <w:basedOn w:val="798"/>
    <w:link w:val="1038"/>
    <w:uiPriority w:val="99"/>
    <w:qFormat/>
    <w:pPr>
      <w:spacing w:after="40"/>
    </w:pPr>
    <w:rPr>
      <w:sz w:val="18"/>
    </w:rPr>
  </w:style>
  <w:style w:type="paragraph" w:styleId="831">
    <w:name w:val="toc 6"/>
    <w:basedOn w:val="798"/>
    <w:next w:val="798"/>
    <w:uiPriority w:val="39"/>
    <w:qFormat/>
    <w:pPr>
      <w:ind w:left="1417"/>
      <w:spacing w:after="57"/>
    </w:pPr>
  </w:style>
  <w:style w:type="paragraph" w:styleId="832">
    <w:name w:val="table of figures"/>
    <w:basedOn w:val="798"/>
    <w:next w:val="798"/>
    <w:uiPriority w:val="99"/>
    <w:qFormat/>
  </w:style>
  <w:style w:type="paragraph" w:styleId="833">
    <w:name w:val="toc 2"/>
    <w:basedOn w:val="798"/>
    <w:next w:val="798"/>
    <w:uiPriority w:val="39"/>
    <w:qFormat/>
    <w:pPr>
      <w:ind w:left="283"/>
      <w:spacing w:after="57"/>
    </w:pPr>
  </w:style>
  <w:style w:type="paragraph" w:styleId="834">
    <w:name w:val="toc 9"/>
    <w:basedOn w:val="798"/>
    <w:next w:val="798"/>
    <w:uiPriority w:val="39"/>
    <w:qFormat/>
    <w:pPr>
      <w:ind w:left="2268"/>
      <w:spacing w:after="57"/>
    </w:pPr>
  </w:style>
  <w:style w:type="paragraph" w:styleId="835">
    <w:name w:val="Normal (Web)"/>
    <w:basedOn w:val="798"/>
    <w:uiPriority w:val="99"/>
    <w:qFormat/>
    <w:pPr>
      <w:jc w:val="left"/>
      <w:spacing w:before="100" w:beforeAutospacing="1" w:after="100" w:afterAutospacing="1"/>
      <w:widowControl/>
    </w:pPr>
    <w:rPr>
      <w:rFonts w:ascii="宋体" w:hAnsi="宋体" w:cs="宋体"/>
      <w:sz w:val="24"/>
    </w:rPr>
  </w:style>
  <w:style w:type="paragraph" w:styleId="836">
    <w:name w:val="Title"/>
    <w:basedOn w:val="798"/>
    <w:next w:val="798"/>
    <w:link w:val="904"/>
    <w:uiPriority w:val="10"/>
    <w:qFormat/>
    <w:pPr>
      <w:contextualSpacing/>
      <w:spacing w:before="300" w:after="200"/>
    </w:pPr>
    <w:rPr>
      <w:sz w:val="48"/>
      <w:szCs w:val="48"/>
    </w:rPr>
  </w:style>
  <w:style w:type="paragraph" w:styleId="837">
    <w:name w:val="Body Text First Indent 2"/>
    <w:basedOn w:val="798"/>
    <w:next w:val="798"/>
    <w:uiPriority w:val="0"/>
    <w:qFormat/>
    <w:pPr>
      <w:ind w:left="420" w:firstLine="420"/>
      <w:spacing w:after="120" w:line="480" w:lineRule="exact"/>
    </w:pPr>
    <w:rPr>
      <w:szCs w:val="20"/>
    </w:rPr>
  </w:style>
  <w:style w:type="table" w:styleId="838">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39">
    <w:name w:val="Strong"/>
    <w:basedOn w:val="808"/>
    <w:uiPriority w:val="22"/>
    <w:qFormat/>
    <w:rPr>
      <w:b/>
      <w:bCs/>
    </w:rPr>
  </w:style>
  <w:style w:type="character" w:styleId="840">
    <w:name w:val="endnote reference"/>
    <w:uiPriority w:val="99"/>
    <w:qFormat/>
    <w:rPr>
      <w:vertAlign w:val="superscript"/>
    </w:rPr>
  </w:style>
  <w:style w:type="character" w:styleId="841">
    <w:name w:val="FollowedHyperlink"/>
    <w:basedOn w:val="808"/>
    <w:uiPriority w:val="0"/>
    <w:qFormat/>
    <w:rPr>
      <w:color w:val="666666"/>
      <w:u w:val="none"/>
    </w:rPr>
  </w:style>
  <w:style w:type="character" w:styleId="842">
    <w:name w:val="HTML Definition"/>
    <w:basedOn w:val="808"/>
    <w:uiPriority w:val="0"/>
    <w:qFormat/>
    <w:rPr>
      <w:i/>
      <w:iCs/>
    </w:rPr>
  </w:style>
  <w:style w:type="character" w:styleId="843">
    <w:name w:val="Hyperlink"/>
    <w:basedOn w:val="808"/>
    <w:uiPriority w:val="99"/>
    <w:qFormat/>
    <w:rPr>
      <w:color w:val="0000ff"/>
      <w:u w:val="single"/>
    </w:rPr>
  </w:style>
  <w:style w:type="character" w:styleId="844">
    <w:name w:val="HTML Code"/>
    <w:basedOn w:val="808"/>
    <w:uiPriority w:val="0"/>
    <w:qFormat/>
    <w:rPr>
      <w:rFonts w:hint="default" w:ascii="monospace" w:hAnsi="monospace" w:eastAsia="monospace" w:cs="monospace"/>
      <w:sz w:val="21"/>
      <w:szCs w:val="21"/>
    </w:rPr>
  </w:style>
  <w:style w:type="character" w:styleId="845">
    <w:name w:val="annotation reference"/>
    <w:basedOn w:val="808"/>
    <w:uiPriority w:val="99"/>
    <w:qFormat/>
    <w:rPr>
      <w:sz w:val="21"/>
      <w:szCs w:val="21"/>
    </w:rPr>
  </w:style>
  <w:style w:type="character" w:styleId="846">
    <w:name w:val="footnote reference"/>
    <w:uiPriority w:val="99"/>
    <w:qFormat/>
    <w:rPr>
      <w:vertAlign w:val="superscript"/>
    </w:rPr>
  </w:style>
  <w:style w:type="character" w:styleId="847">
    <w:name w:val="HTML Keyboard"/>
    <w:basedOn w:val="808"/>
    <w:uiPriority w:val="0"/>
    <w:qFormat/>
    <w:rPr>
      <w:rFonts w:hint="default" w:ascii="monospace" w:hAnsi="monospace" w:eastAsia="monospace" w:cs="monospace"/>
      <w:sz w:val="21"/>
      <w:szCs w:val="21"/>
    </w:rPr>
  </w:style>
  <w:style w:type="character" w:styleId="848">
    <w:name w:val="HTML Sample"/>
    <w:basedOn w:val="808"/>
    <w:uiPriority w:val="0"/>
    <w:qFormat/>
    <w:rPr>
      <w:rFonts w:ascii="monospace" w:hAnsi="monospace" w:eastAsia="monospace" w:cs="monospace"/>
      <w:sz w:val="21"/>
      <w:szCs w:val="21"/>
    </w:rPr>
  </w:style>
  <w:style w:type="paragraph" w:styleId="849" w:customStyle="1">
    <w:name w:val="_Style 3"/>
    <w:uiPriority w:val="1"/>
    <w:qFormat/>
    <w:pPr>
      <w:jc w:val="both"/>
      <w:widowControl w:val="off"/>
    </w:pPr>
    <w:rPr>
      <w:rFonts w:ascii="Times New Roman" w:hAnsi="Times New Roman" w:eastAsia="宋体" w:cs="Times New Roman"/>
      <w:sz w:val="21"/>
      <w:szCs w:val="22"/>
      <w:lang w:val="en-US" w:eastAsia="zh-CN" w:bidi="ar-SA"/>
    </w:rPr>
  </w:style>
  <w:style w:type="character" w:styleId="850" w:customStyle="1">
    <w:name w:val="标题 2 Char"/>
    <w:uiPriority w:val="0"/>
    <w:qFormat/>
    <w:rPr>
      <w:rFonts w:ascii="Arial" w:hAnsi="Arial" w:eastAsia="黑体"/>
      <w:b/>
      <w:sz w:val="30"/>
      <w:lang w:val="en-US" w:eastAsia="zh-CN" w:bidi="ar-SA"/>
    </w:rPr>
  </w:style>
  <w:style w:type="paragraph" w:styleId="851" w:customStyle="1">
    <w:name w:val="段"/>
    <w:next w:val="798"/>
    <w:uiPriority w:val="0"/>
    <w:qFormat/>
    <w:pPr>
      <w:ind w:firstLine="200"/>
      <w:jc w:val="both"/>
    </w:pPr>
    <w:rPr>
      <w:rFonts w:hint="default" w:ascii="宋体" w:hAnsi="Times New Roman" w:eastAsia="宋体" w:cs="Times New Roman"/>
      <w:sz w:val="21"/>
      <w:lang w:val="en-US" w:eastAsia="zh-CN" w:bidi="ar-SA"/>
    </w:rPr>
  </w:style>
  <w:style w:type="paragraph" w:styleId="852" w:customStyle="1">
    <w:name w:val="正文首行缩进 21"/>
    <w:basedOn w:val="853"/>
    <w:next w:val="798"/>
    <w:link w:val="1110"/>
    <w:uiPriority w:val="0"/>
    <w:qFormat/>
    <w:pPr>
      <w:ind w:left="420" w:firstLine="420"/>
      <w:spacing w:after="120" w:line="480" w:lineRule="exact"/>
    </w:pPr>
    <w:rPr>
      <w:sz w:val="24"/>
    </w:rPr>
  </w:style>
  <w:style w:type="paragraph" w:styleId="853" w:customStyle="1">
    <w:name w:val="正文文本缩进11"/>
    <w:basedOn w:val="798"/>
    <w:next w:val="798"/>
    <w:link w:val="1074"/>
    <w:uiPriority w:val="0"/>
    <w:qFormat/>
    <w:pPr>
      <w:ind w:firstLine="570"/>
      <w:spacing w:line="360" w:lineRule="auto"/>
    </w:pPr>
    <w:rPr>
      <w:sz w:val="24"/>
    </w:rPr>
  </w:style>
  <w:style w:type="character" w:styleId="854" w:customStyle="1">
    <w:name w:val="Heading 1 Char"/>
    <w:basedOn w:val="808"/>
    <w:uiPriority w:val="9"/>
    <w:qFormat/>
    <w:rPr>
      <w:rFonts w:ascii="Arial" w:hAnsi="Arial" w:eastAsia="Arial" w:cs="Arial"/>
      <w:sz w:val="40"/>
      <w:szCs w:val="40"/>
    </w:rPr>
  </w:style>
  <w:style w:type="character" w:styleId="855" w:customStyle="1">
    <w:name w:val="Heading 2 Char"/>
    <w:basedOn w:val="808"/>
    <w:uiPriority w:val="9"/>
    <w:qFormat/>
    <w:rPr>
      <w:rFonts w:ascii="Arial" w:hAnsi="Arial" w:eastAsia="Arial" w:cs="Arial"/>
      <w:sz w:val="34"/>
    </w:rPr>
  </w:style>
  <w:style w:type="character" w:styleId="856" w:customStyle="1">
    <w:name w:val="Heading 3 Char"/>
    <w:basedOn w:val="808"/>
    <w:uiPriority w:val="9"/>
    <w:qFormat/>
    <w:rPr>
      <w:rFonts w:ascii="Arial" w:hAnsi="Arial" w:eastAsia="Arial" w:cs="Arial"/>
      <w:sz w:val="30"/>
      <w:szCs w:val="30"/>
    </w:rPr>
  </w:style>
  <w:style w:type="character" w:styleId="857" w:customStyle="1">
    <w:name w:val="Heading 4 Char"/>
    <w:basedOn w:val="808"/>
    <w:uiPriority w:val="9"/>
    <w:qFormat/>
    <w:rPr>
      <w:rFonts w:ascii="Arial" w:hAnsi="Arial" w:eastAsia="Arial" w:cs="Arial"/>
      <w:b/>
      <w:bCs/>
      <w:sz w:val="26"/>
      <w:szCs w:val="26"/>
    </w:rPr>
  </w:style>
  <w:style w:type="character" w:styleId="858" w:customStyle="1">
    <w:name w:val="Heading 5 Char"/>
    <w:basedOn w:val="808"/>
    <w:uiPriority w:val="9"/>
    <w:qFormat/>
    <w:rPr>
      <w:rFonts w:ascii="Arial" w:hAnsi="Arial" w:eastAsia="Arial" w:cs="Arial"/>
      <w:b/>
      <w:bCs/>
      <w:sz w:val="24"/>
      <w:szCs w:val="24"/>
    </w:rPr>
  </w:style>
  <w:style w:type="character" w:styleId="859" w:customStyle="1">
    <w:name w:val="Heading 6 Char"/>
    <w:basedOn w:val="808"/>
    <w:uiPriority w:val="9"/>
    <w:qFormat/>
    <w:rPr>
      <w:rFonts w:ascii="Arial" w:hAnsi="Arial" w:eastAsia="Arial" w:cs="Arial"/>
      <w:b/>
      <w:bCs/>
      <w:sz w:val="22"/>
      <w:szCs w:val="22"/>
    </w:rPr>
  </w:style>
  <w:style w:type="character" w:styleId="860" w:customStyle="1">
    <w:name w:val="Heading 7 Char"/>
    <w:basedOn w:val="808"/>
    <w:uiPriority w:val="9"/>
    <w:qFormat/>
    <w:rPr>
      <w:rFonts w:ascii="Arial" w:hAnsi="Arial" w:eastAsia="Arial" w:cs="Arial"/>
      <w:b/>
      <w:bCs/>
      <w:i/>
      <w:iCs/>
      <w:sz w:val="22"/>
      <w:szCs w:val="22"/>
    </w:rPr>
  </w:style>
  <w:style w:type="character" w:styleId="861" w:customStyle="1">
    <w:name w:val="Heading 8 Char"/>
    <w:basedOn w:val="808"/>
    <w:uiPriority w:val="9"/>
    <w:qFormat/>
    <w:rPr>
      <w:rFonts w:ascii="Arial" w:hAnsi="Arial" w:eastAsia="Arial" w:cs="Arial"/>
      <w:i/>
      <w:iCs/>
      <w:sz w:val="22"/>
      <w:szCs w:val="22"/>
    </w:rPr>
  </w:style>
  <w:style w:type="character" w:styleId="862" w:customStyle="1">
    <w:name w:val="Heading 9 Char"/>
    <w:basedOn w:val="808"/>
    <w:uiPriority w:val="9"/>
    <w:qFormat/>
    <w:rPr>
      <w:rFonts w:ascii="Arial" w:hAnsi="Arial" w:eastAsia="Arial" w:cs="Arial"/>
      <w:i/>
      <w:iCs/>
      <w:sz w:val="21"/>
      <w:szCs w:val="21"/>
    </w:rPr>
  </w:style>
  <w:style w:type="character" w:styleId="863" w:customStyle="1">
    <w:name w:val="Title Char"/>
    <w:basedOn w:val="808"/>
    <w:uiPriority w:val="10"/>
    <w:qFormat/>
    <w:rPr>
      <w:sz w:val="48"/>
      <w:szCs w:val="48"/>
    </w:rPr>
  </w:style>
  <w:style w:type="character" w:styleId="864" w:customStyle="1">
    <w:name w:val="Subtitle Char"/>
    <w:basedOn w:val="808"/>
    <w:uiPriority w:val="11"/>
    <w:qFormat/>
    <w:rPr>
      <w:sz w:val="24"/>
      <w:szCs w:val="24"/>
    </w:rPr>
  </w:style>
  <w:style w:type="character" w:styleId="865" w:customStyle="1">
    <w:name w:val="Quote Char"/>
    <w:uiPriority w:val="29"/>
    <w:qFormat/>
    <w:rPr>
      <w:i/>
    </w:rPr>
  </w:style>
  <w:style w:type="character" w:styleId="866" w:customStyle="1">
    <w:name w:val="Intense Quote Char"/>
    <w:uiPriority w:val="30"/>
    <w:qFormat/>
    <w:rPr>
      <w:i/>
    </w:rPr>
  </w:style>
  <w:style w:type="character" w:styleId="867" w:customStyle="1">
    <w:name w:val="Header Char"/>
    <w:basedOn w:val="808"/>
    <w:uiPriority w:val="99"/>
    <w:qFormat/>
  </w:style>
  <w:style w:type="character" w:styleId="868" w:customStyle="1">
    <w:name w:val="Footer Char"/>
    <w:basedOn w:val="808"/>
    <w:uiPriority w:val="99"/>
    <w:qFormat/>
  </w:style>
  <w:style w:type="character" w:styleId="869" w:customStyle="1">
    <w:name w:val="Caption Char"/>
    <w:uiPriority w:val="99"/>
    <w:qFormat/>
  </w:style>
  <w:style w:type="table" w:styleId="870" w:customStyle="1">
    <w:name w:val="Plain Table 1"/>
    <w:basedOn w:val="80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71" w:customStyle="1">
    <w:name w:val="Plain Table 2"/>
    <w:basedOn w:val="80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2" w:customStyle="1">
    <w:name w:val="Plain Table 3"/>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3" w:customStyle="1">
    <w:name w:val="Plain Table 4"/>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4" w:customStyle="1">
    <w:name w:val="Plain Table 5"/>
    <w:basedOn w:val="80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75" w:customStyle="1">
    <w:name w:val="Grid Table 1 Light"/>
    <w:basedOn w:val="80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3"/>
    <w:basedOn w:val="80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80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5 Dark"/>
    <w:basedOn w:val="80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0" w:customStyle="1">
    <w:name w:val="Grid Table 6 Colorful"/>
    <w:basedOn w:val="80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81" w:customStyle="1">
    <w:name w:val="Grid Table 7 Colorful"/>
    <w:basedOn w:val="80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2" w:customStyle="1">
    <w:name w:val="List Table 1 Light"/>
    <w:basedOn w:val="80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2"/>
    <w:basedOn w:val="80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4" w:customStyle="1">
    <w:name w:val="List Table 3"/>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5" w:customStyle="1">
    <w:name w:val="List Table 4"/>
    <w:basedOn w:val="80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6" w:customStyle="1">
    <w:name w:val="List Table 5 Dark"/>
    <w:basedOn w:val="80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6 Colorful"/>
    <w:basedOn w:val="80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88" w:customStyle="1">
    <w:name w:val="List Table 7 Colorful"/>
    <w:basedOn w:val="80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889" w:customStyle="1">
    <w:name w:val="Footnote Text Char"/>
    <w:uiPriority w:val="99"/>
    <w:qFormat/>
    <w:rPr>
      <w:sz w:val="18"/>
    </w:rPr>
  </w:style>
  <w:style w:type="character" w:styleId="890" w:customStyle="1">
    <w:name w:val="Endnote Text Char"/>
    <w:uiPriority w:val="99"/>
    <w:qFormat/>
    <w:rPr>
      <w:sz w:val="20"/>
    </w:rPr>
  </w:style>
  <w:style w:type="paragraph" w:styleId="891" w:customStyle="1">
    <w:name w:val="TOC Heading"/>
    <w:uiPriority w:val="39"/>
    <w:unhideWhenUsed/>
    <w:qFormat/>
    <w:rPr>
      <w:rFonts w:hint="default" w:ascii="Times New Roman" w:hAnsi="Times New Roman" w:eastAsia="宋体" w:cs="Times New Roman"/>
    </w:rPr>
  </w:style>
  <w:style w:type="paragraph" w:styleId="892" w:customStyle="1">
    <w:name w:val="正文文本1"/>
    <w:basedOn w:val="798"/>
    <w:next w:val="798"/>
    <w:uiPriority w:val="0"/>
    <w:qFormat/>
    <w:pPr>
      <w:spacing w:before="120" w:line="22" w:lineRule="atLeast"/>
      <w:tabs>
        <w:tab w:val="left" w:pos="567" w:leader="none"/>
      </w:tabs>
    </w:pPr>
    <w:rPr>
      <w:rFonts w:ascii="宋体" w:hAnsi="宋体"/>
      <w:sz w:val="24"/>
    </w:rPr>
  </w:style>
  <w:style w:type="character" w:styleId="893" w:customStyle="1">
    <w:name w:val="标题 1 Char"/>
    <w:link w:val="799"/>
    <w:uiPriority w:val="9"/>
    <w:qFormat/>
    <w:rPr>
      <w:rFonts w:ascii="Arial" w:hAnsi="Arial" w:eastAsia="Arial" w:cs="Arial"/>
      <w:sz w:val="40"/>
      <w:szCs w:val="40"/>
    </w:rPr>
  </w:style>
  <w:style w:type="character" w:styleId="894" w:customStyle="1">
    <w:name w:val="标题 2 Char1"/>
    <w:link w:val="800"/>
    <w:uiPriority w:val="9"/>
    <w:qFormat/>
    <w:rPr>
      <w:rFonts w:ascii="Arial" w:hAnsi="Arial" w:eastAsia="Arial" w:cs="Arial"/>
      <w:sz w:val="34"/>
    </w:rPr>
  </w:style>
  <w:style w:type="character" w:styleId="895" w:customStyle="1">
    <w:name w:val="标题 3 Char1"/>
    <w:link w:val="801"/>
    <w:uiPriority w:val="9"/>
    <w:qFormat/>
    <w:rPr>
      <w:rFonts w:ascii="Arial" w:hAnsi="Arial" w:eastAsia="Arial" w:cs="Arial"/>
      <w:sz w:val="30"/>
      <w:szCs w:val="30"/>
    </w:rPr>
  </w:style>
  <w:style w:type="character" w:styleId="896" w:customStyle="1">
    <w:name w:val="标题 4 Char"/>
    <w:link w:val="802"/>
    <w:uiPriority w:val="9"/>
    <w:qFormat/>
    <w:rPr>
      <w:rFonts w:ascii="Arial" w:hAnsi="Arial" w:eastAsia="Arial" w:cs="Arial"/>
      <w:b/>
      <w:bCs/>
      <w:sz w:val="26"/>
      <w:szCs w:val="26"/>
    </w:rPr>
  </w:style>
  <w:style w:type="character" w:styleId="897" w:customStyle="1">
    <w:name w:val="标题 5 Char"/>
    <w:link w:val="803"/>
    <w:uiPriority w:val="9"/>
    <w:qFormat/>
    <w:rPr>
      <w:rFonts w:ascii="Arial" w:hAnsi="Arial" w:eastAsia="Arial" w:cs="Arial"/>
      <w:b/>
      <w:bCs/>
      <w:sz w:val="24"/>
      <w:szCs w:val="24"/>
    </w:rPr>
  </w:style>
  <w:style w:type="character" w:styleId="898" w:customStyle="1">
    <w:name w:val="标题 6 Char"/>
    <w:link w:val="804"/>
    <w:uiPriority w:val="9"/>
    <w:qFormat/>
    <w:rPr>
      <w:rFonts w:ascii="Arial" w:hAnsi="Arial" w:eastAsia="Arial" w:cs="Arial"/>
      <w:b/>
      <w:bCs/>
      <w:sz w:val="22"/>
      <w:szCs w:val="22"/>
    </w:rPr>
  </w:style>
  <w:style w:type="character" w:styleId="899" w:customStyle="1">
    <w:name w:val="标题 7 Char"/>
    <w:link w:val="805"/>
    <w:uiPriority w:val="9"/>
    <w:qFormat/>
    <w:rPr>
      <w:rFonts w:ascii="Arial" w:hAnsi="Arial" w:eastAsia="Arial" w:cs="Arial"/>
      <w:b/>
      <w:bCs/>
      <w:i/>
      <w:iCs/>
      <w:sz w:val="22"/>
      <w:szCs w:val="22"/>
    </w:rPr>
  </w:style>
  <w:style w:type="character" w:styleId="900" w:customStyle="1">
    <w:name w:val="标题 8 Char"/>
    <w:link w:val="806"/>
    <w:uiPriority w:val="9"/>
    <w:qFormat/>
    <w:rPr>
      <w:rFonts w:ascii="Arial" w:hAnsi="Arial" w:eastAsia="Arial" w:cs="Arial"/>
      <w:i/>
      <w:iCs/>
      <w:sz w:val="22"/>
      <w:szCs w:val="22"/>
    </w:rPr>
  </w:style>
  <w:style w:type="character" w:styleId="901" w:customStyle="1">
    <w:name w:val="标题 9 Char"/>
    <w:link w:val="807"/>
    <w:uiPriority w:val="9"/>
    <w:qFormat/>
    <w:rPr>
      <w:rFonts w:ascii="Arial" w:hAnsi="Arial" w:eastAsia="Arial" w:cs="Arial"/>
      <w:i/>
      <w:iCs/>
      <w:sz w:val="21"/>
      <w:szCs w:val="21"/>
    </w:rPr>
  </w:style>
  <w:style w:type="paragraph" w:styleId="902">
    <w:name w:val="List Paragraph"/>
    <w:basedOn w:val="798"/>
    <w:uiPriority w:val="34"/>
    <w:qFormat/>
    <w:pPr>
      <w:contextualSpacing/>
      <w:ind w:left="720"/>
    </w:pPr>
  </w:style>
  <w:style w:type="paragraph" w:styleId="903">
    <w:name w:val="No Spacing"/>
    <w:uiPriority w:val="1"/>
    <w:qFormat/>
    <w:rPr>
      <w:rFonts w:hint="default" w:ascii="Times New Roman" w:hAnsi="Times New Roman" w:eastAsia="宋体" w:cs="Times New Roman"/>
      <w:lang w:val="en-US" w:eastAsia="zh-CN" w:bidi="ar-SA"/>
    </w:rPr>
  </w:style>
  <w:style w:type="character" w:styleId="904" w:customStyle="1">
    <w:name w:val="标题 Char1"/>
    <w:link w:val="836"/>
    <w:uiPriority w:val="10"/>
    <w:qFormat/>
    <w:rPr>
      <w:sz w:val="48"/>
      <w:szCs w:val="48"/>
    </w:rPr>
  </w:style>
  <w:style w:type="character" w:styleId="905" w:customStyle="1">
    <w:name w:val="副标题 Char"/>
    <w:link w:val="829"/>
    <w:uiPriority w:val="11"/>
    <w:qFormat/>
    <w:rPr>
      <w:sz w:val="24"/>
      <w:szCs w:val="24"/>
    </w:rPr>
  </w:style>
  <w:style w:type="paragraph" w:styleId="906">
    <w:name w:val="Quote"/>
    <w:basedOn w:val="798"/>
    <w:next w:val="798"/>
    <w:link w:val="907"/>
    <w:uiPriority w:val="29"/>
    <w:qFormat/>
    <w:pPr>
      <w:ind w:left="720" w:right="720"/>
    </w:pPr>
    <w:rPr>
      <w:i/>
    </w:rPr>
  </w:style>
  <w:style w:type="character" w:styleId="907" w:customStyle="1">
    <w:name w:val="引用 Char"/>
    <w:link w:val="906"/>
    <w:uiPriority w:val="29"/>
    <w:qFormat/>
    <w:rPr>
      <w:i/>
    </w:rPr>
  </w:style>
  <w:style w:type="paragraph" w:styleId="908">
    <w:name w:val="Intense Quote"/>
    <w:basedOn w:val="798"/>
    <w:next w:val="798"/>
    <w:link w:val="90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9" w:customStyle="1">
    <w:name w:val="明显引用 Char"/>
    <w:link w:val="908"/>
    <w:uiPriority w:val="30"/>
    <w:qFormat/>
    <w:rPr>
      <w:i/>
    </w:rPr>
  </w:style>
  <w:style w:type="character" w:styleId="910" w:customStyle="1">
    <w:name w:val="页眉 Char1"/>
    <w:link w:val="826"/>
    <w:uiPriority w:val="99"/>
    <w:qFormat/>
  </w:style>
  <w:style w:type="character" w:styleId="911" w:customStyle="1">
    <w:name w:val="Footer Char_e02bf485-657a-4930-acda-02e67e59ed32"/>
    <w:uiPriority w:val="99"/>
    <w:qFormat/>
  </w:style>
  <w:style w:type="character" w:styleId="912" w:customStyle="1">
    <w:name w:val="页脚 Char1"/>
    <w:link w:val="824"/>
    <w:uiPriority w:val="99"/>
    <w:qFormat/>
  </w:style>
  <w:style w:type="table" w:styleId="913"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14"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5"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19"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20"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921"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922"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923"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924"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925"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926"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27"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928"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929"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930"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931"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932"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933"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40"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41"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942"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943"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944"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945"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946"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947"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48"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949"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950"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951"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952"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953"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954"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955"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956"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12" w:space="0"/>
        </w:tcBorders>
      </w:tcPr>
    </w:tblStylePr>
    <w:tblStylePr w:type="lastCol">
      <w:rPr>
        <w:b/>
        <w:color w:val="da9796"/>
      </w:rPr>
    </w:tblStylePr>
    <w:tblStylePr w:type="lastRow">
      <w:rPr>
        <w:b/>
        <w:color w:val="da9796"/>
      </w:rPr>
    </w:tblStylePr>
  </w:style>
  <w:style w:type="table" w:styleId="957"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b/>
        <w:color w:val="9bbb59"/>
      </w:rPr>
    </w:tblStylePr>
    <w:tblStylePr w:type="firstRow">
      <w:rPr>
        <w:b/>
        <w:color w:val="9bbb59"/>
      </w:rPr>
      <w:tcPr>
        <w:tcBorders>
          <w:bottom w:val="single" w:color="9ABB59" w:sz="12" w:space="0"/>
        </w:tcBorders>
      </w:tcPr>
    </w:tblStylePr>
    <w:tblStylePr w:type="lastCol">
      <w:rPr>
        <w:b/>
        <w:color w:val="9bbb59"/>
      </w:rPr>
    </w:tblStylePr>
    <w:tblStylePr w:type="lastRow">
      <w:rPr>
        <w:b/>
        <w:color w:val="9bbb59"/>
      </w:rPr>
    </w:tblStylePr>
  </w:style>
  <w:style w:type="table" w:styleId="958"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12" w:space="0"/>
        </w:tcBorders>
      </w:tcPr>
    </w:tblStylePr>
    <w:tblStylePr w:type="lastCol">
      <w:rPr>
        <w:b/>
        <w:color w:val="b2a1c7"/>
      </w:rPr>
    </w:tblStylePr>
    <w:tblStylePr w:type="lastRow">
      <w:rPr>
        <w:b/>
        <w:color w:val="b2a1c7"/>
      </w:rPr>
    </w:tblStylePr>
  </w:style>
  <w:style w:type="table" w:styleId="959"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4BACC6" w:sz="12" w:space="0"/>
        </w:tcBorders>
      </w:tcPr>
    </w:tblStylePr>
    <w:tblStylePr w:type="lastCol">
      <w:rPr>
        <w:b/>
        <w:color w:val="266678"/>
      </w:rPr>
    </w:tblStylePr>
    <w:tblStylePr w:type="lastRow">
      <w:rPr>
        <w:b/>
        <w:color w:val="266678"/>
      </w:rPr>
    </w:tblStylePr>
  </w:style>
  <w:style w:type="table" w:styleId="960"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tblStylePr w:type="band1Horz">
      <w:rPr>
        <w:rFonts w:ascii="Arial" w:hAnsi="Arial"/>
        <w:color w:val="266678"/>
        <w:sz w:val="22"/>
      </w:rPr>
      <w:tcPr>
        <w:shd w:val="clear" w:color="fde9d8" w:fill="fde9d8"/>
      </w:tcPr>
    </w:tblStylePr>
    <w:tblStylePr w:type="band1Vert">
      <w:tcPr>
        <w:shd w:val="clear" w:color="fde9d8" w:fill="fde9d8"/>
      </w:tcPr>
    </w:tblStylePr>
    <w:tblStylePr w:type="band2Horz">
      <w:rPr>
        <w:rFonts w:ascii="Arial" w:hAnsi="Arial"/>
        <w:color w:val="266678"/>
        <w:sz w:val="22"/>
      </w:rPr>
    </w:tblStylePr>
    <w:tblStylePr w:type="firstCol">
      <w:rPr>
        <w:b/>
        <w:color w:val="266678"/>
      </w:rPr>
    </w:tblStylePr>
    <w:tblStylePr w:type="firstRow">
      <w:rPr>
        <w:b/>
        <w:color w:val="266678"/>
      </w:rPr>
      <w:tcPr>
        <w:tcBorders>
          <w:bottom w:val="single" w:color="F79646" w:sz="12" w:space="0"/>
        </w:tcBorders>
      </w:tcPr>
    </w:tblStylePr>
    <w:tblStylePr w:type="lastCol">
      <w:rPr>
        <w:b/>
        <w:color w:val="266678"/>
      </w:rPr>
    </w:tblStylePr>
    <w:tblStylePr w:type="lastRow">
      <w:rPr>
        <w:b/>
        <w:color w:val="266678"/>
      </w:rPr>
    </w:tblStylePr>
  </w:style>
  <w:style w:type="table" w:styleId="961"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962"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963"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f2dcdc" w:fill="f2dcdc"/>
      </w:tcPr>
    </w:tblStylePr>
    <w:tblStylePr w:type="band1Vert">
      <w:tcPr>
        <w:shd w:val="clear" w:color="f2dcdc" w:fill="f2dcdc"/>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964"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tblStylePr w:type="band1Horz">
      <w:rPr>
        <w:rFonts w:ascii="Arial" w:hAnsi="Arial"/>
        <w:color w:val="9bbb59"/>
        <w:sz w:val="22"/>
      </w:rPr>
      <w:tcPr>
        <w:shd w:val="clear" w:color="eaf1dc" w:fill="eaf1dc"/>
      </w:tcPr>
    </w:tblStylePr>
    <w:tblStylePr w:type="band1Vert">
      <w:tcPr>
        <w:shd w:val="clear" w:color="eaf1dc" w:fill="eaf1dc"/>
      </w:tcPr>
    </w:tblStylePr>
    <w:tblStylePr w:type="band2Horz">
      <w:rPr>
        <w:rFonts w:ascii="Arial" w:hAnsi="Arial"/>
        <w:color w:val="9bbb59"/>
        <w:sz w:val="22"/>
      </w:rPr>
    </w:tblStylePr>
    <w:tblStylePr w:type="firstCol">
      <w:rPr>
        <w:rFonts w:ascii="Arial" w:hAnsi="Arial"/>
        <w:i/>
        <w:color w:val="9b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b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b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b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965"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e5dfec" w:fill="e5dfec"/>
      </w:tcPr>
    </w:tblStylePr>
    <w:tblStylePr w:type="band1Vert">
      <w:tcPr>
        <w:shd w:val="clear" w:color="e5dfec" w:fill="e5dfec"/>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966"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tblStylePr w:type="band1Horz">
      <w:rPr>
        <w:rFonts w:ascii="Arial" w:hAnsi="Arial"/>
        <w:color w:val="266678"/>
        <w:sz w:val="22"/>
      </w:rPr>
      <w:tcPr>
        <w:shd w:val="clear" w:color="daeef3" w:fill="daeef3"/>
      </w:tcPr>
    </w:tblStylePr>
    <w:tblStylePr w:type="band1Vert">
      <w:tcPr>
        <w:shd w:val="clear" w:color="daeef3" w:fill="daeef3"/>
      </w:tcPr>
    </w:tblStylePr>
    <w:tblStylePr w:type="band2Horz">
      <w:rPr>
        <w:rFonts w:ascii="Arial" w:hAnsi="Arial"/>
        <w:color w:val="266678"/>
        <w:sz w:val="22"/>
      </w:rPr>
    </w:tblStylePr>
    <w:tblStylePr w:type="firstCol">
      <w:rPr>
        <w:rFonts w:ascii="Arial" w:hAnsi="Arial"/>
        <w:i/>
        <w:color w:val="266678"/>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678"/>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678"/>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678"/>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967"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tblStylePr w:type="band1Horz">
      <w:rPr>
        <w:rFonts w:ascii="Arial" w:hAnsi="Arial"/>
        <w:color w:val="b05307"/>
        <w:sz w:val="22"/>
      </w:rPr>
      <w:tcPr>
        <w:shd w:val="clear" w:color="fde9d8" w:fill="fde9d8"/>
      </w:tcPr>
    </w:tblStylePr>
    <w:tblStylePr w:type="band1Vert">
      <w:tcPr>
        <w:shd w:val="clear" w:color="fde9d8" w:fill="fde9d8"/>
      </w:tcPr>
    </w:tblStylePr>
    <w:tblStylePr w:type="band2Horz">
      <w:rPr>
        <w:rFonts w:ascii="Arial" w:hAnsi="Arial"/>
        <w:color w:val="b05307"/>
        <w:sz w:val="22"/>
      </w:rPr>
    </w:tblStylePr>
    <w:tblStylePr w:type="firstCol">
      <w:rPr>
        <w:rFonts w:ascii="Arial" w:hAnsi="Arial"/>
        <w:i/>
        <w:color w:val="b053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053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053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053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968" w:customStyle="1">
    <w:name w:val="清单表 1 浅色1"/>
    <w:uiPriority w:val="99"/>
    <w:qFormat/>
    <w:tblPr>
      <w:tblCellMar>
        <w:left w:w="0" w:type="dxa"/>
        <w:top w:w="0" w:type="dxa"/>
        <w:right w:w="0" w:type="dxa"/>
        <w:bottom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969" w:customStyle="1">
    <w:name w:val="List Table 1 Light - Accent 1"/>
    <w:uiPriority w:val="99"/>
    <w:qFormat/>
    <w:tblPr>
      <w:tblCellMar>
        <w:left w:w="0" w:type="dxa"/>
        <w:top w:w="0" w:type="dxa"/>
        <w:right w:w="0" w:type="dxa"/>
        <w:bottom w:w="0" w:type="dxa"/>
      </w:tblCellMar>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970" w:customStyle="1">
    <w:name w:val="List Table 1 Light - Accent 2"/>
    <w:uiPriority w:val="99"/>
    <w:qFormat/>
    <w:tblPr>
      <w:tblCellMar>
        <w:left w:w="0" w:type="dxa"/>
        <w:top w:w="0" w:type="dxa"/>
        <w:right w:w="0" w:type="dxa"/>
        <w:bottom w:w="0" w:type="dxa"/>
      </w:tblCellMar>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971" w:customStyle="1">
    <w:name w:val="List Table 1 Light - Accent 3"/>
    <w:uiPriority w:val="99"/>
    <w:qFormat/>
    <w:tblPr>
      <w:tblCellMar>
        <w:left w:w="0" w:type="dxa"/>
        <w:top w:w="0" w:type="dxa"/>
        <w:right w:w="0" w:type="dxa"/>
        <w:bottom w:w="0" w:type="dxa"/>
      </w:tblCellMar>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972" w:customStyle="1">
    <w:name w:val="List Table 1 Light - Accent 4"/>
    <w:uiPriority w:val="99"/>
    <w:qFormat/>
    <w:tblPr>
      <w:tblCellMar>
        <w:left w:w="0" w:type="dxa"/>
        <w:top w:w="0" w:type="dxa"/>
        <w:right w:w="0" w:type="dxa"/>
        <w:bottom w:w="0" w:type="dxa"/>
      </w:tblCellMar>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973" w:customStyle="1">
    <w:name w:val="List Table 1 Light - Accent 5"/>
    <w:uiPriority w:val="99"/>
    <w:qFormat/>
    <w:tblPr>
      <w:tblCellMar>
        <w:left w:w="0" w:type="dxa"/>
        <w:top w:w="0" w:type="dxa"/>
        <w:right w:w="0" w:type="dxa"/>
        <w:bottom w:w="0" w:type="dxa"/>
      </w:tblCellMar>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974" w:customStyle="1">
    <w:name w:val="List Table 1 Light - Accent 6"/>
    <w:uiPriority w:val="99"/>
    <w:qFormat/>
    <w:tblPr>
      <w:tblCellMar>
        <w:left w:w="0" w:type="dxa"/>
        <w:top w:w="0" w:type="dxa"/>
        <w:right w:w="0" w:type="dxa"/>
        <w:bottom w:w="0" w:type="dxa"/>
      </w:tblCellMar>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975"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976"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977"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978"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979"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980"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981"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982"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83"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84"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985"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986"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987"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988"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989"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990"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991"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992"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993"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994"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995"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996"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997"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998"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999"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000"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001"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002"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003"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0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b/>
        <w:color w:val="2a4a70"/>
      </w:rPr>
    </w:tblStylePr>
    <w:tblStylePr w:type="firstRow">
      <w:rPr>
        <w:b/>
        <w:color w:val="2a4a70"/>
      </w:rPr>
      <w:tcPr>
        <w:tcBorders>
          <w:bottom w:val="single" w:color="4F81BD" w:sz="4" w:space="0"/>
        </w:tcBorders>
      </w:tcPr>
    </w:tblStylePr>
    <w:tblStylePr w:type="lastCol">
      <w:rPr>
        <w:b/>
        <w:color w:val="2a4a70"/>
      </w:rPr>
    </w:tblStylePr>
    <w:tblStylePr w:type="lastRow">
      <w:rPr>
        <w:b/>
        <w:color w:val="2a4a70"/>
      </w:rPr>
      <w:tcPr>
        <w:tcBorders>
          <w:top w:val="single" w:color="4F81BD" w:sz="4" w:space="0"/>
        </w:tcBorders>
      </w:tcPr>
    </w:tblStylePr>
  </w:style>
  <w:style w:type="table" w:styleId="100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b/>
        <w:color w:val="da9796"/>
      </w:rPr>
    </w:tblStylePr>
    <w:tblStylePr w:type="firstRow">
      <w:rPr>
        <w:b/>
        <w:color w:val="da9796"/>
      </w:rPr>
      <w:tcPr>
        <w:tcBorders>
          <w:bottom w:val="single" w:color="D99695" w:sz="4" w:space="0"/>
        </w:tcBorders>
      </w:tcPr>
    </w:tblStylePr>
    <w:tblStylePr w:type="lastCol">
      <w:rPr>
        <w:b/>
        <w:color w:val="da9796"/>
      </w:rPr>
    </w:tblStylePr>
    <w:tblStylePr w:type="lastRow">
      <w:rPr>
        <w:b/>
        <w:color w:val="da9796"/>
      </w:rPr>
      <w:tcPr>
        <w:tcBorders>
          <w:top w:val="single" w:color="D99695" w:sz="4" w:space="0"/>
        </w:tcBorders>
      </w:tcPr>
    </w:tblStylePr>
  </w:style>
  <w:style w:type="table" w:styleId="100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b/>
        <w:color w:val="c2d69b"/>
      </w:rPr>
    </w:tblStylePr>
    <w:tblStylePr w:type="firstRow">
      <w:rPr>
        <w:b/>
        <w:color w:val="c2d69b"/>
      </w:rPr>
      <w:tcPr>
        <w:tcBorders>
          <w:bottom w:val="single" w:color="C3D69B" w:sz="4" w:space="0"/>
        </w:tcBorders>
      </w:tcPr>
    </w:tblStylePr>
    <w:tblStylePr w:type="lastCol">
      <w:rPr>
        <w:b/>
        <w:color w:val="c2d69b"/>
      </w:rPr>
    </w:tblStylePr>
    <w:tblStylePr w:type="lastRow">
      <w:rPr>
        <w:b/>
        <w:color w:val="c2d69b"/>
      </w:rPr>
      <w:tcPr>
        <w:tcBorders>
          <w:top w:val="single" w:color="C3D69B" w:sz="4" w:space="0"/>
        </w:tcBorders>
      </w:tcPr>
    </w:tblStylePr>
  </w:style>
  <w:style w:type="table" w:styleId="100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b/>
        <w:color w:val="b2a1c7"/>
      </w:rPr>
    </w:tblStylePr>
    <w:tblStylePr w:type="firstRow">
      <w:rPr>
        <w:b/>
        <w:color w:val="b2a1c7"/>
      </w:rPr>
      <w:tcPr>
        <w:tcBorders>
          <w:bottom w:val="single" w:color="B2A1C6" w:sz="4" w:space="0"/>
        </w:tcBorders>
      </w:tcPr>
    </w:tblStylePr>
    <w:tblStylePr w:type="lastCol">
      <w:rPr>
        <w:b/>
        <w:color w:val="b2a1c7"/>
      </w:rPr>
    </w:tblStylePr>
    <w:tblStylePr w:type="lastRow">
      <w:rPr>
        <w:b/>
        <w:color w:val="b2a1c7"/>
      </w:rPr>
      <w:tcPr>
        <w:tcBorders>
          <w:top w:val="single" w:color="B2A1C6" w:sz="4" w:space="0"/>
        </w:tcBorders>
      </w:tcPr>
    </w:tblStylePr>
  </w:style>
  <w:style w:type="table" w:styleId="100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b/>
        <w:color w:val="92cddc"/>
      </w:rPr>
    </w:tblStylePr>
    <w:tblStylePr w:type="firstRow">
      <w:rPr>
        <w:b/>
        <w:color w:val="92cddc"/>
      </w:rPr>
      <w:tcPr>
        <w:tcBorders>
          <w:bottom w:val="single" w:color="92CCDC" w:sz="4" w:space="0"/>
        </w:tcBorders>
      </w:tcPr>
    </w:tblStylePr>
    <w:tblStylePr w:type="lastCol">
      <w:rPr>
        <w:b/>
        <w:color w:val="92cddc"/>
      </w:rPr>
    </w:tblStylePr>
    <w:tblStylePr w:type="lastRow">
      <w:rPr>
        <w:b/>
        <w:color w:val="92cddc"/>
      </w:rPr>
      <w:tcPr>
        <w:tcBorders>
          <w:top w:val="single" w:color="92CCDC" w:sz="4" w:space="0"/>
        </w:tcBorders>
      </w:tcPr>
    </w:tblStylePr>
  </w:style>
  <w:style w:type="table" w:styleId="100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b/>
        <w:color w:val="fabf8f"/>
      </w:rPr>
    </w:tblStylePr>
    <w:tblStylePr w:type="firstRow">
      <w:rPr>
        <w:b/>
        <w:color w:val="fabf8f"/>
      </w:rPr>
      <w:tcPr>
        <w:tcBorders>
          <w:bottom w:val="single" w:color="FAC090" w:sz="4" w:space="0"/>
        </w:tcBorders>
      </w:tcPr>
    </w:tblStylePr>
    <w:tblStylePr w:type="lastCol">
      <w:rPr>
        <w:b/>
        <w:color w:val="fabf8f"/>
      </w:rPr>
    </w:tblStylePr>
    <w:tblStylePr w:type="lastRow">
      <w:rPr>
        <w:b/>
        <w:color w:val="fabf8f"/>
      </w:rPr>
      <w:tcPr>
        <w:tcBorders>
          <w:top w:val="single" w:color="FAC090" w:sz="4" w:space="0"/>
        </w:tcBorders>
      </w:tcPr>
    </w:tblStylePr>
  </w:style>
  <w:style w:type="table" w:styleId="1010" w:customStyle="1">
    <w:name w:val="清单表 7 彩色1"/>
    <w:uiPriority w:val="99"/>
    <w:qFormat/>
    <w:tblPr>
      <w:tblBorders>
        <w:right w:val="single" w:color="7F7F7F" w:sz="4" w:space="0"/>
      </w:tblBorders>
      <w:tblCellMar>
        <w:left w:w="0" w:type="dxa"/>
        <w:top w:w="0" w:type="dxa"/>
        <w:right w:w="0" w:type="dxa"/>
        <w:bottom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11" w:customStyle="1">
    <w:name w:val="List Table 7 Colorful - Accent 1"/>
    <w:uiPriority w:val="99"/>
    <w:qFormat/>
    <w:tblPr>
      <w:tblBorders>
        <w:right w:val="single" w:color="4F81BD" w:sz="4" w:space="0"/>
      </w:tblBorders>
      <w:tblCellMar>
        <w:left w:w="0" w:type="dxa"/>
        <w:top w:w="0" w:type="dxa"/>
        <w:right w:w="0" w:type="dxa"/>
        <w:bottom w:w="0" w:type="dxa"/>
      </w:tblCellMar>
    </w:tblPr>
    <w:tblStylePr w:type="band1Horz">
      <w:rPr>
        <w:rFonts w:ascii="Arial" w:hAnsi="Arial"/>
        <w:color w:val="2a4a70"/>
        <w:sz w:val="22"/>
      </w:rPr>
      <w:tcPr>
        <w:shd w:val="clear" w:color="d2dfee" w:fill="d2dfee"/>
      </w:tcPr>
    </w:tblStylePr>
    <w:tblStylePr w:type="band1Vert">
      <w:tcPr>
        <w:shd w:val="clear" w:color="d2dfee" w:fill="d2dfee"/>
      </w:tcPr>
    </w:tblStylePr>
    <w:tblStylePr w:type="band2Horz">
      <w:rPr>
        <w:rFonts w:ascii="Arial" w:hAnsi="Arial"/>
        <w:color w:val="2a4a70"/>
        <w:sz w:val="22"/>
      </w:rPr>
    </w:tblStylePr>
    <w:tblStylePr w:type="firstCol">
      <w:rPr>
        <w:rFonts w:ascii="Arial" w:hAnsi="Arial"/>
        <w:i/>
        <w:color w:val="2a4a70"/>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0"/>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0"/>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0"/>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012" w:customStyle="1">
    <w:name w:val="List Table 7 Colorful - Accent 2"/>
    <w:uiPriority w:val="99"/>
    <w:qFormat/>
    <w:tblPr>
      <w:tblBorders>
        <w:right w:val="single" w:color="D99695" w:sz="4" w:space="0"/>
      </w:tblBorders>
      <w:tblCellMar>
        <w:left w:w="0" w:type="dxa"/>
        <w:top w:w="0" w:type="dxa"/>
        <w:right w:w="0" w:type="dxa"/>
        <w:bottom w:w="0" w:type="dxa"/>
      </w:tblCellMar>
    </w:tblPr>
    <w:tblStylePr w:type="band1Horz">
      <w:rPr>
        <w:rFonts w:ascii="Arial" w:hAnsi="Arial"/>
        <w:color w:val="da9796"/>
        <w:sz w:val="22"/>
      </w:rPr>
      <w:tcPr>
        <w:shd w:val="clear" w:color="efd2d2" w:fill="efd2d2"/>
      </w:tcPr>
    </w:tblStylePr>
    <w:tblStylePr w:type="band1Vert">
      <w:tcPr>
        <w:shd w:val="clear" w:color="efd2d2" w:fill="efd2d2"/>
      </w:tcPr>
    </w:tblStylePr>
    <w:tblStylePr w:type="band2Horz">
      <w:rPr>
        <w:rFonts w:ascii="Arial" w:hAnsi="Arial"/>
        <w:color w:val="da9796"/>
        <w:sz w:val="22"/>
      </w:rPr>
    </w:tblStylePr>
    <w:tblStylePr w:type="firstCol">
      <w:rPr>
        <w:rFonts w:ascii="Arial" w:hAnsi="Arial"/>
        <w:i/>
        <w:color w:val="da9796"/>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a9796"/>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a9796"/>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a9796"/>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013" w:customStyle="1">
    <w:name w:val="List Table 7 Colorful - Accent 3"/>
    <w:uiPriority w:val="99"/>
    <w:qFormat/>
    <w:tblPr>
      <w:tblBorders>
        <w:right w:val="single" w:color="C3D69B" w:sz="4" w:space="0"/>
      </w:tblBorders>
      <w:tblCellMar>
        <w:left w:w="0" w:type="dxa"/>
        <w:top w:w="0" w:type="dxa"/>
        <w:right w:w="0" w:type="dxa"/>
        <w:bottom w:w="0" w:type="dxa"/>
      </w:tblCellMar>
    </w:tblPr>
    <w:tblStylePr w:type="band1Horz">
      <w:rPr>
        <w:rFonts w:ascii="Arial" w:hAnsi="Arial"/>
        <w:color w:val="c2d69b"/>
        <w:sz w:val="22"/>
      </w:rPr>
      <w:tcPr>
        <w:shd w:val="clear" w:color="e5eed5" w:fill="e5eed5"/>
      </w:tcPr>
    </w:tblStylePr>
    <w:tblStylePr w:type="band1Vert">
      <w:tcPr>
        <w:shd w:val="clear" w:color="e5eed5" w:fill="e5eed5"/>
      </w:tcPr>
    </w:tblStylePr>
    <w:tblStylePr w:type="band2Horz">
      <w:rPr>
        <w:rFonts w:ascii="Arial" w:hAnsi="Arial"/>
        <w:color w:val="c2d69b"/>
        <w:sz w:val="22"/>
      </w:rPr>
    </w:tblStylePr>
    <w:tblStylePr w:type="firstCol">
      <w:rPr>
        <w:rFonts w:ascii="Arial" w:hAnsi="Arial"/>
        <w:i/>
        <w:color w:val="c2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2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2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2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014" w:customStyle="1">
    <w:name w:val="List Table 7 Colorful - Accent 4"/>
    <w:uiPriority w:val="99"/>
    <w:qFormat/>
    <w:tblPr>
      <w:tblBorders>
        <w:right w:val="single" w:color="B2A1C6" w:sz="4" w:space="0"/>
      </w:tblBorders>
      <w:tblCellMar>
        <w:left w:w="0" w:type="dxa"/>
        <w:top w:w="0" w:type="dxa"/>
        <w:right w:w="0" w:type="dxa"/>
        <w:bottom w:w="0" w:type="dxa"/>
      </w:tblCellMar>
    </w:tblPr>
    <w:tblStylePr w:type="band1Horz">
      <w:rPr>
        <w:rFonts w:ascii="Arial" w:hAnsi="Arial"/>
        <w:color w:val="b2a1c7"/>
        <w:sz w:val="22"/>
      </w:rPr>
      <w:tcPr>
        <w:shd w:val="clear" w:color="dfd8e7" w:fill="dfd8e7"/>
      </w:tcPr>
    </w:tblStylePr>
    <w:tblStylePr w:type="band1Vert">
      <w:tcPr>
        <w:shd w:val="clear" w:color="dfd8e7" w:fill="dfd8e7"/>
      </w:tcPr>
    </w:tblStylePr>
    <w:tblStylePr w:type="band2Horz">
      <w:rPr>
        <w:rFonts w:ascii="Arial" w:hAnsi="Arial"/>
        <w:color w:val="b2a1c7"/>
        <w:sz w:val="22"/>
      </w:rPr>
    </w:tblStylePr>
    <w:tblStylePr w:type="firstCol">
      <w:rPr>
        <w:rFonts w:ascii="Arial" w:hAnsi="Arial"/>
        <w:i/>
        <w:color w:val="b2a1c7"/>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7"/>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7"/>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7"/>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015" w:customStyle="1">
    <w:name w:val="List Table 7 Colorful - Accent 5"/>
    <w:uiPriority w:val="99"/>
    <w:qFormat/>
    <w:tblPr>
      <w:tblBorders>
        <w:right w:val="single" w:color="92CCDC" w:sz="4" w:space="0"/>
      </w:tblBorders>
      <w:tblCellMar>
        <w:left w:w="0" w:type="dxa"/>
        <w:top w:w="0" w:type="dxa"/>
        <w:right w:w="0" w:type="dxa"/>
        <w:bottom w:w="0" w:type="dxa"/>
      </w:tblCellMar>
    </w:tblPr>
    <w:tblStylePr w:type="band1Horz">
      <w:rPr>
        <w:rFonts w:ascii="Arial" w:hAnsi="Arial"/>
        <w:color w:val="92cddc"/>
        <w:sz w:val="22"/>
      </w:rPr>
      <w:tcPr>
        <w:shd w:val="clear" w:color="d1eaf0" w:fill="d1eaf0"/>
      </w:tcPr>
    </w:tblStylePr>
    <w:tblStylePr w:type="band1Vert">
      <w:tcPr>
        <w:shd w:val="clear" w:color="d1eaf0" w:fill="d1eaf0"/>
      </w:tcPr>
    </w:tblStylePr>
    <w:tblStylePr w:type="band2Horz">
      <w:rPr>
        <w:rFonts w:ascii="Arial" w:hAnsi="Arial"/>
        <w:color w:val="92cddc"/>
        <w:sz w:val="22"/>
      </w:rPr>
    </w:tblStylePr>
    <w:tblStylePr w:type="firstCol">
      <w:rPr>
        <w:rFonts w:ascii="Arial" w:hAnsi="Arial"/>
        <w:i/>
        <w:color w:val="92cd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d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d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d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016" w:customStyle="1">
    <w:name w:val="List Table 7 Colorful - Accent 6"/>
    <w:uiPriority w:val="99"/>
    <w:qFormat/>
    <w:tblPr>
      <w:tblBorders>
        <w:right w:val="single" w:color="FAC090" w:sz="4" w:space="0"/>
      </w:tblBorders>
      <w:tblCellMar>
        <w:left w:w="0" w:type="dxa"/>
        <w:top w:w="0" w:type="dxa"/>
        <w:right w:w="0" w:type="dxa"/>
        <w:bottom w:w="0" w:type="dxa"/>
      </w:tblCellMar>
    </w:tblPr>
    <w:tblStylePr w:type="band1Horz">
      <w:rPr>
        <w:rFonts w:ascii="Arial" w:hAnsi="Arial"/>
        <w:color w:val="fabf8f"/>
        <w:sz w:val="22"/>
      </w:rPr>
      <w:tcPr>
        <w:shd w:val="clear" w:color="fde4d0" w:fill="fde4d0"/>
      </w:tcPr>
    </w:tblStylePr>
    <w:tblStylePr w:type="band1Vert">
      <w:tcPr>
        <w:shd w:val="clear" w:color="fde4d0" w:fill="fde4d0"/>
      </w:tcPr>
    </w:tblStylePr>
    <w:tblStylePr w:type="band2Horz">
      <w:rPr>
        <w:rFonts w:ascii="Arial" w:hAnsi="Arial"/>
        <w:color w:val="fabf8f"/>
        <w:sz w:val="22"/>
      </w:rPr>
    </w:tblStylePr>
    <w:tblStylePr w:type="firstCol">
      <w:rPr>
        <w:rFonts w:ascii="Arial" w:hAnsi="Arial"/>
        <w:i/>
        <w:color w:val="fabf8f"/>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bf8f"/>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bf8f"/>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bf8f"/>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01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1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1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2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2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2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24"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1025"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026"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027"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028"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029"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030"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031"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32"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033"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034"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035"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036"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037"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character" w:styleId="1038" w:customStyle="1">
    <w:name w:val="脚注文本 Char"/>
    <w:link w:val="830"/>
    <w:uiPriority w:val="99"/>
    <w:qFormat/>
    <w:rPr>
      <w:sz w:val="18"/>
    </w:rPr>
  </w:style>
  <w:style w:type="character" w:styleId="1039" w:customStyle="1">
    <w:name w:val="尾注文本 Char"/>
    <w:link w:val="822"/>
    <w:uiPriority w:val="99"/>
    <w:qFormat/>
    <w:rPr>
      <w:sz w:val="20"/>
    </w:rPr>
  </w:style>
  <w:style w:type="paragraph" w:styleId="1040" w:customStyle="1">
    <w:name w:val="TOC 标题1"/>
    <w:uiPriority w:val="39"/>
    <w:qFormat/>
    <w:rPr>
      <w:rFonts w:hint="default" w:ascii="Times New Roman" w:hAnsi="Times New Roman" w:eastAsia="宋体" w:cs="Times New Roman"/>
      <w:lang w:val="en-US" w:eastAsia="zh-CN" w:bidi="ar-SA"/>
    </w:rPr>
  </w:style>
  <w:style w:type="paragraph" w:styleId="1041" w:customStyle="1">
    <w:name w:val="标题 11"/>
    <w:basedOn w:val="798"/>
    <w:next w:val="798"/>
    <w:link w:val="1055"/>
    <w:uiPriority w:val="0"/>
    <w:qFormat/>
    <w:pPr>
      <w:jc w:val="center"/>
      <w:keepLines/>
      <w:keepNext/>
      <w:spacing w:before="240" w:after="120" w:line="300" w:lineRule="auto"/>
      <w:outlineLvl w:val="0"/>
    </w:pPr>
    <w:rPr>
      <w:rFonts w:ascii="宋体"/>
      <w:b/>
      <w:sz w:val="32"/>
      <w:szCs w:val="20"/>
    </w:rPr>
  </w:style>
  <w:style w:type="paragraph" w:styleId="1042" w:customStyle="1">
    <w:name w:val="标题 21"/>
    <w:basedOn w:val="798"/>
    <w:next w:val="1043"/>
    <w:link w:val="1056"/>
    <w:uiPriority w:val="0"/>
    <w:qFormat/>
    <w:pPr>
      <w:jc w:val="center"/>
      <w:keepLines/>
      <w:keepNext/>
      <w:spacing w:before="120" w:line="300" w:lineRule="auto"/>
      <w:outlineLvl w:val="1"/>
    </w:pPr>
    <w:rPr>
      <w:rFonts w:ascii="Arial" w:hAnsi="Arial" w:eastAsia="黑体"/>
      <w:b/>
      <w:sz w:val="30"/>
      <w:szCs w:val="20"/>
    </w:rPr>
  </w:style>
  <w:style w:type="paragraph" w:styleId="1043" w:customStyle="1">
    <w:name w:val="正文缩进11"/>
    <w:basedOn w:val="798"/>
    <w:next w:val="798"/>
    <w:uiPriority w:val="0"/>
    <w:qFormat/>
    <w:pPr>
      <w:ind w:firstLine="420"/>
      <w:jc w:val="left"/>
    </w:pPr>
    <w:rPr>
      <w:rFonts w:ascii="宋体"/>
      <w:sz w:val="24"/>
    </w:rPr>
  </w:style>
  <w:style w:type="paragraph" w:styleId="1044" w:customStyle="1">
    <w:name w:val="标题 31"/>
    <w:basedOn w:val="798"/>
    <w:next w:val="798"/>
    <w:link w:val="1057"/>
    <w:uiPriority w:val="0"/>
    <w:qFormat/>
    <w:pPr>
      <w:jc w:val="left"/>
      <w:keepLines/>
      <w:keepNext/>
      <w:spacing w:before="360" w:after="120"/>
      <w:outlineLvl w:val="2"/>
    </w:pPr>
    <w:rPr>
      <w:rFonts w:ascii="宋体"/>
      <w:b/>
      <w:sz w:val="24"/>
      <w:szCs w:val="20"/>
      <w:u w:val="single"/>
    </w:rPr>
  </w:style>
  <w:style w:type="paragraph" w:styleId="1045" w:customStyle="1">
    <w:name w:val="标题 41"/>
    <w:basedOn w:val="798"/>
    <w:next w:val="798"/>
    <w:link w:val="1058"/>
    <w:uiPriority w:val="0"/>
    <w:qFormat/>
    <w:pPr>
      <w:keepLines/>
      <w:keepNext/>
      <w:spacing w:before="280" w:after="290" w:line="376" w:lineRule="atLeast"/>
      <w:outlineLvl w:val="3"/>
    </w:pPr>
    <w:rPr>
      <w:rFonts w:ascii="Arial" w:hAnsi="Arial" w:eastAsia="黑体"/>
      <w:b/>
      <w:sz w:val="28"/>
      <w:szCs w:val="20"/>
    </w:rPr>
  </w:style>
  <w:style w:type="paragraph" w:styleId="1046" w:customStyle="1">
    <w:name w:val="标题 51"/>
    <w:basedOn w:val="798"/>
    <w:next w:val="798"/>
    <w:link w:val="1059"/>
    <w:uiPriority w:val="0"/>
    <w:qFormat/>
    <w:pPr>
      <w:keepLines/>
      <w:keepNext/>
      <w:spacing w:before="280" w:after="290" w:line="376" w:lineRule="atLeast"/>
      <w:outlineLvl w:val="4"/>
    </w:pPr>
    <w:rPr>
      <w:b/>
      <w:sz w:val="28"/>
      <w:szCs w:val="20"/>
    </w:rPr>
  </w:style>
  <w:style w:type="paragraph" w:styleId="1047" w:customStyle="1">
    <w:name w:val="标题 61"/>
    <w:basedOn w:val="798"/>
    <w:next w:val="798"/>
    <w:link w:val="1060"/>
    <w:uiPriority w:val="0"/>
    <w:qFormat/>
    <w:pPr>
      <w:keepLines/>
      <w:keepNext/>
      <w:spacing w:before="240" w:after="64" w:line="320" w:lineRule="atLeast"/>
      <w:outlineLvl w:val="5"/>
    </w:pPr>
    <w:rPr>
      <w:rFonts w:ascii="Arial" w:hAnsi="Arial" w:eastAsia="黑体"/>
      <w:b/>
      <w:sz w:val="24"/>
      <w:szCs w:val="20"/>
    </w:rPr>
  </w:style>
  <w:style w:type="paragraph" w:styleId="1048" w:customStyle="1">
    <w:name w:val="标题 71"/>
    <w:basedOn w:val="798"/>
    <w:next w:val="798"/>
    <w:link w:val="1061"/>
    <w:uiPriority w:val="0"/>
    <w:qFormat/>
    <w:pPr>
      <w:keepLines/>
      <w:keepNext/>
      <w:spacing w:before="240" w:after="64" w:line="320" w:lineRule="atLeast"/>
      <w:outlineLvl w:val="6"/>
    </w:pPr>
    <w:rPr>
      <w:b/>
      <w:sz w:val="24"/>
      <w:szCs w:val="20"/>
    </w:rPr>
  </w:style>
  <w:style w:type="paragraph" w:styleId="1049" w:customStyle="1">
    <w:name w:val="标题 81"/>
    <w:basedOn w:val="798"/>
    <w:next w:val="798"/>
    <w:link w:val="1062"/>
    <w:uiPriority w:val="0"/>
    <w:qFormat/>
    <w:pPr>
      <w:keepLines/>
      <w:keepNext/>
      <w:spacing w:before="240" w:after="64" w:line="320" w:lineRule="atLeast"/>
      <w:outlineLvl w:val="7"/>
    </w:pPr>
    <w:rPr>
      <w:rFonts w:ascii="Arial" w:hAnsi="Arial" w:eastAsia="黑体"/>
      <w:sz w:val="24"/>
      <w:szCs w:val="20"/>
    </w:rPr>
  </w:style>
  <w:style w:type="paragraph" w:styleId="1050" w:customStyle="1">
    <w:name w:val="标题 91"/>
    <w:basedOn w:val="798"/>
    <w:next w:val="798"/>
    <w:link w:val="1063"/>
    <w:uiPriority w:val="0"/>
    <w:qFormat/>
    <w:pPr>
      <w:keepLines/>
      <w:keepNext/>
      <w:spacing w:before="240" w:after="64" w:line="320" w:lineRule="atLeast"/>
      <w:outlineLvl w:val="8"/>
    </w:pPr>
    <w:rPr>
      <w:rFonts w:ascii="Arial" w:hAnsi="Arial" w:eastAsia="黑体"/>
      <w:szCs w:val="20"/>
    </w:rPr>
  </w:style>
  <w:style w:type="character" w:styleId="1051" w:customStyle="1">
    <w:name w:val="默认段落字体1"/>
    <w:uiPriority w:val="1"/>
    <w:qFormat/>
  </w:style>
  <w:style w:type="table" w:styleId="1052" w:customStyle="1">
    <w:name w:val="普通表格1"/>
    <w:uiPriority w:val="99"/>
    <w:qFormat/>
    <w:tblPr>
      <w:tblCellMar>
        <w:left w:w="0" w:type="dxa"/>
        <w:top w:w="0" w:type="dxa"/>
        <w:right w:w="0" w:type="dxa"/>
        <w:bottom w:w="0" w:type="dxa"/>
      </w:tblCellMar>
    </w:tblPr>
  </w:style>
  <w:style w:type="paragraph" w:styleId="1053" w:customStyle="1">
    <w:name w:val="正文文本11"/>
    <w:basedOn w:val="798"/>
    <w:next w:val="798"/>
    <w:link w:val="1054"/>
    <w:uiPriority w:val="0"/>
    <w:qFormat/>
    <w:pPr>
      <w:spacing w:before="120" w:line="22" w:lineRule="atLeast"/>
      <w:tabs>
        <w:tab w:val="left" w:pos="567" w:leader="none"/>
      </w:tabs>
    </w:pPr>
    <w:rPr>
      <w:rFonts w:ascii="宋体" w:hAnsi="宋体"/>
      <w:sz w:val="24"/>
    </w:rPr>
  </w:style>
  <w:style w:type="character" w:styleId="1054" w:customStyle="1">
    <w:name w:val="正文文本 字符"/>
    <w:link w:val="1053"/>
    <w:uiPriority w:val="0"/>
    <w:qFormat/>
    <w:rPr>
      <w:rFonts w:ascii="宋体" w:hAnsi="宋体"/>
      <w:sz w:val="24"/>
      <w:szCs w:val="24"/>
    </w:rPr>
  </w:style>
  <w:style w:type="character" w:styleId="1055" w:customStyle="1">
    <w:name w:val="标题 1 字符"/>
    <w:link w:val="1041"/>
    <w:uiPriority w:val="0"/>
    <w:qFormat/>
    <w:rPr>
      <w:rFonts w:ascii="宋体"/>
      <w:b/>
      <w:sz w:val="32"/>
    </w:rPr>
  </w:style>
  <w:style w:type="character" w:styleId="1056" w:customStyle="1">
    <w:name w:val="标题 2 字符"/>
    <w:link w:val="1042"/>
    <w:uiPriority w:val="0"/>
    <w:qFormat/>
    <w:rPr>
      <w:rFonts w:ascii="Arial" w:hAnsi="Arial" w:eastAsia="黑体"/>
      <w:b/>
      <w:sz w:val="30"/>
      <w:lang w:val="en-US" w:eastAsia="zh-CN" w:bidi="ar-SA"/>
    </w:rPr>
  </w:style>
  <w:style w:type="character" w:styleId="1057" w:customStyle="1">
    <w:name w:val="标题 3 字符"/>
    <w:link w:val="1044"/>
    <w:uiPriority w:val="0"/>
    <w:qFormat/>
    <w:rPr>
      <w:rFonts w:ascii="宋体" w:eastAsia="宋体"/>
      <w:b/>
      <w:sz w:val="24"/>
      <w:u w:val="single"/>
      <w:lang w:val="en-US" w:eastAsia="zh-CN" w:bidi="ar-SA"/>
    </w:rPr>
  </w:style>
  <w:style w:type="character" w:styleId="1058" w:customStyle="1">
    <w:name w:val="标题 4 字符"/>
    <w:link w:val="1045"/>
    <w:uiPriority w:val="0"/>
    <w:qFormat/>
    <w:rPr>
      <w:rFonts w:ascii="Arial" w:hAnsi="Arial" w:eastAsia="黑体"/>
      <w:b/>
      <w:sz w:val="28"/>
    </w:rPr>
  </w:style>
  <w:style w:type="character" w:styleId="1059" w:customStyle="1">
    <w:name w:val="标题 5 字符"/>
    <w:link w:val="1046"/>
    <w:uiPriority w:val="0"/>
    <w:qFormat/>
    <w:rPr>
      <w:b/>
      <w:sz w:val="28"/>
    </w:rPr>
  </w:style>
  <w:style w:type="character" w:styleId="1060" w:customStyle="1">
    <w:name w:val="标题 6 字符"/>
    <w:link w:val="1047"/>
    <w:uiPriority w:val="0"/>
    <w:qFormat/>
    <w:rPr>
      <w:rFonts w:ascii="Arial" w:hAnsi="Arial" w:eastAsia="黑体"/>
      <w:b/>
      <w:sz w:val="24"/>
    </w:rPr>
  </w:style>
  <w:style w:type="character" w:styleId="1061" w:customStyle="1">
    <w:name w:val="标题 7 字符"/>
    <w:link w:val="1048"/>
    <w:uiPriority w:val="0"/>
    <w:qFormat/>
    <w:rPr>
      <w:b/>
      <w:sz w:val="24"/>
    </w:rPr>
  </w:style>
  <w:style w:type="character" w:styleId="1062" w:customStyle="1">
    <w:name w:val="标题 8 字符"/>
    <w:link w:val="1049"/>
    <w:uiPriority w:val="0"/>
    <w:qFormat/>
    <w:rPr>
      <w:rFonts w:ascii="Arial" w:hAnsi="Arial" w:eastAsia="黑体"/>
      <w:sz w:val="24"/>
    </w:rPr>
  </w:style>
  <w:style w:type="character" w:styleId="1063" w:customStyle="1">
    <w:name w:val="标题 9 字符"/>
    <w:link w:val="1050"/>
    <w:uiPriority w:val="0"/>
    <w:qFormat/>
    <w:rPr>
      <w:rFonts w:ascii="Arial" w:hAnsi="Arial" w:eastAsia="黑体"/>
      <w:sz w:val="21"/>
    </w:rPr>
  </w:style>
  <w:style w:type="paragraph" w:styleId="1064" w:customStyle="1">
    <w:name w:val="目录 71"/>
    <w:basedOn w:val="798"/>
    <w:next w:val="798"/>
    <w:uiPriority w:val="0"/>
    <w:qFormat/>
    <w:pPr>
      <w:ind w:left="2520"/>
    </w:pPr>
  </w:style>
  <w:style w:type="paragraph" w:styleId="1065" w:customStyle="1">
    <w:name w:val="正文缩进111"/>
    <w:basedOn w:val="798"/>
    <w:next w:val="798"/>
    <w:link w:val="1066"/>
    <w:uiPriority w:val="0"/>
    <w:qFormat/>
    <w:pPr>
      <w:ind w:firstLine="420"/>
      <w:jc w:val="left"/>
    </w:pPr>
    <w:rPr>
      <w:rFonts w:ascii="宋体"/>
      <w:sz w:val="24"/>
    </w:rPr>
  </w:style>
  <w:style w:type="character" w:styleId="1066" w:customStyle="1">
    <w:name w:val="正文缩进 字符"/>
    <w:link w:val="1065"/>
    <w:uiPriority w:val="0"/>
    <w:qFormat/>
    <w:rPr>
      <w:rFonts w:ascii="宋体" w:eastAsia="宋体"/>
      <w:sz w:val="24"/>
      <w:szCs w:val="24"/>
      <w:lang w:val="en-US" w:eastAsia="zh-CN" w:bidi="ar-SA"/>
    </w:rPr>
  </w:style>
  <w:style w:type="paragraph" w:styleId="1067" w:customStyle="1">
    <w:name w:val="题注1"/>
    <w:basedOn w:val="798"/>
    <w:next w:val="798"/>
    <w:uiPriority w:val="0"/>
    <w:qFormat/>
    <w:pPr>
      <w:spacing w:line="480" w:lineRule="auto"/>
    </w:pPr>
    <w:rPr>
      <w:rFonts w:ascii="华文中宋" w:hAnsi="华文中宋" w:eastAsia="华文中宋"/>
      <w:sz w:val="36"/>
      <w:szCs w:val="20"/>
    </w:rPr>
  </w:style>
  <w:style w:type="paragraph" w:styleId="1068" w:customStyle="1">
    <w:name w:val="文档结构图1"/>
    <w:basedOn w:val="798"/>
    <w:link w:val="1069"/>
    <w:uiPriority w:val="0"/>
    <w:qFormat/>
    <w:pPr>
      <w:shd w:val="clear" w:color="auto" w:fill="000080"/>
    </w:pPr>
  </w:style>
  <w:style w:type="character" w:styleId="1069" w:customStyle="1">
    <w:name w:val="文档结构图 字符"/>
    <w:link w:val="1068"/>
    <w:uiPriority w:val="0"/>
    <w:qFormat/>
    <w:rPr>
      <w:sz w:val="21"/>
      <w:szCs w:val="24"/>
      <w:shd w:val="clear" w:color="auto" w:fill="000080"/>
    </w:rPr>
  </w:style>
  <w:style w:type="paragraph" w:styleId="1070" w:customStyle="1">
    <w:name w:val="批注文字1"/>
    <w:basedOn w:val="798"/>
    <w:link w:val="1071"/>
    <w:uiPriority w:val="99"/>
    <w:qFormat/>
    <w:pPr>
      <w:jc w:val="left"/>
    </w:pPr>
  </w:style>
  <w:style w:type="character" w:styleId="1071" w:customStyle="1">
    <w:name w:val="批注文字 字符1"/>
    <w:link w:val="1070"/>
    <w:uiPriority w:val="99"/>
    <w:qFormat/>
    <w:rPr>
      <w:sz w:val="21"/>
      <w:szCs w:val="24"/>
    </w:rPr>
  </w:style>
  <w:style w:type="paragraph" w:styleId="1072" w:customStyle="1">
    <w:name w:val="正文文本 31"/>
    <w:basedOn w:val="798"/>
    <w:link w:val="1073"/>
    <w:uiPriority w:val="0"/>
    <w:qFormat/>
    <w:pPr>
      <w:spacing w:after="120"/>
    </w:pPr>
    <w:rPr>
      <w:sz w:val="16"/>
      <w:szCs w:val="16"/>
    </w:rPr>
  </w:style>
  <w:style w:type="character" w:styleId="1073" w:customStyle="1">
    <w:name w:val="正文文本 3 字符"/>
    <w:link w:val="1072"/>
    <w:uiPriority w:val="0"/>
    <w:qFormat/>
    <w:rPr>
      <w:sz w:val="16"/>
      <w:szCs w:val="16"/>
    </w:rPr>
  </w:style>
  <w:style w:type="character" w:styleId="1074" w:customStyle="1">
    <w:name w:val="正文文本缩进 字符"/>
    <w:link w:val="853"/>
    <w:uiPriority w:val="0"/>
    <w:qFormat/>
    <w:rPr>
      <w:rFonts w:eastAsia="宋体"/>
      <w:sz w:val="24"/>
      <w:szCs w:val="24"/>
      <w:lang w:val="en-US" w:eastAsia="zh-CN" w:bidi="ar-SA"/>
    </w:rPr>
  </w:style>
  <w:style w:type="paragraph" w:styleId="1075" w:customStyle="1">
    <w:name w:val="列表 21"/>
    <w:basedOn w:val="798"/>
    <w:uiPriority w:val="0"/>
    <w:qFormat/>
    <w:pPr>
      <w:ind w:left="100" w:hanging="200"/>
    </w:pPr>
  </w:style>
  <w:style w:type="paragraph" w:styleId="1076" w:customStyle="1">
    <w:name w:val="文本块1"/>
    <w:basedOn w:val="798"/>
    <w:uiPriority w:val="0"/>
    <w:qFormat/>
    <w:pPr>
      <w:ind w:left="480" w:right="-341" w:firstLine="513"/>
      <w:widowControl/>
    </w:pPr>
    <w:rPr>
      <w:sz w:val="24"/>
      <w:szCs w:val="20"/>
    </w:rPr>
  </w:style>
  <w:style w:type="paragraph" w:styleId="1077" w:customStyle="1">
    <w:name w:val="目录 51"/>
    <w:basedOn w:val="798"/>
    <w:next w:val="798"/>
    <w:uiPriority w:val="0"/>
    <w:qFormat/>
    <w:pPr>
      <w:ind w:left="1680"/>
    </w:pPr>
  </w:style>
  <w:style w:type="paragraph" w:styleId="1078" w:customStyle="1">
    <w:name w:val="目录 31"/>
    <w:basedOn w:val="798"/>
    <w:next w:val="798"/>
    <w:uiPriority w:val="39"/>
    <w:qFormat/>
    <w:pPr>
      <w:ind w:left="840"/>
    </w:pPr>
  </w:style>
  <w:style w:type="paragraph" w:styleId="1079" w:customStyle="1">
    <w:name w:val="纯文本1"/>
    <w:basedOn w:val="798"/>
    <w:next w:val="1080"/>
    <w:link w:val="1081"/>
    <w:uiPriority w:val="0"/>
    <w:qFormat/>
    <w:rPr>
      <w:rFonts w:hint="eastAsia" w:ascii="宋体" w:hAnsi="Courier New"/>
      <w:szCs w:val="20"/>
    </w:rPr>
  </w:style>
  <w:style w:type="paragraph" w:styleId="1080" w:customStyle="1">
    <w:name w:val="目录 41"/>
    <w:basedOn w:val="798"/>
    <w:next w:val="798"/>
    <w:uiPriority w:val="0"/>
    <w:qFormat/>
    <w:pPr>
      <w:ind w:left="1260"/>
    </w:pPr>
  </w:style>
  <w:style w:type="character" w:styleId="1081" w:customStyle="1">
    <w:name w:val="纯文本 字符2"/>
    <w:link w:val="1079"/>
    <w:uiPriority w:val="0"/>
    <w:qFormat/>
    <w:rPr>
      <w:rFonts w:hint="eastAsia" w:ascii="宋体" w:hAnsi="Courier New" w:eastAsia="宋体" w:cs="宋体"/>
      <w:sz w:val="21"/>
    </w:rPr>
  </w:style>
  <w:style w:type="paragraph" w:styleId="1082" w:customStyle="1">
    <w:name w:val="目录 81"/>
    <w:basedOn w:val="798"/>
    <w:next w:val="798"/>
    <w:uiPriority w:val="0"/>
    <w:qFormat/>
    <w:pPr>
      <w:ind w:left="2940"/>
    </w:pPr>
  </w:style>
  <w:style w:type="paragraph" w:styleId="1083" w:customStyle="1">
    <w:name w:val="日期1"/>
    <w:basedOn w:val="798"/>
    <w:next w:val="798"/>
    <w:link w:val="1084"/>
    <w:uiPriority w:val="0"/>
    <w:qFormat/>
    <w:pPr>
      <w:ind w:left="100"/>
    </w:pPr>
    <w:rPr>
      <w:rFonts w:ascii="仿宋_GB2312" w:hAnsi="宋体" w:eastAsia="仿宋_GB2312"/>
      <w:color w:val="000000"/>
      <w:sz w:val="24"/>
    </w:rPr>
  </w:style>
  <w:style w:type="character" w:styleId="1084" w:customStyle="1">
    <w:name w:val="日期 字符"/>
    <w:link w:val="1083"/>
    <w:uiPriority w:val="0"/>
    <w:qFormat/>
    <w:rPr>
      <w:rFonts w:ascii="仿宋_GB2312" w:hAnsi="宋体" w:eastAsia="仿宋_GB2312"/>
      <w:color w:val="000000"/>
      <w:sz w:val="24"/>
      <w:szCs w:val="24"/>
    </w:rPr>
  </w:style>
  <w:style w:type="paragraph" w:styleId="1085" w:customStyle="1">
    <w:name w:val="正文文本缩进 21"/>
    <w:basedOn w:val="798"/>
    <w:link w:val="1086"/>
    <w:uiPriority w:val="0"/>
    <w:qFormat/>
    <w:pPr>
      <w:ind w:firstLine="480"/>
    </w:pPr>
    <w:rPr>
      <w:rFonts w:ascii="仿宋_GB2312" w:eastAsia="仿宋_GB2312"/>
      <w:sz w:val="24"/>
    </w:rPr>
  </w:style>
  <w:style w:type="character" w:styleId="1086" w:customStyle="1">
    <w:name w:val="正文文本缩进 2 字符"/>
    <w:link w:val="1085"/>
    <w:uiPriority w:val="0"/>
    <w:qFormat/>
    <w:rPr>
      <w:rFonts w:ascii="仿宋_GB2312" w:eastAsia="仿宋_GB2312"/>
      <w:sz w:val="24"/>
      <w:szCs w:val="24"/>
    </w:rPr>
  </w:style>
  <w:style w:type="paragraph" w:styleId="1087" w:customStyle="1">
    <w:name w:val="批注框文本11"/>
    <w:basedOn w:val="798"/>
    <w:link w:val="1088"/>
    <w:uiPriority w:val="0"/>
    <w:qFormat/>
    <w:rPr>
      <w:sz w:val="18"/>
      <w:szCs w:val="18"/>
    </w:rPr>
  </w:style>
  <w:style w:type="character" w:styleId="1088" w:customStyle="1">
    <w:name w:val="批注框文本 字符"/>
    <w:link w:val="1087"/>
    <w:uiPriority w:val="0"/>
    <w:qFormat/>
    <w:rPr>
      <w:sz w:val="18"/>
      <w:szCs w:val="18"/>
    </w:rPr>
  </w:style>
  <w:style w:type="paragraph" w:styleId="1089" w:customStyle="1">
    <w:name w:val="页脚1"/>
    <w:basedOn w:val="798"/>
    <w:link w:val="1090"/>
    <w:uiPriority w:val="99"/>
    <w:qFormat/>
    <w:pPr>
      <w:jc w:val="left"/>
      <w:tabs>
        <w:tab w:val="center" w:pos="4153" w:leader="none"/>
        <w:tab w:val="right" w:pos="8306" w:leader="none"/>
      </w:tabs>
    </w:pPr>
    <w:rPr>
      <w:rFonts w:ascii="宋体"/>
      <w:sz w:val="18"/>
      <w:szCs w:val="20"/>
    </w:rPr>
  </w:style>
  <w:style w:type="character" w:styleId="1090" w:customStyle="1">
    <w:name w:val="页脚 字符"/>
    <w:link w:val="1089"/>
    <w:uiPriority w:val="99"/>
    <w:qFormat/>
    <w:rPr>
      <w:rFonts w:ascii="宋体" w:eastAsia="宋体"/>
      <w:sz w:val="18"/>
      <w:lang w:val="en-US" w:eastAsia="zh-CN" w:bidi="ar-SA"/>
    </w:rPr>
  </w:style>
  <w:style w:type="paragraph" w:styleId="1091" w:customStyle="1">
    <w:name w:val="寄信人地址1"/>
    <w:basedOn w:val="798"/>
    <w:uiPriority w:val="99"/>
    <w:qFormat/>
    <w:rPr>
      <w:rFonts w:ascii="Arial" w:hAnsi="Arial" w:cs="Arial"/>
    </w:rPr>
  </w:style>
  <w:style w:type="paragraph" w:styleId="1092" w:customStyle="1">
    <w:name w:val="页眉1"/>
    <w:basedOn w:val="798"/>
    <w:link w:val="1093"/>
    <w:uiPriority w:val="0"/>
    <w:qFormat/>
    <w:pPr>
      <w:jc w:val="center"/>
      <w:tabs>
        <w:tab w:val="center" w:pos="4153" w:leader="none"/>
        <w:tab w:val="right" w:pos="8306" w:leader="none"/>
      </w:tabs>
      <w:pBdr>
        <w:bottom w:val="single" w:color="000000" w:sz="6" w:space="1"/>
      </w:pBdr>
    </w:pPr>
    <w:rPr>
      <w:sz w:val="18"/>
      <w:szCs w:val="18"/>
    </w:rPr>
  </w:style>
  <w:style w:type="character" w:styleId="1093" w:customStyle="1">
    <w:name w:val="页眉 字符"/>
    <w:link w:val="1092"/>
    <w:uiPriority w:val="0"/>
    <w:qFormat/>
    <w:rPr>
      <w:rFonts w:eastAsia="宋体"/>
      <w:sz w:val="18"/>
      <w:szCs w:val="18"/>
      <w:lang w:val="en-US" w:eastAsia="zh-CN" w:bidi="ar-SA"/>
    </w:rPr>
  </w:style>
  <w:style w:type="paragraph" w:styleId="1094" w:customStyle="1">
    <w:name w:val="目录 11"/>
    <w:basedOn w:val="798"/>
    <w:next w:val="798"/>
    <w:uiPriority w:val="39"/>
    <w:qFormat/>
    <w:pPr>
      <w:spacing w:line="300" w:lineRule="auto"/>
      <w:tabs>
        <w:tab w:val="left" w:pos="1050" w:leader="none"/>
        <w:tab w:val="right" w:pos="8937" w:leader="dot"/>
      </w:tabs>
    </w:pPr>
    <w:rPr>
      <w:rFonts w:ascii="宋体" w:hAnsi="宋体"/>
      <w:b/>
      <w:sz w:val="24"/>
    </w:rPr>
  </w:style>
  <w:style w:type="paragraph" w:styleId="1095" w:customStyle="1">
    <w:name w:val="目录 61"/>
    <w:basedOn w:val="798"/>
    <w:next w:val="798"/>
    <w:uiPriority w:val="0"/>
    <w:qFormat/>
    <w:pPr>
      <w:ind w:left="2100"/>
    </w:pPr>
  </w:style>
  <w:style w:type="paragraph" w:styleId="1096" w:customStyle="1">
    <w:name w:val="正文文本缩进 31"/>
    <w:basedOn w:val="798"/>
    <w:link w:val="1097"/>
    <w:uiPriority w:val="0"/>
    <w:qFormat/>
    <w:pPr>
      <w:ind w:left="720" w:firstLine="480"/>
      <w:jc w:val="left"/>
      <w:spacing w:before="120" w:line="22" w:lineRule="atLeast"/>
    </w:pPr>
    <w:rPr>
      <w:rFonts w:ascii="宋体"/>
      <w:sz w:val="24"/>
      <w:szCs w:val="20"/>
    </w:rPr>
  </w:style>
  <w:style w:type="character" w:styleId="1097" w:customStyle="1">
    <w:name w:val="正文文本缩进 3 字符"/>
    <w:link w:val="1096"/>
    <w:uiPriority w:val="0"/>
    <w:qFormat/>
    <w:rPr>
      <w:rFonts w:ascii="宋体"/>
      <w:sz w:val="24"/>
    </w:rPr>
  </w:style>
  <w:style w:type="paragraph" w:styleId="1098" w:customStyle="1">
    <w:name w:val="目录 21"/>
    <w:basedOn w:val="798"/>
    <w:next w:val="798"/>
    <w:uiPriority w:val="39"/>
    <w:qFormat/>
    <w:pPr>
      <w:ind w:left="420"/>
      <w:spacing w:line="312" w:lineRule="auto"/>
      <w:tabs>
        <w:tab w:val="right" w:pos="8937" w:leader="dot"/>
      </w:tabs>
    </w:pPr>
  </w:style>
  <w:style w:type="paragraph" w:styleId="1099" w:customStyle="1">
    <w:name w:val="目录 91"/>
    <w:basedOn w:val="798"/>
    <w:next w:val="798"/>
    <w:uiPriority w:val="0"/>
    <w:qFormat/>
    <w:pPr>
      <w:ind w:left="3360"/>
    </w:pPr>
  </w:style>
  <w:style w:type="paragraph" w:styleId="1100" w:customStyle="1">
    <w:name w:val="信息标题1"/>
    <w:basedOn w:val="798"/>
    <w:uiPriority w:val="99"/>
    <w:qFormat/>
    <w:pPr>
      <w:ind w:hanging="1080"/>
      <w:shd w:val="pct20" w:color="auto" w:fill="auto"/>
      <w:pBdr>
        <w:top w:val="single" w:color="000000" w:sz="6" w:space="1"/>
        <w:left w:val="single" w:color="000000" w:sz="6" w:space="1"/>
        <w:bottom w:val="single" w:color="000000" w:sz="6" w:space="1"/>
        <w:right w:val="single" w:color="000000" w:sz="6" w:space="1"/>
      </w:pBdr>
    </w:pPr>
    <w:rPr>
      <w:rFonts w:ascii="Arial" w:hAnsi="Arial"/>
      <w:sz w:val="24"/>
    </w:rPr>
  </w:style>
  <w:style w:type="paragraph" w:styleId="1101" w:customStyle="1">
    <w:name w:val="HTML 预设格式1"/>
    <w:basedOn w:val="798"/>
    <w:link w:val="110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102" w:customStyle="1">
    <w:name w:val="HTML 预设格式 字符"/>
    <w:link w:val="1101"/>
    <w:uiPriority w:val="0"/>
    <w:qFormat/>
    <w:rPr>
      <w:rFonts w:ascii="宋体" w:hAnsi="宋体" w:cs="宋体"/>
      <w:sz w:val="24"/>
      <w:szCs w:val="24"/>
    </w:rPr>
  </w:style>
  <w:style w:type="paragraph" w:styleId="1103" w:customStyle="1">
    <w:name w:val="普通(网站)1"/>
    <w:basedOn w:val="798"/>
    <w:uiPriority w:val="99"/>
    <w:qFormat/>
    <w:pPr>
      <w:jc w:val="left"/>
      <w:spacing w:before="100" w:beforeAutospacing="1" w:after="100" w:afterAutospacing="1"/>
      <w:widowControl/>
    </w:pPr>
    <w:rPr>
      <w:rFonts w:ascii="宋体" w:hAnsi="宋体" w:cs="宋体"/>
      <w:sz w:val="24"/>
    </w:rPr>
  </w:style>
  <w:style w:type="paragraph" w:styleId="1104" w:customStyle="1">
    <w:name w:val="索引 11"/>
    <w:basedOn w:val="798"/>
    <w:next w:val="798"/>
    <w:uiPriority w:val="0"/>
    <w:qFormat/>
    <w:rPr>
      <w:szCs w:val="20"/>
    </w:rPr>
  </w:style>
  <w:style w:type="paragraph" w:styleId="1105" w:customStyle="1">
    <w:name w:val="标题1"/>
    <w:basedOn w:val="798"/>
    <w:link w:val="1106"/>
    <w:uiPriority w:val="0"/>
    <w:qFormat/>
    <w:pPr>
      <w:jc w:val="center"/>
      <w:outlineLvl w:val="0"/>
    </w:pPr>
    <w:rPr>
      <w:b/>
      <w:sz w:val="32"/>
      <w:szCs w:val="20"/>
    </w:rPr>
  </w:style>
  <w:style w:type="character" w:styleId="1106" w:customStyle="1">
    <w:name w:val="标题 字符"/>
    <w:link w:val="1105"/>
    <w:uiPriority w:val="0"/>
    <w:qFormat/>
    <w:rPr>
      <w:b/>
      <w:sz w:val="32"/>
    </w:rPr>
  </w:style>
  <w:style w:type="paragraph" w:styleId="1107" w:customStyle="1">
    <w:name w:val="批注主题1"/>
    <w:basedOn w:val="1070"/>
    <w:next w:val="1070"/>
    <w:link w:val="1108"/>
    <w:uiPriority w:val="0"/>
    <w:qFormat/>
    <w:rPr>
      <w:b/>
      <w:bCs/>
    </w:rPr>
  </w:style>
  <w:style w:type="character" w:styleId="1108" w:customStyle="1">
    <w:name w:val="批注主题 字符"/>
    <w:link w:val="1107"/>
    <w:uiPriority w:val="0"/>
    <w:qFormat/>
    <w:rPr>
      <w:rFonts w:ascii="Times New Roman" w:hAnsi="Times New Roman" w:eastAsia="宋体" w:cs="Times New Roman"/>
      <w:b/>
      <w:bCs/>
      <w:sz w:val="21"/>
      <w:szCs w:val="24"/>
      <w:lang w:val="en-US" w:eastAsia="zh-CN" w:bidi="ar-SA"/>
    </w:rPr>
  </w:style>
  <w:style w:type="paragraph" w:styleId="1109" w:customStyle="1">
    <w:name w:val="正文首行缩进1"/>
    <w:basedOn w:val="1053"/>
    <w:uiPriority w:val="99"/>
    <w:qFormat/>
    <w:pPr>
      <w:ind w:firstLine="420"/>
    </w:pPr>
    <w:rPr>
      <w:sz w:val="20"/>
      <w:szCs w:val="20"/>
    </w:rPr>
  </w:style>
  <w:style w:type="character" w:styleId="1110" w:customStyle="1">
    <w:name w:val="正文首行缩进 2 字符"/>
    <w:link w:val="852"/>
    <w:uiPriority w:val="0"/>
    <w:qFormat/>
    <w:rPr>
      <w:rFonts w:eastAsia="宋体"/>
      <w:sz w:val="24"/>
      <w:szCs w:val="24"/>
      <w:lang w:val="en-US" w:eastAsia="zh-CN" w:bidi="ar-SA"/>
    </w:rPr>
  </w:style>
  <w:style w:type="table" w:styleId="1111" w:customStyle="1">
    <w:name w:val="网格型1"/>
    <w:basedOn w:val="1052"/>
    <w:uiPriority w:val="59"/>
    <w:qFormat/>
    <w:tblPr>
      <w:tblCellMar>
        <w:left w:w="0" w:type="dxa"/>
        <w:top w:w="0" w:type="dxa"/>
        <w:right w:w="0" w:type="dxa"/>
        <w:bottom w:w="0" w:type="dxa"/>
      </w:tblCellMar>
    </w:tblPr>
  </w:style>
  <w:style w:type="table" w:styleId="1112" w:customStyle="1">
    <w:name w:val="中等深浅网格 1 - 强调文字颜色 21"/>
    <w:basedOn w:val="1052"/>
    <w:uiPriority w:val="0"/>
    <w:qFormat/>
    <w:rPr>
      <w:sz w:val="21"/>
      <w:szCs w:val="24"/>
    </w:rPr>
    <w:tblPr>
      <w:tblCellMar>
        <w:left w:w="0" w:type="dxa"/>
        <w:top w:w="0" w:type="dxa"/>
        <w:right w:w="0" w:type="dxa"/>
        <w:bottom w:w="0" w:type="dxa"/>
      </w:tblCellMar>
    </w:tblPr>
  </w:style>
  <w:style w:type="character" w:styleId="1113" w:customStyle="1">
    <w:name w:val="要点1"/>
    <w:uiPriority w:val="0"/>
    <w:qFormat/>
    <w:rPr>
      <w:b/>
      <w:bCs/>
    </w:rPr>
  </w:style>
  <w:style w:type="character" w:styleId="1114" w:customStyle="1">
    <w:name w:val="页码1"/>
    <w:uiPriority w:val="0"/>
    <w:qFormat/>
  </w:style>
  <w:style w:type="character" w:styleId="1115" w:customStyle="1">
    <w:name w:val="已访问的超链接1"/>
    <w:basedOn w:val="1051"/>
    <w:uiPriority w:val="0"/>
    <w:qFormat/>
    <w:rPr>
      <w:color w:val="555555"/>
      <w:u w:val="none"/>
    </w:rPr>
  </w:style>
  <w:style w:type="character" w:styleId="1116" w:customStyle="1">
    <w:name w:val="强调1"/>
    <w:link w:val="798"/>
    <w:uiPriority w:val="0"/>
    <w:qFormat/>
    <w:rPr>
      <w:rFonts w:hint="default" w:ascii="Times New Roman" w:hAnsi="Times New Roman" w:eastAsia="宋体" w:cs="Times New Roman"/>
      <w:sz w:val="21"/>
      <w:szCs w:val="24"/>
      <w:lang w:val="en-US" w:eastAsia="zh-CN" w:bidi="ar-SA"/>
    </w:rPr>
  </w:style>
  <w:style w:type="character" w:styleId="1117" w:customStyle="1">
    <w:name w:val="超链接1"/>
    <w:basedOn w:val="1051"/>
    <w:uiPriority w:val="99"/>
    <w:qFormat/>
    <w:rPr>
      <w:color w:val="555555"/>
      <w:u w:val="none"/>
    </w:rPr>
  </w:style>
  <w:style w:type="character" w:styleId="1118" w:customStyle="1">
    <w:name w:val="批注引用1"/>
    <w:uiPriority w:val="99"/>
    <w:qFormat/>
    <w:rPr>
      <w:sz w:val="21"/>
      <w:szCs w:val="21"/>
    </w:rPr>
  </w:style>
  <w:style w:type="character" w:styleId="1119" w:customStyle="1">
    <w:name w:val="HTML 引文1"/>
    <w:uiPriority w:val="0"/>
    <w:qFormat/>
    <w:rPr>
      <w:i/>
      <w:iCs/>
    </w:rPr>
  </w:style>
  <w:style w:type="character" w:styleId="1120" w:customStyle="1">
    <w:name w:val="纯文本 Char1"/>
    <w:uiPriority w:val="0"/>
    <w:qFormat/>
    <w:rPr>
      <w:rFonts w:ascii="宋体" w:hAnsi="Courier New" w:eastAsia="宋体"/>
      <w:sz w:val="21"/>
      <w:lang w:val="en-US" w:eastAsia="zh-CN" w:bidi="ar-SA"/>
    </w:rPr>
  </w:style>
  <w:style w:type="character" w:styleId="1121" w:customStyle="1">
    <w:name w:val="页眉 Char"/>
    <w:uiPriority w:val="0"/>
    <w:qFormat/>
    <w:rPr>
      <w:rFonts w:eastAsia="宋体"/>
      <w:sz w:val="18"/>
      <w:szCs w:val="18"/>
      <w:lang w:val="en-US" w:eastAsia="zh-CN" w:bidi="ar-SA"/>
    </w:rPr>
  </w:style>
  <w:style w:type="character" w:styleId="1122" w:customStyle="1">
    <w:name w:val="black1"/>
    <w:uiPriority w:val="0"/>
    <w:qFormat/>
    <w:rPr>
      <w:color w:val="000000"/>
    </w:rPr>
  </w:style>
  <w:style w:type="character" w:styleId="1123" w:customStyle="1">
    <w:name w:val="纯文本 字符"/>
    <w:uiPriority w:val="99"/>
    <w:qFormat/>
    <w:rPr>
      <w:rFonts w:ascii="宋体" w:hAnsi="Courier New" w:eastAsia="宋体" w:cs="Times New Roman"/>
      <w:sz w:val="21"/>
      <w:szCs w:val="21"/>
      <w:lang w:val="en-US" w:eastAsia="zh-CN" w:bidi="ar-SA"/>
    </w:rPr>
  </w:style>
  <w:style w:type="character" w:styleId="1124" w:customStyle="1">
    <w:name w:val="正文文本缩进 Char1"/>
    <w:link w:val="1125"/>
    <w:uiPriority w:val="0"/>
    <w:qFormat/>
    <w:rPr>
      <w:rFonts w:ascii="宋体" w:hAnsi="宋体" w:eastAsia="宋体"/>
      <w:sz w:val="24"/>
      <w:szCs w:val="24"/>
      <w:lang w:bidi="ar-SA"/>
    </w:rPr>
  </w:style>
  <w:style w:type="paragraph" w:styleId="1125" w:customStyle="1">
    <w:name w:val="正文文本缩进1"/>
    <w:basedOn w:val="798"/>
    <w:link w:val="1124"/>
    <w:uiPriority w:val="0"/>
    <w:qFormat/>
    <w:pPr>
      <w:ind w:firstLine="480"/>
      <w:spacing w:line="480" w:lineRule="exact"/>
    </w:pPr>
    <w:rPr>
      <w:rFonts w:ascii="宋体" w:hAnsi="宋体"/>
      <w:sz w:val="24"/>
    </w:rPr>
  </w:style>
  <w:style w:type="character" w:styleId="1126" w:customStyle="1">
    <w:name w:val="正文缩进 Char"/>
    <w:uiPriority w:val="0"/>
    <w:qFormat/>
    <w:rPr>
      <w:rFonts w:ascii="宋体" w:eastAsia="宋体"/>
      <w:sz w:val="24"/>
      <w:szCs w:val="24"/>
      <w:lang w:val="en-US" w:eastAsia="zh-CN" w:bidi="ar-SA"/>
    </w:rPr>
  </w:style>
  <w:style w:type="character" w:styleId="1127" w:customStyle="1">
    <w:name w:val="txt"/>
    <w:uiPriority w:val="0"/>
    <w:qFormat/>
  </w:style>
  <w:style w:type="character" w:styleId="1128" w:customStyle="1">
    <w:name w:val="locality"/>
    <w:uiPriority w:val="0"/>
    <w:qFormat/>
  </w:style>
  <w:style w:type="character" w:styleId="1129" w:customStyle="1">
    <w:name w:val="批注文字 字符"/>
    <w:uiPriority w:val="99"/>
    <w:qFormat/>
    <w:rPr>
      <w:rFonts w:ascii="Times New Roman" w:hAnsi="Times New Roman" w:eastAsia="宋体" w:cs="Times New Roman"/>
      <w:sz w:val="24"/>
      <w:lang w:val="en-US" w:eastAsia="zh-CN" w:bidi="ar-SA"/>
    </w:rPr>
  </w:style>
  <w:style w:type="character" w:styleId="1130" w:customStyle="1">
    <w:name w:val="正文重点 Char"/>
    <w:link w:val="1131"/>
    <w:uiPriority w:val="0"/>
    <w:qFormat/>
    <w:rPr>
      <w:b/>
      <w:sz w:val="24"/>
    </w:rPr>
  </w:style>
  <w:style w:type="paragraph" w:styleId="1131" w:customStyle="1">
    <w:name w:val="正文重点"/>
    <w:basedOn w:val="798"/>
    <w:link w:val="1130"/>
    <w:uiPriority w:val="0"/>
    <w:qFormat/>
    <w:pPr>
      <w:ind w:firstLine="482"/>
      <w:jc w:val="left"/>
      <w:spacing w:line="360" w:lineRule="auto"/>
    </w:pPr>
    <w:rPr>
      <w:b/>
      <w:sz w:val="24"/>
      <w:szCs w:val="20"/>
    </w:rPr>
  </w:style>
  <w:style w:type="character" w:styleId="1132" w:customStyle="1">
    <w:name w:val="正文大标题 Char"/>
    <w:link w:val="1133"/>
    <w:uiPriority w:val="0"/>
    <w:qFormat/>
    <w:rPr>
      <w:rFonts w:ascii="宋体" w:hAnsi="宋体"/>
      <w:b/>
      <w:color w:val="000000"/>
      <w:sz w:val="28"/>
      <w:szCs w:val="21"/>
    </w:rPr>
  </w:style>
  <w:style w:type="paragraph" w:styleId="1133" w:customStyle="1">
    <w:name w:val="正文大标题"/>
    <w:basedOn w:val="1134"/>
    <w:next w:val="1065"/>
    <w:link w:val="1132"/>
    <w:uiPriority w:val="0"/>
    <w:qFormat/>
    <w:pPr>
      <w:jc w:val="center"/>
    </w:pPr>
    <w:rPr>
      <w:i w:val="0"/>
      <w:color w:val="000000"/>
      <w:sz w:val="28"/>
      <w:szCs w:val="21"/>
    </w:rPr>
  </w:style>
  <w:style w:type="paragraph" w:styleId="1134" w:customStyle="1">
    <w:name w:val="正文小标题"/>
    <w:basedOn w:val="798"/>
    <w:next w:val="1065"/>
    <w:link w:val="1135"/>
    <w:uiPriority w:val="0"/>
    <w:qFormat/>
    <w:pPr>
      <w:ind w:firstLine="482"/>
      <w:jc w:val="left"/>
      <w:spacing w:before="312" w:after="312"/>
    </w:pPr>
    <w:rPr>
      <w:rFonts w:ascii="宋体" w:hAnsi="宋体"/>
      <w:b/>
      <w:i/>
      <w:color w:val="ff0000"/>
      <w:sz w:val="24"/>
      <w:szCs w:val="20"/>
    </w:rPr>
  </w:style>
  <w:style w:type="character" w:styleId="1135" w:customStyle="1">
    <w:name w:val="正文小标题 Char"/>
    <w:link w:val="1134"/>
    <w:uiPriority w:val="0"/>
    <w:qFormat/>
    <w:rPr>
      <w:rFonts w:ascii="宋体" w:hAnsi="宋体"/>
      <w:b/>
      <w:i/>
      <w:color w:val="ff0000"/>
      <w:sz w:val="24"/>
    </w:rPr>
  </w:style>
  <w:style w:type="character" w:styleId="1136" w:customStyle="1">
    <w:name w:val="标题 2 Char Char"/>
    <w:uiPriority w:val="0"/>
    <w:qFormat/>
    <w:rPr>
      <w:rFonts w:ascii="Arial" w:hAnsi="Arial" w:eastAsia="黑体"/>
      <w:b/>
      <w:bCs/>
      <w:sz w:val="32"/>
      <w:szCs w:val="32"/>
      <w:lang w:val="en-US" w:eastAsia="zh-CN" w:bidi="ar-SA"/>
    </w:rPr>
  </w:style>
  <w:style w:type="character" w:styleId="1137" w:customStyle="1">
    <w:name w:val="列出段落 Char"/>
    <w:uiPriority w:val="0"/>
    <w:qFormat/>
    <w:rPr>
      <w:rFonts w:ascii="Calibri" w:hAnsi="Calibri" w:eastAsia="宋体"/>
      <w:sz w:val="21"/>
      <w:szCs w:val="22"/>
      <w:lang w:val="en-US" w:eastAsia="zh-CN" w:bidi="ar-SA"/>
    </w:rPr>
  </w:style>
  <w:style w:type="character" w:styleId="1138" w:customStyle="1">
    <w:name w:val="普通文字1 Char1"/>
    <w:uiPriority w:val="0"/>
    <w:qFormat/>
    <w:rPr>
      <w:rFonts w:ascii="宋体" w:hAnsi="Courier New" w:eastAsia="宋体"/>
      <w:sz w:val="21"/>
      <w:lang w:val="en-US" w:eastAsia="zh-CN" w:bidi="ar-SA"/>
    </w:rPr>
  </w:style>
  <w:style w:type="character" w:styleId="1139" w:customStyle="1">
    <w:name w:val="列出段落 字符"/>
    <w:link w:val="1140"/>
    <w:uiPriority w:val="34"/>
    <w:qFormat/>
    <w:rPr>
      <w:rFonts w:ascii="Calibri" w:hAnsi="Calibri" w:eastAsia="宋体"/>
      <w:sz w:val="21"/>
      <w:szCs w:val="22"/>
      <w:lang w:val="en-US" w:eastAsia="zh-CN" w:bidi="ar-SA"/>
    </w:rPr>
  </w:style>
  <w:style w:type="paragraph" w:styleId="1140" w:customStyle="1">
    <w:name w:val="列出段落1"/>
    <w:basedOn w:val="798"/>
    <w:link w:val="1139"/>
    <w:uiPriority w:val="34"/>
    <w:qFormat/>
    <w:pPr>
      <w:ind w:firstLine="420"/>
    </w:pPr>
    <w:rPr>
      <w:rFonts w:ascii="Calibri" w:hAnsi="Calibri"/>
      <w:szCs w:val="22"/>
    </w:rPr>
  </w:style>
  <w:style w:type="character" w:styleId="1141" w:customStyle="1">
    <w:name w:val="纯文本 字符1"/>
    <w:uiPriority w:val="0"/>
    <w:qFormat/>
    <w:rPr>
      <w:rFonts w:ascii="宋体" w:hAnsi="Courier New"/>
    </w:rPr>
  </w:style>
  <w:style w:type="character" w:styleId="1142" w:customStyle="1">
    <w:name w:val="标题 Char"/>
    <w:uiPriority w:val="0"/>
    <w:qFormat/>
    <w:rPr>
      <w:b/>
      <w:sz w:val="32"/>
    </w:rPr>
  </w:style>
  <w:style w:type="character" w:styleId="1143" w:customStyle="1">
    <w:name w:val="Char Char11"/>
    <w:uiPriority w:val="0"/>
    <w:qFormat/>
    <w:rPr>
      <w:rFonts w:ascii="宋体" w:eastAsia="宋体"/>
      <w:b/>
      <w:sz w:val="24"/>
      <w:u w:val="single"/>
      <w:lang w:val="en-US" w:eastAsia="zh-CN" w:bidi="ar-SA"/>
    </w:rPr>
  </w:style>
  <w:style w:type="character" w:styleId="1144" w:customStyle="1">
    <w:name w:val="批注文字 Char"/>
    <w:uiPriority w:val="99"/>
    <w:qFormat/>
    <w:rPr>
      <w:sz w:val="21"/>
      <w:szCs w:val="24"/>
    </w:rPr>
  </w:style>
  <w:style w:type="character" w:styleId="1145" w:customStyle="1">
    <w:name w:val="chanpin1"/>
    <w:uiPriority w:val="0"/>
    <w:qFormat/>
    <w:rPr>
      <w:rFonts w:ascii="ˎ̥" w:hAnsi="ˎ̥"/>
      <w:color w:val="000000"/>
      <w:sz w:val="20"/>
      <w:szCs w:val="20"/>
      <w:u w:val="none"/>
    </w:rPr>
  </w:style>
  <w:style w:type="character" w:styleId="1146" w:customStyle="1">
    <w:name w:val="中等深浅网格 1 - 强调文字颜色 2 Char"/>
    <w:link w:val="1147"/>
    <w:uiPriority w:val="0"/>
    <w:qFormat/>
    <w:rPr>
      <w:sz w:val="21"/>
      <w:szCs w:val="24"/>
      <w:lang w:val="zh-CN" w:eastAsia="zh-CN" w:bidi="ar-SA"/>
    </w:rPr>
  </w:style>
  <w:style w:type="paragraph" w:styleId="1147" w:customStyle="1">
    <w:name w:val="1"/>
    <w:link w:val="1146"/>
    <w:uiPriority w:val="0"/>
    <w:qFormat/>
    <w:rPr>
      <w:rFonts w:hint="default" w:ascii="Times New Roman" w:hAnsi="Times New Roman" w:eastAsia="宋体" w:cs="Times New Roman"/>
      <w:sz w:val="21"/>
      <w:szCs w:val="24"/>
      <w:lang w:val="zh-CN" w:eastAsia="zh-CN" w:bidi="ar-SA"/>
    </w:rPr>
  </w:style>
  <w:style w:type="character" w:styleId="1148" w:customStyle="1">
    <w:name w:val="正文缩进 Char Char"/>
    <w:link w:val="1149"/>
    <w:uiPriority w:val="0"/>
    <w:qFormat/>
    <w:rPr>
      <w:rFonts w:ascii="宋体" w:eastAsia="宋体"/>
      <w:color w:val="000000"/>
      <w:sz w:val="28"/>
      <w:lang w:bidi="ar-SA"/>
    </w:rPr>
  </w:style>
  <w:style w:type="paragraph" w:styleId="1149" w:customStyle="1">
    <w:name w:val="正文缩进1"/>
    <w:basedOn w:val="798"/>
    <w:link w:val="1148"/>
    <w:uiPriority w:val="0"/>
    <w:qFormat/>
    <w:pPr>
      <w:ind w:firstLine="567"/>
      <w:spacing w:line="480" w:lineRule="exact"/>
      <w:widowControl/>
    </w:pPr>
    <w:rPr>
      <w:rFonts w:ascii="宋体"/>
      <w:color w:val="000000"/>
      <w:sz w:val="28"/>
      <w:szCs w:val="20"/>
    </w:rPr>
  </w:style>
  <w:style w:type="character" w:styleId="1150" w:customStyle="1">
    <w:name w:val="正文文本首行缩进 2 字符"/>
    <w:uiPriority w:val="0"/>
    <w:qFormat/>
    <w:rPr>
      <w:sz w:val="21"/>
      <w:szCs w:val="24"/>
    </w:rPr>
  </w:style>
  <w:style w:type="character" w:styleId="1151" w:customStyle="1">
    <w:name w:val="chanpin拷贝"/>
    <w:uiPriority w:val="0"/>
    <w:qFormat/>
  </w:style>
  <w:style w:type="character" w:styleId="1152" w:customStyle="1">
    <w:name w:val="apple-style-span"/>
    <w:uiPriority w:val="0"/>
    <w:qFormat/>
    <w:rPr>
      <w:rFonts w:cs="Times New Roman"/>
    </w:rPr>
  </w:style>
  <w:style w:type="character" w:styleId="1153" w:customStyle="1">
    <w:name w:val="正文文本缩进 Char"/>
    <w:uiPriority w:val="0"/>
    <w:qFormat/>
    <w:rPr>
      <w:rFonts w:eastAsia="宋体"/>
      <w:sz w:val="24"/>
      <w:szCs w:val="24"/>
      <w:lang w:val="en-US" w:eastAsia="zh-CN" w:bidi="ar-SA"/>
    </w:rPr>
  </w:style>
  <w:style w:type="character" w:styleId="1154" w:customStyle="1">
    <w:name w:val="段1 Char"/>
    <w:uiPriority w:val="0"/>
    <w:qFormat/>
    <w:rPr>
      <w:rFonts w:ascii="宋体" w:eastAsia="宋体"/>
      <w:sz w:val="24"/>
      <w:lang w:val="en-US" w:eastAsia="zh-CN" w:bidi="ar-SA"/>
    </w:rPr>
  </w:style>
  <w:style w:type="character" w:styleId="1155" w:customStyle="1">
    <w:name w:val="正文格式 Char"/>
    <w:link w:val="1156"/>
    <w:uiPriority w:val="0"/>
    <w:qFormat/>
    <w:rPr>
      <w:rFonts w:ascii="宋体" w:hAnsi="宋体"/>
      <w:sz w:val="24"/>
      <w:szCs w:val="24"/>
      <w:lang w:val="en-GB"/>
    </w:rPr>
  </w:style>
  <w:style w:type="paragraph" w:styleId="1156" w:customStyle="1">
    <w:name w:val="正文格式"/>
    <w:basedOn w:val="798"/>
    <w:link w:val="1155"/>
    <w:uiPriority w:val="0"/>
    <w:qFormat/>
    <w:pPr>
      <w:ind w:firstLine="480"/>
      <w:spacing w:line="360" w:lineRule="auto"/>
    </w:pPr>
    <w:rPr>
      <w:rFonts w:ascii="宋体" w:hAnsi="宋体"/>
      <w:sz w:val="24"/>
      <w:lang w:val="en-GB"/>
    </w:rPr>
  </w:style>
  <w:style w:type="character" w:styleId="1157" w:customStyle="1">
    <w:name w:val="标题 3 Char"/>
    <w:uiPriority w:val="0"/>
    <w:qFormat/>
    <w:rPr>
      <w:rFonts w:ascii="宋体" w:eastAsia="宋体"/>
      <w:b/>
      <w:sz w:val="24"/>
      <w:u w:val="single"/>
      <w:lang w:val="en-US" w:eastAsia="zh-CN" w:bidi="ar-SA"/>
    </w:rPr>
  </w:style>
  <w:style w:type="character" w:styleId="1158" w:customStyle="1">
    <w:name w:val="成文日期 Char"/>
    <w:link w:val="1159"/>
    <w:uiPriority w:val="0"/>
    <w:qFormat/>
    <w:rPr>
      <w:rFonts w:ascii="仿宋_GB2312" w:eastAsia="仿宋_GB2312"/>
      <w:sz w:val="32"/>
    </w:rPr>
  </w:style>
  <w:style w:type="paragraph" w:styleId="1159" w:customStyle="1">
    <w:name w:val="成文日期"/>
    <w:basedOn w:val="798"/>
    <w:link w:val="1158"/>
    <w:uiPriority w:val="0"/>
    <w:qFormat/>
    <w:pPr>
      <w:ind w:right="400" w:firstLine="200"/>
      <w:jc w:val="right"/>
      <w:spacing w:line="570" w:lineRule="exact"/>
    </w:pPr>
    <w:rPr>
      <w:rFonts w:ascii="仿宋_GB2312" w:eastAsia="仿宋_GB2312"/>
      <w:sz w:val="32"/>
      <w:szCs w:val="20"/>
    </w:rPr>
  </w:style>
  <w:style w:type="character" w:styleId="1160" w:customStyle="1">
    <w:name w:val="title4"/>
    <w:uiPriority w:val="0"/>
    <w:qFormat/>
    <w:rPr>
      <w:b/>
      <w:bCs/>
      <w:color w:val="1d87b3"/>
      <w:sz w:val="15"/>
      <w:szCs w:val="15"/>
    </w:rPr>
  </w:style>
  <w:style w:type="character" w:styleId="1161" w:customStyle="1">
    <w:name w:val="页脚 Char"/>
    <w:uiPriority w:val="0"/>
    <w:qFormat/>
    <w:rPr>
      <w:rFonts w:ascii="宋体" w:eastAsia="宋体"/>
      <w:sz w:val="18"/>
      <w:lang w:val="en-US" w:eastAsia="zh-CN" w:bidi="ar-SA"/>
    </w:rPr>
  </w:style>
  <w:style w:type="character" w:styleId="1162" w:customStyle="1">
    <w:name w:val="bjh-p"/>
    <w:uiPriority w:val="0"/>
    <w:qFormat/>
  </w:style>
  <w:style w:type="character" w:styleId="1163" w:customStyle="1">
    <w:name w:val="正文表格 Char"/>
    <w:link w:val="1164"/>
    <w:uiPriority w:val="0"/>
    <w:qFormat/>
    <w:rPr>
      <w:rFonts w:ascii="宋体" w:hAnsi="宋体"/>
      <w:color w:val="000000"/>
      <w:sz w:val="21"/>
      <w:szCs w:val="21"/>
    </w:rPr>
  </w:style>
  <w:style w:type="paragraph" w:styleId="1164" w:customStyle="1">
    <w:name w:val="正文表格"/>
    <w:basedOn w:val="798"/>
    <w:link w:val="1163"/>
    <w:uiPriority w:val="0"/>
    <w:qFormat/>
    <w:pPr>
      <w:jc w:val="left"/>
    </w:pPr>
    <w:rPr>
      <w:rFonts w:ascii="宋体" w:hAnsi="宋体"/>
      <w:color w:val="000000"/>
      <w:szCs w:val="21"/>
    </w:rPr>
  </w:style>
  <w:style w:type="character" w:styleId="1165" w:customStyle="1">
    <w:name w:val="Char Char111"/>
    <w:uiPriority w:val="0"/>
    <w:qFormat/>
    <w:rPr>
      <w:rFonts w:ascii="宋体" w:eastAsia="宋体"/>
      <w:b/>
      <w:sz w:val="24"/>
      <w:u w:val="single"/>
      <w:lang w:val="en-US" w:eastAsia="zh-CN" w:bidi="ar-SA"/>
    </w:rPr>
  </w:style>
  <w:style w:type="character" w:styleId="1166" w:customStyle="1">
    <w:name w:val="c21"/>
    <w:uiPriority w:val="0"/>
    <w:qFormat/>
    <w:rPr>
      <w:rFonts w:ascii="ˎ̥" w:hAnsi="ˎ̥"/>
      <w:color w:val="000000"/>
      <w:sz w:val="20"/>
      <w:szCs w:val="20"/>
      <w:u w:val="none"/>
    </w:rPr>
  </w:style>
  <w:style w:type="character" w:styleId="1167" w:customStyle="1">
    <w:name w:val="street-address"/>
    <w:uiPriority w:val="0"/>
    <w:qFormat/>
  </w:style>
  <w:style w:type="character" w:styleId="1168" w:customStyle="1">
    <w:name w:val="注释 Char"/>
    <w:link w:val="1169"/>
    <w:uiPriority w:val="0"/>
    <w:qFormat/>
    <w:rPr>
      <w:rFonts w:ascii="宋体" w:hAnsi="宋体"/>
      <w:sz w:val="21"/>
      <w:szCs w:val="21"/>
    </w:rPr>
  </w:style>
  <w:style w:type="paragraph" w:styleId="1169" w:customStyle="1">
    <w:name w:val="注释"/>
    <w:basedOn w:val="798"/>
    <w:link w:val="1168"/>
    <w:uiPriority w:val="0"/>
    <w:qFormat/>
    <w:pPr>
      <w:ind w:left="420" w:hanging="420"/>
      <w:jc w:val="left"/>
    </w:pPr>
    <w:rPr>
      <w:rFonts w:ascii="宋体" w:hAnsi="宋体"/>
      <w:szCs w:val="21"/>
    </w:rPr>
  </w:style>
  <w:style w:type="character" w:styleId="1170" w:customStyle="1">
    <w:name w:val="标题 3 Char Char"/>
    <w:uiPriority w:val="0"/>
    <w:qFormat/>
    <w:rPr>
      <w:rFonts w:eastAsia="宋体"/>
      <w:b/>
      <w:bCs/>
      <w:sz w:val="32"/>
      <w:szCs w:val="32"/>
      <w:lang w:val="en-US" w:eastAsia="zh-CN" w:bidi="ar-SA"/>
    </w:rPr>
  </w:style>
  <w:style w:type="paragraph" w:styleId="1171" w:customStyle="1">
    <w:name w:val="Char Char Char"/>
    <w:basedOn w:val="798"/>
    <w:uiPriority w:val="0"/>
    <w:qFormat/>
    <w:rPr>
      <w:rFonts w:ascii="Tahoma" w:hAnsi="Tahoma"/>
      <w:sz w:val="24"/>
      <w:szCs w:val="20"/>
    </w:rPr>
  </w:style>
  <w:style w:type="paragraph" w:styleId="1172" w:customStyle="1">
    <w:name w:val="项目编号2"/>
    <w:basedOn w:val="1173"/>
    <w:uiPriority w:val="0"/>
    <w:qFormat/>
    <w:pPr>
      <w:numPr>
        <w:ilvl w:val="0"/>
        <w:numId w:val="1"/>
      </w:numPr>
    </w:pPr>
  </w:style>
  <w:style w:type="paragraph" w:styleId="1173" w:customStyle="1">
    <w:name w:val="项目编号1"/>
    <w:basedOn w:val="798"/>
    <w:uiPriority w:val="0"/>
    <w:qFormat/>
    <w:pPr>
      <w:numPr>
        <w:ilvl w:val="0"/>
        <w:numId w:val="2"/>
      </w:numPr>
      <w:spacing w:before="100" w:beforeAutospacing="1" w:after="100" w:afterAutospacing="1" w:line="360" w:lineRule="auto"/>
    </w:pPr>
    <w:rPr>
      <w:sz w:val="24"/>
    </w:rPr>
  </w:style>
  <w:style w:type="paragraph" w:styleId="1174" w:customStyle="1">
    <w:name w:val="default"/>
    <w:basedOn w:val="798"/>
    <w:uiPriority w:val="0"/>
    <w:qFormat/>
    <w:pPr>
      <w:jc w:val="left"/>
      <w:spacing w:before="100" w:beforeAutospacing="1" w:after="100" w:afterAutospacing="1"/>
      <w:widowControl/>
    </w:pPr>
    <w:rPr>
      <w:rFonts w:ascii="宋体" w:hAnsi="宋体" w:cs="宋体"/>
      <w:sz w:val="24"/>
    </w:rPr>
  </w:style>
  <w:style w:type="paragraph" w:styleId="1175" w:customStyle="1">
    <w:name w:val="Char3 Char Char Char1"/>
    <w:basedOn w:val="798"/>
    <w:uiPriority w:val="0"/>
    <w:qFormat/>
    <w:rPr>
      <w:rFonts w:ascii="Tahoma" w:hAnsi="Tahoma"/>
      <w:sz w:val="24"/>
      <w:szCs w:val="20"/>
    </w:rPr>
  </w:style>
  <w:style w:type="paragraph" w:styleId="1176" w:customStyle="1">
    <w:name w:val="Char Char1"/>
    <w:basedOn w:val="1068"/>
    <w:uiPriority w:val="0"/>
    <w:qFormat/>
    <w:rPr>
      <w:rFonts w:ascii="Tahoma" w:hAnsi="Tahoma"/>
      <w:sz w:val="24"/>
    </w:rPr>
  </w:style>
  <w:style w:type="paragraph" w:styleId="1177" w:customStyle="1">
    <w:name w:val="xl35"/>
    <w:basedOn w:val="79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78" w:customStyle="1">
    <w:name w:val="正文缩进2"/>
    <w:basedOn w:val="798"/>
    <w:uiPriority w:val="0"/>
    <w:qFormat/>
    <w:pPr>
      <w:ind w:firstLine="567"/>
      <w:spacing w:line="480" w:lineRule="exact"/>
      <w:widowControl/>
    </w:pPr>
    <w:rPr>
      <w:rFonts w:ascii="宋体"/>
      <w:color w:val="000000"/>
      <w:sz w:val="28"/>
      <w:szCs w:val="20"/>
      <w:lang w:val="zh-CN"/>
    </w:rPr>
  </w:style>
  <w:style w:type="paragraph" w:styleId="1179" w:customStyle="1">
    <w:name w:val="xl30"/>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0" w:customStyle="1">
    <w:name w:val="Char Char1 Char Char Char Char Char Char Char Char"/>
    <w:basedOn w:val="798"/>
    <w:uiPriority w:val="0"/>
    <w:qFormat/>
    <w:pPr>
      <w:jc w:val="left"/>
      <w:spacing w:after="160" w:line="240" w:lineRule="exact"/>
      <w:widowControl/>
    </w:pPr>
    <w:rPr>
      <w:rFonts w:ascii="Verdana" w:hAnsi="Verdana"/>
      <w:sz w:val="20"/>
      <w:szCs w:val="20"/>
      <w:lang w:eastAsia="en-US"/>
    </w:rPr>
  </w:style>
  <w:style w:type="paragraph" w:styleId="1181" w:customStyle="1">
    <w:name w:val="xl43"/>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182" w:customStyle="1">
    <w:name w:val="font6"/>
    <w:basedOn w:val="798"/>
    <w:uiPriority w:val="0"/>
    <w:qFormat/>
    <w:pPr>
      <w:jc w:val="left"/>
      <w:spacing w:before="100" w:beforeAutospacing="1" w:after="100" w:afterAutospacing="1"/>
      <w:widowControl/>
    </w:pPr>
    <w:rPr>
      <w:rFonts w:ascii="宋体" w:hAnsi="宋体" w:cs="宋体"/>
      <w:sz w:val="20"/>
      <w:szCs w:val="20"/>
    </w:rPr>
  </w:style>
  <w:style w:type="paragraph" w:styleId="1183" w:customStyle="1">
    <w:name w:val="样式2"/>
    <w:basedOn w:val="1104"/>
    <w:uiPriority w:val="0"/>
    <w:qFormat/>
    <w:pPr>
      <w:jc w:val="center"/>
      <w:spacing w:line="360" w:lineRule="auto"/>
    </w:pPr>
    <w:rPr>
      <w:sz w:val="24"/>
    </w:rPr>
  </w:style>
  <w:style w:type="paragraph" w:styleId="1184" w:customStyle="1">
    <w:name w:val="二级条标题"/>
    <w:basedOn w:val="1185"/>
    <w:next w:val="798"/>
    <w:uiPriority w:val="0"/>
    <w:qFormat/>
    <w:pPr>
      <w:numPr>
        <w:ilvl w:val="0"/>
        <w:numId w:val="0"/>
      </w:numPr>
      <w:ind w:hanging="840"/>
      <w:tabs>
        <w:tab w:val="left" w:pos="360" w:leader="none"/>
        <w:tab w:val="left" w:pos="840" w:leader="none"/>
      </w:tabs>
      <w:outlineLvl w:val="2"/>
    </w:pPr>
    <w:rPr>
      <w:rFonts w:ascii="宋体" w:eastAsia="宋体"/>
      <w:b w:val="0"/>
    </w:rPr>
  </w:style>
  <w:style w:type="paragraph" w:styleId="1185" w:customStyle="1">
    <w:name w:val="一级条标题"/>
    <w:basedOn w:val="1186"/>
    <w:next w:val="798"/>
    <w:uiPriority w:val="0"/>
    <w:qFormat/>
    <w:pPr>
      <w:numPr>
        <w:ilvl w:val="1"/>
        <w:numId w:val="0"/>
      </w:numPr>
      <w:ind w:left="0" w:hanging="840"/>
      <w:tabs>
        <w:tab w:val="left" w:pos="360" w:leader="none"/>
        <w:tab w:val="left" w:pos="840" w:leader="none"/>
      </w:tabs>
      <w:outlineLvl w:val="1"/>
    </w:pPr>
  </w:style>
  <w:style w:type="paragraph" w:styleId="1186" w:customStyle="1">
    <w:name w:val="章标题"/>
    <w:next w:val="798"/>
    <w:uiPriority w:val="0"/>
    <w:qFormat/>
    <w:pPr>
      <w:numPr>
        <w:ilvl w:val="0"/>
        <w:numId w:val="3"/>
      </w:numPr>
      <w:ind w:left="0"/>
      <w:jc w:val="both"/>
      <w:spacing w:before="156" w:after="156" w:line="460" w:lineRule="exact"/>
      <w:outlineLvl w:val="0"/>
    </w:pPr>
    <w:rPr>
      <w:rFonts w:hint="default" w:ascii="黑体" w:hAnsi="Times New Roman" w:eastAsia="黑体" w:cs="Times New Roman"/>
      <w:b/>
      <w:sz w:val="28"/>
      <w:lang w:val="en-US" w:eastAsia="zh-CN" w:bidi="ar-SA"/>
    </w:rPr>
  </w:style>
  <w:style w:type="paragraph" w:styleId="1187" w:customStyle="1">
    <w:name w:val="xl28"/>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188"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9" w:customStyle="1">
    <w:name w:val="xl48"/>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1190" w:customStyle="1">
    <w:name w:val="正文须知-1级"/>
    <w:basedOn w:val="798"/>
    <w:next w:val="798"/>
    <w:uiPriority w:val="0"/>
    <w:qFormat/>
    <w:pPr>
      <w:numPr>
        <w:ilvl w:val="0"/>
        <w:numId w:val="4"/>
      </w:numPr>
      <w:spacing w:line="300" w:lineRule="auto"/>
    </w:pPr>
    <w:rPr>
      <w:rFonts w:ascii="宋体" w:hAnsi="Calibri"/>
      <w:sz w:val="24"/>
      <w:szCs w:val="21"/>
    </w:rPr>
  </w:style>
  <w:style w:type="paragraph" w:styleId="1191" w:customStyle="1">
    <w:name w:val="样式 标题 2 + 宋体 五号 行距: 单倍行距"/>
    <w:basedOn w:val="1042"/>
    <w:uiPriority w:val="0"/>
    <w:qFormat/>
    <w:pPr>
      <w:numPr>
        <w:ilvl w:val="1"/>
        <w:numId w:val="5"/>
      </w:numPr>
      <w:jc w:val="left"/>
      <w:spacing w:before="260" w:after="260" w:line="240" w:lineRule="auto"/>
    </w:pPr>
    <w:rPr>
      <w:rFonts w:ascii="宋体" w:hAnsi="宋体" w:eastAsia="宋体"/>
      <w:bCs/>
      <w:sz w:val="21"/>
    </w:rPr>
  </w:style>
  <w:style w:type="paragraph" w:styleId="1192" w:customStyle="1">
    <w:name w:val="默认"/>
    <w:uiPriority w:val="0"/>
    <w:qFormat/>
    <w:pPr>
      <w:framePr w:wrap="around" w:vAnchor="margin" w:hAnchor="text" w:y="1"/>
    </w:pPr>
    <w:rPr>
      <w:rFonts w:hint="eastAsia" w:ascii="Arial Unicode MS" w:hAnsi="Arial Unicode MS" w:eastAsia="Helvetica" w:cs="Arial Unicode MS"/>
      <w:color w:val="000000"/>
      <w:sz w:val="22"/>
      <w:szCs w:val="22"/>
      <w:lang w:val="zh-TW" w:eastAsia="zh-TW" w:bidi="ar-SA"/>
    </w:rPr>
  </w:style>
  <w:style w:type="paragraph" w:styleId="1193" w:customStyle="1">
    <w:name w:val="正文段"/>
    <w:basedOn w:val="798"/>
    <w:uiPriority w:val="0"/>
    <w:qFormat/>
    <w:pPr>
      <w:ind w:firstLine="200"/>
      <w:widowControl/>
    </w:pPr>
    <w:rPr>
      <w:sz w:val="24"/>
      <w:szCs w:val="20"/>
    </w:rPr>
  </w:style>
  <w:style w:type="paragraph" w:styleId="1194" w:customStyle="1">
    <w:name w:val="图中文字"/>
    <w:basedOn w:val="798"/>
    <w:uiPriority w:val="0"/>
    <w:qFormat/>
    <w:pPr>
      <w:jc w:val="center"/>
      <w:spacing w:line="0" w:lineRule="atLeast"/>
    </w:pPr>
    <w:rPr>
      <w:sz w:val="24"/>
      <w:szCs w:val="20"/>
    </w:rPr>
  </w:style>
  <w:style w:type="paragraph" w:styleId="1195" w:customStyle="1">
    <w:name w:val="xl52"/>
    <w:basedOn w:val="79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1196" w:customStyle="1">
    <w:name w:val="Char1 Char Char Char1"/>
    <w:basedOn w:val="798"/>
    <w:uiPriority w:val="0"/>
    <w:qFormat/>
    <w:rPr>
      <w:rFonts w:ascii="Tahoma" w:hAnsi="Tahoma" w:cs="仿宋_GB2312"/>
      <w:sz w:val="24"/>
      <w:szCs w:val="28"/>
    </w:rPr>
  </w:style>
  <w:style w:type="paragraph" w:styleId="1197" w:customStyle="1">
    <w:name w:val="Char"/>
    <w:basedOn w:val="798"/>
    <w:uiPriority w:val="0"/>
    <w:qFormat/>
    <w:pPr>
      <w:tabs>
        <w:tab w:val="left" w:pos="360" w:leader="none"/>
      </w:tabs>
    </w:pPr>
    <w:rPr>
      <w:sz w:val="24"/>
    </w:rPr>
  </w:style>
  <w:style w:type="paragraph" w:styleId="1198" w:customStyle="1">
    <w:name w:val="PlainText1"/>
    <w:basedOn w:val="798"/>
    <w:uiPriority w:val="99"/>
    <w:qFormat/>
    <w:rPr>
      <w:rFonts w:ascii="宋体" w:hAnsi="Courier New"/>
    </w:rPr>
  </w:style>
  <w:style w:type="paragraph" w:styleId="1199" w:customStyle="1">
    <w:name w:val="Char Char4"/>
    <w:basedOn w:val="798"/>
    <w:uiPriority w:val="0"/>
    <w:qFormat/>
    <w:pPr>
      <w:jc w:val="center"/>
      <w:spacing w:line="400" w:lineRule="exact"/>
      <w:widowControl/>
    </w:pPr>
  </w:style>
  <w:style w:type="paragraph" w:styleId="1200" w:customStyle="1">
    <w:name w:val="xl42"/>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1201" w:customStyle="1">
    <w:name w:val="Char Char Char1 Char1"/>
    <w:basedOn w:val="798"/>
    <w:uiPriority w:val="0"/>
    <w:qFormat/>
    <w:rPr>
      <w:rFonts w:ascii="Tahoma" w:hAnsi="Tahoma"/>
      <w:sz w:val="24"/>
      <w:szCs w:val="20"/>
    </w:rPr>
  </w:style>
  <w:style w:type="paragraph" w:styleId="1202" w:customStyle="1">
    <w:name w:val="xl25"/>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03" w:customStyle="1">
    <w:name w:val="样式4"/>
    <w:basedOn w:val="798"/>
    <w:uiPriority w:val="0"/>
    <w:qFormat/>
    <w:rPr>
      <w:sz w:val="24"/>
    </w:rPr>
  </w:style>
  <w:style w:type="paragraph" w:styleId="1204" w:customStyle="1">
    <w:name w:val="background1"/>
    <w:basedOn w:val="798"/>
    <w:uiPriority w:val="0"/>
    <w:qFormat/>
    <w:pPr>
      <w:jc w:val="left"/>
      <w:spacing w:before="100" w:beforeAutospacing="1" w:after="100" w:afterAutospacing="1"/>
      <w:widowControl/>
    </w:pPr>
    <w:rPr>
      <w:rFonts w:ascii="宋体" w:hAnsi="宋体" w:cs="宋体"/>
      <w:sz w:val="24"/>
    </w:rPr>
  </w:style>
  <w:style w:type="paragraph" w:styleId="1205" w:customStyle="1">
    <w:name w:val="三级条标题"/>
    <w:basedOn w:val="1184"/>
    <w:next w:val="798"/>
    <w:uiPriority w:val="0"/>
    <w:qFormat/>
    <w:pPr>
      <w:numPr>
        <w:ilvl w:val="3"/>
        <w:numId w:val="3"/>
      </w:numPr>
      <w:ind w:left="0" w:hanging="840"/>
      <w:outlineLvl w:val="3"/>
    </w:pPr>
  </w:style>
  <w:style w:type="paragraph" w:styleId="1206" w:customStyle="1">
    <w:name w:val="xl36"/>
    <w:basedOn w:val="798"/>
    <w:uiPriority w:val="0"/>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07" w:customStyle="1">
    <w:name w:val="无标题条"/>
    <w:next w:val="798"/>
    <w:uiPriority w:val="0"/>
    <w:qFormat/>
    <w:pPr>
      <w:jc w:val="both"/>
    </w:pPr>
    <w:rPr>
      <w:rFonts w:hint="default" w:ascii="Times New Roman" w:hAnsi="Times New Roman" w:eastAsia="宋体" w:cs="Times New Roman"/>
      <w:sz w:val="21"/>
      <w:lang w:val="en-US" w:eastAsia="zh-CN" w:bidi="ar-SA"/>
    </w:rPr>
  </w:style>
  <w:style w:type="paragraph" w:styleId="1208" w:customStyle="1">
    <w:name w:val="font7"/>
    <w:basedOn w:val="798"/>
    <w:uiPriority w:val="0"/>
    <w:qFormat/>
    <w:pPr>
      <w:jc w:val="left"/>
      <w:spacing w:before="100" w:beforeAutospacing="1" w:after="100" w:afterAutospacing="1"/>
      <w:widowControl/>
    </w:pPr>
    <w:rPr>
      <w:rFonts w:eastAsia="Arial Unicode MS"/>
      <w:b/>
      <w:bCs/>
      <w:color w:val="000000"/>
      <w:sz w:val="20"/>
      <w:szCs w:val="20"/>
    </w:rPr>
  </w:style>
  <w:style w:type="paragraph" w:styleId="1209" w:customStyle="1">
    <w:name w:val="Char22"/>
    <w:basedOn w:val="798"/>
    <w:uiPriority w:val="0"/>
    <w:qFormat/>
    <w:rPr>
      <w:rFonts w:ascii="Tahoma" w:hAnsi="Tahoma"/>
      <w:sz w:val="24"/>
      <w:szCs w:val="20"/>
    </w:rPr>
  </w:style>
  <w:style w:type="paragraph" w:styleId="1210" w:customStyle="1">
    <w:name w:val="font9"/>
    <w:basedOn w:val="798"/>
    <w:uiPriority w:val="0"/>
    <w:qFormat/>
    <w:pPr>
      <w:jc w:val="left"/>
      <w:spacing w:before="100" w:beforeAutospacing="1" w:after="100" w:afterAutospacing="1"/>
      <w:widowControl/>
    </w:pPr>
    <w:rPr>
      <w:rFonts w:hint="eastAsia" w:ascii="宋体" w:hAnsi="宋体" w:cs="Arial Unicode MS"/>
      <w:color w:val="000000"/>
      <w:sz w:val="20"/>
      <w:szCs w:val="20"/>
    </w:rPr>
  </w:style>
  <w:style w:type="paragraph" w:styleId="1211" w:customStyle="1">
    <w:name w:val="四级条标题"/>
    <w:basedOn w:val="1205"/>
    <w:next w:val="798"/>
    <w:uiPriority w:val="0"/>
    <w:qFormat/>
    <w:pPr>
      <w:numPr>
        <w:ilvl w:val="4"/>
        <w:numId w:val="0"/>
      </w:numPr>
      <w:ind w:left="0" w:hanging="840"/>
      <w:outlineLvl w:val="4"/>
    </w:pPr>
  </w:style>
  <w:style w:type="paragraph" w:styleId="1212" w:customStyle="1">
    <w:name w:val="xl23"/>
    <w:basedOn w:val="798"/>
    <w:uiPriority w:val="0"/>
    <w:qFormat/>
    <w:pPr>
      <w:spacing w:before="100" w:beforeAutospacing="1" w:after="100" w:afterAutospacing="1" w:line="360" w:lineRule="auto"/>
      <w:widowControl/>
    </w:pPr>
    <w:rPr>
      <w:sz w:val="24"/>
      <w:szCs w:val="20"/>
    </w:rPr>
  </w:style>
  <w:style w:type="paragraph" w:styleId="1213" w:customStyle="1">
    <w:name w:val="Char Char Char Char Char Char Char1"/>
    <w:basedOn w:val="798"/>
    <w:uiPriority w:val="0"/>
    <w:qFormat/>
    <w:pPr>
      <w:ind w:firstLine="200"/>
      <w:spacing w:line="360" w:lineRule="auto"/>
    </w:pPr>
    <w:rPr>
      <w:rFonts w:eastAsia="仿宋_GB2312"/>
      <w:sz w:val="24"/>
    </w:rPr>
  </w:style>
  <w:style w:type="paragraph" w:styleId="1214" w:customStyle="1">
    <w:name w:val="Char Char Char Char Char Char Char Char Char Char"/>
    <w:basedOn w:val="798"/>
    <w:uiPriority w:val="0"/>
    <w:qFormat/>
  </w:style>
  <w:style w:type="paragraph" w:styleId="1215" w:customStyle="1">
    <w:name w:val="Char1"/>
    <w:basedOn w:val="798"/>
    <w:uiPriority w:val="0"/>
    <w:qFormat/>
    <w:pPr>
      <w:tabs>
        <w:tab w:val="left" w:pos="360" w:leader="none"/>
      </w:tabs>
    </w:pPr>
    <w:rPr>
      <w:sz w:val="24"/>
    </w:rPr>
  </w:style>
  <w:style w:type="paragraph" w:styleId="1216" w:customStyle="1">
    <w:name w:val="xl51"/>
    <w:basedOn w:val="79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17" w:customStyle="1">
    <w:name w:val="font5"/>
    <w:basedOn w:val="798"/>
    <w:uiPriority w:val="0"/>
    <w:qFormat/>
    <w:pPr>
      <w:jc w:val="left"/>
      <w:spacing w:before="100" w:beforeAutospacing="1" w:after="100" w:afterAutospacing="1"/>
      <w:widowControl/>
    </w:pPr>
    <w:rPr>
      <w:rFonts w:ascii="宋体" w:hAnsi="宋体" w:cs="宋体"/>
      <w:sz w:val="18"/>
      <w:szCs w:val="18"/>
    </w:rPr>
  </w:style>
  <w:style w:type="paragraph" w:styleId="1218" w:customStyle="1">
    <w:name w:val="xl49"/>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1219" w:customStyle="1">
    <w:name w:val="xl46"/>
    <w:basedOn w:val="798"/>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20" w:customStyle="1">
    <w:name w:val="项目符号1"/>
    <w:basedOn w:val="1221"/>
    <w:uiPriority w:val="0"/>
    <w:qFormat/>
    <w:pPr>
      <w:ind w:left="-25" w:firstLine="0"/>
    </w:pPr>
  </w:style>
  <w:style w:type="paragraph" w:styleId="1221" w:customStyle="1">
    <w:name w:val="正文文本样式"/>
    <w:basedOn w:val="798"/>
    <w:uiPriority w:val="0"/>
    <w:qFormat/>
    <w:pPr>
      <w:ind w:firstLine="482"/>
      <w:spacing w:line="360" w:lineRule="auto"/>
    </w:pPr>
    <w:rPr>
      <w:rFonts w:cs="宋体"/>
      <w:sz w:val="24"/>
      <w:szCs w:val="20"/>
    </w:rPr>
  </w:style>
  <w:style w:type="paragraph" w:styleId="1222" w:customStyle="1">
    <w:name w:val="列出段落11"/>
    <w:basedOn w:val="798"/>
    <w:uiPriority w:val="0"/>
    <w:qFormat/>
    <w:pPr>
      <w:ind w:firstLine="420"/>
    </w:pPr>
    <w:rPr>
      <w:rFonts w:ascii="Calibri" w:hAnsi="Calibri"/>
      <w:szCs w:val="22"/>
    </w:rPr>
  </w:style>
  <w:style w:type="paragraph" w:styleId="1223" w:customStyle="1">
    <w:name w:val="列出段落2"/>
    <w:basedOn w:val="798"/>
    <w:uiPriority w:val="0"/>
    <w:qFormat/>
    <w:pPr>
      <w:ind w:firstLine="420"/>
    </w:pPr>
    <w:rPr>
      <w:rFonts w:ascii="Calibri" w:hAnsi="Calibri"/>
      <w:szCs w:val="22"/>
    </w:rPr>
  </w:style>
  <w:style w:type="paragraph" w:styleId="1224" w:customStyle="1">
    <w:name w:val="_Style 160"/>
    <w:uiPriority w:val="0"/>
    <w:qFormat/>
    <w:rPr>
      <w:rFonts w:hint="default" w:ascii="Times New Roman" w:hAnsi="Times New Roman" w:eastAsia="宋体" w:cs="Times New Roman"/>
      <w:sz w:val="21"/>
      <w:szCs w:val="24"/>
      <w:lang w:val="en-US" w:eastAsia="zh-CN" w:bidi="ar-SA"/>
    </w:rPr>
  </w:style>
  <w:style w:type="paragraph" w:styleId="1225" w:customStyle="1">
    <w:name w:val="xl34"/>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1226" w:customStyle="1">
    <w:name w:val="Char Char Char Char Char Char Char Char Char Char Char Char Char Char Char Char"/>
    <w:basedOn w:val="798"/>
    <w:uiPriority w:val="0"/>
    <w:qFormat/>
    <w:pPr>
      <w:jc w:val="center"/>
      <w:spacing w:after="160" w:line="240" w:lineRule="exact"/>
      <w:widowControl/>
    </w:pPr>
    <w:rPr>
      <w:rFonts w:ascii="宋体" w:hAnsi="宋体"/>
      <w:b/>
      <w:sz w:val="30"/>
      <w:szCs w:val="30"/>
      <w:lang w:eastAsia="en-US"/>
    </w:rPr>
  </w:style>
  <w:style w:type="paragraph" w:styleId="1227" w:customStyle="1">
    <w:name w:val="1 Char Char Char Char"/>
    <w:basedOn w:val="798"/>
    <w:uiPriority w:val="0"/>
    <w:qFormat/>
    <w:rPr>
      <w:rFonts w:ascii="Tahoma" w:hAnsi="Tahoma"/>
      <w:sz w:val="24"/>
      <w:szCs w:val="20"/>
    </w:rPr>
  </w:style>
  <w:style w:type="paragraph" w:styleId="1228" w:customStyle="1">
    <w:name w:val="正文列项_数字"/>
    <w:basedOn w:val="798"/>
    <w:uiPriority w:val="0"/>
    <w:qFormat/>
    <w:pPr>
      <w:numPr>
        <w:ilvl w:val="7"/>
        <w:numId w:val="3"/>
      </w:numPr>
      <w:ind w:left="680" w:hanging="150"/>
      <w:spacing w:line="460" w:lineRule="exact"/>
      <w:tabs>
        <w:tab w:val="clear" w:pos="860" w:leader="none"/>
      </w:tabs>
      <w:outlineLvl w:val="7"/>
    </w:pPr>
    <w:rPr>
      <w:rFonts w:ascii="宋体"/>
      <w:sz w:val="28"/>
      <w:szCs w:val="20"/>
    </w:rPr>
  </w:style>
  <w:style w:type="paragraph" w:styleId="1229" w:customStyle="1">
    <w:name w:val="标题1-附件"/>
    <w:basedOn w:val="1041"/>
    <w:uiPriority w:val="0"/>
    <w:qFormat/>
    <w:pPr>
      <w:jc w:val="left"/>
    </w:pPr>
    <w:rPr>
      <w:sz w:val="24"/>
      <w:szCs w:val="24"/>
    </w:rPr>
  </w:style>
  <w:style w:type="paragraph" w:styleId="1230" w:customStyle="1">
    <w:name w:val="正文文本样式 加粗"/>
    <w:basedOn w:val="1221"/>
    <w:uiPriority w:val="0"/>
    <w:qFormat/>
    <w:rPr>
      <w:b/>
    </w:rPr>
  </w:style>
  <w:style w:type="paragraph" w:styleId="1231" w:customStyle="1">
    <w:name w:val="Char Char41"/>
    <w:basedOn w:val="798"/>
    <w:uiPriority w:val="0"/>
    <w:qFormat/>
    <w:pPr>
      <w:jc w:val="center"/>
      <w:spacing w:line="400" w:lineRule="exact"/>
      <w:widowControl/>
    </w:pPr>
  </w:style>
  <w:style w:type="paragraph" w:styleId="1232" w:customStyle="1">
    <w:name w:val="Char Char Char1"/>
    <w:basedOn w:val="798"/>
    <w:uiPriority w:val="0"/>
    <w:qFormat/>
    <w:rPr>
      <w:rFonts w:ascii="Tahoma" w:hAnsi="Tahoma"/>
      <w:sz w:val="24"/>
      <w:szCs w:val="20"/>
    </w:rPr>
  </w:style>
  <w:style w:type="paragraph" w:styleId="1233" w:customStyle="1">
    <w:name w:val="Char Char Char Char Char Char Char Char Char Char1"/>
    <w:basedOn w:val="798"/>
    <w:uiPriority w:val="0"/>
    <w:qFormat/>
    <w:rPr>
      <w:rFonts w:ascii="宋体" w:hAnsi="宋体" w:cs="Courier New"/>
      <w:sz w:val="32"/>
      <w:szCs w:val="32"/>
    </w:rPr>
  </w:style>
  <w:style w:type="paragraph" w:styleId="1234" w:customStyle="1">
    <w:name w:val="Char3 Char Char Char"/>
    <w:basedOn w:val="798"/>
    <w:uiPriority w:val="0"/>
    <w:qFormat/>
    <w:rPr>
      <w:rFonts w:ascii="Tahoma" w:hAnsi="Tahoma"/>
      <w:sz w:val="24"/>
      <w:szCs w:val="20"/>
    </w:rPr>
  </w:style>
  <w:style w:type="paragraph" w:styleId="1235" w:customStyle="1">
    <w:name w:val="图文"/>
    <w:basedOn w:val="798"/>
    <w:uiPriority w:val="0"/>
    <w:qFormat/>
    <w:pPr>
      <w:spacing w:after="50" w:line="360" w:lineRule="auto"/>
    </w:pPr>
    <w:rPr>
      <w:sz w:val="24"/>
    </w:rPr>
  </w:style>
  <w:style w:type="paragraph" w:styleId="1236" w:customStyle="1">
    <w:name w:val="xl33"/>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37" w:customStyle="1">
    <w:name w:val="表格文字"/>
    <w:basedOn w:val="853"/>
    <w:uiPriority w:val="0"/>
    <w:qFormat/>
    <w:pPr>
      <w:ind w:firstLine="0"/>
      <w:spacing w:before="20" w:after="20" w:line="240" w:lineRule="auto"/>
    </w:pPr>
    <w:rPr>
      <w:rFonts w:ascii="Century Gothic" w:hAnsi="Century Gothic"/>
      <w:sz w:val="20"/>
      <w:szCs w:val="20"/>
    </w:rPr>
  </w:style>
  <w:style w:type="paragraph" w:styleId="1238" w:customStyle="1">
    <w:name w:val="font8"/>
    <w:basedOn w:val="798"/>
    <w:uiPriority w:val="0"/>
    <w:qFormat/>
    <w:pPr>
      <w:jc w:val="left"/>
      <w:spacing w:before="100" w:beforeAutospacing="1" w:after="100" w:afterAutospacing="1"/>
      <w:widowControl/>
    </w:pPr>
    <w:rPr>
      <w:sz w:val="36"/>
      <w:szCs w:val="36"/>
    </w:rPr>
  </w:style>
  <w:style w:type="paragraph" w:styleId="1239" w:customStyle="1">
    <w:name w:val="xl47"/>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0" w:customStyle="1">
    <w:name w:val="xl29"/>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241" w:customStyle="1">
    <w:name w:val="xl24"/>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42" w:customStyle="1">
    <w:name w:val="项目编号3"/>
    <w:basedOn w:val="1221"/>
    <w:uiPriority w:val="0"/>
    <w:qFormat/>
    <w:pPr>
      <w:numPr>
        <w:ilvl w:val="0"/>
        <w:numId w:val="6"/>
      </w:numPr>
    </w:pPr>
  </w:style>
  <w:style w:type="paragraph" w:styleId="1243" w:customStyle="1">
    <w:name w:val="Char Char Char Char Char Char Char Char Char Char Char Char Char Char Char Char1"/>
    <w:basedOn w:val="798"/>
    <w:uiPriority w:val="0"/>
    <w:qFormat/>
    <w:pPr>
      <w:jc w:val="center"/>
      <w:spacing w:after="160" w:line="240" w:lineRule="exact"/>
      <w:widowControl/>
    </w:pPr>
    <w:rPr>
      <w:rFonts w:ascii="宋体" w:hAnsi="宋体"/>
      <w:b/>
      <w:sz w:val="30"/>
      <w:szCs w:val="30"/>
      <w:lang w:eastAsia="en-US"/>
    </w:rPr>
  </w:style>
  <w:style w:type="paragraph" w:styleId="1244" w:customStyle="1">
    <w:name w:val="Default"/>
    <w:uiPriority w:val="0"/>
    <w:qFormat/>
    <w:pPr>
      <w:widowControl w:val="off"/>
    </w:pPr>
    <w:rPr>
      <w:rFonts w:hint="default" w:ascii="Symbol" w:hAnsi="Symbol" w:eastAsia="宋体" w:cs="Symbol"/>
      <w:color w:val="000000"/>
      <w:sz w:val="24"/>
      <w:szCs w:val="24"/>
      <w:lang w:val="en-US" w:eastAsia="zh-CN" w:bidi="ar-SA"/>
    </w:rPr>
  </w:style>
  <w:style w:type="paragraph" w:styleId="1245" w:customStyle="1">
    <w:name w:val="xl50"/>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1246" w:customStyle="1">
    <w:name w:val="xl39"/>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47" w:customStyle="1">
    <w:name w:val="xl31"/>
    <w:basedOn w:val="79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48" w:customStyle="1">
    <w:name w:val="Char3 Char Char Char2"/>
    <w:basedOn w:val="798"/>
    <w:uiPriority w:val="0"/>
    <w:qFormat/>
    <w:rPr>
      <w:rFonts w:ascii="Tahoma" w:hAnsi="Tahoma"/>
      <w:sz w:val="24"/>
      <w:szCs w:val="20"/>
    </w:rPr>
  </w:style>
  <w:style w:type="paragraph" w:styleId="1249" w:customStyle="1">
    <w:name w:val="1名"/>
    <w:basedOn w:val="798"/>
    <w:uiPriority w:val="0"/>
    <w:qFormat/>
    <w:pPr>
      <w:numPr>
        <w:ilvl w:val="0"/>
        <w:numId w:val="7"/>
      </w:numPr>
      <w:spacing w:before="120"/>
    </w:pPr>
    <w:rPr>
      <w:rFonts w:ascii="宋体"/>
      <w:sz w:val="28"/>
      <w:szCs w:val="20"/>
    </w:rPr>
  </w:style>
  <w:style w:type="paragraph" w:styleId="1250" w:customStyle="1">
    <w:name w:val="五级条标题"/>
    <w:basedOn w:val="1211"/>
    <w:next w:val="798"/>
    <w:uiPriority w:val="0"/>
    <w:qFormat/>
    <w:pPr>
      <w:numPr>
        <w:ilvl w:val="5"/>
        <w:numId w:val="0"/>
      </w:numPr>
      <w:ind w:left="0" w:hanging="840"/>
      <w:outlineLvl w:val="5"/>
    </w:pPr>
  </w:style>
  <w:style w:type="paragraph" w:styleId="1251" w:customStyle="1">
    <w:name w:val="22222222222222"/>
    <w:basedOn w:val="798"/>
    <w:uiPriority w:val="0"/>
    <w:qFormat/>
    <w:pPr>
      <w:ind w:firstLine="480"/>
      <w:jc w:val="left"/>
      <w:spacing w:line="360" w:lineRule="auto"/>
      <w:widowControl/>
    </w:pPr>
    <w:rPr>
      <w:color w:val="ff0000"/>
      <w:sz w:val="24"/>
      <w:szCs w:val="20"/>
    </w:rPr>
  </w:style>
  <w:style w:type="paragraph" w:styleId="1252" w:customStyle="1">
    <w:name w:val="Char Char Char1 Char2"/>
    <w:basedOn w:val="798"/>
    <w:uiPriority w:val="0"/>
    <w:qFormat/>
    <w:rPr>
      <w:rFonts w:ascii="Tahoma" w:hAnsi="Tahoma"/>
      <w:sz w:val="24"/>
      <w:szCs w:val="20"/>
    </w:rPr>
  </w:style>
  <w:style w:type="paragraph" w:styleId="1253" w:customStyle="1">
    <w:name w:val="Char Char Char Char Char Char Char2"/>
    <w:basedOn w:val="798"/>
    <w:uiPriority w:val="0"/>
    <w:qFormat/>
    <w:pPr>
      <w:ind w:firstLine="200"/>
      <w:spacing w:line="360" w:lineRule="auto"/>
    </w:pPr>
    <w:rPr>
      <w:rFonts w:eastAsia="仿宋_GB2312"/>
      <w:sz w:val="24"/>
    </w:rPr>
  </w:style>
  <w:style w:type="paragraph" w:styleId="1254" w:customStyle="1">
    <w:name w:val="xl37"/>
    <w:basedOn w:val="798"/>
    <w:uiPriority w:val="0"/>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255" w:customStyle="1">
    <w:name w:val="xl32"/>
    <w:basedOn w:val="798"/>
    <w:uiPriority w:val="0"/>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56" w:customStyle="1">
    <w:name w:val="正文文本缩进2"/>
    <w:basedOn w:val="798"/>
    <w:uiPriority w:val="0"/>
    <w:qFormat/>
    <w:pPr>
      <w:ind w:firstLine="480"/>
      <w:spacing w:line="480" w:lineRule="exact"/>
    </w:pPr>
    <w:rPr>
      <w:rFonts w:ascii="宋体" w:hAnsi="宋体"/>
      <w:sz w:val="24"/>
      <w:lang w:val="zh-CN"/>
    </w:rPr>
  </w:style>
  <w:style w:type="paragraph" w:styleId="1257" w:customStyle="1">
    <w:name w:val="Char Char Char1 Char"/>
    <w:basedOn w:val="798"/>
    <w:uiPriority w:val="0"/>
    <w:qFormat/>
    <w:rPr>
      <w:rFonts w:ascii="Tahoma" w:hAnsi="Tahoma"/>
      <w:sz w:val="24"/>
      <w:szCs w:val="20"/>
    </w:rPr>
  </w:style>
  <w:style w:type="paragraph" w:styleId="1258" w:customStyle="1">
    <w:name w:val="Char3"/>
    <w:basedOn w:val="798"/>
    <w:uiPriority w:val="0"/>
    <w:qFormat/>
    <w:pPr>
      <w:tabs>
        <w:tab w:val="left" w:pos="360" w:leader="none"/>
      </w:tabs>
    </w:pPr>
    <w:rPr>
      <w:sz w:val="24"/>
    </w:rPr>
  </w:style>
  <w:style w:type="paragraph" w:styleId="1259" w:customStyle="1">
    <w:name w:val="??"/>
    <w:uiPriority w:val="0"/>
    <w:qFormat/>
    <w:pPr>
      <w:jc w:val="both"/>
      <w:widowControl w:val="off"/>
    </w:pPr>
    <w:rPr>
      <w:rFonts w:hint="default" w:ascii="Times New Roman" w:hAnsi="Times New Roman" w:eastAsia="宋体" w:cs="Times New Roman"/>
      <w:sz w:val="21"/>
      <w:lang w:val="en-US" w:eastAsia="en-US" w:bidi="ar-SA"/>
    </w:rPr>
  </w:style>
  <w:style w:type="paragraph" w:styleId="1260" w:customStyle="1">
    <w:name w:val="字元 字元1"/>
    <w:basedOn w:val="798"/>
    <w:uiPriority w:val="0"/>
    <w:qFormat/>
    <w:rPr>
      <w:rFonts w:ascii="Tahoma" w:hAnsi="Tahoma"/>
      <w:sz w:val="24"/>
      <w:szCs w:val="20"/>
    </w:rPr>
  </w:style>
  <w:style w:type="paragraph" w:styleId="1261" w:customStyle="1">
    <w:name w:val="正文 + 宋体"/>
    <w:basedOn w:val="798"/>
    <w:uiPriority w:val="0"/>
    <w:qFormat/>
    <w:pPr>
      <w:ind w:left="360" w:hanging="360"/>
      <w:jc w:val="left"/>
      <w:widowControl/>
    </w:pPr>
    <w:rPr>
      <w:rFonts w:ascii="宋体" w:hAnsi="宋体" w:cs="宋体"/>
      <w:b/>
      <w:bCs/>
      <w:color w:val="000000"/>
      <w:sz w:val="18"/>
      <w:szCs w:val="18"/>
    </w:rPr>
  </w:style>
  <w:style w:type="paragraph" w:styleId="1262" w:customStyle="1">
    <w:name w:val="表格1"/>
    <w:basedOn w:val="798"/>
    <w:uiPriority w:val="0"/>
    <w:qFormat/>
    <w:pPr>
      <w:ind w:firstLine="480"/>
      <w:jc w:val="center"/>
    </w:pPr>
    <w:rPr>
      <w:sz w:val="24"/>
      <w:szCs w:val="20"/>
    </w:rPr>
  </w:style>
  <w:style w:type="paragraph" w:styleId="1263" w:customStyle="1">
    <w:name w:val="xl26"/>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1264" w:customStyle="1">
    <w:name w:val="字元 字元"/>
    <w:basedOn w:val="798"/>
    <w:uiPriority w:val="0"/>
    <w:qFormat/>
    <w:rPr>
      <w:rFonts w:ascii="Tahoma" w:hAnsi="Tahoma"/>
      <w:sz w:val="24"/>
      <w:szCs w:val="20"/>
    </w:rPr>
  </w:style>
  <w:style w:type="paragraph" w:styleId="1265" w:customStyle="1">
    <w:name w:val="Char21"/>
    <w:basedOn w:val="798"/>
    <w:uiPriority w:val="0"/>
    <w:qFormat/>
    <w:rPr>
      <w:rFonts w:ascii="Tahoma" w:hAnsi="Tahoma"/>
      <w:sz w:val="24"/>
      <w:szCs w:val="20"/>
    </w:rPr>
  </w:style>
  <w:style w:type="paragraph" w:styleId="1266" w:customStyle="1">
    <w:name w:val="正文 + 楷体_GB2312"/>
    <w:basedOn w:val="798"/>
    <w:uiPriority w:val="0"/>
    <w:qFormat/>
    <w:pPr>
      <w:jc w:val="left"/>
      <w:widowControl/>
    </w:pPr>
    <w:rPr>
      <w:rFonts w:ascii="楷体_GB2312" w:eastAsia="楷体_GB2312" w:cs="Arial"/>
      <w:sz w:val="24"/>
    </w:rPr>
  </w:style>
  <w:style w:type="paragraph" w:styleId="1267" w:customStyle="1">
    <w:name w:val="Char2 Char Char Char Char Char Char"/>
    <w:basedOn w:val="798"/>
    <w:uiPriority w:val="0"/>
    <w:qFormat/>
    <w:pPr>
      <w:jc w:val="center"/>
      <w:spacing w:line="400" w:lineRule="exact"/>
      <w:widowControl/>
    </w:pPr>
  </w:style>
  <w:style w:type="paragraph" w:styleId="1268" w:customStyle="1">
    <w:name w:val="字元 字元2"/>
    <w:basedOn w:val="798"/>
    <w:uiPriority w:val="0"/>
    <w:qFormat/>
    <w:rPr>
      <w:rFonts w:ascii="Tahoma" w:hAnsi="Tahoma"/>
      <w:sz w:val="24"/>
      <w:szCs w:val="20"/>
    </w:rPr>
  </w:style>
  <w:style w:type="paragraph" w:styleId="1269" w:customStyle="1">
    <w:name w:val="xl41"/>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270" w:customStyle="1">
    <w:name w:val="Char Char Char2"/>
    <w:basedOn w:val="798"/>
    <w:uiPriority w:val="0"/>
    <w:qFormat/>
    <w:rPr>
      <w:rFonts w:ascii="Tahoma" w:hAnsi="Tahoma"/>
      <w:sz w:val="24"/>
      <w:szCs w:val="20"/>
    </w:rPr>
  </w:style>
  <w:style w:type="paragraph" w:styleId="1271" w:customStyle="1">
    <w:name w:val="xl27"/>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272" w:customStyle="1">
    <w:name w:val="缺省文本"/>
    <w:basedOn w:val="798"/>
    <w:uiPriority w:val="0"/>
    <w:qFormat/>
    <w:pPr>
      <w:jc w:val="left"/>
    </w:pPr>
    <w:rPr>
      <w:sz w:val="24"/>
    </w:rPr>
  </w:style>
  <w:style w:type="paragraph" w:styleId="1273" w:customStyle="1">
    <w:name w:val="Char2"/>
    <w:basedOn w:val="798"/>
    <w:uiPriority w:val="0"/>
    <w:qFormat/>
    <w:rPr>
      <w:rFonts w:ascii="Tahoma" w:hAnsi="Tahoma"/>
      <w:sz w:val="24"/>
      <w:szCs w:val="20"/>
    </w:rPr>
  </w:style>
  <w:style w:type="paragraph" w:styleId="1274" w:customStyle="1">
    <w:name w:val="xl38"/>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1275" w:customStyle="1">
    <w:name w:val="xl53"/>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276" w:customStyle="1">
    <w:name w:val="正文列项_字母"/>
    <w:basedOn w:val="798"/>
    <w:uiPriority w:val="0"/>
    <w:qFormat/>
    <w:pPr>
      <w:numPr>
        <w:ilvl w:val="6"/>
        <w:numId w:val="3"/>
      </w:numPr>
      <w:ind w:left="480" w:hanging="180"/>
      <w:spacing w:line="460" w:lineRule="exact"/>
      <w:tabs>
        <w:tab w:val="clear" w:pos="635" w:leader="none"/>
      </w:tabs>
      <w:outlineLvl w:val="6"/>
    </w:pPr>
    <w:rPr>
      <w:rFonts w:ascii="宋体"/>
      <w:sz w:val="28"/>
      <w:szCs w:val="20"/>
    </w:rPr>
  </w:style>
  <w:style w:type="paragraph" w:styleId="1277" w:customStyle="1">
    <w:name w:val="Char2 Char Char Char Char Char Char1"/>
    <w:basedOn w:val="798"/>
    <w:uiPriority w:val="0"/>
    <w:qFormat/>
    <w:pPr>
      <w:jc w:val="center"/>
      <w:spacing w:line="400" w:lineRule="exact"/>
      <w:widowControl/>
    </w:pPr>
  </w:style>
  <w:style w:type="paragraph" w:styleId="1278" w:customStyle="1">
    <w:name w:val="xl40"/>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1279" w:customStyle="1">
    <w:name w:val="正文须知-3级"/>
    <w:basedOn w:val="798"/>
    <w:uiPriority w:val="0"/>
    <w:qFormat/>
    <w:pPr>
      <w:numPr>
        <w:ilvl w:val="2"/>
        <w:numId w:val="4"/>
      </w:numPr>
      <w:ind w:hanging="355"/>
      <w:spacing w:line="300" w:lineRule="auto"/>
    </w:pPr>
    <w:rPr>
      <w:rFonts w:ascii="宋体" w:hAnsi="Calibri"/>
      <w:sz w:val="24"/>
      <w:szCs w:val="21"/>
    </w:rPr>
  </w:style>
  <w:style w:type="paragraph" w:styleId="1280" w:customStyle="1">
    <w:name w:val="默认段落字体 Para Char Char Char Char"/>
    <w:basedOn w:val="798"/>
    <w:uiPriority w:val="0"/>
    <w:qFormat/>
    <w:rPr>
      <w:rFonts w:ascii="Arial" w:hAnsi="Arial" w:cs="Arial"/>
      <w:szCs w:val="21"/>
    </w:rPr>
  </w:style>
  <w:style w:type="paragraph" w:styleId="1281" w:customStyle="1">
    <w:name w:val="Table Paragraph"/>
    <w:basedOn w:val="798"/>
    <w:uiPriority w:val="1"/>
    <w:qFormat/>
    <w:pPr>
      <w:jc w:val="left"/>
    </w:pPr>
    <w:rPr>
      <w:rFonts w:ascii="宋体" w:hAnsi="宋体" w:cs="宋体"/>
      <w:sz w:val="22"/>
      <w:szCs w:val="22"/>
      <w:lang w:eastAsia="en-US"/>
    </w:rPr>
  </w:style>
  <w:style w:type="paragraph" w:styleId="1282" w:customStyle="1">
    <w:name w:val="修订1"/>
    <w:uiPriority w:val="0"/>
    <w:qFormat/>
    <w:rPr>
      <w:rFonts w:hint="default" w:ascii="Times New Roman" w:hAnsi="Times New Roman" w:eastAsia="宋体" w:cs="Times New Roman"/>
      <w:sz w:val="21"/>
      <w:szCs w:val="24"/>
      <w:lang w:val="en-US" w:eastAsia="zh-CN" w:bidi="ar-SA"/>
    </w:rPr>
  </w:style>
  <w:style w:type="paragraph" w:styleId="1283" w:customStyle="1">
    <w:name w:val="xl45"/>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1284" w:customStyle="1">
    <w:name w:val="Char Char1 Char Char Char Char Char Char1"/>
    <w:basedOn w:val="798"/>
    <w:uiPriority w:val="0"/>
    <w:qFormat/>
    <w:pPr>
      <w:jc w:val="left"/>
      <w:spacing w:after="160" w:line="240" w:lineRule="exact"/>
      <w:widowControl/>
    </w:pPr>
    <w:rPr>
      <w:rFonts w:ascii="Verdana" w:hAnsi="Verdana" w:eastAsia="仿宋_GB2312"/>
      <w:sz w:val="24"/>
      <w:szCs w:val="20"/>
      <w:lang w:eastAsia="en-US"/>
    </w:rPr>
  </w:style>
  <w:style w:type="paragraph" w:styleId="1285" w:customStyle="1">
    <w:name w:val="文档正文"/>
    <w:basedOn w:val="798"/>
    <w:uiPriority w:val="0"/>
    <w:qFormat/>
    <w:pPr>
      <w:spacing w:before="120" w:after="120" w:line="180" w:lineRule="auto"/>
    </w:pPr>
    <w:rPr>
      <w:rFonts w:ascii="Arial" w:hAnsi="Arial"/>
      <w:szCs w:val="20"/>
    </w:rPr>
  </w:style>
  <w:style w:type="paragraph" w:styleId="1286" w:customStyle="1">
    <w:name w:val="样式 宋体 五号 行距: 单倍行距"/>
    <w:basedOn w:val="798"/>
    <w:uiPriority w:val="0"/>
    <w:qFormat/>
    <w:pPr>
      <w:jc w:val="left"/>
    </w:pPr>
    <w:rPr>
      <w:rFonts w:ascii="宋体" w:hAnsi="宋体"/>
      <w:szCs w:val="20"/>
    </w:rPr>
  </w:style>
  <w:style w:type="paragraph" w:styleId="1287" w:customStyle="1">
    <w:name w:val="Char Char Char Char Char Char Char Char Char Char2"/>
    <w:basedOn w:val="798"/>
    <w:uiPriority w:val="0"/>
    <w:qFormat/>
    <w:rPr>
      <w:rFonts w:ascii="宋体" w:hAnsi="宋体" w:cs="Courier New"/>
      <w:sz w:val="32"/>
      <w:szCs w:val="32"/>
    </w:rPr>
  </w:style>
  <w:style w:type="paragraph" w:styleId="1288" w:customStyle="1">
    <w:name w:val="修订2"/>
    <w:uiPriority w:val="99"/>
    <w:qFormat/>
    <w:rPr>
      <w:rFonts w:hint="default" w:ascii="Times New Roman" w:hAnsi="Times New Roman" w:eastAsia="宋体" w:cs="Times New Roman"/>
      <w:sz w:val="21"/>
      <w:szCs w:val="24"/>
      <w:lang w:val="en-US" w:eastAsia="zh-CN" w:bidi="ar-SA"/>
    </w:rPr>
  </w:style>
  <w:style w:type="paragraph" w:styleId="1289" w:customStyle="1">
    <w:name w:val="正文须知-2级"/>
    <w:basedOn w:val="798"/>
    <w:uiPriority w:val="0"/>
    <w:qFormat/>
    <w:pPr>
      <w:numPr>
        <w:ilvl w:val="1"/>
        <w:numId w:val="4"/>
      </w:numPr>
      <w:spacing w:line="300" w:lineRule="auto"/>
    </w:pPr>
    <w:rPr>
      <w:rFonts w:ascii="宋体" w:hAnsi="Calibri"/>
      <w:sz w:val="24"/>
      <w:szCs w:val="21"/>
    </w:rPr>
  </w:style>
  <w:style w:type="paragraph" w:styleId="1290" w:customStyle="1">
    <w:name w:val="xl44"/>
    <w:basedOn w:val="798"/>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1291" w:customStyle="1">
    <w:name w:val="Char Char Char Char Char Char Char"/>
    <w:basedOn w:val="798"/>
    <w:uiPriority w:val="0"/>
    <w:qFormat/>
    <w:pPr>
      <w:ind w:firstLine="200"/>
      <w:spacing w:line="360" w:lineRule="auto"/>
    </w:pPr>
    <w:rPr>
      <w:rFonts w:eastAsia="仿宋_GB2312"/>
      <w:sz w:val="24"/>
    </w:rPr>
  </w:style>
  <w:style w:type="paragraph" w:styleId="1292" w:customStyle="1">
    <w:name w:val="Char Char1 Char Char Char Char Char Char"/>
    <w:basedOn w:val="798"/>
    <w:uiPriority w:val="0"/>
    <w:qFormat/>
    <w:pPr>
      <w:jc w:val="left"/>
      <w:spacing w:after="160" w:line="240" w:lineRule="exact"/>
      <w:widowControl/>
    </w:pPr>
    <w:rPr>
      <w:rFonts w:ascii="Verdana" w:hAnsi="Verdana" w:eastAsia="仿宋_GB2312"/>
      <w:sz w:val="24"/>
      <w:szCs w:val="20"/>
      <w:lang w:eastAsia="en-US"/>
    </w:rPr>
  </w:style>
  <w:style w:type="paragraph" w:styleId="1293" w:customStyle="1">
    <w:name w:val="图例"/>
    <w:basedOn w:val="798"/>
    <w:uiPriority w:val="0"/>
    <w:qFormat/>
    <w:pPr>
      <w:jc w:val="center"/>
      <w:spacing w:before="120" w:after="120" w:line="360" w:lineRule="auto"/>
    </w:pPr>
    <w:rPr>
      <w:rFonts w:eastAsia="仿宋_GB2312"/>
      <w:b/>
      <w:sz w:val="24"/>
      <w:szCs w:val="20"/>
    </w:rPr>
  </w:style>
  <w:style w:type="paragraph" w:styleId="1294" w:customStyle="1">
    <w:name w:val="List Paragraph1"/>
    <w:basedOn w:val="798"/>
    <w:uiPriority w:val="0"/>
    <w:qFormat/>
    <w:pPr>
      <w:ind w:firstLine="420"/>
    </w:pPr>
    <w:rPr>
      <w:rFonts w:ascii="Calibri" w:hAnsi="Calibri"/>
      <w:szCs w:val="22"/>
    </w:rPr>
  </w:style>
  <w:style w:type="paragraph" w:styleId="1295" w:customStyle="1">
    <w:name w:val="列表段落2"/>
    <w:basedOn w:val="798"/>
    <w:uiPriority w:val="99"/>
    <w:qFormat/>
    <w:pPr>
      <w:ind w:firstLine="420"/>
    </w:pPr>
    <w:rPr>
      <w:rFonts w:ascii="宋体" w:hAnsi="宋体" w:cs="宋体"/>
      <w:sz w:val="20"/>
      <w:szCs w:val="20"/>
    </w:rPr>
  </w:style>
  <w:style w:type="table" w:styleId="1296" w:customStyle="1">
    <w:name w:val="Table Normal"/>
    <w:uiPriority w:val="2"/>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97" w:customStyle="1">
    <w:name w:val="_Style 6"/>
    <w:basedOn w:val="798"/>
    <w:next w:val="1140"/>
    <w:uiPriority w:val="34"/>
    <w:qFormat/>
    <w:pPr>
      <w:ind w:firstLine="420"/>
    </w:pPr>
    <w:rPr>
      <w:rFonts w:ascii="Calibri" w:hAnsi="Calibri"/>
      <w:szCs w:val="22"/>
    </w:rPr>
  </w:style>
  <w:style w:type="paragraph" w:styleId="1298" w:customStyle="1">
    <w:name w:val="正文_1_0"/>
    <w:uiPriority w:val="0"/>
    <w:qFormat/>
    <w:pPr>
      <w:jc w:val="both"/>
      <w:widowControl w:val="off"/>
    </w:pPr>
    <w:rPr>
      <w:rFonts w:hint="default" w:ascii="Times New Roman" w:hAnsi="Times New Roman" w:eastAsia="宋体" w:cs="Times New Roman"/>
      <w:sz w:val="21"/>
      <w:lang w:val="en-US" w:eastAsia="zh-CN" w:bidi="ar-SA"/>
    </w:rPr>
  </w:style>
  <w:style w:type="paragraph" w:styleId="1299"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300" w:customStyle="1">
    <w:name w:val="批注框文本1"/>
    <w:basedOn w:val="798"/>
    <w:uiPriority w:val="0"/>
    <w:qFormat/>
    <w:rPr>
      <w:sz w:val="18"/>
      <w:szCs w:val="18"/>
    </w:rPr>
  </w:style>
  <w:style w:type="paragraph" w:styleId="1301" w:customStyle="1">
    <w:name w:val="☆ 正文"/>
    <w:uiPriority w:val="0"/>
    <w:qFormat/>
    <w:pPr>
      <w:jc w:val="both"/>
      <w:widowControl w:val="off"/>
    </w:pPr>
    <w:rPr>
      <w:rFonts w:hint="default" w:ascii="Calibri" w:hAnsi="Calibri" w:eastAsia="宋体" w:cs="Times New Roman"/>
      <w:sz w:val="21"/>
      <w:szCs w:val="22"/>
      <w:lang w:val="en-US" w:eastAsia="zh-CN" w:bidi="ar-SA"/>
    </w:rPr>
  </w:style>
  <w:style w:type="paragraph" w:styleId="1302" w:customStyle="1">
    <w:name w:val="Normal_20_0"/>
    <w:uiPriority w:val="0"/>
    <w:qFormat/>
    <w:pPr>
      <w:jc w:val="both"/>
      <w:widowControl w:val="off"/>
    </w:pPr>
    <w:rPr>
      <w:rFonts w:hint="default" w:ascii="Calibri" w:hAnsi="Calibri" w:eastAsia="宋体" w:cs="Times New Roman"/>
      <w:szCs w:val="24"/>
      <w:lang w:val="en-US" w:eastAsia="zh-CN" w:bidi="ar-SA"/>
    </w:rPr>
  </w:style>
  <w:style w:type="paragraph" w:styleId="1303" w:customStyle="1">
    <w:name w:val="修订3"/>
    <w:uiPriority w:val="99"/>
    <w:qFormat/>
    <w:rPr>
      <w:rFonts w:hint="default" w:ascii="Times New Roman" w:hAnsi="Times New Roman" w:eastAsia="宋体" w:cs="Times New Roman"/>
      <w:sz w:val="21"/>
      <w:szCs w:val="24"/>
      <w:lang w:val="en-US" w:eastAsia="zh-CN" w:bidi="ar-SA"/>
    </w:rPr>
  </w:style>
  <w:style w:type="paragraph" w:styleId="1304" w:customStyle="1">
    <w:name w:val="首行缩进"/>
    <w:basedOn w:val="798"/>
    <w:uiPriority w:val="0"/>
    <w:qFormat/>
    <w:pPr>
      <w:ind w:firstLine="480"/>
    </w:pPr>
    <w:rPr>
      <w:rFonts w:ascii="Calibri" w:hAnsi="Calibri"/>
      <w:lang w:val="zh-CN"/>
    </w:rPr>
  </w:style>
  <w:style w:type="paragraph" w:styleId="1305" w:customStyle="1">
    <w:name w:val="WPSOffice手动目录 1"/>
    <w:uiPriority w:val="0"/>
    <w:qFormat/>
    <w:rPr>
      <w:rFonts w:hint="default" w:ascii="Times New Roman" w:hAnsi="Times New Roman" w:eastAsia="宋体" w:cs="Times New Roman"/>
      <w:lang w:val="en-US" w:eastAsia="zh-CN" w:bidi="ar-SA"/>
    </w:rPr>
  </w:style>
  <w:style w:type="character" w:styleId="1306" w:customStyle="1">
    <w:name w:val="批注框文本 Char"/>
    <w:basedOn w:val="808"/>
    <w:link w:val="823"/>
    <w:uiPriority w:val="99"/>
    <w:qFormat/>
    <w:rPr>
      <w:sz w:val="18"/>
      <w:szCs w:val="18"/>
    </w:rPr>
  </w:style>
  <w:style w:type="character" w:styleId="1307" w:customStyle="1">
    <w:name w:val="owl-numbers"/>
    <w:basedOn w:val="808"/>
    <w:uiPriority w:val="0"/>
    <w:qFormat/>
    <w:rPr>
      <w:color w:val="ffffff"/>
      <w:sz w:val="12"/>
      <w:szCs w:val="12"/>
    </w:rPr>
  </w:style>
  <w:style w:type="paragraph" w:styleId="1308" w:customStyle="1">
    <w:name w:val="正文1"/>
    <w:basedOn w:val="798"/>
    <w:uiPriority w:val="0"/>
    <w:qFormat/>
    <w:pPr>
      <w:contextualSpacing/>
      <w:ind w:firstLine="200"/>
      <w:jc w:val="left"/>
      <w:spacing w:before="120" w:after="120"/>
      <w:widowControl/>
    </w:pPr>
    <w:rPr>
      <w:rFonts w:eastAsia="Adobe 仿宋 Std R"/>
      <w:sz w:val="20"/>
      <w:szCs w:val="21"/>
    </w:rPr>
  </w:style>
  <w:style w:type="paragraph" w:styleId="1309" w:customStyle="1">
    <w:name w:val="Table Text"/>
    <w:basedOn w:val="798"/>
    <w:uiPriority w:val="0"/>
    <w:semiHidden/>
    <w:qFormat/>
    <w:rPr>
      <w:rFonts w:ascii="宋体" w:hAnsi="宋体" w:eastAsia="宋体" w:cs="宋体"/>
      <w:sz w:val="20"/>
      <w:szCs w:val="20"/>
      <w:lang w:val="en-US" w:eastAsia="en-US" w:bidi="ar-SA"/>
    </w:rPr>
  </w:style>
  <w:style w:type="paragraph" w:styleId="1310" w:customStyle="1">
    <w:name w:val="纯文本11"/>
    <w:basedOn w:val="798"/>
    <w:uiPriority w:val="99"/>
    <w:qFormat/>
    <w:rPr>
      <w:rFonts w:hint="eastAsia" w:ascii="宋体" w:hAnsi="Courier New"/>
      <w:szCs w:val="20"/>
    </w:rPr>
  </w:style>
  <w:style w:type="paragraph" w:styleId="1311" w:customStyle="1">
    <w:name w:val="列表段落1"/>
    <w:basedOn w:val="798"/>
    <w:uiPriority w:val="34"/>
    <w:qFormat/>
    <w:pPr>
      <w:ind w:firstLine="420"/>
    </w:pPr>
    <w:rPr>
      <w:rFonts w:ascii="Calibri" w:hAnsi="Calibri"/>
      <w:szCs w:val="22"/>
    </w:rPr>
  </w:style>
  <w:style w:type="paragraph" w:styleId="1312" w:customStyle="1">
    <w:name w:val="null3"/>
    <w:uiPriority w:val="0"/>
    <w:qFormat/>
    <w:rPr>
      <w:rFonts w:hint="eastAsia" w:ascii="Calibri" w:hAnsi="Calibri" w:eastAsia="宋体" w:cs="Times New Roman"/>
      <w:lang w:val="en-US" w:eastAsia="zh-CN" w:bidi="ar-SA"/>
    </w:rPr>
  </w:style>
  <w:style w:type="paragraph" w:styleId="1313" w:customStyle="1">
    <w:name w:val="Normal_19"/>
    <w:uiPriority w:val="0"/>
    <w:qFormat/>
    <w:rPr>
      <w:rFonts w:ascii="Times New Roman" w:hAnsi="Times New Roman" w:eastAsia="Times New Roman" w:cs="Times New Roman"/>
      <w:sz w:val="24"/>
      <w:szCs w:val="24"/>
      <w:lang w:val="en-US" w:eastAsia="zh-CN" w:bidi="ar-SA"/>
    </w:rPr>
  </w:style>
  <w:style w:type="numbering" w:styleId="145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dc:creator>
  <cp:lastModifiedBy>徐婷婷</cp:lastModifiedBy>
  <cp:revision>14</cp:revision>
  <dcterms:created xsi:type="dcterms:W3CDTF">2024-06-13T07:27:00Z</dcterms:created>
  <dcterms:modified xsi:type="dcterms:W3CDTF">2026-10-09T05:43:46Z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D150DFBBDEC147DEB0A9CD10C123C637_13</vt:lpwstr>
  </property>
  <property fmtid="{D5CDD505-2E9C-101B-9397-08002B2CF9AE}" pid="4" name="KSOTemplateDocerSaveRecord">
    <vt:lpwstr>eyJoZGlkIjoiODY0YzY3Y2M1OGVmZTBiZTE0MWFiZjY1MDJiZjU2NTgiLCJ1c2VySWQiOiIyOTQ2NTM1OTUifQ==</vt:lpwstr>
  </property>
</Properties>
</file>