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8FAD6">
      <w:pPr>
        <w:pStyle w:val="4"/>
        <w:rPr>
          <w:rStyle w:val="7"/>
          <w:rFonts w:hint="eastAsia" w:ascii="仿宋" w:hAnsi="仿宋" w:eastAsia="仿宋" w:cs="仿宋"/>
          <w:b w:val="0"/>
          <w:bCs w:val="0"/>
        </w:rPr>
      </w:pPr>
      <w:r>
        <w:rPr>
          <w:rStyle w:val="7"/>
          <w:rFonts w:hint="eastAsia" w:ascii="仿宋" w:hAnsi="仿宋" w:eastAsia="仿宋" w:cs="仿宋"/>
          <w:b w:val="0"/>
          <w:bCs w:val="0"/>
          <w:lang w:val="en-US" w:eastAsia="zh-CN"/>
        </w:rPr>
        <w:t>清单</w:t>
      </w:r>
      <w:r>
        <w:rPr>
          <w:rStyle w:val="7"/>
          <w:rFonts w:hint="eastAsia" w:ascii="仿宋" w:hAnsi="仿宋" w:eastAsia="仿宋" w:cs="仿宋"/>
          <w:b w:val="0"/>
          <w:bCs w:val="0"/>
        </w:rPr>
        <w:t>编制说明</w:t>
      </w:r>
      <w:bookmarkStart w:id="0" w:name="_GoBack"/>
      <w:bookmarkEnd w:id="0"/>
    </w:p>
    <w:p w14:paraId="2CCC5A2E">
      <w:pPr>
        <w:spacing w:line="400" w:lineRule="exact"/>
        <w:rPr>
          <w:rFonts w:hint="eastAsia" w:ascii="仿宋" w:hAnsi="仿宋" w:eastAsia="仿宋" w:cs="仿宋"/>
          <w:sz w:val="24"/>
          <w:szCs w:val="24"/>
        </w:rPr>
      </w:pPr>
      <w:r>
        <w:rPr>
          <w:rFonts w:hint="eastAsia" w:ascii="仿宋" w:hAnsi="仿宋" w:eastAsia="仿宋" w:cs="仿宋"/>
          <w:sz w:val="24"/>
          <w:szCs w:val="24"/>
        </w:rPr>
        <w:t>一、工程概况</w:t>
      </w:r>
    </w:p>
    <w:p w14:paraId="7F037FD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本工程为东陈镇尚书工业园区污水管网建设工程</w:t>
      </w:r>
      <w:r>
        <w:rPr>
          <w:rFonts w:hint="eastAsia" w:ascii="仿宋" w:hAnsi="仿宋" w:eastAsia="仿宋" w:cs="仿宋"/>
          <w:sz w:val="24"/>
          <w:szCs w:val="24"/>
          <w:lang w:eastAsia="zh-CN"/>
        </w:rPr>
        <w:t>，在平安驾校东侧，小康路北侧新建一体化污水提升泵站（按近期考虑，日处理污水量1500T）</w:t>
      </w:r>
      <w:r>
        <w:rPr>
          <w:rFonts w:hint="eastAsia" w:ascii="仿宋" w:hAnsi="仿宋" w:eastAsia="仿宋" w:cs="仿宋"/>
          <w:sz w:val="24"/>
          <w:szCs w:val="24"/>
        </w:rPr>
        <w:t>。东陈康旭大酒店与沿线预留污水管一起接至泵站，提升后采用压力管向南过小康路后，采用压力管接至114乡道市政污水管网，市政污水管管径D500，接入污水井底高程约为2.09米。压力管采用D300PE管，采用DN300X18.7mm聚乙烯PE管(PE100 PN1.0MPa),焊接，管道内工作压力为0.60MPa</w:t>
      </w:r>
      <w:r>
        <w:rPr>
          <w:rFonts w:hint="eastAsia" w:ascii="仿宋" w:hAnsi="仿宋" w:eastAsia="仿宋" w:cs="仿宋"/>
          <w:sz w:val="24"/>
          <w:szCs w:val="24"/>
          <w:lang w:eastAsia="zh-CN"/>
        </w:rPr>
        <w:t>，</w:t>
      </w:r>
      <w:r>
        <w:rPr>
          <w:rFonts w:hint="eastAsia" w:ascii="仿宋" w:hAnsi="仿宋" w:eastAsia="仿宋" w:cs="仿宋"/>
          <w:sz w:val="24"/>
          <w:szCs w:val="24"/>
        </w:rPr>
        <w:t>长约</w:t>
      </w:r>
      <w:r>
        <w:rPr>
          <w:rFonts w:hint="eastAsia" w:ascii="仿宋" w:hAnsi="仿宋" w:eastAsia="仿宋" w:cs="仿宋"/>
          <w:sz w:val="24"/>
          <w:szCs w:val="24"/>
          <w:lang w:val="en-US" w:eastAsia="zh-CN"/>
        </w:rPr>
        <w:t>250</w:t>
      </w:r>
      <w:r>
        <w:rPr>
          <w:rFonts w:hint="eastAsia" w:ascii="仿宋" w:hAnsi="仿宋" w:eastAsia="仿宋" w:cs="仿宋"/>
          <w:sz w:val="24"/>
          <w:szCs w:val="24"/>
        </w:rPr>
        <w:t>米</w:t>
      </w:r>
      <w:r>
        <w:rPr>
          <w:rFonts w:hint="eastAsia" w:ascii="仿宋" w:hAnsi="仿宋" w:eastAsia="仿宋" w:cs="仿宋"/>
          <w:sz w:val="24"/>
          <w:szCs w:val="24"/>
          <w:lang w:eastAsia="zh-CN"/>
        </w:rPr>
        <w:t>；</w:t>
      </w:r>
      <w:r>
        <w:rPr>
          <w:rFonts w:hint="eastAsia" w:ascii="仿宋" w:hAnsi="仿宋" w:eastAsia="仿宋" w:cs="仿宋"/>
          <w:sz w:val="24"/>
          <w:szCs w:val="24"/>
        </w:rPr>
        <w:t>重力管采用D400实壁管，长约为</w:t>
      </w:r>
      <w:r>
        <w:rPr>
          <w:rFonts w:hint="eastAsia" w:ascii="仿宋" w:hAnsi="仿宋" w:eastAsia="仿宋" w:cs="仿宋"/>
          <w:sz w:val="24"/>
          <w:szCs w:val="24"/>
          <w:lang w:val="en-US" w:eastAsia="zh-CN"/>
        </w:rPr>
        <w:t>570</w:t>
      </w:r>
      <w:r>
        <w:rPr>
          <w:rFonts w:hint="eastAsia" w:ascii="仿宋" w:hAnsi="仿宋" w:eastAsia="仿宋" w:cs="仿宋"/>
          <w:sz w:val="24"/>
          <w:szCs w:val="24"/>
        </w:rPr>
        <w:t>米，采用硬聚氯乙烯（PVC-U）实壁管，三元乙丙钢骨架橡胶圈接口，环钢度为8千牛/平方米，落锤冲击（TIR）≤10%，颜色为白色；工作内压力为为0.20MPa；管材应符合《无压埋地排污、排水用硬聚氯乙烯PVC-U管材》，基础硬聚氯乙烯（PVC-U）实壁管采用：1砂石垫层，粗砂回填至管顶以上50cm</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过如泰线采用螺旋钢管穿越现有管涵</w:t>
      </w:r>
      <w:r>
        <w:rPr>
          <w:rFonts w:hint="eastAsia" w:ascii="仿宋" w:hAnsi="仿宋" w:eastAsia="仿宋" w:cs="仿宋"/>
          <w:sz w:val="24"/>
          <w:szCs w:val="24"/>
        </w:rPr>
        <w:t>。</w:t>
      </w:r>
      <w:r>
        <w:rPr>
          <w:rFonts w:hint="eastAsia" w:ascii="仿宋" w:hAnsi="仿宋" w:eastAsia="仿宋" w:cs="仿宋"/>
          <w:sz w:val="24"/>
          <w:szCs w:val="24"/>
          <w:lang w:val="en-US" w:eastAsia="zh-CN"/>
        </w:rPr>
        <w:t>检查井采用圆形钢筋混凝土检查井。</w:t>
      </w:r>
      <w:r>
        <w:rPr>
          <w:rFonts w:hint="eastAsia" w:ascii="仿宋" w:hAnsi="仿宋" w:eastAsia="仿宋" w:cs="仿宋"/>
          <w:sz w:val="24"/>
          <w:szCs w:val="24"/>
        </w:rPr>
        <w:t>详见工程量清单及招标图纸。</w:t>
      </w:r>
    </w:p>
    <w:p w14:paraId="208C7A98">
      <w:pPr>
        <w:spacing w:line="400" w:lineRule="exact"/>
        <w:rPr>
          <w:rFonts w:hint="eastAsia" w:ascii="仿宋" w:hAnsi="仿宋" w:eastAsia="仿宋" w:cs="仿宋"/>
          <w:sz w:val="24"/>
          <w:szCs w:val="24"/>
        </w:rPr>
      </w:pPr>
      <w:r>
        <w:rPr>
          <w:rFonts w:hint="eastAsia" w:ascii="仿宋" w:hAnsi="仿宋" w:eastAsia="仿宋" w:cs="仿宋"/>
          <w:sz w:val="24"/>
          <w:szCs w:val="24"/>
        </w:rPr>
        <w:t>二、招标范围</w:t>
      </w:r>
    </w:p>
    <w:p w14:paraId="1538408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排水、道路恢复</w:t>
      </w:r>
      <w:r>
        <w:rPr>
          <w:rFonts w:hint="eastAsia" w:ascii="仿宋" w:hAnsi="仿宋" w:eastAsia="仿宋" w:cs="仿宋"/>
          <w:sz w:val="24"/>
          <w:szCs w:val="24"/>
        </w:rPr>
        <w:t>等，详见工程量清单及招标图纸。</w:t>
      </w:r>
    </w:p>
    <w:p w14:paraId="29A54E31">
      <w:pPr>
        <w:spacing w:line="400" w:lineRule="exact"/>
        <w:rPr>
          <w:rFonts w:hint="eastAsia" w:ascii="仿宋" w:hAnsi="仿宋" w:eastAsia="仿宋" w:cs="仿宋"/>
          <w:sz w:val="24"/>
          <w:szCs w:val="24"/>
        </w:rPr>
      </w:pPr>
      <w:r>
        <w:rPr>
          <w:rFonts w:hint="eastAsia" w:ascii="仿宋" w:hAnsi="仿宋" w:eastAsia="仿宋" w:cs="仿宋"/>
          <w:sz w:val="24"/>
          <w:szCs w:val="24"/>
        </w:rPr>
        <w:t>三、清单编制依据</w:t>
      </w:r>
    </w:p>
    <w:p w14:paraId="056EEDB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1、业主提供的《尚书工业园区污水管网建设工程》</w:t>
      </w:r>
      <w:r>
        <w:rPr>
          <w:rFonts w:hint="eastAsia" w:ascii="仿宋" w:hAnsi="仿宋" w:eastAsia="仿宋" w:cs="仿宋"/>
          <w:sz w:val="24"/>
          <w:szCs w:val="24"/>
          <w:lang w:val="en-US" w:eastAsia="zh-CN"/>
        </w:rPr>
        <w:t>施工图</w:t>
      </w:r>
      <w:r>
        <w:rPr>
          <w:rFonts w:hint="eastAsia" w:ascii="仿宋" w:hAnsi="仿宋" w:eastAsia="仿宋" w:cs="仿宋"/>
          <w:sz w:val="24"/>
          <w:szCs w:val="24"/>
        </w:rPr>
        <w:t xml:space="preserve">。 </w:t>
      </w:r>
    </w:p>
    <w:p w14:paraId="38EADE30">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2、《建设工程工程量清单计价标准》（GB/T50500-2024）及《房屋建筑与装饰工程工程量计算标准》（GB/T50854-2024）、《仿古建筑工程工程量计算标准》（GB/T50855-2024）、《通用安装工程工程量计算标准》（GB/T50856-2024）、《市政工程工程量计算标准》（GB/T50857-2024）、《园林绿化工程工程量计算标准》（GB/T50858-2024）、《构筑物工程工程量计算标准》（GB/T50860-2024）等。、省住房和城乡建设厅关于实施《建设工程工程量清单计价标准》（GBT50500-2024）及9本工程量计算标准有关事宜的公告。  </w:t>
      </w:r>
    </w:p>
    <w:p w14:paraId="43BA8262">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3、《江苏省建设工程费用</w:t>
      </w:r>
      <w:r>
        <w:rPr>
          <w:rFonts w:hint="eastAsia" w:ascii="仿宋" w:hAnsi="仿宋" w:eastAsia="仿宋" w:cs="仿宋"/>
          <w:sz w:val="24"/>
          <w:szCs w:val="24"/>
          <w:lang w:val="en-US" w:eastAsia="zh-CN"/>
        </w:rPr>
        <w:t>参考</w:t>
      </w:r>
      <w:r>
        <w:rPr>
          <w:rFonts w:hint="eastAsia" w:ascii="仿宋" w:hAnsi="仿宋" w:eastAsia="仿宋" w:cs="仿宋"/>
          <w:sz w:val="24"/>
          <w:szCs w:val="24"/>
        </w:rPr>
        <w:t>》、《省住房城乡建设厅关于建筑业实施营改增后江苏省建设工程计价依据调整的通知》（苏建价（2016）154号）（按增值税一般计税方法计算）、《省住房城乡建设厅关于调整建设工程计价增值税税率的通知》（苏建函价〔2019〕178号）；</w:t>
      </w:r>
    </w:p>
    <w:p w14:paraId="09D11B2A">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4、国家有关法律法规。</w:t>
      </w:r>
    </w:p>
    <w:p w14:paraId="3D9C0E5A">
      <w:pPr>
        <w:spacing w:line="400" w:lineRule="exact"/>
        <w:rPr>
          <w:rFonts w:hint="eastAsia" w:ascii="仿宋" w:hAnsi="仿宋" w:eastAsia="仿宋" w:cs="仿宋"/>
          <w:sz w:val="24"/>
          <w:szCs w:val="24"/>
        </w:rPr>
      </w:pPr>
      <w:r>
        <w:rPr>
          <w:rFonts w:hint="eastAsia" w:ascii="仿宋" w:hAnsi="仿宋" w:eastAsia="仿宋" w:cs="仿宋"/>
          <w:sz w:val="24"/>
          <w:szCs w:val="24"/>
        </w:rPr>
        <w:t>四、其他说明</w:t>
      </w:r>
    </w:p>
    <w:p w14:paraId="08C3DD26">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1、本工程施工时需采用合理的交通导流措施，保证周边居民的正常出行，费用由投标人自行考虑计入报价；</w:t>
      </w:r>
    </w:p>
    <w:p w14:paraId="055BF2AB">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 xml:space="preserve">、施工时应设置警示标志，费用由投标人自行考虑计入报价； </w:t>
      </w:r>
    </w:p>
    <w:p w14:paraId="1C19F6BF">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 xml:space="preserve">、清单不能详尽描述项目所有内容，投标人应全面结合招标文件、施工图纸、现场踏勘、清单总说明等报价。 </w:t>
      </w:r>
    </w:p>
    <w:p w14:paraId="2E98990C">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、投标人投标前须现场踏勘，在报价中综合考虑比如场地狭小、高压线防护等需增加的施工成本，否则由此引起的所有问题均由中标人自行承担， 结算不调整。  </w:t>
      </w:r>
    </w:p>
    <w:p w14:paraId="0C662A17">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 xml:space="preserve">、 对本工程量清单所列的措施项目，投标人可根据工程实际与施工组织设计进行增补，但不应更改招标人已列措施项目。结算时，除工程变更引起施工方案改变外，承包人不得以招标工程措施项目清单缺项为由要求新增措施项目投标人可根据自身情况，增减相关措施费用。 </w:t>
      </w:r>
    </w:p>
    <w:p w14:paraId="0EDC160D">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 xml:space="preserve">、施工范围以外原有路面、检查井等构筑物因施工造成的破损，中标人负责修复，结算时不得变更增加该项费用。 </w:t>
      </w:r>
    </w:p>
    <w:p w14:paraId="79908A13">
      <w:pPr>
        <w:spacing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、现场的临时道路、环保设施等：本工程的场内临时道路、环保设施需满足环保要求，均由中标人施工，价格由中标人自行综合考虑在投标报价中。</w:t>
      </w:r>
    </w:p>
    <w:p w14:paraId="4FF32A13">
      <w:pPr>
        <w:spacing w:line="40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8、根据现场踏勘情况，建设单位要求调整：WA1处现状检查井拆除重建。过如泰线采用螺旋钢管穿越现有管涵。</w:t>
      </w:r>
    </w:p>
    <w:p w14:paraId="3EA85581">
      <w:pPr>
        <w:spacing w:line="40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9、工程量清单以外不可预见项目的费用，视实际施工中所遇情况，按业主及监理审批程序批准的施工方案与招标文件精神，由承包人具实报价，经发包人确认后作为结算依据；</w:t>
      </w:r>
    </w:p>
    <w:p w14:paraId="4293FC89">
      <w:pPr>
        <w:spacing w:line="400" w:lineRule="exact"/>
        <w:ind w:firstLine="480" w:firstLineChars="200"/>
        <w:rPr>
          <w:rFonts w:hint="default" w:ascii="仿宋" w:hAnsi="仿宋" w:eastAsia="仿宋" w:cs="仿宋"/>
          <w:color w:val="auto"/>
          <w:sz w:val="24"/>
          <w:szCs w:val="24"/>
          <w:lang w:val="en-US" w:eastAsia="zh-CN"/>
        </w:rPr>
      </w:pPr>
      <w:r>
        <w:rPr>
          <w:rFonts w:hint="eastAsia" w:ascii="仿宋" w:hAnsi="仿宋" w:eastAsia="仿宋" w:cs="仿宋"/>
          <w:sz w:val="24"/>
          <w:szCs w:val="24"/>
          <w:lang w:val="en-US" w:eastAsia="zh-CN"/>
        </w:rPr>
        <w:t>10、措施项目清单报价投标人应根据现场踏勘情况、工程项目特性、施工组织设计方案增加相应措施项目费用；各投标单位根据施工图及现场踏勘等因素及企业自身实际条件具体报价，竣工结算</w:t>
      </w:r>
      <w:r>
        <w:rPr>
          <w:rFonts w:hint="eastAsia" w:ascii="仿宋" w:hAnsi="仿宋" w:eastAsia="仿宋" w:cs="仿宋"/>
          <w:color w:val="auto"/>
          <w:sz w:val="24"/>
          <w:szCs w:val="24"/>
          <w:lang w:val="en-US" w:eastAsia="zh-CN"/>
        </w:rPr>
        <w:t>时均不作任何调整。</w:t>
      </w:r>
    </w:p>
    <w:p w14:paraId="7D727430">
      <w:pPr>
        <w:spacing w:line="40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11.本工程暂列金额5万元计入其他项目清单用于本项目。</w:t>
      </w:r>
    </w:p>
    <w:p w14:paraId="3A93371C">
      <w:pPr>
        <w:spacing w:line="400" w:lineRule="exact"/>
        <w:ind w:firstLine="480" w:firstLineChars="200"/>
        <w:rPr>
          <w:rFonts w:hint="eastAsia" w:ascii="仿宋" w:hAnsi="仿宋" w:eastAsia="仿宋" w:cs="仿宋"/>
          <w:color w:val="0000FF"/>
          <w:sz w:val="24"/>
          <w:szCs w:val="24"/>
          <w:lang w:val="en-US" w:eastAsia="zh-CN"/>
        </w:rPr>
      </w:pPr>
    </w:p>
    <w:p w14:paraId="3ED2BCAC">
      <w:pPr>
        <w:spacing w:line="400" w:lineRule="exact"/>
        <w:ind w:firstLine="480" w:firstLineChars="200"/>
        <w:rPr>
          <w:rFonts w:hint="eastAsia" w:ascii="仿宋" w:hAnsi="仿宋" w:eastAsia="仿宋" w:cs="仿宋"/>
          <w:sz w:val="24"/>
          <w:szCs w:val="24"/>
          <w:lang w:val="en-US" w:eastAsia="zh-CN"/>
        </w:rPr>
      </w:pPr>
    </w:p>
    <w:p w14:paraId="441FF7E5">
      <w:pPr>
        <w:spacing w:line="400" w:lineRule="exact"/>
        <w:ind w:firstLine="480" w:firstLineChars="200"/>
        <w:rPr>
          <w:rFonts w:hint="eastAsia" w:ascii="仿宋" w:hAnsi="仿宋" w:eastAsia="仿宋" w:cs="仿宋"/>
          <w:sz w:val="24"/>
          <w:szCs w:val="24"/>
          <w:lang w:val="en-US" w:eastAsia="zh-CN"/>
        </w:rPr>
      </w:pPr>
    </w:p>
    <w:p w14:paraId="292F5F10">
      <w:pPr>
        <w:spacing w:line="40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南通中江工程项目管理有限公司</w:t>
      </w:r>
    </w:p>
    <w:p w14:paraId="7FEE118B">
      <w:pPr>
        <w:spacing w:line="40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2026年10月19日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2NzQyZWQ4OTdkNjZmMjAzNjBiODJlZGY5Y2UyN2UifQ=="/>
  </w:docVars>
  <w:rsids>
    <w:rsidRoot w:val="00C14767"/>
    <w:rsid w:val="00051505"/>
    <w:rsid w:val="00081442"/>
    <w:rsid w:val="001565FA"/>
    <w:rsid w:val="001607E9"/>
    <w:rsid w:val="001D24EE"/>
    <w:rsid w:val="001E0F3D"/>
    <w:rsid w:val="00290455"/>
    <w:rsid w:val="002D69AB"/>
    <w:rsid w:val="0033188F"/>
    <w:rsid w:val="004419F6"/>
    <w:rsid w:val="00554477"/>
    <w:rsid w:val="00637991"/>
    <w:rsid w:val="00657136"/>
    <w:rsid w:val="006D0E85"/>
    <w:rsid w:val="006E7146"/>
    <w:rsid w:val="00785206"/>
    <w:rsid w:val="00886769"/>
    <w:rsid w:val="008A22D7"/>
    <w:rsid w:val="008D747A"/>
    <w:rsid w:val="009025EA"/>
    <w:rsid w:val="009557F8"/>
    <w:rsid w:val="009F7739"/>
    <w:rsid w:val="00B454A1"/>
    <w:rsid w:val="00BB6706"/>
    <w:rsid w:val="00BE4433"/>
    <w:rsid w:val="00C04C41"/>
    <w:rsid w:val="00C14767"/>
    <w:rsid w:val="00CE0B3C"/>
    <w:rsid w:val="00D20BF2"/>
    <w:rsid w:val="00D50227"/>
    <w:rsid w:val="00D5764B"/>
    <w:rsid w:val="00E22216"/>
    <w:rsid w:val="00EB5225"/>
    <w:rsid w:val="00EC72D1"/>
    <w:rsid w:val="00F77958"/>
    <w:rsid w:val="03455BD5"/>
    <w:rsid w:val="059A63CC"/>
    <w:rsid w:val="070267EF"/>
    <w:rsid w:val="071D4431"/>
    <w:rsid w:val="09BD4024"/>
    <w:rsid w:val="0BDE51E3"/>
    <w:rsid w:val="0CAD0C30"/>
    <w:rsid w:val="114F2A39"/>
    <w:rsid w:val="133D251B"/>
    <w:rsid w:val="13FE26DA"/>
    <w:rsid w:val="14A6404F"/>
    <w:rsid w:val="18C2493C"/>
    <w:rsid w:val="1A756C10"/>
    <w:rsid w:val="204713EA"/>
    <w:rsid w:val="20DD55C0"/>
    <w:rsid w:val="22593661"/>
    <w:rsid w:val="23E17175"/>
    <w:rsid w:val="29C06991"/>
    <w:rsid w:val="2D120922"/>
    <w:rsid w:val="35DE5908"/>
    <w:rsid w:val="3E27077D"/>
    <w:rsid w:val="41382AE6"/>
    <w:rsid w:val="4541025D"/>
    <w:rsid w:val="486D5AF4"/>
    <w:rsid w:val="4BDD6F0F"/>
    <w:rsid w:val="4C667968"/>
    <w:rsid w:val="4E5930F4"/>
    <w:rsid w:val="4EE45B05"/>
    <w:rsid w:val="513B5948"/>
    <w:rsid w:val="519C3CAD"/>
    <w:rsid w:val="52460AA8"/>
    <w:rsid w:val="5689684A"/>
    <w:rsid w:val="593D2CF8"/>
    <w:rsid w:val="5DF56AF7"/>
    <w:rsid w:val="607516D5"/>
    <w:rsid w:val="69F07BF5"/>
    <w:rsid w:val="6AA74C1F"/>
    <w:rsid w:val="718C10EE"/>
    <w:rsid w:val="71D051F9"/>
    <w:rsid w:val="72C1290D"/>
    <w:rsid w:val="73727CFB"/>
    <w:rsid w:val="739C5C67"/>
    <w:rsid w:val="75950CE6"/>
    <w:rsid w:val="77497849"/>
    <w:rsid w:val="79A81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Subtitle"/>
    <w:basedOn w:val="1"/>
    <w:next w:val="1"/>
    <w:link w:val="10"/>
    <w:autoRedefine/>
    <w:qFormat/>
    <w:uiPriority w:val="11"/>
    <w:pPr>
      <w:spacing w:before="240" w:after="60" w:line="312" w:lineRule="auto"/>
      <w:jc w:val="center"/>
      <w:outlineLvl w:val="1"/>
    </w:pPr>
    <w:rPr>
      <w:b/>
      <w:bCs/>
      <w:kern w:val="28"/>
      <w:sz w:val="32"/>
      <w:szCs w:val="32"/>
    </w:rPr>
  </w:style>
  <w:style w:type="character" w:styleId="7">
    <w:name w:val="Strong"/>
    <w:basedOn w:val="6"/>
    <w:autoRedefine/>
    <w:qFormat/>
    <w:uiPriority w:val="22"/>
    <w:rPr>
      <w:b/>
      <w:bCs/>
    </w:rPr>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autoRedefine/>
    <w:qFormat/>
    <w:uiPriority w:val="99"/>
    <w:rPr>
      <w:sz w:val="18"/>
      <w:szCs w:val="18"/>
    </w:rPr>
  </w:style>
  <w:style w:type="character" w:customStyle="1" w:styleId="10">
    <w:name w:val="副标题 字符"/>
    <w:basedOn w:val="6"/>
    <w:link w:val="4"/>
    <w:autoRedefine/>
    <w:qFormat/>
    <w:uiPriority w:val="11"/>
    <w:rPr>
      <w:b/>
      <w:bCs/>
      <w:kern w:val="28"/>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1456</Words>
  <Characters>1660</Characters>
  <Lines>15</Lines>
  <Paragraphs>4</Paragraphs>
  <TotalTime>4</TotalTime>
  <ScaleCrop>false</ScaleCrop>
  <LinksUpToDate>false</LinksUpToDate>
  <CharactersWithSpaces>1743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2020-09-28T01:00:00Z</dcterms:created>
  <dc:creator>qiao zhonglin</dc:creator>
  <cp:lastModifiedBy>魏小美</cp:lastModifiedBy>
  <cp:lastPrinted>2026-09-16T00:30:00Z</cp:lastPrinted>
  <dcterms:modified xsi:type="dcterms:W3CDTF">2026-10-20T01:19:38Z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9390E8A0662140EFA21DE0620FAAFD4A_13</vt:lpwstr>
  </property>
  <property fmtid="{D5CDD505-2E9C-101B-9397-08002B2CF9AE}" pid="4" name="KSOTemplateDocerSaveRecord">
    <vt:lpwstr>eyJoZGlkIjoiYmViMmMzOTZmM2RlY2U5YzgxYmVjYmVmOThmZDA4MzIiLCJ1c2VySWQiOiI2MzQ3ODY4MTAifQ==</vt:lpwstr>
  </property>
</Properties>
</file>