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bookmarkStart w:id="61" w:name="_GoBack"/>
      <w:r/>
      <w:bookmarkEnd w:id="61"/>
      <w:r/>
      <w:r/>
    </w:p>
    <w:p>
      <w:pPr>
        <w:pStyle w:val="949"/>
        <w:rPr>
          <w:rFonts w:hint="eastAsia"/>
          <w:color w:val="000000"/>
          <w:highlight w:val="none"/>
        </w:rPr>
      </w:pPr>
      <w:r>
        <w:rPr>
          <w:rFonts w:hint="eastAsia"/>
          <w:color w:val="000000"/>
          <w:highlight w:val="none"/>
        </w:rPr>
      </w:r>
      <w:r/>
    </w:p>
    <w:p>
      <w:pPr>
        <w:pStyle w:val="960"/>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p>
    <w:p>
      <w:pPr>
        <w:ind w:firstLine="1506"/>
        <w:rPr>
          <w:rFonts w:hint="eastAsia" w:ascii="Times New Roman" w:hAnsi="Times New Roman" w:eastAsia="宋体" w:cs="Times New Roman"/>
          <w:b/>
          <w:color w:val="000000"/>
          <w:sz w:val="30"/>
          <w:szCs w:val="30"/>
          <w:highlight w:val="none"/>
          <w:u w:val="none"/>
          <w:lang w:val="en-US" w:eastAsia="zh-CN"/>
        </w:rPr>
      </w:pPr>
      <w:r>
        <w:rPr>
          <w:rFonts w:hint="eastAsia" w:eastAsia="宋体" w:cs="Times New Roman"/>
          <w:b/>
          <w:color w:val="000000"/>
          <w:sz w:val="30"/>
          <w:szCs w:val="30"/>
          <w:highlight w:val="none"/>
          <w:lang w:eastAsia="zh-CN"/>
        </w:rPr>
        <w:t xml:space="preserve">项目</w:t>
      </w:r>
      <w:r>
        <w:rPr>
          <w:rFonts w:hint="eastAsia" w:ascii="Times New Roman" w:hAnsi="Times New Roman" w:eastAsia="宋体" w:cs="Times New Roman"/>
          <w:b/>
          <w:color w:val="000000"/>
          <w:sz w:val="30"/>
          <w:szCs w:val="30"/>
          <w:highlight w:val="none"/>
          <w:lang w:eastAsia="zh-CN"/>
        </w:rPr>
        <w:t xml:space="preserve">名称：</w:t>
      </w:r>
      <w:r>
        <w:rPr>
          <w:rFonts w:hint="eastAsia" w:ascii="Times New Roman" w:hAnsi="Times New Roman" w:eastAsia="宋体" w:cs="Times New Roman"/>
          <w:b/>
          <w:color w:val="000000"/>
          <w:sz w:val="30"/>
          <w:szCs w:val="30"/>
          <w:highlight w:val="none"/>
          <w:lang w:val="en-US" w:eastAsia="zh-CN"/>
        </w:rPr>
        <w:t xml:space="preserve">2</w:t>
      </w:r>
      <w:r>
        <w:rPr>
          <w:rFonts w:hint="eastAsia" w:ascii="Times New Roman" w:hAnsi="Times New Roman" w:eastAsia="宋体" w:cs="Times New Roman"/>
          <w:b/>
          <w:i w:val="0"/>
          <w:iCs w:val="0"/>
          <w:caps w:val="0"/>
          <w:color w:val="000000"/>
          <w:spacing w:val="0"/>
          <w:sz w:val="30"/>
          <w:szCs w:val="30"/>
          <w:highlight w:val="none"/>
          <w:shd w:val="clear" w:color="auto" w:fill="auto"/>
        </w:rPr>
        <w:t xml:space="preserve">026年南京市医疗设备集中采购磁共振成像系统（含县域医共体）</w:t>
      </w:r>
      <w:r/>
    </w:p>
    <w:p>
      <w:pPr>
        <w:ind w:firstLine="1506"/>
        <w:rPr>
          <w:rFonts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0311</w:t>
      </w:r>
      <w:r/>
    </w:p>
    <w:p>
      <w:pPr>
        <w:jc w:val="center"/>
        <w:rPr>
          <w:rFonts w:hint="eastAsia" w:ascii="宋体" w:hAnsi="宋体" w:eastAsia="宋体" w:cs="宋体"/>
          <w:b/>
          <w:bCs/>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 </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0"/>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16938516"/>
      <w:r/>
      <w:bookmarkStart w:id="2" w:name="_Toc479757206"/>
      <w:r/>
      <w:bookmarkStart w:id="3" w:name="_Toc20823272"/>
      <w:r/>
      <w:bookmarkStart w:id="4" w:name="_Toc523127445"/>
      <w:r/>
      <w:bookmarkStart w:id="5" w:name="_Toc513029200"/>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43</w:t>
      </w:r>
      <w:bookmarkEnd w:id="0"/>
      <w:r/>
      <w:r/>
    </w:p>
    <w:p>
      <w:pPr>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621"/>
      <w:r/>
      <w:bookmarkStart w:id="7" w:name="_Toc28359079"/>
      <w:r/>
      <w:bookmarkStart w:id="8" w:name="_Toc35393790"/>
      <w:r/>
      <w:bookmarkStart w:id="9" w:name="_Toc38985263"/>
      <w:r/>
      <w:bookmarkStart w:id="10" w:name="_Toc28359002"/>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000000"/>
          <w:sz w:val="24"/>
          <w:szCs w:val="24"/>
          <w:highlight w:val="none"/>
        </w:rPr>
      </w:pPr>
      <w:r/>
      <w:bookmarkStart w:id="12" w:name="_Toc28359080"/>
      <w:r/>
      <w:bookmarkStart w:id="13" w:name="_Toc35393791"/>
      <w:r/>
      <w:bookmarkStart w:id="14" w:name="_Toc28359003"/>
      <w:r/>
      <w:bookmarkStart w:id="15" w:name="_Toc35393622"/>
      <w:r/>
      <w:bookmarkStart w:id="16" w:name="_Toc38985264"/>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0311</w:t>
      </w:r>
      <w:r>
        <w:rPr>
          <w:rFonts w:hint="eastAsia" w:ascii="宋体" w:hAnsi="宋体" w:eastAsia="宋体" w:cs="Times New Roman"/>
          <w:color w:val="000000"/>
          <w:sz w:val="24"/>
          <w:szCs w:val="24"/>
          <w:highlight w:val="none"/>
          <w:lang w:eastAsia="zh-CN"/>
        </w:rPr>
        <w:t xml:space="preserve"> </w:t>
      </w:r>
      <w:r/>
    </w:p>
    <w:p>
      <w:pPr>
        <w:ind w:firstLine="480"/>
        <w:pageBreakBefore w:val="0"/>
        <w:spacing w:line="252"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2026年南京市医疗设备集中采</w:t>
      </w:r>
      <w:r>
        <w:rPr>
          <w:rFonts w:hint="eastAsia" w:ascii="宋体" w:hAnsi="宋体" w:eastAsia="宋体" w:cs="Times New Roman"/>
          <w:color w:val="000000"/>
          <w:sz w:val="24"/>
          <w:szCs w:val="24"/>
          <w:highlight w:val="none"/>
          <w:lang w:val="en-US" w:eastAsia="zh-CN"/>
        </w:rPr>
        <w:t xml:space="preserve">购磁共振成像系统（含县域医共体）</w:t>
      </w:r>
      <w:r/>
    </w:p>
    <w:p>
      <w:pPr>
        <w:ind w:firstLine="48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3.预算金额：采购包1:3555万元；采购包2:3800万元；采购包3：700万元</w:t>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采购包1:3555万元；采购包2:3800万元；采购包3：700万元</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color w:val="000000"/>
          <w:sz w:val="24"/>
          <w:szCs w:val="24"/>
          <w:highlight w:val="none"/>
        </w:rPr>
        <w:t xml:space="preserve">5.采购需求（简介）：</w:t>
      </w:r>
      <w:r>
        <w:rPr>
          <w:rFonts w:hint="eastAsia" w:ascii="宋体" w:hAnsi="宋体" w:eastAsia="宋体" w:cs="Times New Roman"/>
          <w:color w:val="000000"/>
          <w:sz w:val="24"/>
          <w:szCs w:val="24"/>
          <w:highlight w:val="none"/>
          <w:lang w:val="en-US" w:eastAsia="zh-CN"/>
        </w:rPr>
        <w:t xml:space="preserve">本项目属于市级集中采购医疗设备，按照统招分签的政府采购组织形式实施。需求单位依据本项目中标结果，按照分签原则，与各中标供应商分别签订采购合同，明确采购标的、数量、质量、交货期、售后服务及违约责任等。</w:t>
      </w:r>
      <w:r/>
    </w:p>
    <w:p>
      <w:pPr>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60天</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p>
    <w:p>
      <w:pPr>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color w:val="000000"/>
          <w:sz w:val="24"/>
          <w:szCs w:val="24"/>
          <w:highlight w:val="none"/>
        </w:rPr>
      </w:pPr>
      <w:r/>
      <w:bookmarkStart w:id="17" w:name="_Toc35393792"/>
      <w:r/>
      <w:bookmarkStart w:id="18" w:name="_Toc35393623"/>
      <w:r/>
      <w:bookmarkStart w:id="19" w:name="_Toc28359081"/>
      <w:r/>
      <w:bookmarkStart w:id="20" w:name="_Toc38985265"/>
      <w:r/>
      <w:bookmarkStart w:id="21" w:name="_Toc28359004"/>
      <w:r>
        <w:rPr>
          <w:rFonts w:hint="eastAsia" w:ascii="宋体" w:hAnsi="宋体" w:eastAsia="宋体" w:cs="宋体"/>
          <w:color w:val="000000"/>
          <w:sz w:val="24"/>
          <w:szCs w:val="24"/>
          <w:highlight w:val="none"/>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p>
    <w:p>
      <w:pPr>
        <w:ind w:firstLine="480"/>
        <w:pageBreakBefore w:val="0"/>
        <w:spacing w:line="252" w:lineRule="auto"/>
        <w:widowControl/>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1.所投产品生产厂家具备《医疗器械生产许可证》</w:t>
      </w:r>
      <w:r>
        <w:rPr>
          <w:rFonts w:hint="eastAsia"/>
          <w:color w:val="000000"/>
          <w:lang w:eastAsia="zh-CN"/>
        </w:rPr>
        <w:t xml:space="preserve">。</w:t>
      </w:r>
      <w:r/>
    </w:p>
    <w:p>
      <w:pPr>
        <w:ind w:firstLine="480"/>
        <w:pageBreakBefore w:val="0"/>
        <w:spacing w:line="252" w:lineRule="auto"/>
        <w:widowControl/>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2.投标人具备《医疗器械经营许可证》。</w:t>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1.时间：自招标文件公告发布之日起。</w:t>
      </w:r>
      <w:r/>
    </w:p>
    <w:p>
      <w:pPr>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38985267"/>
      <w:r/>
      <w:bookmarkStart w:id="28" w:name="_Toc35393625"/>
      <w:r/>
      <w:bookmarkStart w:id="29" w:name="_Toc28359084"/>
      <w:r/>
      <w:bookmarkStart w:id="30" w:name="_Toc28359007"/>
      <w:r/>
      <w:bookmarkStart w:id="31" w:name="_Toc3539379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10</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rPr>
        <w:t xml:space="preserve">27日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p>
    <w:p>
      <w:pPr>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公告期限为自本公告发布之日起5个工作日。</w:t>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8985269"/>
      <w:r/>
      <w:bookmarkStart w:id="36" w:name="_Toc28359085"/>
      <w:r/>
      <w:bookmarkStart w:id="37" w:name="_Toc28359008"/>
      <w:r/>
      <w:bookmarkStart w:id="38" w:name="_Toc35393796"/>
      <w:r/>
      <w:bookmarkStart w:id="39" w:name="_Toc35393627"/>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本项目不统一组织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p>
    <w:tbl>
      <w:tblPr>
        <w:tblStyle w:val="701"/>
        <w:tblpPr w:horzAnchor="page" w:tblpX="825" w:vertAnchor="text" w:tblpY="99" w:leftFromText="180" w:topFromText="0" w:rightFromText="180" w:bottomFromText="0"/>
        <w:tblW w:w="105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133"/>
        <w:gridCol w:w="5268"/>
        <w:gridCol w:w="960"/>
        <w:gridCol w:w="1435"/>
      </w:tblGrid>
      <w:tr>
        <w:trPr>
          <w:trHeight w:val="600"/>
        </w:trPr>
        <w:tc>
          <w:tcPr>
            <w:tcW w:w="764" w:type="dxa"/>
            <w:vAlign w:val="center"/>
            <w:textDirection w:val="lrTb"/>
            <w:noWrap w:val="false"/>
          </w:tcPr>
          <w:p>
            <w:pPr>
              <w:jc w:val="center"/>
              <w:keepLines w:val="0"/>
              <w:keepNext w:val="0"/>
              <w:widowControl/>
              <w:rPr>
                <w:rFonts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lang w:val="en-US" w:eastAsia="zh-CN" w:bidi="ar"/>
              </w:rPr>
              <w:t xml:space="preserve">序号</w:t>
            </w:r>
            <w:r/>
          </w:p>
        </w:tc>
        <w:tc>
          <w:tcPr>
            <w:tcW w:w="2133"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lang w:val="en-US" w:eastAsia="zh-CN" w:bidi="ar"/>
              </w:rPr>
              <w:t xml:space="preserve">最终用户</w:t>
            </w:r>
            <w:r/>
          </w:p>
        </w:tc>
        <w:tc>
          <w:tcPr>
            <w:tcW w:w="5268"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lang w:val="en-US" w:eastAsia="zh-CN" w:bidi="ar"/>
              </w:rPr>
              <w:t xml:space="preserve">交付地点</w:t>
            </w:r>
            <w:r/>
          </w:p>
        </w:tc>
        <w:tc>
          <w:tcPr>
            <w:tcW w:w="960"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lang w:val="en-US" w:eastAsia="zh-CN" w:bidi="ar"/>
              </w:rPr>
              <w:suppressLineNumbers w:val="0"/>
            </w:pPr>
            <w:r>
              <w:rPr>
                <w:rFonts w:hint="eastAsia" w:ascii="黑体" w:hAnsi="宋体" w:eastAsia="黑体" w:cs="黑体"/>
                <w:i w:val="0"/>
                <w:iCs w:val="0"/>
                <w:color w:val="000000"/>
                <w:sz w:val="18"/>
                <w:szCs w:val="18"/>
                <w:u w:val="none"/>
                <w:lang w:val="en-US" w:eastAsia="zh-CN" w:bidi="ar"/>
              </w:rPr>
              <w:t xml:space="preserve">联系人</w:t>
            </w:r>
            <w:r/>
          </w:p>
        </w:tc>
        <w:tc>
          <w:tcPr>
            <w:tcW w:w="1435"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lang w:val="en-US" w:eastAsia="zh-CN" w:bidi="ar"/>
              </w:rPr>
              <w:suppressLineNumbers w:val="0"/>
            </w:pPr>
            <w:r>
              <w:rPr>
                <w:rFonts w:hint="eastAsia" w:ascii="黑体" w:hAnsi="宋体" w:eastAsia="黑体" w:cs="黑体"/>
                <w:i w:val="0"/>
                <w:iCs w:val="0"/>
                <w:color w:val="000000"/>
                <w:sz w:val="18"/>
                <w:szCs w:val="18"/>
                <w:u w:val="none"/>
                <w:lang w:val="en-US" w:eastAsia="zh-CN" w:bidi="ar"/>
              </w:rPr>
              <w:t xml:space="preserve">联系方式</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南京市江宁医院</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南京市江宁区鼓山路168号南京市江宁医院鼓山路院区老年综合楼3F核磁1室</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袁老师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15150596060</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南京鼓楼医院本部</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南京市鼓楼区中山路321号南京鼓楼医院1号楼1楼</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邱老师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13813938638</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3</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南京鼓楼医院江北院区</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南京市浦口区浦珠中路359号南京鼓楼医院江北国际医院B栋3楼</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邱老师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13813938638</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南京市第一医院</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南京市建邺区应天大街919号南京市第一医院河西院区2号楼1楼医学影像科核磁2室</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张老师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15380998916</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5</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南京市口腔医院</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南京市玄武区中央路30号南京市口腔医院1楼</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郑老师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13675152984</w:t>
            </w:r>
            <w:r/>
          </w:p>
        </w:tc>
      </w:tr>
    </w:tbl>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0"/>
        <w:spacing w:line="240" w:lineRule="auto"/>
        <w:tabs>
          <w:tab w:val="left" w:pos="900" w:leader="none"/>
        </w:tabs>
        <w:rPr>
          <w:rFonts w:hint="eastAsia" w:ascii="宋体" w:hAnsi="宋体" w:eastAsia="宋体" w:cs="Times New Roman"/>
          <w:b w:val="0"/>
          <w:bCs w:val="0"/>
          <w:color w:val="000000"/>
          <w:sz w:val="24"/>
          <w:szCs w:val="24"/>
          <w:highlight w:val="none"/>
          <w:lang w:val="en-US" w:eastAsia="zh-CN"/>
          <w14:ligatures w14:val="none"/>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szCs w:val="24"/>
          <w:highlight w:val="none"/>
          <w:lang w:val="en-US" w:eastAsia="zh-CN"/>
        </w:rPr>
        <w:t xml:space="preserve">供应商（含潜在供应商）对本项目有关的所有询问或质疑向采购人提出，由采购人负责答复。</w:t>
      </w:r>
      <w:r/>
    </w:p>
    <w:p>
      <w:pPr>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采购人《质疑函》收件人：南京市卫生健康委员会，收件地址：</w:t>
      </w:r>
      <w:r>
        <w:rPr>
          <w:rFonts w:hint="eastAsia" w:ascii="宋体" w:hAnsi="宋体" w:eastAsia="宋体" w:cs="Times New Roman"/>
          <w:color w:val="000000"/>
          <w:sz w:val="24"/>
          <w:szCs w:val="21"/>
          <w:highlight w:val="none"/>
          <w:u w:val="none"/>
          <w:lang w:val="en-US" w:eastAsia="zh-CN"/>
        </w:rPr>
        <w:t xml:space="preserve">南京市建邺区江东中路265号D座617室，</w:t>
      </w:r>
      <w:r>
        <w:rPr>
          <w:rFonts w:hint="eastAsia" w:ascii="宋体" w:hAnsi="宋体" w:eastAsia="宋体" w:cs="Times New Roman"/>
          <w:b w:val="0"/>
          <w:bCs w:val="0"/>
          <w:color w:val="000000"/>
          <w:sz w:val="24"/>
          <w:highlight w:val="none"/>
          <w:lang w:val="en-US" w:eastAsia="zh-CN"/>
        </w:rPr>
        <w:t xml:space="preserve">联系电话：025-68787830。</w:t>
      </w:r>
      <w:bookmarkEnd w:id="35"/>
      <w:r/>
      <w:bookmarkEnd w:id="36"/>
      <w:r/>
      <w:bookmarkEnd w:id="37"/>
      <w:r/>
      <w:bookmarkEnd w:id="38"/>
      <w:r/>
      <w:bookmarkEnd w:id="39"/>
      <w:r/>
      <w:r/>
    </w:p>
    <w:p>
      <w:pPr>
        <w:pStyle w:val="100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  称：南京市卫生健康委员会          </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址：南京市建邺区江东中路265号    </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联系人：孟老师</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联系电话：025-</w:t>
      </w:r>
      <w:r>
        <w:rPr>
          <w:rFonts w:hint="eastAsia" w:ascii="宋体" w:hAnsi="宋体" w:eastAsia="宋体" w:cs="宋体"/>
          <w:i w:val="0"/>
          <w:iCs w:val="0"/>
          <w:caps w:val="0"/>
          <w:color w:val="000000"/>
          <w:spacing w:val="0"/>
          <w:sz w:val="24"/>
          <w:szCs w:val="24"/>
          <w:highlight w:val="none"/>
          <w:shd w:val="clear" w:color="auto" w:fill="auto"/>
        </w:rPr>
        <w:t xml:space="preserve">68787831</w:t>
      </w:r>
      <w:bookmarkStart w:id="40" w:name="_Toc28359009"/>
      <w:r/>
      <w:bookmarkStart w:id="41" w:name="_Toc28359086"/>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址：南京市建邺区江东中路265号  </w:t>
      </w:r>
      <w:r/>
    </w:p>
    <w:p>
      <w:pPr>
        <w:ind w:firstLine="480"/>
        <w:pageBreakBefore w:val="0"/>
        <w:spacing w:line="25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联系人：邹女士</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联系电话：025-68505810 </w:t>
      </w:r>
      <w:r/>
    </w:p>
    <w:p>
      <w:pPr>
        <w:pStyle w:val="949"/>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p>
    <w:p>
      <w:pPr>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p>
    <w:p>
      <w:pPr>
        <w:pStyle w:val="878"/>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p>
    <w:p>
      <w:pPr>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p>
    <w:p>
      <w:pPr>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878"/>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p>
    <w:p>
      <w:pPr>
        <w:pStyle w:val="878"/>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p>
    <w:p>
      <w:pPr>
        <w:pStyle w:val="878"/>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p>
    <w:p>
      <w:pPr>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p>
    <w:p>
      <w:pPr>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p>
    <w:p>
      <w:pPr>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p>
    <w:p>
      <w:pPr>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p>
    <w:p>
      <w:pPr>
        <w:pStyle w:val="878"/>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p>
    <w:p>
      <w:pPr>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p>
    <w:p>
      <w:pPr>
        <w:pStyle w:val="878"/>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78"/>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p>
    <w:p>
      <w:pPr>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p>
    <w:p>
      <w:pPr>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p>
    <w:p>
      <w:pPr>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p>
    <w:p>
      <w:pPr>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p>
    <w:p>
      <w:pPr>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000000"/>
          <w:sz w:val="24"/>
          <w:highlight w:val="none"/>
          <w:lang w:val="zh-CN" w:eastAsia="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94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49"/>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bookmarkEnd w:id="42"/>
      <w:r/>
      <w:bookmarkStart w:id="43" w:name="_Toc479757207"/>
      <w:r/>
      <w:bookmarkStart w:id="44" w:name="_Toc513029242"/>
      <w:r/>
      <w:bookmarkStart w:id="45" w:name="_Toc120614221"/>
      <w:r/>
      <w:bookmarkStart w:id="46" w:name="_Toc16938558"/>
      <w:r/>
      <w:bookmarkStart w:id="47" w:name="_Toc20823314"/>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513029243"/>
      <w:r/>
      <w:bookmarkStart w:id="49" w:name="_Toc16938559"/>
      <w:r/>
      <w:bookmarkStart w:id="50" w:name="_Toc20823315"/>
      <w:r/>
      <w:bookmarkStart w:id="51" w:name="_Hlt16619350"/>
      <w:r/>
      <w:bookmarkStart w:id="52" w:name="_Toc120614244"/>
      <w:r/>
      <w:bookmarkStart w:id="53" w:name="_Toc16938590"/>
      <w:r/>
      <w:bookmarkStart w:id="54" w:name="_Toc20823346"/>
      <w:r/>
      <w:bookmarkStart w:id="55" w:name="_Toc462564139"/>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Times New Roman"/>
          <w:color w:val="000000"/>
          <w:sz w:val="24"/>
          <w:szCs w:val="24"/>
          <w:highlight w:val="none"/>
          <w:lang w:val="en-US" w:eastAsia="zh-CN"/>
        </w:rPr>
        <w:t xml:space="preserve">磁共振成像系统</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911"/>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911"/>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lang w:val="en-US" w:eastAsia="zh-CN"/>
        </w:rPr>
        <w:t xml:space="preserve">采购包1、包3</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合同签订后，甲方支付合同总价款的50%作为预付款。</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供货结束并验收合格后，甲方支付合同总价款的50%。</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采购包2</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p>
    <w:p>
      <w:pPr>
        <w:pStyle w:val="911"/>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spacing w:line="264" w:lineRule="auto"/>
        <w:rPr>
          <w:rFonts w:eastAsia="宋体"/>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 甲方无正当理由拒收货物的，应向乙方偿付拒收货物总价款 </w:t>
      </w:r>
      <w:r>
        <w:rPr>
          <w:rFonts w:hint="eastAsia" w:ascii="宋体" w:hAnsi="宋体" w:eastAsia="宋体" w:cs="Courier New"/>
          <w:color w:val="000000"/>
          <w:sz w:val="24"/>
          <w:szCs w:val="24"/>
          <w:highlight w:val="none"/>
          <w:u w:val="single"/>
        </w:rPr>
        <w:t xml:space="preserve"> 0.01%  </w:t>
      </w:r>
      <w:r>
        <w:rPr>
          <w:rFonts w:hint="eastAsia" w:ascii="宋体" w:hAnsi="宋体" w:eastAsia="宋体" w:cs="Courier New"/>
          <w:color w:val="000000"/>
          <w:sz w:val="24"/>
          <w:szCs w:val="24"/>
          <w:highlight w:val="none"/>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 甲方无故逾期验收和办理货款支付手续的，应按逾期付款总额每日按逾期交付货物价款总值的</w:t>
      </w:r>
      <w:r>
        <w:rPr>
          <w:rFonts w:hint="eastAsia" w:ascii="宋体" w:hAnsi="宋体" w:eastAsia="宋体" w:cs="Courier New"/>
          <w:color w:val="000000"/>
          <w:sz w:val="24"/>
          <w:szCs w:val="24"/>
          <w:highlight w:val="none"/>
          <w:u w:val="single"/>
        </w:rPr>
        <w:t xml:space="preserve">0.01%</w:t>
      </w:r>
      <w:r>
        <w:rPr>
          <w:rFonts w:hint="eastAsia" w:ascii="宋体" w:hAnsi="宋体" w:eastAsia="宋体" w:cs="Courier New"/>
          <w:color w:val="000000"/>
          <w:sz w:val="24"/>
          <w:szCs w:val="24"/>
          <w:highlight w:val="none"/>
        </w:rPr>
        <w:t xml:space="preserve"> 向乙方支付违约金，但违约金最高不得超过合同总价的 </w:t>
      </w:r>
      <w:r>
        <w:rPr>
          <w:rFonts w:hint="eastAsia" w:ascii="宋体" w:hAnsi="宋体" w:eastAsia="宋体" w:cs="Courier New"/>
          <w:color w:val="000000"/>
          <w:sz w:val="24"/>
          <w:szCs w:val="24"/>
          <w:highlight w:val="none"/>
          <w:u w:val="single"/>
        </w:rPr>
        <w:t xml:space="preserve">1 %</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 乙方逾期交付货物的，应按逾期交货总额每日按逾期交付货物价款总值的</w:t>
      </w:r>
      <w:r>
        <w:rPr>
          <w:rFonts w:hint="eastAsia" w:ascii="宋体" w:hAnsi="宋体" w:eastAsia="宋体" w:cs="Courier New"/>
          <w:color w:val="000000"/>
          <w:sz w:val="24"/>
          <w:szCs w:val="24"/>
          <w:highlight w:val="none"/>
          <w:u w:val="single"/>
        </w:rPr>
        <w:t xml:space="preserve">1%</w:t>
      </w:r>
      <w:r>
        <w:rPr>
          <w:rFonts w:hint="eastAsia" w:ascii="宋体" w:hAnsi="宋体" w:eastAsia="宋体" w:cs="Courier New"/>
          <w:color w:val="000000"/>
          <w:sz w:val="24"/>
          <w:szCs w:val="24"/>
          <w:highlight w:val="none"/>
        </w:rPr>
        <w:t xml:space="preserve">  向甲方支付违约金，由甲方从待付货款中扣除。超过约定日期10个工作日不能交货的，甲方可解除本合同。乙方因逾期交货或因其他违约行为导致甲方解除合同的，应向甲方支付合同总价 </w:t>
      </w:r>
      <w:r>
        <w:rPr>
          <w:rFonts w:hint="eastAsia" w:ascii="宋体" w:hAnsi="宋体" w:eastAsia="宋体" w:cs="Courier New"/>
          <w:color w:val="000000"/>
          <w:sz w:val="24"/>
          <w:szCs w:val="24"/>
          <w:highlight w:val="none"/>
          <w:u w:val="single"/>
          <w:lang w:val="en-US" w:eastAsia="zh-CN"/>
        </w:rPr>
        <w:t xml:space="preserve">30 %</w:t>
      </w:r>
      <w:r>
        <w:rPr>
          <w:rFonts w:hint="eastAsia" w:ascii="宋体" w:hAnsi="宋体" w:eastAsia="宋体" w:cs="Courier New"/>
          <w:color w:val="000000"/>
          <w:sz w:val="24"/>
          <w:szCs w:val="24"/>
          <w:highlight w:val="none"/>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p>
    <w:p>
      <w:pPr>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bookmarkEnd w:id="48"/>
      <w:r/>
      <w:bookmarkEnd w:id="49"/>
      <w:r/>
      <w:bookmarkEnd w:id="50"/>
      <w:r/>
      <w:r/>
    </w:p>
    <w:p>
      <w:pPr>
        <w:pStyle w:val="911"/>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Start w:id="57" w:name="_Hlt16619369"/>
      <w:r/>
      <w:bookmarkEnd w:id="57"/>
      <w:r>
        <w:rPr>
          <w:rFonts w:hint="eastAsia" w:hAnsi="宋体" w:eastAsia="宋体" w:cs="Courier New"/>
          <w:color w:val="000000"/>
          <w:sz w:val="24"/>
          <w:szCs w:val="24"/>
          <w:highlight w:val="none"/>
        </w:rPr>
        <w:t xml:space="preserve">  </w:t>
      </w:r>
      <w:r/>
    </w:p>
    <w:p>
      <w:pPr>
        <w:pStyle w:val="911"/>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p>
    <w:p>
      <w:pPr>
        <w:pStyle w:val="911"/>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p>
    <w:p>
      <w:pPr>
        <w:pStyle w:val="911"/>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p>
    <w:p>
      <w:pPr>
        <w:pStyle w:val="911"/>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p>
    <w:p>
      <w:pPr>
        <w:pStyle w:val="911"/>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p>
    <w:p>
      <w:pPr>
        <w:pStyle w:val="911"/>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p>
    <w:p>
      <w:pPr>
        <w:pStyle w:val="911"/>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ind w:right="0" w:firstLine="770"/>
        <w:jc w:val="center"/>
        <w:keepLines w:val="0"/>
        <w:keepNext w:val="0"/>
        <w:pageBreakBefore w:val="0"/>
        <w:spacing w:line="240" w:lineRule="auto"/>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highlight w:val="none"/>
        </w:rPr>
        <w:br w:type="page" w:clear="all"/>
      </w:r>
      <w:bookmarkEnd w:id="51"/>
      <w:r/>
      <w:bookmarkEnd w:id="52"/>
      <w:r/>
      <w:bookmarkEnd w:id="53"/>
      <w:r/>
      <w:bookmarkEnd w:id="54"/>
      <w:r/>
      <w:bookmarkStart w:id="58" w:name="_Toc49090575"/>
      <w:r/>
      <w:bookmarkStart w:id="59" w:name="_Toc120614281"/>
      <w:r/>
      <w:bookmarkStart w:id="60" w:name="_Toc26554093"/>
      <w:r>
        <w:rPr>
          <w:rFonts w:hint="eastAsia" w:ascii="方正小标宋简体" w:hAnsi="方正小标宋简体" w:eastAsia="方正小标宋简体" w:cs="方正小标宋简体"/>
          <w:color w:val="000000"/>
          <w:sz w:val="36"/>
          <w:szCs w:val="36"/>
        </w:rPr>
        <w:t xml:space="preserve">第四章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r/>
    </w:p>
    <w:p>
      <w:pPr>
        <w:ind w:right="0" w:firstLine="42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right="0" w:firstLine="42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（一）项目背景</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为加强医疗设备集中采购管理，规范集中采购行为，严格采购过程控制和监管，发挥规模采购效应，结合实际，实施此项目。</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本项目属于市级集中采购医疗设备，按照统招分签的政府采购组织形式实施。需求单位依据本项目中标结果，按照分签原则，与各中标</w:t>
      </w:r>
      <w:r>
        <w:rPr>
          <w:rFonts w:hint="eastAsia" w:ascii="宋体" w:hAnsi="宋体" w:eastAsia="宋体" w:cs="宋体"/>
          <w:bCs/>
          <w:color w:val="000000"/>
          <w:sz w:val="24"/>
          <w:szCs w:val="24"/>
          <w:lang w:val="en-US" w:eastAsia="zh-CN"/>
        </w:rPr>
        <w:t xml:space="preserve">供应商</w:t>
      </w:r>
      <w:r>
        <w:rPr>
          <w:rFonts w:hint="eastAsia" w:ascii="宋体" w:hAnsi="宋体" w:eastAsia="宋体" w:cs="宋体"/>
          <w:bCs/>
          <w:color w:val="000000"/>
          <w:sz w:val="24"/>
          <w:szCs w:val="24"/>
          <w:lang w:eastAsia="zh-CN"/>
        </w:rPr>
        <w:t xml:space="preserve">分别签订采购合同，明确采购标的、数量、质量、交货期、售后服务及违约责任等。</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（二）项目建设遵循标准</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遵循国家、行业及地方现行的规范和标准。</w:t>
      </w:r>
      <w:r/>
    </w:p>
    <w:p>
      <w:pPr>
        <w:ind w:right="0" w:firstLine="420"/>
        <w:keepLines w:val="0"/>
        <w:keepNext w:val="0"/>
        <w:pageBreakBefore w:val="0"/>
        <w:spacing w:line="240"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p>
      <w:pPr>
        <w:pStyle w:val="1002"/>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t xml:space="preserve">采购包1  3.0T磁共振成像系统</w:t>
      </w:r>
      <w:r/>
    </w:p>
    <w:tbl>
      <w:tblPr>
        <w:tblStyle w:val="986"/>
        <w:tblW w:w="10238" w:type="dxa"/>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33"/>
        <w:gridCol w:w="2033"/>
        <w:gridCol w:w="329"/>
        <w:gridCol w:w="329"/>
        <w:gridCol w:w="963"/>
        <w:gridCol w:w="1065"/>
        <w:gridCol w:w="1504"/>
        <w:gridCol w:w="541"/>
        <w:gridCol w:w="1887"/>
        <w:gridCol w:w="1254"/>
      </w:tblGrid>
      <w:tr>
        <w:trPr>
          <w:jc w:val="center"/>
          <w:tblHeader/>
        </w:trPr>
        <w:tc>
          <w:tcPr>
            <w:tcW w:w="333" w:type="dxa"/>
            <w:vAlign w:val="center"/>
            <w:textDirection w:val="lrTb"/>
            <w:noWrap w:val="false"/>
          </w:tcPr>
          <w:p>
            <w:pPr>
              <w:pStyle w:val="702"/>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序号</w:t>
            </w:r>
            <w:r/>
          </w:p>
        </w:tc>
        <w:tc>
          <w:tcPr>
            <w:tcW w:w="2033" w:type="dxa"/>
            <w:vAlign w:val="center"/>
            <w:textDirection w:val="lrTb"/>
            <w:noWrap w:val="false"/>
          </w:tcPr>
          <w:p>
            <w:pPr>
              <w:pStyle w:val="702"/>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分项名称</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数量</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单位</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单价上限</w:t>
            </w:r>
            <w:r/>
          </w:p>
          <w:p>
            <w:pPr>
              <w:pStyle w:val="702"/>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（万元）</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产品类型</w:t>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hAnsi="宋体" w:eastAsia="宋体" w:cs="宋体"/>
                <w:b/>
                <w:bCs/>
                <w:color w:val="000000"/>
                <w:sz w:val="21"/>
                <w:lang w:val="en-US" w:eastAsia="zh-CN"/>
              </w:rPr>
              <w:t xml:space="preserve">中小企业划分标准</w:t>
            </w:r>
            <w:r>
              <w:rPr>
                <w:rFonts w:hint="eastAsia" w:ascii="宋体" w:hAnsi="宋体" w:eastAsia="宋体" w:cs="宋体"/>
                <w:b/>
                <w:bCs/>
                <w:color w:val="000000"/>
                <w:sz w:val="21"/>
              </w:rPr>
              <w:t xml:space="preserve">所属</w:t>
            </w:r>
            <w:r>
              <w:rPr>
                <w:rFonts w:hint="eastAsia" w:ascii="宋体" w:hAnsi="宋体" w:eastAsia="宋体" w:cs="宋体"/>
                <w:b/>
                <w:bCs/>
                <w:color w:val="000000"/>
                <w:sz w:val="21"/>
                <w:lang w:eastAsia="zh-CN"/>
              </w:rPr>
              <w:t xml:space="preserve">行业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属性</w:t>
            </w:r>
            <w:r/>
          </w:p>
        </w:tc>
        <w:tc>
          <w:tcPr>
            <w:tcW w:w="1887" w:type="dxa"/>
            <w:vAlign w:val="center"/>
            <w:textDirection w:val="lrTb"/>
            <w:noWrap w:val="false"/>
          </w:tcPr>
          <w:p>
            <w:pPr>
              <w:pStyle w:val="702"/>
              <w:numPr>
                <w:ilvl w:val="0"/>
                <w:numId w:val="0"/>
              </w:numPr>
              <w:ind w:left="0" w:right="0" w:firstLine="0"/>
              <w:jc w:val="center"/>
              <w:spacing w:line="240" w:lineRule="auto"/>
              <w:rPr>
                <w:rFonts w:hint="eastAsia" w:ascii="宋体" w:hAnsi="宋体" w:eastAsia="宋体" w:cs="Times New Roman"/>
                <w:b/>
                <w:bCs/>
                <w:color w:val="000000"/>
                <w:sz w:val="21"/>
              </w:rPr>
            </w:pPr>
            <w:r>
              <w:rPr>
                <w:rFonts w:hint="eastAsia" w:ascii="宋体" w:hAnsi="宋体" w:eastAsia="宋体" w:cs="Times New Roman"/>
                <w:b/>
                <w:bCs/>
                <w:color w:val="000000"/>
                <w:sz w:val="21"/>
              </w:rPr>
              <w:t xml:space="preserve">政府强制采购节能产品</w:t>
            </w:r>
            <w:r/>
          </w:p>
          <w:p>
            <w:pPr>
              <w:pStyle w:val="702"/>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hAnsi="宋体" w:eastAsia="宋体" w:cs="Times New Roman"/>
                <w:b/>
                <w:bCs/>
                <w:color w:val="000000"/>
                <w:sz w:val="21"/>
                <w:lang w:eastAsia="zh-CN"/>
              </w:rPr>
              <w:t xml:space="preserve">（</w:t>
            </w:r>
            <w:r>
              <w:rPr>
                <w:rFonts w:hint="eastAsia" w:ascii="宋体" w:hAnsi="宋体" w:eastAsia="宋体" w:cs="Times New Roman"/>
                <w:b/>
                <w:bCs/>
                <w:color w:val="000000"/>
                <w:sz w:val="21"/>
                <w:lang w:val="en-US" w:eastAsia="zh-CN"/>
              </w:rPr>
              <w:t xml:space="preserve">如有</w:t>
            </w:r>
            <w:r>
              <w:rPr>
                <w:rFonts w:hint="eastAsia" w:ascii="宋体" w:hAnsi="宋体" w:eastAsia="宋体" w:cs="Times New Roman"/>
                <w:b/>
                <w:bCs/>
                <w:color w:val="000000"/>
                <w:sz w:val="21"/>
                <w:lang w:eastAsia="zh-CN"/>
              </w:rPr>
              <w:t xml:space="preserve">）</w:t>
            </w:r>
            <w:r/>
          </w:p>
        </w:tc>
        <w:tc>
          <w:tcPr>
            <w:tcW w:w="1254" w:type="dxa"/>
            <w:vAlign w:val="center"/>
            <w:textDirection w:val="lrTb"/>
            <w:noWrap w:val="false"/>
          </w:tcPr>
          <w:p>
            <w:pPr>
              <w:pStyle w:val="702"/>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医院名称</w:t>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3.0T磁共振设备</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1550</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核心产品</w:t>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restart"/>
            <w:textDirection w:val="lrTb"/>
            <w:noWrap w:val="false"/>
          </w:tcPr>
          <w:p>
            <w:pPr>
              <w:pStyle w:val="702"/>
              <w:numPr>
                <w:ilvl w:val="0"/>
                <w:numId w:val="0"/>
              </w:numPr>
              <w:ind w:left="0" w:right="0" w:firstLine="0"/>
              <w:jc w:val="center"/>
              <w:spacing w:line="240" w:lineRule="auto"/>
              <w:rPr>
                <w:color w:val="000000"/>
                <w:lang w:val="en-US" w:eastAsia="zh-CN"/>
              </w:rPr>
            </w:pPr>
            <w:r>
              <w:rPr>
                <w:rFonts w:hint="eastAsia"/>
                <w:color w:val="000000"/>
                <w:lang w:val="en-US" w:eastAsia="zh-CN"/>
              </w:rPr>
              <w:t xml:space="preserve">/</w:t>
            </w:r>
            <w:r/>
          </w:p>
        </w:tc>
        <w:tc>
          <w:tcPr>
            <w:tcW w:w="1254" w:type="dxa"/>
            <w:vAlign w:val="center"/>
            <w:vMerge w:val="restart"/>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南京鼓楼医院本部院区</w:t>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精密空调</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9</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3</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水冷机组</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12</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4</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无磁监视系统</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5</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无磁升降转运床</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张</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6</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6</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无磁转运椅</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部</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3.5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7</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无磁灭火器</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8</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无磁降噪耳机</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0.2</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9</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3.0T专用磁兼容监护</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50</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10</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无磁移动输液架</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0.2</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11</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无磁护理车</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0.6</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12</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磁共振专用双立柱智能铁磁探测系统</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套</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13</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无磁信息化双筒高压注射器</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14</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线圈柜</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15</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机房装修屏蔽</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项</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45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16</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第三方检测</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项</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17</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3.0T磁共振设备</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1550</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核心产品</w:t>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restart"/>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南京鼓楼医院江北院区</w:t>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18</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精密空调</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9</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19</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水冷机组</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12</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20</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无磁监视系统</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21</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无磁升降转运床</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张</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6</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22</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无磁转运椅</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部</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3.5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23</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无磁灭火器</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24</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无磁降噪耳机</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0.2</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25</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3.0T专用磁兼容监护</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50</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26</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无磁移动输液架</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0.2</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27</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无磁护理车</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0.6</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28</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磁共振专用双立柱智能铁磁探测系统</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套</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29</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无磁信息化双筒高压注射器</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30</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线圈柜</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31</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机房装修屏蔽</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项</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45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32</w:t>
            </w:r>
            <w:r/>
          </w:p>
        </w:tc>
        <w:tc>
          <w:tcPr>
            <w:tcW w:w="2033" w:type="dxa"/>
            <w:vAlign w:val="center"/>
            <w:textDirection w:val="lrTb"/>
            <w:noWrap w:val="false"/>
          </w:tcPr>
          <w:p>
            <w:pPr>
              <w:pStyle w:val="702"/>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第三方检测</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项</w:t>
            </w:r>
            <w:r/>
          </w:p>
        </w:tc>
        <w:tc>
          <w:tcPr>
            <w:tcW w:w="963"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1.5</w:t>
            </w:r>
            <w:r/>
          </w:p>
        </w:tc>
        <w:tc>
          <w:tcPr>
            <w:tcW w:w="1065"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02"/>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bl>
    <w:p>
      <w:pPr>
        <w:ind w:firstLine="0"/>
        <w:rPr>
          <w:rFonts w:hint="eastAsia" w:ascii="宋体" w:hAnsi="宋体" w:eastAsia="宋体"/>
          <w:bCs/>
          <w:color w:val="000000"/>
          <w:position w:val="-10"/>
          <w:szCs w:val="20"/>
          <w:lang w:eastAsia="zh-CN"/>
        </w:rPr>
      </w:pPr>
      <w:r>
        <w:rPr>
          <w:rFonts w:hint="eastAsia" w:ascii="宋体" w:hAnsi="宋体" w:eastAsia="宋体"/>
          <w:bCs/>
          <w:color w:val="000000"/>
          <w:position w:val="-10"/>
          <w:szCs w:val="20"/>
          <w:lang w:eastAsia="zh-CN"/>
        </w:rPr>
      </w:r>
      <w:r/>
    </w:p>
    <w:p>
      <w:pPr>
        <w:ind w:firstLine="420"/>
        <w:rPr>
          <w:rFonts w:ascii="宋体" w:hAnsi="宋体" w:eastAsia="宋体"/>
          <w:bCs/>
          <w:color w:val="000000"/>
          <w:position w:val="-10"/>
          <w:szCs w:val="20"/>
          <w:lang w:eastAsia="zh-CN"/>
        </w:rPr>
      </w:pPr>
      <w:r>
        <w:rPr>
          <w:rFonts w:hint="eastAsia" w:ascii="宋体" w:hAnsi="宋体" w:eastAsia="宋体"/>
          <w:bCs/>
          <w:color w:val="000000"/>
          <w:position w:val="-10"/>
          <w:szCs w:val="20"/>
          <w:lang w:eastAsia="zh-CN"/>
        </w:rPr>
        <w:t xml:space="preserve">1、投标产品中 “</w:t>
      </w:r>
      <w:r>
        <w:rPr>
          <w:rFonts w:hint="eastAsia" w:ascii="宋体" w:hAnsi="宋体" w:eastAsia="宋体"/>
          <w:bCs/>
          <w:color w:val="000000"/>
          <w:position w:val="-10"/>
          <w:szCs w:val="20"/>
          <w:lang w:val="en-US" w:eastAsia="zh-CN"/>
        </w:rPr>
        <w:t xml:space="preserve">3.0T磁共振设备</w:t>
      </w:r>
      <w:r>
        <w:rPr>
          <w:rFonts w:hint="eastAsia" w:ascii="宋体" w:hAnsi="宋体" w:eastAsia="宋体"/>
          <w:bCs/>
          <w:color w:val="000000"/>
          <w:position w:val="-10"/>
          <w:szCs w:val="20"/>
          <w:lang w:eastAsia="zh-CN"/>
        </w:rPr>
        <w:t xml:space="preserve">”必须为同一品牌同一型号</w:t>
      </w:r>
      <w:r/>
    </w:p>
    <w:p>
      <w:pPr>
        <w:ind w:firstLine="367"/>
        <w:widowControl w:val="off"/>
        <w:rPr>
          <w:rFonts w:ascii="宋体" w:hAnsi="宋体" w:eastAsia="宋体"/>
          <w:bCs/>
          <w:color w:val="000000"/>
          <w:position w:val="-10"/>
          <w:szCs w:val="20"/>
          <w:lang w:eastAsia="zh-CN"/>
        </w:rPr>
        <w:outlineLvl w:val="1"/>
      </w:pPr>
      <w:r>
        <w:rPr>
          <w:rFonts w:hint="eastAsia" w:ascii="宋体" w:hAnsi="宋体" w:eastAsia="宋体"/>
          <w:bCs/>
          <w:color w:val="000000"/>
          <w:position w:val="-10"/>
          <w:szCs w:val="20"/>
          <w:lang w:eastAsia="zh-CN"/>
        </w:rPr>
        <w:t xml:space="preserve">2、以上项目为一个包，不接受投标产品缺漏</w:t>
      </w:r>
      <w:r/>
    </w:p>
    <w:p>
      <w:pPr>
        <w:ind w:firstLine="367"/>
        <w:widowControl w:val="off"/>
        <w:rPr>
          <w:rFonts w:ascii="宋体" w:hAnsi="宋体" w:eastAsia="宋体"/>
          <w:bCs/>
          <w:color w:val="000000"/>
          <w:position w:val="-10"/>
          <w:szCs w:val="20"/>
          <w:lang w:eastAsia="zh-CN"/>
        </w:rPr>
        <w:outlineLvl w:val="1"/>
      </w:pPr>
      <w:r>
        <w:rPr>
          <w:rFonts w:hint="eastAsia" w:ascii="宋体" w:hAnsi="宋体" w:eastAsia="宋体"/>
          <w:bCs/>
          <w:color w:val="000000"/>
          <w:position w:val="-10"/>
          <w:szCs w:val="20"/>
          <w:lang w:eastAsia="zh-CN"/>
        </w:rPr>
        <w:t xml:space="preserve">3、投标产品各项单价不得超过上述规定的单价最高限价</w:t>
      </w:r>
      <w:r/>
    </w:p>
    <w:p>
      <w:pPr>
        <w:ind w:firstLine="367"/>
        <w:widowControl w:val="off"/>
        <w:rPr>
          <w:rFonts w:hint="eastAsia" w:ascii="宋体" w:hAnsi="宋体" w:eastAsia="宋体"/>
          <w:bCs/>
          <w:color w:val="000000"/>
          <w:position w:val="-10"/>
          <w:szCs w:val="20"/>
          <w:lang w:eastAsia="zh-CN"/>
        </w:rPr>
        <w:outlineLvl w:val="1"/>
      </w:pPr>
      <w:r>
        <w:rPr>
          <w:rFonts w:hint="eastAsia" w:ascii="宋体" w:hAnsi="宋体" w:eastAsia="宋体"/>
          <w:bCs/>
          <w:color w:val="000000"/>
          <w:position w:val="-10"/>
          <w:szCs w:val="20"/>
          <w:lang w:eastAsia="zh-CN"/>
        </w:rPr>
        <w:t xml:space="preserve">4、需在“报价明细表（分项报价表）2” ，注明投标产品品牌、型号、制造商、分项价格等信息</w:t>
      </w:r>
      <w:r/>
    </w:p>
    <w:p>
      <w:pPr>
        <w:pStyle w:val="1002"/>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r>
      <w:r/>
    </w:p>
    <w:p>
      <w:pPr>
        <w:pStyle w:val="1002"/>
        <w:rPr>
          <w:rFonts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t xml:space="preserve">采购包2  3.0T磁共振成像系统</w:t>
      </w:r>
      <w:r/>
    </w:p>
    <w:tbl>
      <w:tblPr>
        <w:tblStyle w:val="986"/>
        <w:tblW w:w="10218" w:type="dxa"/>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50"/>
        <w:gridCol w:w="2300"/>
        <w:gridCol w:w="346"/>
        <w:gridCol w:w="346"/>
        <w:gridCol w:w="1003"/>
        <w:gridCol w:w="1003"/>
        <w:gridCol w:w="1509"/>
        <w:gridCol w:w="561"/>
        <w:gridCol w:w="1834"/>
        <w:gridCol w:w="966"/>
      </w:tblGrid>
      <w:tr>
        <w:trPr>
          <w:jc w:val="center"/>
          <w:tblHead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000000"/>
                <w:sz w:val="22"/>
                <w:szCs w:val="22"/>
              </w:rPr>
            </w:pPr>
            <w:r>
              <w:rPr>
                <w:rFonts w:hint="eastAsia" w:ascii="宋体" w:hAnsi="宋体" w:eastAsia="宋体" w:cs="宋体"/>
                <w:b/>
                <w:bCs/>
                <w:color w:val="000000"/>
                <w:sz w:val="22"/>
                <w:szCs w:val="22"/>
                <w:lang w:val="en-US" w:eastAsia="zh-CN"/>
              </w:rPr>
              <w:t xml:space="preserve">序号</w:t>
            </w:r>
            <w:r/>
          </w:p>
        </w:tc>
        <w:tc>
          <w:tcPr>
            <w:tcW w:w="23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lang w:val="en-US" w:eastAsia="zh-CN"/>
              </w:rPr>
              <w:t xml:space="preserve">分项</w:t>
            </w:r>
            <w:r>
              <w:rPr>
                <w:rFonts w:hint="eastAsia" w:ascii="宋体" w:hAnsi="宋体" w:eastAsia="宋体" w:cs="宋体"/>
                <w:b/>
                <w:bCs/>
                <w:color w:val="000000"/>
                <w:sz w:val="22"/>
                <w:szCs w:val="22"/>
              </w:rPr>
              <w:t xml:space="preserve">名称</w:t>
            </w:r>
            <w:r/>
          </w:p>
        </w:tc>
        <w:tc>
          <w:tcPr>
            <w:tcW w:w="34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tcW w:w="34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c>
          <w:tcPr>
            <w:tcW w:w="10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lang w:eastAsia="zh-CN"/>
              </w:rPr>
            </w:pPr>
            <w:r>
              <w:rPr>
                <w:rFonts w:hint="eastAsia" w:ascii="宋体" w:hAnsi="宋体" w:eastAsia="宋体" w:cs="宋体"/>
                <w:b/>
                <w:bCs/>
                <w:color w:val="000000"/>
                <w:sz w:val="22"/>
                <w:szCs w:val="22"/>
                <w:lang w:eastAsia="zh-CN"/>
              </w:rPr>
              <w:t xml:space="preserve">单价上限</w:t>
            </w:r>
            <w:r/>
          </w:p>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lang w:val="en-US" w:eastAsia="zh-CN"/>
              </w:rPr>
              <w:t xml:space="preserve">万元</w:t>
            </w:r>
            <w:r>
              <w:rPr>
                <w:rFonts w:hint="eastAsia" w:ascii="宋体" w:hAnsi="宋体" w:eastAsia="宋体" w:cs="宋体"/>
                <w:b/>
                <w:bCs/>
                <w:color w:val="000000"/>
                <w:sz w:val="22"/>
                <w:szCs w:val="22"/>
                <w:lang w:eastAsia="zh-CN"/>
              </w:rPr>
              <w:t xml:space="preserve">）</w:t>
            </w:r>
            <w:r/>
          </w:p>
        </w:tc>
        <w:tc>
          <w:tcPr>
            <w:tcW w:w="10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产品类型</w:t>
            </w:r>
            <w:r/>
          </w:p>
        </w:tc>
        <w:tc>
          <w:tcPr>
            <w:tcW w:w="15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lang w:val="en-US" w:eastAsia="zh-CN"/>
              </w:rPr>
              <w:t xml:space="preserve">中小企业划分标准</w:t>
            </w:r>
            <w:r>
              <w:rPr>
                <w:rFonts w:hint="eastAsia" w:ascii="宋体" w:hAnsi="宋体" w:eastAsia="宋体" w:cs="宋体"/>
                <w:b/>
                <w:bCs/>
                <w:color w:val="000000"/>
                <w:sz w:val="22"/>
              </w:rPr>
              <w:t xml:space="preserve">所属</w:t>
            </w:r>
            <w:r>
              <w:rPr>
                <w:rFonts w:hint="eastAsia" w:ascii="宋体" w:hAnsi="宋体" w:eastAsia="宋体" w:cs="宋体"/>
                <w:b/>
                <w:bCs/>
                <w:color w:val="000000"/>
                <w:sz w:val="22"/>
                <w:lang w:eastAsia="zh-CN"/>
              </w:rPr>
              <w:t xml:space="preserve">行业</w:t>
            </w:r>
            <w:r/>
          </w:p>
        </w:tc>
        <w:tc>
          <w:tcPr>
            <w:tcW w:w="56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属性</w:t>
            </w:r>
            <w:r/>
          </w:p>
        </w:tc>
        <w:tc>
          <w:tcPr>
            <w:tcW w:w="1834" w:type="dxa"/>
            <w:vAlign w:val="center"/>
            <w:textDirection w:val="lrTb"/>
            <w:noWrap w:val="false"/>
          </w:tcPr>
          <w:p>
            <w:pPr>
              <w:pStyle w:val="702"/>
              <w:numPr>
                <w:ilvl w:val="0"/>
                <w:numId w:val="0"/>
              </w:numPr>
              <w:ind w:left="0" w:right="0" w:firstLine="0"/>
              <w:jc w:val="center"/>
              <w:spacing w:line="240" w:lineRule="auto"/>
              <w:rPr>
                <w:rFonts w:hint="eastAsia" w:ascii="宋体" w:hAnsi="宋体" w:eastAsia="宋体" w:cs="Times New Roman"/>
                <w:b/>
                <w:bCs/>
                <w:color w:val="000000"/>
                <w:sz w:val="22"/>
              </w:rPr>
            </w:pPr>
            <w:r>
              <w:rPr>
                <w:rFonts w:hint="eastAsia" w:ascii="宋体" w:hAnsi="宋体" w:eastAsia="宋体" w:cs="Times New Roman"/>
                <w:b/>
                <w:bCs/>
                <w:color w:val="000000"/>
                <w:sz w:val="22"/>
              </w:rPr>
              <w:t xml:space="preserve">政府强制采购节能产品</w:t>
            </w:r>
            <w:r/>
          </w:p>
          <w:p>
            <w:pPr>
              <w:pStyle w:val="702"/>
              <w:numPr>
                <w:ilvl w:val="0"/>
                <w:numId w:val="0"/>
              </w:numPr>
              <w:ind w:left="0" w:right="0" w:firstLine="0"/>
              <w:jc w:val="center"/>
              <w:spacing w:line="240" w:lineRule="auto"/>
              <w:rPr>
                <w:rFonts w:hint="eastAsia" w:ascii="宋体" w:hAnsi="宋体" w:eastAsia="宋体" w:cs="Times New Roman"/>
                <w:b/>
                <w:bCs/>
                <w:color w:val="000000"/>
                <w:sz w:val="22"/>
                <w:szCs w:val="22"/>
                <w:lang w:val="en-US" w:eastAsia="zh-CN"/>
              </w:rPr>
            </w:pPr>
            <w:r>
              <w:rPr>
                <w:rFonts w:hint="eastAsia" w:ascii="宋体" w:hAnsi="宋体" w:eastAsia="宋体" w:cs="Times New Roman"/>
                <w:b/>
                <w:bCs/>
                <w:color w:val="000000"/>
                <w:sz w:val="22"/>
                <w:lang w:eastAsia="zh-CN"/>
              </w:rPr>
              <w:t xml:space="preserve">（</w:t>
            </w:r>
            <w:r>
              <w:rPr>
                <w:rFonts w:hint="eastAsia" w:ascii="宋体" w:hAnsi="宋体" w:eastAsia="宋体" w:cs="Times New Roman"/>
                <w:b/>
                <w:bCs/>
                <w:color w:val="000000"/>
                <w:sz w:val="22"/>
                <w:lang w:val="en-US" w:eastAsia="zh-CN"/>
              </w:rPr>
              <w:t xml:space="preserve">如有</w:t>
            </w:r>
            <w:r>
              <w:rPr>
                <w:rFonts w:hint="eastAsia" w:ascii="宋体" w:hAnsi="宋体" w:eastAsia="宋体" w:cs="Times New Roman"/>
                <w:b/>
                <w:bCs/>
                <w:color w:val="000000"/>
                <w:sz w:val="22"/>
                <w:lang w:eastAsia="zh-CN"/>
              </w:rPr>
              <w:t xml:space="preserve">）</w:t>
            </w:r>
            <w:r/>
          </w:p>
        </w:tc>
        <w:tc>
          <w:tcPr>
            <w:tcW w:w="966"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Times New Roman"/>
                <w:b/>
                <w:bCs/>
                <w:color w:val="000000"/>
                <w:sz w:val="22"/>
                <w:szCs w:val="22"/>
              </w:rPr>
            </w:pPr>
            <w:r>
              <w:rPr>
                <w:rFonts w:hint="eastAsia" w:ascii="宋体" w:hAnsi="宋体" w:eastAsia="宋体" w:cs="Times New Roman"/>
                <w:b/>
                <w:bCs/>
                <w:color w:val="000000"/>
                <w:sz w:val="22"/>
                <w:szCs w:val="22"/>
                <w:lang w:val="en-US" w:eastAsia="zh-CN"/>
              </w:rPr>
              <w:t xml:space="preserve">医院名称</w:t>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1"/>
                <w:szCs w:val="22"/>
                <w:u w:val="single"/>
              </w:rPr>
            </w:pPr>
            <w:r>
              <w:rPr>
                <w:rFonts w:hint="eastAsia" w:ascii="宋体" w:hAnsi="宋体" w:eastAsia="宋体" w:cs="宋体"/>
                <w:bCs/>
                <w:color w:val="000000"/>
                <w:sz w:val="21"/>
                <w:szCs w:val="22"/>
                <w:u w:val="single"/>
              </w:rPr>
              <w:t xml:space="preserve">1</w:t>
            </w:r>
            <w:r/>
          </w:p>
        </w:tc>
        <w:tc>
          <w:tcPr>
            <w:tcW w:w="2300" w:type="dxa"/>
            <w:vAlign w:val="center"/>
            <w:textDirection w:val="lrTb"/>
            <w:noWrap w:val="false"/>
          </w:tcPr>
          <w:p>
            <w:pPr>
              <w:ind w:left="0" w:right="0" w:firstLine="0"/>
              <w:jc w:val="left"/>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3.0T磁共振设备</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台</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1550</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none"/>
                <w:lang w:val="en-US" w:eastAsia="zh-CN"/>
              </w:rPr>
              <w:t xml:space="preserve">核心产品</w:t>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restart"/>
            <w:textDirection w:val="lrTb"/>
            <w:noWrap w:val="false"/>
          </w:tcPr>
          <w:p>
            <w:pPr>
              <w:ind w:left="0" w:right="0" w:firstLine="0"/>
              <w:jc w:val="center"/>
              <w:keepLines w:val="0"/>
              <w:keepNext w:val="0"/>
              <w:widowControl/>
              <w:rPr>
                <w:rFonts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w:t>
            </w:r>
            <w:r/>
          </w:p>
        </w:tc>
        <w:tc>
          <w:tcPr>
            <w:tcW w:w="966" w:type="dxa"/>
            <w:vAlign w:val="center"/>
            <w:vMerge w:val="restart"/>
            <w:textDirection w:val="lrTb"/>
            <w:noWrap w:val="false"/>
          </w:tcPr>
          <w:p>
            <w:pPr>
              <w:ind w:left="0" w:right="0" w:firstLine="0"/>
              <w:jc w:val="center"/>
              <w:keepLines w:val="0"/>
              <w:keepNext w:val="0"/>
              <w:widowControl/>
              <w:rPr>
                <w:rFonts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南京市第一医院</w:t>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1"/>
                <w:szCs w:val="22"/>
                <w:u w:val="single"/>
                <w:lang w:val="en-US" w:eastAsia="zh-CN"/>
              </w:rPr>
            </w:pPr>
            <w:r>
              <w:rPr>
                <w:rFonts w:hint="eastAsia" w:ascii="宋体" w:hAnsi="宋体" w:eastAsia="宋体" w:cs="宋体"/>
                <w:bCs/>
                <w:color w:val="000000"/>
                <w:sz w:val="21"/>
                <w:szCs w:val="22"/>
                <w:u w:val="single"/>
                <w:lang w:val="en-US" w:eastAsia="zh-CN"/>
              </w:rPr>
              <w:t xml:space="preserve">2</w:t>
            </w:r>
            <w:r/>
          </w:p>
        </w:tc>
        <w:tc>
          <w:tcPr>
            <w:tcW w:w="2300" w:type="dxa"/>
            <w:vAlign w:val="center"/>
            <w:textDirection w:val="lrTb"/>
            <w:noWrap w:val="false"/>
          </w:tcPr>
          <w:p>
            <w:pPr>
              <w:ind w:left="0" w:right="0" w:firstLine="0"/>
              <w:jc w:val="left"/>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无磁信息化双筒高压注射器（MR专用）</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2</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台</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25</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szCs w:val="22"/>
                <w:u w:val="single"/>
                <w:lang w:val="en-US" w:eastAsia="zh-CN"/>
              </w:rPr>
              <w:t xml:space="preserve">3</w:t>
            </w:r>
            <w:r/>
          </w:p>
        </w:tc>
        <w:tc>
          <w:tcPr>
            <w:tcW w:w="2300" w:type="dxa"/>
            <w:vAlign w:val="center"/>
            <w:textDirection w:val="lrTb"/>
            <w:noWrap w:val="false"/>
          </w:tcPr>
          <w:p>
            <w:pPr>
              <w:ind w:left="0" w:right="0" w:firstLine="0"/>
              <w:jc w:val="left"/>
              <w:keepLines w:val="0"/>
              <w:keepNext w:val="0"/>
              <w:widowControl/>
              <w:rPr>
                <w:rFonts w:hint="eastAsia"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信息化双筒高压注射器（CT专用）</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2</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台</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25</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szCs w:val="22"/>
                <w:u w:val="single"/>
                <w:lang w:val="en-US" w:eastAsia="zh-CN"/>
              </w:rPr>
              <w:t xml:space="preserve">4</w:t>
            </w:r>
            <w:r/>
          </w:p>
        </w:tc>
        <w:tc>
          <w:tcPr>
            <w:tcW w:w="2300" w:type="dxa"/>
            <w:vAlign w:val="center"/>
            <w:textDirection w:val="lrTb"/>
            <w:noWrap w:val="false"/>
          </w:tcPr>
          <w:p>
            <w:pPr>
              <w:ind w:left="0" w:right="0" w:firstLine="0"/>
              <w:jc w:val="left"/>
              <w:keepLines w:val="0"/>
              <w:keepNext w:val="0"/>
              <w:widowControl/>
              <w:rPr>
                <w:rFonts w:hint="eastAsia"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无磁监视系统</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台</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0.4</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szCs w:val="22"/>
                <w:u w:val="single"/>
                <w:lang w:val="en-US" w:eastAsia="zh-CN"/>
              </w:rPr>
              <w:t xml:space="preserve">5</w:t>
            </w:r>
            <w:r/>
          </w:p>
        </w:tc>
        <w:tc>
          <w:tcPr>
            <w:tcW w:w="2300" w:type="dxa"/>
            <w:vAlign w:val="center"/>
            <w:textDirection w:val="lrTb"/>
            <w:noWrap w:val="false"/>
          </w:tcPr>
          <w:p>
            <w:pPr>
              <w:ind w:left="0" w:right="0" w:firstLine="0"/>
              <w:jc w:val="left"/>
              <w:keepLines w:val="0"/>
              <w:keepNext w:val="0"/>
              <w:widowControl/>
              <w:rPr>
                <w:rFonts w:hint="eastAsia"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无磁升降转运床</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张</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6</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szCs w:val="22"/>
                <w:u w:val="single"/>
                <w:lang w:val="en-US" w:eastAsia="zh-CN"/>
              </w:rPr>
              <w:t xml:space="preserve">6</w:t>
            </w:r>
            <w:r/>
          </w:p>
        </w:tc>
        <w:tc>
          <w:tcPr>
            <w:tcW w:w="2300" w:type="dxa"/>
            <w:vAlign w:val="center"/>
            <w:textDirection w:val="lrTb"/>
            <w:noWrap w:val="false"/>
          </w:tcPr>
          <w:p>
            <w:pPr>
              <w:ind w:left="0" w:right="0" w:firstLine="0"/>
              <w:jc w:val="left"/>
              <w:keepLines w:val="0"/>
              <w:keepNext w:val="0"/>
              <w:widowControl/>
              <w:rPr>
                <w:rFonts w:hint="eastAsia"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无磁转运椅</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部</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3.3</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szCs w:val="22"/>
                <w:u w:val="single"/>
                <w:lang w:val="en-US" w:eastAsia="zh-CN"/>
              </w:rPr>
              <w:t xml:space="preserve">7</w:t>
            </w:r>
            <w:r/>
          </w:p>
        </w:tc>
        <w:tc>
          <w:tcPr>
            <w:tcW w:w="2300" w:type="dxa"/>
            <w:vAlign w:val="center"/>
            <w:textDirection w:val="lrTb"/>
            <w:noWrap w:val="false"/>
          </w:tcPr>
          <w:p>
            <w:pPr>
              <w:ind w:left="0" w:right="0" w:firstLine="0"/>
              <w:jc w:val="left"/>
              <w:keepLines w:val="0"/>
              <w:keepNext w:val="0"/>
              <w:widowControl/>
              <w:rPr>
                <w:rFonts w:hint="eastAsia"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无磁灭火器</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个</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1</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szCs w:val="22"/>
                <w:u w:val="single"/>
                <w:lang w:val="en-US" w:eastAsia="zh-CN"/>
              </w:rPr>
              <w:t xml:space="preserve">8</w:t>
            </w:r>
            <w:r/>
          </w:p>
        </w:tc>
        <w:tc>
          <w:tcPr>
            <w:tcW w:w="2300" w:type="dxa"/>
            <w:vAlign w:val="center"/>
            <w:textDirection w:val="lrTb"/>
            <w:noWrap w:val="false"/>
          </w:tcPr>
          <w:p>
            <w:pPr>
              <w:ind w:left="0" w:right="0" w:firstLine="0"/>
              <w:jc w:val="left"/>
              <w:keepLines w:val="0"/>
              <w:keepNext w:val="0"/>
              <w:widowControl/>
              <w:rPr>
                <w:rFonts w:hint="eastAsia"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磁共振专用双立柱智能铁磁探测系统</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套</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25</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szCs w:val="22"/>
                <w:u w:val="single"/>
                <w:lang w:val="en-US" w:eastAsia="zh-CN"/>
              </w:rPr>
              <w:t xml:space="preserve">9</w:t>
            </w:r>
            <w:r/>
          </w:p>
        </w:tc>
        <w:tc>
          <w:tcPr>
            <w:tcW w:w="2300" w:type="dxa"/>
            <w:vAlign w:val="center"/>
            <w:textDirection w:val="lrTb"/>
            <w:noWrap w:val="false"/>
          </w:tcPr>
          <w:p>
            <w:pPr>
              <w:ind w:left="0" w:right="0" w:firstLine="0"/>
              <w:jc w:val="left"/>
              <w:keepLines w:val="0"/>
              <w:keepNext w:val="0"/>
              <w:widowControl/>
              <w:rPr>
                <w:rFonts w:hint="eastAsia" w:ascii="宋体" w:hAnsi="宋体" w:eastAsia="宋体" w:cs="Times New Roman"/>
                <w:bCs/>
                <w:color w:val="000000"/>
                <w:position w:val="-10"/>
                <w:sz w:val="21"/>
                <w:szCs w:val="20"/>
                <w:lang w:val="en-US" w:eastAsia="zh-CN"/>
              </w:rPr>
              <w:suppressLineNumbers w:val="0"/>
            </w:pPr>
            <w:r>
              <w:rPr>
                <w:rFonts w:ascii="宋体" w:hAnsi="宋体" w:eastAsia="宋体" w:cs="Times New Roman"/>
                <w:bCs/>
                <w:color w:val="000000"/>
                <w:position w:val="-10"/>
                <w:sz w:val="21"/>
                <w:szCs w:val="20"/>
                <w:lang w:val="en-US" w:eastAsia="zh-CN"/>
              </w:rPr>
              <w:t xml:space="preserve">医用显示器</w:t>
            </w:r>
            <w:r>
              <w:rPr>
                <w:rFonts w:hint="eastAsia" w:ascii="宋体" w:hAnsi="宋体" w:eastAsia="宋体" w:cs="Times New Roman"/>
                <w:bCs/>
                <w:color w:val="000000"/>
                <w:position w:val="-10"/>
                <w:sz w:val="21"/>
                <w:szCs w:val="20"/>
                <w:lang w:val="en-US" w:eastAsia="zh-CN"/>
              </w:rPr>
              <w:t xml:space="preserve">（</w:t>
            </w:r>
            <w:r>
              <w:rPr>
                <w:rFonts w:ascii="宋体" w:hAnsi="宋体" w:eastAsia="宋体" w:cs="Times New Roman"/>
                <w:bCs/>
                <w:color w:val="000000"/>
                <w:position w:val="-10"/>
                <w:sz w:val="21"/>
                <w:szCs w:val="20"/>
                <w:lang w:val="en-US" w:eastAsia="zh-CN"/>
              </w:rPr>
              <w:t xml:space="preserve">4M</w:t>
            </w:r>
            <w:r>
              <w:rPr>
                <w:rFonts w:hint="eastAsia" w:ascii="宋体" w:hAnsi="宋体" w:eastAsia="宋体" w:cs="Times New Roman"/>
                <w:bCs/>
                <w:color w:val="000000"/>
                <w:position w:val="-10"/>
                <w:sz w:val="21"/>
                <w:szCs w:val="20"/>
                <w:lang w:val="en-US" w:eastAsia="zh-CN"/>
              </w:rPr>
              <w:t xml:space="preserve">）</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6</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台</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1.5</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Cs/>
                <w:color w:val="000000"/>
                <w:sz w:val="21"/>
                <w:szCs w:val="22"/>
                <w:u w:val="single"/>
                <w:lang w:val="en-US" w:eastAsia="zh-CN" w:bidi="ar-SA"/>
              </w:rPr>
            </w:pPr>
            <w:r>
              <w:rPr>
                <w:rFonts w:hint="eastAsia" w:ascii="宋体" w:hAnsi="宋体" w:eastAsia="宋体" w:cs="宋体"/>
                <w:bCs/>
                <w:color w:val="000000"/>
                <w:sz w:val="21"/>
                <w:szCs w:val="22"/>
                <w:u w:val="single"/>
                <w:lang w:val="en-US" w:eastAsia="zh-CN"/>
              </w:rPr>
              <w:t xml:space="preserve">10</w:t>
            </w:r>
            <w:r/>
          </w:p>
        </w:tc>
        <w:tc>
          <w:tcPr>
            <w:tcW w:w="2300" w:type="dxa"/>
            <w:vAlign w:val="center"/>
            <w:textDirection w:val="lrTb"/>
            <w:noWrap w:val="false"/>
          </w:tcPr>
          <w:p>
            <w:pPr>
              <w:ind w:left="0" w:right="0" w:firstLine="0"/>
              <w:jc w:val="left"/>
              <w:keepLines w:val="0"/>
              <w:keepNext w:val="0"/>
              <w:widowControl/>
              <w:rPr>
                <w:rFonts w:hint="eastAsia" w:ascii="宋体" w:hAnsi="宋体" w:eastAsia="宋体" w:cs="Times New Roman"/>
                <w:bCs/>
                <w:color w:val="000000"/>
                <w:position w:val="-10"/>
                <w:sz w:val="21"/>
                <w:szCs w:val="20"/>
                <w:lang w:val="en-US" w:eastAsia="zh-CN"/>
              </w:rPr>
              <w:suppressLineNumbers w:val="0"/>
            </w:pPr>
            <w:r>
              <w:rPr>
                <w:rFonts w:ascii="宋体" w:hAnsi="宋体" w:eastAsia="宋体" w:cs="Times New Roman"/>
                <w:bCs/>
                <w:color w:val="000000"/>
                <w:position w:val="-10"/>
                <w:sz w:val="21"/>
                <w:szCs w:val="20"/>
                <w:lang w:val="en-US" w:eastAsia="zh-CN"/>
              </w:rPr>
              <w:t xml:space="preserve">医用显示器</w:t>
            </w:r>
            <w:r>
              <w:rPr>
                <w:rFonts w:hint="eastAsia" w:ascii="宋体" w:hAnsi="宋体" w:eastAsia="宋体" w:cs="Times New Roman"/>
                <w:bCs/>
                <w:color w:val="000000"/>
                <w:position w:val="-10"/>
                <w:sz w:val="21"/>
                <w:szCs w:val="20"/>
                <w:lang w:val="en-US" w:eastAsia="zh-CN"/>
              </w:rPr>
              <w:t xml:space="preserve">（6</w:t>
            </w:r>
            <w:r>
              <w:rPr>
                <w:rFonts w:ascii="宋体" w:hAnsi="宋体" w:eastAsia="宋体" w:cs="Times New Roman"/>
                <w:bCs/>
                <w:color w:val="000000"/>
                <w:position w:val="-10"/>
                <w:sz w:val="21"/>
                <w:szCs w:val="20"/>
                <w:lang w:val="en-US" w:eastAsia="zh-CN"/>
              </w:rPr>
              <w:t xml:space="preserve">M</w:t>
            </w:r>
            <w:r>
              <w:rPr>
                <w:rFonts w:hint="eastAsia" w:ascii="宋体" w:hAnsi="宋体" w:eastAsia="宋体" w:cs="Times New Roman"/>
                <w:bCs/>
                <w:color w:val="000000"/>
                <w:position w:val="-10"/>
                <w:sz w:val="21"/>
                <w:szCs w:val="20"/>
                <w:lang w:val="en-US" w:eastAsia="zh-CN"/>
              </w:rPr>
              <w:t xml:space="preserve">）</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4</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台</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4</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Cs/>
                <w:color w:val="000000"/>
                <w:sz w:val="21"/>
                <w:szCs w:val="22"/>
                <w:u w:val="single"/>
                <w:lang w:val="en-US" w:eastAsia="zh-CN" w:bidi="ar-SA"/>
              </w:rPr>
            </w:pPr>
            <w:r>
              <w:rPr>
                <w:rFonts w:hint="eastAsia" w:ascii="宋体" w:hAnsi="宋体" w:eastAsia="宋体" w:cs="宋体"/>
                <w:bCs/>
                <w:color w:val="000000"/>
                <w:sz w:val="21"/>
                <w:szCs w:val="22"/>
                <w:u w:val="single"/>
                <w:lang w:val="en-US" w:eastAsia="zh-CN"/>
              </w:rPr>
              <w:t xml:space="preserve">11</w:t>
            </w:r>
            <w:r/>
          </w:p>
        </w:tc>
        <w:tc>
          <w:tcPr>
            <w:tcW w:w="2300" w:type="dxa"/>
            <w:vAlign w:val="center"/>
            <w:textDirection w:val="lrTb"/>
            <w:noWrap w:val="false"/>
          </w:tcPr>
          <w:p>
            <w:pPr>
              <w:ind w:left="0" w:right="0" w:firstLine="0"/>
              <w:jc w:val="left"/>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数字晨会管理系统</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项</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60</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Cs/>
                <w:color w:val="000000"/>
                <w:sz w:val="21"/>
                <w:szCs w:val="22"/>
                <w:u w:val="single"/>
                <w:lang w:val="en-US" w:eastAsia="zh-CN" w:bidi="ar-SA"/>
              </w:rPr>
            </w:pPr>
            <w:r>
              <w:rPr>
                <w:rFonts w:hint="eastAsia" w:ascii="宋体" w:hAnsi="宋体" w:eastAsia="宋体" w:cs="宋体"/>
                <w:bCs/>
                <w:color w:val="000000"/>
                <w:sz w:val="21"/>
                <w:szCs w:val="22"/>
                <w:u w:val="single"/>
                <w:lang w:val="en-US" w:eastAsia="zh-CN"/>
              </w:rPr>
              <w:t xml:space="preserve">12</w:t>
            </w:r>
            <w:r/>
          </w:p>
        </w:tc>
        <w:tc>
          <w:tcPr>
            <w:tcW w:w="2300" w:type="dxa"/>
            <w:vAlign w:val="center"/>
            <w:textDirection w:val="lrTb"/>
            <w:noWrap w:val="false"/>
          </w:tcPr>
          <w:p>
            <w:pPr>
              <w:ind w:left="0" w:right="0" w:firstLine="0"/>
              <w:jc w:val="left"/>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线圈柜</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个</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0.5</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Cs/>
                <w:color w:val="000000"/>
                <w:sz w:val="21"/>
                <w:szCs w:val="22"/>
                <w:u w:val="single"/>
                <w:lang w:val="en-US" w:eastAsia="zh-CN" w:bidi="ar-SA"/>
              </w:rPr>
            </w:pPr>
            <w:r>
              <w:rPr>
                <w:rFonts w:hint="eastAsia" w:ascii="宋体" w:hAnsi="宋体" w:eastAsia="宋体" w:cs="宋体"/>
                <w:bCs/>
                <w:color w:val="000000"/>
                <w:sz w:val="21"/>
                <w:szCs w:val="22"/>
                <w:u w:val="single"/>
                <w:lang w:val="en-US" w:eastAsia="zh-CN"/>
              </w:rPr>
              <w:t xml:space="preserve">13</w:t>
            </w:r>
            <w:r/>
          </w:p>
        </w:tc>
        <w:tc>
          <w:tcPr>
            <w:tcW w:w="2300" w:type="dxa"/>
            <w:vAlign w:val="center"/>
            <w:textDirection w:val="lrTb"/>
            <w:noWrap w:val="false"/>
          </w:tcPr>
          <w:p>
            <w:pPr>
              <w:ind w:left="0" w:right="0" w:firstLine="0"/>
              <w:jc w:val="left"/>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大功率除湿器（MR专用）</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台</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rPr>
              <w:suppressLineNumbers w:val="0"/>
            </w:pPr>
            <w:r>
              <w:rPr>
                <w:rFonts w:hint="eastAsia" w:ascii="宋体" w:hAnsi="宋体" w:eastAsia="宋体" w:cs="Times New Roman"/>
                <w:bCs/>
                <w:color w:val="000000"/>
                <w:position w:val="-10"/>
                <w:sz w:val="21"/>
                <w:szCs w:val="20"/>
                <w:lang w:val="en-US" w:eastAsia="zh-CN"/>
              </w:rPr>
              <w:t xml:space="preserve">10</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shd w:val="clear" w:color="auto" w:fill="auto"/>
            <w:tcW w:w="350"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bCs/>
                <w:color w:val="000000"/>
                <w:sz w:val="21"/>
                <w:szCs w:val="22"/>
                <w:u w:val="single"/>
                <w:lang w:val="en-US" w:eastAsia="zh-CN" w:bidi="ar-SA"/>
              </w:rPr>
            </w:pPr>
            <w:r>
              <w:rPr>
                <w:rFonts w:hint="eastAsia" w:ascii="宋体" w:hAnsi="宋体" w:cs="宋体"/>
                <w:bCs/>
                <w:color w:val="000000"/>
                <w:sz w:val="21"/>
                <w:szCs w:val="22"/>
                <w:u w:val="single"/>
                <w:lang w:val="en-US" w:eastAsia="zh-CN"/>
              </w:rPr>
              <w:t xml:space="preserve">14</w:t>
            </w:r>
            <w:r/>
          </w:p>
        </w:tc>
        <w:tc>
          <w:tcPr>
            <w:shd w:val="clear" w:color="auto" w:fill="auto"/>
            <w:tcW w:w="2300" w:type="dxa"/>
            <w:vAlign w:val="center"/>
            <w:textDirection w:val="lrTb"/>
            <w:noWrap w:val="false"/>
          </w:tcPr>
          <w:p>
            <w:pPr>
              <w:ind w:left="0" w:right="0" w:firstLine="0"/>
              <w:jc w:val="left"/>
              <w:rPr>
                <w:rFonts w:hint="eastAsia" w:ascii="宋体" w:hAnsi="宋体" w:eastAsia="宋体" w:cs="Times New Roman"/>
                <w:color w:val="000000"/>
                <w:sz w:val="21"/>
                <w:szCs w:val="22"/>
                <w:lang w:val="en-US" w:eastAsia="zh-CN" w:bidi="ar-SA"/>
              </w:rPr>
            </w:pPr>
            <w:r>
              <w:rPr>
                <w:rFonts w:hint="eastAsia" w:ascii="宋体" w:hAnsi="宋体" w:eastAsia="宋体"/>
                <w:bCs/>
                <w:color w:val="000000"/>
                <w:position w:val="-10"/>
                <w:sz w:val="21"/>
                <w:szCs w:val="20"/>
                <w:lang w:val="en-US" w:eastAsia="zh-CN"/>
              </w:rPr>
              <w:t xml:space="preserve">精密空调</w:t>
            </w:r>
            <w:r/>
          </w:p>
        </w:tc>
        <w:tc>
          <w:tcPr>
            <w:shd w:val="clear" w:color="auto" w:fill="auto"/>
            <w:tcW w:w="346" w:type="dxa"/>
            <w:vAlign w:val="center"/>
            <w:textDirection w:val="lrTb"/>
            <w:noWrap w:val="false"/>
          </w:tcPr>
          <w:p>
            <w:pPr>
              <w:ind w:left="0" w:right="0" w:firstLine="0"/>
              <w:jc w:val="center"/>
              <w:rPr>
                <w:rFonts w:hint="eastAsia" w:ascii="宋体" w:hAnsi="宋体" w:eastAsia="宋体" w:cs="宋体"/>
                <w:bCs/>
                <w:color w:val="000000"/>
                <w:sz w:val="21"/>
                <w:szCs w:val="22"/>
                <w:u w:val="single"/>
                <w:lang w:val="en-US" w:eastAsia="zh-CN" w:bidi="ar-SA"/>
              </w:rPr>
            </w:pPr>
            <w:r>
              <w:rPr>
                <w:rFonts w:hint="eastAsia" w:ascii="宋体" w:hAnsi="宋体"/>
                <w:bCs/>
                <w:color w:val="000000"/>
                <w:position w:val="-10"/>
                <w:sz w:val="21"/>
                <w:szCs w:val="20"/>
                <w:lang w:val="en-US" w:eastAsia="zh-CN"/>
              </w:rPr>
              <w:t xml:space="preserve">1</w:t>
            </w:r>
            <w:r/>
          </w:p>
        </w:tc>
        <w:tc>
          <w:tcPr>
            <w:shd w:val="clear" w:color="auto" w:fill="auto"/>
            <w:tcW w:w="346" w:type="dxa"/>
            <w:vAlign w:val="center"/>
            <w:textDirection w:val="lrTb"/>
            <w:noWrap w:val="false"/>
          </w:tcPr>
          <w:p>
            <w:pPr>
              <w:ind w:left="0" w:right="0" w:firstLine="0"/>
              <w:jc w:val="center"/>
              <w:rPr>
                <w:rFonts w:hint="eastAsia" w:ascii="宋体" w:hAnsi="宋体" w:eastAsia="宋体" w:cs="宋体"/>
                <w:bCs/>
                <w:color w:val="000000"/>
                <w:sz w:val="21"/>
                <w:szCs w:val="22"/>
                <w:u w:val="single"/>
                <w:lang w:val="en-US" w:eastAsia="zh-CN" w:bidi="ar-SA"/>
              </w:rPr>
            </w:pPr>
            <w:r>
              <w:rPr>
                <w:rFonts w:hint="eastAsia" w:ascii="宋体" w:hAnsi="宋体" w:eastAsia="宋体"/>
                <w:bCs/>
                <w:color w:val="000000"/>
                <w:position w:val="-10"/>
                <w:sz w:val="21"/>
                <w:szCs w:val="20"/>
                <w:lang w:val="en-US" w:eastAsia="zh-CN"/>
              </w:rPr>
              <w:t xml:space="preserve">台</w:t>
            </w:r>
            <w:r/>
          </w:p>
        </w:tc>
        <w:tc>
          <w:tcPr>
            <w:shd w:val="clear" w:color="auto" w:fill="auto"/>
            <w:tcW w:w="1003" w:type="dxa"/>
            <w:vAlign w:val="center"/>
            <w:textDirection w:val="lrTb"/>
            <w:noWrap w:val="false"/>
          </w:tcPr>
          <w:p>
            <w:pPr>
              <w:ind w:left="0" w:right="0" w:firstLine="0"/>
              <w:jc w:val="center"/>
              <w:rPr>
                <w:rFonts w:hint="eastAsia" w:ascii="宋体" w:hAnsi="宋体" w:eastAsia="宋体" w:cs="宋体"/>
                <w:bCs/>
                <w:color w:val="000000"/>
                <w:sz w:val="21"/>
                <w:szCs w:val="22"/>
                <w:u w:val="single"/>
                <w:lang w:val="en-US" w:eastAsia="zh-CN" w:bidi="ar-SA"/>
              </w:rPr>
            </w:pPr>
            <w:r>
              <w:rPr>
                <w:rFonts w:hint="eastAsia" w:ascii="宋体" w:hAnsi="宋体" w:eastAsia="宋体"/>
                <w:bCs/>
                <w:color w:val="000000"/>
                <w:position w:val="-10"/>
                <w:sz w:val="21"/>
                <w:szCs w:val="20"/>
                <w:lang w:val="en-US" w:eastAsia="zh-CN"/>
              </w:rPr>
              <w:t xml:space="preserve">9</w:t>
            </w:r>
            <w:r/>
          </w:p>
        </w:tc>
        <w:tc>
          <w:tcPr>
            <w:shd w:val="clear" w:color="auto" w:fill="auto"/>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bidi="ar-SA"/>
              </w:rPr>
            </w:r>
            <w:r/>
          </w:p>
        </w:tc>
        <w:tc>
          <w:tcPr>
            <w:shd w:val="clear" w:color="auto" w:fill="auto"/>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rPr>
              <w:t xml:space="preserve">工业</w:t>
            </w:r>
            <w:r/>
          </w:p>
        </w:tc>
        <w:tc>
          <w:tcPr>
            <w:shd w:val="clear" w:color="auto" w:fill="auto"/>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shd w:val="clear" w:color="auto" w:fill="auto"/>
            <w:tcW w:w="350"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bCs/>
                <w:color w:val="000000"/>
                <w:sz w:val="21"/>
                <w:szCs w:val="22"/>
                <w:u w:val="single"/>
                <w:lang w:val="en-US" w:eastAsia="zh-CN" w:bidi="ar-SA"/>
              </w:rPr>
            </w:pPr>
            <w:r>
              <w:rPr>
                <w:rFonts w:hint="eastAsia" w:ascii="宋体" w:hAnsi="宋体" w:eastAsia="宋体" w:cs="宋体"/>
                <w:bCs/>
                <w:color w:val="000000"/>
                <w:sz w:val="21"/>
                <w:szCs w:val="22"/>
                <w:u w:val="single"/>
                <w:lang w:val="en-US" w:eastAsia="zh-CN"/>
              </w:rPr>
              <w:t xml:space="preserve">1</w:t>
            </w:r>
            <w:r>
              <w:rPr>
                <w:rFonts w:hint="eastAsia" w:ascii="宋体" w:hAnsi="宋体" w:cs="宋体"/>
                <w:bCs/>
                <w:color w:val="000000"/>
                <w:sz w:val="21"/>
                <w:szCs w:val="22"/>
                <w:u w:val="single"/>
                <w:lang w:val="en-US" w:eastAsia="zh-CN"/>
              </w:rPr>
              <w:t xml:space="preserve">5</w:t>
            </w:r>
            <w:r/>
          </w:p>
        </w:tc>
        <w:tc>
          <w:tcPr>
            <w:shd w:val="clear" w:color="auto" w:fill="auto"/>
            <w:tcW w:w="2300" w:type="dxa"/>
            <w:vAlign w:val="center"/>
            <w:textDirection w:val="lrTb"/>
            <w:noWrap w:val="false"/>
          </w:tcPr>
          <w:p>
            <w:pPr>
              <w:ind w:left="0" w:right="0" w:firstLine="0"/>
              <w:jc w:val="left"/>
              <w:rPr>
                <w:rFonts w:hint="eastAsia" w:ascii="宋体" w:hAnsi="宋体" w:eastAsia="宋体" w:cs="Times New Roman"/>
                <w:color w:val="000000"/>
                <w:sz w:val="21"/>
                <w:szCs w:val="22"/>
                <w:lang w:val="en-US" w:eastAsia="zh-CN" w:bidi="ar-SA"/>
              </w:rPr>
            </w:pPr>
            <w:r>
              <w:rPr>
                <w:rFonts w:hint="eastAsia" w:ascii="宋体" w:hAnsi="宋体" w:eastAsia="宋体"/>
                <w:bCs/>
                <w:color w:val="000000"/>
                <w:position w:val="-10"/>
                <w:sz w:val="21"/>
                <w:szCs w:val="20"/>
                <w:lang w:val="en-US" w:eastAsia="zh-CN"/>
              </w:rPr>
              <w:t xml:space="preserve">水冷机组</w:t>
            </w:r>
            <w:r/>
          </w:p>
        </w:tc>
        <w:tc>
          <w:tcPr>
            <w:shd w:val="clear" w:color="auto" w:fill="auto"/>
            <w:tcW w:w="346" w:type="dxa"/>
            <w:vAlign w:val="center"/>
            <w:textDirection w:val="lrTb"/>
            <w:noWrap w:val="false"/>
          </w:tcPr>
          <w:p>
            <w:pPr>
              <w:ind w:left="0" w:right="0" w:firstLine="0"/>
              <w:jc w:val="center"/>
              <w:rPr>
                <w:rFonts w:hint="eastAsia" w:ascii="宋体" w:hAnsi="宋体" w:eastAsia="宋体" w:cs="宋体"/>
                <w:bCs/>
                <w:color w:val="000000"/>
                <w:sz w:val="21"/>
                <w:szCs w:val="22"/>
                <w:u w:val="single"/>
                <w:lang w:val="en-US" w:eastAsia="zh-CN" w:bidi="ar-SA"/>
              </w:rPr>
            </w:pPr>
            <w:r>
              <w:rPr>
                <w:rFonts w:hint="eastAsia" w:ascii="宋体" w:hAnsi="宋体"/>
                <w:bCs/>
                <w:color w:val="000000"/>
                <w:position w:val="-10"/>
                <w:sz w:val="21"/>
                <w:szCs w:val="20"/>
                <w:lang w:val="en-US" w:eastAsia="zh-CN"/>
              </w:rPr>
              <w:t xml:space="preserve">1</w:t>
            </w:r>
            <w:r/>
          </w:p>
        </w:tc>
        <w:tc>
          <w:tcPr>
            <w:shd w:val="clear" w:color="auto" w:fill="auto"/>
            <w:tcW w:w="346" w:type="dxa"/>
            <w:vAlign w:val="center"/>
            <w:textDirection w:val="lrTb"/>
            <w:noWrap w:val="false"/>
          </w:tcPr>
          <w:p>
            <w:pPr>
              <w:ind w:left="0" w:right="0" w:firstLine="0"/>
              <w:jc w:val="center"/>
              <w:rPr>
                <w:rFonts w:hint="eastAsia" w:ascii="宋体" w:hAnsi="宋体" w:eastAsia="宋体" w:cs="宋体"/>
                <w:bCs/>
                <w:color w:val="000000"/>
                <w:sz w:val="21"/>
                <w:szCs w:val="22"/>
                <w:u w:val="single"/>
                <w:lang w:val="en-US" w:eastAsia="zh-CN" w:bidi="ar-SA"/>
              </w:rPr>
            </w:pPr>
            <w:r>
              <w:rPr>
                <w:rFonts w:hint="eastAsia" w:ascii="宋体" w:hAnsi="宋体" w:eastAsia="宋体"/>
                <w:bCs/>
                <w:color w:val="000000"/>
                <w:position w:val="-10"/>
                <w:sz w:val="21"/>
                <w:szCs w:val="20"/>
                <w:lang w:val="en-US" w:eastAsia="zh-CN"/>
              </w:rPr>
              <w:t xml:space="preserve">台</w:t>
            </w:r>
            <w:r/>
          </w:p>
        </w:tc>
        <w:tc>
          <w:tcPr>
            <w:shd w:val="clear" w:color="auto" w:fill="auto"/>
            <w:tcW w:w="1003" w:type="dxa"/>
            <w:vAlign w:val="center"/>
            <w:textDirection w:val="lrTb"/>
            <w:noWrap w:val="false"/>
          </w:tcPr>
          <w:p>
            <w:pPr>
              <w:ind w:left="0" w:right="0" w:firstLine="0"/>
              <w:jc w:val="center"/>
              <w:rPr>
                <w:rFonts w:hint="eastAsia" w:ascii="宋体" w:hAnsi="宋体" w:eastAsia="宋体" w:cs="宋体"/>
                <w:bCs/>
                <w:color w:val="000000"/>
                <w:sz w:val="21"/>
                <w:szCs w:val="22"/>
                <w:u w:val="single"/>
                <w:lang w:val="en-US" w:eastAsia="zh-CN" w:bidi="ar-SA"/>
              </w:rPr>
            </w:pPr>
            <w:r>
              <w:rPr>
                <w:rFonts w:hint="eastAsia" w:ascii="宋体" w:hAnsi="宋体" w:eastAsia="宋体"/>
                <w:bCs/>
                <w:color w:val="000000"/>
                <w:position w:val="-10"/>
                <w:sz w:val="21"/>
                <w:szCs w:val="20"/>
                <w:lang w:val="en-US" w:eastAsia="zh-CN"/>
              </w:rPr>
              <w:t xml:space="preserve">12</w:t>
            </w:r>
            <w:r/>
          </w:p>
        </w:tc>
        <w:tc>
          <w:tcPr>
            <w:shd w:val="clear" w:color="auto" w:fill="auto"/>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bidi="ar-SA"/>
              </w:rPr>
            </w:r>
            <w:r/>
          </w:p>
        </w:tc>
        <w:tc>
          <w:tcPr>
            <w:shd w:val="clear" w:color="auto" w:fill="auto"/>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rPr>
              <w:t xml:space="preserve">工业</w:t>
            </w:r>
            <w:r/>
          </w:p>
        </w:tc>
        <w:tc>
          <w:tcPr>
            <w:shd w:val="clear" w:color="auto" w:fill="auto"/>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Cs/>
                <w:color w:val="000000"/>
                <w:sz w:val="21"/>
                <w:szCs w:val="22"/>
                <w:u w:val="single"/>
                <w:lang w:val="en-US" w:eastAsia="zh-CN" w:bidi="ar-SA"/>
              </w:rPr>
            </w:pPr>
            <w:r>
              <w:rPr>
                <w:rFonts w:hint="eastAsia" w:ascii="宋体" w:hAnsi="宋体" w:eastAsia="宋体" w:cs="宋体"/>
                <w:bCs/>
                <w:color w:val="000000"/>
                <w:sz w:val="21"/>
                <w:szCs w:val="22"/>
                <w:u w:val="single"/>
                <w:lang w:val="en-US" w:eastAsia="zh-CN"/>
              </w:rPr>
              <w:t xml:space="preserve">1</w:t>
            </w:r>
            <w:r>
              <w:rPr>
                <w:rFonts w:hint="eastAsia" w:ascii="宋体" w:hAnsi="宋体" w:cs="宋体"/>
                <w:bCs/>
                <w:color w:val="000000"/>
                <w:sz w:val="21"/>
                <w:szCs w:val="22"/>
                <w:u w:val="single"/>
                <w:lang w:val="en-US" w:eastAsia="zh-CN"/>
              </w:rPr>
              <w:t xml:space="preserve">6</w:t>
            </w:r>
            <w:r/>
          </w:p>
        </w:tc>
        <w:tc>
          <w:tcPr>
            <w:tcW w:w="2300" w:type="dxa"/>
            <w:vAlign w:val="center"/>
            <w:textDirection w:val="lrTb"/>
            <w:noWrap w:val="false"/>
          </w:tcPr>
          <w:p>
            <w:pPr>
              <w:ind w:left="0" w:right="0" w:firstLine="0"/>
              <w:jc w:val="left"/>
              <w:keepLines w:val="0"/>
              <w:keepNext w:val="0"/>
              <w:widowControl/>
              <w:rPr>
                <w:rFonts w:hint="eastAsia"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 w:val="21"/>
                <w:szCs w:val="20"/>
                <w:lang w:val="en-US" w:eastAsia="zh-CN"/>
              </w:rPr>
              <w:t xml:space="preserve">3.0T磁共振设备</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 w:val="21"/>
                <w:szCs w:val="20"/>
                <w:lang w:val="en-US" w:eastAsia="zh-CN"/>
              </w:rPr>
              <w:t xml:space="preserve">台</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 w:val="21"/>
                <w:szCs w:val="20"/>
                <w:lang w:val="en-US" w:eastAsia="zh-CN"/>
              </w:rPr>
              <w:t xml:space="preserve">1550</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rPr>
              <w:t xml:space="preserve">核心产品</w:t>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南京市江宁医院</w:t>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Cs/>
                <w:color w:val="000000"/>
                <w:sz w:val="21"/>
                <w:szCs w:val="22"/>
                <w:u w:val="single"/>
                <w:lang w:val="en-US" w:eastAsia="zh-CN" w:bidi="ar-SA"/>
              </w:rPr>
            </w:pPr>
            <w:r>
              <w:rPr>
                <w:rFonts w:hint="eastAsia" w:ascii="宋体" w:hAnsi="宋体" w:eastAsia="宋体" w:cs="宋体"/>
                <w:bCs/>
                <w:color w:val="000000"/>
                <w:sz w:val="21"/>
                <w:szCs w:val="22"/>
                <w:u w:val="single"/>
                <w:lang w:val="en-US" w:eastAsia="zh-CN"/>
              </w:rPr>
              <w:t xml:space="preserve">1</w:t>
            </w:r>
            <w:r>
              <w:rPr>
                <w:rFonts w:hint="eastAsia" w:ascii="宋体" w:hAnsi="宋体" w:cs="宋体"/>
                <w:bCs/>
                <w:color w:val="000000"/>
                <w:sz w:val="21"/>
                <w:szCs w:val="22"/>
                <w:u w:val="single"/>
                <w:lang w:val="en-US" w:eastAsia="zh-CN"/>
              </w:rPr>
              <w:t xml:space="preserve">7</w:t>
            </w:r>
            <w:r/>
          </w:p>
        </w:tc>
        <w:tc>
          <w:tcPr>
            <w:tcW w:w="2300" w:type="dxa"/>
            <w:vAlign w:val="center"/>
            <w:textDirection w:val="lrTb"/>
            <w:noWrap w:val="false"/>
          </w:tcPr>
          <w:p>
            <w:pPr>
              <w:ind w:left="0" w:right="0" w:firstLine="0"/>
              <w:jc w:val="left"/>
              <w:keepLines w:val="0"/>
              <w:keepNext w:val="0"/>
              <w:widowControl/>
              <w:rPr>
                <w:rFonts w:hint="eastAsia"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 w:val="21"/>
                <w:szCs w:val="20"/>
                <w:lang w:val="en-US" w:eastAsia="zh-CN"/>
              </w:rPr>
              <w:t xml:space="preserve">无磁信息化双筒高压注射器（MR专用）</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 w:val="21"/>
                <w:szCs w:val="20"/>
                <w:lang w:val="en-US" w:eastAsia="zh-CN"/>
              </w:rPr>
              <w:t xml:space="preserve">2</w:t>
            </w:r>
            <w:r/>
          </w:p>
        </w:tc>
        <w:tc>
          <w:tcPr>
            <w:tcW w:w="346"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 w:val="21"/>
                <w:szCs w:val="20"/>
                <w:lang w:val="en-US" w:eastAsia="zh-CN"/>
              </w:rPr>
              <w:t xml:space="preserve">台</w:t>
            </w:r>
            <w:r/>
          </w:p>
        </w:tc>
        <w:tc>
          <w:tcPr>
            <w:tcW w:w="1003" w:type="dxa"/>
            <w:vAlign w:val="center"/>
            <w:textDirection w:val="lrTb"/>
            <w:noWrap w:val="false"/>
          </w:tcPr>
          <w:p>
            <w:pPr>
              <w:ind w:left="0" w:right="0" w:firstLine="0"/>
              <w:jc w:val="center"/>
              <w:keepLines w:val="0"/>
              <w:keepNext w:val="0"/>
              <w:widowControl/>
              <w:rPr>
                <w:rFonts w:ascii="宋体" w:hAnsi="宋体" w:eastAsia="宋体" w:cs="Times New Roman"/>
                <w:bCs/>
                <w:color w:val="000000"/>
                <w:position w:val="-10"/>
                <w:sz w:val="21"/>
                <w:szCs w:val="20"/>
                <w:lang w:val="en-US" w:eastAsia="zh-CN" w:bidi="ar-SA"/>
              </w:rPr>
              <w:suppressLineNumbers w:val="0"/>
            </w:pPr>
            <w:r>
              <w:rPr>
                <w:rFonts w:hint="eastAsia" w:ascii="宋体" w:hAnsi="宋体" w:eastAsia="宋体" w:cs="Times New Roman"/>
                <w:bCs/>
                <w:color w:val="000000"/>
                <w:position w:val="-10"/>
                <w:sz w:val="21"/>
                <w:szCs w:val="20"/>
                <w:lang w:val="en-US" w:eastAsia="zh-CN"/>
              </w:rPr>
              <w:t xml:space="preserve">25</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bidi="ar-SA"/>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bCs/>
                <w:color w:val="000000"/>
                <w:sz w:val="21"/>
                <w:szCs w:val="22"/>
                <w:u w:val="single"/>
                <w:lang w:val="en-US" w:eastAsia="zh-CN" w:bidi="ar-SA"/>
              </w:rPr>
            </w:pPr>
            <w:r>
              <w:rPr>
                <w:rFonts w:hint="eastAsia" w:ascii="宋体" w:hAnsi="宋体" w:cs="宋体"/>
                <w:bCs/>
                <w:color w:val="000000"/>
                <w:sz w:val="21"/>
                <w:szCs w:val="22"/>
                <w:u w:val="single"/>
                <w:lang w:val="en-US" w:eastAsia="zh-CN"/>
              </w:rPr>
              <w:t xml:space="preserve">18</w:t>
            </w:r>
            <w:r/>
          </w:p>
        </w:tc>
        <w:tc>
          <w:tcPr>
            <w:tcW w:w="2300" w:type="dxa"/>
            <w:vAlign w:val="center"/>
            <w:textDirection w:val="lrTb"/>
            <w:noWrap w:val="false"/>
          </w:tcPr>
          <w:p>
            <w:pPr>
              <w:ind w:left="0" w:right="0" w:firstLine="0"/>
              <w:jc w:val="left"/>
              <w:rPr>
                <w:rFonts w:hint="eastAsia" w:ascii="宋体" w:hAnsi="宋体" w:eastAsia="宋体" w:cs="Times New Roman"/>
                <w:color w:val="000000"/>
                <w:sz w:val="21"/>
                <w:szCs w:val="22"/>
                <w:lang w:val="en-US" w:eastAsia="zh-CN"/>
              </w:rPr>
            </w:pPr>
            <w:r>
              <w:rPr>
                <w:rFonts w:hint="eastAsia" w:ascii="宋体" w:hAnsi="宋体" w:eastAsia="宋体"/>
                <w:bCs/>
                <w:color w:val="000000"/>
                <w:position w:val="-10"/>
                <w:sz w:val="21"/>
                <w:szCs w:val="20"/>
                <w:lang w:val="en-US" w:eastAsia="zh-CN"/>
              </w:rPr>
              <w:t xml:space="preserve">精密空调</w:t>
            </w:r>
            <w:r/>
          </w:p>
        </w:tc>
        <w:tc>
          <w:tcPr>
            <w:tcW w:w="346"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rPr>
            </w:pPr>
            <w:r>
              <w:rPr>
                <w:rFonts w:hint="eastAsia" w:ascii="宋体" w:hAnsi="宋体"/>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rPr>
            </w:pPr>
            <w:r>
              <w:rPr>
                <w:rFonts w:hint="eastAsia" w:ascii="宋体" w:hAnsi="宋体" w:eastAsia="宋体"/>
                <w:bCs/>
                <w:color w:val="000000"/>
                <w:position w:val="-10"/>
                <w:sz w:val="21"/>
                <w:szCs w:val="20"/>
                <w:lang w:val="en-US" w:eastAsia="zh-CN"/>
              </w:rPr>
              <w:t xml:space="preserve">台</w:t>
            </w:r>
            <w:r/>
          </w:p>
        </w:tc>
        <w:tc>
          <w:tcPr>
            <w:tcW w:w="1003"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rPr>
            </w:pPr>
            <w:r>
              <w:rPr>
                <w:rFonts w:hint="eastAsia" w:ascii="宋体" w:hAnsi="宋体" w:eastAsia="宋体"/>
                <w:bCs/>
                <w:color w:val="000000"/>
                <w:position w:val="-10"/>
                <w:sz w:val="21"/>
                <w:szCs w:val="20"/>
                <w:lang w:val="en-US" w:eastAsia="zh-CN"/>
              </w:rPr>
              <w:t xml:space="preserve">9</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bCs/>
                <w:color w:val="000000"/>
                <w:sz w:val="21"/>
                <w:szCs w:val="22"/>
                <w:u w:val="single"/>
                <w:lang w:val="en-US" w:eastAsia="zh-CN" w:bidi="ar-SA"/>
              </w:rPr>
            </w:pPr>
            <w:r>
              <w:rPr>
                <w:rFonts w:hint="eastAsia" w:ascii="宋体" w:hAnsi="宋体" w:cs="宋体"/>
                <w:bCs/>
                <w:color w:val="000000"/>
                <w:sz w:val="21"/>
                <w:szCs w:val="22"/>
                <w:u w:val="single"/>
                <w:lang w:val="en-US" w:eastAsia="zh-CN"/>
              </w:rPr>
              <w:t xml:space="preserve">19</w:t>
            </w:r>
            <w:r/>
          </w:p>
        </w:tc>
        <w:tc>
          <w:tcPr>
            <w:tcW w:w="2300" w:type="dxa"/>
            <w:vAlign w:val="center"/>
            <w:textDirection w:val="lrTb"/>
            <w:noWrap w:val="false"/>
          </w:tcPr>
          <w:p>
            <w:pPr>
              <w:ind w:left="0" w:right="0" w:firstLine="0"/>
              <w:jc w:val="left"/>
              <w:rPr>
                <w:rFonts w:hint="eastAsia" w:ascii="宋体" w:hAnsi="宋体" w:eastAsia="宋体" w:cs="Times New Roman"/>
                <w:color w:val="000000"/>
                <w:sz w:val="21"/>
                <w:szCs w:val="22"/>
                <w:lang w:val="en-US" w:eastAsia="zh-CN"/>
              </w:rPr>
            </w:pPr>
            <w:r>
              <w:rPr>
                <w:rFonts w:hint="eastAsia" w:ascii="宋体" w:hAnsi="宋体" w:eastAsia="宋体"/>
                <w:bCs/>
                <w:color w:val="000000"/>
                <w:position w:val="-10"/>
                <w:sz w:val="21"/>
                <w:szCs w:val="20"/>
                <w:lang w:val="en-US" w:eastAsia="zh-CN"/>
              </w:rPr>
              <w:t xml:space="preserve">水冷机组</w:t>
            </w:r>
            <w:r/>
          </w:p>
        </w:tc>
        <w:tc>
          <w:tcPr>
            <w:tcW w:w="346"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rPr>
            </w:pPr>
            <w:r>
              <w:rPr>
                <w:rFonts w:hint="eastAsia" w:ascii="宋体" w:hAnsi="宋体"/>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rPr>
            </w:pPr>
            <w:r>
              <w:rPr>
                <w:rFonts w:hint="eastAsia" w:ascii="宋体" w:hAnsi="宋体" w:eastAsia="宋体"/>
                <w:bCs/>
                <w:color w:val="000000"/>
                <w:position w:val="-10"/>
                <w:sz w:val="21"/>
                <w:szCs w:val="20"/>
                <w:lang w:val="en-US" w:eastAsia="zh-CN"/>
              </w:rPr>
              <w:t xml:space="preserve">台</w:t>
            </w:r>
            <w:r/>
          </w:p>
        </w:tc>
        <w:tc>
          <w:tcPr>
            <w:tcW w:w="1003"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rPr>
            </w:pPr>
            <w:r>
              <w:rPr>
                <w:rFonts w:hint="eastAsia" w:ascii="宋体" w:hAnsi="宋体" w:eastAsia="宋体"/>
                <w:bCs/>
                <w:color w:val="000000"/>
                <w:position w:val="-10"/>
                <w:sz w:val="21"/>
                <w:szCs w:val="20"/>
                <w:lang w:val="en-US" w:eastAsia="zh-CN"/>
              </w:rPr>
              <w:t xml:space="preserve">12</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bCs/>
                <w:color w:val="000000"/>
                <w:sz w:val="21"/>
                <w:szCs w:val="22"/>
                <w:u w:val="single"/>
                <w:lang w:val="en-US" w:eastAsia="zh-CN" w:bidi="ar-SA"/>
              </w:rPr>
            </w:pPr>
            <w:r>
              <w:rPr>
                <w:rFonts w:hint="eastAsia" w:ascii="宋体" w:hAnsi="宋体" w:cs="宋体"/>
                <w:bCs/>
                <w:color w:val="000000"/>
                <w:sz w:val="21"/>
                <w:szCs w:val="22"/>
                <w:u w:val="single"/>
                <w:lang w:val="en-US" w:eastAsia="zh-CN"/>
              </w:rPr>
              <w:t xml:space="preserve">20</w:t>
            </w:r>
            <w:r/>
          </w:p>
        </w:tc>
        <w:tc>
          <w:tcPr>
            <w:tcW w:w="2300" w:type="dxa"/>
            <w:vAlign w:val="center"/>
            <w:textDirection w:val="lrTb"/>
            <w:noWrap w:val="false"/>
          </w:tcPr>
          <w:p>
            <w:pPr>
              <w:ind w:left="0" w:right="0" w:firstLine="0"/>
              <w:jc w:val="left"/>
              <w:rPr>
                <w:rFonts w:hint="eastAsia" w:ascii="宋体" w:hAnsi="宋体" w:eastAsia="宋体" w:cs="Times New Roman"/>
                <w:color w:val="000000"/>
                <w:sz w:val="21"/>
                <w:szCs w:val="22"/>
                <w:lang w:val="en-US" w:eastAsia="zh-CN"/>
              </w:rPr>
            </w:pPr>
            <w:r>
              <w:rPr>
                <w:rFonts w:hint="eastAsia" w:ascii="宋体" w:hAnsi="宋体" w:eastAsia="宋体"/>
                <w:bCs/>
                <w:color w:val="000000"/>
                <w:position w:val="-10"/>
                <w:sz w:val="21"/>
                <w:szCs w:val="20"/>
                <w:lang w:val="en-US" w:eastAsia="zh-CN"/>
              </w:rPr>
              <w:t xml:space="preserve">无磁监视系统</w:t>
            </w:r>
            <w:r/>
          </w:p>
        </w:tc>
        <w:tc>
          <w:tcPr>
            <w:tcW w:w="346"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rPr>
            </w:pPr>
            <w:r>
              <w:rPr>
                <w:rFonts w:hint="eastAsia" w:ascii="宋体" w:hAnsi="宋体" w:eastAsia="宋体"/>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rPr>
            </w:pPr>
            <w:r>
              <w:rPr>
                <w:rFonts w:hint="eastAsia" w:ascii="宋体" w:hAnsi="宋体" w:eastAsia="宋体"/>
                <w:bCs/>
                <w:color w:val="000000"/>
                <w:position w:val="-10"/>
                <w:sz w:val="21"/>
                <w:szCs w:val="20"/>
                <w:lang w:val="en-US" w:eastAsia="zh-CN"/>
              </w:rPr>
              <w:t xml:space="preserve">台</w:t>
            </w:r>
            <w:r/>
          </w:p>
        </w:tc>
        <w:tc>
          <w:tcPr>
            <w:tcW w:w="1003"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rPr>
            </w:pPr>
            <w:r>
              <w:rPr>
                <w:rFonts w:hint="eastAsia" w:ascii="宋体" w:hAnsi="宋体" w:eastAsia="宋体"/>
                <w:bCs/>
                <w:color w:val="000000"/>
                <w:position w:val="-10"/>
                <w:sz w:val="21"/>
                <w:szCs w:val="20"/>
                <w:lang w:val="en-US" w:eastAsia="zh-CN"/>
              </w:rPr>
              <w:t xml:space="preserve">0.4</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bCs/>
                <w:color w:val="000000"/>
                <w:sz w:val="21"/>
                <w:szCs w:val="22"/>
                <w:u w:val="single"/>
                <w:lang w:val="en-US" w:eastAsia="zh-CN" w:bidi="ar-SA"/>
              </w:rPr>
            </w:pPr>
            <w:r>
              <w:rPr>
                <w:rFonts w:hint="eastAsia" w:ascii="宋体" w:hAnsi="宋体" w:cs="宋体"/>
                <w:bCs/>
                <w:color w:val="000000"/>
                <w:sz w:val="21"/>
                <w:szCs w:val="22"/>
                <w:u w:val="single"/>
                <w:lang w:val="en-US" w:eastAsia="zh-CN"/>
              </w:rPr>
              <w:t xml:space="preserve">21</w:t>
            </w:r>
            <w:r/>
          </w:p>
        </w:tc>
        <w:tc>
          <w:tcPr>
            <w:tcW w:w="2300" w:type="dxa"/>
            <w:vAlign w:val="center"/>
            <w:textDirection w:val="lrTb"/>
            <w:noWrap w:val="false"/>
          </w:tcPr>
          <w:p>
            <w:pPr>
              <w:ind w:left="0" w:right="0" w:firstLine="0"/>
              <w:jc w:val="left"/>
              <w:rPr>
                <w:rFonts w:hint="eastAsia" w:ascii="宋体" w:hAnsi="宋体" w:eastAsia="宋体" w:cs="Times New Roman"/>
                <w:color w:val="000000"/>
                <w:sz w:val="21"/>
                <w:szCs w:val="22"/>
                <w:lang w:val="en-US" w:eastAsia="zh-CN"/>
              </w:rPr>
            </w:pPr>
            <w:r>
              <w:rPr>
                <w:rFonts w:hint="eastAsia" w:ascii="宋体" w:hAnsi="宋体" w:eastAsia="宋体"/>
                <w:bCs/>
                <w:color w:val="000000"/>
                <w:position w:val="-10"/>
                <w:sz w:val="21"/>
                <w:szCs w:val="20"/>
                <w:lang w:val="en-US" w:eastAsia="zh-CN"/>
              </w:rPr>
              <w:t xml:space="preserve">无磁升降转运床</w:t>
            </w:r>
            <w:r/>
          </w:p>
        </w:tc>
        <w:tc>
          <w:tcPr>
            <w:tcW w:w="346"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rPr>
            </w:pPr>
            <w:r>
              <w:rPr>
                <w:rFonts w:hint="eastAsia" w:ascii="宋体" w:hAnsi="宋体" w:eastAsia="宋体"/>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rPr>
            </w:pPr>
            <w:r>
              <w:rPr>
                <w:rFonts w:hint="eastAsia" w:ascii="宋体" w:hAnsi="宋体" w:eastAsia="宋体"/>
                <w:bCs/>
                <w:color w:val="000000"/>
                <w:position w:val="-10"/>
                <w:sz w:val="21"/>
                <w:szCs w:val="20"/>
                <w:lang w:val="en-US" w:eastAsia="zh-CN"/>
              </w:rPr>
              <w:t xml:space="preserve">张</w:t>
            </w:r>
            <w:r/>
          </w:p>
        </w:tc>
        <w:tc>
          <w:tcPr>
            <w:tcW w:w="1003"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rPr>
            </w:pPr>
            <w:r>
              <w:rPr>
                <w:rFonts w:hint="eastAsia" w:ascii="宋体" w:hAnsi="宋体" w:eastAsia="宋体"/>
                <w:bCs/>
                <w:color w:val="000000"/>
                <w:position w:val="-10"/>
                <w:sz w:val="21"/>
                <w:szCs w:val="20"/>
                <w:lang w:val="en-US" w:eastAsia="zh-CN"/>
              </w:rPr>
              <w:t xml:space="preserve">6</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bCs/>
                <w:color w:val="000000"/>
                <w:sz w:val="21"/>
                <w:szCs w:val="22"/>
                <w:u w:val="single"/>
                <w:lang w:val="en-US" w:eastAsia="zh-CN" w:bidi="ar-SA"/>
              </w:rPr>
            </w:pPr>
            <w:r>
              <w:rPr>
                <w:rFonts w:hint="eastAsia" w:ascii="宋体" w:hAnsi="宋体" w:cs="宋体"/>
                <w:bCs/>
                <w:color w:val="000000"/>
                <w:sz w:val="21"/>
                <w:szCs w:val="22"/>
                <w:u w:val="single"/>
                <w:lang w:val="en-US" w:eastAsia="zh-CN"/>
              </w:rPr>
              <w:t xml:space="preserve">22</w:t>
            </w:r>
            <w:r/>
          </w:p>
        </w:tc>
        <w:tc>
          <w:tcPr>
            <w:tcW w:w="2300" w:type="dxa"/>
            <w:vAlign w:val="center"/>
            <w:textDirection w:val="lrTb"/>
            <w:noWrap w:val="false"/>
          </w:tcPr>
          <w:p>
            <w:pPr>
              <w:ind w:left="0" w:right="0" w:firstLine="0"/>
              <w:jc w:val="left"/>
              <w:rPr>
                <w:rFonts w:hint="eastAsia" w:ascii="宋体" w:hAnsi="宋体" w:eastAsia="宋体" w:cs="Times New Roman"/>
                <w:color w:val="000000"/>
                <w:sz w:val="21"/>
                <w:szCs w:val="22"/>
                <w:lang w:val="en-US" w:eastAsia="zh-CN" w:bidi="ar-SA"/>
              </w:rPr>
            </w:pPr>
            <w:r>
              <w:rPr>
                <w:rFonts w:hint="eastAsia" w:ascii="宋体" w:hAnsi="宋体" w:eastAsia="宋体"/>
                <w:bCs/>
                <w:color w:val="000000"/>
                <w:position w:val="-10"/>
                <w:sz w:val="21"/>
                <w:szCs w:val="20"/>
                <w:lang w:val="en-US" w:eastAsia="zh-CN"/>
              </w:rPr>
              <w:t xml:space="preserve">无磁灭火器</w:t>
            </w:r>
            <w:r/>
          </w:p>
        </w:tc>
        <w:tc>
          <w:tcPr>
            <w:tcW w:w="346"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bidi="ar-SA"/>
              </w:rPr>
            </w:pPr>
            <w:r>
              <w:rPr>
                <w:rFonts w:hint="eastAsia" w:ascii="宋体" w:hAnsi="宋体" w:eastAsia="宋体"/>
                <w:bCs/>
                <w:color w:val="000000"/>
                <w:position w:val="-10"/>
                <w:sz w:val="21"/>
                <w:szCs w:val="20"/>
                <w:lang w:val="en-US" w:eastAsia="zh-CN"/>
              </w:rPr>
              <w:t xml:space="preserve">2</w:t>
            </w:r>
            <w:r/>
          </w:p>
        </w:tc>
        <w:tc>
          <w:tcPr>
            <w:tcW w:w="346"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bidi="ar-SA"/>
              </w:rPr>
            </w:pPr>
            <w:r>
              <w:rPr>
                <w:rFonts w:hint="eastAsia" w:ascii="宋体" w:hAnsi="宋体" w:eastAsia="宋体"/>
                <w:bCs/>
                <w:color w:val="000000"/>
                <w:position w:val="-10"/>
                <w:sz w:val="21"/>
                <w:szCs w:val="20"/>
                <w:lang w:val="en-US" w:eastAsia="zh-CN"/>
              </w:rPr>
              <w:t xml:space="preserve">个</w:t>
            </w:r>
            <w:r/>
          </w:p>
        </w:tc>
        <w:tc>
          <w:tcPr>
            <w:tcW w:w="1003" w:type="dxa"/>
            <w:vAlign w:val="center"/>
            <w:textDirection w:val="lrTb"/>
            <w:noWrap w:val="false"/>
          </w:tcPr>
          <w:p>
            <w:pPr>
              <w:ind w:left="0" w:right="0" w:firstLine="0"/>
              <w:jc w:val="center"/>
              <w:rPr>
                <w:rFonts w:ascii="宋体" w:hAnsi="宋体" w:eastAsia="宋体" w:cs="宋体"/>
                <w:bCs/>
                <w:color w:val="000000"/>
                <w:sz w:val="21"/>
                <w:szCs w:val="22"/>
                <w:u w:val="single"/>
                <w:lang w:val="en-US" w:eastAsia="zh-CN" w:bidi="ar-SA"/>
              </w:rPr>
            </w:pPr>
            <w:r>
              <w:rPr>
                <w:rFonts w:hint="eastAsia" w:ascii="宋体" w:hAnsi="宋体" w:eastAsia="宋体"/>
                <w:bCs/>
                <w:color w:val="000000"/>
                <w:position w:val="-10"/>
                <w:sz w:val="21"/>
                <w:szCs w:val="20"/>
                <w:lang w:val="en-US" w:eastAsia="zh-CN"/>
              </w:rPr>
              <w:t xml:space="preserve">0.5</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szCs w:val="22"/>
                <w:u w:val="single"/>
                <w:lang w:val="en-US" w:eastAsia="zh-CN"/>
              </w:rPr>
              <w:t xml:space="preserve">2</w:t>
            </w:r>
            <w:r>
              <w:rPr>
                <w:rFonts w:hint="eastAsia" w:ascii="宋体" w:hAnsi="宋体" w:cs="宋体"/>
                <w:bCs/>
                <w:color w:val="000000"/>
                <w:sz w:val="21"/>
                <w:szCs w:val="22"/>
                <w:u w:val="single"/>
                <w:lang w:val="en-US" w:eastAsia="zh-CN"/>
              </w:rPr>
              <w:t xml:space="preserve">3</w:t>
            </w:r>
            <w:r/>
          </w:p>
        </w:tc>
        <w:tc>
          <w:tcPr>
            <w:tcW w:w="2300" w:type="dxa"/>
            <w:vAlign w:val="center"/>
            <w:textDirection w:val="lrTb"/>
            <w:noWrap w:val="false"/>
          </w:tcPr>
          <w:p>
            <w:pPr>
              <w:ind w:left="0" w:right="0" w:firstLine="0"/>
              <w:jc w:val="left"/>
              <w:keepLines w:val="0"/>
              <w:keepNext w:val="0"/>
              <w:widowControl/>
              <w:rPr>
                <w:rFonts w:hint="eastAsia" w:ascii="宋体" w:hAnsi="宋体" w:eastAsia="宋体" w:cs="Times New Roman"/>
                <w:color w:val="000000"/>
                <w:sz w:val="21"/>
                <w:szCs w:val="22"/>
                <w:lang w:val="en-US" w:eastAsia="zh-CN" w:bidi="ar-SA"/>
              </w:rPr>
              <w:suppressLineNumbers w:val="0"/>
            </w:pPr>
            <w:r>
              <w:rPr>
                <w:rFonts w:hint="eastAsia" w:ascii="宋体" w:hAnsi="宋体" w:eastAsia="宋体" w:cs="Times New Roman"/>
                <w:bCs/>
                <w:color w:val="000000"/>
                <w:position w:val="-10"/>
                <w:sz w:val="21"/>
                <w:szCs w:val="20"/>
                <w:lang w:val="en-US" w:eastAsia="zh-CN"/>
              </w:rPr>
              <w:t xml:space="preserve">磁共振专用双立柱智能铁磁探测系统</w:t>
            </w:r>
            <w:r/>
          </w:p>
        </w:tc>
        <w:tc>
          <w:tcPr>
            <w:tcW w:w="346" w:type="dxa"/>
            <w:vAlign w:val="center"/>
            <w:textDirection w:val="lrTb"/>
            <w:noWrap w:val="false"/>
          </w:tcPr>
          <w:p>
            <w:pPr>
              <w:ind w:left="0" w:right="0" w:firstLine="0"/>
              <w:jc w:val="center"/>
              <w:keepLines w:val="0"/>
              <w:keepNext w:val="0"/>
              <w:widowControl/>
              <w:rPr>
                <w:rFonts w:ascii="宋体" w:hAnsi="宋体" w:eastAsia="宋体" w:cs="宋体"/>
                <w:bCs/>
                <w:color w:val="000000"/>
                <w:sz w:val="21"/>
                <w:szCs w:val="22"/>
                <w:u w:val="single"/>
                <w:lang w:val="en-US" w:eastAsia="zh-CN" w:bidi="ar-SA"/>
              </w:rPr>
              <w:suppressLineNumbers w:val="0"/>
            </w:pPr>
            <w:r>
              <w:rPr>
                <w:rFonts w:hint="eastAsia" w:ascii="宋体" w:hAnsi="宋体" w:eastAsia="宋体" w:cs="Times New Roman"/>
                <w:bCs/>
                <w:color w:val="000000"/>
                <w:position w:val="-10"/>
                <w:sz w:val="21"/>
                <w:szCs w:val="20"/>
                <w:lang w:val="en-US" w:eastAsia="zh-CN"/>
              </w:rPr>
              <w:t xml:space="preserve">1</w:t>
            </w:r>
            <w:r/>
          </w:p>
        </w:tc>
        <w:tc>
          <w:tcPr>
            <w:tcW w:w="346" w:type="dxa"/>
            <w:vAlign w:val="center"/>
            <w:textDirection w:val="lrTb"/>
            <w:noWrap w:val="false"/>
          </w:tcPr>
          <w:p>
            <w:pPr>
              <w:ind w:left="0" w:right="0" w:firstLine="0"/>
              <w:jc w:val="center"/>
              <w:keepLines w:val="0"/>
              <w:keepNext w:val="0"/>
              <w:widowControl/>
              <w:rPr>
                <w:rFonts w:ascii="宋体" w:hAnsi="宋体" w:eastAsia="宋体" w:cs="宋体"/>
                <w:bCs/>
                <w:color w:val="000000"/>
                <w:sz w:val="21"/>
                <w:szCs w:val="22"/>
                <w:u w:val="single"/>
                <w:lang w:val="en-US" w:eastAsia="zh-CN" w:bidi="ar-SA"/>
              </w:rPr>
              <w:suppressLineNumbers w:val="0"/>
            </w:pPr>
            <w:r>
              <w:rPr>
                <w:rFonts w:hint="eastAsia" w:ascii="宋体" w:hAnsi="宋体" w:eastAsia="宋体" w:cs="Times New Roman"/>
                <w:bCs/>
                <w:color w:val="000000"/>
                <w:position w:val="-10"/>
                <w:sz w:val="21"/>
                <w:szCs w:val="20"/>
                <w:lang w:val="en-US" w:eastAsia="zh-CN"/>
              </w:rPr>
              <w:t xml:space="preserve">套</w:t>
            </w:r>
            <w:r/>
          </w:p>
        </w:tc>
        <w:tc>
          <w:tcPr>
            <w:tcW w:w="1003" w:type="dxa"/>
            <w:vAlign w:val="center"/>
            <w:textDirection w:val="lrTb"/>
            <w:noWrap w:val="false"/>
          </w:tcPr>
          <w:p>
            <w:pPr>
              <w:ind w:left="0" w:right="0" w:firstLine="0"/>
              <w:jc w:val="center"/>
              <w:keepLines w:val="0"/>
              <w:keepNext w:val="0"/>
              <w:widowControl/>
              <w:rPr>
                <w:rFonts w:ascii="宋体" w:hAnsi="宋体" w:eastAsia="宋体" w:cs="宋体"/>
                <w:bCs/>
                <w:color w:val="000000"/>
                <w:sz w:val="21"/>
                <w:szCs w:val="22"/>
                <w:u w:val="single"/>
                <w:lang w:val="en-US" w:eastAsia="zh-CN" w:bidi="ar-SA"/>
              </w:rPr>
              <w:suppressLineNumbers w:val="0"/>
            </w:pPr>
            <w:r>
              <w:rPr>
                <w:rFonts w:hint="eastAsia" w:ascii="宋体" w:hAnsi="宋体" w:eastAsia="宋体" w:cs="Times New Roman"/>
                <w:bCs/>
                <w:color w:val="000000"/>
                <w:position w:val="-10"/>
                <w:sz w:val="21"/>
                <w:szCs w:val="20"/>
                <w:lang w:val="en-US" w:eastAsia="zh-CN"/>
              </w:rPr>
              <w:t xml:space="preserve">25</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09"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834"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bl>
    <w:p>
      <w:pPr>
        <w:ind w:firstLine="420"/>
        <w:rPr>
          <w:rFonts w:ascii="宋体" w:hAnsi="宋体" w:eastAsia="宋体"/>
          <w:bCs/>
          <w:color w:val="000000"/>
          <w:position w:val="-10"/>
          <w:szCs w:val="20"/>
          <w:lang w:eastAsia="zh-CN"/>
        </w:rPr>
      </w:pPr>
      <w:r>
        <w:rPr>
          <w:rFonts w:hint="eastAsia" w:ascii="宋体" w:hAnsi="宋体" w:eastAsia="宋体"/>
          <w:bCs/>
          <w:color w:val="000000"/>
          <w:position w:val="-10"/>
          <w:szCs w:val="20"/>
          <w:lang w:eastAsia="zh-CN"/>
        </w:rPr>
        <w:t xml:space="preserve">1、投标产品中 “</w:t>
      </w:r>
      <w:r>
        <w:rPr>
          <w:rFonts w:hint="eastAsia" w:ascii="宋体" w:hAnsi="宋体" w:eastAsia="宋体"/>
          <w:bCs/>
          <w:color w:val="000000"/>
          <w:position w:val="-10"/>
          <w:szCs w:val="20"/>
          <w:lang w:val="en-US" w:eastAsia="zh-CN"/>
        </w:rPr>
        <w:t xml:space="preserve">3.0T磁共振设备</w:t>
      </w:r>
      <w:r>
        <w:rPr>
          <w:rFonts w:hint="eastAsia" w:ascii="宋体" w:hAnsi="宋体" w:eastAsia="宋体"/>
          <w:bCs/>
          <w:color w:val="000000"/>
          <w:position w:val="-10"/>
          <w:szCs w:val="20"/>
          <w:lang w:eastAsia="zh-CN"/>
        </w:rPr>
        <w:t xml:space="preserve">”必须为同一品牌同一型号</w:t>
      </w:r>
      <w:r/>
    </w:p>
    <w:p>
      <w:pPr>
        <w:ind w:firstLine="367"/>
        <w:widowControl w:val="off"/>
        <w:rPr>
          <w:rFonts w:ascii="宋体" w:hAnsi="宋体" w:eastAsia="宋体"/>
          <w:bCs/>
          <w:color w:val="000000"/>
          <w:position w:val="-10"/>
          <w:szCs w:val="20"/>
          <w:lang w:eastAsia="zh-CN"/>
        </w:rPr>
        <w:outlineLvl w:val="1"/>
      </w:pPr>
      <w:r>
        <w:rPr>
          <w:rFonts w:hint="eastAsia" w:ascii="宋体" w:hAnsi="宋体" w:eastAsia="宋体"/>
          <w:bCs/>
          <w:color w:val="000000"/>
          <w:position w:val="-10"/>
          <w:szCs w:val="20"/>
          <w:lang w:eastAsia="zh-CN"/>
        </w:rPr>
        <w:t xml:space="preserve">2、以上项目为一个包，不接受投标产品缺漏</w:t>
      </w:r>
      <w:r/>
    </w:p>
    <w:p>
      <w:pPr>
        <w:ind w:firstLine="367"/>
        <w:widowControl w:val="off"/>
        <w:rPr>
          <w:rFonts w:ascii="宋体" w:hAnsi="宋体" w:eastAsia="宋体"/>
          <w:bCs/>
          <w:color w:val="000000"/>
          <w:position w:val="-10"/>
          <w:szCs w:val="20"/>
          <w:lang w:eastAsia="zh-CN"/>
        </w:rPr>
        <w:outlineLvl w:val="1"/>
      </w:pPr>
      <w:r>
        <w:rPr>
          <w:rFonts w:hint="eastAsia" w:ascii="宋体" w:hAnsi="宋体" w:eastAsia="宋体"/>
          <w:bCs/>
          <w:color w:val="000000"/>
          <w:position w:val="-10"/>
          <w:szCs w:val="20"/>
          <w:lang w:eastAsia="zh-CN"/>
        </w:rPr>
        <w:t xml:space="preserve">3、投标产品各项单价不得超过上述规定的单价最高限价</w:t>
      </w:r>
      <w:r/>
    </w:p>
    <w:p>
      <w:pPr>
        <w:ind w:firstLine="367"/>
        <w:widowControl w:val="off"/>
        <w:rPr>
          <w:rFonts w:hint="eastAsia" w:ascii="宋体" w:hAnsi="宋体" w:eastAsia="宋体"/>
          <w:bCs/>
          <w:color w:val="000000"/>
          <w:position w:val="-10"/>
          <w:szCs w:val="20"/>
          <w:lang w:eastAsia="zh-CN"/>
        </w:rPr>
        <w:outlineLvl w:val="1"/>
      </w:pPr>
      <w:r>
        <w:rPr>
          <w:rFonts w:hint="eastAsia" w:ascii="宋体" w:hAnsi="宋体" w:eastAsia="宋体"/>
          <w:bCs/>
          <w:color w:val="000000"/>
          <w:position w:val="-10"/>
          <w:szCs w:val="20"/>
          <w:lang w:eastAsia="zh-CN"/>
        </w:rPr>
        <w:t xml:space="preserve">4、需在“报价明细表（分项报价表）2” ，注明投标产品品牌、型号、制造商、分项价格等信息</w:t>
      </w:r>
      <w:r/>
    </w:p>
    <w:p>
      <w:pPr>
        <w:pStyle w:val="1002"/>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r>
      <w:r/>
    </w:p>
    <w:p>
      <w:pPr>
        <w:pStyle w:val="1002"/>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t xml:space="preserve">采购包3  1.5T磁共振成像系统</w:t>
      </w:r>
      <w:r/>
    </w:p>
    <w:tbl>
      <w:tblPr>
        <w:tblStyle w:val="986"/>
        <w:tblW w:w="10120" w:type="dxa"/>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50"/>
        <w:gridCol w:w="2062"/>
        <w:gridCol w:w="348"/>
        <w:gridCol w:w="348"/>
        <w:gridCol w:w="1003"/>
        <w:gridCol w:w="1003"/>
        <w:gridCol w:w="1564"/>
        <w:gridCol w:w="561"/>
        <w:gridCol w:w="1919"/>
        <w:gridCol w:w="962"/>
      </w:tblGrid>
      <w:tr>
        <w:trPr>
          <w:jc w:val="center"/>
          <w:tblHeader/>
        </w:trPr>
        <w:tc>
          <w:tcPr>
            <w:tcW w:w="350"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000000"/>
                <w:sz w:val="22"/>
                <w:szCs w:val="22"/>
              </w:rPr>
            </w:pPr>
            <w:r>
              <w:rPr>
                <w:rFonts w:hint="eastAsia" w:ascii="宋体" w:hAnsi="宋体" w:eastAsia="宋体" w:cs="宋体"/>
                <w:b/>
                <w:bCs/>
                <w:color w:val="000000"/>
                <w:sz w:val="22"/>
                <w:szCs w:val="22"/>
                <w:lang w:val="en-US" w:eastAsia="zh-CN"/>
              </w:rPr>
              <w:t xml:space="preserve">序号</w:t>
            </w:r>
            <w:r/>
          </w:p>
        </w:tc>
        <w:tc>
          <w:tcPr>
            <w:tcW w:w="206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lang w:val="en-US" w:eastAsia="zh-CN"/>
              </w:rPr>
              <w:t xml:space="preserve">分项</w:t>
            </w:r>
            <w:r>
              <w:rPr>
                <w:rFonts w:hint="eastAsia" w:ascii="宋体" w:hAnsi="宋体" w:eastAsia="宋体" w:cs="宋体"/>
                <w:b/>
                <w:bCs/>
                <w:color w:val="000000"/>
                <w:sz w:val="22"/>
                <w:szCs w:val="22"/>
              </w:rPr>
              <w:t xml:space="preserve">名称</w:t>
            </w:r>
            <w:r/>
          </w:p>
        </w:tc>
        <w:tc>
          <w:tcPr>
            <w:tcW w:w="3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tcW w:w="3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c>
          <w:tcPr>
            <w:tcW w:w="10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lang w:eastAsia="zh-CN"/>
              </w:rPr>
            </w:pPr>
            <w:r>
              <w:rPr>
                <w:rFonts w:hint="eastAsia" w:ascii="宋体" w:hAnsi="宋体" w:eastAsia="宋体" w:cs="宋体"/>
                <w:b/>
                <w:bCs/>
                <w:color w:val="000000"/>
                <w:sz w:val="22"/>
                <w:szCs w:val="22"/>
                <w:lang w:eastAsia="zh-CN"/>
              </w:rPr>
              <w:t xml:space="preserve">单价上限</w:t>
            </w:r>
            <w:r/>
          </w:p>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lang w:val="en-US" w:eastAsia="zh-CN"/>
              </w:rPr>
              <w:t xml:space="preserve">万元</w:t>
            </w:r>
            <w:r>
              <w:rPr>
                <w:rFonts w:hint="eastAsia" w:ascii="宋体" w:hAnsi="宋体" w:eastAsia="宋体" w:cs="宋体"/>
                <w:b/>
                <w:bCs/>
                <w:color w:val="000000"/>
                <w:sz w:val="22"/>
                <w:szCs w:val="22"/>
                <w:lang w:eastAsia="zh-CN"/>
              </w:rPr>
              <w:t xml:space="preserve">）</w:t>
            </w:r>
            <w:r/>
          </w:p>
        </w:tc>
        <w:tc>
          <w:tcPr>
            <w:tcW w:w="10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产品类型</w:t>
            </w:r>
            <w:r/>
          </w:p>
        </w:tc>
        <w:tc>
          <w:tcPr>
            <w:tcW w:w="15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lang w:val="en-US" w:eastAsia="zh-CN"/>
              </w:rPr>
              <w:t xml:space="preserve">中小企业划分标准</w:t>
            </w:r>
            <w:r>
              <w:rPr>
                <w:rFonts w:hint="eastAsia" w:ascii="宋体" w:hAnsi="宋体" w:eastAsia="宋体" w:cs="宋体"/>
                <w:b/>
                <w:bCs/>
                <w:color w:val="000000"/>
                <w:sz w:val="22"/>
              </w:rPr>
              <w:t xml:space="preserve">所属</w:t>
            </w:r>
            <w:r>
              <w:rPr>
                <w:rFonts w:hint="eastAsia" w:ascii="宋体" w:hAnsi="宋体" w:eastAsia="宋体" w:cs="宋体"/>
                <w:b/>
                <w:bCs/>
                <w:color w:val="000000"/>
                <w:sz w:val="22"/>
                <w:lang w:eastAsia="zh-CN"/>
              </w:rPr>
              <w:t xml:space="preserve">行业</w:t>
            </w:r>
            <w:r/>
          </w:p>
        </w:tc>
        <w:tc>
          <w:tcPr>
            <w:tcW w:w="56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属性</w:t>
            </w:r>
            <w:r/>
          </w:p>
        </w:tc>
        <w:tc>
          <w:tcPr>
            <w:tcW w:w="1919" w:type="dxa"/>
            <w:vAlign w:val="center"/>
            <w:textDirection w:val="lrTb"/>
            <w:noWrap w:val="false"/>
          </w:tcPr>
          <w:p>
            <w:pPr>
              <w:pStyle w:val="702"/>
              <w:numPr>
                <w:ilvl w:val="0"/>
                <w:numId w:val="0"/>
              </w:numPr>
              <w:ind w:left="0" w:right="0" w:firstLine="0"/>
              <w:jc w:val="center"/>
              <w:spacing w:line="240" w:lineRule="auto"/>
              <w:rPr>
                <w:rFonts w:hint="eastAsia" w:ascii="宋体" w:hAnsi="宋体" w:eastAsia="宋体" w:cs="Times New Roman"/>
                <w:b/>
                <w:bCs/>
                <w:color w:val="000000"/>
                <w:sz w:val="22"/>
              </w:rPr>
            </w:pPr>
            <w:r>
              <w:rPr>
                <w:rFonts w:hint="eastAsia" w:ascii="宋体" w:hAnsi="宋体" w:eastAsia="宋体" w:cs="Times New Roman"/>
                <w:b/>
                <w:bCs/>
                <w:color w:val="000000"/>
                <w:sz w:val="22"/>
              </w:rPr>
              <w:t xml:space="preserve">政府强制采购节能产品</w:t>
            </w:r>
            <w:r/>
          </w:p>
          <w:p>
            <w:pPr>
              <w:pStyle w:val="702"/>
              <w:numPr>
                <w:ilvl w:val="0"/>
                <w:numId w:val="0"/>
              </w:numPr>
              <w:ind w:left="0" w:right="0" w:firstLine="0"/>
              <w:jc w:val="center"/>
              <w:spacing w:line="240" w:lineRule="auto"/>
              <w:rPr>
                <w:rFonts w:hint="eastAsia" w:ascii="宋体" w:hAnsi="宋体" w:eastAsia="宋体" w:cs="Times New Roman"/>
                <w:b/>
                <w:bCs/>
                <w:color w:val="000000"/>
                <w:sz w:val="22"/>
                <w:szCs w:val="22"/>
                <w:lang w:val="en-US" w:eastAsia="zh-CN"/>
              </w:rPr>
            </w:pPr>
            <w:r>
              <w:rPr>
                <w:rFonts w:hint="eastAsia" w:ascii="宋体" w:hAnsi="宋体" w:eastAsia="宋体" w:cs="Times New Roman"/>
                <w:b/>
                <w:bCs/>
                <w:color w:val="000000"/>
                <w:sz w:val="22"/>
                <w:lang w:eastAsia="zh-CN"/>
              </w:rPr>
              <w:t xml:space="preserve">（</w:t>
            </w:r>
            <w:r>
              <w:rPr>
                <w:rFonts w:hint="eastAsia" w:ascii="宋体" w:hAnsi="宋体" w:eastAsia="宋体" w:cs="Times New Roman"/>
                <w:b/>
                <w:bCs/>
                <w:color w:val="000000"/>
                <w:sz w:val="22"/>
                <w:lang w:val="en-US" w:eastAsia="zh-CN"/>
              </w:rPr>
              <w:t xml:space="preserve">如有</w:t>
            </w:r>
            <w:r>
              <w:rPr>
                <w:rFonts w:hint="eastAsia" w:ascii="宋体" w:hAnsi="宋体" w:eastAsia="宋体" w:cs="Times New Roman"/>
                <w:b/>
                <w:bCs/>
                <w:color w:val="000000"/>
                <w:sz w:val="22"/>
                <w:lang w:eastAsia="zh-CN"/>
              </w:rPr>
              <w:t xml:space="preserve">）</w:t>
            </w:r>
            <w:r/>
          </w:p>
        </w:tc>
        <w:tc>
          <w:tcPr>
            <w:tcW w:w="962"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Times New Roman"/>
                <w:b/>
                <w:bCs/>
                <w:color w:val="000000"/>
                <w:sz w:val="22"/>
                <w:szCs w:val="22"/>
              </w:rPr>
            </w:pPr>
            <w:r>
              <w:rPr>
                <w:rFonts w:hint="eastAsia" w:ascii="宋体" w:hAnsi="宋体" w:eastAsia="宋体" w:cs="Times New Roman"/>
                <w:b/>
                <w:bCs/>
                <w:color w:val="000000"/>
                <w:sz w:val="22"/>
                <w:szCs w:val="22"/>
                <w:lang w:val="en-US" w:eastAsia="zh-CN"/>
              </w:rPr>
              <w:t xml:space="preserve">医院名称</w:t>
            </w:r>
            <w:r/>
          </w:p>
        </w:tc>
      </w:tr>
      <w:tr>
        <w:trPr>
          <w:jc w:val="center"/>
        </w:trPr>
        <w:tc>
          <w:tcPr>
            <w:tcW w:w="350" w:type="dxa"/>
            <w:vAlign w:val="center"/>
            <w:textDirection w:val="lrTb"/>
            <w:noWrap w:val="false"/>
          </w:tcPr>
          <w:p>
            <w:pPr>
              <w:ind w:left="0" w:right="0" w:firstLine="0"/>
              <w:jc w:val="center"/>
              <w:spacing w:line="240" w:lineRule="auto"/>
              <w:rPr>
                <w:rFonts w:hint="eastAsia" w:ascii="宋体" w:hAnsi="宋体" w:eastAsia="宋体" w:cs="宋体"/>
                <w:bCs/>
                <w:color w:val="000000"/>
                <w:sz w:val="21"/>
                <w:szCs w:val="22"/>
                <w:u w:val="single"/>
              </w:rPr>
            </w:pPr>
            <w:r>
              <w:rPr>
                <w:rFonts w:hint="eastAsia" w:ascii="宋体" w:hAnsi="宋体" w:eastAsia="宋体" w:cs="宋体"/>
                <w:bCs/>
                <w:color w:val="000000"/>
                <w:sz w:val="21"/>
                <w:u w:val="single"/>
              </w:rPr>
              <w:t xml:space="preserve">1</w:t>
            </w:r>
            <w:r/>
          </w:p>
        </w:tc>
        <w:tc>
          <w:tcPr>
            <w:tcW w:w="2062" w:type="dxa"/>
            <w:vAlign w:val="center"/>
            <w:textDirection w:val="lrTb"/>
            <w:noWrap w:val="false"/>
          </w:tcPr>
          <w:p>
            <w:pPr>
              <w:ind w:left="0" w:right="0" w:firstLine="0"/>
              <w:jc w:val="left"/>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1.5T磁共振成像设备</w:t>
            </w:r>
            <w:r/>
          </w:p>
        </w:tc>
        <w:tc>
          <w:tcPr>
            <w:tcW w:w="348"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1</w:t>
            </w:r>
            <w:r/>
          </w:p>
        </w:tc>
        <w:tc>
          <w:tcPr>
            <w:tcW w:w="348"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台</w:t>
            </w:r>
            <w:r/>
          </w:p>
        </w:tc>
        <w:tc>
          <w:tcPr>
            <w:tcW w:w="1003"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575</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none"/>
                <w:lang w:val="en-US" w:eastAsia="zh-CN"/>
              </w:rPr>
              <w:t xml:space="preserve">核心产品</w:t>
            </w:r>
            <w:r/>
          </w:p>
        </w:tc>
        <w:tc>
          <w:tcPr>
            <w:tcW w:w="1564"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919" w:type="dxa"/>
            <w:vAlign w:val="center"/>
            <w:vMerge w:val="restart"/>
            <w:textDirection w:val="lrTb"/>
            <w:noWrap w:val="false"/>
          </w:tcPr>
          <w:p>
            <w:pPr>
              <w:ind w:left="0" w:right="0" w:firstLine="0"/>
              <w:jc w:val="center"/>
              <w:keepLines w:val="0"/>
              <w:keepNext w:val="0"/>
              <w:widowControl/>
              <w:rPr>
                <w:rFonts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w:t>
            </w:r>
            <w:r/>
          </w:p>
        </w:tc>
        <w:tc>
          <w:tcPr>
            <w:tcW w:w="962" w:type="dxa"/>
            <w:vAlign w:val="center"/>
            <w:vMerge w:val="restart"/>
            <w:textDirection w:val="lrTb"/>
            <w:noWrap w:val="false"/>
          </w:tcPr>
          <w:p>
            <w:pPr>
              <w:ind w:left="0" w:right="0" w:firstLine="0"/>
              <w:jc w:val="center"/>
              <w:keepLines w:val="0"/>
              <w:keepNext w:val="0"/>
              <w:widowControl/>
              <w:rPr>
                <w:rFonts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南京市口腔医院</w:t>
            </w:r>
            <w:r/>
          </w:p>
        </w:tc>
      </w:tr>
      <w:tr>
        <w:trPr>
          <w:jc w:val="center"/>
        </w:trPr>
        <w:tc>
          <w:tcPr>
            <w:tcW w:w="350" w:type="dxa"/>
            <w:vAlign w:val="center"/>
            <w:textDirection w:val="lrTb"/>
            <w:noWrap w:val="false"/>
          </w:tcPr>
          <w:p>
            <w:pPr>
              <w:ind w:left="0" w:right="0" w:firstLine="0"/>
              <w:jc w:val="center"/>
              <w:spacing w:line="240" w:lineRule="auto"/>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u w:val="single"/>
              </w:rPr>
              <w:t xml:space="preserve">2</w:t>
            </w:r>
            <w:r/>
          </w:p>
        </w:tc>
        <w:tc>
          <w:tcPr>
            <w:tcW w:w="2062" w:type="dxa"/>
            <w:vAlign w:val="center"/>
            <w:textDirection w:val="lrTb"/>
            <w:noWrap w:val="false"/>
          </w:tcPr>
          <w:p>
            <w:pPr>
              <w:ind w:left="0" w:right="0" w:firstLine="0"/>
              <w:jc w:val="left"/>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精密空调</w:t>
            </w:r>
            <w:r/>
          </w:p>
        </w:tc>
        <w:tc>
          <w:tcPr>
            <w:tcW w:w="348"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1</w:t>
            </w:r>
            <w:r/>
          </w:p>
        </w:tc>
        <w:tc>
          <w:tcPr>
            <w:tcW w:w="348"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台</w:t>
            </w:r>
            <w:r/>
          </w:p>
        </w:tc>
        <w:tc>
          <w:tcPr>
            <w:tcW w:w="1003"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9</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64"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91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spacing w:line="240" w:lineRule="auto"/>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u w:val="single"/>
              </w:rPr>
              <w:t xml:space="preserve">3</w:t>
            </w:r>
            <w:r/>
          </w:p>
        </w:tc>
        <w:tc>
          <w:tcPr>
            <w:tcW w:w="2062" w:type="dxa"/>
            <w:vAlign w:val="center"/>
            <w:textDirection w:val="lrTb"/>
            <w:noWrap w:val="false"/>
          </w:tcPr>
          <w:p>
            <w:pPr>
              <w:ind w:left="0" w:right="0" w:firstLine="0"/>
              <w:jc w:val="left"/>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水冷机组</w:t>
            </w:r>
            <w:r/>
          </w:p>
        </w:tc>
        <w:tc>
          <w:tcPr>
            <w:tcW w:w="348"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1</w:t>
            </w:r>
            <w:r/>
          </w:p>
        </w:tc>
        <w:tc>
          <w:tcPr>
            <w:tcW w:w="348"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台</w:t>
            </w:r>
            <w:r/>
          </w:p>
        </w:tc>
        <w:tc>
          <w:tcPr>
            <w:tcW w:w="1003"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9</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64"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91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spacing w:line="240" w:lineRule="auto"/>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u w:val="single"/>
              </w:rPr>
              <w:t xml:space="preserve">4</w:t>
            </w:r>
            <w:r/>
          </w:p>
        </w:tc>
        <w:tc>
          <w:tcPr>
            <w:tcW w:w="2062" w:type="dxa"/>
            <w:vAlign w:val="center"/>
            <w:textDirection w:val="lrTb"/>
            <w:noWrap w:val="false"/>
          </w:tcPr>
          <w:p>
            <w:pPr>
              <w:ind w:left="0" w:right="0" w:firstLine="0"/>
              <w:jc w:val="left"/>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无磁监视系统</w:t>
            </w:r>
            <w:r/>
          </w:p>
        </w:tc>
        <w:tc>
          <w:tcPr>
            <w:tcW w:w="348"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1</w:t>
            </w:r>
            <w:r/>
          </w:p>
        </w:tc>
        <w:tc>
          <w:tcPr>
            <w:tcW w:w="348"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台</w:t>
            </w:r>
            <w:r/>
          </w:p>
        </w:tc>
        <w:tc>
          <w:tcPr>
            <w:tcW w:w="1003"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0.5</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64"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91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spacing w:line="240" w:lineRule="auto"/>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u w:val="single"/>
              </w:rPr>
              <w:t xml:space="preserve">5</w:t>
            </w:r>
            <w:r/>
          </w:p>
        </w:tc>
        <w:tc>
          <w:tcPr>
            <w:tcW w:w="2062" w:type="dxa"/>
            <w:vAlign w:val="center"/>
            <w:textDirection w:val="lrTb"/>
            <w:noWrap w:val="false"/>
          </w:tcPr>
          <w:p>
            <w:pPr>
              <w:ind w:left="0" w:right="0" w:firstLine="0"/>
              <w:jc w:val="left"/>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无磁升降转运床</w:t>
            </w:r>
            <w:r/>
          </w:p>
        </w:tc>
        <w:tc>
          <w:tcPr>
            <w:tcW w:w="348"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1</w:t>
            </w:r>
            <w:r/>
          </w:p>
        </w:tc>
        <w:tc>
          <w:tcPr>
            <w:tcW w:w="348"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张</w:t>
            </w:r>
            <w:r/>
          </w:p>
        </w:tc>
        <w:tc>
          <w:tcPr>
            <w:tcW w:w="1003"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6</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64"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91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spacing w:line="240" w:lineRule="auto"/>
              <w:rPr>
                <w:rFonts w:hint="eastAsia" w:ascii="宋体" w:hAnsi="宋体" w:eastAsia="宋体" w:cs="宋体"/>
                <w:bCs/>
                <w:color w:val="000000"/>
                <w:sz w:val="21"/>
                <w:szCs w:val="22"/>
                <w:u w:val="single"/>
                <w:lang w:val="en-US" w:eastAsia="zh-CN"/>
              </w:rPr>
            </w:pPr>
            <w:r>
              <w:rPr>
                <w:rFonts w:hint="eastAsia" w:ascii="宋体" w:hAnsi="宋体" w:eastAsia="宋体" w:cs="宋体"/>
                <w:bCs/>
                <w:color w:val="000000"/>
                <w:sz w:val="21"/>
                <w:u w:val="single"/>
              </w:rPr>
              <w:t xml:space="preserve">6</w:t>
            </w:r>
            <w:r/>
          </w:p>
        </w:tc>
        <w:tc>
          <w:tcPr>
            <w:tcW w:w="2062" w:type="dxa"/>
            <w:vAlign w:val="center"/>
            <w:textDirection w:val="lrTb"/>
            <w:noWrap w:val="false"/>
          </w:tcPr>
          <w:p>
            <w:pPr>
              <w:ind w:left="0" w:right="0" w:firstLine="0"/>
              <w:jc w:val="left"/>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无磁转运椅</w:t>
            </w:r>
            <w:r/>
          </w:p>
        </w:tc>
        <w:tc>
          <w:tcPr>
            <w:tcW w:w="348" w:type="dxa"/>
            <w:vAlign w:val="center"/>
            <w:textDirection w:val="lrTb"/>
            <w:noWrap w:val="false"/>
          </w:tcPr>
          <w:p>
            <w:pPr>
              <w:ind w:left="0" w:right="0" w:firstLine="0"/>
              <w:jc w:val="center"/>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1</w:t>
            </w:r>
            <w:r/>
          </w:p>
        </w:tc>
        <w:tc>
          <w:tcPr>
            <w:tcW w:w="348" w:type="dxa"/>
            <w:vAlign w:val="center"/>
            <w:textDirection w:val="lrTb"/>
            <w:noWrap w:val="false"/>
          </w:tcPr>
          <w:p>
            <w:pPr>
              <w:ind w:left="0" w:right="0" w:firstLine="0"/>
              <w:jc w:val="center"/>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部</w:t>
            </w:r>
            <w:r/>
          </w:p>
        </w:tc>
        <w:tc>
          <w:tcPr>
            <w:tcW w:w="1003"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3</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64"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91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spacing w:line="240" w:lineRule="auto"/>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u w:val="single"/>
              </w:rPr>
              <w:t xml:space="preserve">7</w:t>
            </w:r>
            <w:r/>
          </w:p>
        </w:tc>
        <w:tc>
          <w:tcPr>
            <w:tcW w:w="2062" w:type="dxa"/>
            <w:vAlign w:val="center"/>
            <w:textDirection w:val="lrTb"/>
            <w:noWrap w:val="false"/>
          </w:tcPr>
          <w:p>
            <w:pPr>
              <w:ind w:left="0" w:right="0" w:firstLine="0"/>
              <w:jc w:val="left"/>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无磁灭火器</w:t>
            </w:r>
            <w:r/>
          </w:p>
        </w:tc>
        <w:tc>
          <w:tcPr>
            <w:tcW w:w="348"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1</w:t>
            </w:r>
            <w:r/>
          </w:p>
        </w:tc>
        <w:tc>
          <w:tcPr>
            <w:tcW w:w="348" w:type="dxa"/>
            <w:vAlign w:val="center"/>
            <w:textDirection w:val="lrTb"/>
            <w:noWrap w:val="false"/>
          </w:tcPr>
          <w:p>
            <w:pPr>
              <w:ind w:left="0" w:right="0" w:firstLine="0"/>
              <w:jc w:val="center"/>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个</w:t>
            </w:r>
            <w:r/>
          </w:p>
        </w:tc>
        <w:tc>
          <w:tcPr>
            <w:tcW w:w="1003" w:type="dxa"/>
            <w:vAlign w:val="center"/>
            <w:textDirection w:val="lrTb"/>
            <w:noWrap w:val="false"/>
          </w:tcPr>
          <w:p>
            <w:pPr>
              <w:ind w:left="0" w:right="0" w:firstLine="0"/>
              <w:jc w:val="center"/>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0.5</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564"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91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spacing w:line="240" w:lineRule="auto"/>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u w:val="single"/>
              </w:rPr>
              <w:t xml:space="preserve">8</w:t>
            </w:r>
            <w:r/>
          </w:p>
        </w:tc>
        <w:tc>
          <w:tcPr>
            <w:tcW w:w="2062" w:type="dxa"/>
            <w:vAlign w:val="center"/>
            <w:textDirection w:val="lrTb"/>
            <w:noWrap w:val="false"/>
          </w:tcPr>
          <w:p>
            <w:pPr>
              <w:ind w:left="0" w:right="0" w:firstLine="0"/>
              <w:jc w:val="left"/>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磁共振专用双立柱智能铁磁探测系统</w:t>
            </w:r>
            <w:r/>
          </w:p>
        </w:tc>
        <w:tc>
          <w:tcPr>
            <w:tcW w:w="348" w:type="dxa"/>
            <w:vAlign w:val="center"/>
            <w:textDirection w:val="lrTb"/>
            <w:noWrap w:val="false"/>
          </w:tcPr>
          <w:p>
            <w:pPr>
              <w:ind w:left="0" w:right="0" w:firstLine="0"/>
              <w:jc w:val="center"/>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1</w:t>
            </w:r>
            <w:r/>
          </w:p>
        </w:tc>
        <w:tc>
          <w:tcPr>
            <w:tcW w:w="348" w:type="dxa"/>
            <w:vAlign w:val="center"/>
            <w:textDirection w:val="lrTb"/>
            <w:noWrap w:val="false"/>
          </w:tcPr>
          <w:p>
            <w:pPr>
              <w:ind w:left="0" w:right="0" w:firstLine="0"/>
              <w:jc w:val="center"/>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套</w:t>
            </w:r>
            <w:r/>
          </w:p>
        </w:tc>
        <w:tc>
          <w:tcPr>
            <w:tcW w:w="1003"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25</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bidi="ar-SA"/>
              </w:rPr>
            </w:r>
            <w:r/>
          </w:p>
        </w:tc>
        <w:tc>
          <w:tcPr>
            <w:tcW w:w="1564"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91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spacing w:line="240" w:lineRule="auto"/>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u w:val="single"/>
              </w:rPr>
              <w:t xml:space="preserve">9</w:t>
            </w:r>
            <w:r/>
          </w:p>
        </w:tc>
        <w:tc>
          <w:tcPr>
            <w:tcW w:w="2062" w:type="dxa"/>
            <w:vAlign w:val="center"/>
            <w:textDirection w:val="lrTb"/>
            <w:noWrap w:val="false"/>
          </w:tcPr>
          <w:p>
            <w:pPr>
              <w:ind w:left="0" w:right="0" w:firstLine="0"/>
              <w:jc w:val="left"/>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无磁信息化双筒高压注射器</w:t>
            </w:r>
            <w:r/>
          </w:p>
        </w:tc>
        <w:tc>
          <w:tcPr>
            <w:tcW w:w="348"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1</w:t>
            </w:r>
            <w:r/>
          </w:p>
        </w:tc>
        <w:tc>
          <w:tcPr>
            <w:tcW w:w="348" w:type="dxa"/>
            <w:vAlign w:val="center"/>
            <w:textDirection w:val="lrTb"/>
            <w:noWrap w:val="false"/>
          </w:tcPr>
          <w:p>
            <w:pPr>
              <w:ind w:left="0" w:right="0" w:firstLine="0"/>
              <w:jc w:val="center"/>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台</w:t>
            </w:r>
            <w:r/>
          </w:p>
        </w:tc>
        <w:tc>
          <w:tcPr>
            <w:tcW w:w="1003"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20</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bidi="ar-SA"/>
              </w:rPr>
            </w:r>
            <w:r/>
          </w:p>
        </w:tc>
        <w:tc>
          <w:tcPr>
            <w:tcW w:w="1564"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191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spacing w:line="240" w:lineRule="auto"/>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u w:val="single"/>
              </w:rPr>
              <w:t xml:space="preserve">10</w:t>
            </w:r>
            <w:r/>
          </w:p>
        </w:tc>
        <w:tc>
          <w:tcPr>
            <w:tcW w:w="2062" w:type="dxa"/>
            <w:vAlign w:val="center"/>
            <w:textDirection w:val="lrTb"/>
            <w:noWrap w:val="false"/>
          </w:tcPr>
          <w:p>
            <w:pPr>
              <w:ind w:left="0" w:right="0" w:firstLine="0"/>
              <w:jc w:val="left"/>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机房装修屏蔽及第三方检测</w:t>
            </w:r>
            <w:r/>
          </w:p>
        </w:tc>
        <w:tc>
          <w:tcPr>
            <w:tcW w:w="348" w:type="dxa"/>
            <w:vAlign w:val="center"/>
            <w:textDirection w:val="lrTb"/>
            <w:noWrap w:val="false"/>
          </w:tcPr>
          <w:p>
            <w:pPr>
              <w:ind w:left="0" w:right="0" w:firstLine="0"/>
              <w:jc w:val="center"/>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1</w:t>
            </w:r>
            <w:r/>
          </w:p>
        </w:tc>
        <w:tc>
          <w:tcPr>
            <w:tcW w:w="348" w:type="dxa"/>
            <w:vAlign w:val="center"/>
            <w:textDirection w:val="lrTb"/>
            <w:noWrap w:val="false"/>
          </w:tcPr>
          <w:p>
            <w:pPr>
              <w:ind w:left="0" w:right="0" w:firstLine="0"/>
              <w:jc w:val="center"/>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项</w:t>
            </w:r>
            <w:r/>
          </w:p>
        </w:tc>
        <w:tc>
          <w:tcPr>
            <w:tcW w:w="1003"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36</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bidi="ar-SA"/>
              </w:rPr>
            </w:r>
            <w:r/>
          </w:p>
        </w:tc>
        <w:tc>
          <w:tcPr>
            <w:tcW w:w="1564"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91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r>
        <w:trPr>
          <w:jc w:val="center"/>
        </w:trPr>
        <w:tc>
          <w:tcPr>
            <w:tcW w:w="350" w:type="dxa"/>
            <w:vAlign w:val="center"/>
            <w:textDirection w:val="lrTb"/>
            <w:noWrap w:val="false"/>
          </w:tcPr>
          <w:p>
            <w:pPr>
              <w:ind w:left="0" w:right="0" w:firstLine="0"/>
              <w:jc w:val="center"/>
              <w:spacing w:line="240" w:lineRule="auto"/>
              <w:rPr>
                <w:rFonts w:ascii="宋体" w:hAnsi="宋体" w:eastAsia="宋体" w:cs="宋体"/>
                <w:bCs/>
                <w:color w:val="000000"/>
                <w:sz w:val="21"/>
                <w:szCs w:val="22"/>
                <w:u w:val="single"/>
                <w:lang w:val="en-US" w:eastAsia="zh-CN"/>
              </w:rPr>
            </w:pPr>
            <w:r>
              <w:rPr>
                <w:rFonts w:hint="eastAsia" w:ascii="宋体" w:hAnsi="宋体" w:eastAsia="宋体" w:cs="宋体"/>
                <w:bCs/>
                <w:color w:val="000000"/>
                <w:sz w:val="21"/>
                <w:u w:val="single"/>
              </w:rPr>
              <w:t xml:space="preserve">1</w:t>
            </w:r>
            <w:r>
              <w:rPr>
                <w:rFonts w:ascii="宋体" w:hAnsi="宋体" w:eastAsia="宋体" w:cs="宋体"/>
                <w:bCs/>
                <w:color w:val="000000"/>
                <w:sz w:val="21"/>
                <w:u w:val="single"/>
              </w:rPr>
              <w:t xml:space="preserve">1</w:t>
            </w:r>
            <w:r/>
          </w:p>
        </w:tc>
        <w:tc>
          <w:tcPr>
            <w:tcW w:w="2062" w:type="dxa"/>
            <w:vAlign w:val="center"/>
            <w:textDirection w:val="lrTb"/>
            <w:noWrap w:val="false"/>
          </w:tcPr>
          <w:p>
            <w:pPr>
              <w:ind w:left="0" w:right="0" w:firstLine="0"/>
              <w:jc w:val="left"/>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医用显示器</w:t>
            </w:r>
            <w:r>
              <w:rPr>
                <w:rFonts w:hint="eastAsia" w:ascii="宋体" w:hAnsi="宋体" w:eastAsia="宋体" w:cs="Times New Roman"/>
                <w:bCs/>
                <w:color w:val="000000"/>
                <w:position w:val="-10"/>
                <w:sz w:val="21"/>
                <w:szCs w:val="20"/>
                <w:lang w:eastAsia="zh-CN"/>
              </w:rPr>
              <w:t xml:space="preserve">（</w:t>
            </w:r>
            <w:r>
              <w:rPr>
                <w:rFonts w:hint="eastAsia" w:ascii="宋体" w:hAnsi="宋体" w:eastAsia="宋体" w:cs="Times New Roman"/>
                <w:bCs/>
                <w:color w:val="000000"/>
                <w:position w:val="-10"/>
                <w:sz w:val="21"/>
                <w:szCs w:val="20"/>
              </w:rPr>
              <w:t xml:space="preserve">4M</w:t>
            </w:r>
            <w:r>
              <w:rPr>
                <w:rFonts w:hint="eastAsia" w:ascii="宋体" w:hAnsi="宋体" w:eastAsia="宋体" w:cs="Times New Roman"/>
                <w:bCs/>
                <w:color w:val="000000"/>
                <w:position w:val="-10"/>
                <w:sz w:val="21"/>
                <w:szCs w:val="20"/>
                <w:lang w:eastAsia="zh-CN"/>
              </w:rPr>
              <w:t xml:space="preserve">）</w:t>
            </w:r>
            <w:r/>
          </w:p>
        </w:tc>
        <w:tc>
          <w:tcPr>
            <w:tcW w:w="348" w:type="dxa"/>
            <w:vAlign w:val="center"/>
            <w:textDirection w:val="lrTb"/>
            <w:noWrap w:val="false"/>
          </w:tcPr>
          <w:p>
            <w:pPr>
              <w:ind w:left="0" w:right="0" w:firstLine="0"/>
              <w:jc w:val="center"/>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4</w:t>
            </w:r>
            <w:r/>
          </w:p>
        </w:tc>
        <w:tc>
          <w:tcPr>
            <w:tcW w:w="348" w:type="dxa"/>
            <w:vAlign w:val="center"/>
            <w:textDirection w:val="lrTb"/>
            <w:noWrap w:val="false"/>
          </w:tcPr>
          <w:p>
            <w:pPr>
              <w:ind w:left="0" w:right="0" w:firstLine="0"/>
              <w:jc w:val="center"/>
              <w:rPr>
                <w:rFonts w:hint="eastAsia"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台</w:t>
            </w:r>
            <w:r/>
          </w:p>
        </w:tc>
        <w:tc>
          <w:tcPr>
            <w:tcW w:w="1003" w:type="dxa"/>
            <w:vAlign w:val="center"/>
            <w:textDirection w:val="lrTb"/>
            <w:noWrap w:val="false"/>
          </w:tcPr>
          <w:p>
            <w:pPr>
              <w:ind w:left="0" w:right="0" w:firstLine="0"/>
              <w:jc w:val="center"/>
              <w:rPr>
                <w:rFonts w:ascii="宋体" w:hAnsi="宋体" w:eastAsia="宋体" w:cs="Times New Roman"/>
                <w:bCs/>
                <w:color w:val="000000"/>
                <w:position w:val="-10"/>
                <w:sz w:val="21"/>
                <w:szCs w:val="20"/>
                <w:lang w:val="en-US" w:eastAsia="zh-CN"/>
              </w:rPr>
            </w:pPr>
            <w:r>
              <w:rPr>
                <w:rFonts w:hint="eastAsia" w:ascii="宋体" w:hAnsi="宋体" w:eastAsia="宋体" w:cs="Times New Roman"/>
                <w:bCs/>
                <w:color w:val="000000"/>
                <w:position w:val="-10"/>
                <w:sz w:val="21"/>
                <w:szCs w:val="20"/>
              </w:rPr>
              <w:t xml:space="preserve">4</w:t>
            </w:r>
            <w:r/>
          </w:p>
        </w:tc>
        <w:tc>
          <w:tcPr>
            <w:tcW w:w="1003"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bidi="ar-SA"/>
              </w:rPr>
            </w:r>
            <w:r/>
          </w:p>
        </w:tc>
        <w:tc>
          <w:tcPr>
            <w:tcW w:w="1564"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bidi="ar-SA"/>
              </w:rPr>
              <w:suppressLineNumbers w:val="0"/>
            </w:pPr>
            <w:r>
              <w:rPr>
                <w:rFonts w:hint="eastAsia" w:ascii="宋体" w:hAnsi="宋体" w:eastAsia="宋体" w:cs="宋体"/>
                <w:bCs/>
                <w:color w:val="000000"/>
                <w:sz w:val="21"/>
                <w:szCs w:val="22"/>
                <w:u w:val="single"/>
                <w:lang w:val="en-US" w:eastAsia="zh-CN"/>
              </w:rPr>
              <w:t xml:space="preserve">工业</w:t>
            </w:r>
            <w:r/>
          </w:p>
        </w:tc>
        <w:tc>
          <w:tcPr>
            <w:tcW w:w="561" w:type="dxa"/>
            <w:vAlign w:val="center"/>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t xml:space="preserve">货物</w:t>
            </w:r>
            <w:r/>
          </w:p>
        </w:tc>
        <w:tc>
          <w:tcPr>
            <w:tcW w:w="191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c>
          <w:tcPr>
            <w:tcW w:w="9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Cs/>
                <w:color w:val="000000"/>
                <w:sz w:val="21"/>
                <w:szCs w:val="22"/>
                <w:u w:val="single"/>
                <w:lang w:val="en-US" w:eastAsia="zh-CN"/>
              </w:rPr>
              <w:suppressLineNumbers w:val="0"/>
            </w:pPr>
            <w:r>
              <w:rPr>
                <w:rFonts w:hint="eastAsia" w:ascii="宋体" w:hAnsi="宋体" w:eastAsia="宋体" w:cs="宋体"/>
                <w:bCs/>
                <w:color w:val="000000"/>
                <w:sz w:val="21"/>
                <w:szCs w:val="22"/>
                <w:u w:val="single"/>
                <w:lang w:val="en-US" w:eastAsia="zh-CN"/>
              </w:rPr>
            </w:r>
            <w:r/>
          </w:p>
        </w:tc>
      </w:tr>
    </w:tbl>
    <w:p>
      <w:pPr>
        <w:ind w:firstLine="420"/>
        <w:rPr>
          <w:rFonts w:ascii="宋体" w:hAnsi="宋体" w:eastAsia="宋体"/>
          <w:bCs/>
          <w:color w:val="000000"/>
          <w:position w:val="-10"/>
          <w:szCs w:val="20"/>
          <w:lang w:eastAsia="zh-CN"/>
        </w:rPr>
      </w:pPr>
      <w:r>
        <w:rPr>
          <w:rFonts w:hint="eastAsia" w:ascii="宋体" w:hAnsi="宋体" w:eastAsia="宋体"/>
          <w:bCs/>
          <w:color w:val="000000"/>
          <w:position w:val="-10"/>
          <w:szCs w:val="20"/>
          <w:lang w:eastAsia="zh-CN"/>
        </w:rPr>
        <w:t xml:space="preserve">1、以上项目为一个包，不接受投标产品缺漏</w:t>
      </w:r>
      <w:r/>
    </w:p>
    <w:p>
      <w:pPr>
        <w:ind w:firstLine="367"/>
        <w:widowControl w:val="off"/>
        <w:rPr>
          <w:rFonts w:ascii="宋体" w:hAnsi="宋体" w:eastAsia="宋体"/>
          <w:bCs/>
          <w:color w:val="000000"/>
          <w:position w:val="-10"/>
          <w:szCs w:val="20"/>
          <w:lang w:eastAsia="zh-CN"/>
        </w:rPr>
        <w:outlineLvl w:val="1"/>
      </w:pPr>
      <w:r>
        <w:rPr>
          <w:rFonts w:hint="eastAsia" w:ascii="宋体" w:hAnsi="宋体" w:eastAsia="宋体"/>
          <w:bCs/>
          <w:color w:val="000000"/>
          <w:position w:val="-10"/>
          <w:szCs w:val="20"/>
          <w:lang w:val="en-US" w:eastAsia="zh-CN"/>
        </w:rPr>
        <w:t xml:space="preserve">2</w:t>
      </w:r>
      <w:r>
        <w:rPr>
          <w:rFonts w:hint="eastAsia" w:ascii="宋体" w:hAnsi="宋体" w:eastAsia="宋体"/>
          <w:bCs/>
          <w:color w:val="000000"/>
          <w:position w:val="-10"/>
          <w:szCs w:val="20"/>
          <w:lang w:eastAsia="zh-CN"/>
        </w:rPr>
        <w:t xml:space="preserve">、投标产品各项单价不得超过上述规定的单价最高限价</w:t>
      </w:r>
      <w:r/>
    </w:p>
    <w:p>
      <w:pPr>
        <w:ind w:firstLine="367"/>
        <w:widowControl w:val="off"/>
        <w:rPr>
          <w:rFonts w:hint="eastAsia" w:ascii="宋体" w:hAnsi="宋体" w:eastAsia="宋体"/>
          <w:bCs/>
          <w:color w:val="000000"/>
          <w:position w:val="-10"/>
          <w:szCs w:val="20"/>
          <w:lang w:eastAsia="zh-CN"/>
        </w:rPr>
        <w:outlineLvl w:val="1"/>
      </w:pPr>
      <w:r>
        <w:rPr>
          <w:rFonts w:hint="eastAsia" w:ascii="宋体" w:hAnsi="宋体" w:eastAsia="宋体"/>
          <w:bCs/>
          <w:color w:val="000000"/>
          <w:position w:val="-10"/>
          <w:szCs w:val="20"/>
          <w:lang w:val="en-US" w:eastAsia="zh-CN"/>
        </w:rPr>
        <w:t xml:space="preserve">3</w:t>
      </w:r>
      <w:r>
        <w:rPr>
          <w:rFonts w:hint="eastAsia" w:ascii="宋体" w:hAnsi="宋体" w:eastAsia="宋体"/>
          <w:bCs/>
          <w:color w:val="000000"/>
          <w:position w:val="-10"/>
          <w:szCs w:val="20"/>
          <w:lang w:eastAsia="zh-CN"/>
        </w:rPr>
        <w:t xml:space="preserve">、需在“报价明细表（分项报价表）2” ，注明投标产品品牌、型号、制造商、分项价格等信息</w:t>
      </w:r>
      <w:r/>
    </w:p>
    <w:p>
      <w:pPr>
        <w:pStyle w:val="702"/>
        <w:rPr>
          <w:rFonts w:hint="eastAsia"/>
          <w:color w:val="000000"/>
        </w:rPr>
      </w:pPr>
      <w:r>
        <w:rPr>
          <w:rFonts w:hint="eastAsia"/>
          <w:color w:val="000000"/>
        </w:rPr>
      </w:r>
      <w:r/>
    </w:p>
    <w:p>
      <w:pPr>
        <w:ind w:right="0" w:firstLine="42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p>
    <w:p>
      <w:pPr>
        <w:pStyle w:val="702"/>
        <w:rPr>
          <w:rFonts w:hint="eastAsia"/>
          <w:color w:val="000000"/>
        </w:rPr>
      </w:pPr>
      <w:r>
        <w:rPr>
          <w:rFonts w:hint="eastAsia" w:ascii="黑体" w:hAnsi="黑体" w:eastAsia="黑体" w:cs="黑体"/>
          <w:bCs w:val="0"/>
          <w:color w:val="000000"/>
          <w:sz w:val="24"/>
          <w:szCs w:val="24"/>
          <w:lang w:val="en-US" w:eastAsia="zh-CN"/>
        </w:rPr>
        <w:t xml:space="preserve">采购包1  3.0T磁共振成像系统</w:t>
      </w:r>
      <w:r/>
    </w:p>
    <w:tbl>
      <w:tblPr>
        <w:tblStyle w:val="701"/>
        <w:tblW w:w="503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7044"/>
        <w:gridCol w:w="1851"/>
      </w:tblGrid>
      <w:tr>
        <w:trPr>
          <w:trHeight w:val="449"/>
        </w:trPr>
        <w:tc>
          <w:tcPr>
            <w:tcW w:w="1129" w:type="dxa"/>
            <w:vAlign w:val="center"/>
            <w:vMerge w:val="restart"/>
            <w:textDirection w:val="lrTb"/>
            <w:noWrap w:val="false"/>
          </w:tcPr>
          <w:p>
            <w:pPr>
              <w:ind w:right="0"/>
              <w:jc w:val="both"/>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★总体要求</w:t>
            </w:r>
            <w:r/>
          </w:p>
        </w:tc>
        <w:tc>
          <w:tcPr>
            <w:gridSpan w:val="2"/>
            <w:tcW w:w="8895" w:type="dxa"/>
            <w:vAlign w:val="center"/>
            <w:textDirection w:val="lrTb"/>
            <w:noWrap w:val="false"/>
          </w:tcPr>
          <w:p>
            <w:pPr>
              <w:ind w:right="0" w:firstLine="420"/>
              <w:jc w:val="left"/>
              <w:keepLines w:val="0"/>
              <w:keepNext w:val="0"/>
              <w:pageBreakBefore w:val="0"/>
              <w:spacing w:line="260" w:lineRule="exact"/>
              <w:widowControl/>
              <w:rPr>
                <w:rFonts w:hint="eastAsia" w:ascii="Times New Roman" w:hAnsi="Times New Roman" w:eastAsia="宋体" w:cs="Times New Roman"/>
                <w:b w:val="0"/>
                <w:bCs w:val="0"/>
                <w:i w:val="0"/>
                <w:iCs w:val="0"/>
                <w:color w:val="000000"/>
                <w:sz w:val="24"/>
                <w:szCs w:val="24"/>
                <w:highlight w:val="none"/>
                <w:u w:val="none"/>
                <w:lang w:val="en-US" w:eastAsia="zh-CN" w:bidi="ar-SA"/>
              </w:rPr>
              <w:suppressLineNumbers w:val="0"/>
            </w:pPr>
            <w:r>
              <w:rPr>
                <w:rFonts w:ascii="Times New Roman" w:hAnsi="Times New Roman" w:eastAsia="宋体" w:cs="Times New Roman"/>
                <w:b w:val="0"/>
                <w:bCs w:val="0"/>
                <w:color w:val="000000"/>
                <w:sz w:val="24"/>
                <w:szCs w:val="24"/>
                <w:highlight w:val="none"/>
                <w:lang w:val="en-US" w:eastAsia="zh-CN"/>
              </w:rPr>
              <w:t xml:space="preserve">1、</w:t>
            </w:r>
            <w:r>
              <w:rPr>
                <w:rFonts w:ascii="Times New Roman" w:hAnsi="Times New Roman" w:eastAsia="宋体" w:cs="Times New Roman"/>
                <w:i w:val="0"/>
                <w:iCs w:val="0"/>
                <w:color w:val="000000"/>
                <w:sz w:val="24"/>
                <w:szCs w:val="24"/>
                <w:highlight w:val="none"/>
                <w:u w:val="none"/>
                <w:lang w:val="en-US" w:eastAsia="zh-CN" w:bidi="ar"/>
              </w:rPr>
              <w:t xml:space="preserve">设备免费开放全部信息系统接口，并免费接入医院诸如PACS、HIS、医疗设备以及其他第三方等相关软件系统。设备维修密码及信息系统接口全部免费开放、相关服务升级免费</w:t>
            </w:r>
            <w:r/>
          </w:p>
        </w:tc>
      </w:tr>
      <w:tr>
        <w:trPr>
          <w:trHeight w:val="23"/>
        </w:trPr>
        <w:tc>
          <w:tcPr>
            <w:tcW w:w="1129" w:type="dxa"/>
            <w:vAlign w:val="center"/>
            <w:vMerge w:val="continue"/>
            <w:textDirection w:val="lrTb"/>
            <w:noWrap w:val="false"/>
          </w:tcPr>
          <w:p>
            <w:pPr>
              <w:ind w:right="0" w:firstLine="385"/>
              <w:jc w:val="center"/>
              <w:keepLines w:val="0"/>
              <w:keepNext w:val="0"/>
              <w:pageBreakBefore w:val="0"/>
              <w:spacing w:line="260" w:lineRule="exac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c>
          <w:tcPr>
            <w:gridSpan w:val="2"/>
            <w:tcW w:w="8895" w:type="dxa"/>
            <w:vAlign w:val="center"/>
            <w:textDirection w:val="lrTb"/>
            <w:noWrap w:val="false"/>
          </w:tcPr>
          <w:p>
            <w:pPr>
              <w:ind w:right="0" w:firstLine="420"/>
              <w:jc w:val="left"/>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b w:val="0"/>
                <w:bCs w:val="0"/>
                <w:color w:val="000000"/>
                <w:sz w:val="24"/>
                <w:szCs w:val="24"/>
                <w:highlight w:val="none"/>
                <w:lang w:val="en-US" w:eastAsia="zh-CN"/>
              </w:rPr>
              <w:t xml:space="preserve">2、</w:t>
            </w:r>
            <w:r>
              <w:rPr>
                <w:rFonts w:ascii="Times New Roman" w:hAnsi="Times New Roman"/>
                <w:b w:val="0"/>
                <w:bCs w:val="0"/>
                <w:color w:val="000000"/>
                <w:sz w:val="24"/>
                <w:szCs w:val="24"/>
                <w:highlight w:val="none"/>
              </w:rPr>
              <w:t xml:space="preserve">保修期结束后应</w:t>
            </w:r>
            <w:r>
              <w:rPr>
                <w:rFonts w:hint="eastAsia"/>
                <w:b w:val="0"/>
                <w:bCs w:val="0"/>
                <w:color w:val="000000"/>
                <w:sz w:val="24"/>
                <w:szCs w:val="24"/>
                <w:highlight w:val="none"/>
                <w:lang w:val="en-US" w:eastAsia="zh-CN"/>
              </w:rPr>
              <w:t xml:space="preserve">保证</w:t>
            </w:r>
            <w:r>
              <w:rPr>
                <w:rFonts w:ascii="Times New Roman" w:hAnsi="Times New Roman"/>
                <w:b w:val="0"/>
                <w:bCs w:val="0"/>
                <w:color w:val="000000"/>
                <w:sz w:val="24"/>
                <w:szCs w:val="24"/>
                <w:highlight w:val="none"/>
              </w:rPr>
              <w:t xml:space="preserve">原厂整机年维保费（包括所有零配件以及所配置的全部第三方产品以及人工服务）不得高于</w:t>
            </w:r>
            <w:r>
              <w:rPr>
                <w:rFonts w:hint="eastAsia"/>
                <w:b w:val="0"/>
                <w:bCs w:val="0"/>
                <w:color w:val="000000"/>
                <w:sz w:val="24"/>
                <w:szCs w:val="24"/>
                <w:highlight w:val="none"/>
                <w:lang w:eastAsia="zh-CN"/>
              </w:rPr>
              <w:t xml:space="preserve">相应分项报价的</w:t>
            </w:r>
            <w:r>
              <w:rPr>
                <w:rFonts w:hint="eastAsia"/>
                <w:b w:val="0"/>
                <w:bCs w:val="0"/>
                <w:color w:val="000000"/>
                <w:sz w:val="24"/>
                <w:szCs w:val="24"/>
                <w:highlight w:val="none"/>
                <w:lang w:val="en-US" w:eastAsia="zh-CN"/>
              </w:rPr>
              <w:t xml:space="preserve">5</w:t>
            </w:r>
            <w:r>
              <w:rPr>
                <w:rFonts w:hint="eastAsia"/>
                <w:b w:val="0"/>
                <w:bCs w:val="0"/>
                <w:color w:val="000000"/>
                <w:sz w:val="24"/>
                <w:szCs w:val="24"/>
                <w:highlight w:val="none"/>
                <w:lang w:eastAsia="zh-CN"/>
              </w:rPr>
              <w:t xml:space="preserve">%</w:t>
            </w:r>
            <w:r>
              <w:rPr>
                <w:rFonts w:ascii="Times New Roman" w:hAnsi="Times New Roman"/>
                <w:b w:val="0"/>
                <w:bCs w:val="0"/>
                <w:color w:val="000000"/>
                <w:sz w:val="24"/>
                <w:szCs w:val="24"/>
                <w:highlight w:val="none"/>
              </w:rPr>
              <w:t xml:space="preserve">，并根据医院实际需求</w:t>
            </w:r>
            <w:r>
              <w:rPr>
                <w:rFonts w:hint="eastAsia"/>
                <w:b w:val="0"/>
                <w:bCs w:val="0"/>
                <w:color w:val="000000"/>
                <w:sz w:val="24"/>
                <w:szCs w:val="24"/>
                <w:highlight w:val="none"/>
                <w:lang w:val="en-US" w:eastAsia="zh-CN"/>
              </w:rPr>
              <w:t xml:space="preserve">进行</w:t>
            </w:r>
            <w:r>
              <w:rPr>
                <w:rFonts w:ascii="Times New Roman" w:hAnsi="Times New Roman"/>
                <w:b w:val="0"/>
                <w:bCs w:val="0"/>
                <w:color w:val="000000"/>
                <w:sz w:val="24"/>
                <w:szCs w:val="24"/>
                <w:highlight w:val="none"/>
              </w:rPr>
              <w:t xml:space="preserve">协商，但须按照相关法律法规及流程执行</w:t>
            </w:r>
            <w:r>
              <w:rPr>
                <w:rFonts w:hint="eastAsia" w:ascii="Times New Roman" w:hAnsi="Times New Roman"/>
                <w:b w:val="0"/>
                <w:bCs w:val="0"/>
                <w:color w:val="000000"/>
                <w:sz w:val="24"/>
                <w:szCs w:val="24"/>
                <w:highlight w:val="none"/>
              </w:rPr>
              <w:t xml:space="preserve">。</w:t>
            </w:r>
            <w:r/>
          </w:p>
        </w:tc>
      </w:tr>
      <w:tr>
        <w:trPr>
          <w:trHeight w:val="23"/>
        </w:trPr>
        <w:tc>
          <w:tcPr>
            <w:tcW w:w="1129" w:type="dxa"/>
            <w:vAlign w:val="center"/>
            <w:textDirection w:val="lrTb"/>
            <w:noWrap w:val="false"/>
          </w:tcPr>
          <w:p>
            <w:pPr>
              <w:jc w:val="center"/>
              <w:rPr>
                <w:rFonts w:hint="eastAsia" w:ascii="宋体" w:hAnsi="宋体" w:eastAsia="宋体" w:cs="宋体"/>
                <w:b w:val="0"/>
                <w:bCs w:val="0"/>
                <w:i w:val="0"/>
                <w:iCs w:val="0"/>
                <w:color w:val="000000"/>
                <w:sz w:val="22"/>
                <w:szCs w:val="22"/>
                <w:u w:val="none"/>
              </w:rPr>
            </w:pPr>
            <w:r>
              <w:rPr>
                <w:rFonts w:hint="eastAsia" w:ascii="黑体" w:hAnsi="黑体" w:eastAsia="黑体" w:cs="黑体"/>
                <w:color w:val="000000"/>
                <w:lang w:eastAsia="zh-CN" w:bidi="ar"/>
              </w:rPr>
              <w:t xml:space="preserve">序号</w:t>
            </w:r>
            <w:r/>
          </w:p>
        </w:tc>
        <w:tc>
          <w:tcPr>
            <w:tcW w:w="7044" w:type="dxa"/>
            <w:vAlign w:val="center"/>
            <w:textDirection w:val="lrTb"/>
            <w:noWrap w:val="false"/>
          </w:tcPr>
          <w:p>
            <w:pPr>
              <w:jc w:val="center"/>
              <w:rPr>
                <w:rFonts w:hint="eastAsia" w:ascii="宋体" w:hAnsi="宋体" w:eastAsia="宋体" w:cs="宋体"/>
                <w:b w:val="0"/>
                <w:bCs w:val="0"/>
                <w:i w:val="0"/>
                <w:iCs w:val="0"/>
                <w:color w:val="000000"/>
                <w:sz w:val="22"/>
                <w:szCs w:val="22"/>
                <w:u w:val="none"/>
              </w:rPr>
            </w:pPr>
            <w:r>
              <w:rPr>
                <w:rFonts w:hint="eastAsia" w:ascii="黑体" w:hAnsi="黑体" w:eastAsia="黑体" w:cs="黑体"/>
                <w:color w:val="000000"/>
                <w:lang w:eastAsia="zh-CN" w:bidi="ar"/>
              </w:rPr>
              <w:t xml:space="preserve">技术参数</w:t>
            </w:r>
            <w:r/>
          </w:p>
        </w:tc>
        <w:tc>
          <w:tcPr>
            <w:tcW w:w="1851" w:type="dxa"/>
            <w:vAlign w:val="center"/>
            <w:textDirection w:val="lrTb"/>
            <w:noWrap w:val="false"/>
          </w:tcPr>
          <w:p>
            <w:pPr>
              <w:jc w:val="center"/>
              <w:rPr>
                <w:b w:val="0"/>
                <w:bCs w:val="0"/>
                <w:color w:val="000000"/>
              </w:rPr>
            </w:pPr>
            <w:r>
              <w:rPr>
                <w:rFonts w:hint="eastAsia" w:ascii="黑体" w:hAnsi="黑体" w:eastAsia="黑体" w:cs="黑体"/>
                <w:color w:val="000000"/>
                <w:lang w:eastAsia="zh-CN" w:bidi="ar"/>
              </w:rPr>
              <w:t xml:space="preserve">技术要求</w:t>
            </w:r>
            <w:r/>
          </w:p>
        </w:tc>
      </w:tr>
      <w:tr>
        <w:trPr>
          <w:trHeight w:val="246"/>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磁场强度</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≥3.0T</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中心共振频率</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≥123MHz</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磁体长度（不含外壳）</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≥170cm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磁体内径（患者检查孔道内径）大小</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≥70cm</w:t>
            </w:r>
            <w:r/>
          </w:p>
        </w:tc>
      </w:tr>
      <w:tr>
        <w:trPr>
          <w:trHeight w:val="90"/>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磁体重量（含液氦）</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≤6000kg</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磁场均匀度（典型值，V－RMS测量法）40cmDSV（典型值）</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≤0.5ppm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ffffff"/>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磁场均匀度（典型值，V－RMS测量法）30cmDSV（典型值）</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≤0.06ppm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磁场均匀度（典型值，V－RMS测量法）20cmDSV（典型值）</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≤0.03ppm</w:t>
            </w:r>
            <w:r/>
          </w:p>
        </w:tc>
      </w:tr>
      <w:tr>
        <w:trPr>
          <w:trHeight w:val="90"/>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磁场均匀度（典型值，V－RMS测量法）10cmDSV（典型值）</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≤0.002ppm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Times New Roman" w:hAnsi="Times New Roman" w:eastAsia="宋体" w:cs="Times New Roman"/>
                <w:color w:val="000000"/>
                <w:sz w:val="24"/>
                <w:szCs w:val="24"/>
                <w:lang w:val="en-US" w:eastAsia="zh-CN"/>
              </w:rPr>
              <w:t xml:space="preserve">▲</w:t>
            </w:r>
            <w:r>
              <w:rPr>
                <w:rFonts w:hint="eastAsia" w:ascii="仿宋" w:hAnsi="仿宋" w:eastAsia="仿宋" w:cs="仿宋"/>
                <w:i w:val="0"/>
                <w:iCs w:val="0"/>
                <w:color w:val="000000"/>
                <w:sz w:val="22"/>
                <w:szCs w:val="22"/>
                <w:u w:val="none"/>
                <w:lang w:val="en-US" w:eastAsia="zh-CN" w:bidi="ar"/>
              </w:rPr>
              <w:t xml:space="preserve">10</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液氦腔最大容量</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≤1600L</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5高斯磁力线轴向范围：</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5高斯磁力线径向范围：</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≤3.5m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最大单轴梯度场强（不可以用有效值响应，不可以用向量梯度性能响应，X、Y、Z三轴）</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≥80mT/m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tcW w:w="7044"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最大单轴梯度切换率（不可以用有效值响应，不可以用向量梯度性能响应，X、Y、Z三轴）</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≥200T/m/s</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独立射频发射源个数 或 并行发射通道数</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最大射频功率</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≥36kW</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发射带宽</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≥1MHz</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系统通道数</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≥150通道</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在一个视野的单次扫描中，可同时使用的独立接收线圈通道的数量，每个通道皆可生成一副独立的局部图像（不可以用最大通道数响应，不可以用可同时连接的通道之和响应，不可以用可同时连接的线圈单元之和响应）</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≥96通道</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垂直运动时扫描床最大承受重量</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≥250Kg</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扫描床运动最大速度</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≥200mm/s</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扫描床内原厂一体化全脊柱线圈物理长度</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≥90cm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tcW w:w="7044"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机架正面的两侧均有床旁操作按钮，可控制扫描床的运动和扫描；智能触控病人定位系统；一键定位，无需激光灯；床旁扫描操控系统；磁体液晶显示系统；磁体床旁双侧扫描控制面板</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tcW w:w="7044"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最大重建矩阵</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≥1024x1024</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实时心电波形显示，实时呼吸波形显示</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最大FOV</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≥550mm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最小FOV</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≤5mm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28</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最小二维层厚</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≤0.5mm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29</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最小三维层厚</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≤0.05mm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30</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最大采集矩阵</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≥1024x1024</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31</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临床采集弥散加权系数B值</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≥10000</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color w:val="000000"/>
                <w:sz w:val="22"/>
                <w:szCs w:val="22"/>
                <w:lang w:val="en-US" w:eastAsia="zh-CN" w:bidi="ar"/>
              </w:rPr>
              <w:t xml:space="preserve">提供一套原厂主机处理工作站，处理工作站配置：内存≥96GB，硬盘容量≥8TB，2个≥24寸显示器</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tcW w:w="7044"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color w:val="000000"/>
                <w:sz w:val="22"/>
                <w:szCs w:val="22"/>
                <w:lang w:val="en-US" w:eastAsia="zh-CN" w:bidi="ar"/>
              </w:rPr>
              <w:t xml:space="preserve">提供一套服务器版后处理工作站带5个终端</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CPU核心数≥8核，主CPU主频≥3.0GHz，内存≥32GB，硬盘容量≥1TB，显示器≥2个23英寸彩色液晶显示</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34</w:t>
            </w:r>
            <w:r/>
          </w:p>
        </w:tc>
        <w:tc>
          <w:tcPr>
            <w:tcW w:w="7044"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原厂全配置最新版本应用平台及软件包，包括且不限于：磁敏感成像、3D容积各向同性成像、压缩感知、全身弥散成像、肿瘤成像、实时造影触发、自由呼吸动态增强扫描、乳腺及硅胶假体成像、去金属伪影、高清fMRI脑功、能成像、弥散张量成像、波谱分析、神经灌注分析、灰质容积成像、磁化传递成像、肿瘤成像、全身成像、血管成像、心脏成像、神经成像、骨关节成像及儿童软件包、妇产成像软件包、科研软件包等。软件终身提供免费升级服务</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Times New Roman" w:hAnsi="Times New Roman" w:eastAsia="宋体" w:cs="Times New Roman"/>
                <w:color w:val="000000"/>
                <w:sz w:val="24"/>
                <w:szCs w:val="24"/>
                <w:lang w:val="en-US" w:eastAsia="zh-CN"/>
              </w:rPr>
              <w:t xml:space="preserve">▲</w:t>
            </w:r>
            <w:r>
              <w:rPr>
                <w:rFonts w:hint="eastAsia" w:ascii="仿宋" w:hAnsi="仿宋" w:eastAsia="仿宋" w:cs="仿宋"/>
                <w:i w:val="0"/>
                <w:iCs w:val="0"/>
                <w:color w:val="000000"/>
                <w:sz w:val="22"/>
                <w:szCs w:val="22"/>
                <w:u w:val="none"/>
                <w:lang w:val="en-US" w:eastAsia="zh-CN" w:bidi="ar"/>
              </w:rPr>
              <w:t xml:space="preserve">35</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color w:val="000000"/>
                <w:sz w:val="22"/>
                <w:szCs w:val="22"/>
                <w:lang w:val="en-US" w:eastAsia="zh-CN" w:bidi="ar"/>
              </w:rPr>
              <w:t xml:space="preserve">提供原厂全套全配最新版本高阶功能，包括且不限于：AI图像重建加速降噪、AI智能扫描工作流、AI运动/伪影抑制、AI智能后处理、AI辅助诊断等。软件终身提供免费升级服务。</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62"/>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提供全激活全开放DICOM 3.0及与医院PACS网络连接（包括打印，传输、接收、查询、Worklist、MPPS协议等功能），软件控制照相技术，标准激光相机数字接口</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★37</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设备免费开放全部信息系统接口，并免费接入医院诸如PACS、医疗设备以及其他第三方等相关软件系统。设备维修密码及信息系统接口全部免费开放</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color w:val="000000"/>
                <w:sz w:val="22"/>
                <w:szCs w:val="22"/>
                <w:lang w:val="en-US" w:eastAsia="zh-CN" w:bidi="ar"/>
              </w:rPr>
              <w:t xml:space="preserve">配备原厂线圈：原厂头颈联合线圈1个（≥20通道）、原厂高清头线圈或原厂头颈联合线圈1个（≥32通道）、原厂体部线圈 1个（≥16通道）、原厂脊柱线圈 1个（≥24通道）、原厂乳腺线圈 1个（≥8通道）、原厂大号柔性线圈1个、原厂小号柔性线圈1个、原厂膝关节线圈1个、足踝专用线圈1个、肩关节专用线圈、腕手关节专用线圈1个、肘关节专用线圈1个、颈部血管专用线圈1个</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tcW w:w="7044" w:type="dxa"/>
            <w:vAlign w:val="center"/>
            <w:textDirection w:val="lrTb"/>
            <w:noWrap w:val="false"/>
          </w:tcPr>
          <w:p>
            <w:pPr>
              <w:jc w:val="both"/>
              <w:rPr>
                <w:rFonts w:ascii="宋体" w:hAnsi="宋体" w:eastAsia="宋体"/>
                <w:bCs/>
                <w:color w:val="000000"/>
                <w:position w:val="-10"/>
                <w:szCs w:val="20"/>
                <w:lang w:val="en-US" w:eastAsia="zh-CN"/>
              </w:rPr>
            </w:pPr>
            <w:r>
              <w:rPr>
                <w:rFonts w:hint="eastAsia" w:ascii="黑体" w:hAnsi="黑体" w:eastAsia="黑体" w:cs="黑体"/>
                <w:bCs/>
                <w:color w:val="000000"/>
                <w:position w:val="-10"/>
                <w:szCs w:val="20"/>
                <w:lang w:val="en-US" w:eastAsia="zh-CN"/>
              </w:rPr>
              <w:t xml:space="preserve">第三方配置需求</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精密空调：</w:t>
            </w:r>
            <w:r>
              <w:rPr>
                <w:rFonts w:hint="eastAsia" w:ascii="仿宋" w:hAnsi="仿宋" w:eastAsia="仿宋" w:cs="仿宋"/>
                <w:i w:val="0"/>
                <w:iCs w:val="0"/>
                <w:color w:val="000000"/>
                <w:sz w:val="22"/>
                <w:szCs w:val="22"/>
                <w:u w:val="none"/>
                <w:lang w:val="zh-CN" w:eastAsia="zh-CN" w:bidi="ar"/>
              </w:rPr>
              <w:t xml:space="preserve">恒温恒湿，双压缩机双循环管路，两个系统可互为备份，也可同时工作</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39.2</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水冷机组：</w:t>
            </w:r>
            <w:r>
              <w:rPr>
                <w:rFonts w:hint="eastAsia" w:ascii="仿宋" w:hAnsi="仿宋" w:eastAsia="仿宋" w:cs="仿宋"/>
                <w:i w:val="0"/>
                <w:iCs w:val="0"/>
                <w:color w:val="000000"/>
                <w:sz w:val="22"/>
                <w:szCs w:val="22"/>
                <w:u w:val="none"/>
                <w:lang w:val="zh-CN" w:eastAsia="zh-CN" w:bidi="ar"/>
              </w:rPr>
              <w:t xml:space="preserve">双机组，两个独立的循环管路，互相备份，可以轮流工作，也可以同时工作</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39.3</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无磁监视系统：</w:t>
            </w:r>
            <w:r>
              <w:rPr>
                <w:rFonts w:hint="eastAsia" w:ascii="仿宋" w:hAnsi="仿宋" w:eastAsia="仿宋" w:cs="仿宋"/>
                <w:i w:val="0"/>
                <w:iCs w:val="0"/>
                <w:color w:val="000000"/>
                <w:sz w:val="22"/>
                <w:szCs w:val="22"/>
                <w:u w:val="none"/>
                <w:lang w:val="zh-CN" w:eastAsia="zh-CN" w:bidi="ar"/>
              </w:rPr>
              <w:t xml:space="preserve">支持双向通话功能</w:t>
            </w:r>
            <w:r>
              <w:rPr>
                <w:rFonts w:hint="eastAsia" w:ascii="仿宋" w:hAnsi="仿宋" w:eastAsia="仿宋" w:cs="仿宋"/>
                <w:i w:val="0"/>
                <w:iCs w:val="0"/>
                <w:color w:val="000000"/>
                <w:sz w:val="22"/>
                <w:szCs w:val="22"/>
                <w:u w:val="none"/>
                <w:lang w:val="zh-CN" w:eastAsia="zh-CN" w:bidi="ar"/>
              </w:rPr>
              <w:tab/>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39.4</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无磁升降转运床：</w:t>
            </w:r>
            <w:r>
              <w:rPr>
                <w:rFonts w:hint="eastAsia" w:ascii="仿宋" w:hAnsi="仿宋" w:eastAsia="仿宋" w:cs="仿宋"/>
                <w:i w:val="0"/>
                <w:iCs w:val="0"/>
                <w:color w:val="000000"/>
                <w:sz w:val="22"/>
                <w:szCs w:val="22"/>
                <w:u w:val="none"/>
                <w:lang w:val="zh-CN" w:eastAsia="zh-CN" w:bidi="ar"/>
              </w:rPr>
              <w:t xml:space="preserve">完全零磁，可完全通过最高等级灵敏度铁磁质探测系统的探测不出现报警，最大载重≥200公斤</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39.5</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无磁转运椅：可折叠、无金属部件，可完全通过最高等级灵敏度铁磁质探测系统的探测不出现报警</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39.6</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无磁灭火器：</w:t>
            </w:r>
            <w:r>
              <w:rPr>
                <w:rFonts w:hint="eastAsia" w:ascii="仿宋" w:hAnsi="仿宋" w:eastAsia="仿宋" w:cs="仿宋"/>
                <w:i w:val="0"/>
                <w:iCs w:val="0"/>
                <w:color w:val="000000"/>
                <w:sz w:val="22"/>
                <w:szCs w:val="22"/>
                <w:u w:val="none"/>
                <w:lang w:val="en-US" w:eastAsia="zh-CN" w:bidi="ar"/>
              </w:rPr>
              <w:t xml:space="preserve">兼容3.0T磁共振，每个≥4L，可进入磁体间灭火</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39.7</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无磁降噪耳机</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39.8</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3.0T专用磁兼容监护：</w:t>
            </w:r>
            <w:r>
              <w:rPr>
                <w:rFonts w:hint="eastAsia" w:ascii="仿宋" w:hAnsi="仿宋" w:eastAsia="仿宋" w:cs="仿宋"/>
                <w:i w:val="0"/>
                <w:iCs w:val="0"/>
                <w:color w:val="000000"/>
                <w:sz w:val="22"/>
                <w:szCs w:val="22"/>
                <w:u w:val="none"/>
                <w:lang w:val="en-US" w:eastAsia="zh-CN" w:bidi="ar"/>
              </w:rPr>
              <w:t xml:space="preserve">适用于成人、小儿（含婴儿）进行磁共振检查期间同时监测心电、血氧饱和度、脉率、灌注指数和无创血压（NIBP）等指标</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39.9</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无磁移动输液架</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39.10</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无磁护理车</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39.11</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磁共振专用双立柱智能铁磁探测系统：</w:t>
            </w:r>
            <w:r>
              <w:rPr>
                <w:rFonts w:hint="eastAsia" w:ascii="仿宋" w:hAnsi="仿宋" w:eastAsia="仿宋" w:cs="仿宋"/>
                <w:i w:val="0"/>
                <w:iCs w:val="0"/>
                <w:color w:val="000000"/>
                <w:sz w:val="22"/>
                <w:szCs w:val="22"/>
                <w:u w:val="none"/>
                <w:lang w:val="zh-CN" w:eastAsia="zh-CN" w:bidi="ar"/>
              </w:rPr>
              <w:t xml:space="preserve">包含但不限于配置≥21英寸触摸屏，≥6通道传感器，满足灯光、语音及图文告警，满足智能定位报警和智能集控管理，防碰撞等</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39.12</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无磁信息化双筒高压注射器：</w:t>
            </w:r>
            <w:r>
              <w:rPr>
                <w:rFonts w:hint="eastAsia" w:ascii="仿宋" w:hAnsi="仿宋" w:eastAsia="仿宋" w:cs="仿宋"/>
                <w:i w:val="0"/>
                <w:iCs w:val="0"/>
                <w:color w:val="000000"/>
                <w:sz w:val="22"/>
                <w:szCs w:val="22"/>
                <w:u w:val="none"/>
                <w:lang w:val="zh-CN" w:eastAsia="zh-CN" w:bidi="ar"/>
              </w:rPr>
              <w:t xml:space="preserve">适用于3.0T磁共振系统，彩色触摸屏，双筒双马达设计，双侧针筒可独立编程注射，支持自动吸药、自动排气、双流注射、静脉开放功能等功能</w:t>
            </w:r>
            <w:r/>
          </w:p>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zh-CN" w:eastAsia="zh-CN" w:bidi="ar"/>
              </w:rPr>
              <w:t xml:space="preserve">支持实时压力曲线显示功能，压力限制偏差≤±10psi</w:t>
            </w:r>
            <w:r/>
          </w:p>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lang w:val="zh-CN" w:eastAsia="zh-CN" w:bidi="ar"/>
              </w:rPr>
              <w:t xml:space="preserve">注射时相≥6相，可以任意选择造影剂、盐水、保持或暂停</w:t>
            </w:r>
            <w:r/>
          </w:p>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lang w:val="zh-CN" w:eastAsia="zh-CN" w:bidi="ar"/>
              </w:rPr>
              <w:t xml:space="preserve">具有信息化功能，与医院PACS等信息系统连接</w:t>
            </w:r>
            <w:r/>
          </w:p>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lang w:val="zh-CN" w:eastAsia="zh-CN" w:bidi="ar"/>
              </w:rPr>
              <w:t xml:space="preserve">配套信息管理软件支持多设备数据看板及多设备管理与分析功能</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5）</w:t>
            </w:r>
            <w:r>
              <w:rPr>
                <w:rFonts w:hint="eastAsia" w:ascii="仿宋" w:hAnsi="仿宋" w:eastAsia="仿宋" w:cs="仿宋"/>
                <w:i w:val="0"/>
                <w:iCs w:val="0"/>
                <w:color w:val="000000"/>
                <w:sz w:val="22"/>
                <w:szCs w:val="22"/>
                <w:u w:val="none"/>
                <w:lang w:val="zh-CN" w:eastAsia="zh-CN" w:bidi="ar"/>
              </w:rPr>
              <w:t xml:space="preserve">所用耗材必须南京医用耗材（药品）招采结算系统、江苏省药品（医用耗材）阳光采购和综合监管平台中标品种</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top"/>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39.13</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线圈柜</w:t>
            </w:r>
            <w:r/>
          </w:p>
        </w:tc>
        <w:tc>
          <w:tcPr>
            <w:tcW w:w="1851"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top"/>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39.14</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机房装修屏蔽</w:t>
            </w:r>
            <w:r/>
          </w:p>
        </w:tc>
        <w:tc>
          <w:tcPr>
            <w:tcW w:w="1851"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top"/>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39.15</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第三方检测</w:t>
            </w:r>
            <w:r/>
          </w:p>
        </w:tc>
        <w:tc>
          <w:tcPr>
            <w:tcW w:w="1851"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top"/>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39.16</w:t>
            </w:r>
            <w:r/>
          </w:p>
        </w:tc>
        <w:tc>
          <w:tcPr>
            <w:tcW w:w="7044" w:type="dxa"/>
            <w:vAlign w:val="center"/>
            <w:textDirection w:val="lrTb"/>
            <w:noWrap w:val="false"/>
          </w:tcPr>
          <w:p>
            <w:pPr>
              <w:numPr>
                <w:ilvl w:val="0"/>
                <w:numId w:val="0"/>
              </w:numPr>
              <w:ind w:left="0" w:firstLine="0"/>
              <w:jc w:val="left"/>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szCs w:val="22"/>
                <w:lang w:val="zh-CN" w:eastAsia="zh-CN" w:bidi="ar"/>
              </w:rPr>
              <w:t xml:space="preserve">磁共振主控台及后处理工作站工作桌、椅（</w:t>
            </w:r>
            <w:r>
              <w:rPr>
                <w:rFonts w:hint="eastAsia" w:ascii="仿宋" w:hAnsi="仿宋" w:eastAsia="仿宋" w:cs="仿宋"/>
                <w:color w:val="000000"/>
                <w:sz w:val="22"/>
                <w:szCs w:val="22"/>
                <w:lang w:val="en-US" w:eastAsia="zh-CN" w:bidi="ar"/>
              </w:rPr>
              <w:t xml:space="preserve">材质不限</w:t>
            </w:r>
            <w:r>
              <w:rPr>
                <w:rFonts w:hint="eastAsia" w:ascii="仿宋" w:hAnsi="仿宋" w:eastAsia="仿宋" w:cs="仿宋"/>
                <w:color w:val="000000"/>
                <w:sz w:val="22"/>
                <w:szCs w:val="22"/>
                <w:lang w:val="zh-CN" w:eastAsia="zh-CN" w:bidi="ar"/>
              </w:rPr>
              <w:t xml:space="preserve">）,各1套：根据场地情况定制</w:t>
            </w:r>
            <w:r/>
          </w:p>
        </w:tc>
        <w:tc>
          <w:tcPr>
            <w:tcW w:w="1851" w:type="dxa"/>
            <w:vAlign w:val="top"/>
            <w:textDirection w:val="lrTb"/>
            <w:noWrap w:val="false"/>
          </w:tcPr>
          <w:p>
            <w:pPr>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lang w:val="en-US" w:eastAsia="zh-CN" w:bidi="ar"/>
              </w:rPr>
              <w:t xml:space="preserve">具备</w:t>
            </w:r>
            <w:r/>
          </w:p>
        </w:tc>
      </w:tr>
    </w:tbl>
    <w:p>
      <w:pPr>
        <w:ind w:right="0"/>
        <w:jc w:val="left"/>
        <w:keepLines w:val="0"/>
        <w:keepNext w:val="0"/>
        <w:pageBreakBefore w:val="0"/>
        <w:spacing w:after="0"/>
        <w:widowControl/>
        <w:rPr>
          <w:rFonts w:hint="eastAsia" w:ascii="Times New Roman" w:hAnsi="Times New Roman" w:eastAsia="宋体" w:cs="Times New Roman"/>
          <w:b/>
          <w:bCs/>
          <w:i w:val="0"/>
          <w:iCs w:val="0"/>
          <w:color w:val="000000"/>
          <w:sz w:val="24"/>
          <w:szCs w:val="24"/>
          <w:highlight w:val="none"/>
          <w:u w:val="none"/>
          <w:lang w:val="en-US" w:eastAsia="zh-CN" w:bidi="ar"/>
        </w:rPr>
      </w:pPr>
      <w:r>
        <w:rPr>
          <w:rFonts w:hint="eastAsia"/>
          <w:b/>
          <w:bCs/>
          <w:color w:val="000000"/>
          <w:sz w:val="24"/>
          <w:szCs w:val="24"/>
          <w:highlight w:val="none"/>
          <w:lang w:val="en-US" w:eastAsia="zh-CN"/>
        </w:rPr>
        <w:t xml:space="preserve">特别说明：</w:t>
      </w:r>
      <w:r>
        <w:rPr>
          <w:rFonts w:hint="eastAsia" w:ascii="Times New Roman" w:hAnsi="Times New Roman" w:eastAsia="宋体" w:cs="Times New Roman"/>
          <w:b/>
          <w:bCs/>
          <w:color w:val="000000"/>
          <w:sz w:val="24"/>
          <w:szCs w:val="24"/>
          <w:highlight w:val="none"/>
          <w:lang w:val="en-US" w:eastAsia="zh-CN"/>
        </w:rPr>
        <w:t xml:space="preserve">以上</w:t>
      </w:r>
      <w:r>
        <w:rPr>
          <w:rFonts w:hint="eastAsia" w:ascii="Times New Roman" w:hAnsi="Times New Roman" w:eastAsia="宋体" w:cs="Times New Roman"/>
          <w:b/>
          <w:bCs/>
          <w:i w:val="0"/>
          <w:iCs w:val="0"/>
          <w:color w:val="000000"/>
          <w:sz w:val="24"/>
          <w:szCs w:val="24"/>
          <w:highlight w:val="none"/>
          <w:u w:val="none"/>
          <w:lang w:val="en-US" w:eastAsia="zh-CN" w:bidi="ar"/>
        </w:rPr>
        <w:t xml:space="preserve">★、▲技术参数需在投标文件中提供</w:t>
      </w:r>
      <w:r>
        <w:rPr>
          <w:rFonts w:hint="eastAsia" w:ascii="Times New Roman" w:hAnsi="Times New Roman" w:eastAsia="宋体" w:cs="Times New Roman"/>
          <w:b/>
          <w:bCs/>
          <w:color w:val="000000"/>
          <w:sz w:val="24"/>
          <w:szCs w:val="24"/>
          <w:highlight w:val="none"/>
          <w:lang w:val="en-US" w:eastAsia="zh-CN" w:bidi="ar"/>
        </w:rPr>
        <w:t xml:space="preserve">所投产品有效的医疗器械注册证及附件、与注册证附件内容保持一致的最新原厂中文版技术白皮书（或产品彩页或官方网站截图或具备CMA资质的有效检测报告）</w:t>
      </w:r>
      <w:r>
        <w:rPr>
          <w:rFonts w:hint="eastAsia" w:ascii="Times New Roman" w:hAnsi="Times New Roman" w:eastAsia="宋体" w:cs="Times New Roman"/>
          <w:b/>
          <w:bCs/>
          <w:i w:val="0"/>
          <w:iCs w:val="0"/>
          <w:color w:val="000000"/>
          <w:sz w:val="24"/>
          <w:szCs w:val="24"/>
          <w:highlight w:val="none"/>
          <w:u w:val="none"/>
          <w:lang w:val="en-US" w:eastAsia="zh-CN" w:bidi="ar"/>
        </w:rPr>
        <w:t xml:space="preserve">，否则不予认可。</w:t>
      </w:r>
      <w:r/>
    </w:p>
    <w:p>
      <w:pPr>
        <w:pStyle w:val="1002"/>
        <w:ind w:right="0" w:firstLine="387"/>
        <w:keepLines w:val="0"/>
        <w:keepNext w:val="0"/>
        <w:pageBreakBefore w:val="0"/>
        <w:spacing w:after="0" w:line="240" w:lineRule="auto"/>
        <w:rPr>
          <w:rFonts w:hint="eastAsia" w:cs="宋体"/>
          <w:b/>
          <w:bCs/>
          <w:i w:val="0"/>
          <w:iCs w:val="0"/>
          <w:color w:val="000000"/>
          <w:sz w:val="22"/>
          <w:szCs w:val="22"/>
          <w:highlight w:val="none"/>
          <w:u w:val="none"/>
          <w:lang w:val="en-US" w:eastAsia="zh-CN" w:bidi="ar"/>
        </w:rPr>
      </w:pPr>
      <w:r>
        <w:rPr>
          <w:rFonts w:hint="eastAsia" w:cs="宋体"/>
          <w:b/>
          <w:bCs/>
          <w:i w:val="0"/>
          <w:iCs w:val="0"/>
          <w:color w:val="000000"/>
          <w:sz w:val="22"/>
          <w:szCs w:val="22"/>
          <w:highlight w:val="none"/>
          <w:u w:val="none"/>
          <w:lang w:val="en-US" w:eastAsia="zh-CN" w:bidi="ar"/>
        </w:rPr>
      </w:r>
      <w:r/>
    </w:p>
    <w:p>
      <w:pPr>
        <w:pStyle w:val="702"/>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r>
      <w:r/>
    </w:p>
    <w:p>
      <w:pPr>
        <w:pStyle w:val="702"/>
        <w:rPr>
          <w:rFonts w:hint="eastAsia"/>
          <w:color w:val="000000"/>
        </w:rPr>
      </w:pPr>
      <w:r>
        <w:rPr>
          <w:rFonts w:hint="eastAsia" w:ascii="黑体" w:hAnsi="黑体" w:eastAsia="黑体" w:cs="黑体"/>
          <w:bCs w:val="0"/>
          <w:color w:val="000000"/>
          <w:sz w:val="24"/>
          <w:szCs w:val="24"/>
          <w:lang w:val="en-US" w:eastAsia="zh-CN"/>
        </w:rPr>
        <w:t xml:space="preserve">采购包2  3.0T磁共振成像系统</w:t>
      </w:r>
      <w:r/>
    </w:p>
    <w:tbl>
      <w:tblPr>
        <w:tblStyle w:val="701"/>
        <w:tblW w:w="503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6948"/>
        <w:gridCol w:w="1947"/>
      </w:tblGrid>
      <w:tr>
        <w:trPr>
          <w:trHeight w:val="449"/>
        </w:trPr>
        <w:tc>
          <w:tcPr>
            <w:tcW w:w="1129" w:type="dxa"/>
            <w:vAlign w:val="center"/>
            <w:vMerge w:val="restart"/>
            <w:textDirection w:val="lrTb"/>
            <w:noWrap w:val="false"/>
          </w:tcPr>
          <w:p>
            <w:pPr>
              <w:ind w:right="0"/>
              <w:jc w:val="both"/>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★总体要求</w:t>
            </w:r>
            <w:r/>
          </w:p>
        </w:tc>
        <w:tc>
          <w:tcPr>
            <w:gridSpan w:val="2"/>
            <w:tcW w:w="8895" w:type="dxa"/>
            <w:vAlign w:val="center"/>
            <w:textDirection w:val="lrTb"/>
            <w:noWrap w:val="false"/>
          </w:tcPr>
          <w:p>
            <w:pPr>
              <w:ind w:right="0" w:firstLine="420"/>
              <w:jc w:val="left"/>
              <w:keepLines w:val="0"/>
              <w:keepNext w:val="0"/>
              <w:pageBreakBefore w:val="0"/>
              <w:spacing w:line="260" w:lineRule="exact"/>
              <w:widowControl/>
              <w:rPr>
                <w:rFonts w:hint="eastAsia" w:ascii="Times New Roman" w:hAnsi="Times New Roman" w:eastAsia="宋体" w:cs="Times New Roman"/>
                <w:b w:val="0"/>
                <w:bCs w:val="0"/>
                <w:i w:val="0"/>
                <w:iCs w:val="0"/>
                <w:color w:val="000000"/>
                <w:sz w:val="24"/>
                <w:szCs w:val="24"/>
                <w:highlight w:val="none"/>
                <w:u w:val="none"/>
                <w:lang w:val="en-US" w:eastAsia="zh-CN" w:bidi="ar-SA"/>
              </w:rPr>
              <w:suppressLineNumbers w:val="0"/>
            </w:pPr>
            <w:r>
              <w:rPr>
                <w:rFonts w:ascii="Times New Roman" w:hAnsi="Times New Roman" w:eastAsia="宋体" w:cs="Times New Roman"/>
                <w:b w:val="0"/>
                <w:bCs w:val="0"/>
                <w:color w:val="000000"/>
                <w:sz w:val="24"/>
                <w:szCs w:val="24"/>
                <w:highlight w:val="none"/>
                <w:lang w:val="en-US" w:eastAsia="zh-CN"/>
              </w:rPr>
              <w:t xml:space="preserve">1、</w:t>
            </w:r>
            <w:r>
              <w:rPr>
                <w:rFonts w:ascii="Times New Roman" w:hAnsi="Times New Roman" w:eastAsia="宋体" w:cs="Times New Roman"/>
                <w:i w:val="0"/>
                <w:iCs w:val="0"/>
                <w:color w:val="000000"/>
                <w:sz w:val="24"/>
                <w:szCs w:val="24"/>
                <w:highlight w:val="none"/>
                <w:u w:val="none"/>
                <w:lang w:val="en-US" w:eastAsia="zh-CN" w:bidi="ar"/>
              </w:rPr>
              <w:t xml:space="preserve">设备免费开放全部信息系统接口，并免费接入医院诸如PACS、HIS、医疗设备以及其他第三方等相关软件系统。设备维修密码及信息系统接口全部免费开放、相关服务升级免费</w:t>
            </w:r>
            <w:r/>
          </w:p>
        </w:tc>
      </w:tr>
      <w:tr>
        <w:trPr>
          <w:trHeight w:val="23"/>
        </w:trPr>
        <w:tc>
          <w:tcPr>
            <w:tcW w:w="1129" w:type="dxa"/>
            <w:vAlign w:val="center"/>
            <w:vMerge w:val="continue"/>
            <w:textDirection w:val="lrTb"/>
            <w:noWrap w:val="false"/>
          </w:tcPr>
          <w:p>
            <w:pPr>
              <w:ind w:right="0" w:firstLine="385"/>
              <w:jc w:val="center"/>
              <w:keepLines w:val="0"/>
              <w:keepNext w:val="0"/>
              <w:pageBreakBefore w:val="0"/>
              <w:spacing w:line="260" w:lineRule="exac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c>
          <w:tcPr>
            <w:gridSpan w:val="2"/>
            <w:tcW w:w="8895" w:type="dxa"/>
            <w:vAlign w:val="center"/>
            <w:textDirection w:val="lrTb"/>
            <w:noWrap w:val="false"/>
          </w:tcPr>
          <w:p>
            <w:pPr>
              <w:ind w:right="0" w:firstLine="420"/>
              <w:jc w:val="left"/>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b w:val="0"/>
                <w:bCs w:val="0"/>
                <w:color w:val="000000"/>
                <w:sz w:val="24"/>
                <w:szCs w:val="24"/>
                <w:highlight w:val="none"/>
                <w:lang w:val="en-US" w:eastAsia="zh-CN"/>
              </w:rPr>
              <w:t xml:space="preserve">2、</w:t>
            </w:r>
            <w:r>
              <w:rPr>
                <w:rFonts w:ascii="Times New Roman" w:hAnsi="Times New Roman"/>
                <w:b w:val="0"/>
                <w:bCs w:val="0"/>
                <w:color w:val="000000"/>
                <w:sz w:val="24"/>
                <w:szCs w:val="24"/>
                <w:highlight w:val="none"/>
              </w:rPr>
              <w:t xml:space="preserve">保修期结束后应</w:t>
            </w:r>
            <w:r>
              <w:rPr>
                <w:rFonts w:hint="eastAsia"/>
                <w:b w:val="0"/>
                <w:bCs w:val="0"/>
                <w:color w:val="000000"/>
                <w:sz w:val="24"/>
                <w:szCs w:val="24"/>
                <w:highlight w:val="none"/>
                <w:lang w:val="en-US" w:eastAsia="zh-CN"/>
              </w:rPr>
              <w:t xml:space="preserve">保证</w:t>
            </w:r>
            <w:r>
              <w:rPr>
                <w:rFonts w:ascii="Times New Roman" w:hAnsi="Times New Roman"/>
                <w:b w:val="0"/>
                <w:bCs w:val="0"/>
                <w:color w:val="000000"/>
                <w:sz w:val="24"/>
                <w:szCs w:val="24"/>
                <w:highlight w:val="none"/>
              </w:rPr>
              <w:t xml:space="preserve">原厂整机年维保费（包括所有零配件以及所配置的全部第三方产品以及人工服务）不得高于</w:t>
            </w:r>
            <w:r>
              <w:rPr>
                <w:rFonts w:hint="eastAsia"/>
                <w:b w:val="0"/>
                <w:bCs w:val="0"/>
                <w:color w:val="000000"/>
                <w:sz w:val="24"/>
                <w:szCs w:val="24"/>
                <w:highlight w:val="none"/>
                <w:lang w:eastAsia="zh-CN"/>
              </w:rPr>
              <w:t xml:space="preserve">相应分项报价的</w:t>
            </w:r>
            <w:r>
              <w:rPr>
                <w:rFonts w:hint="eastAsia"/>
                <w:b w:val="0"/>
                <w:bCs w:val="0"/>
                <w:color w:val="000000"/>
                <w:sz w:val="24"/>
                <w:szCs w:val="24"/>
                <w:highlight w:val="none"/>
                <w:lang w:val="en-US" w:eastAsia="zh-CN"/>
              </w:rPr>
              <w:t xml:space="preserve">6</w:t>
            </w:r>
            <w:r>
              <w:rPr>
                <w:rFonts w:hint="eastAsia"/>
                <w:b w:val="0"/>
                <w:bCs w:val="0"/>
                <w:color w:val="000000"/>
                <w:sz w:val="24"/>
                <w:szCs w:val="24"/>
                <w:highlight w:val="none"/>
                <w:lang w:eastAsia="zh-CN"/>
              </w:rPr>
              <w:t xml:space="preserve">%</w:t>
            </w:r>
            <w:r>
              <w:rPr>
                <w:rFonts w:ascii="Times New Roman" w:hAnsi="Times New Roman"/>
                <w:b w:val="0"/>
                <w:bCs w:val="0"/>
                <w:color w:val="000000"/>
                <w:sz w:val="24"/>
                <w:szCs w:val="24"/>
                <w:highlight w:val="none"/>
              </w:rPr>
              <w:t xml:space="preserve">，并根据医院实际需求</w:t>
            </w:r>
            <w:r>
              <w:rPr>
                <w:rFonts w:hint="eastAsia"/>
                <w:b w:val="0"/>
                <w:bCs w:val="0"/>
                <w:color w:val="000000"/>
                <w:sz w:val="24"/>
                <w:szCs w:val="24"/>
                <w:highlight w:val="none"/>
                <w:lang w:val="en-US" w:eastAsia="zh-CN"/>
              </w:rPr>
              <w:t xml:space="preserve">进行</w:t>
            </w:r>
            <w:r>
              <w:rPr>
                <w:rFonts w:ascii="Times New Roman" w:hAnsi="Times New Roman"/>
                <w:b w:val="0"/>
                <w:bCs w:val="0"/>
                <w:color w:val="000000"/>
                <w:sz w:val="24"/>
                <w:szCs w:val="24"/>
                <w:highlight w:val="none"/>
              </w:rPr>
              <w:t xml:space="preserve">协商，但须按照相关法律法规及流程执行</w:t>
            </w:r>
            <w:r>
              <w:rPr>
                <w:rFonts w:hint="eastAsia" w:ascii="Times New Roman" w:hAnsi="Times New Roman"/>
                <w:b w:val="0"/>
                <w:bCs w:val="0"/>
                <w:color w:val="000000"/>
                <w:sz w:val="24"/>
                <w:szCs w:val="24"/>
                <w:highlight w:val="none"/>
              </w:rPr>
              <w:t xml:space="preserve">。</w:t>
            </w:r>
            <w:r/>
          </w:p>
        </w:tc>
      </w:tr>
      <w:tr>
        <w:trPr>
          <w:trHeight w:val="23"/>
        </w:trPr>
        <w:tc>
          <w:tcPr>
            <w:tcW w:w="1129" w:type="dxa"/>
            <w:vAlign w:val="center"/>
            <w:textDirection w:val="lrTb"/>
            <w:noWrap w:val="false"/>
          </w:tcPr>
          <w:p>
            <w:pPr>
              <w:ind w:right="0"/>
              <w:jc w:val="center"/>
              <w:keepLines w:val="0"/>
              <w:keepNext w:val="0"/>
              <w:pageBreakBefore w:val="0"/>
              <w:spacing w:line="260" w:lineRule="exact"/>
              <w:widowControl/>
              <w:rPr>
                <w:rFonts w:hint="eastAsia" w:ascii="黑体" w:hAnsi="黑体" w:eastAsia="黑体" w:cs="黑体"/>
                <w:b w:val="0"/>
                <w:bCs w:val="0"/>
                <w:i w:val="0"/>
                <w:iCs w:val="0"/>
                <w:color w:val="000000"/>
                <w:sz w:val="22"/>
                <w:szCs w:val="22"/>
                <w:u w:val="none"/>
              </w:rPr>
              <w:suppressLineNumbers w:val="0"/>
            </w:pPr>
            <w:r>
              <w:rPr>
                <w:rFonts w:hint="eastAsia" w:ascii="黑体" w:hAnsi="黑体" w:eastAsia="黑体" w:cs="黑体"/>
                <w:b w:val="0"/>
                <w:bCs w:val="0"/>
                <w:i w:val="0"/>
                <w:iCs w:val="0"/>
                <w:color w:val="000000"/>
                <w:sz w:val="22"/>
                <w:szCs w:val="22"/>
                <w:u w:val="none"/>
                <w:lang w:val="en-US" w:eastAsia="zh-CN" w:bidi="ar"/>
              </w:rPr>
              <w:t xml:space="preserve">序号</w:t>
            </w:r>
            <w:r/>
          </w:p>
        </w:tc>
        <w:tc>
          <w:tcPr>
            <w:tcW w:w="6948" w:type="dxa"/>
            <w:vAlign w:val="center"/>
            <w:textDirection w:val="lrTb"/>
            <w:noWrap w:val="false"/>
          </w:tcPr>
          <w:p>
            <w:pPr>
              <w:ind w:right="0" w:firstLine="385"/>
              <w:jc w:val="center"/>
              <w:keepLines w:val="0"/>
              <w:keepNext w:val="0"/>
              <w:pageBreakBefore w:val="0"/>
              <w:spacing w:line="260" w:lineRule="exact"/>
              <w:widowControl/>
              <w:rPr>
                <w:rFonts w:hint="eastAsia" w:ascii="黑体" w:hAnsi="黑体" w:eastAsia="黑体" w:cs="黑体"/>
                <w:b w:val="0"/>
                <w:bCs w:val="0"/>
                <w:i w:val="0"/>
                <w:iCs w:val="0"/>
                <w:color w:val="000000"/>
                <w:sz w:val="22"/>
                <w:szCs w:val="22"/>
                <w:u w:val="none"/>
              </w:rPr>
              <w:suppressLineNumbers w:val="0"/>
            </w:pPr>
            <w:r>
              <w:rPr>
                <w:rFonts w:hint="eastAsia" w:ascii="黑体" w:hAnsi="黑体" w:eastAsia="黑体" w:cs="黑体"/>
                <w:b w:val="0"/>
                <w:bCs w:val="0"/>
                <w:i w:val="0"/>
                <w:iCs w:val="0"/>
                <w:color w:val="000000"/>
                <w:sz w:val="22"/>
                <w:szCs w:val="22"/>
                <w:u w:val="none"/>
                <w:lang w:val="en-US" w:eastAsia="zh-CN" w:bidi="ar"/>
              </w:rPr>
              <w:t xml:space="preserve">技术参数</w:t>
            </w:r>
            <w:r/>
          </w:p>
        </w:tc>
        <w:tc>
          <w:tcPr>
            <w:tcW w:w="1947" w:type="dxa"/>
            <w:vAlign w:val="center"/>
            <w:textDirection w:val="lrTb"/>
            <w:noWrap w:val="false"/>
          </w:tcPr>
          <w:p>
            <w:pPr>
              <w:ind w:right="0" w:firstLine="385"/>
              <w:jc w:val="center"/>
              <w:keepLines w:val="0"/>
              <w:keepNext w:val="0"/>
              <w:pageBreakBefore w:val="0"/>
              <w:spacing w:line="260" w:lineRule="exact"/>
              <w:widowControl/>
              <w:rPr>
                <w:rFonts w:hint="eastAsia" w:ascii="黑体" w:hAnsi="黑体" w:eastAsia="黑体" w:cs="黑体"/>
                <w:b w:val="0"/>
                <w:bCs w:val="0"/>
                <w:color w:val="000000"/>
              </w:rPr>
              <w:suppressLineNumbers w:val="0"/>
            </w:pPr>
            <w:r>
              <w:rPr>
                <w:rFonts w:hint="eastAsia" w:ascii="黑体" w:hAnsi="黑体" w:eastAsia="黑体" w:cs="黑体"/>
                <w:b w:val="0"/>
                <w:bCs w:val="0"/>
                <w:i w:val="0"/>
                <w:iCs w:val="0"/>
                <w:color w:val="000000"/>
                <w:sz w:val="22"/>
                <w:szCs w:val="22"/>
                <w:u w:val="none"/>
                <w:lang w:val="en-US" w:eastAsia="zh-CN" w:bidi="ar"/>
              </w:rPr>
              <w:t xml:space="preserve">技术要求</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磁场强度</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3.0T</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中心共振频率</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≤128MHz</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匀场通道</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≥8个</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匀场点数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≥32点</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磁体长度（不含外壳）</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≥170cm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磁体内径（患者检查孔道内径）大小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≥70cm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磁体重量（含液氦）</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≤6吨</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磁场均匀度（V－RMS测量法）40cmDSV（典型值）</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≤0.33ppm</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磁场均匀度（V－RMS测量法）30cmDSV（典型值）</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≤0.07ppm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磁场均匀度（V－RMS测量法）20cmDSV（典型值）</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≤0.02ppm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磁场均匀度（V－RMS测量法）10cmDSV（典型值）</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≤0.005ppm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液氦腔最大容量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≤1880L</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5高斯磁力线径向范围：</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最大单轴梯度场强（不可以用有效值响应，不可以用向量梯度性能响应，X、Y、Z三轴）</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≥60mT/m</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color w:val="000000"/>
                <w:sz w:val="22"/>
                <w:szCs w:val="22"/>
                <w:lang w:val="en-US" w:eastAsia="zh-CN" w:bidi="ar"/>
              </w:rPr>
              <w:t xml:space="preserve">梯度</w:t>
            </w:r>
            <w:r>
              <w:rPr>
                <w:rFonts w:hint="eastAsia" w:ascii="仿宋" w:hAnsi="仿宋" w:eastAsia="仿宋" w:cs="仿宋"/>
                <w:i w:val="0"/>
                <w:iCs w:val="0"/>
                <w:color w:val="000000"/>
                <w:sz w:val="22"/>
                <w:szCs w:val="22"/>
                <w:u w:val="none"/>
                <w:lang w:val="en-US" w:eastAsia="zh-CN" w:bidi="ar"/>
              </w:rPr>
              <w:t xml:space="preserve">工作周期</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color w:val="000000"/>
                <w:sz w:val="22"/>
                <w:szCs w:val="22"/>
                <w:lang w:val="en-US" w:eastAsia="zh-CN" w:bidi="ar"/>
              </w:rPr>
              <w:t xml:space="preserve">100%</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tcW w:w="6948"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防磁模数转换器内置于磁体间（非线圈内）</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射频放大器发射技术平台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color w:val="000000"/>
                <w:sz w:val="22"/>
                <w:szCs w:val="22"/>
                <w:lang w:val="en-US" w:eastAsia="zh-CN" w:bidi="ar"/>
              </w:rPr>
              <w:t xml:space="preserve">提供双独立发射源射频放大技术平台或并行发射多通道技术</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tcW w:w="6948"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独立射频放大器数量或并行发射通道</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2个</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最大射频功率</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≥37.5Kw</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发射带宽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≥1MHz</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系统最大通道数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≥168</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在一个视野的单次扫描中，可同时使用的独立接收线圈通道的数量，每个通道皆可生成一副独立的局部图像（不可以用最大通道数响应，不可以用可同时连接的通道之和响应，不可以用可同时连接的线圈单元之和响应）</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≥64通道</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扫描床线圈接口数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原厂头颈联合线圈通道数</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≥21通道</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原厂体部线圈通道数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≥24通道</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tcW w:w="6948"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原厂一体化全脊柱线圈通道数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≥24通道</w:t>
            </w:r>
            <w:r/>
          </w:p>
        </w:tc>
      </w:tr>
      <w:tr>
        <w:trPr>
          <w:trHeight w:val="90"/>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tcW w:w="6948"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原厂腹部线圈单片覆盖范围</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≥60cm×60cm，否则提供两片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28</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原厂乳腺线圈通道数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≥8通道</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29</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零TE回波或同类超短TE回波成像技术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30</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零TE回波或同类超短TE回波成像技术可以应用于血管成像，关节成像等部位</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垂直运动时扫描床最大承受重量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≥250kg</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扫描床运动最大速度</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≥220mm/s</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扫描床内原厂一体化全脊柱线圈物理长度</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≥100cm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34</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机架正面的两侧均有床旁操作按钮，可控制扫描床的运动和扫描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35</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一键定位，无需激光灯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w:t>
            </w:r>
            <w:r/>
          </w:p>
        </w:tc>
      </w:tr>
      <w:tr>
        <w:trPr>
          <w:trHeight w:val="564"/>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磁体液晶显示系统</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37</w:t>
            </w:r>
            <w:r/>
          </w:p>
        </w:tc>
        <w:tc>
          <w:tcPr>
            <w:tcW w:w="6948"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磁体床旁双侧扫描控制面板</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w:t>
            </w:r>
            <w:r/>
          </w:p>
        </w:tc>
      </w:tr>
      <w:tr>
        <w:trPr>
          <w:trHeight w:val="578"/>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tcW w:w="6948"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计算机系统主CPU主频、主CPU核心个数、主内存</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≥3.0GHz，≥4个，≥64GB</w:t>
            </w:r>
            <w:r/>
          </w:p>
        </w:tc>
      </w:tr>
      <w:tr>
        <w:trPr>
          <w:trHeight w:val="165"/>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最大重建矩阵</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≥1024×1024</w:t>
            </w:r>
            <w:r/>
          </w:p>
        </w:tc>
      </w:tr>
      <w:tr>
        <w:trPr>
          <w:trHeight w:val="90"/>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40</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重建速度（2D傅立叶变换，256×256矩阵，100% FOV，100%数据重建）</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≥180,000 FFT/秒</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阵列处理器内存</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≥96GB</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42</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系统硬盘容量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≥1TB</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43</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显示器</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≥23寸彩色LCD率液晶显示器</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44</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显示图像分辨率</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≥1920×1200</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45</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实时心电波形显示</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46</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最大FOV</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≥50cm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47</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最小FOV</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≤5mm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48</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最小二维层厚</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≤0.1mm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49</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最小三维层厚</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≤0.05mm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最大采集矩阵</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≥1024×1024</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自旋回波序列</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52</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梯度回波序列</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54"/>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53</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EPI 序列</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54</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并行采集技术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55</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压缩感知技术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56</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全脑不打药灌注成像技术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57</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提供小视野高清弥散技术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58</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提供多次激励弥散成像技术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59</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灰白质成像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60</w:t>
            </w:r>
            <w:r/>
          </w:p>
        </w:tc>
        <w:tc>
          <w:tcPr>
            <w:shd w:val="clear" w:color="auto" w:fill="ffffff"/>
            <w:tcW w:w="6948"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磁敏感加权成像技术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61</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弥散张量成像（DTI）</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62</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多b值弥散</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63</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脂铁定量技术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64</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膈肌导航技术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65</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呼吸触发技术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66</w:t>
            </w:r>
            <w:r/>
          </w:p>
        </w:tc>
        <w:tc>
          <w:tcPr>
            <w:shd w:val="clear" w:color="auto" w:fill="ffffff"/>
            <w:tcW w:w="6948"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一次扫描四种对比度</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544"/>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67</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提供自由呼吸体部多期动态增强扫描技术，对腹部脏器的增强检查能实现多个期相供血血管的显示，快速精准定位肿瘤的供血血管</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68</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MR胰胆管造影技术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69</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心血管成像技术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70</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2D/3D时飞法技术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71</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2D/3D相位对比法技术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72</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心脏成像黑血技术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73</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心脏四维流动定量成像技术4D Flow</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74</w:t>
            </w:r>
            <w:r/>
          </w:p>
        </w:tc>
        <w:tc>
          <w:tcPr>
            <w:shd w:val="clear" w:color="auto" w:fill="ffffff"/>
            <w:tcW w:w="6948"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延迟法心肌灌注成像技术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75</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首过心肌灌注成像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76</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心脏电影技术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77</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mapping（含T1,T2,T*）</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78</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三维各向同性容积成像序列</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79</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关节软骨成像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伪影（含金属伪影）校正技术</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744"/>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▲81</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color w:val="000000"/>
                <w:sz w:val="22"/>
                <w:szCs w:val="22"/>
                <w:lang w:val="en-US" w:eastAsia="zh-CN" w:bidi="ar"/>
              </w:rPr>
              <w:t xml:space="preserve">提供原厂全套全配最新版本高阶功能，包括且不限于：AI图像重建加速降噪、AI智能扫描工作流、AI运动/伪影抑制、AI智能后处理、AI辅助诊断等。软件终身提供免费升级服务。</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提供承诺书，格式自拟</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82</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原厂高级独立后处理工作站一套</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83</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显示器</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2个，≥19英寸</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84</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CPU核心数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≥8核</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85</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主CPU主频</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≥3.4GHz</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86</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内存</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≥64GB</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87</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硬盘容量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≥3TB</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88</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硬盘存储量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≥600000幅256×256图像</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▲89</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临床采集加权系数B值</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≥10000</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shd w:val="clear" w:color="auto" w:fill="ffffff"/>
            <w:tcW w:w="6948" w:type="dxa"/>
            <w:vAlign w:val="center"/>
            <w:textDirection w:val="lrTb"/>
            <w:noWrap w:val="false"/>
          </w:tcPr>
          <w:p>
            <w:pPr>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黑体" w:hAnsi="黑体" w:eastAsia="黑体" w:cs="黑体"/>
                <w:bCs/>
                <w:color w:val="000000"/>
                <w:position w:val="-10"/>
                <w:szCs w:val="20"/>
                <w:lang w:val="en-US" w:eastAsia="zh-CN"/>
              </w:rPr>
              <w:t xml:space="preserve">第三方配置需求（此项为采购包2第三方需求明细，具体采购内容及数量以“三、项目清单”为准</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90.1</w:t>
            </w:r>
            <w:r/>
          </w:p>
        </w:tc>
        <w:tc>
          <w:tcPr>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无磁信息化双筒高压注射器：</w:t>
            </w:r>
            <w:r>
              <w:rPr>
                <w:rFonts w:hint="eastAsia" w:ascii="仿宋" w:hAnsi="仿宋" w:eastAsia="仿宋" w:cs="仿宋"/>
                <w:i w:val="0"/>
                <w:iCs w:val="0"/>
                <w:color w:val="000000"/>
                <w:sz w:val="22"/>
                <w:szCs w:val="22"/>
                <w:u w:val="none"/>
                <w:lang w:val="zh-CN" w:eastAsia="zh-CN" w:bidi="ar"/>
              </w:rPr>
              <w:t xml:space="preserve">适用于3.0T磁共振系统，彩色触摸屏，双筒双马达设计，双侧针筒可独立编程注射，支持自动吸药、自动排气、双流注射、静脉开放功能等功能</w:t>
            </w:r>
            <w:r/>
          </w:p>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zh-CN" w:eastAsia="zh-CN" w:bidi="ar"/>
              </w:rPr>
              <w:t xml:space="preserve">支持实时压力曲线显示功能，压力限制偏差≤±10psi</w:t>
            </w:r>
            <w:r/>
          </w:p>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lang w:val="zh-CN" w:eastAsia="zh-CN" w:bidi="ar"/>
              </w:rPr>
              <w:t xml:space="preserve">注射时相≥6相，可以任意选择造影剂、盐水、保持或暂停</w:t>
            </w:r>
            <w:r/>
          </w:p>
          <w:p>
            <w:pPr>
              <w:jc w:val="both"/>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lang w:val="zh-CN" w:eastAsia="zh-CN" w:bidi="ar"/>
              </w:rPr>
              <w:t xml:space="preserve">具有信息化功能，与医院PACS等信息系统连接</w:t>
            </w:r>
            <w:r/>
          </w:p>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lang w:val="zh-CN" w:eastAsia="zh-CN" w:bidi="ar"/>
              </w:rPr>
              <w:t xml:space="preserve">配套信息管理软件支持多设备数据看板及多设备管理与分析功能</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5）</w:t>
            </w:r>
            <w:r>
              <w:rPr>
                <w:rFonts w:hint="eastAsia" w:ascii="仿宋" w:hAnsi="仿宋" w:eastAsia="仿宋" w:cs="仿宋"/>
                <w:i w:val="0"/>
                <w:iCs w:val="0"/>
                <w:color w:val="000000"/>
                <w:sz w:val="22"/>
                <w:szCs w:val="22"/>
                <w:u w:val="none"/>
                <w:lang w:val="zh-CN" w:eastAsia="zh-CN" w:bidi="ar"/>
              </w:rPr>
              <w:t xml:space="preserve">所用耗材必须南京医用耗材（药品）招采结算系统、江苏省药品（医用耗材）阳光采购和综合监管平台中标品种</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90.2</w:t>
            </w:r>
            <w:r/>
          </w:p>
        </w:tc>
        <w:tc>
          <w:tcPr>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信息化双筒高压注射器（CT专用）：</w:t>
            </w:r>
            <w:r/>
          </w:p>
          <w:p>
            <w:pPr>
              <w:numPr>
                <w:ilvl w:val="0"/>
                <w:numId w:val="5"/>
              </w:num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彩色触摸屏，双筒双马达设计，双侧针筒可独立编程注射，支持自动吸药，自动排气，双流注射等功能；</w:t>
            </w:r>
            <w:r/>
          </w:p>
          <w:p>
            <w:pPr>
              <w:numPr>
                <w:ilvl w:val="0"/>
                <w:numId w:val="5"/>
              </w:num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支持实时压力曲线显示功能；</w:t>
            </w:r>
            <w:r/>
          </w:p>
          <w:p>
            <w:pPr>
              <w:numPr>
                <w:ilvl w:val="0"/>
                <w:numId w:val="5"/>
              </w:num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最大压力限值≤325Psi；</w:t>
            </w:r>
            <w:r/>
          </w:p>
          <w:p>
            <w:pPr>
              <w:numPr>
                <w:ilvl w:val="0"/>
                <w:numId w:val="5"/>
              </w:num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具有信息化功能，与医院PACS等信息系统连接；</w:t>
            </w:r>
            <w:r/>
          </w:p>
          <w:p>
            <w:pPr>
              <w:numPr>
                <w:ilvl w:val="0"/>
                <w:numId w:val="5"/>
              </w:num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配套信息管理软件支持多设备数据看板及多设备管理与分析功能；</w:t>
            </w:r>
            <w:r/>
          </w:p>
          <w:p>
            <w:pPr>
              <w:numPr>
                <w:ilvl w:val="0"/>
                <w:numId w:val="5"/>
              </w:num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所用耗材必须南京医用耗材（药品）招采结算系统、江苏省药品（医用耗材）阳光采购和综合监管平台中标品种</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90.3</w:t>
            </w:r>
            <w:r/>
          </w:p>
        </w:tc>
        <w:tc>
          <w:tcPr>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无磁监视系统：</w:t>
            </w:r>
            <w:r>
              <w:rPr>
                <w:rFonts w:hint="eastAsia" w:ascii="仿宋" w:hAnsi="仿宋" w:eastAsia="仿宋" w:cs="仿宋"/>
                <w:i w:val="0"/>
                <w:iCs w:val="0"/>
                <w:color w:val="000000"/>
                <w:sz w:val="22"/>
                <w:szCs w:val="22"/>
                <w:u w:val="none"/>
                <w:lang w:val="zh-CN" w:eastAsia="zh-CN" w:bidi="ar"/>
              </w:rPr>
              <w:t xml:space="preserve">支持双向通话功能</w:t>
            </w:r>
            <w:r>
              <w:rPr>
                <w:rFonts w:hint="eastAsia" w:ascii="仿宋" w:hAnsi="仿宋" w:eastAsia="仿宋" w:cs="仿宋"/>
                <w:i w:val="0"/>
                <w:iCs w:val="0"/>
                <w:color w:val="000000"/>
                <w:sz w:val="22"/>
                <w:szCs w:val="22"/>
                <w:u w:val="none"/>
                <w:lang w:val="zh-CN" w:eastAsia="zh-CN" w:bidi="ar"/>
              </w:rPr>
              <w:tab/>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90.4</w:t>
            </w:r>
            <w:r/>
          </w:p>
        </w:tc>
        <w:tc>
          <w:tcPr>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无磁升降转运床：</w:t>
            </w:r>
            <w:r>
              <w:rPr>
                <w:rFonts w:hint="eastAsia" w:ascii="仿宋" w:hAnsi="仿宋" w:eastAsia="仿宋" w:cs="仿宋"/>
                <w:i w:val="0"/>
                <w:iCs w:val="0"/>
                <w:color w:val="000000"/>
                <w:sz w:val="22"/>
                <w:szCs w:val="22"/>
                <w:u w:val="none"/>
                <w:lang w:val="zh-CN" w:eastAsia="zh-CN" w:bidi="ar"/>
              </w:rPr>
              <w:t xml:space="preserve">完全零磁，可完全通过最高等级灵敏度铁磁质探测系统的探测不出现报警，最大载重≥200公斤</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90.5</w:t>
            </w:r>
            <w:r/>
          </w:p>
        </w:tc>
        <w:tc>
          <w:tcPr>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无磁转运椅</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90.6</w:t>
            </w:r>
            <w:r/>
          </w:p>
        </w:tc>
        <w:tc>
          <w:tcPr>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无磁灭火器</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90.7</w:t>
            </w:r>
            <w:r/>
          </w:p>
        </w:tc>
        <w:tc>
          <w:tcPr>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磁共振专用双立柱智能铁磁探测系统：</w:t>
            </w:r>
            <w:r>
              <w:rPr>
                <w:rFonts w:hint="eastAsia" w:ascii="仿宋" w:hAnsi="仿宋" w:eastAsia="仿宋" w:cs="仿宋"/>
                <w:i w:val="0"/>
                <w:iCs w:val="0"/>
                <w:color w:val="000000"/>
                <w:sz w:val="22"/>
                <w:szCs w:val="22"/>
                <w:u w:val="none"/>
                <w:lang w:val="zh-CN" w:eastAsia="zh-CN" w:bidi="ar"/>
              </w:rPr>
              <w:t xml:space="preserve">包含但不限于配置≥21英寸触摸屏，≥6通道传感器，满足灯光、语音及图文告警，满足智能定位报警和智能集控管理，防碰撞等</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90.8</w:t>
            </w:r>
            <w:r/>
          </w:p>
        </w:tc>
        <w:tc>
          <w:tcPr>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ascii="仿宋" w:hAnsi="仿宋" w:eastAsia="仿宋" w:cs="仿宋"/>
                <w:i w:val="0"/>
                <w:iCs w:val="0"/>
                <w:color w:val="000000"/>
                <w:sz w:val="22"/>
                <w:szCs w:val="22"/>
                <w:u w:val="none"/>
                <w:lang w:val="en-US" w:eastAsia="zh-CN" w:bidi="ar"/>
              </w:rPr>
              <w:t xml:space="preserve">医用显示器</w:t>
            </w:r>
            <w:r>
              <w:rPr>
                <w:rFonts w:hint="eastAsia" w:ascii="仿宋" w:hAnsi="仿宋" w:eastAsia="仿宋" w:cs="仿宋"/>
                <w:i w:val="0"/>
                <w:iCs w:val="0"/>
                <w:color w:val="000000"/>
                <w:sz w:val="22"/>
                <w:szCs w:val="22"/>
                <w:u w:val="none"/>
                <w:lang w:val="en-US" w:eastAsia="zh-CN" w:bidi="ar"/>
              </w:rPr>
              <w:t xml:space="preserve">：</w:t>
            </w:r>
            <w:r>
              <w:rPr>
                <w:rFonts w:ascii="仿宋" w:hAnsi="仿宋" w:eastAsia="仿宋" w:cs="仿宋"/>
                <w:i w:val="0"/>
                <w:iCs w:val="0"/>
                <w:color w:val="000000"/>
                <w:sz w:val="22"/>
                <w:szCs w:val="22"/>
                <w:u w:val="none"/>
                <w:lang w:val="en-US" w:eastAsia="zh-CN" w:bidi="ar"/>
              </w:rPr>
              <w:t xml:space="preserve">≥4M</w:t>
            </w:r>
            <w:r>
              <w:rPr>
                <w:rFonts w:hint="eastAsia" w:ascii="仿宋" w:hAnsi="仿宋" w:eastAsia="仿宋" w:cs="仿宋"/>
                <w:i w:val="0"/>
                <w:iCs w:val="0"/>
                <w:color w:val="000000"/>
                <w:sz w:val="22"/>
                <w:szCs w:val="22"/>
                <w:u w:val="none"/>
                <w:lang w:val="en-US" w:eastAsia="zh-CN" w:bidi="ar"/>
              </w:rPr>
              <w:t xml:space="preserve">，</w:t>
            </w:r>
            <w:r>
              <w:rPr>
                <w:rFonts w:ascii="仿宋" w:hAnsi="仿宋" w:eastAsia="仿宋" w:cs="仿宋"/>
                <w:i w:val="0"/>
                <w:iCs w:val="0"/>
                <w:color w:val="000000"/>
                <w:sz w:val="22"/>
                <w:szCs w:val="22"/>
                <w:u w:val="none"/>
                <w:lang w:val="en-US" w:eastAsia="zh-CN" w:bidi="ar"/>
              </w:rPr>
              <w:t xml:space="preserve">需带质控功能，≥27寸</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90.9</w:t>
            </w:r>
            <w:r/>
          </w:p>
        </w:tc>
        <w:tc>
          <w:tcPr>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数字晨会管理系统：</w:t>
            </w:r>
            <w:r>
              <w:rPr>
                <w:rFonts w:ascii="仿宋" w:hAnsi="仿宋" w:eastAsia="仿宋" w:cs="仿宋"/>
                <w:i w:val="0"/>
                <w:iCs w:val="0"/>
                <w:color w:val="000000"/>
                <w:sz w:val="22"/>
                <w:szCs w:val="22"/>
                <w:u w:val="none"/>
                <w:lang w:val="en-US" w:eastAsia="zh-CN" w:bidi="ar"/>
              </w:rPr>
              <w:t xml:space="preserve">内置AI语音教学模块，支持实时调阅pacs影像，包括调节测量MPR等功能，支持电子考勤及考勤查看和导出</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90.10</w:t>
            </w:r>
            <w:r/>
          </w:p>
        </w:tc>
        <w:tc>
          <w:tcPr>
            <w:tcW w:w="6948" w:type="dxa"/>
            <w:vAlign w:val="center"/>
            <w:textDirection w:val="lrTb"/>
            <w:noWrap w:val="false"/>
          </w:tcPr>
          <w:p>
            <w:pPr>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线圈柜：定制，满足本项目设备使用</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90.11</w:t>
            </w:r>
            <w:r/>
          </w:p>
        </w:tc>
        <w:tc>
          <w:tcPr>
            <w:tcW w:w="6948" w:type="dxa"/>
            <w:vAlign w:val="center"/>
            <w:textDirection w:val="lrTb"/>
            <w:noWrap w:val="false"/>
          </w:tcPr>
          <w:p>
            <w:pPr>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大功率除湿器（MR专用）：满足本项目机房使用</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bl>
    <w:p>
      <w:pPr>
        <w:ind w:right="0"/>
        <w:jc w:val="left"/>
        <w:keepLines w:val="0"/>
        <w:keepNext w:val="0"/>
        <w:pageBreakBefore w:val="0"/>
        <w:spacing w:after="0"/>
        <w:widowControl/>
        <w:rPr>
          <w:rFonts w:hint="eastAsia" w:ascii="Times New Roman" w:hAnsi="Times New Roman" w:eastAsia="宋体" w:cs="Times New Roman"/>
          <w:b/>
          <w:bCs/>
          <w:i w:val="0"/>
          <w:iCs w:val="0"/>
          <w:color w:val="000000"/>
          <w:sz w:val="24"/>
          <w:szCs w:val="24"/>
          <w:highlight w:val="none"/>
          <w:u w:val="none"/>
          <w:lang w:val="en-US" w:eastAsia="zh-CN" w:bidi="ar"/>
        </w:rPr>
      </w:pPr>
      <w:r>
        <w:rPr>
          <w:rFonts w:hint="eastAsia"/>
          <w:b/>
          <w:bCs/>
          <w:color w:val="000000"/>
          <w:sz w:val="24"/>
          <w:szCs w:val="24"/>
          <w:highlight w:val="none"/>
          <w:lang w:val="en-US" w:eastAsia="zh-CN"/>
        </w:rPr>
        <w:t xml:space="preserve">特别说明：</w:t>
      </w:r>
      <w:r>
        <w:rPr>
          <w:rFonts w:hint="eastAsia" w:ascii="Times New Roman" w:hAnsi="Times New Roman" w:eastAsia="宋体" w:cs="Times New Roman"/>
          <w:b/>
          <w:bCs/>
          <w:color w:val="000000"/>
          <w:sz w:val="24"/>
          <w:szCs w:val="24"/>
          <w:highlight w:val="none"/>
          <w:lang w:val="en-US" w:eastAsia="zh-CN"/>
        </w:rPr>
        <w:t xml:space="preserve">以上</w:t>
      </w:r>
      <w:r>
        <w:rPr>
          <w:rFonts w:hint="eastAsia" w:ascii="Times New Roman" w:hAnsi="Times New Roman" w:eastAsia="宋体" w:cs="Times New Roman"/>
          <w:b/>
          <w:bCs/>
          <w:i w:val="0"/>
          <w:iCs w:val="0"/>
          <w:color w:val="000000"/>
          <w:sz w:val="24"/>
          <w:szCs w:val="24"/>
          <w:highlight w:val="none"/>
          <w:u w:val="none"/>
          <w:lang w:val="en-US" w:eastAsia="zh-CN" w:bidi="ar"/>
        </w:rPr>
        <w:t xml:space="preserve">★、▲技术参数需在投标文件中提供</w:t>
      </w:r>
      <w:r>
        <w:rPr>
          <w:rFonts w:hint="eastAsia" w:ascii="Times New Roman" w:hAnsi="Times New Roman" w:eastAsia="宋体" w:cs="Times New Roman"/>
          <w:b/>
          <w:bCs/>
          <w:color w:val="000000"/>
          <w:sz w:val="24"/>
          <w:szCs w:val="24"/>
          <w:highlight w:val="none"/>
          <w:lang w:val="en-US" w:eastAsia="zh-CN" w:bidi="ar"/>
        </w:rPr>
        <w:t xml:space="preserve">所投产品有效的医疗器械注册证及附件、与注册证附件内容保持一致的最新原厂中文版技术白皮书（或产品彩页或官方网站截图或具备CMA资质的有效检测报告）</w:t>
      </w:r>
      <w:r>
        <w:rPr>
          <w:rFonts w:hint="eastAsia" w:ascii="Times New Roman" w:hAnsi="Times New Roman" w:eastAsia="宋体" w:cs="Times New Roman"/>
          <w:b/>
          <w:bCs/>
          <w:i w:val="0"/>
          <w:iCs w:val="0"/>
          <w:color w:val="000000"/>
          <w:sz w:val="24"/>
          <w:szCs w:val="24"/>
          <w:highlight w:val="none"/>
          <w:u w:val="none"/>
          <w:lang w:val="en-US" w:eastAsia="zh-CN" w:bidi="ar"/>
        </w:rPr>
        <w:t xml:space="preserve">，否则不予认可。</w:t>
      </w:r>
      <w:r/>
    </w:p>
    <w:p>
      <w:pPr>
        <w:ind w:right="0"/>
        <w:jc w:val="left"/>
        <w:keepLines w:val="0"/>
        <w:keepNext w:val="0"/>
        <w:pageBreakBefore w:val="0"/>
        <w:spacing w:after="0"/>
        <w:widowControl/>
        <w:rPr>
          <w:rFonts w:hint="eastAsia" w:ascii="Times New Roman" w:hAnsi="Times New Roman" w:eastAsia="宋体" w:cs="Times New Roman"/>
          <w:b/>
          <w:bCs/>
          <w:i w:val="0"/>
          <w:iCs w:val="0"/>
          <w:color w:val="000000"/>
          <w:sz w:val="24"/>
          <w:szCs w:val="24"/>
          <w:highlight w:val="none"/>
          <w:u w:val="none"/>
          <w:lang w:val="en-US" w:eastAsia="zh-CN" w:bidi="ar"/>
        </w:rPr>
      </w:pPr>
      <w:r>
        <w:rPr>
          <w:rFonts w:hint="eastAsia" w:ascii="Times New Roman" w:hAnsi="Times New Roman" w:eastAsia="宋体" w:cs="Times New Roman"/>
          <w:b/>
          <w:bCs/>
          <w:i w:val="0"/>
          <w:iCs w:val="0"/>
          <w:color w:val="000000"/>
          <w:sz w:val="24"/>
          <w:szCs w:val="24"/>
          <w:highlight w:val="none"/>
          <w:u w:val="none"/>
          <w:lang w:val="en-US" w:eastAsia="zh-CN" w:bidi="ar"/>
        </w:rPr>
      </w:r>
      <w:r/>
    </w:p>
    <w:p>
      <w:pPr>
        <w:pStyle w:val="1002"/>
        <w:ind w:right="0" w:firstLine="387"/>
        <w:keepLines w:val="0"/>
        <w:keepNext w:val="0"/>
        <w:pageBreakBefore w:val="0"/>
        <w:spacing w:after="0" w:line="240" w:lineRule="auto"/>
        <w:rPr>
          <w:rFonts w:hint="eastAsia" w:cs="宋体"/>
          <w:b/>
          <w:bCs/>
          <w:i w:val="0"/>
          <w:iCs w:val="0"/>
          <w:color w:val="000000"/>
          <w:sz w:val="22"/>
          <w:szCs w:val="22"/>
          <w:highlight w:val="none"/>
          <w:u w:val="none"/>
          <w:lang w:val="en-US" w:eastAsia="zh-CN" w:bidi="ar"/>
        </w:rPr>
      </w:pPr>
      <w:r>
        <w:rPr>
          <w:rFonts w:hint="eastAsia" w:cs="宋体"/>
          <w:b/>
          <w:bCs/>
          <w:i w:val="0"/>
          <w:iCs w:val="0"/>
          <w:color w:val="000000"/>
          <w:sz w:val="22"/>
          <w:szCs w:val="22"/>
          <w:highlight w:val="none"/>
          <w:u w:val="none"/>
          <w:lang w:val="en-US" w:eastAsia="zh-CN" w:bidi="ar"/>
        </w:rPr>
      </w:r>
      <w:r/>
    </w:p>
    <w:p>
      <w:pPr>
        <w:pStyle w:val="702"/>
        <w:rPr>
          <w:rFonts w:hint="eastAsia"/>
          <w:color w:val="000000"/>
        </w:rPr>
      </w:pPr>
      <w:r>
        <w:rPr>
          <w:rFonts w:hint="eastAsia" w:ascii="黑体" w:hAnsi="黑体" w:eastAsia="黑体" w:cs="黑体"/>
          <w:bCs w:val="0"/>
          <w:color w:val="000000"/>
          <w:sz w:val="24"/>
          <w:szCs w:val="24"/>
          <w:lang w:val="en-US" w:eastAsia="zh-CN"/>
        </w:rPr>
        <w:t xml:space="preserve">采购包3  1.5T磁共振成像系统</w:t>
      </w:r>
      <w:r/>
    </w:p>
    <w:tbl>
      <w:tblPr>
        <w:tblStyle w:val="701"/>
        <w:tblW w:w="503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6948"/>
        <w:gridCol w:w="1947"/>
      </w:tblGrid>
      <w:tr>
        <w:trPr>
          <w:trHeight w:val="449"/>
        </w:trPr>
        <w:tc>
          <w:tcPr>
            <w:tcW w:w="1129" w:type="dxa"/>
            <w:vAlign w:val="center"/>
            <w:vMerge w:val="restart"/>
            <w:textDirection w:val="lrTb"/>
            <w:noWrap w:val="false"/>
          </w:tcPr>
          <w:p>
            <w:pPr>
              <w:ind w:right="0"/>
              <w:jc w:val="both"/>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★总体要求</w:t>
            </w:r>
            <w:r/>
          </w:p>
        </w:tc>
        <w:tc>
          <w:tcPr>
            <w:gridSpan w:val="2"/>
            <w:tcW w:w="8895" w:type="dxa"/>
            <w:vAlign w:val="center"/>
            <w:textDirection w:val="lrTb"/>
            <w:noWrap w:val="false"/>
          </w:tcPr>
          <w:p>
            <w:pPr>
              <w:ind w:right="0" w:firstLine="420"/>
              <w:jc w:val="left"/>
              <w:keepLines w:val="0"/>
              <w:keepNext w:val="0"/>
              <w:pageBreakBefore w:val="0"/>
              <w:spacing w:line="260" w:lineRule="exact"/>
              <w:widowControl/>
              <w:rPr>
                <w:rFonts w:ascii="Times New Roman" w:hAnsi="Times New Roman" w:eastAsia="宋体" w:cs="Times New Roman"/>
                <w:b w:val="0"/>
                <w:bCs w:val="0"/>
                <w:i w:val="0"/>
                <w:iCs w:val="0"/>
                <w:color w:val="000000"/>
                <w:sz w:val="24"/>
                <w:szCs w:val="24"/>
                <w:highlight w:val="none"/>
                <w:u w:val="none"/>
              </w:rPr>
              <w:suppressLineNumbers w:val="0"/>
            </w:pPr>
            <w:r>
              <w:rPr>
                <w:rFonts w:ascii="Times New Roman" w:hAnsi="Times New Roman" w:eastAsia="宋体" w:cs="Times New Roman"/>
                <w:b w:val="0"/>
                <w:bCs w:val="0"/>
                <w:color w:val="000000"/>
                <w:sz w:val="24"/>
                <w:szCs w:val="24"/>
                <w:highlight w:val="none"/>
                <w:lang w:val="en-US" w:eastAsia="zh-CN"/>
              </w:rPr>
              <w:t xml:space="preserve">1、</w:t>
            </w:r>
            <w:r>
              <w:rPr>
                <w:rFonts w:ascii="Times New Roman" w:hAnsi="Times New Roman" w:eastAsia="宋体" w:cs="Times New Roman"/>
                <w:i w:val="0"/>
                <w:iCs w:val="0"/>
                <w:color w:val="000000"/>
                <w:sz w:val="24"/>
                <w:szCs w:val="24"/>
                <w:highlight w:val="none"/>
                <w:u w:val="none"/>
                <w:lang w:val="en-US" w:eastAsia="zh-CN" w:bidi="ar"/>
              </w:rPr>
              <w:t xml:space="preserve">设备免费开放全部信息系统接口，并免费接入医院诸如PACS、HIS、医疗设备以及其他第三方等相关软件系统。设备维修密码及信息系统接口全部免费开放、相关服务升级免费</w:t>
            </w:r>
            <w:r/>
          </w:p>
        </w:tc>
      </w:tr>
      <w:tr>
        <w:trPr>
          <w:trHeight w:val="23"/>
        </w:trPr>
        <w:tc>
          <w:tcPr>
            <w:tcW w:w="1129" w:type="dxa"/>
            <w:vAlign w:val="center"/>
            <w:vMerge w:val="continue"/>
            <w:textDirection w:val="lrTb"/>
            <w:noWrap w:val="false"/>
          </w:tcPr>
          <w:p>
            <w:pPr>
              <w:ind w:right="0" w:firstLine="385"/>
              <w:jc w:val="center"/>
              <w:keepLines w:val="0"/>
              <w:keepNext w:val="0"/>
              <w:pageBreakBefore w:val="0"/>
              <w:spacing w:line="260" w:lineRule="exac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c>
          <w:tcPr>
            <w:gridSpan w:val="2"/>
            <w:tcW w:w="8895" w:type="dxa"/>
            <w:vAlign w:val="center"/>
            <w:textDirection w:val="lrTb"/>
            <w:noWrap w:val="false"/>
          </w:tcPr>
          <w:p>
            <w:pPr>
              <w:ind w:right="0" w:firstLine="420"/>
              <w:jc w:val="left"/>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b w:val="0"/>
                <w:bCs w:val="0"/>
                <w:color w:val="000000"/>
                <w:sz w:val="24"/>
                <w:szCs w:val="24"/>
                <w:highlight w:val="none"/>
                <w:lang w:val="en-US" w:eastAsia="zh-CN"/>
              </w:rPr>
              <w:t xml:space="preserve">2、</w:t>
            </w:r>
            <w:r>
              <w:rPr>
                <w:rFonts w:ascii="Times New Roman" w:hAnsi="Times New Roman"/>
                <w:b w:val="0"/>
                <w:bCs w:val="0"/>
                <w:color w:val="000000"/>
                <w:sz w:val="24"/>
                <w:szCs w:val="24"/>
                <w:highlight w:val="none"/>
              </w:rPr>
              <w:t xml:space="preserve">保修期结束后应</w:t>
            </w:r>
            <w:r>
              <w:rPr>
                <w:rFonts w:hint="eastAsia"/>
                <w:b w:val="0"/>
                <w:bCs w:val="0"/>
                <w:color w:val="000000"/>
                <w:sz w:val="24"/>
                <w:szCs w:val="24"/>
                <w:highlight w:val="none"/>
                <w:lang w:val="en-US" w:eastAsia="zh-CN"/>
              </w:rPr>
              <w:t xml:space="preserve">保证</w:t>
            </w:r>
            <w:r>
              <w:rPr>
                <w:rFonts w:ascii="Times New Roman" w:hAnsi="Times New Roman"/>
                <w:b w:val="0"/>
                <w:bCs w:val="0"/>
                <w:color w:val="000000"/>
                <w:sz w:val="24"/>
                <w:szCs w:val="24"/>
                <w:highlight w:val="none"/>
              </w:rPr>
              <w:t xml:space="preserve">原厂整机年维保费（包括所有零配件以及所配置的全部第三方产品以及人工服务）不得高于</w:t>
            </w:r>
            <w:r>
              <w:rPr>
                <w:rFonts w:hint="eastAsia"/>
                <w:b w:val="0"/>
                <w:bCs w:val="0"/>
                <w:color w:val="000000"/>
                <w:sz w:val="24"/>
                <w:szCs w:val="24"/>
                <w:highlight w:val="none"/>
                <w:lang w:eastAsia="zh-CN"/>
              </w:rPr>
              <w:t xml:space="preserve">相应分项报价的7%</w:t>
            </w:r>
            <w:r>
              <w:rPr>
                <w:rFonts w:ascii="Times New Roman" w:hAnsi="Times New Roman"/>
                <w:b w:val="0"/>
                <w:bCs w:val="0"/>
                <w:color w:val="000000"/>
                <w:sz w:val="24"/>
                <w:szCs w:val="24"/>
                <w:highlight w:val="none"/>
              </w:rPr>
              <w:t xml:space="preserve">，并根据医院实际需求</w:t>
            </w:r>
            <w:r>
              <w:rPr>
                <w:rFonts w:hint="eastAsia"/>
                <w:b w:val="0"/>
                <w:bCs w:val="0"/>
                <w:color w:val="000000"/>
                <w:sz w:val="24"/>
                <w:szCs w:val="24"/>
                <w:highlight w:val="none"/>
                <w:lang w:val="en-US" w:eastAsia="zh-CN"/>
              </w:rPr>
              <w:t xml:space="preserve">进行</w:t>
            </w:r>
            <w:r>
              <w:rPr>
                <w:rFonts w:ascii="Times New Roman" w:hAnsi="Times New Roman"/>
                <w:b w:val="0"/>
                <w:bCs w:val="0"/>
                <w:color w:val="000000"/>
                <w:sz w:val="24"/>
                <w:szCs w:val="24"/>
                <w:highlight w:val="none"/>
              </w:rPr>
              <w:t xml:space="preserve">协商，但须按照相关法律法规及流程执行</w:t>
            </w:r>
            <w:r>
              <w:rPr>
                <w:rFonts w:hint="eastAsia" w:ascii="Times New Roman" w:hAnsi="Times New Roman"/>
                <w:b w:val="0"/>
                <w:bCs w:val="0"/>
                <w:color w:val="000000"/>
                <w:sz w:val="24"/>
                <w:szCs w:val="24"/>
                <w:highlight w:val="none"/>
              </w:rPr>
              <w:t xml:space="preserve">。</w:t>
            </w:r>
            <w:r/>
          </w:p>
        </w:tc>
      </w:tr>
      <w:tr>
        <w:trPr>
          <w:trHeight w:val="23"/>
        </w:trPr>
        <w:tc>
          <w:tcPr>
            <w:tcW w:w="1129" w:type="dxa"/>
            <w:vAlign w:val="center"/>
            <w:textDirection w:val="lrTb"/>
            <w:noWrap w:val="false"/>
          </w:tcPr>
          <w:p>
            <w:pPr>
              <w:ind w:right="0"/>
              <w:jc w:val="center"/>
              <w:keepLines w:val="0"/>
              <w:keepNext w:val="0"/>
              <w:pageBreakBefore w:val="0"/>
              <w:spacing w:line="260" w:lineRule="exact"/>
              <w:widowControl/>
              <w:rPr>
                <w:rFonts w:hint="eastAsia" w:ascii="黑体" w:hAnsi="黑体" w:eastAsia="黑体" w:cs="黑体"/>
                <w:b w:val="0"/>
                <w:bCs w:val="0"/>
                <w:i w:val="0"/>
                <w:iCs w:val="0"/>
                <w:color w:val="000000"/>
                <w:sz w:val="22"/>
                <w:szCs w:val="22"/>
                <w:u w:val="none"/>
              </w:rPr>
              <w:suppressLineNumbers w:val="0"/>
            </w:pPr>
            <w:r>
              <w:rPr>
                <w:rFonts w:hint="eastAsia" w:ascii="黑体" w:hAnsi="黑体" w:eastAsia="黑体" w:cs="黑体"/>
                <w:b w:val="0"/>
                <w:bCs w:val="0"/>
                <w:i w:val="0"/>
                <w:iCs w:val="0"/>
                <w:color w:val="000000"/>
                <w:sz w:val="22"/>
                <w:szCs w:val="22"/>
                <w:u w:val="none"/>
                <w:lang w:val="en-US" w:eastAsia="zh-CN" w:bidi="ar"/>
              </w:rPr>
              <w:t xml:space="preserve">序号</w:t>
            </w:r>
            <w:r/>
          </w:p>
        </w:tc>
        <w:tc>
          <w:tcPr>
            <w:tcW w:w="6948" w:type="dxa"/>
            <w:vAlign w:val="center"/>
            <w:textDirection w:val="lrTb"/>
            <w:noWrap w:val="false"/>
          </w:tcPr>
          <w:p>
            <w:pPr>
              <w:ind w:right="0" w:firstLine="385"/>
              <w:jc w:val="center"/>
              <w:keepLines w:val="0"/>
              <w:keepNext w:val="0"/>
              <w:pageBreakBefore w:val="0"/>
              <w:spacing w:line="260" w:lineRule="exact"/>
              <w:widowControl/>
              <w:rPr>
                <w:rFonts w:hint="eastAsia" w:ascii="黑体" w:hAnsi="黑体" w:eastAsia="黑体" w:cs="黑体"/>
                <w:b w:val="0"/>
                <w:bCs w:val="0"/>
                <w:i w:val="0"/>
                <w:iCs w:val="0"/>
                <w:color w:val="000000"/>
                <w:sz w:val="22"/>
                <w:szCs w:val="22"/>
                <w:u w:val="none"/>
              </w:rPr>
              <w:suppressLineNumbers w:val="0"/>
            </w:pPr>
            <w:r>
              <w:rPr>
                <w:rFonts w:hint="eastAsia" w:ascii="黑体" w:hAnsi="黑体" w:eastAsia="黑体" w:cs="黑体"/>
                <w:b w:val="0"/>
                <w:bCs w:val="0"/>
                <w:i w:val="0"/>
                <w:iCs w:val="0"/>
                <w:color w:val="000000"/>
                <w:sz w:val="22"/>
                <w:szCs w:val="22"/>
                <w:u w:val="none"/>
                <w:lang w:val="en-US" w:eastAsia="zh-CN" w:bidi="ar"/>
              </w:rPr>
              <w:t xml:space="preserve">技术参数</w:t>
            </w:r>
            <w:r/>
          </w:p>
        </w:tc>
        <w:tc>
          <w:tcPr>
            <w:tcW w:w="1947" w:type="dxa"/>
            <w:vAlign w:val="center"/>
            <w:textDirection w:val="lrTb"/>
            <w:noWrap w:val="false"/>
          </w:tcPr>
          <w:p>
            <w:pPr>
              <w:ind w:right="0" w:firstLine="385"/>
              <w:jc w:val="center"/>
              <w:keepLines w:val="0"/>
              <w:keepNext w:val="0"/>
              <w:pageBreakBefore w:val="0"/>
              <w:spacing w:line="260" w:lineRule="exact"/>
              <w:widowControl/>
              <w:rPr>
                <w:rFonts w:hint="eastAsia" w:ascii="黑体" w:hAnsi="黑体" w:eastAsia="黑体" w:cs="黑体"/>
                <w:b w:val="0"/>
                <w:bCs w:val="0"/>
                <w:color w:val="000000"/>
              </w:rPr>
              <w:suppressLineNumbers w:val="0"/>
            </w:pPr>
            <w:r>
              <w:rPr>
                <w:rFonts w:hint="eastAsia" w:ascii="黑体" w:hAnsi="黑体" w:eastAsia="黑体" w:cs="黑体"/>
                <w:b w:val="0"/>
                <w:bCs w:val="0"/>
                <w:i w:val="0"/>
                <w:iCs w:val="0"/>
                <w:color w:val="000000"/>
                <w:sz w:val="22"/>
                <w:szCs w:val="22"/>
                <w:u w:val="none"/>
                <w:lang w:val="en-US" w:eastAsia="zh-CN" w:bidi="ar"/>
              </w:rPr>
              <w:t xml:space="preserve">技术要求</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磁体系统</w:t>
            </w:r>
            <w:r/>
          </w:p>
        </w:tc>
        <w:tc>
          <w:tcPr>
            <w:tcW w:w="1947" w:type="dxa"/>
            <w:vAlign w:val="center"/>
            <w:textDirection w:val="lrTb"/>
            <w:noWrap w:val="false"/>
          </w:tcPr>
          <w:p>
            <w:pPr>
              <w:jc w:val="center"/>
              <w:rPr>
                <w:rFonts w:ascii="仿宋" w:hAnsi="仿宋" w:eastAsia="仿宋" w:cs="仿宋"/>
                <w:i w:val="0"/>
                <w:iCs w:val="0"/>
                <w:color w:val="000000"/>
                <w:sz w:val="21"/>
                <w:szCs w:val="21"/>
                <w:u w:val="none"/>
                <w:lang w:val="en-US" w:eastAsia="zh-CN" w:bidi="ar"/>
              </w:rPr>
            </w:pP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所投标产品必须在2023年8月1日后首次获得NMPA注册</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磁场强度</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1.5T</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1.3</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磁体稳定性</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＜0.1 ppm /h</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匀场方式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主动匀场+被动匀场</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磁体线圈冷却方式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液氦制冷</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★1.6</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最大液氦容积（非液氦填充量）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＜1400L</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▲1.7</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磁体长度（不含外壳）</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≥155cm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1.8</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磁体孔径（患者检查孔道内径）</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≥60cm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1.9</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10cmDSV（典型值)</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≤0.015ppm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1.10</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20cmDSV（典型值)</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≤0.06ppm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1.11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30cmDSV（典型值)</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≤0.15ppm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1.12</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40cmDSV（典型值)</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≤0.5ppm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1.13</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50cmDSV（典型值)</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≤2ppm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W w:w="6948"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梯度系统</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最大单轴梯度场强度（X/Y/Z轴可同时达到，工程值，非有效值、非等效值、非Peak值）</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≥33mT/m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▲2.2</w:t>
            </w:r>
            <w:r/>
          </w:p>
        </w:tc>
        <w:tc>
          <w:tcPr>
            <w:tcW w:w="6948"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最大单轴梯度切换率（X/Y/Z轴可同时达到，工程值，非有效值、非等效值、非Peak值）</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≥125T/m/s</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射频系统</w:t>
            </w:r>
            <w:r/>
          </w:p>
        </w:tc>
        <w:tc>
          <w:tcPr>
            <w:tcW w:w="1947" w:type="dxa"/>
            <w:vAlign w:val="center"/>
            <w:textDirection w:val="lrTb"/>
            <w:noWrap w:val="false"/>
          </w:tcPr>
          <w:p>
            <w:pPr>
              <w:jc w:val="center"/>
              <w:widowControl/>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最大射频发射功率</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w:t>
            </w:r>
            <w:r>
              <w:rPr>
                <w:rFonts w:hint="eastAsia" w:ascii="仿宋" w:hAnsi="仿宋" w:eastAsia="仿宋" w:cs="仿宋"/>
                <w:color w:val="000000"/>
                <w:sz w:val="21"/>
                <w:szCs w:val="21"/>
                <w:lang w:val="en-US" w:eastAsia="zh-CN" w:bidi="ar"/>
              </w:rPr>
              <w:t xml:space="preserve">10KW</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▲3.2</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独立射频接收通道数（单个FOV同时最大接收独立通道数）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≥24</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3.3</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各接收通道带宽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≥1MHz</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▲3.4</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线圈接口数≥6个，可同时接驳使用</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射频线圈</w:t>
            </w:r>
            <w:r/>
          </w:p>
        </w:tc>
        <w:tc>
          <w:tcPr>
            <w:tcW w:w="1947" w:type="dxa"/>
            <w:vAlign w:val="center"/>
            <w:textDirection w:val="lrTb"/>
            <w:noWrap w:val="false"/>
          </w:tcPr>
          <w:p>
            <w:pPr>
              <w:jc w:val="center"/>
              <w:rPr>
                <w:rFonts w:ascii="仿宋" w:hAnsi="仿宋" w:eastAsia="仿宋" w:cs="仿宋"/>
                <w:i w:val="0"/>
                <w:iCs w:val="0"/>
                <w:color w:val="000000"/>
                <w:sz w:val="21"/>
                <w:szCs w:val="21"/>
                <w:u w:val="none"/>
                <w:lang w:val="en-US" w:eastAsia="zh-CN" w:bidi="ar"/>
              </w:rPr>
            </w:pPr>
            <w:r>
              <w:rPr>
                <w:rFonts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原厂头颈联合线圈（非组合）通道数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≥16通道</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4.2</w:t>
            </w:r>
            <w:r/>
          </w:p>
        </w:tc>
        <w:tc>
          <w:tcPr>
            <w:tcW w:w="6948"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原厂体部线圈（单片，非组合）通道数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≥12通道</w:t>
            </w:r>
            <w:r/>
          </w:p>
        </w:tc>
      </w:tr>
      <w:tr>
        <w:trPr>
          <w:trHeight w:val="90"/>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4.3</w:t>
            </w:r>
            <w:r/>
          </w:p>
        </w:tc>
        <w:tc>
          <w:tcPr>
            <w:tcW w:w="6948"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原厂脊柱线圈（非组合）通道数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≥24通道</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4.4</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大柔性多功能线圈通道数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≥8通道</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4.5</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小柔性多功能线圈通道数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≥8通道</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★4.6</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颞下颌关节线圈（非组合）通道数</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原厂≥4通道，非原厂≥16通道</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扫描参数</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Z轴最大FOV</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≥50cm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5.2</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最薄层厚2D</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≤0.1mm</w:t>
            </w:r>
            <w:r/>
          </w:p>
        </w:tc>
      </w:tr>
      <w:tr>
        <w:trPr>
          <w:trHeight w:val="270"/>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5.3</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最薄层厚3D</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≤0.05mm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5.4</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EPI序列最短TR时间（128矩阵）≤5ms</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color w:val="000000"/>
                <w:sz w:val="21"/>
                <w:szCs w:val="21"/>
                <w:lang w:val="en-US" w:eastAsia="zh-CN" w:bidi="ar"/>
              </w:rPr>
              <w:t xml:space="preserve">≤5ms</w:t>
            </w:r>
            <w:r/>
          </w:p>
        </w:tc>
      </w:tr>
      <w:tr>
        <w:trPr>
          <w:trHeight w:val="564"/>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5.5</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EPI序列最短TE时间（128矩阵）≤1.5ms</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color w:val="000000"/>
                <w:sz w:val="21"/>
                <w:szCs w:val="21"/>
                <w:lang w:val="en-US" w:eastAsia="zh-CN" w:bidi="ar"/>
              </w:rPr>
              <w:t xml:space="preserve">≤1.5ms</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5.6</w:t>
            </w:r>
            <w:r/>
          </w:p>
        </w:tc>
        <w:tc>
          <w:tcPr>
            <w:tcW w:w="6948"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GRE序列最短TR时间（128矩阵）≤1.0ms</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color w:val="000000"/>
                <w:sz w:val="21"/>
                <w:szCs w:val="21"/>
                <w:lang w:val="en-US" w:eastAsia="zh-CN" w:bidi="ar"/>
              </w:rPr>
              <w:t xml:space="preserve">≤1.0ms</w:t>
            </w:r>
            <w:r/>
          </w:p>
        </w:tc>
      </w:tr>
      <w:tr>
        <w:trPr>
          <w:trHeight w:val="90"/>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5.7</w:t>
            </w:r>
            <w:r/>
          </w:p>
        </w:tc>
        <w:tc>
          <w:tcPr>
            <w:tcW w:w="6948"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GRE序列最短TE时间（128矩阵）≤0.8ms</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color w:val="000000"/>
                <w:sz w:val="21"/>
                <w:szCs w:val="21"/>
                <w:lang w:val="en-US" w:eastAsia="zh-CN" w:bidi="ar"/>
              </w:rPr>
              <w:t xml:space="preserve">≤0.8ms</w:t>
            </w:r>
            <w:r/>
          </w:p>
        </w:tc>
      </w:tr>
      <w:tr>
        <w:trPr>
          <w:trHeight w:val="165"/>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5.8</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EPI最大因子</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≥255</w:t>
            </w:r>
            <w:r/>
          </w:p>
        </w:tc>
      </w:tr>
      <w:tr>
        <w:trPr>
          <w:trHeight w:val="90"/>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5.9</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最大弥散加权b值</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≥10000s/mm²</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5.10</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TSE最大回波链长度</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≥1024</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检查床</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检查床最大承重</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≥200kg</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6.2</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检查床最大水平移动速度</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≥100mm/s</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6.3</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检查床最大垂直移动距离(最高点到最低点距离)</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≥45cm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6.4</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检查床定位精度</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≤±1.0mm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临床应用功能</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神经成像及高级后处理软件包</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7.1.1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螺旋式K空间填充运动伪影校正功能、脑灌注成像功能、弥散张量成像功能、脑功能成像功能、弥散成像功能、ADC定量后处理、磁化率加权成像功能、磁化率加权成像功能、二维加速成像功能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▲7.1.2</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波谱成像功能（单体素、2D/3D多体素）</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▲7.1.3</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三维动脉自旋标记成像功能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▲7.1.4</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小视野弥散成像功能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54"/>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7.2</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体部成像及高级后处理软件包：</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7.2.1</w:t>
            </w:r>
            <w:r/>
          </w:p>
        </w:tc>
        <w:tc>
          <w:tcPr>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螺旋式K空间填充运动伪影校正功能、腹部自由呼吸成像功能、呼吸导航功能、水脂分离成像功能、三维屏气胰胆管水成像功能、3DT1体部动态增强序列、调制翻转角三维容积成像功能、调制翻转角三维容积成像功能、脂肪抑制功能、前列腺波谱成像功能（单体素、2D/3D多体素）、肝脏单体素波谱成像功能、动态增强采集功能、脂肪定量成像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▲7.2.2</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超短TE/零TE扫描功能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7.3</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肿瘤成像及高级后处理软件包：</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7.3.1</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3DT1动态增强序列、波谱成像功能（单体素、2D/3D多体素）、弥散成像功能、虚拟弥散成像功能、ADC定量后处理、多次激发高清弥散成像功能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▲7.3.2</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小视野弥散成像功能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7.4</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骨关节成像及高级后处理软件包：</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7.4.1</w:t>
            </w:r>
            <w:r/>
          </w:p>
        </w:tc>
        <w:tc>
          <w:tcPr>
            <w:shd w:val="clear" w:color="auto" w:fill="ffffff"/>
            <w:tcW w:w="6948"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多梯度合并关节软骨成像功能、调制翻转角三维容积成像功能、脂肪抑制功能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★7.4.2</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去金属伪影成像功能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7.5</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血管成像及高级后处理软件包：</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7.5.1</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非增强血管成像功能（肾动脉成像和下肢动脉成像）、2DTOF成像技术、3DTOF成像技术、PC（相位对比法）成像技术、动态增强血管成像功能、自动团注追踪功能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7.6</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心脏成像及高级后处理软件包：</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7.6.1</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心脏成像及高级后处理软件包：心脏成像功能、心脏电影成像技术、心脏标记功能、流动定量成像功能、心功能分析、心流量分析功能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7.6.2</w:t>
            </w:r>
            <w:r/>
          </w:p>
        </w:tc>
        <w:tc>
          <w:tcPr>
            <w:shd w:val="clear" w:color="auto" w:fill="ffffff"/>
            <w:tcW w:w="6948"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流动定量成像功能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544"/>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7.6.3</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心功能分析</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7.6.4</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心流量分析功能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7.7</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其他成像功能：</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7.7.1</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图像质控功能、运动监控功能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其他配置</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★8.1</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提供原厂主控计算机后处理工作站一套（配2台≥24英寸医用显示器），原厂独立后处理工作站一套</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8.</w:t>
            </w:r>
            <w:r>
              <w:rPr>
                <w:rStyle w:val="1006"/>
                <w:rFonts w:hint="eastAsia"/>
                <w:color w:val="000000"/>
                <w:sz w:val="21"/>
                <w:szCs w:val="21"/>
                <w:lang w:val="en-US" w:eastAsia="zh-CN" w:bidi="ar"/>
              </w:rPr>
              <w:t xml:space="preserve">2</w:t>
            </w:r>
            <w:r/>
          </w:p>
        </w:tc>
        <w:tc>
          <w:tcPr>
            <w:shd w:val="clear" w:color="auto" w:fill="ffffff"/>
            <w:tcW w:w="6948"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显示器</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color w:val="000000"/>
                <w:sz w:val="21"/>
                <w:szCs w:val="21"/>
                <w:lang w:val="en-US" w:eastAsia="zh-CN" w:bidi="ar"/>
              </w:rPr>
              <w:t xml:space="preserve">≥24英寸医用显示器2台，分辨率≥2560x1440，分辨率≥4M”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8.</w:t>
            </w:r>
            <w:r>
              <w:rPr>
                <w:rStyle w:val="1006"/>
                <w:rFonts w:hint="eastAsia"/>
                <w:color w:val="000000"/>
                <w:sz w:val="21"/>
                <w:szCs w:val="21"/>
                <w:lang w:val="en-US" w:eastAsia="zh-CN" w:bidi="ar"/>
              </w:rPr>
              <w:t xml:space="preserve">3</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硬盘容量</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≥1024GB</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配置清单(此条款大类下不接受产品缺漏，投标文件中明确具体品牌型号及包含在总价中的单项价格)</w:t>
            </w:r>
            <w:r/>
          </w:p>
        </w:tc>
        <w:tc>
          <w:tcPr>
            <w:tcW w:w="1947"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9.1</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磁共振主机，提供全激活全开放DICOM 3.0及与医院PACS网络连接（包括打印，传输、接收、查询、Worklist、MPPS协议等功能），软件控制照相技术，标准激光相机数字接口</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9.2</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独立线圈数量≥6，至少包含头颈联合线圈、体部线圈、脊柱线圈、大柔性多功能线圈、小柔性多功能线圈、颞下颌关节线圈各一个</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9.3</w:t>
            </w:r>
            <w:r/>
          </w:p>
        </w:tc>
        <w:tc>
          <w:tcPr>
            <w:shd w:val="clear" w:color="auto" w:fill="ffffff"/>
            <w:tcW w:w="6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设备免费开放全部信息系统接口，并免费接入医院诸如PACS、HIS、医疗设备以及其他第三方等相关软件系统。设备维修密码及信息系统接口全部免费开放、相关服务升级免费</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9.4</w:t>
            </w:r>
            <w:r/>
          </w:p>
        </w:tc>
        <w:tc>
          <w:tcPr>
            <w:shd w:val="clear" w:color="auto" w:fill="ffffff"/>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精密空调一套(恒温恒湿，双压缩机双循环管路，两个系统可互为备份，也可同时工作)</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9.5</w:t>
            </w:r>
            <w:r/>
          </w:p>
        </w:tc>
        <w:tc>
          <w:tcPr>
            <w:shd w:val="clear" w:color="auto" w:fill="ffffff"/>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水冷机组一套(双机组，两个独立的循环管路，互相备份，可以轮流工作，也可以同时工作)</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9.6</w:t>
            </w:r>
            <w:r/>
          </w:p>
        </w:tc>
        <w:tc>
          <w:tcPr>
            <w:shd w:val="clear" w:color="auto" w:fill="ffffff"/>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无磁监视系统一套(支持双向通话功能)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9.7</w:t>
            </w:r>
            <w:r/>
          </w:p>
        </w:tc>
        <w:tc>
          <w:tcPr>
            <w:shd w:val="clear" w:color="auto" w:fill="ffffff"/>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无磁升降转运床一张(完全零磁，可完全通过最高等级灵敏度铁磁质探测系统的探测不出现报警，最大载重≥200公斤)</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9.8</w:t>
            </w:r>
            <w:r/>
          </w:p>
        </w:tc>
        <w:tc>
          <w:tcPr>
            <w:shd w:val="clear" w:color="auto" w:fill="ffffff"/>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无磁转运椅一台(可折叠、无金属部件，可完全通过最高等级灵敏度铁磁质探测系统的探测不出现报警)</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9.9</w:t>
            </w:r>
            <w:r/>
          </w:p>
        </w:tc>
        <w:tc>
          <w:tcPr>
            <w:shd w:val="clear" w:color="auto" w:fill="ffffff"/>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无磁灭火器2个(兼容1.5T磁共振，每个≥4L，可进入磁体间灭火)</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9.10</w:t>
            </w:r>
            <w:r/>
          </w:p>
        </w:tc>
        <w:tc>
          <w:tcPr>
            <w:shd w:val="clear" w:color="auto" w:fill="ffffff"/>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无磁降噪耳机一套</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9.11</w:t>
            </w:r>
            <w:r/>
          </w:p>
        </w:tc>
        <w:tc>
          <w:tcPr>
            <w:shd w:val="clear" w:color="auto" w:fill="ffffff"/>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无磁移动输液架一套</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9.12</w:t>
            </w:r>
            <w:r/>
          </w:p>
        </w:tc>
        <w:tc>
          <w:tcPr>
            <w:shd w:val="clear" w:color="auto" w:fill="ffffff"/>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无磁护理车一台(兼容1.5T磁共振，可进入磁体间)</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Style w:val="1006"/>
                <w:color w:val="000000"/>
                <w:sz w:val="21"/>
                <w:szCs w:val="21"/>
                <w:lang w:val="en-US" w:eastAsia="zh-CN" w:bidi="ar"/>
              </w:rPr>
              <w:t xml:space="preserve">9.13</w:t>
            </w:r>
            <w:r/>
          </w:p>
        </w:tc>
        <w:tc>
          <w:tcPr>
            <w:shd w:val="clear" w:color="auto" w:fill="ffffff"/>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磁共振专用双立柱智能铁磁探测系统一套(包含但不限于:配置≥21英寸触摸屏，≥6通道传感器，满足灯光、语音及图文告警，满足智能定位报警和智能集控管理，防碰撞等)</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9.14</w:t>
            </w:r>
            <w:r/>
          </w:p>
        </w:tc>
        <w:tc>
          <w:tcPr>
            <w:shd w:val="clear" w:color="auto" w:fill="ffffff"/>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无磁信息化双简高压注射器一套，具备以下要求: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 适用于1.5T磁共振系统，彩色触摸屏，双简双马达设计，双侧针筒可独立编程注射，支持自动吸药、自动排气、双流注射、静脉开放功能等功能</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 支持实时压力曲线显示功能，压力限制偏差≤士10psi</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 注射时相≥6相，可以任意选择造影剂、盐水、保持或暂停</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 具有信息化功能，可与医院PACS连接</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 配套信息管理软件支持多设备数据看板及多设备管理与分析功能</w:t>
            </w:r>
            <w:r/>
          </w:p>
        </w:tc>
        <w:tc>
          <w:tcPr>
            <w:tcW w:w="194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9.15</w:t>
            </w:r>
            <w:r/>
          </w:p>
        </w:tc>
        <w:tc>
          <w:tcPr>
            <w:tcW w:w="6948"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机房装修“交钥匙”，复杂工程机房改建及装修屏蔽(包含但不限于磁体间、扫描间、操作间、设备间、等待间等的改造装修费用及第三方检测)</w:t>
            </w:r>
            <w:r/>
          </w:p>
        </w:tc>
        <w:tc>
          <w:tcPr>
            <w:tcW w:w="1947" w:type="dxa"/>
            <w:vAlign w:val="center"/>
            <w:textDirection w:val="lrTb"/>
            <w:noWrap w:val="false"/>
          </w:tcPr>
          <w:p>
            <w:pPr>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具备</w:t>
            </w:r>
            <w:r/>
          </w:p>
        </w:tc>
      </w:tr>
    </w:tbl>
    <w:p>
      <w:pPr>
        <w:ind w:right="0"/>
        <w:jc w:val="left"/>
        <w:keepLines w:val="0"/>
        <w:keepNext w:val="0"/>
        <w:pageBreakBefore w:val="0"/>
        <w:spacing w:after="0"/>
        <w:widowControl/>
        <w:rPr>
          <w:rFonts w:hint="eastAsia" w:ascii="Times New Roman" w:hAnsi="Times New Roman" w:eastAsia="宋体" w:cs="Times New Roman"/>
          <w:b/>
          <w:bCs/>
          <w:i w:val="0"/>
          <w:iCs w:val="0"/>
          <w:color w:val="000000"/>
          <w:sz w:val="24"/>
          <w:szCs w:val="24"/>
          <w:highlight w:val="none"/>
          <w:u w:val="none"/>
          <w:lang w:val="en-US" w:eastAsia="zh-CN" w:bidi="ar"/>
        </w:rPr>
      </w:pPr>
      <w:r>
        <w:rPr>
          <w:rFonts w:hint="eastAsia"/>
          <w:b/>
          <w:bCs/>
          <w:color w:val="000000"/>
          <w:sz w:val="24"/>
          <w:szCs w:val="24"/>
          <w:highlight w:val="none"/>
          <w:lang w:val="en-US" w:eastAsia="zh-CN"/>
        </w:rPr>
        <w:t xml:space="preserve">特别说明：</w:t>
      </w:r>
      <w:r>
        <w:rPr>
          <w:rFonts w:hint="eastAsia" w:ascii="Times New Roman" w:hAnsi="Times New Roman" w:eastAsia="宋体" w:cs="Times New Roman"/>
          <w:b/>
          <w:bCs/>
          <w:color w:val="000000"/>
          <w:sz w:val="24"/>
          <w:szCs w:val="24"/>
          <w:highlight w:val="none"/>
          <w:lang w:val="en-US" w:eastAsia="zh-CN"/>
        </w:rPr>
        <w:t xml:space="preserve">以上</w:t>
      </w:r>
      <w:r>
        <w:rPr>
          <w:rFonts w:hint="eastAsia" w:ascii="Times New Roman" w:hAnsi="Times New Roman" w:eastAsia="宋体" w:cs="Times New Roman"/>
          <w:b/>
          <w:bCs/>
          <w:i w:val="0"/>
          <w:iCs w:val="0"/>
          <w:color w:val="000000"/>
          <w:sz w:val="24"/>
          <w:szCs w:val="24"/>
          <w:highlight w:val="none"/>
          <w:u w:val="none"/>
          <w:lang w:val="en-US" w:eastAsia="zh-CN" w:bidi="ar"/>
        </w:rPr>
        <w:t xml:space="preserve">★、▲技术参数需在投标文件中提供</w:t>
      </w:r>
      <w:r>
        <w:rPr>
          <w:rFonts w:hint="eastAsia" w:ascii="Times New Roman" w:hAnsi="Times New Roman" w:eastAsia="宋体" w:cs="Times New Roman"/>
          <w:b/>
          <w:bCs/>
          <w:color w:val="000000"/>
          <w:sz w:val="24"/>
          <w:szCs w:val="24"/>
          <w:highlight w:val="none"/>
          <w:lang w:val="en-US" w:eastAsia="zh-CN" w:bidi="ar"/>
        </w:rPr>
        <w:t xml:space="preserve">所投产品有效的医疗器械注册证及附件、与注册证附件内容保持一致的最新原厂中文版技术白皮书（或产品彩页或官方网站截图或具备CMA资质的有效检测报告）</w:t>
      </w:r>
      <w:r>
        <w:rPr>
          <w:rFonts w:hint="eastAsia" w:ascii="Times New Roman" w:hAnsi="Times New Roman" w:eastAsia="宋体" w:cs="Times New Roman"/>
          <w:b/>
          <w:bCs/>
          <w:i w:val="0"/>
          <w:iCs w:val="0"/>
          <w:color w:val="000000"/>
          <w:sz w:val="24"/>
          <w:szCs w:val="24"/>
          <w:highlight w:val="none"/>
          <w:u w:val="none"/>
          <w:lang w:val="en-US" w:eastAsia="zh-CN" w:bidi="ar"/>
        </w:rPr>
        <w:t xml:space="preserve">，否则不予认可。</w:t>
      </w:r>
      <w:r/>
    </w:p>
    <w:p>
      <w:pPr>
        <w:ind w:right="0"/>
        <w:jc w:val="left"/>
        <w:keepLines w:val="0"/>
        <w:keepNext w:val="0"/>
        <w:pageBreakBefore w:val="0"/>
        <w:spacing w:after="0"/>
        <w:widowControl/>
        <w:rPr>
          <w:rFonts w:hint="eastAsia" w:ascii="Times New Roman" w:hAnsi="Times New Roman" w:eastAsia="宋体" w:cs="Times New Roman"/>
          <w:b/>
          <w:bCs/>
          <w:i w:val="0"/>
          <w:iCs w:val="0"/>
          <w:color w:val="000000"/>
          <w:sz w:val="24"/>
          <w:szCs w:val="24"/>
          <w:highlight w:val="none"/>
          <w:u w:val="none"/>
          <w:lang w:val="en-US" w:eastAsia="zh-CN" w:bidi="ar"/>
        </w:rPr>
      </w:pPr>
      <w:r>
        <w:rPr>
          <w:rFonts w:hint="eastAsia" w:ascii="Times New Roman" w:hAnsi="Times New Roman" w:eastAsia="宋体" w:cs="Times New Roman"/>
          <w:b/>
          <w:bCs/>
          <w:i w:val="0"/>
          <w:iCs w:val="0"/>
          <w:color w:val="000000"/>
          <w:sz w:val="24"/>
          <w:szCs w:val="24"/>
          <w:highlight w:val="none"/>
          <w:u w:val="none"/>
          <w:lang w:val="en-US" w:eastAsia="zh-CN" w:bidi="ar"/>
        </w:rPr>
      </w:r>
      <w:r/>
    </w:p>
    <w:p>
      <w:pPr>
        <w:jc w:val="left"/>
        <w:widowControl/>
        <w:rPr>
          <w:rFonts w:hint="eastAsia" w:ascii="Times New Roman" w:hAnsi="Times New Roman" w:eastAsia="宋体" w:cs="Times New Roman"/>
          <w:b/>
          <w:bCs/>
          <w:i w:val="0"/>
          <w:iCs w:val="0"/>
          <w:color w:val="000000"/>
          <w:sz w:val="24"/>
          <w:szCs w:val="24"/>
          <w:highlight w:val="none"/>
          <w:u w:val="none"/>
          <w:lang w:val="en-US" w:eastAsia="zh-CN" w:bidi="ar"/>
        </w:rPr>
      </w:pPr>
      <w:r>
        <w:rPr>
          <w:rFonts w:hint="eastAsia" w:ascii="Times New Roman" w:hAnsi="Times New Roman" w:eastAsia="宋体" w:cs="Times New Roman"/>
          <w:b/>
          <w:bCs/>
          <w:i w:val="0"/>
          <w:iCs w:val="0"/>
          <w:color w:val="000000"/>
          <w:sz w:val="24"/>
          <w:szCs w:val="24"/>
          <w:highlight w:val="none"/>
          <w:u w:val="none"/>
          <w:lang w:val="en-US" w:eastAsia="zh-CN" w:bidi="ar"/>
        </w:rPr>
      </w:r>
      <w:r/>
    </w:p>
    <w:p>
      <w:pPr>
        <w:rPr>
          <w:color w:val="000000"/>
        </w:rPr>
      </w:pPr>
      <w:r>
        <w:rPr>
          <w:color w:val="000000"/>
        </w:rPr>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Times New Roman" w:eastAsia="宋体" w:cs="宋体"/>
          <w:b/>
          <w:bCs/>
          <w:color w:val="000000"/>
          <w:sz w:val="24"/>
          <w:szCs w:val="24"/>
          <w:highlight w:val="none"/>
          <w:lang w:val="en-US" w:eastAsia="zh-CN"/>
        </w:rPr>
        <w:t xml:space="preserve">2.</w:t>
      </w:r>
      <w:r>
        <w:rPr>
          <w:rFonts w:hint="eastAsia" w:ascii="宋体" w:hAnsi="Times New Roman" w:eastAsia="宋体" w:cs="宋体"/>
          <w:b/>
          <w:bCs/>
          <w:color w:val="000000"/>
          <w:sz w:val="24"/>
          <w:szCs w:val="24"/>
          <w:highlight w:val="none"/>
          <w:lang w:val="zh-CN"/>
        </w:rPr>
        <w:t xml:space="preserve">产品综合</w:t>
      </w:r>
      <w:r>
        <w:rPr>
          <w:rFonts w:hint="eastAsia" w:ascii="宋体" w:hAnsi="Times New Roman" w:cs="宋体"/>
          <w:b/>
          <w:bCs/>
          <w:color w:val="000000"/>
          <w:sz w:val="24"/>
          <w:szCs w:val="24"/>
          <w:highlight w:val="none"/>
          <w:lang w:val="zh-CN"/>
        </w:rPr>
        <w:t xml:space="preserve">性能要求</w:t>
      </w:r>
      <w:r>
        <w:rPr>
          <w:rFonts w:hint="eastAsia" w:ascii="宋体" w:hAnsi="宋体" w:eastAsia="宋体" w:cs="宋体"/>
          <w:bCs/>
          <w:color w:val="000000"/>
          <w:sz w:val="24"/>
          <w:szCs w:val="24"/>
          <w:highlight w:val="none"/>
          <w:lang w:val="en-US" w:eastAsia="zh-CN"/>
        </w:rPr>
        <w:t xml:space="preserve"> </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（1）产品设计、制造工艺、材质要求：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（2）产品安全性、可控及耐受度要求：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有源医疗设备应符合GB9706.1-2020医用电气设备第1部分：安全通用要求、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（3）产品易用性要求：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产品人机交互界面友好，操作流程简洁，功能按键布局合理，参数设置简单，对使用环境无严苛要求，用户经过简单培训后即可使用。投标人根据上述要求在投标文件中提供详细材料，体现所投产品对于上述要求的符合性或优于性。</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（4）产品新技术优配度、兼容和扩展性要求：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产品效能应符合国家和行业标准，能满足临床使用需求，产品应具有较好的兼容性和扩展性。投标人根据上述要求在投标文件中提供详细材料，体现所投产品对于上述要求的符合性或优于性。</w:t>
      </w:r>
      <w:r/>
    </w:p>
    <w:p>
      <w:pPr>
        <w:ind w:right="0" w:firstLine="420"/>
        <w:keepLines w:val="0"/>
        <w:keepNext w:val="0"/>
        <w:pageBreakBefore w:val="0"/>
        <w:spacing w:line="240" w:lineRule="auto"/>
        <w:widowControl w:val="off"/>
        <w:rPr>
          <w:rFonts w:ascii="宋体" w:hAnsi="宋体" w:eastAsia="宋体" w:cs="宋体"/>
          <w:color w:val="000000"/>
          <w:sz w:val="24"/>
          <w:szCs w:val="24"/>
        </w:rPr>
      </w:pPr>
      <w:r>
        <w:rPr>
          <w:rFonts w:hint="eastAsia" w:ascii="宋体" w:hAnsi="宋体" w:eastAsia="宋体" w:cs="宋体"/>
          <w:b w:val="0"/>
          <w:bCs w:val="0"/>
          <w:color w:val="000000"/>
          <w:sz w:val="24"/>
          <w:szCs w:val="24"/>
          <w:highlight w:val="none"/>
          <w:lang w:val="en-US" w:eastAsia="zh-CN"/>
        </w:rPr>
        <w:t xml:space="preserve">（5）投标人提供的磁共振设备为2026年7月1日后生产的产品。</w:t>
      </w:r>
      <w:r/>
    </w:p>
    <w:p>
      <w:pPr>
        <w:ind w:right="0" w:firstLine="420"/>
        <w:keepLines w:val="0"/>
        <w:keepNext w:val="0"/>
        <w:pageBreakBefore w:val="0"/>
        <w:spacing w:line="240" w:lineRule="auto"/>
        <w:widowControl w:val="off"/>
        <w:rPr>
          <w:rFonts w:hint="eastAsia" w:ascii="宋体" w:hAnsi="宋体" w:eastAsia="宋体" w:cs="Times New Roman"/>
          <w:b w:val="0"/>
          <w:bCs w:val="0"/>
          <w:i w:val="0"/>
          <w:iCs w:val="0"/>
          <w:color w:val="000000"/>
          <w:sz w:val="24"/>
          <w:u w:val="none"/>
        </w:rPr>
        <w:outlineLvl w:val="9"/>
      </w:pPr>
      <w:r>
        <w:rPr>
          <w:rFonts w:hint="eastAsia" w:ascii="宋体" w:hAnsi="宋体" w:eastAsia="宋体" w:cs="Times New Roman"/>
          <w:b w:val="0"/>
          <w:bCs w:val="0"/>
          <w:i w:val="0"/>
          <w:iCs w:val="0"/>
          <w:color w:val="000000"/>
          <w:sz w:val="24"/>
          <w:u w:val="none"/>
        </w:rPr>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1.报价要求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（2）供应商的任何错漏、优惠、竞争性报价不得作为减轻责任、减少服务、增加收费、降低服务质量的理由。</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right="0" w:firstLine="422"/>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机房装修均为交钥匙工程，报价请供应商与最终用户对接，采取现场踏勘等方式了解具体装修内容和要求，并在此基础上合理报价。辐射环境检测合格、环评备案完成、设备整体验收合格后方可交付使用，需求清单中环评、卫评，包含检测、防护验收费用</w:t>
      </w:r>
      <w:r>
        <w:rPr>
          <w:rFonts w:hint="eastAsia" w:ascii="宋体" w:hAnsi="宋体" w:eastAsia="宋体" w:cs="宋体"/>
          <w:b w:val="0"/>
          <w:bCs w:val="0"/>
          <w:color w:val="000000"/>
          <w:sz w:val="24"/>
          <w:szCs w:val="24"/>
          <w:highlight w:val="none"/>
          <w:lang w:val="en-US" w:eastAsia="zh-CN"/>
        </w:rPr>
        <w:t xml:space="preserve">。</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2.实施要求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2.1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2.2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2.3为使项目培训保质、保量有序实施，投标人需有足够数量技术人员组成实施团队；须针对本项目成立服务小组，设立项目联系人，指派专人全权处理销售中标设备和服务过程中的一切事宜。</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3.项目培训要求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4.质保及售后要求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4.1供应商提供的设备应为全新、未使用过的原装合格正品,并且符合国家有关质量技术标准及相关法律、法规规定的要求。签订合同前，中标供应商应配合采购人对所投产品技术资料进行核实（包括但不限于提供技术资料原件等），若经核实发现与投标文件不一致，将视为提供虚假材料。设备的质量标准、应用操作培训、售后服务及维修、耗材的供应价格等，按招标文件要求、供应商投标文件承诺及国家规定的相关标准执行。</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4.2</w:t>
      </w:r>
      <w:r>
        <w:rPr>
          <w:rFonts w:hint="eastAsia" w:ascii="宋体" w:hAnsi="宋体" w:eastAsia="宋体" w:cs="宋体"/>
          <w:color w:val="000000"/>
          <w:sz w:val="24"/>
          <w:szCs w:val="24"/>
          <w:highlight w:val="none"/>
          <w:lang w:val="en-US" w:eastAsia="zh-CN"/>
        </w:rPr>
        <w:t xml:space="preserve">供应商提供设备整机及所配置的全部第三方产品</w:t>
      </w:r>
      <w:r>
        <w:rPr>
          <w:rFonts w:hint="eastAsia" w:ascii="宋体" w:hAnsi="宋体" w:eastAsia="宋体" w:cs="宋体"/>
          <w:b w:val="0"/>
          <w:bCs w:val="0"/>
          <w:color w:val="000000"/>
          <w:sz w:val="24"/>
          <w:szCs w:val="24"/>
          <w:highlight w:val="none"/>
          <w:lang w:val="en-US" w:eastAsia="zh-CN"/>
        </w:rPr>
        <w:t xml:space="preserve">五年</w:t>
      </w:r>
      <w:r>
        <w:rPr>
          <w:rFonts w:hint="eastAsia" w:ascii="宋体" w:hAnsi="宋体" w:eastAsia="宋体" w:cs="宋体"/>
          <w:color w:val="000000"/>
          <w:sz w:val="24"/>
          <w:szCs w:val="24"/>
          <w:highlight w:val="none"/>
          <w:lang w:val="en-US" w:eastAsia="zh-CN"/>
        </w:rPr>
        <w:t xml:space="preserve">原厂质保和保修，维保期内提供原厂配件（</w:t>
      </w:r>
      <w:r>
        <w:rPr>
          <w:rFonts w:hint="eastAsia" w:ascii="宋体" w:hAnsi="宋体" w:eastAsia="宋体" w:cs="宋体"/>
          <w:color w:val="000000"/>
          <w:sz w:val="24"/>
          <w:szCs w:val="24"/>
          <w:highlight w:val="none"/>
          <w:lang w:eastAsia="zh-CN"/>
        </w:rPr>
        <w:t xml:space="preserve">费用包含在总报价中）</w:t>
      </w:r>
      <w:r>
        <w:rPr>
          <w:rFonts w:hint="eastAsia" w:ascii="宋体" w:hAnsi="宋体" w:eastAsia="宋体" w:cs="宋体"/>
          <w:color w:val="000000"/>
          <w:sz w:val="24"/>
          <w:szCs w:val="24"/>
          <w:highlight w:val="none"/>
          <w:lang w:val="en-US" w:eastAsia="zh-CN"/>
        </w:rPr>
        <w:t xml:space="preserve">。所有软件终身授权，质保期内免费软件升级、故障修复、接口调试。</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4.3供应商中标后需提供整体售后服务方案（响应时间，回访巡检方案、故障解决措施、技术人员保障、备品配件价格等）、本地化服务方案（江苏省内各服务网点、维修网点设置情况以及技术人员安排情况）等服务内容。</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4.4供应商提供的设备在质保期内因设备本身的质量问题发生故障，供应商应负责免费上门维修。对达不到技术要求者，根据实际情况，采购人可选择按以下办法处理：</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（1）更换：由供应商承担所发生的全部费用。</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（2）退货：供应商应退还采购人支付的合同款，同时应承担该设备的直接费用（运输、保险、检验、货款利息及银行手续费等）及由此对采购人造成的损失，供应商承担损失金额不超过合同总值的5%。</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4.5在质保期内，供应商应对设备出现的质量及安全问题负责处理解决并承担一切费用。</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4.6超过质保期的机器设备，维修时只收部件成本费用，不收取工时等杂费，成本费用不得高于投标文件所作的承诺。</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5.调试和验收</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售后服务承诺，易损件和试剂耗材价格（未提供视同质保期内免费提供），中文使用说明书等。</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5.4验收时甲乙双方如果就质量问题有争议，可以委托法定检测机构进行检测评定。质量合格的检测费用由采购人承担，质量不合格的，检测费用由供应商承担。</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6.包装、发运及运输</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6.1供应商应在设备发运前对其进行满足运输距离、防潮、防震、防锈和防破损装卸等要求包装，以保证设备安全运达采购人指定地点。</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6.2使用说明书、产品合格证明文件、随配附件和工具以及清单一并附于设备内。</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6.3供应商在设备发运手续办理完毕后24小时内或货到最终用户单位48小时前通知最终用户单位，以准备接货。</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6.4设备在交付采购人（最终用户单位）前发生的风险均由供应商负责。</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6.5供应商在合同约定交付时间内将提供的设备送达采购人指定的地点，安装调试，并验收合格视为交付。</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7.付款条件</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以第三章合同文本内容为准。</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8.交付时间及地点</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（1）交付时间：</w:t>
      </w:r>
      <w:r>
        <w:rPr>
          <w:rFonts w:hint="eastAsia" w:ascii="宋体" w:hAnsi="宋体" w:eastAsia="宋体" w:cs="宋体"/>
          <w:color w:val="000000"/>
          <w:sz w:val="24"/>
          <w:szCs w:val="24"/>
          <w:highlight w:val="none"/>
          <w:lang w:val="en-US" w:eastAsia="zh-CN"/>
        </w:rPr>
        <w:t xml:space="preserve">合同签订后60天内交付并完成安装调试及验收等相关工作（指供应商在设备运送到采购人各指定地点安装调试完成并经使用验收后，将所有最终用户单位验收报告回执和供应商销售发票递交至采购人）。</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（2）交付地点：见下表。</w:t>
      </w:r>
      <w:r/>
    </w:p>
    <w:tbl>
      <w:tblPr>
        <w:tblStyle w:val="701"/>
        <w:tblpPr w:horzAnchor="page" w:tblpX="825" w:vertAnchor="text" w:tblpY="99" w:leftFromText="180" w:topFromText="0" w:rightFromText="180" w:bottomFromText="0"/>
        <w:tblW w:w="105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133"/>
        <w:gridCol w:w="5268"/>
        <w:gridCol w:w="960"/>
        <w:gridCol w:w="1435"/>
      </w:tblGrid>
      <w:tr>
        <w:trPr>
          <w:trHeight w:val="600"/>
        </w:trPr>
        <w:tc>
          <w:tcPr>
            <w:tcW w:w="764" w:type="dxa"/>
            <w:vAlign w:val="center"/>
            <w:textDirection w:val="lrTb"/>
            <w:noWrap w:val="false"/>
          </w:tcPr>
          <w:p>
            <w:pPr>
              <w:jc w:val="center"/>
              <w:keepLines w:val="0"/>
              <w:keepNext w:val="0"/>
              <w:widowControl/>
              <w:rPr>
                <w:rFonts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lang w:val="en-US" w:eastAsia="zh-CN" w:bidi="ar"/>
              </w:rPr>
              <w:t xml:space="preserve">序号</w:t>
            </w:r>
            <w:r/>
          </w:p>
        </w:tc>
        <w:tc>
          <w:tcPr>
            <w:tcW w:w="2133"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lang w:val="en-US" w:eastAsia="zh-CN" w:bidi="ar"/>
              </w:rPr>
              <w:t xml:space="preserve">最终用户</w:t>
            </w:r>
            <w:r/>
          </w:p>
        </w:tc>
        <w:tc>
          <w:tcPr>
            <w:tcW w:w="5268"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lang w:val="en-US" w:eastAsia="zh-CN" w:bidi="ar"/>
              </w:rPr>
              <w:t xml:space="preserve">交付地点</w:t>
            </w:r>
            <w:r/>
          </w:p>
        </w:tc>
        <w:tc>
          <w:tcPr>
            <w:tcW w:w="960"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lang w:val="en-US" w:eastAsia="zh-CN" w:bidi="ar"/>
              </w:rPr>
              <w:suppressLineNumbers w:val="0"/>
            </w:pPr>
            <w:r>
              <w:rPr>
                <w:rFonts w:hint="eastAsia" w:ascii="黑体" w:hAnsi="宋体" w:eastAsia="黑体" w:cs="黑体"/>
                <w:i w:val="0"/>
                <w:iCs w:val="0"/>
                <w:color w:val="000000"/>
                <w:sz w:val="18"/>
                <w:szCs w:val="18"/>
                <w:u w:val="none"/>
                <w:lang w:val="en-US" w:eastAsia="zh-CN" w:bidi="ar"/>
              </w:rPr>
              <w:t xml:space="preserve">联系人</w:t>
            </w:r>
            <w:r/>
          </w:p>
        </w:tc>
        <w:tc>
          <w:tcPr>
            <w:tcW w:w="1435"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lang w:val="en-US" w:eastAsia="zh-CN" w:bidi="ar"/>
              </w:rPr>
              <w:suppressLineNumbers w:val="0"/>
            </w:pPr>
            <w:r>
              <w:rPr>
                <w:rFonts w:hint="eastAsia" w:ascii="黑体" w:hAnsi="宋体" w:eastAsia="黑体" w:cs="黑体"/>
                <w:i w:val="0"/>
                <w:iCs w:val="0"/>
                <w:color w:val="000000"/>
                <w:sz w:val="18"/>
                <w:szCs w:val="18"/>
                <w:u w:val="none"/>
                <w:lang w:val="en-US" w:eastAsia="zh-CN" w:bidi="ar"/>
              </w:rPr>
              <w:t xml:space="preserve">联系方式</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南京市江宁医院</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南京市江宁区鼓山路168号南京市江宁医院鼓山路院区老年综合楼3F核磁1室</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袁老师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15150596060</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南京鼓楼医院本部</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南京市鼓楼区中山路321号南京鼓楼医院1号楼1楼</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邱老师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13813938638</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3</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南京鼓楼医院江北院区</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南京市浦口区浦珠中路359号南京鼓楼医院江北国际医院B栋3楼</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邱老师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13813938638</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南京市第一医院</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南京市建邺区应天大街919号南京市第一医院河西院区2号楼1楼医学影像科核磁2室</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张老师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15380998916</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5</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南京市口腔医院</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南京市玄武区中央路30号南京市口腔医院1楼</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郑老师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13675152984</w:t>
            </w:r>
            <w:r/>
          </w:p>
        </w:tc>
      </w:tr>
    </w:tbl>
    <w:p>
      <w:pPr>
        <w:pStyle w:val="702"/>
        <w:rPr>
          <w:rFonts w:hint="eastAsia"/>
          <w:color w:val="000000"/>
        </w:rPr>
      </w:pPr>
      <w:r>
        <w:rPr>
          <w:rFonts w:hint="eastAsia"/>
          <w:color w:val="000000"/>
        </w:rPr>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9.履约保证金</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以第三章合同文本内容为准。</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10.其他要求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996"/>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996"/>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996"/>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ind w:right="0" w:firstLine="630"/>
        <w:jc w:val="center"/>
        <w:keepLines w:val="0"/>
        <w:keepNext w:val="0"/>
        <w:pageBreakBefore w:val="0"/>
        <w:spacing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02"/>
        <w:rPr>
          <w:rFonts w:hint="eastAsia"/>
        </w:rPr>
      </w:pPr>
      <w:r>
        <w:rPr>
          <w:rFonts w:hint="eastAsia"/>
        </w:rPr>
      </w:r>
      <w:r/>
    </w:p>
    <w:p>
      <w:pPr>
        <w:ind w:right="0" w:firstLine="630"/>
        <w:jc w:val="center"/>
        <w:keepLines w:val="0"/>
        <w:keepNext w:val="0"/>
        <w:pageBreakBefore w:val="0"/>
        <w:spacing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0" w:firstLine="630"/>
        <w:jc w:val="center"/>
        <w:keepLines w:val="0"/>
        <w:keepNext w:val="0"/>
        <w:pageBreakBefore w:val="0"/>
        <w:spacing w:line="240" w:lineRule="auto"/>
        <w:rPr>
          <w:rFonts w:hint="eastAsia" w:ascii="黑体" w:hAnsi="黑体" w:eastAsia="黑体" w:cs="黑体"/>
          <w:b w:val="0"/>
          <w:bCs w:val="0"/>
          <w:color w:val="000000"/>
          <w:sz w:val="24"/>
          <w:szCs w:val="24"/>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p>
    <w:p>
      <w:pPr>
        <w:ind w:right="0" w:firstLine="420"/>
        <w:keepLines w:val="0"/>
        <w:keepNext w:val="0"/>
        <w:pageBreakBefore w:val="0"/>
        <w:spacing w:line="240" w:lineRule="auto"/>
        <w:widowControl w:val="off"/>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right="0" w:firstLine="42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p>
    <w:p>
      <w:pPr>
        <w:ind w:right="0" w:firstLine="42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p>
    <w:p>
      <w:pPr>
        <w:ind w:left="0"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3.多采购包评审说明</w:t>
      </w:r>
      <w:r/>
    </w:p>
    <w:p>
      <w:pPr>
        <w:ind w:left="0" w:firstLine="420"/>
        <w:spacing w:line="240" w:lineRule="auto"/>
        <w:rPr>
          <w:color w:val="000000"/>
          <w:highlight w:val="none"/>
          <w:lang w:val="en-US" w:eastAsia="zh-CN"/>
        </w:rPr>
      </w:pPr>
      <w:r>
        <w:rPr>
          <w:rFonts w:hint="eastAsia" w:ascii="宋体" w:hAnsi="宋体" w:eastAsia="宋体" w:cs="Times New Roman"/>
          <w:b w:val="0"/>
          <w:bCs w:val="0"/>
          <w:color w:val="000000"/>
          <w:sz w:val="24"/>
          <w:szCs w:val="24"/>
          <w:highlight w:val="none"/>
          <w:u w:val="none"/>
          <w:lang w:val="en-US" w:eastAsia="zh-CN"/>
        </w:rPr>
        <w:t xml:space="preserve">本项目多个采购包投标人可以兼投兼中，评审顺序依次为采购包1、采购包2、采购包3。同一投标人参与多个采购包投标时，在</w:t>
      </w:r>
      <w:r>
        <w:rPr>
          <w:rFonts w:hint="eastAsia" w:ascii="宋体" w:hAnsi="宋体" w:eastAsia="宋体" w:cs="宋体"/>
          <w:color w:val="000000"/>
          <w:sz w:val="24"/>
          <w:szCs w:val="24"/>
          <w:highlight w:val="none"/>
          <w:lang w:val="en-US" w:eastAsia="zh-CN"/>
        </w:rPr>
        <w:t xml:space="preserve">已完成评审的</w:t>
      </w:r>
      <w:r>
        <w:rPr>
          <w:rFonts w:hint="eastAsia" w:ascii="宋体" w:hAnsi="宋体"/>
          <w:color w:val="000000"/>
          <w:sz w:val="24"/>
          <w:szCs w:val="24"/>
          <w:highlight w:val="none"/>
        </w:rPr>
        <w:t xml:space="preserve">采购包</w:t>
      </w:r>
      <w:r>
        <w:rPr>
          <w:rFonts w:hint="eastAsia" w:ascii="宋体" w:hAnsi="宋体"/>
          <w:color w:val="000000"/>
          <w:sz w:val="24"/>
          <w:szCs w:val="24"/>
          <w:highlight w:val="none"/>
          <w:lang w:val="en-US" w:eastAsia="zh-CN"/>
        </w:rPr>
        <w:t xml:space="preserve">中</w:t>
      </w:r>
      <w:r>
        <w:rPr>
          <w:rFonts w:hint="eastAsia" w:ascii="宋体" w:hAnsi="宋体" w:eastAsia="宋体" w:cs="Times New Roman"/>
          <w:b w:val="0"/>
          <w:bCs w:val="0"/>
          <w:color w:val="000000"/>
          <w:sz w:val="24"/>
          <w:szCs w:val="24"/>
          <w:highlight w:val="none"/>
          <w:u w:val="none"/>
          <w:lang w:val="en-US" w:eastAsia="zh-CN"/>
        </w:rPr>
        <w:t xml:space="preserve">被确定为排名第一的中标候选人后，可以继续参与其他采购包的评审。</w:t>
      </w:r>
      <w:r/>
    </w:p>
    <w:p>
      <w:pPr>
        <w:ind w:right="0" w:firstLine="42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right="0" w:firstLine="42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p>
    <w:p>
      <w:pPr>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p>
    <w:p>
      <w:pPr>
        <w:ind w:right="0" w:firstLine="42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p>
    <w:p>
      <w:pPr>
        <w:ind w:right="0" w:firstLine="420"/>
        <w:keepLines w:val="0"/>
        <w:keepNext w:val="0"/>
        <w:pageBreakBefore w:val="0"/>
        <w:spacing w:line="240" w:lineRule="auto"/>
        <w:widowControl/>
        <w:rPr>
          <w:rFonts w:hint="eastAsia" w:ascii="宋体" w:hAnsi="宋体" w:eastAsia="宋体" w:cs="宋体"/>
          <w:b/>
          <w:bCs/>
          <w:color w:val="000000"/>
          <w:sz w:val="24"/>
          <w:szCs w:val="24"/>
          <w:highlight w:val="none"/>
          <w:u w:val="none"/>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b/>
          <w:bCs/>
          <w:color w:val="000000"/>
          <w:sz w:val="24"/>
          <w:szCs w:val="24"/>
          <w:lang w:val="en-US" w:eastAsia="zh-CN"/>
        </w:rPr>
        <w:t xml:space="preserve">.</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right="0" w:firstLine="420"/>
        <w:keepLines w:val="0"/>
        <w:keepNext w:val="0"/>
        <w:pageBreakBefore w:val="0"/>
        <w:spacing w:line="240" w:lineRule="auto"/>
        <w:widowControl w:val="off"/>
        <w:rPr>
          <w:rFonts w:hint="eastAsia" w:ascii="黑体" w:hAnsi="黑体" w:eastAsia="黑体" w:cs="黑体"/>
          <w:b w:val="0"/>
          <w:bCs w:val="0"/>
          <w:color w:val="000000"/>
          <w:sz w:val="24"/>
          <w:szCs w:val="24"/>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right="0" w:firstLine="420"/>
        <w:keepLines w:val="0"/>
        <w:keepNext w:val="0"/>
        <w:pageBreakBefore w:val="0"/>
        <w:spacing w:line="240" w:lineRule="auto"/>
        <w:widowControl w:val="off"/>
        <w:rPr>
          <w:rFonts w:hint="eastAsia" w:ascii="宋体" w:hAnsi="宋体" w:eastAsia="宋体" w:cs="Times New Roman"/>
          <w:color w:val="000000"/>
          <w:sz w:val="24"/>
          <w:szCs w:val="24"/>
          <w:highlight w:val="yellow"/>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p>
    <w:p>
      <w:pPr>
        <w:ind w:right="0" w:firstLine="42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p>
      <w:pPr>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w:t>
      </w:r>
      <w:r/>
    </w:p>
    <w:tbl>
      <w:tblPr>
        <w:tblStyle w:val="98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p>
        </w:tc>
        <w:tc>
          <w:tcPr>
            <w:tcW w:w="1179"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p>
        </w:tc>
        <w:tc>
          <w:tcPr>
            <w:tcW w:w="6330"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p>
        </w:tc>
        <w:tc>
          <w:tcPr>
            <w:tcW w:w="647"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p>
        </w:tc>
        <w:tc>
          <w:tcPr>
            <w:tcW w:w="900"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p>
        </w:tc>
      </w:tr>
      <w:tr>
        <w:trPr>
          <w:jc w:val="center"/>
          <w:trHeight w:val="105"/>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p>
        </w:tc>
        <w:tc>
          <w:tcPr>
            <w:tcW w:w="633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1"/>
                <w:szCs w:val="21"/>
                <w:highlight w:val="none"/>
              </w:rPr>
              <w:t xml:space="preserve">采用低价优先</w:t>
            </w:r>
            <w:r>
              <w:rPr>
                <w:rFonts w:hint="eastAsia"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即满足招标文件要求且投标价格最低的投标</w:t>
            </w:r>
            <w:r>
              <w:rPr>
                <w:rFonts w:hint="eastAsia" w:ascii="宋体" w:hAnsi="宋体" w:eastAsia="宋体" w:cs="宋体"/>
                <w:color w:val="000000"/>
                <w:spacing w:val="1"/>
                <w:szCs w:val="21"/>
                <w:highlight w:val="none"/>
              </w:rPr>
              <w:t xml:space="preserve">报价为评标基准</w:t>
            </w:r>
            <w:r>
              <w:rPr>
                <w:rFonts w:hint="eastAsia"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其价格分为满分。其他投标人的价格分统一按</w:t>
            </w:r>
            <w:r>
              <w:rPr>
                <w:rFonts w:hint="eastAsia" w:ascii="宋体" w:hAnsi="宋体" w:eastAsia="宋体" w:cs="宋体"/>
                <w:color w:val="000000"/>
                <w:spacing w:val="-1"/>
                <w:szCs w:val="21"/>
                <w:highlight w:val="none"/>
              </w:rPr>
              <w:t xml:space="preserve">照下列公</w:t>
            </w:r>
            <w:r>
              <w:rPr>
                <w:rFonts w:hint="eastAsia" w:ascii="宋体" w:hAnsi="宋体" w:eastAsia="宋体" w:cs="宋体"/>
                <w:color w:val="000000"/>
                <w:szCs w:val="21"/>
                <w:highlight w:val="none"/>
              </w:rPr>
              <w:t xml:space="preserve">式计算：投标报价得分=(评标基准价/投标报价)×</w:t>
            </w:r>
            <w:r>
              <w:rPr>
                <w:rFonts w:hint="eastAsia" w:ascii="宋体" w:hAnsi="宋体" w:eastAsia="宋体" w:cs="宋体"/>
                <w:color w:val="000000"/>
                <w:szCs w:val="21"/>
                <w:highlight w:val="none"/>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产品技术参数</w:t>
            </w:r>
            <w:r/>
          </w:p>
        </w:tc>
        <w:tc>
          <w:tcPr>
            <w:tcW w:w="6330"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产品技术参数全部满足招标要求的得满分，打★指标为必须满足项，如有负偏离将作为无效投标，打▲指标为重要指标（共6项），有1项负偏离扣2分，其余指标（共23项）有1项负偏离扣1.3分。</w:t>
            </w:r>
            <w:r/>
          </w:p>
        </w:tc>
        <w:tc>
          <w:tcPr>
            <w:tcW w:w="647"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zCs w:val="21"/>
                <w:highlight w:val="none"/>
                <w:lang w:val="en-US"/>
              </w:rPr>
            </w:pPr>
            <w:r>
              <w:rPr>
                <w:rFonts w:hint="eastAsia" w:ascii="宋体" w:hAnsi="宋体" w:cs="宋体"/>
                <w:color w:val="000000"/>
                <w:szCs w:val="21"/>
                <w:highlight w:val="none"/>
                <w:lang w:val="en-US" w:eastAsia="zh-CN"/>
              </w:rPr>
              <w:t xml:space="preserve">42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产品设计、制造工艺及材质</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1.产品设计；2.产品制造工艺；3.产品材质。以上产品设计、产品制造工艺、产品材质。</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ascii="宋体" w:hAnsi="宋体" w:eastAsia="宋体" w:cs="宋体"/>
                <w:color w:val="000000"/>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2.3</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产品安全性、可控耐受度及易用性</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1.产品安全性；2.产品可控及耐受度；3.产品易用性。以上产品安全性、产品可控及耐受度、产品易用性。</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2.4</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 w:val="21"/>
                <w:szCs w:val="21"/>
                <w:highlight w:val="none"/>
              </w:rPr>
            </w:pPr>
            <w:r>
              <w:rPr>
                <w:rFonts w:hint="eastAsia" w:ascii="宋体" w:hAnsi="宋体" w:eastAsia="宋体" w:cs="宋体"/>
                <w:color w:val="000000"/>
                <w:spacing w:val="0"/>
                <w:szCs w:val="21"/>
                <w:highlight w:val="none"/>
                <w:lang w:val="en-US" w:eastAsia="zh-CN"/>
              </w:rPr>
              <w:t xml:space="preserve">产品新技术优配度、兼容扩展性</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cs="宋体"/>
                <w:color w:val="000000"/>
                <w:sz w:val="21"/>
                <w:szCs w:val="21"/>
                <w:highlight w:val="none"/>
                <w:lang w:val="en-US" w:eastAsia="zh-CN" w:bidi="ar-SA"/>
              </w:rPr>
              <w:t xml:space="preserve">产品兼容扩展性。</w:t>
            </w:r>
            <w:r>
              <w:rPr>
                <w:rFonts w:hint="eastAsia" w:ascii="宋体" w:hAnsi="宋体" w:eastAsia="宋体" w:cs="宋体"/>
                <w:color w:val="000000"/>
                <w:sz w:val="21"/>
                <w:szCs w:val="21"/>
                <w:highlight w:val="none"/>
                <w:lang w:val="en-US" w:eastAsia="zh-CN" w:bidi="ar-SA"/>
              </w:rPr>
              <w:t xml:space="preserve">以上产品先进性、兼容性、扩展性。</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对支持的传输协议、对接方式、数据互通方式等，对后续功能升级、软件拓展、探头拓展、接口预留、业务扩容等均有详细表述，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cs="宋体"/>
                <w:color w:val="000000"/>
                <w:szCs w:val="21"/>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3.服务</w:t>
            </w:r>
            <w:r/>
          </w:p>
        </w:tc>
      </w:tr>
      <w:tr>
        <w:trPr>
          <w:jc w:val="center"/>
          <w:trHeight w:val="532"/>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项目实施方案</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：1.供货保障方案；2.安装调试和巡检方案。</w:t>
            </w:r>
            <w:r>
              <w:rPr>
                <w:rFonts w:hint="eastAsia"/>
                <w:color w:val="000000"/>
                <w:sz w:val="21"/>
                <w:szCs w:val="21"/>
                <w:highlight w:val="none"/>
                <w:lang w:val="en-US" w:bidi="ar-SA"/>
              </w:rPr>
              <w:t xml:space="preserve">以上每项内容逐项评分：</w:t>
            </w:r>
            <w:r/>
          </w:p>
          <w:p>
            <w:pPr>
              <w:pStyle w:val="990"/>
              <w:jc w:val="left"/>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298"/>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3.2</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项目培训方案</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ar-SA"/>
              </w:rPr>
              <w:t xml:space="preserve">评委根据投标人提供的</w:t>
            </w:r>
            <w:r>
              <w:rPr>
                <w:rFonts w:hint="eastAsia" w:ascii="宋体" w:hAnsi="宋体" w:eastAsia="宋体" w:cs="宋体"/>
                <w:color w:val="000000"/>
                <w:spacing w:val="0"/>
                <w:szCs w:val="21"/>
                <w:highlight w:val="none"/>
                <w:lang w:val="en-US" w:eastAsia="zh-CN"/>
              </w:rPr>
              <w:t xml:space="preserve">项目培训</w:t>
            </w:r>
            <w:r>
              <w:rPr>
                <w:rFonts w:hint="eastAsia" w:ascii="宋体" w:hAnsi="宋体" w:eastAsia="宋体" w:cs="宋体"/>
                <w:color w:val="000000"/>
                <w:sz w:val="21"/>
                <w:szCs w:val="21"/>
                <w:highlight w:val="none"/>
                <w:lang w:val="zh-CN" w:eastAsia="zh-CN" w:bidi="ar-SA"/>
              </w:rPr>
              <w:t xml:space="preserve">方案</w:t>
            </w:r>
            <w:r>
              <w:rPr>
                <w:rFonts w:hint="eastAsia" w:ascii="宋体" w:hAnsi="宋体" w:eastAsia="宋体" w:cs="宋体"/>
                <w:color w:val="000000"/>
                <w:sz w:val="21"/>
                <w:szCs w:val="21"/>
                <w:highlight w:val="none"/>
                <w:lang w:val="en-US" w:eastAsia="zh-CN" w:bidi="ar-SA"/>
              </w:rPr>
              <w:t xml:space="preserve">综合评分，包含：1.培训计划及培训内容；2.培训师资力量。以上每项内容逐条阐述。</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lang w:val="en-US" w:eastAsia="zh-CN"/>
              </w:rPr>
              <w:t xml:space="preserve">对培训流程、周期、分层培训安排、实操内容、师资资质、行业经验、培训课件、操作手册、快速指引、售后指导资料等均详细表述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3.3</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售后服务方案</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：1.质保期内售后服务（响应时间，回访巡检方案、故障解决措施、技术人员保障、备品配件价格等）；2.本地化服务方案（江苏省内各服务网点、维修网点设置情况以及技术人员安排情况）。</w:t>
            </w:r>
            <w:r>
              <w:rPr>
                <w:rFonts w:hint="eastAsia"/>
                <w:color w:val="000000"/>
                <w:sz w:val="21"/>
                <w:szCs w:val="21"/>
                <w:highlight w:val="none"/>
                <w:lang w:val="en-US" w:bidi="ar-SA"/>
              </w:rPr>
              <w:t xml:space="preserve">以上每项内容逐项评分：</w:t>
            </w:r>
            <w:r/>
          </w:p>
          <w:p>
            <w:pPr>
              <w:pStyle w:val="990"/>
              <w:jc w:val="left"/>
              <w:rPr>
                <w:color w:val="000000"/>
                <w:lang w:val="en-US"/>
              </w:rPr>
            </w:pPr>
            <w:r>
              <w:rPr>
                <w:color w:val="000000"/>
                <w:lang w:val="en-US"/>
              </w:rPr>
              <w:t xml:space="preserve">方案内容</w:t>
            </w:r>
            <w:r>
              <w:rPr>
                <w:rFonts w:hint="eastAsia"/>
                <w:color w:val="000000"/>
                <w:lang w:val="en-US" w:eastAsia="zh-CN"/>
              </w:rPr>
              <w:t xml:space="preserve">对响</w:t>
            </w:r>
            <w:r>
              <w:rPr>
                <w:rFonts w:hint="eastAsia" w:ascii="Times New Roman" w:hAnsi="Times New Roman" w:eastAsia="宋体" w:cs="Times New Roman"/>
                <w:color w:val="000000"/>
                <w:lang w:val="en-US" w:eastAsia="zh-CN"/>
              </w:rPr>
              <w:t xml:space="preserve">应时间、回访巡检方案、故障解决措施、技术人员保障、备品配件价格等、江苏省内各服务网点、维修网点设置情况以及技术人员安排情况等、延保优惠、季度质控、专项技术支持、数据维护等均详细表述，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3.4</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延长质保</w:t>
            </w:r>
            <w:r/>
          </w:p>
        </w:tc>
        <w:tc>
          <w:tcPr>
            <w:tcW w:w="6330" w:type="dxa"/>
            <w:vAlign w:val="center"/>
            <w:textDirection w:val="lrTb"/>
            <w:noWrap w:val="false"/>
          </w:tcPr>
          <w:p>
            <w:pPr>
              <w:pStyle w:val="990"/>
              <w:jc w:val="left"/>
              <w:keepLines w:val="0"/>
              <w:keepNext w:val="0"/>
              <w:pageBreakBefore w:val="0"/>
              <w:spacing w:line="360" w:lineRule="exact"/>
              <w:widowControl w:val="off"/>
              <w:rPr>
                <w:rFonts w:ascii="宋体" w:hAnsi="宋体" w:eastAsia="宋体" w:cs="宋体"/>
                <w:color w:val="000000"/>
                <w:sz w:val="21"/>
                <w:szCs w:val="21"/>
                <w:highlight w:val="none"/>
              </w:rPr>
            </w:pPr>
            <w:r>
              <w:rPr>
                <w:rFonts w:hint="eastAsia"/>
                <w:color w:val="000000"/>
              </w:rPr>
              <w:t xml:space="preserve">投标人承诺在满足招标文件规定的</w:t>
            </w:r>
            <w:r>
              <w:rPr>
                <w:rFonts w:hint="eastAsia"/>
                <w:color w:val="000000"/>
                <w:lang w:val="en-US" w:eastAsia="zh-CN"/>
              </w:rPr>
              <w:t xml:space="preserve">5</w:t>
            </w:r>
            <w:r>
              <w:rPr>
                <w:rFonts w:hint="eastAsia"/>
                <w:color w:val="000000"/>
              </w:rPr>
              <w:t xml:space="preserve">年质保期基础上</w:t>
            </w:r>
            <w:r>
              <w:rPr>
                <w:rFonts w:hint="eastAsia" w:ascii="宋体" w:hAnsi="宋体" w:eastAsia="宋体" w:cs="宋体"/>
                <w:color w:val="000000"/>
                <w:sz w:val="21"/>
                <w:szCs w:val="21"/>
                <w:highlight w:val="none"/>
                <w:lang w:val="en-US" w:eastAsia="zh-CN" w:bidi="ar-SA"/>
              </w:rPr>
              <w:t xml:space="preserve">，每增加一年免费质保期的得</w:t>
            </w:r>
            <w:r>
              <w:rPr>
                <w:rFonts w:hint="eastAsia"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分，最多得3分，</w:t>
            </w:r>
            <w:r>
              <w:rPr>
                <w:rFonts w:hint="eastAsia"/>
                <w:color w:val="000000"/>
              </w:rPr>
              <w:t xml:space="preserve">每增加一年（费用含在总报价中）的得1分，最多得</w:t>
            </w:r>
            <w:r>
              <w:rPr>
                <w:rFonts w:hint="eastAsia"/>
                <w:color w:val="000000"/>
                <w:lang w:val="en-US" w:eastAsia="zh-CN"/>
              </w:rPr>
              <w:t xml:space="preserve">3</w:t>
            </w:r>
            <w:r>
              <w:rPr>
                <w:rFonts w:hint="eastAsia"/>
                <w:color w:val="000000"/>
              </w:rPr>
              <w:t xml:space="preserve">分，提供承诺书，格式自拟。</w:t>
            </w:r>
            <w:r/>
          </w:p>
        </w:tc>
        <w:tc>
          <w:tcPr>
            <w:tcW w:w="647"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6"/>
                <w:szCs w:val="21"/>
                <w:highlight w:val="none"/>
              </w:rPr>
            </w:pPr>
            <w:r>
              <w:rPr>
                <w:rFonts w:hint="eastAsia" w:ascii="宋体" w:hAnsi="宋体" w:eastAsia="宋体" w:cs="宋体"/>
                <w:color w:val="000000"/>
                <w:spacing w:val="-6"/>
                <w:szCs w:val="21"/>
                <w:highlight w:val="none"/>
                <w:lang w:val="en-US" w:eastAsia="zh-CN"/>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p>
        </w:tc>
        <w:tc>
          <w:tcPr>
            <w:tcW w:w="1179" w:type="dxa"/>
            <w:vAlign w:val="center"/>
            <w:textDirection w:val="lrTb"/>
            <w:noWrap w:val="false"/>
          </w:tcPr>
          <w:p>
            <w:pPr>
              <w:pStyle w:val="990"/>
              <w:jc w:val="lef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pacing w:val="0"/>
                <w:sz w:val="21"/>
                <w:szCs w:val="21"/>
                <w:highlight w:val="none"/>
                <w:lang w:val="en-US" w:eastAsia="zh-CN" w:bidi="ar-SA"/>
              </w:rPr>
              <w:t xml:space="preserve">产品业绩</w:t>
            </w:r>
            <w:r/>
          </w:p>
        </w:tc>
        <w:tc>
          <w:tcPr>
            <w:tcW w:w="6330" w:type="dxa"/>
            <w:vAlign w:val="center"/>
            <w:textDirection w:val="lrTb"/>
            <w:noWrap w:val="false"/>
          </w:tcPr>
          <w:p>
            <w:pPr>
              <w:pStyle w:val="99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提供2023年1月1日（含）以来（时间以合同签订时间为准）所投核心产品（同品牌同型号）业绩，每提供1个得1分，最多得3分。</w:t>
            </w:r>
            <w:r/>
          </w:p>
          <w:p>
            <w:pPr>
              <w:pStyle w:val="99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pStyle w:val="990"/>
              <w:jc w:val="lef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同时，投标人需提供所投业绩情况说明列表，内容主要包括买方名称、供货机型、合同金额、数量、签订时间、联系人及电话等，采购人将根据此表随机抽查，如有虚假将取消中标供应商人资格。</w:t>
            </w:r>
            <w:r/>
          </w:p>
        </w:tc>
        <w:tc>
          <w:tcPr>
            <w:tcW w:w="6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合</w:t>
            </w:r>
            <w:r>
              <w:rPr>
                <w:rFonts w:hint="eastAsia" w:ascii="宋体" w:hAnsi="宋体" w:eastAsia="宋体" w:cs="宋体"/>
                <w:color w:val="000000"/>
                <w:spacing w:val="-2"/>
                <w:szCs w:val="21"/>
                <w:highlight w:val="none"/>
              </w:rPr>
              <w:t xml:space="preserve">计</w:t>
            </w:r>
            <w:r/>
          </w:p>
        </w:tc>
        <w:tc>
          <w:tcPr>
            <w:gridSpan w:val="2"/>
            <w:tcW w:w="7509" w:type="dxa"/>
            <w:vAlign w:val="center"/>
            <w:textDirection w:val="lrTb"/>
            <w:noWrap w:val="false"/>
          </w:tcPr>
          <w:p>
            <w:pPr>
              <w:ind w:left="172"/>
              <w:jc w:val="center"/>
              <w:keepLines w:val="0"/>
              <w:keepNext w:val="0"/>
              <w:pageBreakBefore w:val="0"/>
              <w:spacing w:before="123"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gridSpan w:val="2"/>
            <w:tcW w:w="15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p>
        </w:tc>
      </w:tr>
    </w:tbl>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采购包2</w:t>
      </w:r>
      <w:r/>
    </w:p>
    <w:tbl>
      <w:tblPr>
        <w:tblStyle w:val="98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p>
        </w:tc>
        <w:tc>
          <w:tcPr>
            <w:tcW w:w="1179"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p>
        </w:tc>
        <w:tc>
          <w:tcPr>
            <w:tcW w:w="6330"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p>
        </w:tc>
        <w:tc>
          <w:tcPr>
            <w:tcW w:w="647"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p>
        </w:tc>
        <w:tc>
          <w:tcPr>
            <w:tcW w:w="900"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p>
        </w:tc>
      </w:tr>
      <w:tr>
        <w:trPr>
          <w:jc w:val="center"/>
          <w:trHeight w:val="105"/>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p>
        </w:tc>
        <w:tc>
          <w:tcPr>
            <w:tcW w:w="633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1"/>
                <w:szCs w:val="21"/>
                <w:highlight w:val="none"/>
              </w:rPr>
              <w:t xml:space="preserve">采用低价优先</w:t>
            </w:r>
            <w:r>
              <w:rPr>
                <w:rFonts w:hint="eastAsia"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即满足招标文件要求且投标价格最低的投标</w:t>
            </w:r>
            <w:r>
              <w:rPr>
                <w:rFonts w:hint="eastAsia" w:ascii="宋体" w:hAnsi="宋体" w:eastAsia="宋体" w:cs="宋体"/>
                <w:color w:val="000000"/>
                <w:spacing w:val="1"/>
                <w:szCs w:val="21"/>
                <w:highlight w:val="none"/>
              </w:rPr>
              <w:t xml:space="preserve">报价为评标基准</w:t>
            </w:r>
            <w:r>
              <w:rPr>
                <w:rFonts w:hint="eastAsia"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其价格分为满分。其他投标人的价格分统一按</w:t>
            </w:r>
            <w:r>
              <w:rPr>
                <w:rFonts w:hint="eastAsia" w:ascii="宋体" w:hAnsi="宋体" w:eastAsia="宋体" w:cs="宋体"/>
                <w:color w:val="000000"/>
                <w:spacing w:val="-1"/>
                <w:szCs w:val="21"/>
                <w:highlight w:val="none"/>
              </w:rPr>
              <w:t xml:space="preserve">照下列公</w:t>
            </w:r>
            <w:r>
              <w:rPr>
                <w:rFonts w:hint="eastAsia" w:ascii="宋体" w:hAnsi="宋体" w:eastAsia="宋体" w:cs="宋体"/>
                <w:color w:val="000000"/>
                <w:szCs w:val="21"/>
                <w:highlight w:val="none"/>
              </w:rPr>
              <w:t xml:space="preserve">式计算：投标报价得分=(评标基准价/投标报价)×</w:t>
            </w:r>
            <w:r>
              <w:rPr>
                <w:rFonts w:hint="eastAsia" w:ascii="宋体" w:hAnsi="宋体" w:eastAsia="宋体" w:cs="宋体"/>
                <w:color w:val="000000"/>
                <w:szCs w:val="21"/>
                <w:highlight w:val="none"/>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产品技术参数</w:t>
            </w:r>
            <w:r/>
          </w:p>
        </w:tc>
        <w:tc>
          <w:tcPr>
            <w:tcW w:w="6330"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产品技术参数全部满足招标要求的得满分，打★指标为必须满足项，如有负偏离将作为无效投标，打▲指标为重要指标（共9项），有1项负偏离扣2分，其余指标（共74项）有1项负偏离扣0.29分。</w:t>
            </w:r>
            <w:r/>
          </w:p>
        </w:tc>
        <w:tc>
          <w:tcPr>
            <w:tcW w:w="647"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zCs w:val="21"/>
                <w:highlight w:val="none"/>
                <w:lang w:val="en-US"/>
              </w:rPr>
            </w:pPr>
            <w:r>
              <w:rPr>
                <w:rFonts w:hint="eastAsia" w:ascii="宋体" w:hAnsi="宋体" w:cs="宋体"/>
                <w:color w:val="000000"/>
                <w:szCs w:val="21"/>
                <w:highlight w:val="none"/>
                <w:lang w:val="en-US" w:eastAsia="zh-CN"/>
              </w:rPr>
              <w:t xml:space="preserve">40</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产品设计、制造工艺及材质</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：1.产品设计；2.产品制造工艺；3.产品材质。以上产品设计、产品制造工艺、产品材质。</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ascii="宋体" w:hAnsi="宋体" w:eastAsia="宋体" w:cs="宋体"/>
                <w:color w:val="000000"/>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2.3</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产品安全性、可控耐受度及易用性</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：1.产品安全性；2.产品可控及耐受度；3.产品易用性。以上产品安全性、产品可控及耐受度、产品易用性。</w:t>
            </w:r>
            <w:r>
              <w:rPr>
                <w:rFonts w:hint="eastAsia"/>
                <w:color w:val="000000"/>
                <w:sz w:val="21"/>
                <w:szCs w:val="21"/>
                <w:highlight w:val="none"/>
                <w:lang w:val="en-US" w:bidi="ar-SA"/>
              </w:rPr>
              <w:t xml:space="preserve">以上每项内容逐项评分：</w:t>
            </w:r>
            <w:r/>
          </w:p>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2.4</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 w:val="21"/>
                <w:szCs w:val="21"/>
                <w:highlight w:val="none"/>
              </w:rPr>
            </w:pPr>
            <w:r>
              <w:rPr>
                <w:rFonts w:hint="eastAsia" w:ascii="宋体" w:hAnsi="宋体" w:eastAsia="宋体" w:cs="宋体"/>
                <w:color w:val="000000"/>
                <w:spacing w:val="0"/>
                <w:szCs w:val="21"/>
                <w:highlight w:val="none"/>
                <w:lang w:val="en-US" w:eastAsia="zh-CN"/>
              </w:rPr>
              <w:t xml:space="preserve">产品新技术优配度、兼容性及扩展性</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cs="宋体"/>
                <w:color w:val="000000"/>
                <w:sz w:val="21"/>
                <w:szCs w:val="21"/>
                <w:highlight w:val="none"/>
                <w:lang w:val="en-US" w:eastAsia="zh-CN" w:bidi="ar-SA"/>
              </w:rPr>
              <w:t xml:space="preserve">产品兼容性；3.产品扩展性。</w:t>
            </w:r>
            <w:r>
              <w:rPr>
                <w:rFonts w:hint="eastAsia" w:ascii="宋体" w:hAnsi="宋体" w:eastAsia="宋体" w:cs="宋体"/>
                <w:color w:val="000000"/>
                <w:sz w:val="21"/>
                <w:szCs w:val="21"/>
                <w:highlight w:val="none"/>
                <w:lang w:val="en-US" w:eastAsia="zh-CN" w:bidi="ar-SA"/>
              </w:rPr>
              <w:t xml:space="preserve">以上产品先进性、兼容性、扩展性。。</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对支持的传输协议、对接方式、数据互通方式等，对后续功能升级、软件拓展、探头拓展、接口预留、业务扩容等均有详细表述，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cs="宋体"/>
                <w:color w:val="000000"/>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3.服务</w:t>
            </w:r>
            <w:r/>
          </w:p>
        </w:tc>
      </w:tr>
      <w:tr>
        <w:trPr>
          <w:jc w:val="center"/>
          <w:trHeight w:val="532"/>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项目实施方案</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：1.供货保障方案；2.安装调试和巡检方案。</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298"/>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3.2</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项目培训方案</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：1.培训计划及培训内容；2.培训师资力量。</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lang w:val="en-US" w:eastAsia="zh-CN"/>
              </w:rPr>
              <w:t xml:space="preserve">对培训流程、周期、分层培训安排、实操内容、师资资质、行业经验、培训课件、操作手册、快速指引、售后指导资料等均详细表述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3.3</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售后服务方案</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：1.质保期内售后服务（响应时间，回访巡检方案、故障解决措施、技术人员保障、备品配件价格等）；2.本地化服务方案（江苏省内各服务网点、维修网点设置情况以及技术人员安排情况）。</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lang w:val="en-US" w:eastAsia="zh-CN"/>
              </w:rPr>
              <w:t xml:space="preserve">对响</w:t>
            </w:r>
            <w:r>
              <w:rPr>
                <w:rFonts w:hint="eastAsia" w:ascii="Times New Roman" w:hAnsi="Times New Roman" w:eastAsia="宋体" w:cs="Times New Roman"/>
                <w:color w:val="000000"/>
                <w:lang w:val="en-US" w:eastAsia="zh-CN"/>
              </w:rPr>
              <w:t xml:space="preserve">应时间、回访巡检方案、故障解决措施、技术人员保障、备品配件价格等、江苏省内各服务网点、维修网点设置情况以及技术人员安排情况等、延保优惠、季度质控、专项技术支持、数据维护等均详细表述，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3.4</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延长质保</w:t>
            </w:r>
            <w:r/>
          </w:p>
        </w:tc>
        <w:tc>
          <w:tcPr>
            <w:tcW w:w="6330" w:type="dxa"/>
            <w:vAlign w:val="center"/>
            <w:textDirection w:val="lrTb"/>
            <w:noWrap w:val="false"/>
          </w:tcPr>
          <w:p>
            <w:pPr>
              <w:pStyle w:val="990"/>
              <w:jc w:val="left"/>
              <w:keepLines w:val="0"/>
              <w:keepNext w:val="0"/>
              <w:pageBreakBefore w:val="0"/>
              <w:spacing w:line="360" w:lineRule="exact"/>
              <w:widowControl w:val="off"/>
              <w:rPr>
                <w:rFonts w:ascii="宋体" w:hAnsi="宋体" w:eastAsia="宋体" w:cs="宋体"/>
                <w:color w:val="000000"/>
                <w:sz w:val="21"/>
                <w:szCs w:val="21"/>
                <w:highlight w:val="none"/>
                <w:lang w:val="zh-CN" w:eastAsia="zh-CN" w:bidi="zh-CN"/>
              </w:rPr>
            </w:pPr>
            <w:r>
              <w:rPr>
                <w:rFonts w:hint="eastAsia"/>
                <w:color w:val="000000"/>
              </w:rPr>
              <w:t xml:space="preserve">投标人承诺在满足招标文件规定的</w:t>
            </w:r>
            <w:r>
              <w:rPr>
                <w:rFonts w:hint="eastAsia"/>
                <w:color w:val="000000"/>
                <w:lang w:val="en-US" w:eastAsia="zh-CN"/>
              </w:rPr>
              <w:t xml:space="preserve">5</w:t>
            </w:r>
            <w:r>
              <w:rPr>
                <w:rFonts w:hint="eastAsia"/>
                <w:color w:val="000000"/>
              </w:rPr>
              <w:t xml:space="preserve">年质保期基础上</w:t>
            </w:r>
            <w:r>
              <w:rPr>
                <w:rFonts w:hint="eastAsia" w:ascii="宋体" w:hAnsi="宋体" w:eastAsia="宋体" w:cs="宋体"/>
                <w:color w:val="000000"/>
                <w:sz w:val="21"/>
                <w:szCs w:val="21"/>
                <w:highlight w:val="none"/>
                <w:lang w:val="en-US" w:eastAsia="zh-CN" w:bidi="ar-SA"/>
              </w:rPr>
              <w:t xml:space="preserve">，每增加一年免费质保期的得</w:t>
            </w:r>
            <w:r>
              <w:rPr>
                <w:rFonts w:hint="eastAsia"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分，最多得3分，</w:t>
            </w:r>
            <w:r>
              <w:rPr>
                <w:rFonts w:hint="eastAsia"/>
                <w:color w:val="000000"/>
              </w:rPr>
              <w:t xml:space="preserve">每增加一年（费用含在总报价中）的得1分，最多得</w:t>
            </w:r>
            <w:r>
              <w:rPr>
                <w:rFonts w:hint="eastAsia"/>
                <w:color w:val="000000"/>
                <w:lang w:val="en-US" w:eastAsia="zh-CN"/>
              </w:rPr>
              <w:t xml:space="preserve">3</w:t>
            </w:r>
            <w:r>
              <w:rPr>
                <w:rFonts w:hint="eastAsia"/>
                <w:color w:val="000000"/>
              </w:rPr>
              <w:t xml:space="preserve">分，提供承诺书，格式自拟。</w:t>
            </w:r>
            <w:r/>
          </w:p>
        </w:tc>
        <w:tc>
          <w:tcPr>
            <w:tcW w:w="647"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6"/>
                <w:szCs w:val="21"/>
                <w:highlight w:val="none"/>
              </w:rPr>
            </w:pPr>
            <w:r>
              <w:rPr>
                <w:rFonts w:hint="eastAsia" w:ascii="宋体" w:hAnsi="宋体" w:eastAsia="宋体" w:cs="宋体"/>
                <w:color w:val="000000"/>
                <w:spacing w:val="-6"/>
                <w:szCs w:val="21"/>
                <w:highlight w:val="none"/>
                <w:lang w:val="en-US" w:eastAsia="zh-CN"/>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p>
        </w:tc>
        <w:tc>
          <w:tcPr>
            <w:tcW w:w="1179" w:type="dxa"/>
            <w:vAlign w:val="center"/>
            <w:textDirection w:val="lrTb"/>
            <w:noWrap w:val="false"/>
          </w:tcPr>
          <w:p>
            <w:pPr>
              <w:keepLines w:val="0"/>
              <w:keepNext w:val="0"/>
              <w:pageBreakBefore w:val="0"/>
              <w:spacing w:before="69" w:line="360" w:lineRule="exact"/>
              <w:widowControl w:val="off"/>
              <w:rPr>
                <w:rFonts w:hint="eastAsia" w:eastAsia="宋体"/>
                <w:color w:val="000000"/>
                <w:szCs w:val="21"/>
                <w:highlight w:val="none"/>
              </w:rPr>
            </w:pPr>
            <w:r>
              <w:rPr>
                <w:rFonts w:hint="eastAsia" w:ascii="宋体" w:hAnsi="宋体" w:eastAsia="宋体" w:cs="宋体"/>
                <w:color w:val="000000"/>
                <w:spacing w:val="-1"/>
                <w:szCs w:val="21"/>
                <w:highlight w:val="none"/>
                <w:lang w:val="en-US" w:eastAsia="zh-CN"/>
              </w:rPr>
              <w:t xml:space="preserve">产品业绩</w:t>
            </w:r>
            <w:r/>
          </w:p>
        </w:tc>
        <w:tc>
          <w:tcPr>
            <w:tcW w:w="6330" w:type="dxa"/>
            <w:vAlign w:val="center"/>
            <w:textDirection w:val="lrTb"/>
            <w:noWrap w:val="false"/>
          </w:tcPr>
          <w:p>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提供2023年1月1日（含）以来（时间以合同签订时间为准）所投核心产品（同品牌同型号）业绩，每提供1个得1分，最多得3分。</w:t>
            </w:r>
            <w:r/>
          </w:p>
          <w:p>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同时，投标人需提供所投业绩情况说明列表，内容主要包括买方名称、供货机型、合同金额、数量、签订时间、联系人及电话等，采购人将根据此表随机抽查，如有虚假将取消中标人资格。</w:t>
            </w:r>
            <w:r/>
          </w:p>
        </w:tc>
        <w:tc>
          <w:tcPr>
            <w:tcW w:w="6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合</w:t>
            </w:r>
            <w:r>
              <w:rPr>
                <w:rFonts w:hint="eastAsia" w:ascii="宋体" w:hAnsi="宋体" w:eastAsia="宋体" w:cs="宋体"/>
                <w:color w:val="000000"/>
                <w:spacing w:val="-2"/>
                <w:szCs w:val="21"/>
                <w:highlight w:val="none"/>
              </w:rPr>
              <w:t xml:space="preserve">计</w:t>
            </w:r>
            <w:r/>
          </w:p>
        </w:tc>
        <w:tc>
          <w:tcPr>
            <w:gridSpan w:val="2"/>
            <w:tcW w:w="7509" w:type="dxa"/>
            <w:vAlign w:val="center"/>
            <w:textDirection w:val="lrTb"/>
            <w:noWrap w:val="false"/>
          </w:tcPr>
          <w:p>
            <w:pPr>
              <w:ind w:left="172"/>
              <w:jc w:val="center"/>
              <w:keepLines w:val="0"/>
              <w:keepNext w:val="0"/>
              <w:pageBreakBefore w:val="0"/>
              <w:spacing w:before="123"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gridSpan w:val="2"/>
            <w:tcW w:w="15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p>
        </w:tc>
      </w:tr>
    </w:tbl>
    <w:p>
      <w:pPr>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采购包3</w:t>
      </w:r>
      <w:r/>
    </w:p>
    <w:tbl>
      <w:tblPr>
        <w:tblStyle w:val="98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p>
        </w:tc>
        <w:tc>
          <w:tcPr>
            <w:tcW w:w="1179"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p>
        </w:tc>
        <w:tc>
          <w:tcPr>
            <w:tcW w:w="6330"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p>
        </w:tc>
        <w:tc>
          <w:tcPr>
            <w:tcW w:w="647"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p>
        </w:tc>
        <w:tc>
          <w:tcPr>
            <w:tcW w:w="900"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p>
        </w:tc>
      </w:tr>
      <w:tr>
        <w:trPr>
          <w:jc w:val="center"/>
          <w:trHeight w:val="105"/>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p>
        </w:tc>
        <w:tc>
          <w:tcPr>
            <w:tcW w:w="633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1"/>
                <w:szCs w:val="21"/>
                <w:highlight w:val="none"/>
              </w:rPr>
              <w:t xml:space="preserve">采用低价优先</w:t>
            </w:r>
            <w:r>
              <w:rPr>
                <w:rFonts w:hint="eastAsia"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即满足招标文件要求且投标价格最低的投标</w:t>
            </w:r>
            <w:r>
              <w:rPr>
                <w:rFonts w:hint="eastAsia" w:ascii="宋体" w:hAnsi="宋体" w:eastAsia="宋体" w:cs="宋体"/>
                <w:color w:val="000000"/>
                <w:spacing w:val="1"/>
                <w:szCs w:val="21"/>
                <w:highlight w:val="none"/>
              </w:rPr>
              <w:t xml:space="preserve">报价为评标基准</w:t>
            </w:r>
            <w:r>
              <w:rPr>
                <w:rFonts w:hint="eastAsia"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其价格分为满分。其他投标人的价格分统一按</w:t>
            </w:r>
            <w:r>
              <w:rPr>
                <w:rFonts w:hint="eastAsia" w:ascii="宋体" w:hAnsi="宋体" w:eastAsia="宋体" w:cs="宋体"/>
                <w:color w:val="000000"/>
                <w:spacing w:val="-1"/>
                <w:szCs w:val="21"/>
                <w:highlight w:val="none"/>
              </w:rPr>
              <w:t xml:space="preserve">照下列公</w:t>
            </w:r>
            <w:r>
              <w:rPr>
                <w:rFonts w:hint="eastAsia" w:ascii="宋体" w:hAnsi="宋体" w:eastAsia="宋体" w:cs="宋体"/>
                <w:color w:val="000000"/>
                <w:szCs w:val="21"/>
                <w:highlight w:val="none"/>
              </w:rPr>
              <w:t xml:space="preserve">式计算：投标报价得分=(评标基准价/投标报价)×</w:t>
            </w:r>
            <w:r>
              <w:rPr>
                <w:rFonts w:hint="eastAsia" w:ascii="宋体" w:hAnsi="宋体" w:eastAsia="宋体" w:cs="宋体"/>
                <w:color w:val="000000"/>
                <w:szCs w:val="21"/>
                <w:highlight w:val="none"/>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产品技术参数</w:t>
            </w:r>
            <w:r/>
          </w:p>
        </w:tc>
        <w:tc>
          <w:tcPr>
            <w:tcW w:w="6330"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产品技术参数全部满足招标要求的得满分，打★指标为必须满足项，如有负偏离将作为无效投标，打▲指标为重要指标（共10项），有1项负偏离扣2分，其余指标（共40项）有1项负偏离扣0.5分。</w:t>
            </w:r>
            <w:r/>
          </w:p>
        </w:tc>
        <w:tc>
          <w:tcPr>
            <w:tcW w:w="647"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zCs w:val="21"/>
                <w:highlight w:val="none"/>
                <w:lang w:val="en-US"/>
              </w:rPr>
            </w:pPr>
            <w:r>
              <w:rPr>
                <w:rFonts w:hint="eastAsia" w:ascii="宋体" w:hAnsi="宋体" w:cs="宋体"/>
                <w:color w:val="000000"/>
                <w:szCs w:val="21"/>
                <w:highlight w:val="none"/>
                <w:lang w:val="en-US" w:eastAsia="zh-CN"/>
              </w:rPr>
              <w:t xml:space="preserve">40</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产品设计、制造工艺及材质</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：1.产品设计；2.产品制造工艺；3.产品材质。以上产品设计、产品制造工艺、产品材质。</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ascii="宋体" w:hAnsi="宋体" w:eastAsia="宋体" w:cs="宋体"/>
                <w:color w:val="000000"/>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2.3</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产品安全性、可控耐受度及易用性</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：1.产品安全性；2.产品可控及耐受度；3.产品易用性。以上产品安全性、产品可控及耐受度、产品易用性。</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2.4</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 w:val="21"/>
                <w:szCs w:val="21"/>
                <w:highlight w:val="none"/>
              </w:rPr>
            </w:pPr>
            <w:r>
              <w:rPr>
                <w:rFonts w:hint="eastAsia" w:ascii="宋体" w:hAnsi="宋体" w:eastAsia="宋体" w:cs="宋体"/>
                <w:color w:val="000000"/>
                <w:spacing w:val="0"/>
                <w:szCs w:val="21"/>
                <w:highlight w:val="none"/>
                <w:lang w:val="en-US" w:eastAsia="zh-CN"/>
              </w:rPr>
              <w:t xml:space="preserve">产品新技术优配度、兼容性及扩展性</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根据本项目采购需求编制方案</w:t>
            </w:r>
            <w:r>
              <w:rPr>
                <w:rFonts w:hint="eastAsia"/>
                <w:color w:val="000000"/>
                <w:sz w:val="21"/>
                <w:szCs w:val="21"/>
                <w:highlight w:val="none"/>
                <w:lang w:val="en-US" w:eastAsia="zh-CN" w:bidi="ar-SA"/>
              </w:rPr>
              <w:t xml:space="preserve">，</w:t>
            </w:r>
            <w:r>
              <w:rPr>
                <w:rFonts w:hint="eastAsia"/>
                <w:color w:val="000000"/>
                <w:sz w:val="21"/>
                <w:szCs w:val="21"/>
                <w:highlight w:val="none"/>
                <w:lang w:val="en-US" w:bidi="ar-SA"/>
              </w:rPr>
              <w:t xml:space="preserve">内容包含：</w:t>
            </w:r>
            <w:r>
              <w:rPr>
                <w:rFonts w:hint="eastAsia" w:ascii="宋体" w:hAnsi="宋体" w:eastAsia="宋体" w:cs="宋体"/>
                <w:color w:val="000000"/>
                <w:sz w:val="21"/>
                <w:szCs w:val="21"/>
                <w:highlight w:val="none"/>
                <w:lang w:val="en-US" w:eastAsia="zh-CN" w:bidi="ar-SA"/>
              </w:rPr>
              <w:t xml:space="preserve">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cs="宋体"/>
                <w:color w:val="000000"/>
                <w:sz w:val="21"/>
                <w:szCs w:val="21"/>
                <w:highlight w:val="none"/>
                <w:lang w:val="en-US" w:eastAsia="zh-CN" w:bidi="ar-SA"/>
              </w:rPr>
              <w:t xml:space="preserve">产品兼容性；3.产品扩展性。</w:t>
            </w:r>
            <w:r>
              <w:rPr>
                <w:rFonts w:hint="eastAsia" w:ascii="宋体" w:hAnsi="宋体" w:eastAsia="宋体" w:cs="宋体"/>
                <w:color w:val="000000"/>
                <w:sz w:val="21"/>
                <w:szCs w:val="21"/>
                <w:highlight w:val="none"/>
                <w:lang w:val="en-US" w:eastAsia="zh-CN" w:bidi="ar-SA"/>
              </w:rPr>
              <w:t xml:space="preserve">以上产品先进性、兼容性、扩展性。</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对支持的传输协议、对接方式、数据互通方式等，对后续功能升级、软件拓展、探头拓展、接口预留、业务扩容等均有详细表述，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cs="宋体"/>
                <w:color w:val="000000"/>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3.服务</w:t>
            </w:r>
            <w:r/>
          </w:p>
        </w:tc>
      </w:tr>
      <w:tr>
        <w:trPr>
          <w:jc w:val="center"/>
          <w:trHeight w:val="532"/>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项目实施方案</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根据本项目采购需求编制方案，内容包含：</w:t>
            </w:r>
            <w:r>
              <w:rPr>
                <w:rFonts w:hint="eastAsia" w:ascii="宋体" w:hAnsi="宋体" w:eastAsia="宋体" w:cs="宋体"/>
                <w:color w:val="000000"/>
                <w:sz w:val="21"/>
                <w:szCs w:val="21"/>
                <w:highlight w:val="none"/>
                <w:lang w:val="en-US" w:eastAsia="zh-CN" w:bidi="ar-SA"/>
              </w:rPr>
              <w:t xml:space="preserve">1.供货保障方案；2.安装调试和巡检方案。</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298"/>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3.2</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项目培训方案</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根据本项目采购需求编制方案，内容包含：</w:t>
            </w:r>
            <w:r>
              <w:rPr>
                <w:rFonts w:hint="eastAsia" w:ascii="宋体" w:hAnsi="宋体" w:eastAsia="宋体" w:cs="宋体"/>
                <w:color w:val="000000"/>
                <w:sz w:val="21"/>
                <w:szCs w:val="21"/>
                <w:highlight w:val="none"/>
                <w:lang w:val="en-US" w:eastAsia="zh-CN" w:bidi="ar-SA"/>
              </w:rPr>
              <w:t xml:space="preserve">1.培训计划及培训内容；2.培训师资力量。</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lang w:val="en-US" w:eastAsia="zh-CN"/>
              </w:rPr>
              <w:t xml:space="preserve">对培训流程、周期、分层培训安排、实操内容、师资资质、行业经验、培训课件、操作手册、快速指引、售后指导资料等均详细表述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3.3</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售后服务方案</w:t>
            </w:r>
            <w:r/>
          </w:p>
        </w:tc>
        <w:tc>
          <w:tcPr>
            <w:tcW w:w="6330" w:type="dxa"/>
            <w:vAlign w:val="center"/>
            <w:textDirection w:val="lrTb"/>
            <w:noWrap w:val="false"/>
          </w:tcPr>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根据本项目采购需求编制方案，内容包含：</w:t>
            </w:r>
            <w:r>
              <w:rPr>
                <w:rFonts w:hint="eastAsia" w:ascii="宋体" w:hAnsi="宋体" w:eastAsia="宋体" w:cs="宋体"/>
                <w:color w:val="000000"/>
                <w:sz w:val="21"/>
                <w:szCs w:val="21"/>
                <w:highlight w:val="none"/>
                <w:lang w:val="en-US" w:eastAsia="zh-CN" w:bidi="ar-SA"/>
              </w:rPr>
              <w:t xml:space="preserve">1.质保期内售后服务（响应时间，回访巡检方案、故障解决措施、技术人员保障、备品配件价格等）；2.本地化服务方案（江苏省内各服务网点、维修网点设置情况以及技术人员安排情况）。</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lang w:val="en-US" w:eastAsia="zh-CN"/>
              </w:rPr>
              <w:t xml:space="preserve">对响</w:t>
            </w:r>
            <w:r>
              <w:rPr>
                <w:rFonts w:hint="eastAsia" w:ascii="Times New Roman" w:hAnsi="Times New Roman" w:eastAsia="宋体" w:cs="Times New Roman"/>
                <w:color w:val="000000"/>
                <w:lang w:val="en-US" w:eastAsia="zh-CN"/>
              </w:rPr>
              <w:t xml:space="preserve">应时间、回访巡检方案、故障解决措施、技术人员保障、备品配件价格等、江苏省内各服务网点、维修网点设置情况以及技术人员安排情况等、延保优惠、季度质控、专项技术支持、数据维护等均详细表述，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pStyle w:val="99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3.4</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延长质保</w:t>
            </w:r>
            <w:r/>
          </w:p>
        </w:tc>
        <w:tc>
          <w:tcPr>
            <w:tcW w:w="6330" w:type="dxa"/>
            <w:vAlign w:val="center"/>
            <w:textDirection w:val="lrTb"/>
            <w:noWrap w:val="false"/>
          </w:tcPr>
          <w:p>
            <w:pPr>
              <w:pStyle w:val="990"/>
              <w:jc w:val="left"/>
              <w:keepLines w:val="0"/>
              <w:keepNext w:val="0"/>
              <w:pageBreakBefore w:val="0"/>
              <w:spacing w:line="360" w:lineRule="exact"/>
              <w:widowControl w:val="off"/>
              <w:rPr>
                <w:rFonts w:ascii="宋体" w:hAnsi="宋体" w:eastAsia="宋体" w:cs="宋体"/>
                <w:color w:val="000000"/>
                <w:sz w:val="21"/>
                <w:szCs w:val="21"/>
                <w:highlight w:val="none"/>
                <w:lang w:val="zh-CN" w:eastAsia="zh-CN" w:bidi="zh-CN"/>
              </w:rPr>
            </w:pPr>
            <w:r>
              <w:rPr>
                <w:rFonts w:hint="eastAsia"/>
                <w:color w:val="000000"/>
              </w:rPr>
              <w:t xml:space="preserve">投标人承诺在满足招标文件规定的</w:t>
            </w:r>
            <w:r>
              <w:rPr>
                <w:rFonts w:hint="eastAsia"/>
                <w:color w:val="000000"/>
                <w:lang w:val="en-US" w:eastAsia="zh-CN"/>
              </w:rPr>
              <w:t xml:space="preserve">5</w:t>
            </w:r>
            <w:r>
              <w:rPr>
                <w:rFonts w:hint="eastAsia"/>
                <w:color w:val="000000"/>
              </w:rPr>
              <w:t xml:space="preserve">年质保期基础上</w:t>
            </w:r>
            <w:r>
              <w:rPr>
                <w:rFonts w:hint="eastAsia" w:ascii="宋体" w:hAnsi="宋体" w:eastAsia="宋体" w:cs="宋体"/>
                <w:color w:val="000000"/>
                <w:sz w:val="21"/>
                <w:szCs w:val="21"/>
                <w:highlight w:val="none"/>
                <w:lang w:val="en-US" w:eastAsia="zh-CN" w:bidi="ar-SA"/>
              </w:rPr>
              <w:t xml:space="preserve">，每增加一年免费质保期的得</w:t>
            </w:r>
            <w:r>
              <w:rPr>
                <w:rFonts w:hint="eastAsia"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分，最多得3分，</w:t>
            </w:r>
            <w:r>
              <w:rPr>
                <w:rFonts w:hint="eastAsia"/>
                <w:color w:val="000000"/>
              </w:rPr>
              <w:t xml:space="preserve">每增加一年（费用含在总报价中）的得1分，最多得</w:t>
            </w:r>
            <w:r>
              <w:rPr>
                <w:rFonts w:hint="eastAsia"/>
                <w:color w:val="000000"/>
                <w:lang w:val="en-US" w:eastAsia="zh-CN"/>
              </w:rPr>
              <w:t xml:space="preserve">3</w:t>
            </w:r>
            <w:r>
              <w:rPr>
                <w:rFonts w:hint="eastAsia"/>
                <w:color w:val="000000"/>
              </w:rPr>
              <w:t xml:space="preserve">分，提供承诺书，格式自拟。</w:t>
            </w:r>
            <w:r/>
          </w:p>
        </w:tc>
        <w:tc>
          <w:tcPr>
            <w:tcW w:w="647"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6"/>
                <w:szCs w:val="21"/>
                <w:highlight w:val="none"/>
              </w:rPr>
            </w:pPr>
            <w:r>
              <w:rPr>
                <w:rFonts w:hint="eastAsia" w:ascii="宋体" w:hAnsi="宋体" w:eastAsia="宋体" w:cs="宋体"/>
                <w:color w:val="000000"/>
                <w:spacing w:val="-6"/>
                <w:szCs w:val="21"/>
                <w:highlight w:val="none"/>
                <w:lang w:val="en-US" w:eastAsia="zh-CN"/>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p>
        </w:tc>
        <w:tc>
          <w:tcPr>
            <w:tcW w:w="1179" w:type="dxa"/>
            <w:vAlign w:val="center"/>
            <w:textDirection w:val="lrTb"/>
            <w:noWrap w:val="false"/>
          </w:tcPr>
          <w:p>
            <w:pPr>
              <w:keepLines w:val="0"/>
              <w:keepNext w:val="0"/>
              <w:pageBreakBefore w:val="0"/>
              <w:spacing w:before="69" w:line="360" w:lineRule="exact"/>
              <w:widowControl w:val="off"/>
              <w:rPr>
                <w:rFonts w:hint="eastAsia" w:eastAsia="宋体"/>
                <w:color w:val="000000"/>
                <w:szCs w:val="21"/>
                <w:highlight w:val="none"/>
              </w:rPr>
            </w:pPr>
            <w:r>
              <w:rPr>
                <w:rFonts w:hint="eastAsia" w:ascii="宋体" w:hAnsi="宋体" w:eastAsia="宋体" w:cs="宋体"/>
                <w:color w:val="000000"/>
                <w:spacing w:val="-1"/>
                <w:szCs w:val="21"/>
                <w:highlight w:val="none"/>
                <w:lang w:val="en-US" w:eastAsia="zh-CN"/>
              </w:rPr>
              <w:t xml:space="preserve">产品业绩</w:t>
            </w:r>
            <w:r/>
          </w:p>
        </w:tc>
        <w:tc>
          <w:tcPr>
            <w:tcW w:w="6330" w:type="dxa"/>
            <w:vAlign w:val="center"/>
            <w:textDirection w:val="lrTb"/>
            <w:noWrap w:val="false"/>
          </w:tcPr>
          <w:p>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提供2023年1月1日（含）以来（时间以合同签订时间为准）所投核心产品（同品牌同型号）业绩，每提供1个得1分，最多得3分。</w:t>
            </w:r>
            <w:r/>
          </w:p>
          <w:p>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同时，投标人需提供所投业绩情况说明列表，内容主要包括买方名称、供货机型、合同金额、数量、签订时间、联系人及电话等，采购人将根据此表随机抽查，如有虚假将取消中标人资格。</w:t>
            </w:r>
            <w:r/>
          </w:p>
        </w:tc>
        <w:tc>
          <w:tcPr>
            <w:tcW w:w="6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合</w:t>
            </w:r>
            <w:r>
              <w:rPr>
                <w:rFonts w:hint="eastAsia" w:ascii="宋体" w:hAnsi="宋体" w:eastAsia="宋体" w:cs="宋体"/>
                <w:color w:val="000000"/>
                <w:spacing w:val="-2"/>
                <w:szCs w:val="21"/>
                <w:highlight w:val="none"/>
              </w:rPr>
              <w:t xml:space="preserve">计</w:t>
            </w:r>
            <w:r/>
          </w:p>
        </w:tc>
        <w:tc>
          <w:tcPr>
            <w:gridSpan w:val="2"/>
            <w:tcW w:w="7509" w:type="dxa"/>
            <w:vAlign w:val="center"/>
            <w:textDirection w:val="lrTb"/>
            <w:noWrap w:val="false"/>
          </w:tcPr>
          <w:p>
            <w:pPr>
              <w:ind w:left="172"/>
              <w:jc w:val="center"/>
              <w:keepLines w:val="0"/>
              <w:keepNext w:val="0"/>
              <w:pageBreakBefore w:val="0"/>
              <w:spacing w:before="123"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gridSpan w:val="2"/>
            <w:tcW w:w="15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p>
        </w:tc>
      </w:tr>
    </w:tbl>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投标文件格式 </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十一、关于符合本国产品标准的声明函（如有）</w:t>
      </w:r>
      <w:r/>
    </w:p>
    <w:p>
      <w:pPr>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pStyle w:val="987"/>
        <w:rPr>
          <w:rFonts w:ascii="宋体" w:hAnsi="宋体"/>
          <w:color w:val="000000"/>
          <w:sz w:val="24"/>
          <w:highlight w:val="none"/>
        </w:rPr>
      </w:pPr>
      <w:r>
        <w:rPr>
          <w:rFonts w:ascii="宋体" w:hAnsi="宋体"/>
          <w:color w:val="000000"/>
          <w:sz w:val="24"/>
          <w:highlight w:val="none"/>
        </w:rPr>
      </w:r>
      <w:r/>
    </w:p>
    <w:p>
      <w:pPr>
        <w:pStyle w:val="987"/>
        <w:rPr>
          <w:rFonts w:ascii="宋体" w:hAnsi="宋体"/>
          <w:color w:val="000000"/>
          <w:sz w:val="24"/>
          <w:highlight w:val="none"/>
        </w:rPr>
      </w:pPr>
      <w:r>
        <w:rPr>
          <w:rFonts w:ascii="宋体" w:hAnsi="宋体"/>
          <w:color w:val="000000"/>
          <w:sz w:val="24"/>
          <w:highlight w:val="none"/>
        </w:rPr>
      </w:r>
      <w:r/>
    </w:p>
    <w:p>
      <w:pPr>
        <w:pStyle w:val="987"/>
        <w:rPr>
          <w:rFonts w:ascii="宋体" w:hAnsi="宋体"/>
          <w:color w:val="000000"/>
          <w:sz w:val="24"/>
          <w:highlight w:val="none"/>
        </w:rPr>
      </w:pPr>
      <w:r>
        <w:rPr>
          <w:rFonts w:ascii="宋体" w:hAnsi="宋体"/>
          <w:color w:val="000000"/>
          <w:sz w:val="24"/>
          <w:highlight w:val="none"/>
        </w:rPr>
      </w:r>
      <w:r/>
    </w:p>
    <w:p>
      <w:pPr>
        <w:pStyle w:val="987"/>
        <w:rPr>
          <w:rFonts w:ascii="宋体" w:hAnsi="宋体"/>
          <w:color w:val="000000"/>
          <w:sz w:val="24"/>
          <w:szCs w:val="24"/>
          <w:highlight w:val="none"/>
        </w:rPr>
      </w:pPr>
      <w:r>
        <w:rPr>
          <w:rFonts w:ascii="宋体" w:hAnsi="宋体"/>
          <w:color w:val="000000"/>
          <w:sz w:val="24"/>
          <w:szCs w:val="24"/>
          <w:highlight w:val="none"/>
        </w:rPr>
      </w:r>
      <w:r/>
    </w:p>
    <w:p>
      <w:pPr>
        <w:pStyle w:val="987"/>
        <w:rPr>
          <w:rFonts w:ascii="宋体" w:hAnsi="宋体"/>
          <w:color w:val="000000"/>
          <w:sz w:val="24"/>
          <w:szCs w:val="24"/>
          <w:highlight w:val="none"/>
        </w:rPr>
      </w:pPr>
      <w:r>
        <w:rPr>
          <w:rFonts w:ascii="宋体" w:hAnsi="宋体"/>
          <w:color w:val="000000"/>
          <w:sz w:val="24"/>
          <w:szCs w:val="24"/>
          <w:highlight w:val="none"/>
        </w:rPr>
      </w:r>
      <w:r/>
    </w:p>
    <w:p>
      <w:pPr>
        <w:pStyle w:val="987"/>
        <w:rPr>
          <w:rFonts w:ascii="宋体" w:hAnsi="宋体"/>
          <w:color w:val="000000"/>
          <w:sz w:val="24"/>
          <w:szCs w:val="24"/>
          <w:highlight w:val="none"/>
        </w:rPr>
      </w:pPr>
      <w:r>
        <w:rPr>
          <w:rFonts w:ascii="宋体" w:hAnsi="宋体"/>
          <w:color w:val="000000"/>
          <w:sz w:val="24"/>
          <w:szCs w:val="24"/>
          <w:highlight w:val="none"/>
        </w:rPr>
      </w:r>
      <w:r/>
    </w:p>
    <w:p>
      <w:pPr>
        <w:pStyle w:val="987"/>
        <w:rPr>
          <w:rFonts w:ascii="宋体" w:hAnsi="宋体"/>
          <w:color w:val="000000"/>
          <w:sz w:val="24"/>
          <w:szCs w:val="24"/>
          <w:highlight w:val="none"/>
        </w:rPr>
      </w:pPr>
      <w:r>
        <w:rPr>
          <w:rFonts w:ascii="宋体" w:hAnsi="宋体"/>
          <w:color w:val="000000"/>
          <w:sz w:val="24"/>
          <w:szCs w:val="24"/>
          <w:highlight w:val="none"/>
        </w:rPr>
      </w:r>
      <w:r/>
    </w:p>
    <w:p>
      <w:pPr>
        <w:pStyle w:val="987"/>
        <w:rPr>
          <w:rFonts w:ascii="宋体" w:hAnsi="宋体"/>
          <w:color w:val="000000"/>
          <w:sz w:val="24"/>
          <w:szCs w:val="24"/>
          <w:highlight w:val="none"/>
        </w:rPr>
      </w:pPr>
      <w:r>
        <w:rPr>
          <w:rFonts w:ascii="宋体" w:hAnsi="宋体"/>
          <w:color w:val="000000"/>
          <w:sz w:val="24"/>
          <w:szCs w:val="24"/>
          <w:highlight w:val="none"/>
        </w:rPr>
      </w:r>
      <w:r/>
    </w:p>
    <w:p>
      <w:pPr>
        <w:pStyle w:val="987"/>
        <w:rPr>
          <w:rFonts w:ascii="宋体" w:hAnsi="宋体"/>
          <w:color w:val="000000"/>
          <w:sz w:val="24"/>
          <w:szCs w:val="24"/>
          <w:highlight w:val="none"/>
        </w:rPr>
      </w:pPr>
      <w:r>
        <w:rPr>
          <w:rFonts w:ascii="宋体" w:hAnsi="宋体"/>
          <w:color w:val="000000"/>
          <w:sz w:val="24"/>
          <w:szCs w:val="24"/>
          <w:highlight w:val="none"/>
        </w:rPr>
      </w:r>
      <w:r/>
    </w:p>
    <w:p>
      <w:pPr>
        <w:pStyle w:val="987"/>
        <w:rPr>
          <w:rFonts w:ascii="宋体" w:hAnsi="宋体"/>
          <w:color w:val="000000"/>
          <w:sz w:val="24"/>
          <w:szCs w:val="24"/>
          <w:highlight w:val="none"/>
        </w:rPr>
      </w:pPr>
      <w:r>
        <w:rPr>
          <w:rFonts w:ascii="宋体" w:hAnsi="宋体"/>
          <w:color w:val="000000"/>
          <w:sz w:val="24"/>
          <w:szCs w:val="24"/>
          <w:highlight w:val="none"/>
        </w:rPr>
      </w:r>
      <w:r/>
    </w:p>
    <w:p>
      <w:pPr>
        <w:pStyle w:val="987"/>
        <w:rPr>
          <w:rFonts w:ascii="宋体" w:hAnsi="宋体"/>
          <w:color w:val="000000"/>
          <w:sz w:val="24"/>
          <w:szCs w:val="24"/>
          <w:highlight w:val="none"/>
        </w:rPr>
      </w:pPr>
      <w:r>
        <w:rPr>
          <w:rFonts w:ascii="宋体" w:hAnsi="宋体"/>
          <w:color w:val="000000"/>
          <w:sz w:val="24"/>
          <w:szCs w:val="24"/>
          <w:highlight w:val="none"/>
        </w:rPr>
      </w:r>
      <w:r/>
    </w:p>
    <w:p>
      <w:pPr>
        <w:pStyle w:val="987"/>
        <w:rPr>
          <w:rFonts w:ascii="宋体" w:hAnsi="宋体"/>
          <w:color w:val="000000"/>
          <w:sz w:val="24"/>
          <w:szCs w:val="24"/>
          <w:highlight w:val="none"/>
        </w:rPr>
      </w:pPr>
      <w:r>
        <w:rPr>
          <w:rFonts w:ascii="宋体" w:hAnsi="宋体"/>
          <w:color w:val="000000"/>
          <w:sz w:val="24"/>
          <w:szCs w:val="24"/>
          <w:highlight w:val="none"/>
        </w:rPr>
      </w:r>
      <w:r/>
    </w:p>
    <w:p>
      <w:pPr>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88"/>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58"/>
        <w:ind w:firstLine="480"/>
        <w:spacing w:line="420" w:lineRule="exact"/>
        <w:rPr>
          <w:rFonts w:hint="eastAsia"/>
          <w:color w:val="000000"/>
          <w:sz w:val="24"/>
          <w:szCs w:val="24"/>
          <w:highlight w:val="none"/>
        </w:rPr>
      </w:pPr>
      <w:r>
        <w:rPr>
          <w:rFonts w:hint="eastAsia"/>
          <w:color w:val="000000"/>
          <w:sz w:val="24"/>
          <w:szCs w:val="24"/>
          <w:highlight w:val="none"/>
        </w:rPr>
      </w:r>
      <w:r/>
    </w:p>
    <w:p>
      <w:pPr>
        <w:pStyle w:val="958"/>
        <w:ind w:firstLine="480"/>
        <w:spacing w:line="480" w:lineRule="exact"/>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p>
    <w:p>
      <w:pPr>
        <w:pStyle w:val="958"/>
        <w:ind w:firstLine="480"/>
        <w:spacing w:line="480" w:lineRule="exact"/>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p>
    <w:p>
      <w:pPr>
        <w:pStyle w:val="958"/>
        <w:ind w:firstLine="480"/>
        <w:spacing w:line="480" w:lineRule="exact"/>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p>
    <w:p>
      <w:pPr>
        <w:pStyle w:val="958"/>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p>
    <w:p>
      <w:pPr>
        <w:pStyle w:val="958"/>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p>
    <w:p>
      <w:pPr>
        <w:pStyle w:val="958"/>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p>
    <w:p>
      <w:pPr>
        <w:pStyle w:val="958"/>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color w:val="000000"/>
          <w:sz w:val="24"/>
          <w:szCs w:val="24"/>
          <w:highlight w:val="none"/>
        </w:rPr>
        <w:t xml:space="preserve">代理人联系方式（手机号码）</w:t>
      </w:r>
      <w:r>
        <w:rPr>
          <w:rFonts w:hint="eastAsia"/>
          <w:color w:val="000000"/>
          <w:sz w:val="24"/>
          <w:szCs w:val="24"/>
        </w:rPr>
        <w:t xml:space="preserve">：________________</w:t>
      </w:r>
      <w:r/>
    </w:p>
    <w:p>
      <w:pPr>
        <w:pStyle w:val="958"/>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p>
    <w:p>
      <w:pPr>
        <w:pStyle w:val="958"/>
        <w:ind w:firstLine="480"/>
        <w:spacing w:line="480" w:lineRule="exact"/>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p>
    <w:p>
      <w:pPr>
        <w:pStyle w:val="877"/>
        <w:ind w:firstLine="0"/>
        <w:rPr>
          <w:rFonts w:hint="eastAsia"/>
          <w:color w:val="000000"/>
          <w:highlight w:val="none"/>
        </w:rPr>
      </w:pPr>
      <w:r>
        <w:rPr>
          <w:rFonts w:hint="eastAsia"/>
          <w:color w:val="000000"/>
          <w:highlight w:val="none"/>
        </w:rPr>
      </w:r>
      <w:r/>
    </w:p>
    <w:p>
      <w:pPr>
        <w:pStyle w:val="958"/>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58"/>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p>
    <w:p>
      <w:pPr>
        <w:pStyle w:val="958"/>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p>
    <w:p>
      <w:pPr>
        <w:pStyle w:val="958"/>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p>
    <w:p>
      <w:pPr>
        <w:pStyle w:val="958"/>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p>
    <w:p>
      <w:pPr>
        <w:pStyle w:val="958"/>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p>
    <w:p>
      <w:pPr>
        <w:pStyle w:val="958"/>
        <w:ind w:firstLine="480"/>
        <w:spacing w:line="480" w:lineRule="exact"/>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60"/>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p>
    <w:p>
      <w:pPr>
        <w:pStyle w:val="960"/>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p>
    <w:p>
      <w:pPr>
        <w:pStyle w:val="96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p>
    <w:p>
      <w:pPr>
        <w:pStyle w:val="96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p>
    <w:p>
      <w:pPr>
        <w:pStyle w:val="96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p>
    <w:p>
      <w:pPr>
        <w:pStyle w:val="96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p>
    <w:p>
      <w:pPr>
        <w:pStyle w:val="96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p>
    <w:p>
      <w:pPr>
        <w:pStyle w:val="96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p>
    <w:p>
      <w:pPr>
        <w:pStyle w:val="702"/>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p>
    <w:p>
      <w:pPr>
        <w:pStyle w:val="960"/>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p>
    <w:p>
      <w:pPr>
        <w:pStyle w:val="960"/>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960"/>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p>
    <w:p>
      <w:pPr>
        <w:pStyle w:val="96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p>
    <w:p>
      <w:pPr>
        <w:pStyle w:val="96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p>
    <w:p>
      <w:pPr>
        <w:pStyle w:val="96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p>
    <w:p>
      <w:pPr>
        <w:pStyle w:val="960"/>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p>
    <w:p>
      <w:pPr>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960"/>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p>
    <w:p>
      <w:pPr>
        <w:ind w:firstLine="0"/>
        <w:rPr>
          <w:color w:val="000000"/>
          <w:sz w:val="24"/>
          <w:szCs w:val="24"/>
          <w:highlight w:val="none"/>
        </w:rPr>
      </w:pPr>
      <w:r>
        <w:rPr>
          <w:rFonts w:hint="eastAsia" w:ascii="宋体" w:hAnsi="宋体"/>
          <w:color w:val="000000"/>
          <w:sz w:val="24"/>
          <w:szCs w:val="24"/>
          <w:highlight w:val="none"/>
        </w:rPr>
        <w:t xml:space="preserve">项目名称：</w:t>
      </w:r>
      <w:r/>
    </w:p>
    <w:p>
      <w:pPr>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p>
    <w:tbl>
      <w:tblPr>
        <w:tblStyle w:val="701"/>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p>
        </w:tc>
      </w:tr>
      <w:tr>
        <w:trPr>
          <w:cantSplit/>
          <w:trHeight w:val="720"/>
        </w:trPr>
        <w:tc>
          <w:tcPr>
            <w:tcW w:w="9450" w:type="dxa"/>
            <w:vAlign w:val="center"/>
            <w:textDirection w:val="lrTb"/>
            <w:noWrap w:val="false"/>
          </w:tcPr>
          <w:p>
            <w:pPr>
              <w:pStyle w:val="960"/>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p>
        </w:tc>
      </w:tr>
    </w:tbl>
    <w:p>
      <w:pPr>
        <w:rPr>
          <w:rFonts w:ascii="宋体" w:hAnsi="宋体"/>
          <w:color w:val="000000"/>
          <w:sz w:val="24"/>
          <w:szCs w:val="24"/>
          <w:highlight w:val="none"/>
        </w:rPr>
      </w:pPr>
      <w:r>
        <w:rPr>
          <w:rFonts w:ascii="宋体" w:hAnsi="宋体"/>
          <w:color w:val="000000"/>
          <w:sz w:val="24"/>
          <w:szCs w:val="24"/>
          <w:highlight w:val="none"/>
        </w:rPr>
      </w:r>
      <w:r/>
    </w:p>
    <w:p>
      <w:pPr>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49"/>
        <w:rPr>
          <w:rFonts w:hint="eastAsia"/>
          <w:color w:val="000000"/>
          <w:highlight w:val="none"/>
        </w:rPr>
      </w:pPr>
      <w:r>
        <w:rPr>
          <w:rFonts w:hint="eastAsia"/>
          <w:color w:val="000000"/>
          <w:highlight w:val="none"/>
        </w:rPr>
      </w:r>
      <w:r/>
    </w:p>
    <w:p>
      <w:pPr>
        <w:pStyle w:val="949"/>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702"/>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02"/>
        <w:rPr>
          <w:rFonts w:hint="eastAsia"/>
          <w:color w:val="000000"/>
          <w:highlight w:val="none"/>
          <w:lang w:val="en-US" w:eastAsia="zh-CN"/>
        </w:rPr>
      </w:pPr>
      <w:r>
        <w:rPr>
          <w:rFonts w:hint="eastAsia"/>
          <w:color w:val="000000"/>
          <w:highlight w:val="none"/>
          <w:lang w:val="en-US" w:eastAsia="zh-CN"/>
        </w:rPr>
      </w:r>
      <w:r/>
    </w:p>
    <w:p>
      <w:pPr>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spacing w:line="360" w:lineRule="auto"/>
        <w:rPr>
          <w:rFonts w:hint="eastAsia"/>
          <w:color w:val="000000"/>
          <w:highlight w:val="none"/>
          <w:lang w:val="en-US"/>
        </w:rPr>
      </w:pPr>
      <w:r>
        <w:rPr>
          <w:rFonts w:hint="eastAsia" w:ascii="宋体" w:hAnsi="宋体" w:eastAsia="宋体" w:cs="Times New Roman"/>
          <w:color w:val="000000"/>
          <w:sz w:val="24"/>
          <w:szCs w:val="24"/>
          <w:highlight w:val="none"/>
          <w:lang w:val="en-US" w:eastAsia="zh-CN"/>
        </w:rPr>
        <w:t xml:space="preserve">项目编号：                                   采购包号：</w:t>
      </w:r>
      <w:r/>
    </w:p>
    <w:tbl>
      <w:tblPr>
        <w:tblStyle w:val="701"/>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序号</w:t>
            </w:r>
            <w:r/>
          </w:p>
        </w:tc>
        <w:tc>
          <w:tcPr>
            <w:tcW w:w="3753"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名称</w:t>
            </w:r>
            <w:r/>
          </w:p>
        </w:tc>
        <w:tc>
          <w:tcPr>
            <w:tcW w:w="2158"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品牌</w:t>
            </w:r>
            <w:r/>
          </w:p>
        </w:tc>
        <w:tc>
          <w:tcPr>
            <w:tcW w:w="2391"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r>
            <w:r/>
          </w:p>
        </w:tc>
        <w:tc>
          <w:tcPr>
            <w:tcW w:w="2391"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r>
            <w:r/>
          </w:p>
        </w:tc>
      </w:tr>
    </w:tbl>
    <w:p>
      <w:pPr>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eastAsia="zh-CN"/>
        </w:rPr>
        <w:t xml:space="preserve">投标人</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tbl>
      <w:tblPr>
        <w:tblStyle w:val="701"/>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p>
        </w:tc>
        <w:tc>
          <w:tcPr>
            <w:tcW w:w="826"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p>
    <w:p>
      <w:pPr>
        <w:pStyle w:val="935"/>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jc w:val="left"/>
        <w:spacing w:line="360" w:lineRule="auto"/>
        <w:rPr>
          <w:rFonts w:hint="eastAsia"/>
          <w:color w:val="000000"/>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color w:val="000000"/>
                <w:highlight w:val="none"/>
              </w:rPr>
            </w:pPr>
            <w:r>
              <w:rPr>
                <w:color w:val="000000"/>
                <w:highlight w:val="none"/>
              </w:rPr>
            </w:r>
            <w:r/>
          </w:p>
          <w:p>
            <w:pPr>
              <w:pStyle w:val="702"/>
              <w:rPr>
                <w:rFonts w:hint="eastAsia"/>
                <w:color w:val="000000"/>
                <w:highlight w:val="none"/>
              </w:rPr>
            </w:pPr>
            <w:r>
              <w:rPr>
                <w:rFonts w:hint="eastAsia"/>
                <w:color w:val="000000"/>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935"/>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93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p>
    <w:p>
      <w:pPr>
        <w:pStyle w:val="935"/>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color w:val="000000"/>
                <w:highlight w:val="none"/>
              </w:rPr>
            </w:pPr>
            <w:r>
              <w:rPr>
                <w:color w:val="000000"/>
                <w:highlight w:val="none"/>
              </w:rPr>
            </w:r>
            <w:r/>
          </w:p>
          <w:p>
            <w:pPr>
              <w:pStyle w:val="702"/>
              <w:rPr>
                <w:rFonts w:hint="eastAsia"/>
                <w:color w:val="000000"/>
                <w:highlight w:val="none"/>
              </w:rPr>
            </w:pPr>
            <w:r>
              <w:rPr>
                <w:rFonts w:hint="eastAsia"/>
                <w:color w:val="000000"/>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w:t>
      </w: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p>
    <w:p>
      <w:pPr>
        <w:pStyle w:val="949"/>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p>
    <w:p>
      <w:pPr>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p>
    <w:p>
      <w:pPr>
        <w:pStyle w:val="702"/>
      </w:pPr>
      <w:r/>
      <w:r/>
    </w:p>
    <w:p>
      <w:pPr>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p>
    <w:p>
      <w:pPr>
        <w:pStyle w:val="949"/>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p>
    <w:p>
      <w:pPr>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b/>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935"/>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5"/>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45"/>
          <w:rFonts w:hint="eastAsia"/>
          <w:i w:val="0"/>
          <w:color w:val="000000"/>
          <w:highlight w:val="none"/>
          <w:u w:val="single"/>
          <w:shd w:val="clear" w:color="auto" w:fill="ffffff"/>
        </w:rPr>
        <w:t xml:space="preserve">（产品名称1）</w:t>
      </w:r>
      <w:r>
        <w:rPr>
          <w:rStyle w:val="945"/>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45"/>
          <w:rFonts w:hint="eastAsia"/>
          <w:i w:val="0"/>
          <w:color w:val="000000"/>
          <w:highlight w:val="none"/>
          <w:u w:val="single"/>
          <w:shd w:val="clear" w:color="auto" w:fill="ffffff"/>
        </w:rPr>
        <w:t xml:space="preserve">（厂名）</w:t>
      </w:r>
      <w:r>
        <w:rPr>
          <w:rStyle w:val="945"/>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45"/>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5"/>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45"/>
          <w:rFonts w:hint="eastAsia"/>
          <w:i/>
          <w:strike w:val="0"/>
          <w:color w:val="000000"/>
          <w:highlight w:val="none"/>
          <w:u w:val="single"/>
          <w:shd w:val="clear" w:color="auto" w:fill="ffffff"/>
        </w:rPr>
        <w:t xml:space="preserve">（规定比例）</w:t>
      </w:r>
      <w:r>
        <w:rPr>
          <w:rStyle w:val="945"/>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45"/>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5"/>
          <w:rFonts w:hint="eastAsia"/>
          <w:i/>
          <w:strike w:val="0"/>
          <w:color w:val="000000"/>
          <w:highlight w:val="none"/>
          <w:u w:val="single"/>
          <w:shd w:val="clear" w:color="auto" w:fill="ffffff"/>
        </w:rPr>
        <w:t xml:space="preserve">（关键组件）</w:t>
      </w:r>
      <w:r>
        <w:rPr>
          <w:rStyle w:val="945"/>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45"/>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5"/>
          <w:rFonts w:hint="eastAsia"/>
          <w:i/>
          <w:strike w:val="0"/>
          <w:color w:val="000000"/>
          <w:highlight w:val="none"/>
          <w:u w:val="single"/>
          <w:shd w:val="clear" w:color="auto" w:fill="ffffff"/>
        </w:rPr>
        <w:t xml:space="preserve">（关键工序）</w:t>
      </w:r>
      <w:r>
        <w:rPr>
          <w:rStyle w:val="945"/>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p>
    <w:p>
      <w:pPr>
        <w:pStyle w:val="935"/>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45"/>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45"/>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45"/>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5"/>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45"/>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45"/>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5"/>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45"/>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5"/>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p>
    <w:p>
      <w:pPr>
        <w:pStyle w:val="935"/>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p>
    <w:p>
      <w:pPr>
        <w:pStyle w:val="935"/>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p>
    <w:p>
      <w:pPr>
        <w:pStyle w:val="935"/>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p>
    <w:p>
      <w:pPr>
        <w:pStyle w:val="935"/>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p>
    <w:p>
      <w:pPr>
        <w:pStyle w:val="935"/>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p>
    <w:p>
      <w:pPr>
        <w:pStyle w:val="935"/>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p>
    <w:p>
      <w:pPr>
        <w:pStyle w:val="935"/>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p>
    <w:p>
      <w:pPr>
        <w:pStyle w:val="935"/>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p>
    <w:p>
      <w:pPr>
        <w:pStyle w:val="935"/>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p>
    <w:p>
      <w:pPr>
        <w:pStyle w:val="935"/>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highlight w:val="none"/>
          <w:shd w:val="clear" w:color="auto" w:fill="ffffff"/>
        </w:rPr>
        <w:t xml:space="preserve">5.该产品的关键工序要求实施前，“关键工序”栏可不填。</w:t>
      </w:r>
      <w:r/>
    </w:p>
    <w:p>
      <w:pPr>
        <w:jc w:val="center"/>
        <w:keepLines w:val="0"/>
        <w:keepNext w:val="0"/>
        <w:pageBreakBefore w:val="0"/>
        <w:spacing w:line="360" w:lineRule="auto"/>
        <w:widowControl/>
        <w:rPr>
          <w:color w:val="000000"/>
          <w:highlight w:val="none"/>
          <w:lang w:val="en-US"/>
        </w:rPr>
        <w:outlineLvl w:val="9"/>
      </w:pPr>
      <w:r>
        <w:rPr>
          <w:rFonts w:hint="eastAsia"/>
          <w:b w:val="0"/>
          <w:bCs w:val="0"/>
          <w:color w:val="000000"/>
          <w:sz w:val="21"/>
          <w:szCs w:val="21"/>
          <w:highlight w:val="none"/>
          <w:shd w:val="clear" w:color="auto" w:fill="ffffff"/>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p>
    <w:p>
      <w:pPr>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p>
    <w:p>
      <w:pPr>
        <w:rPr>
          <w:color w:val="000000"/>
          <w:highlight w:val="none"/>
        </w:rPr>
      </w:pPr>
      <w:r>
        <w:rPr>
          <w:color w:val="000000"/>
          <w:highlight w:val="none"/>
        </w:rPr>
      </w:r>
      <w:bookmarkEnd w:id="55"/>
      <w:r/>
      <w:bookmarkEnd w:id="56"/>
      <w:r/>
      <w:bookmarkEnd w:id="58"/>
      <w:r/>
      <w:bookmarkEnd w:id="59"/>
      <w:r/>
      <w:bookmarkEnd w:id="60"/>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４２</w:t>
    </w:r>
    <w:r>
      <w:rPr>
        <w:rFonts w:ascii="宋体" w:hAnsi="宋体"/>
      </w:rPr>
      <w:fldChar w:fldCharType="end"/>
    </w:r>
    <w:r/>
  </w:p>
  <w:p>
    <w:pPr>
      <w:pStyle w:val="92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0"/>
      <w:isLgl w:val="false"/>
      <w:suff w:val="nothing"/>
      <w:lvlText w:val=""/>
      <w:lvlJc w:val="left"/>
      <w:pPr>
        <w:ind w:left="0" w:firstLine="0"/>
      </w:pPr>
      <w:rPr>
        <w:rFonts w:hint="eastAsia"/>
      </w:rPr>
    </w:lvl>
    <w:lvl w:ilvl="6">
      <w:start w:val="1"/>
      <w:numFmt w:val="decimal"/>
      <w:pStyle w:val="881"/>
      <w:isLgl w:val="false"/>
      <w:suff w:val="nothing"/>
      <w:lvlText w:val=""/>
      <w:lvlJc w:val="left"/>
      <w:pPr>
        <w:ind w:left="0" w:firstLine="0"/>
      </w:pPr>
      <w:rPr>
        <w:rFonts w:hint="eastAsia"/>
      </w:rPr>
    </w:lvl>
    <w:lvl w:ilvl="7">
      <w:start w:val="1"/>
      <w:numFmt w:val="decimal"/>
      <w:pStyle w:val="882"/>
      <w:isLgl w:val="false"/>
      <w:suff w:val="nothing"/>
      <w:lvlText w:val=""/>
      <w:lvlJc w:val="left"/>
      <w:pPr>
        <w:ind w:left="0" w:firstLine="0"/>
      </w:pPr>
      <w:rPr>
        <w:rFonts w:hint="eastAsia"/>
      </w:rPr>
    </w:lvl>
    <w:lvl w:ilvl="8">
      <w:start w:val="1"/>
      <w:numFmt w:val="decimal"/>
      <w:pStyle w:val="883"/>
      <w:isLgl w:val="false"/>
      <w:suff w:val="nothing"/>
      <w:lvlText w:val=""/>
      <w:lvlJc w:val="left"/>
      <w:pPr>
        <w:ind w:left="0" w:firstLine="0"/>
      </w:pPr>
      <w:rPr>
        <w:rFonts w:hint="eastAsia"/>
      </w:rPr>
    </w:lvl>
  </w:abstractNum>
  <w:abstractNum w:abstractNumId="4">
    <w:multiLevelType w:val="hybridMultilevel"/>
    <w:lvl w:ilvl="0">
      <w:start w:val="1"/>
      <w:numFmt w:val="decimal"/>
      <w:pStyle w:val="9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10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26"/>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7"/>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9"/>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1"/>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3"/>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4"/>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首行缩进 212"/>
    <w:basedOn w:val="703"/>
    <w:next w:val="690"/>
    <w:link w:val="887"/>
    <w:uiPriority w:val="0"/>
    <w:qFormat/>
    <w:pPr>
      <w:ind w:left="0" w:firstLine="420"/>
      <w:spacing w:after="0" w:line="360" w:lineRule="auto"/>
    </w:pPr>
    <w:rPr>
      <w:rFonts w:ascii="宋体" w:hAnsi="宋体" w:eastAsia="宋体" w:cs="Times New Roman"/>
      <w:szCs w:val="20"/>
    </w:rPr>
  </w:style>
  <w:style w:type="paragraph" w:styleId="703" w:customStyle="1">
    <w:name w:val="正文文本缩进112"/>
    <w:basedOn w:val="690"/>
    <w:next w:val="704"/>
    <w:link w:val="886"/>
    <w:uiPriority w:val="0"/>
    <w:unhideWhenUsed/>
    <w:qFormat/>
    <w:pPr>
      <w:ind w:left="420"/>
      <w:spacing w:after="120"/>
    </w:pPr>
  </w:style>
  <w:style w:type="paragraph" w:styleId="704" w:customStyle="1">
    <w:name w:val="寄信人地址12"/>
    <w:basedOn w:val="690"/>
    <w:uiPriority w:val="0"/>
    <w:qFormat/>
    <w:rPr>
      <w:rFonts w:ascii="Arial" w:hAnsi="Arial" w:eastAsia="宋体" w:cs="宋体"/>
    </w:rPr>
  </w:style>
  <w:style w:type="paragraph" w:styleId="705">
    <w:name w:val="toc 7"/>
    <w:basedOn w:val="690"/>
    <w:next w:val="690"/>
    <w:uiPriority w:val="39"/>
    <w:unhideWhenUsed/>
    <w:qFormat/>
    <w:pPr>
      <w:ind w:left="1701" w:right="0" w:firstLine="0"/>
      <w:spacing w:after="57"/>
    </w:p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toc 5"/>
    <w:basedOn w:val="690"/>
    <w:next w:val="690"/>
    <w:uiPriority w:val="39"/>
    <w:unhideWhenUsed/>
    <w:qFormat/>
    <w:pPr>
      <w:ind w:left="1134" w:right="0" w:firstLine="0"/>
      <w:spacing w:after="57"/>
    </w:pPr>
  </w:style>
  <w:style w:type="paragraph" w:styleId="708">
    <w:name w:val="toc 3"/>
    <w:basedOn w:val="690"/>
    <w:next w:val="690"/>
    <w:uiPriority w:val="39"/>
    <w:unhideWhenUsed/>
    <w:pPr>
      <w:ind w:left="567" w:right="0" w:firstLine="0"/>
      <w:spacing w:after="57"/>
    </w:pPr>
  </w:style>
  <w:style w:type="paragraph" w:styleId="709">
    <w:name w:val="toc 8"/>
    <w:basedOn w:val="690"/>
    <w:next w:val="690"/>
    <w:uiPriority w:val="39"/>
    <w:unhideWhenUsed/>
    <w:qFormat/>
    <w:pPr>
      <w:ind w:left="1984" w:right="0" w:firstLine="0"/>
      <w:spacing w:after="57"/>
    </w:pPr>
  </w:style>
  <w:style w:type="paragraph" w:styleId="710">
    <w:name w:val="endnote text"/>
    <w:basedOn w:val="690"/>
    <w:link w:val="872"/>
    <w:uiPriority w:val="99"/>
    <w:semiHidden/>
    <w:unhideWhenUsed/>
    <w:qFormat/>
    <w:pPr>
      <w:spacing w:after="0" w:line="240" w:lineRule="auto"/>
    </w:pPr>
    <w:rPr>
      <w:sz w:val="20"/>
    </w:rPr>
  </w:style>
  <w:style w:type="paragraph" w:styleId="711">
    <w:name w:val="Footer"/>
    <w:basedOn w:val="690"/>
    <w:link w:val="745"/>
    <w:uiPriority w:val="99"/>
    <w:unhideWhenUsed/>
    <w:pPr>
      <w:spacing w:after="0" w:line="240" w:lineRule="auto"/>
      <w:tabs>
        <w:tab w:val="center" w:pos="7143" w:leader="none"/>
        <w:tab w:val="right" w:pos="14287" w:leader="none"/>
      </w:tabs>
    </w:pPr>
  </w:style>
  <w:style w:type="paragraph" w:styleId="712">
    <w:name w:val="Header"/>
    <w:basedOn w:val="690"/>
    <w:link w:val="743"/>
    <w:uiPriority w:val="99"/>
    <w:unhideWhenUsed/>
    <w:qFormat/>
    <w:pPr>
      <w:spacing w:after="0" w:line="240" w:lineRule="auto"/>
      <w:tabs>
        <w:tab w:val="center" w:pos="7143" w:leader="none"/>
        <w:tab w:val="right" w:pos="14287" w:leader="none"/>
      </w:tabs>
    </w:pPr>
  </w:style>
  <w:style w:type="paragraph" w:styleId="713">
    <w:name w:val="toc 1"/>
    <w:basedOn w:val="690"/>
    <w:next w:val="690"/>
    <w:uiPriority w:val="39"/>
    <w:unhideWhenUsed/>
    <w:pPr>
      <w:ind w:left="0" w:right="0" w:firstLine="0"/>
      <w:spacing w:after="57"/>
    </w:pPr>
  </w:style>
  <w:style w:type="paragraph" w:styleId="714">
    <w:name w:val="toc 4"/>
    <w:basedOn w:val="690"/>
    <w:next w:val="690"/>
    <w:uiPriority w:val="39"/>
    <w:unhideWhenUsed/>
    <w:pPr>
      <w:ind w:left="850" w:right="0" w:firstLine="0"/>
      <w:spacing w:after="57"/>
    </w:pPr>
  </w:style>
  <w:style w:type="paragraph" w:styleId="715">
    <w:name w:val="Subtitle"/>
    <w:basedOn w:val="690"/>
    <w:next w:val="690"/>
    <w:link w:val="738"/>
    <w:uiPriority w:val="11"/>
    <w:qFormat/>
    <w:pPr>
      <w:spacing w:before="200" w:after="200"/>
    </w:pPr>
    <w:rPr>
      <w:sz w:val="24"/>
      <w:szCs w:val="24"/>
    </w:rPr>
  </w:style>
  <w:style w:type="paragraph" w:styleId="716">
    <w:name w:val="footnote text"/>
    <w:basedOn w:val="690"/>
    <w:link w:val="871"/>
    <w:uiPriority w:val="99"/>
    <w:semiHidden/>
    <w:unhideWhenUsed/>
    <w:qFormat/>
    <w:pPr>
      <w:spacing w:after="40" w:line="240" w:lineRule="auto"/>
    </w:pPr>
    <w:rPr>
      <w:sz w:val="18"/>
    </w:rPr>
  </w:style>
  <w:style w:type="paragraph" w:styleId="717">
    <w:name w:val="toc 6"/>
    <w:basedOn w:val="690"/>
    <w:next w:val="690"/>
    <w:uiPriority w:val="39"/>
    <w:unhideWhenUsed/>
    <w:qFormat/>
    <w:pPr>
      <w:ind w:left="1417" w:right="0" w:firstLine="0"/>
      <w:spacing w:after="57"/>
    </w:pPr>
  </w:style>
  <w:style w:type="paragraph" w:styleId="718">
    <w:name w:val="table of figures"/>
    <w:basedOn w:val="690"/>
    <w:next w:val="690"/>
    <w:uiPriority w:val="99"/>
    <w:unhideWhenUsed/>
    <w:pPr>
      <w:spacing w:after="0" w:afterAutospacing="0"/>
    </w:pPr>
  </w:style>
  <w:style w:type="paragraph" w:styleId="719">
    <w:name w:val="toc 2"/>
    <w:basedOn w:val="690"/>
    <w:next w:val="690"/>
    <w:uiPriority w:val="39"/>
    <w:unhideWhenUsed/>
    <w:pPr>
      <w:ind w:left="283" w:right="0" w:firstLine="0"/>
      <w:spacing w:after="57"/>
    </w:pPr>
  </w:style>
  <w:style w:type="paragraph" w:styleId="720">
    <w:name w:val="toc 9"/>
    <w:basedOn w:val="690"/>
    <w:next w:val="690"/>
    <w:uiPriority w:val="39"/>
    <w:unhideWhenUsed/>
    <w:qFormat/>
    <w:pPr>
      <w:ind w:left="2268" w:right="0" w:firstLine="0"/>
      <w:spacing w:after="57"/>
    </w:pPr>
  </w:style>
  <w:style w:type="paragraph" w:styleId="721">
    <w:name w:val="Title"/>
    <w:basedOn w:val="690"/>
    <w:next w:val="690"/>
    <w:link w:val="737"/>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link w:val="691"/>
    <w:uiPriority w:val="9"/>
    <w:qFormat/>
    <w:rPr>
      <w:rFonts w:ascii="Arial" w:hAnsi="Arial" w:eastAsia="Arial" w:cs="Arial"/>
      <w:sz w:val="40"/>
      <w:szCs w:val="40"/>
    </w:rPr>
  </w:style>
  <w:style w:type="character" w:styleId="727" w:customStyle="1">
    <w:name w:val="Heading 2 Char"/>
    <w:link w:val="692"/>
    <w:uiPriority w:val="9"/>
    <w:qFormat/>
    <w:rPr>
      <w:rFonts w:ascii="Arial" w:hAnsi="Arial" w:eastAsia="Arial" w:cs="Arial"/>
      <w:sz w:val="34"/>
    </w:rPr>
  </w:style>
  <w:style w:type="character" w:styleId="728" w:customStyle="1">
    <w:name w:val="Heading 3 Char"/>
    <w:link w:val="693"/>
    <w:uiPriority w:val="9"/>
    <w:rPr>
      <w:rFonts w:ascii="Arial" w:hAnsi="Arial" w:eastAsia="Arial" w:cs="Arial"/>
      <w:sz w:val="30"/>
      <w:szCs w:val="30"/>
    </w:rPr>
  </w:style>
  <w:style w:type="character" w:styleId="729" w:customStyle="1">
    <w:name w:val="Heading 4 Char"/>
    <w:link w:val="694"/>
    <w:uiPriority w:val="9"/>
    <w:qFormat/>
    <w:rPr>
      <w:rFonts w:ascii="Arial" w:hAnsi="Arial" w:eastAsia="Arial" w:cs="Arial"/>
      <w:b/>
      <w:bCs/>
      <w:sz w:val="26"/>
      <w:szCs w:val="26"/>
    </w:rPr>
  </w:style>
  <w:style w:type="character" w:styleId="730" w:customStyle="1">
    <w:name w:val="Heading 5 Char"/>
    <w:link w:val="695"/>
    <w:uiPriority w:val="9"/>
    <w:rPr>
      <w:rFonts w:ascii="Arial" w:hAnsi="Arial" w:eastAsia="Arial" w:cs="Arial"/>
      <w:b/>
      <w:bCs/>
      <w:sz w:val="24"/>
      <w:szCs w:val="24"/>
    </w:rPr>
  </w:style>
  <w:style w:type="character" w:styleId="731" w:customStyle="1">
    <w:name w:val="Heading 6 Char"/>
    <w:link w:val="696"/>
    <w:uiPriority w:val="9"/>
    <w:rPr>
      <w:rFonts w:ascii="Arial" w:hAnsi="Arial" w:eastAsia="Arial" w:cs="Arial"/>
      <w:b/>
      <w:bCs/>
      <w:sz w:val="22"/>
      <w:szCs w:val="22"/>
    </w:rPr>
  </w:style>
  <w:style w:type="character" w:styleId="732" w:customStyle="1">
    <w:name w:val="Heading 7 Char"/>
    <w:link w:val="697"/>
    <w:uiPriority w:val="9"/>
    <w:qFormat/>
    <w:rPr>
      <w:rFonts w:ascii="Arial" w:hAnsi="Arial" w:eastAsia="Arial" w:cs="Arial"/>
      <w:b/>
      <w:bCs/>
      <w:i/>
      <w:iCs/>
      <w:sz w:val="22"/>
      <w:szCs w:val="22"/>
    </w:rPr>
  </w:style>
  <w:style w:type="character" w:styleId="733" w:customStyle="1">
    <w:name w:val="Heading 8 Char"/>
    <w:link w:val="698"/>
    <w:uiPriority w:val="9"/>
    <w:qFormat/>
    <w:rPr>
      <w:rFonts w:ascii="Arial" w:hAnsi="Arial" w:eastAsia="Arial" w:cs="Arial"/>
      <w:i/>
      <w:iCs/>
      <w:sz w:val="22"/>
      <w:szCs w:val="22"/>
    </w:rPr>
  </w:style>
  <w:style w:type="character" w:styleId="734" w:customStyle="1">
    <w:name w:val="Heading 9 Char"/>
    <w:link w:val="699"/>
    <w:uiPriority w:val="9"/>
    <w:qFormat/>
    <w:rPr>
      <w:rFonts w:ascii="Arial" w:hAnsi="Arial" w:eastAsia="Arial" w:cs="Arial"/>
      <w:i/>
      <w:iCs/>
      <w:sz w:val="21"/>
      <w:szCs w:val="21"/>
    </w:rPr>
  </w:style>
  <w:style w:type="paragraph" w:styleId="735">
    <w:name w:val="List Paragraph"/>
    <w:basedOn w:val="690"/>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5"/>
    <w:uiPriority w:val="11"/>
    <w:qFormat/>
    <w:rPr>
      <w:sz w:val="24"/>
      <w:szCs w:val="24"/>
    </w:rPr>
  </w:style>
  <w:style w:type="paragraph" w:styleId="739">
    <w:name w:val="Quote"/>
    <w:basedOn w:val="690"/>
    <w:next w:val="690"/>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90"/>
    <w:next w:val="690"/>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2"/>
    <w:uiPriority w:val="99"/>
    <w:qFormat/>
  </w:style>
  <w:style w:type="character" w:styleId="744" w:customStyle="1">
    <w:name w:val="Footer Char"/>
    <w:link w:val="711"/>
    <w:uiPriority w:val="99"/>
    <w:qFormat/>
  </w:style>
  <w:style w:type="character" w:styleId="745" w:customStyle="1">
    <w:name w:val="Caption Char"/>
    <w:link w:val="711"/>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6"/>
    <w:uiPriority w:val="99"/>
    <w:rPr>
      <w:sz w:val="18"/>
    </w:rPr>
  </w:style>
  <w:style w:type="character" w:styleId="872" w:customStyle="1">
    <w:name w:val="Endnote Text Char"/>
    <w:link w:val="710"/>
    <w:uiPriority w:val="99"/>
    <w:qFormat/>
    <w:rPr>
      <w:sz w:val="20"/>
    </w:rPr>
  </w:style>
  <w:style w:type="paragraph" w:styleId="873" w:customStyle="1">
    <w:name w:val="TOC Heading"/>
    <w:uiPriority w:val="39"/>
    <w:unhideWhenUsed/>
    <w:rPr>
      <w:rFonts w:hint="default" w:ascii="Times New Roman" w:hAnsi="Times New Roman" w:eastAsia="宋体" w:cs="Times New Roman"/>
    </w:rPr>
  </w:style>
  <w:style w:type="paragraph" w:styleId="874" w:customStyle="1">
    <w:name w:val="标题 11"/>
    <w:basedOn w:val="690"/>
    <w:next w:val="690"/>
    <w:link w:val="888"/>
    <w:uiPriority w:val="0"/>
    <w:qFormat/>
    <w:pPr>
      <w:jc w:val="center"/>
      <w:keepNext/>
      <w:outlineLvl w:val="0"/>
    </w:pPr>
    <w:rPr>
      <w:rFonts w:ascii="楷体_GB2312" w:hAnsi="Times New Roman" w:eastAsia="楷体_GB2312" w:cs="Times New Roman"/>
      <w:sz w:val="28"/>
      <w:szCs w:val="28"/>
    </w:rPr>
  </w:style>
  <w:style w:type="paragraph" w:styleId="875" w:customStyle="1">
    <w:name w:val="标题 21"/>
    <w:basedOn w:val="690"/>
    <w:next w:val="690"/>
    <w:link w:val="8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6" w:customStyle="1">
    <w:name w:val="标题 311"/>
    <w:basedOn w:val="690"/>
    <w:next w:val="877"/>
    <w:link w:val="89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customStyle="1">
    <w:name w:val="正文缩进11"/>
    <w:basedOn w:val="690"/>
    <w:link w:val="891"/>
    <w:uiPriority w:val="0"/>
    <w:qFormat/>
    <w:pPr>
      <w:ind w:firstLine="420"/>
    </w:pPr>
    <w:rPr>
      <w:szCs w:val="21"/>
    </w:rPr>
  </w:style>
  <w:style w:type="paragraph" w:styleId="878" w:customStyle="1">
    <w:name w:val="标题 41"/>
    <w:basedOn w:val="690"/>
    <w:next w:val="877"/>
    <w:link w:val="892"/>
    <w:uiPriority w:val="0"/>
    <w:qFormat/>
    <w:pPr>
      <w:keepLines/>
      <w:keepNext/>
      <w:spacing w:before="280" w:after="290" w:line="376" w:lineRule="auto"/>
      <w:outlineLvl w:val="3"/>
    </w:pPr>
    <w:rPr>
      <w:rFonts w:ascii="Arial" w:hAnsi="Arial" w:eastAsia="黑体" w:cs="Arial"/>
      <w:b/>
      <w:bCs/>
      <w:sz w:val="28"/>
      <w:szCs w:val="28"/>
    </w:rPr>
  </w:style>
  <w:style w:type="paragraph" w:styleId="879" w:customStyle="1">
    <w:name w:val="标题 51"/>
    <w:basedOn w:val="690"/>
    <w:next w:val="877"/>
    <w:link w:val="893"/>
    <w:uiPriority w:val="0"/>
    <w:qFormat/>
    <w:pPr>
      <w:keepNext/>
      <w:outlineLvl w:val="4"/>
    </w:pPr>
    <w:rPr>
      <w:rFonts w:ascii="宋体" w:hAnsi="Times New Roman" w:eastAsia="宋体" w:cs="Times New Roman"/>
      <w:color w:val="000000"/>
      <w:sz w:val="28"/>
      <w:szCs w:val="28"/>
    </w:rPr>
  </w:style>
  <w:style w:type="paragraph" w:styleId="880" w:customStyle="1">
    <w:name w:val="标题 61"/>
    <w:basedOn w:val="690"/>
    <w:next w:val="690"/>
    <w:link w:val="89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1" w:customStyle="1">
    <w:name w:val="标题 71"/>
    <w:basedOn w:val="690"/>
    <w:next w:val="690"/>
    <w:link w:val="89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2" w:customStyle="1">
    <w:name w:val="标题 81"/>
    <w:basedOn w:val="690"/>
    <w:next w:val="690"/>
    <w:link w:val="89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3" w:customStyle="1">
    <w:name w:val="标题 91"/>
    <w:basedOn w:val="690"/>
    <w:next w:val="690"/>
    <w:link w:val="89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4" w:customStyle="1">
    <w:name w:val="默认段落字体1"/>
    <w:link w:val="690"/>
    <w:uiPriority w:val="1"/>
    <w:unhideWhenUsed/>
    <w:qFormat/>
  </w:style>
  <w:style w:type="table" w:styleId="885"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6" w:customStyle="1">
    <w:name w:val="正文文本缩进 Char"/>
    <w:basedOn w:val="884"/>
    <w:link w:val="703"/>
    <w:uiPriority w:val="99"/>
    <w:semiHidden/>
    <w:qFormat/>
  </w:style>
  <w:style w:type="character" w:styleId="887" w:customStyle="1">
    <w:name w:val="正文首行缩进 2 Char"/>
    <w:link w:val="702"/>
    <w:uiPriority w:val="0"/>
    <w:qFormat/>
    <w:rPr>
      <w:rFonts w:ascii="宋体" w:hAnsi="宋体" w:eastAsia="宋体" w:cs="Times New Roman"/>
      <w:szCs w:val="20"/>
    </w:rPr>
  </w:style>
  <w:style w:type="character" w:styleId="888" w:customStyle="1">
    <w:name w:val="标题 1 Char"/>
    <w:link w:val="874"/>
    <w:uiPriority w:val="0"/>
    <w:qFormat/>
    <w:rPr>
      <w:rFonts w:ascii="楷体_GB2312" w:hAnsi="Times New Roman" w:eastAsia="楷体_GB2312" w:cs="Times New Roman"/>
      <w:sz w:val="28"/>
      <w:szCs w:val="28"/>
    </w:rPr>
  </w:style>
  <w:style w:type="character" w:styleId="889" w:customStyle="1">
    <w:name w:val="标题 2 Char"/>
    <w:link w:val="875"/>
    <w:uiPriority w:val="0"/>
    <w:qFormat/>
    <w:rPr>
      <w:rFonts w:ascii="Arial" w:hAnsi="Arial" w:eastAsia="幼圆" w:cs="Arial"/>
      <w:b/>
      <w:bCs/>
      <w:sz w:val="44"/>
      <w:szCs w:val="44"/>
    </w:rPr>
  </w:style>
  <w:style w:type="character" w:styleId="890" w:customStyle="1">
    <w:name w:val="标题 3 Char"/>
    <w:link w:val="876"/>
    <w:uiPriority w:val="0"/>
    <w:qFormat/>
    <w:rPr>
      <w:rFonts w:ascii="Times New Roman" w:hAnsi="Times New Roman" w:eastAsia="宋体" w:cs="Times New Roman"/>
      <w:b/>
      <w:bCs/>
      <w:sz w:val="32"/>
      <w:szCs w:val="32"/>
    </w:rPr>
  </w:style>
  <w:style w:type="character" w:styleId="891" w:customStyle="1">
    <w:name w:val="正文缩进 Char"/>
    <w:link w:val="877"/>
    <w:uiPriority w:val="0"/>
    <w:qFormat/>
    <w:rPr>
      <w:szCs w:val="21"/>
    </w:rPr>
  </w:style>
  <w:style w:type="character" w:styleId="892" w:customStyle="1">
    <w:name w:val="标题 4 Char"/>
    <w:link w:val="878"/>
    <w:uiPriority w:val="0"/>
    <w:qFormat/>
    <w:rPr>
      <w:rFonts w:ascii="Arial" w:hAnsi="Arial" w:eastAsia="黑体" w:cs="Arial"/>
      <w:b/>
      <w:bCs/>
      <w:sz w:val="28"/>
      <w:szCs w:val="28"/>
    </w:rPr>
  </w:style>
  <w:style w:type="character" w:styleId="893" w:customStyle="1">
    <w:name w:val="标题 5 Char"/>
    <w:link w:val="879"/>
    <w:uiPriority w:val="0"/>
    <w:qFormat/>
    <w:rPr>
      <w:rFonts w:ascii="宋体" w:hAnsi="Times New Roman" w:eastAsia="宋体" w:cs="Times New Roman"/>
      <w:color w:val="000000"/>
      <w:sz w:val="28"/>
      <w:szCs w:val="28"/>
    </w:rPr>
  </w:style>
  <w:style w:type="character" w:styleId="894" w:customStyle="1">
    <w:name w:val="标题 6 Char"/>
    <w:link w:val="880"/>
    <w:uiPriority w:val="0"/>
    <w:qFormat/>
    <w:rPr>
      <w:rFonts w:ascii="Arial" w:hAnsi="Arial" w:eastAsia="黑体" w:cs="Times New Roman"/>
      <w:b/>
      <w:bCs/>
      <w:sz w:val="24"/>
      <w:szCs w:val="24"/>
    </w:rPr>
  </w:style>
  <w:style w:type="character" w:styleId="895" w:customStyle="1">
    <w:name w:val="标题 7 Char"/>
    <w:link w:val="881"/>
    <w:uiPriority w:val="0"/>
    <w:qFormat/>
    <w:rPr>
      <w:rFonts w:ascii="Times New Roman" w:hAnsi="Times New Roman" w:eastAsia="宋体" w:cs="Times New Roman"/>
      <w:b/>
      <w:bCs/>
      <w:sz w:val="24"/>
      <w:szCs w:val="24"/>
    </w:rPr>
  </w:style>
  <w:style w:type="character" w:styleId="896" w:customStyle="1">
    <w:name w:val="标题 8 Char"/>
    <w:link w:val="882"/>
    <w:uiPriority w:val="0"/>
    <w:qFormat/>
    <w:rPr>
      <w:rFonts w:ascii="Arial" w:hAnsi="Arial" w:eastAsia="黑体" w:cs="Times New Roman"/>
      <w:sz w:val="24"/>
      <w:szCs w:val="24"/>
    </w:rPr>
  </w:style>
  <w:style w:type="character" w:styleId="897" w:customStyle="1">
    <w:name w:val="标题 9 Char"/>
    <w:link w:val="883"/>
    <w:uiPriority w:val="0"/>
    <w:qFormat/>
    <w:rPr>
      <w:rFonts w:ascii="Arial" w:hAnsi="Arial" w:eastAsia="黑体" w:cs="Times New Roman"/>
      <w:szCs w:val="21"/>
    </w:rPr>
  </w:style>
  <w:style w:type="paragraph" w:styleId="898" w:customStyle="1">
    <w:name w:val="列表 31"/>
    <w:basedOn w:val="690"/>
    <w:uiPriority w:val="0"/>
    <w:qFormat/>
    <w:pPr>
      <w:ind w:left="100" w:hanging="200"/>
    </w:pPr>
    <w:rPr>
      <w:rFonts w:ascii="Times New Roman" w:hAnsi="Times New Roman" w:eastAsia="宋体" w:cs="Times New Roman"/>
      <w:szCs w:val="21"/>
    </w:rPr>
  </w:style>
  <w:style w:type="paragraph" w:styleId="899"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900" w:customStyle="1">
    <w:name w:val="文档结构图1"/>
    <w:basedOn w:val="690"/>
    <w:link w:val="901"/>
    <w:uiPriority w:val="0"/>
    <w:semiHidden/>
    <w:qFormat/>
    <w:pPr>
      <w:shd w:val="clear" w:color="auto" w:fill="000080"/>
    </w:pPr>
    <w:rPr>
      <w:rFonts w:ascii="Times New Roman" w:hAnsi="Times New Roman" w:eastAsia="宋体" w:cs="Times New Roman"/>
      <w:szCs w:val="21"/>
    </w:rPr>
  </w:style>
  <w:style w:type="character" w:styleId="901" w:customStyle="1">
    <w:name w:val="文档结构图 Char"/>
    <w:link w:val="900"/>
    <w:uiPriority w:val="0"/>
    <w:semiHidden/>
    <w:qFormat/>
    <w:rPr>
      <w:rFonts w:ascii="Times New Roman" w:hAnsi="Times New Roman" w:eastAsia="宋体" w:cs="Times New Roman"/>
      <w:szCs w:val="21"/>
      <w:shd w:val="clear" w:color="auto" w:fill="000080"/>
    </w:rPr>
  </w:style>
  <w:style w:type="paragraph" w:styleId="902" w:customStyle="1">
    <w:name w:val="批注文字1"/>
    <w:basedOn w:val="690"/>
    <w:link w:val="948"/>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3" w:customStyle="1">
    <w:name w:val="批注文字 Char"/>
    <w:basedOn w:val="884"/>
    <w:link w:val="902"/>
    <w:uiPriority w:val="99"/>
    <w:semiHidden/>
    <w:qFormat/>
  </w:style>
  <w:style w:type="paragraph" w:styleId="904" w:customStyle="1">
    <w:name w:val="正文文本 31"/>
    <w:basedOn w:val="690"/>
    <w:link w:val="905"/>
    <w:uiPriority w:val="0"/>
    <w:qFormat/>
    <w:rPr>
      <w:rFonts w:ascii="仿宋_GB2312" w:hAnsi="Arial" w:eastAsia="仿宋_GB2312" w:cs="Times New Roman"/>
      <w:sz w:val="32"/>
      <w:szCs w:val="32"/>
    </w:rPr>
  </w:style>
  <w:style w:type="character" w:styleId="905" w:customStyle="1">
    <w:name w:val="正文文本 3 Char"/>
    <w:link w:val="904"/>
    <w:uiPriority w:val="0"/>
    <w:qFormat/>
    <w:rPr>
      <w:rFonts w:ascii="仿宋_GB2312" w:hAnsi="Arial" w:eastAsia="仿宋_GB2312" w:cs="Times New Roman"/>
      <w:sz w:val="32"/>
      <w:szCs w:val="32"/>
    </w:rPr>
  </w:style>
  <w:style w:type="paragraph" w:styleId="906" w:customStyle="1">
    <w:name w:val="正文文本11"/>
    <w:basedOn w:val="690"/>
    <w:link w:val="907"/>
    <w:uiPriority w:val="0"/>
    <w:qFormat/>
    <w:rPr>
      <w:rFonts w:ascii="楷体_GB2312" w:hAnsi="Arial" w:eastAsia="楷体_GB2312" w:cs="Times New Roman"/>
      <w:sz w:val="28"/>
      <w:szCs w:val="28"/>
    </w:rPr>
  </w:style>
  <w:style w:type="character" w:styleId="907" w:customStyle="1">
    <w:name w:val="正文文本 Char"/>
    <w:link w:val="906"/>
    <w:uiPriority w:val="0"/>
    <w:rPr>
      <w:rFonts w:ascii="楷体_GB2312" w:hAnsi="Arial" w:eastAsia="楷体_GB2312" w:cs="Times New Roman"/>
      <w:sz w:val="28"/>
      <w:szCs w:val="28"/>
    </w:rPr>
  </w:style>
  <w:style w:type="paragraph" w:styleId="908" w:customStyle="1">
    <w:name w:val="列表 21"/>
    <w:basedOn w:val="690"/>
    <w:uiPriority w:val="0"/>
    <w:qFormat/>
    <w:pPr>
      <w:ind w:left="100" w:hanging="200"/>
    </w:pPr>
    <w:rPr>
      <w:rFonts w:ascii="Times New Roman" w:hAnsi="Times New Roman" w:eastAsia="宋体" w:cs="Times New Roman"/>
      <w:szCs w:val="21"/>
    </w:rPr>
  </w:style>
  <w:style w:type="paragraph" w:styleId="909"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0"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11" w:customStyle="1">
    <w:name w:val="纯文本1"/>
    <w:basedOn w:val="690"/>
    <w:link w:val="912"/>
    <w:uiPriority w:val="0"/>
    <w:qFormat/>
    <w:rPr>
      <w:rFonts w:ascii="宋体" w:hAnsi="Courier New" w:eastAsia="宋体" w:cs="Courier New"/>
      <w:szCs w:val="21"/>
    </w:rPr>
  </w:style>
  <w:style w:type="character" w:styleId="912" w:customStyle="1">
    <w:name w:val="纯文本 Char"/>
    <w:link w:val="911"/>
    <w:uiPriority w:val="0"/>
    <w:qFormat/>
    <w:rPr>
      <w:rFonts w:ascii="宋体" w:hAnsi="Courier New" w:eastAsia="宋体" w:cs="Courier New"/>
      <w:szCs w:val="21"/>
    </w:rPr>
  </w:style>
  <w:style w:type="paragraph" w:styleId="913"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14" w:customStyle="1">
    <w:name w:val="日期1"/>
    <w:basedOn w:val="690"/>
    <w:next w:val="690"/>
    <w:link w:val="915"/>
    <w:uiPriority w:val="0"/>
    <w:qFormat/>
    <w:rPr>
      <w:rFonts w:ascii="Times New Roman" w:hAnsi="Times New Roman" w:eastAsia="宋体" w:cs="Times New Roman"/>
      <w:sz w:val="24"/>
      <w:szCs w:val="24"/>
    </w:rPr>
  </w:style>
  <w:style w:type="character" w:styleId="915" w:customStyle="1">
    <w:name w:val="日期 Char"/>
    <w:link w:val="914"/>
    <w:uiPriority w:val="0"/>
    <w:qFormat/>
    <w:rPr>
      <w:rFonts w:ascii="Times New Roman" w:hAnsi="Times New Roman" w:eastAsia="宋体" w:cs="Times New Roman"/>
      <w:sz w:val="24"/>
      <w:szCs w:val="24"/>
    </w:rPr>
  </w:style>
  <w:style w:type="paragraph" w:styleId="916" w:customStyle="1">
    <w:name w:val="正文文本缩进 21"/>
    <w:basedOn w:val="690"/>
    <w:link w:val="917"/>
    <w:uiPriority w:val="0"/>
    <w:qFormat/>
    <w:pPr>
      <w:ind w:left="630" w:firstLine="645"/>
    </w:pPr>
    <w:rPr>
      <w:rFonts w:ascii="Arial" w:hAnsi="Arial" w:eastAsia="仿宋_GB2312" w:cs="Arial"/>
      <w:sz w:val="32"/>
      <w:szCs w:val="32"/>
    </w:rPr>
  </w:style>
  <w:style w:type="character" w:styleId="917" w:customStyle="1">
    <w:name w:val="正文文本缩进 2 Char"/>
    <w:link w:val="916"/>
    <w:uiPriority w:val="0"/>
    <w:qFormat/>
    <w:rPr>
      <w:rFonts w:ascii="Arial" w:hAnsi="Arial" w:eastAsia="仿宋_GB2312" w:cs="Arial"/>
      <w:sz w:val="32"/>
      <w:szCs w:val="32"/>
    </w:rPr>
  </w:style>
  <w:style w:type="paragraph" w:styleId="918" w:customStyle="1">
    <w:name w:val="批注框文本1"/>
    <w:basedOn w:val="690"/>
    <w:link w:val="919"/>
    <w:uiPriority w:val="0"/>
    <w:semiHidden/>
    <w:qFormat/>
    <w:rPr>
      <w:rFonts w:ascii="Times New Roman" w:hAnsi="Times New Roman" w:eastAsia="宋体" w:cs="Times New Roman"/>
      <w:sz w:val="18"/>
      <w:szCs w:val="18"/>
    </w:rPr>
  </w:style>
  <w:style w:type="character" w:styleId="919" w:customStyle="1">
    <w:name w:val="批注框文本 Char"/>
    <w:link w:val="918"/>
    <w:uiPriority w:val="0"/>
    <w:semiHidden/>
    <w:qFormat/>
    <w:rPr>
      <w:rFonts w:ascii="Times New Roman" w:hAnsi="Times New Roman" w:eastAsia="宋体" w:cs="Times New Roman"/>
      <w:sz w:val="18"/>
      <w:szCs w:val="18"/>
    </w:rPr>
  </w:style>
  <w:style w:type="paragraph" w:styleId="920" w:customStyle="1">
    <w:name w:val="页脚1"/>
    <w:basedOn w:val="690"/>
    <w:link w:val="92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1" w:customStyle="1">
    <w:name w:val="页脚 Char"/>
    <w:link w:val="920"/>
    <w:uiPriority w:val="0"/>
    <w:qFormat/>
    <w:rPr>
      <w:rFonts w:ascii="Times New Roman" w:hAnsi="Times New Roman" w:eastAsia="宋体" w:cs="Times New Roman"/>
      <w:sz w:val="18"/>
      <w:szCs w:val="18"/>
    </w:rPr>
  </w:style>
  <w:style w:type="paragraph" w:styleId="922" w:customStyle="1">
    <w:name w:val="页眉1"/>
    <w:basedOn w:val="690"/>
    <w:link w:val="92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customStyle="1">
    <w:name w:val="页眉 Char"/>
    <w:link w:val="922"/>
    <w:uiPriority w:val="0"/>
    <w:qFormat/>
    <w:rPr>
      <w:rFonts w:ascii="Times New Roman" w:hAnsi="Times New Roman" w:eastAsia="宋体" w:cs="Times New Roman"/>
      <w:sz w:val="18"/>
      <w:szCs w:val="18"/>
    </w:rPr>
  </w:style>
  <w:style w:type="paragraph" w:styleId="924"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5"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26" w:customStyle="1">
    <w:name w:val="列表1"/>
    <w:basedOn w:val="690"/>
    <w:uiPriority w:val="0"/>
    <w:qFormat/>
    <w:pPr>
      <w:ind w:left="200" w:hanging="200"/>
    </w:pPr>
    <w:rPr>
      <w:rFonts w:ascii="Times New Roman" w:hAnsi="Times New Roman" w:eastAsia="宋体" w:cs="Times New Roman"/>
      <w:szCs w:val="21"/>
    </w:rPr>
  </w:style>
  <w:style w:type="paragraph" w:styleId="927" w:customStyle="1">
    <w:name w:val="目录 61"/>
    <w:basedOn w:val="690"/>
    <w:next w:val="690"/>
    <w:uiPriority w:val="0"/>
    <w:semiHidden/>
    <w:pPr>
      <w:ind w:left="1050"/>
      <w:jc w:val="left"/>
    </w:pPr>
    <w:rPr>
      <w:rFonts w:ascii="Times New Roman" w:hAnsi="Times New Roman" w:eastAsia="宋体" w:cs="Times New Roman"/>
      <w:szCs w:val="21"/>
    </w:rPr>
  </w:style>
  <w:style w:type="paragraph" w:styleId="928" w:customStyle="1">
    <w:name w:val="正文文本缩进 31"/>
    <w:basedOn w:val="690"/>
    <w:link w:val="929"/>
    <w:uiPriority w:val="0"/>
    <w:qFormat/>
    <w:pPr>
      <w:ind w:left="645" w:firstLine="645"/>
    </w:pPr>
    <w:rPr>
      <w:rFonts w:ascii="Arial" w:hAnsi="Arial" w:eastAsia="仿宋_GB2312" w:cs="Arial"/>
      <w:color w:val="ffff00"/>
      <w:sz w:val="32"/>
      <w:szCs w:val="32"/>
    </w:rPr>
  </w:style>
  <w:style w:type="character" w:styleId="929" w:customStyle="1">
    <w:name w:val="正文文本缩进 3 Char"/>
    <w:link w:val="928"/>
    <w:uiPriority w:val="0"/>
    <w:qFormat/>
    <w:rPr>
      <w:rFonts w:ascii="Arial" w:hAnsi="Arial" w:eastAsia="仿宋_GB2312" w:cs="Arial"/>
      <w:color w:val="ffff00"/>
      <w:sz w:val="32"/>
      <w:szCs w:val="32"/>
    </w:rPr>
  </w:style>
  <w:style w:type="paragraph" w:styleId="930"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1"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32"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3" w:customStyle="1">
    <w:name w:val="正文文本 21"/>
    <w:basedOn w:val="690"/>
    <w:link w:val="934"/>
    <w:uiPriority w:val="0"/>
    <w:qFormat/>
    <w:pPr>
      <w:jc w:val="center"/>
      <w:widowControl/>
    </w:pPr>
    <w:rPr>
      <w:rFonts w:ascii="楷体_GB2312" w:hAnsi="Times New Roman" w:eastAsia="楷体_GB2312" w:cs="Times New Roman"/>
      <w:sz w:val="28"/>
      <w:szCs w:val="28"/>
    </w:rPr>
  </w:style>
  <w:style w:type="character" w:styleId="934" w:customStyle="1">
    <w:name w:val="正文文本 2 Char"/>
    <w:link w:val="933"/>
    <w:uiPriority w:val="0"/>
    <w:qFormat/>
    <w:rPr>
      <w:rFonts w:ascii="楷体_GB2312" w:hAnsi="Times New Roman" w:eastAsia="楷体_GB2312" w:cs="Times New Roman"/>
      <w:sz w:val="28"/>
      <w:szCs w:val="28"/>
    </w:rPr>
  </w:style>
  <w:style w:type="paragraph" w:styleId="935"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36"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37" w:customStyle="1">
    <w:name w:val="批注主题1"/>
    <w:basedOn w:val="902"/>
    <w:next w:val="902"/>
    <w:link w:val="938"/>
    <w:uiPriority w:val="0"/>
    <w:semiHidden/>
    <w:qFormat/>
    <w:rPr>
      <w:rFonts w:ascii="Times New Roman" w:hAnsi="Times New Roman" w:eastAsia="宋体" w:cs="Times New Roman"/>
      <w:b/>
      <w:bCs/>
      <w:szCs w:val="21"/>
    </w:rPr>
  </w:style>
  <w:style w:type="character" w:styleId="938" w:customStyle="1">
    <w:name w:val="批注主题 Char"/>
    <w:link w:val="937"/>
    <w:uiPriority w:val="0"/>
    <w:semiHidden/>
    <w:qFormat/>
    <w:rPr>
      <w:rFonts w:ascii="Times New Roman" w:hAnsi="Times New Roman" w:eastAsia="宋体" w:cs="Times New Roman"/>
      <w:b/>
      <w:bCs/>
      <w:szCs w:val="21"/>
    </w:rPr>
  </w:style>
  <w:style w:type="paragraph" w:styleId="939" w:customStyle="1">
    <w:name w:val="正文首行缩进1"/>
    <w:basedOn w:val="690"/>
    <w:link w:val="940"/>
    <w:uiPriority w:val="0"/>
    <w:qFormat/>
    <w:pPr>
      <w:ind w:firstLine="200"/>
      <w:spacing w:line="360" w:lineRule="auto"/>
    </w:pPr>
    <w:rPr>
      <w:rFonts w:ascii="仿宋_GB2312" w:hAnsi="Times New Roman" w:eastAsia="仿宋_GB2312" w:cs="Times New Roman"/>
      <w:sz w:val="30"/>
      <w:szCs w:val="30"/>
    </w:rPr>
  </w:style>
  <w:style w:type="character" w:styleId="940" w:customStyle="1">
    <w:name w:val="正文首行缩进 Char"/>
    <w:link w:val="939"/>
    <w:uiPriority w:val="0"/>
    <w:qFormat/>
    <w:rPr>
      <w:rFonts w:ascii="仿宋_GB2312" w:hAnsi="Times New Roman" w:eastAsia="仿宋_GB2312" w:cs="Times New Roman"/>
      <w:sz w:val="30"/>
      <w:szCs w:val="30"/>
    </w:rPr>
  </w:style>
  <w:style w:type="table" w:styleId="941" w:customStyle="1">
    <w:name w:val="网格型11"/>
    <w:basedOn w:val="885"/>
    <w:uiPriority w:val="0"/>
    <w:qFormat/>
    <w:pPr>
      <w:jc w:val="both"/>
      <w:widowControl w:val="off"/>
    </w:pPr>
    <w:rPr>
      <w:rFonts w:ascii="Times New Roman" w:hAnsi="Times New Roman" w:eastAsia="宋体" w:cs="Times New Roman"/>
      <w:sz w:val="20"/>
      <w:szCs w:val="20"/>
    </w:rPr>
    <w:tblPr/>
  </w:style>
  <w:style w:type="character" w:styleId="942" w:customStyle="1">
    <w:name w:val="要点1"/>
    <w:link w:val="690"/>
    <w:uiPriority w:val="0"/>
    <w:qFormat/>
    <w:rPr>
      <w:b/>
      <w:bCs/>
    </w:rPr>
  </w:style>
  <w:style w:type="character" w:styleId="943" w:customStyle="1">
    <w:name w:val="页码1"/>
    <w:link w:val="690"/>
    <w:uiPriority w:val="0"/>
    <w:qFormat/>
  </w:style>
  <w:style w:type="character" w:styleId="944" w:customStyle="1">
    <w:name w:val="已访问的超链接1"/>
    <w:link w:val="690"/>
    <w:uiPriority w:val="0"/>
    <w:qFormat/>
    <w:rPr>
      <w:color w:val="800080"/>
      <w:u w:val="single"/>
    </w:rPr>
  </w:style>
  <w:style w:type="character" w:styleId="945" w:customStyle="1">
    <w:name w:val="强调1"/>
    <w:link w:val="690"/>
    <w:uiPriority w:val="0"/>
    <w:qFormat/>
    <w:rPr>
      <w:i/>
    </w:rPr>
  </w:style>
  <w:style w:type="character" w:styleId="946" w:customStyle="1">
    <w:name w:val="超链接1"/>
    <w:link w:val="690"/>
    <w:uiPriority w:val="0"/>
    <w:qFormat/>
    <w:rPr>
      <w:color w:val="0000ff"/>
      <w:u w:val="single"/>
    </w:rPr>
  </w:style>
  <w:style w:type="character" w:styleId="947" w:customStyle="1">
    <w:name w:val="批注引用1"/>
    <w:link w:val="690"/>
    <w:uiPriority w:val="0"/>
    <w:semiHidden/>
    <w:qFormat/>
    <w:rPr>
      <w:sz w:val="21"/>
      <w:szCs w:val="21"/>
    </w:rPr>
  </w:style>
  <w:style w:type="character" w:styleId="948" w:customStyle="1">
    <w:name w:val="批注文字 字符"/>
    <w:basedOn w:val="884"/>
    <w:link w:val="902"/>
    <w:uiPriority w:val="0"/>
    <w:rPr>
      <w:rFonts w:ascii="Calibri" w:hAnsi="Calibri" w:eastAsia="宋体" w:cs="Times New Roman"/>
      <w:sz w:val="21"/>
      <w:szCs w:val="24"/>
    </w:rPr>
  </w:style>
  <w:style w:type="paragraph" w:styleId="949" w:customStyle="1">
    <w:name w:val="索引 41"/>
    <w:basedOn w:val="690"/>
    <w:next w:val="690"/>
    <w:uiPriority w:val="0"/>
    <w:semiHidden/>
    <w:qFormat/>
    <w:pPr>
      <w:ind w:left="1260"/>
    </w:pPr>
    <w:rPr>
      <w:rFonts w:ascii="Calibri" w:hAnsi="Calibri" w:eastAsia="Calibri" w:cs="宋体"/>
      <w:sz w:val="20"/>
      <w:lang w:val="zh-CN"/>
    </w:rPr>
  </w:style>
  <w:style w:type="character" w:styleId="950" w:customStyle="1">
    <w:name w:val="font5 Char"/>
    <w:link w:val="690"/>
    <w:uiPriority w:val="0"/>
    <w:qFormat/>
    <w:rPr>
      <w:rFonts w:ascii="宋体" w:hAnsi="宋体" w:eastAsia="宋体"/>
      <w:sz w:val="28"/>
      <w:szCs w:val="28"/>
      <w:lang w:val="en-US" w:eastAsia="zh-CN" w:bidi="ar-SA"/>
    </w:rPr>
  </w:style>
  <w:style w:type="character" w:styleId="951" w:customStyle="1">
    <w:name w:val="二级目录 Char"/>
    <w:link w:val="952"/>
    <w:uiPriority w:val="0"/>
    <w:qFormat/>
    <w:rPr>
      <w:b/>
      <w:sz w:val="30"/>
      <w:szCs w:val="28"/>
    </w:rPr>
  </w:style>
  <w:style w:type="paragraph" w:styleId="952" w:customStyle="1">
    <w:name w:val="二级目录"/>
    <w:next w:val="690"/>
    <w:link w:val="95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3" w:customStyle="1">
    <w:name w:val="列出段落 Char"/>
    <w:link w:val="954"/>
    <w:uiPriority w:val="0"/>
    <w:qFormat/>
    <w:rPr>
      <w:rFonts w:ascii="Calibri" w:hAnsi="Calibri"/>
      <w:sz w:val="24"/>
      <w:szCs w:val="24"/>
      <w:lang w:eastAsia="en-US" w:bidi="en-US"/>
    </w:rPr>
  </w:style>
  <w:style w:type="paragraph" w:styleId="954" w:customStyle="1">
    <w:name w:val="列出段落1"/>
    <w:basedOn w:val="690"/>
    <w:link w:val="953"/>
    <w:uiPriority w:val="0"/>
    <w:qFormat/>
    <w:pPr>
      <w:contextualSpacing/>
      <w:ind w:left="720"/>
      <w:jc w:val="left"/>
      <w:widowControl/>
    </w:pPr>
    <w:rPr>
      <w:rFonts w:ascii="Calibri" w:hAnsi="Calibri"/>
      <w:sz w:val="24"/>
      <w:szCs w:val="24"/>
      <w:lang w:eastAsia="en-US" w:bidi="en-US"/>
    </w:rPr>
  </w:style>
  <w:style w:type="paragraph" w:styleId="955" w:customStyle="1">
    <w:name w:val="Body Text(ch)"/>
    <w:basedOn w:val="690"/>
    <w:next w:val="906"/>
    <w:uiPriority w:val="0"/>
    <w:qFormat/>
    <w:pPr>
      <w:spacing w:after="120"/>
    </w:pPr>
    <w:rPr>
      <w:rFonts w:ascii="宋体" w:hAnsi="Arial" w:eastAsia="宋体" w:cs="Times New Roman"/>
      <w:bCs/>
      <w:iCs/>
      <w:szCs w:val="24"/>
    </w:rPr>
  </w:style>
  <w:style w:type="paragraph" w:styleId="956"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59" w:customStyle="1">
    <w:name w:val=" Char"/>
    <w:basedOn w:val="900"/>
    <w:uiPriority w:val="0"/>
    <w:qFormat/>
    <w:rPr>
      <w:rFonts w:ascii="Tahoma" w:hAnsi="Tahoma"/>
      <w:sz w:val="24"/>
      <w:szCs w:val="24"/>
    </w:rPr>
  </w:style>
  <w:style w:type="paragraph" w:styleId="960"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61"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6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3"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4" w:customStyle="1">
    <w:name w:val=" Char Char Char Char"/>
    <w:basedOn w:val="900"/>
    <w:uiPriority w:val="0"/>
    <w:qFormat/>
    <w:pPr>
      <w:spacing w:line="360" w:lineRule="auto"/>
    </w:pPr>
    <w:rPr>
      <w:rFonts w:ascii="Tahoma" w:hAnsi="Tahoma"/>
      <w:sz w:val="24"/>
      <w:szCs w:val="24"/>
    </w:rPr>
  </w:style>
  <w:style w:type="paragraph" w:styleId="965" w:customStyle="1">
    <w:name w:val="列出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66" w:customStyle="1">
    <w:name w:val="4"/>
    <w:basedOn w:val="690"/>
    <w:next w:val="928"/>
    <w:uiPriority w:val="0"/>
    <w:qFormat/>
    <w:pPr>
      <w:ind w:firstLine="420"/>
      <w:spacing w:line="360" w:lineRule="auto"/>
    </w:pPr>
    <w:rPr>
      <w:rFonts w:ascii="Times New Roman" w:hAnsi="Times New Roman" w:eastAsia="宋体" w:cs="Times New Roman"/>
      <w:color w:val="ff0000"/>
      <w:sz w:val="24"/>
      <w:szCs w:val="24"/>
    </w:rPr>
  </w:style>
  <w:style w:type="paragraph" w:styleId="967"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68"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69" w:customStyle="1">
    <w:name w:val="样式1"/>
    <w:basedOn w:val="690"/>
    <w:uiPriority w:val="0"/>
    <w:qFormat/>
    <w:pPr>
      <w:numPr>
        <w:ilvl w:val="0"/>
        <w:numId w:val="3"/>
      </w:numPr>
    </w:pPr>
    <w:rPr>
      <w:rFonts w:ascii="宋体" w:hAnsi="宋体" w:eastAsia="宋体" w:cs="Times New Roman"/>
      <w:szCs w:val="21"/>
    </w:rPr>
  </w:style>
  <w:style w:type="paragraph" w:styleId="970"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customStyle="1">
    <w:name w:val="xl25"/>
    <w:basedOn w:val="690"/>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customStyle="1">
    <w:name w:val="标题3"/>
    <w:basedOn w:val="690"/>
    <w:next w:val="690"/>
    <w:uiPriority w:val="0"/>
    <w:pPr>
      <w:ind w:firstLine="624"/>
      <w:spacing w:line="590" w:lineRule="atLeast"/>
    </w:pPr>
    <w:rPr>
      <w:rFonts w:ascii="方正黑体_GBK" w:hAnsi="Times New Roman" w:eastAsia="方正黑体_GBK" w:cs="Times New Roman"/>
      <w:sz w:val="32"/>
      <w:szCs w:val="32"/>
    </w:rPr>
  </w:style>
  <w:style w:type="paragraph" w:styleId="974"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customStyle="1">
    <w:name w:val="Char Char Char Char Char Char Char Char"/>
    <w:basedOn w:val="690"/>
    <w:uiPriority w:val="0"/>
    <w:pPr>
      <w:jc w:val="left"/>
      <w:spacing w:after="160" w:line="240" w:lineRule="exact"/>
      <w:widowControl/>
    </w:pPr>
    <w:rPr>
      <w:rFonts w:ascii="Verdana" w:hAnsi="Verdana" w:eastAsia="宋体" w:cs="Times New Roman"/>
      <w:sz w:val="20"/>
      <w:szCs w:val="20"/>
      <w:lang w:eastAsia="en-US"/>
    </w:rPr>
  </w:style>
  <w:style w:type="paragraph" w:styleId="977"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79" w:customStyle="1">
    <w:name w:val="xl30"/>
    <w:basedOn w:val="690"/>
    <w:uiPriority w:val="0"/>
    <w:pPr>
      <w:jc w:val="center"/>
      <w:spacing w:before="100" w:beforeAutospacing="1" w:after="100" w:afterAutospacing="1"/>
      <w:widowControl/>
    </w:pPr>
    <w:rPr>
      <w:rFonts w:ascii="宋体" w:hAnsi="宋体" w:eastAsia="宋体" w:cs="Times New Roman"/>
      <w:b/>
      <w:bCs/>
      <w:sz w:val="36"/>
      <w:szCs w:val="36"/>
    </w:rPr>
  </w:style>
  <w:style w:type="paragraph" w:styleId="980" w:customStyle="1">
    <w:name w:val="Char Char Char Char"/>
    <w:basedOn w:val="900"/>
    <w:uiPriority w:val="0"/>
    <w:qFormat/>
    <w:pPr>
      <w:spacing w:line="360" w:lineRule="auto"/>
    </w:pPr>
    <w:rPr>
      <w:rFonts w:ascii="Tahoma" w:hAnsi="Tahoma"/>
      <w:sz w:val="24"/>
      <w:szCs w:val="24"/>
    </w:rPr>
  </w:style>
  <w:style w:type="paragraph" w:styleId="981"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2"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3" w:customStyle="1">
    <w:name w:val="标题1"/>
    <w:basedOn w:val="690"/>
    <w:next w:val="690"/>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6" w:customStyle="1">
    <w:name w:val="Table Normal"/>
    <w:uiPriority w:val="0"/>
    <w:qFormat/>
    <w:tblPr/>
  </w:style>
  <w:style w:type="paragraph" w:styleId="987" w:customStyle="1">
    <w:name w:val="正文文本12"/>
    <w:basedOn w:val="690"/>
    <w:uiPriority w:val="1"/>
    <w:qFormat/>
    <w:pPr>
      <w:ind w:left="120"/>
    </w:pPr>
    <w:rPr>
      <w:rFonts w:ascii="宋体" w:hAnsi="宋体" w:eastAsia="宋体" w:cs="宋体"/>
      <w:sz w:val="21"/>
      <w:szCs w:val="21"/>
      <w:lang w:val="zh-CN" w:eastAsia="zh-CN" w:bidi="zh-CN"/>
    </w:rPr>
  </w:style>
  <w:style w:type="paragraph" w:styleId="988" w:customStyle="1">
    <w:name w:val="正文文本 211"/>
    <w:basedOn w:val="690"/>
    <w:uiPriority w:val="99"/>
    <w:qFormat/>
    <w:pPr>
      <w:jc w:val="center"/>
    </w:pPr>
    <w:rPr>
      <w:b/>
      <w:bCs/>
      <w:sz w:val="20"/>
      <w:szCs w:val="20"/>
    </w:rPr>
  </w:style>
  <w:style w:type="paragraph" w:styleId="989" w:customStyle="1">
    <w:name w:val="正文文本1"/>
    <w:basedOn w:val="690"/>
    <w:next w:val="690"/>
    <w:uiPriority w:val="0"/>
    <w:semiHidden/>
    <w:qFormat/>
    <w:rPr>
      <w:rFonts w:ascii="Arial" w:hAnsi="Arial" w:eastAsia="Arial" w:cs="Arial"/>
      <w:sz w:val="21"/>
      <w:szCs w:val="21"/>
      <w:lang w:val="en-US" w:eastAsia="en-US" w:bidi="ar-SA"/>
    </w:rPr>
  </w:style>
  <w:style w:type="paragraph" w:styleId="990" w:customStyle="1">
    <w:name w:val="Table Paragraph"/>
    <w:basedOn w:val="690"/>
    <w:uiPriority w:val="1"/>
    <w:qFormat/>
    <w:pPr>
      <w:jc w:val="left"/>
    </w:pPr>
    <w:rPr>
      <w:rFonts w:ascii="宋体" w:hAnsi="宋体" w:eastAsia="宋体" w:cs="宋体"/>
      <w:sz w:val="22"/>
      <w:szCs w:val="22"/>
      <w:lang w:val="zh-CN" w:bidi="zh-CN"/>
    </w:rPr>
  </w:style>
  <w:style w:type="table" w:styleId="991" w:customStyle="1">
    <w:name w:val="网格型1"/>
    <w:basedOn w:val="992"/>
    <w:uiPriority w:val="0"/>
    <w:qFormat/>
    <w:pPr>
      <w:jc w:val="both"/>
      <w:widowControl w:val="off"/>
    </w:pPr>
    <w:tblPr/>
  </w:style>
  <w:style w:type="table" w:styleId="992" w:customStyle="1">
    <w:name w:val="普通表格1"/>
    <w:uiPriority w:val="99"/>
    <w:unhideWhenUsed/>
    <w:qFormat/>
    <w:tblPr/>
  </w:style>
  <w:style w:type="paragraph" w:styleId="993" w:customStyle="1">
    <w:name w:val="正文文本缩进1"/>
    <w:basedOn w:val="690"/>
    <w:next w:val="994"/>
    <w:uiPriority w:val="0"/>
    <w:unhideWhenUsed/>
    <w:qFormat/>
    <w:pPr>
      <w:ind w:left="420"/>
      <w:spacing w:after="120"/>
    </w:pPr>
  </w:style>
  <w:style w:type="paragraph" w:styleId="994" w:customStyle="1">
    <w:name w:val="正文文本首行缩进 2"/>
    <w:basedOn w:val="993"/>
    <w:uiPriority w:val="0"/>
    <w:qFormat/>
    <w:pPr>
      <w:ind w:left="0" w:firstLine="420"/>
      <w:spacing w:after="0" w:line="360" w:lineRule="auto"/>
    </w:pPr>
    <w:rPr>
      <w:rFonts w:ascii="宋体" w:hAnsi="宋体"/>
      <w:sz w:val="20"/>
      <w:szCs w:val="20"/>
      <w:lang w:val="en-US" w:eastAsia="en-US"/>
    </w:rPr>
  </w:style>
  <w:style w:type="table" w:styleId="995" w:customStyle="1">
    <w:name w:val="Table Normal_0"/>
    <w:uiPriority w:val="0"/>
    <w:qFormat/>
    <w:tblPr/>
  </w:style>
  <w:style w:type="paragraph" w:styleId="996" w:customStyle="1">
    <w:name w:val="正文首行缩进 211"/>
    <w:basedOn w:val="997"/>
    <w:next w:val="690"/>
    <w:uiPriority w:val="0"/>
    <w:qFormat/>
    <w:pPr>
      <w:ind w:left="0" w:firstLine="420"/>
      <w:spacing w:after="0" w:line="360" w:lineRule="auto"/>
    </w:pPr>
    <w:rPr>
      <w:rFonts w:ascii="宋体" w:hAnsi="宋体" w:eastAsia="宋体" w:cs="Times New Roman"/>
      <w:szCs w:val="20"/>
    </w:rPr>
  </w:style>
  <w:style w:type="paragraph" w:styleId="997" w:customStyle="1">
    <w:name w:val="正文文本缩进111"/>
    <w:basedOn w:val="690"/>
    <w:next w:val="998"/>
    <w:uiPriority w:val="0"/>
    <w:unhideWhenUsed/>
    <w:qFormat/>
    <w:pPr>
      <w:ind w:left="420"/>
      <w:spacing w:after="120"/>
    </w:pPr>
  </w:style>
  <w:style w:type="paragraph" w:styleId="998" w:customStyle="1">
    <w:name w:val="寄信人地址11"/>
    <w:basedOn w:val="690"/>
    <w:uiPriority w:val="0"/>
    <w:qFormat/>
    <w:rPr>
      <w:rFonts w:ascii="Arial" w:hAnsi="Arial" w:eastAsia="宋体" w:cs="宋体"/>
    </w:rPr>
  </w:style>
  <w:style w:type="paragraph" w:styleId="999" w:customStyle="1">
    <w:name w:val="正文文本缩进11"/>
    <w:basedOn w:val="690"/>
    <w:next w:val="1000"/>
    <w:uiPriority w:val="0"/>
    <w:unhideWhenUsed/>
    <w:qFormat/>
    <w:pPr>
      <w:ind w:left="420"/>
      <w:spacing w:after="120"/>
    </w:pPr>
  </w:style>
  <w:style w:type="paragraph" w:styleId="1000" w:customStyle="1">
    <w:name w:val="寄信人地址1"/>
    <w:basedOn w:val="690"/>
    <w:uiPriority w:val="0"/>
    <w:qFormat/>
    <w:rPr>
      <w:rFonts w:ascii="Arial" w:hAnsi="Arial" w:eastAsia="宋体" w:cs="宋体"/>
    </w:rPr>
  </w:style>
  <w:style w:type="paragraph" w:styleId="1001" w:customStyle="1">
    <w:name w:val="正文1"/>
    <w:basedOn w:val="690"/>
    <w:uiPriority w:val="0"/>
    <w:qFormat/>
    <w:pPr>
      <w:ind w:left="350" w:firstLine="0"/>
    </w:pPr>
    <w:rPr>
      <w:rFonts w:cs="Times New Roman"/>
      <w:sz w:val="20"/>
      <w:szCs w:val="24"/>
    </w:rPr>
  </w:style>
  <w:style w:type="paragraph" w:styleId="1002" w:customStyle="1">
    <w:name w:val="正文首行缩进 21"/>
    <w:basedOn w:val="999"/>
    <w:next w:val="690"/>
    <w:uiPriority w:val="0"/>
    <w:qFormat/>
    <w:pPr>
      <w:ind w:left="0" w:firstLine="420"/>
      <w:spacing w:after="0" w:line="360" w:lineRule="auto"/>
    </w:pPr>
    <w:rPr>
      <w:rFonts w:ascii="宋体" w:hAnsi="宋体" w:eastAsia="宋体" w:cs="Times New Roman"/>
      <w:szCs w:val="20"/>
    </w:rPr>
  </w:style>
  <w:style w:type="paragraph" w:styleId="1003" w:customStyle="1">
    <w:name w:val="标题 31"/>
    <w:basedOn w:val="690"/>
    <w:next w:val="100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04" w:customStyle="1">
    <w:name w:val="正文缩进1"/>
    <w:basedOn w:val="690"/>
    <w:uiPriority w:val="0"/>
    <w:qFormat/>
    <w:pPr>
      <w:ind w:firstLine="420"/>
    </w:pPr>
    <w:rPr>
      <w:szCs w:val="21"/>
    </w:rPr>
  </w:style>
  <w:style w:type="character" w:styleId="1005" w:customStyle="1">
    <w:name w:val="font11"/>
    <w:basedOn w:val="884"/>
    <w:link w:val="690"/>
    <w:uiPriority w:val="0"/>
    <w:qFormat/>
    <w:rPr>
      <w:rFonts w:hint="eastAsia" w:ascii="仿宋" w:hAnsi="仿宋" w:eastAsia="仿宋" w:cs="仿宋"/>
      <w:color w:val="000000"/>
      <w:sz w:val="22"/>
      <w:szCs w:val="22"/>
      <w:u w:val="none"/>
    </w:rPr>
  </w:style>
  <w:style w:type="character" w:styleId="1006" w:customStyle="1">
    <w:name w:val="font31"/>
    <w:basedOn w:val="884"/>
    <w:link w:val="690"/>
    <w:uiPriority w:val="0"/>
    <w:qFormat/>
    <w:rPr>
      <w:rFonts w:hint="eastAsia" w:ascii="仿宋" w:hAnsi="仿宋" w:eastAsia="仿宋" w:cs="仿宋"/>
      <w:color w:val="000000"/>
      <w:sz w:val="44"/>
      <w:szCs w:val="44"/>
      <w:u w:val="none"/>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8</cp:revision>
  <dcterms:created xsi:type="dcterms:W3CDTF">2023-03-16T02:13:00Z</dcterms:created>
  <dcterms:modified xsi:type="dcterms:W3CDTF">2026-10-08T03:12:14Z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C375C4C17CF14E3FB92BE2103161931D_13</vt:lpwstr>
  </property>
  <property fmtid="{D5CDD505-2E9C-101B-9397-08002B2CF9AE}" pid="4" name="KSOTemplateDocerSaveRecord">
    <vt:lpwstr>eyJoZGlkIjoiMGMxMjA4NTg1OGUyYzRlYTcxYzMxZTM5YzY1ZDdmZjgiLCJ1c2VySWQiOiIyNTM5NzI5MTQifQ==</vt:lpwstr>
  </property>
</Properties>
</file>