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149"/>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 xml:space="preserve">项目名称：</w:t>
      </w:r>
      <w:r>
        <w:rPr>
          <w:rFonts w:hint="eastAsia" w:asciiTheme="minorEastAsia" w:hAnsiTheme="minorEastAsia" w:cstheme="minorEastAsia"/>
          <w:b/>
          <w:color w:val="auto"/>
          <w:sz w:val="32"/>
          <w:szCs w:val="32"/>
          <w:highlight w:val="none"/>
          <w:lang w:eastAsia="zh-CN"/>
        </w:rPr>
        <w:t xml:space="preserve">盐都区秦南镇第二轮土地承包到期后再延长30年技术服务项目</w:t>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b/>
          <w:color w:val="auto"/>
          <w:sz w:val="32"/>
          <w:szCs w:val="32"/>
          <w:highlight w:val="none"/>
        </w:rPr>
        <w:t xml:space="preserve">项目编号：</w:t>
      </w:r>
      <w:r>
        <w:rPr>
          <w:rFonts w:hint="eastAsia" w:asciiTheme="minorEastAsia" w:hAnsiTheme="minorEastAsia" w:cstheme="minorEastAsia"/>
          <w:b/>
          <w:color w:val="auto"/>
          <w:sz w:val="32"/>
          <w:szCs w:val="32"/>
          <w:highlight w:val="none"/>
          <w:lang w:eastAsia="zh-CN"/>
        </w:rPr>
        <w:t xml:space="preserve">JSZC-320903-ZFDL-G2026-0013</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 </w:t>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2149"/>
        <w:jc w:val="center"/>
        <w:spacing w:before="120" w:beforeAutospacing="0" w:after="120" w:afterAutospacing="0" w:line="360" w:lineRule="auto"/>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cstheme="minorEastAsia"/>
          <w:b/>
          <w:color w:val="auto"/>
          <w:sz w:val="36"/>
          <w:szCs w:val="36"/>
          <w:highlight w:val="none"/>
          <w:lang w:eastAsia="zh-CN"/>
        </w:rPr>
        <w:t xml:space="preserve">盐城市盐都区秦南镇人民政府</w:t>
      </w:r>
      <w:r/>
    </w:p>
    <w:p>
      <w:pPr>
        <w:pStyle w:val="2149"/>
        <w:jc w:val="center"/>
        <w:spacing w:before="120" w:beforeAutospacing="0" w:after="12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2026年</w:t>
      </w:r>
      <w:r>
        <w:rPr>
          <w:rFonts w:hint="eastAsia" w:asciiTheme="minorEastAsia" w:hAnsiTheme="minorEastAsia" w:cstheme="minorEastAsia"/>
          <w:b/>
          <w:color w:val="auto"/>
          <w:sz w:val="36"/>
          <w:szCs w:val="36"/>
          <w:highlight w:val="none"/>
          <w:lang w:val="en-US" w:eastAsia="zh-CN"/>
        </w:rPr>
        <w:t xml:space="preserve">10</w:t>
      </w:r>
      <w:r>
        <w:rPr>
          <w:rFonts w:hint="eastAsia" w:asciiTheme="minorEastAsia" w:hAnsiTheme="minorEastAsia" w:eastAsiaTheme="minorEastAsia" w:cstheme="minorEastAsia"/>
          <w:b/>
          <w:color w:val="auto"/>
          <w:sz w:val="36"/>
          <w:szCs w:val="36"/>
          <w:highlight w:val="none"/>
        </w:rPr>
        <w:t xml:space="preserve">月</w:t>
      </w:r>
      <w:r/>
    </w:p>
    <w:p>
      <w:pPr>
        <w:pStyle w:val="2149"/>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2149"/>
        <w:jc w:val="center"/>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 </w:t>
      </w:r>
      <w:bookmarkStart w:id="0" w:name="_Toc513029200"/>
      <w:r/>
      <w:bookmarkStart w:id="1" w:name="_Toc479757206"/>
      <w:r/>
      <w:bookmarkStart w:id="2" w:name="_Toc523127445"/>
      <w:r/>
      <w:bookmarkStart w:id="3" w:name="_Toc120614210"/>
      <w:r/>
      <w:bookmarkStart w:id="4" w:name="_Toc20823272"/>
      <w:r/>
      <w:bookmarkStart w:id="5" w:name="_Toc16938516"/>
      <w:r>
        <w:rPr>
          <w:rFonts w:hint="eastAsia" w:asciiTheme="minorEastAsia" w:hAnsiTheme="minorEastAsia" w:eastAsiaTheme="minorEastAsia" w:cstheme="minorEastAsia"/>
          <w:b/>
          <w:color w:val="auto"/>
          <w:sz w:val="44"/>
          <w:szCs w:val="44"/>
          <w:highlight w:val="none"/>
        </w:rPr>
        <w:t xml:space="preserve">总  目  录</w:t>
      </w:r>
      <w:bookmarkEnd w:id="0"/>
      <w:r/>
      <w:bookmarkEnd w:id="1"/>
      <w:r/>
      <w:bookmarkEnd w:id="2"/>
      <w:r/>
      <w:bookmarkEnd w:id="3"/>
      <w:r/>
      <w:bookmarkEnd w:id="4"/>
      <w:r/>
      <w:bookmarkEnd w:id="5"/>
      <w:r/>
      <w:r/>
    </w:p>
    <w:p>
      <w:pPr>
        <w:pStyle w:val="2149"/>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第一章      招标公告</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第二章      投标人须知</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第三章      合同条款</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第四章      采购需求</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第五章      评标方法与评标标准</w:t>
      </w:r>
      <w:r/>
    </w:p>
    <w:p>
      <w:pPr>
        <w:pStyle w:val="2149"/>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 xml:space="preserve">第六章      投标文件格式</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2149"/>
        <w:jc w:val="center"/>
        <w:keepNext/>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第一章 招标公告</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auto"/>
          <w:highlight w:val="none"/>
        </w:rPr>
        <w:t xml:space="preserve">项目概况</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auto"/>
          <w:highlight w:val="none"/>
          <w:u w:val="single"/>
          <w:lang w:eastAsia="zh-CN"/>
        </w:rPr>
        <w:t xml:space="preserve">盐都区秦南镇第二轮土地承包到期后再延长30年技术服务项目</w:t>
      </w:r>
      <w:r>
        <w:rPr>
          <w:rFonts w:hint="eastAsia" w:asciiTheme="minorEastAsia" w:hAnsiTheme="minorEastAsia" w:eastAsiaTheme="minorEastAsia" w:cstheme="minorEastAsia"/>
          <w:color w:val="auto"/>
          <w:highlight w:val="none"/>
        </w:rPr>
        <w:t xml:space="preserve">招标项目的潜在投标人应在</w:t>
      </w:r>
      <w:r>
        <w:rPr>
          <w:rFonts w:hint="eastAsia" w:asciiTheme="minorEastAsia" w:hAnsiTheme="minorEastAsia" w:eastAsiaTheme="minorEastAsia" w:cstheme="minorEastAsia"/>
          <w:color w:val="auto"/>
          <w:highlight w:val="none"/>
          <w:shd w:val="clear" w:color="auto" w:fill="ffffff"/>
        </w:rPr>
        <w:t xml:space="preserve">“苏采云”系统内免费下载（投标人必须在苏采云系统中获取采购文件，方能参与政府采购项目）</w:t>
      </w:r>
      <w:r>
        <w:rPr>
          <w:rFonts w:hint="eastAsia" w:asciiTheme="minorEastAsia" w:hAnsiTheme="minorEastAsia" w:eastAsiaTheme="minorEastAsia" w:cstheme="minorEastAsia"/>
          <w:color w:val="auto"/>
          <w:highlight w:val="none"/>
        </w:rPr>
        <w:t xml:space="preserve">，并于</w:t>
      </w:r>
      <w:r>
        <w:rPr>
          <w:rFonts w:hint="eastAsia" w:asciiTheme="minorEastAsia" w:hAnsiTheme="minorEastAsia" w:eastAsiaTheme="minorEastAsia" w:cstheme="minorEastAsia"/>
          <w:color w:val="auto"/>
          <w:highlight w:val="none"/>
          <w:u w:val="single"/>
        </w:rPr>
        <w:t xml:space="preserve">2026年</w:t>
      </w:r>
      <w:r>
        <w:rPr>
          <w:rFonts w:hint="eastAsia" w:asciiTheme="minorEastAsia" w:hAnsiTheme="minorEastAsia" w:cstheme="minorEastAsia"/>
          <w:color w:val="auto"/>
          <w:highlight w:val="none"/>
          <w:u w:val="single"/>
          <w:lang w:val="en-US" w:eastAsia="zh-CN"/>
        </w:rPr>
        <w:t xml:space="preserve">11</w:t>
      </w:r>
      <w:r>
        <w:rPr>
          <w:rFonts w:hint="eastAsia" w:asciiTheme="minorEastAsia" w:hAnsiTheme="minorEastAsia" w:eastAsiaTheme="minorEastAsia" w:cstheme="minorEastAsia"/>
          <w:color w:val="auto"/>
          <w:highlight w:val="none"/>
          <w:u w:val="single"/>
        </w:rPr>
        <w:t xml:space="preserve">月</w:t>
      </w:r>
      <w:r>
        <w:rPr>
          <w:rFonts w:hint="eastAsia" w:asciiTheme="minorEastAsia" w:hAnsiTheme="minorEastAsia" w:cstheme="minorEastAsia"/>
          <w:color w:val="auto"/>
          <w:highlight w:val="none"/>
          <w:u w:val="single"/>
          <w:lang w:val="en-US" w:eastAsia="zh-CN"/>
        </w:rPr>
        <w:t xml:space="preserve">24</w:t>
      </w:r>
      <w:r>
        <w:rPr>
          <w:rFonts w:hint="eastAsia" w:asciiTheme="minorEastAsia" w:hAnsiTheme="minorEastAsia" w:eastAsiaTheme="minorEastAsia" w:cstheme="minorEastAsia"/>
          <w:color w:val="auto"/>
          <w:highlight w:val="none"/>
          <w:u w:val="single"/>
        </w:rPr>
        <w:t xml:space="preserve">日</w:t>
      </w:r>
      <w:r>
        <w:rPr>
          <w:rFonts w:hint="eastAsia" w:asciiTheme="minorEastAsia" w:hAnsiTheme="minorEastAsia" w:cstheme="minorEastAsia"/>
          <w:color w:val="auto"/>
          <w:highlight w:val="none"/>
          <w:u w:val="single"/>
          <w:lang w:val="en-US" w:eastAsia="zh-CN"/>
        </w:rPr>
        <w:t xml:space="preserve">15</w:t>
      </w:r>
      <w:r>
        <w:rPr>
          <w:rFonts w:hint="eastAsia" w:asciiTheme="minorEastAsia" w:hAnsiTheme="minorEastAsia" w:eastAsiaTheme="minorEastAsia" w:cstheme="minorEastAsia"/>
          <w:color w:val="auto"/>
          <w:highlight w:val="none"/>
          <w:u w:val="single"/>
        </w:rPr>
        <w:t xml:space="preserve">点</w:t>
      </w:r>
      <w:r>
        <w:rPr>
          <w:rFonts w:hint="eastAsia" w:asciiTheme="minorEastAsia" w:hAnsiTheme="minorEastAsia" w:cstheme="minorEastAsia"/>
          <w:color w:val="auto"/>
          <w:highlight w:val="none"/>
          <w:u w:val="single"/>
          <w:lang w:val="en-US" w:eastAsia="zh-CN"/>
        </w:rPr>
        <w:t xml:space="preserve">00</w:t>
      </w:r>
      <w:r>
        <w:rPr>
          <w:rFonts w:hint="eastAsia" w:asciiTheme="minorEastAsia" w:hAnsiTheme="minorEastAsia" w:eastAsiaTheme="minorEastAsia" w:cstheme="minorEastAsia"/>
          <w:color w:val="auto"/>
          <w:highlight w:val="none"/>
          <w:u w:val="single"/>
        </w:rPr>
        <w:t xml:space="preserve">分（</w:t>
      </w:r>
      <w:r>
        <w:rPr>
          <w:rFonts w:hint="eastAsia" w:asciiTheme="minorEastAsia" w:hAnsiTheme="minorEastAsia" w:eastAsiaTheme="minorEastAsia" w:cstheme="minorEastAsia"/>
          <w:color w:val="auto"/>
          <w:highlight w:val="none"/>
        </w:rPr>
        <w:t xml:space="preserve">北京时间）前递交投标文件。</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 w:name="_Toc28359079"/>
      <w:r/>
      <w:bookmarkStart w:id="7" w:name="_Toc35393790"/>
      <w:r/>
      <w:bookmarkStart w:id="8" w:name="_Toc35393621"/>
      <w:r/>
      <w:bookmarkStart w:id="9" w:name="_Hlk24379207"/>
      <w:r/>
      <w:bookmarkStart w:id="10" w:name="_Toc28359002"/>
      <w:r/>
      <w:bookmarkStart w:id="11" w:name="_Toc38985263"/>
      <w:r>
        <w:rPr>
          <w:rFonts w:hint="eastAsia" w:asciiTheme="minorEastAsia" w:hAnsiTheme="minorEastAsia" w:eastAsiaTheme="minorEastAsia" w:cstheme="minorEastAsia"/>
          <w:b/>
          <w:color w:val="auto"/>
          <w:highlight w:val="none"/>
        </w:rPr>
        <w:t xml:space="preserve">一、项目基本情况</w:t>
      </w:r>
      <w:bookmarkEnd w:id="6"/>
      <w:r/>
      <w:bookmarkEnd w:id="7"/>
      <w:r/>
      <w:bookmarkEnd w:id="8"/>
      <w:r/>
      <w:bookmarkEnd w:id="9"/>
      <w:r/>
      <w:bookmarkEnd w:id="10"/>
      <w:r/>
      <w:bookmarkEnd w:id="11"/>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cstheme="minorEastAsia"/>
          <w:color w:val="auto"/>
          <w:highlight w:val="none"/>
          <w:lang w:eastAsia="zh-CN"/>
        </w:rPr>
        <w:t xml:space="preserve">JSZC-320903-ZFDL-G2026-0013</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2.项目名称：</w:t>
      </w:r>
      <w:r>
        <w:rPr>
          <w:rFonts w:hint="eastAsia" w:asciiTheme="minorEastAsia" w:hAnsiTheme="minorEastAsia" w:cstheme="minorEastAsia"/>
          <w:color w:val="auto"/>
          <w:highlight w:val="none"/>
          <w:lang w:eastAsia="zh-CN"/>
        </w:rPr>
        <w:t xml:space="preserve">盐都区秦南镇第二轮土地承包到期后再延长30年技术服务项目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3.预算金额：</w:t>
      </w:r>
      <w:r>
        <w:rPr>
          <w:rFonts w:hint="eastAsia" w:asciiTheme="minorEastAsia" w:hAnsiTheme="minorEastAsia" w:cstheme="minorEastAsia"/>
          <w:color w:val="auto"/>
          <w:highlight w:val="none"/>
          <w:lang w:val="en-US" w:eastAsia="zh-CN"/>
        </w:rPr>
        <w:t xml:space="preserve">169.875万元</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.最高限价：</w:t>
      </w:r>
      <w:r>
        <w:rPr>
          <w:rFonts w:hint="eastAsia" w:asciiTheme="minorEastAsia" w:hAnsiTheme="minorEastAsia" w:cstheme="minorEastAsia"/>
          <w:color w:val="auto"/>
          <w:highlight w:val="none"/>
          <w:lang w:val="en-US" w:eastAsia="zh-CN"/>
        </w:rPr>
        <w:t xml:space="preserve">169.875万元，</w:t>
      </w:r>
      <w:r>
        <w:rPr>
          <w:rFonts w:hint="eastAsia" w:asciiTheme="minorEastAsia" w:hAnsiTheme="minorEastAsia" w:eastAsiaTheme="minorEastAsia" w:cstheme="minorEastAsia"/>
          <w:color w:val="auto"/>
          <w:highlight w:val="none"/>
        </w:rPr>
        <w:t xml:space="preserve">报价超过最高限价的为无效报价，按照无效响应处理。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.采购需求：</w:t>
      </w:r>
      <w:r>
        <w:rPr>
          <w:rFonts w:hint="eastAsia" w:asciiTheme="minorEastAsia" w:hAnsiTheme="minorEastAsia" w:cstheme="minorEastAsia"/>
          <w:color w:val="auto"/>
          <w:highlight w:val="none"/>
          <w:lang w:eastAsia="zh-CN"/>
        </w:rPr>
        <w:t xml:space="preserve">根据二轮承包及土地确</w:t>
      </w:r>
      <w:r>
        <w:rPr>
          <w:rFonts w:hint="eastAsia" w:asciiTheme="minorEastAsia" w:hAnsiTheme="minorEastAsia" w:cstheme="minorEastAsia"/>
          <w:color w:val="auto"/>
          <w:highlight w:val="none"/>
          <w:lang w:eastAsia="zh-CN"/>
        </w:rPr>
        <w:t xml:space="preserve">权成果数据，秦南镇2028年度二轮承包全部到期。本轮延包需完成将秦南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秦南镇本轮延包涉及到行政村（社区）29个，承包户约22650户</w:t>
      </w:r>
      <w:r>
        <w:rPr>
          <w:rFonts w:hint="eastAsia" w:asciiTheme="minorEastAsia" w:hAnsiTheme="minorEastAsia" w:eastAsiaTheme="minorEastAsia" w:cstheme="minorEastAsia"/>
          <w:color w:val="auto"/>
          <w:highlight w:val="none"/>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.合同履行期限</w:t>
      </w:r>
      <w:r>
        <w:rPr>
          <w:rFonts w:hint="eastAsia" w:asciiTheme="minorEastAsia" w:hAnsiTheme="minorEastAsia" w:eastAsiaTheme="minorEastAsia" w:cstheme="minorEastAsia"/>
          <w:color w:val="auto"/>
          <w:highlight w:val="none"/>
          <w:lang w:val="en-US" w:eastAsia="zh-CN"/>
        </w:rPr>
        <w:t xml:space="preserve">（服务期）：</w:t>
      </w:r>
      <w:r>
        <w:rPr>
          <w:rFonts w:hint="eastAsia" w:asciiTheme="minorEastAsia" w:hAnsiTheme="minorEastAsia" w:cstheme="minorEastAsia"/>
          <w:color w:val="auto"/>
          <w:highlight w:val="none"/>
          <w:lang w:val="en-US" w:eastAsia="zh-CN"/>
        </w:rPr>
        <w:t xml:space="preserve">120</w:t>
      </w:r>
      <w:r>
        <w:rPr>
          <w:rFonts w:hint="eastAsia" w:asciiTheme="minorEastAsia" w:hAnsiTheme="minorEastAsia" w:eastAsiaTheme="minorEastAsia" w:cstheme="minorEastAsia"/>
          <w:color w:val="auto"/>
          <w:highlight w:val="none"/>
          <w:lang w:val="en-US" w:eastAsia="zh-CN"/>
        </w:rPr>
        <w:t xml:space="preserve">天（且在2027年3月底前完成）。</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.本项目（是/否）接受联合体投标：否。</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 w:name="_Toc38985264"/>
      <w:r/>
      <w:bookmarkStart w:id="13" w:name="_Toc35393791"/>
      <w:r/>
      <w:bookmarkStart w:id="14" w:name="_Toc28359003"/>
      <w:r/>
      <w:bookmarkStart w:id="15" w:name="_Toc35393622"/>
      <w:r/>
      <w:bookmarkStart w:id="16" w:name="_Toc28359080"/>
      <w:r>
        <w:rPr>
          <w:rFonts w:hint="eastAsia" w:asciiTheme="minorEastAsia" w:hAnsiTheme="minorEastAsia" w:eastAsiaTheme="minorEastAsia" w:cstheme="minorEastAsia"/>
          <w:b/>
          <w:color w:val="auto"/>
          <w:highlight w:val="none"/>
        </w:rPr>
        <w:t xml:space="preserve">二、申请人的资格要求：</w:t>
      </w:r>
      <w:bookmarkEnd w:id="12"/>
      <w:r/>
      <w:bookmarkEnd w:id="13"/>
      <w:r/>
      <w:bookmarkEnd w:id="14"/>
      <w:r/>
      <w:bookmarkEnd w:id="15"/>
      <w:r/>
      <w:bookmarkEnd w:id="16"/>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1.满足《中华人民共和国政府采购法》第二十二条规定，并提供下列材料：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法人或者其他组织的营业执照等证明文件，自然人的身份证明。</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1.2</w:t>
      </w:r>
      <w:bookmarkStart w:id="17" w:name="OLE_LINK1"/>
      <w:r>
        <w:rPr>
          <w:rFonts w:hint="eastAsia" w:asciiTheme="minorEastAsia" w:hAnsiTheme="minorEastAsia" w:eastAsiaTheme="minorEastAsia" w:cstheme="minorEastAsia"/>
          <w:color w:val="auto"/>
          <w:highlight w:val="none"/>
        </w:rPr>
        <w:t xml:space="preserve">上一年度的财务状况报</w:t>
      </w:r>
      <w:bookmarkEnd w:id="17"/>
      <w:r>
        <w:rPr>
          <w:rFonts w:hint="eastAsia" w:asciiTheme="minorEastAsia" w:hAnsiTheme="minorEastAsia" w:cstheme="minorEastAsia"/>
          <w:color w:val="auto"/>
          <w:highlight w:val="none"/>
          <w:lang w:val="en-US" w:eastAsia="zh-CN"/>
        </w:rPr>
        <w:t xml:space="preserve">告</w:t>
      </w:r>
      <w:r>
        <w:rPr>
          <w:rFonts w:hint="eastAsia" w:asciiTheme="minorEastAsia" w:hAnsiTheme="minorEastAsia" w:eastAsiaTheme="minorEastAsia" w:cstheme="minorEastAsia"/>
          <w:color w:val="auto"/>
          <w:highlight w:val="none"/>
        </w:rPr>
        <w:t xml:space="preserve">（成立不满一年无需提供）</w:t>
      </w:r>
      <w:r>
        <w:rPr>
          <w:rFonts w:hint="eastAsia" w:asciiTheme="minorEastAsia" w:hAnsiTheme="minorEastAsia" w:cstheme="minorEastAsia"/>
          <w:color w:val="auto"/>
          <w:highlight w:val="none"/>
          <w:lang w:eastAsia="zh-CN"/>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1.3具备履行合同所必需的设备和专业技术能力的书面声明。</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1.5参加政府采购活动前3年内在经营活动中没有重大违法记录的书面声明。</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1.6法律、行政法规规定的其他条件。（响应文件中无需提供证明材料）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56" w:name="_GoBack"/>
      <w:r/>
      <w:bookmarkEnd w:id="156"/>
      <w:r>
        <w:rPr>
          <w:rFonts w:hint="eastAsia" w:asciiTheme="minorEastAsia" w:hAnsiTheme="minorEastAsia" w:eastAsiaTheme="minorEastAsia" w:cstheme="minorEastAsia"/>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（响应文件中无需提供证明材料）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1.8单位负责人为同一人或者存在直接控股、管理关系的不同供应商，不得参加同一合同项下的政府采购活动。（响应文件中无需提供证明材料）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落实政府采购政策需满足的资格要求：本项目专门面向中小企业采购。采购标的所属行业为租赁和商务服务业，投标人需按照采购文件的要求提供相应的《中小企业声明函》。企业标准请参照《关于印发中小企业划型标准规定的通知》（工信部联企业[2011]300号）文件规定自行填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3.本项目的特定资格要求：供应商具备主管部门颁发的有效的乙级及以上测绘资质（专业类别须包含：界线与不动产测绘、地理信息系统工程两项）（提供资质证书扫描件）</w:t>
      </w:r>
      <w:r>
        <w:rPr>
          <w:rFonts w:hint="eastAsia" w:asciiTheme="minorEastAsia" w:hAnsiTheme="minorEastAsia" w:cstheme="minorEastAsia"/>
          <w:color w:val="auto"/>
          <w:highlight w:val="none"/>
          <w:lang w:eastAsia="zh-CN"/>
        </w:rPr>
        <w:t xml:space="preserve">。</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三、获取招标文件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8" w:name="_Toc35393624"/>
      <w:r/>
      <w:bookmarkStart w:id="19" w:name="_Toc28359082"/>
      <w:r/>
      <w:bookmarkStart w:id="20" w:name="_Toc38985266"/>
      <w:r/>
      <w:bookmarkStart w:id="21" w:name="_Toc35393793"/>
      <w:r/>
      <w:bookmarkStart w:id="22" w:name="_Toc28359005"/>
      <w:r>
        <w:rPr>
          <w:rFonts w:hint="eastAsia" w:asciiTheme="minorEastAsia" w:hAnsiTheme="minorEastAsia" w:eastAsiaTheme="minorEastAsia" w:cstheme="minorEastAsia"/>
          <w:color w:val="auto"/>
          <w:highlight w:val="none"/>
        </w:rPr>
        <w:t xml:space="preserve">1.时间：</w:t>
      </w:r>
      <w:bookmarkEnd w:id="18"/>
      <w:r/>
      <w:bookmarkEnd w:id="19"/>
      <w:r/>
      <w:bookmarkEnd w:id="20"/>
      <w:r/>
      <w:bookmarkEnd w:id="21"/>
      <w:r/>
      <w:bookmarkEnd w:id="22"/>
      <w:r>
        <w:rPr>
          <w:rFonts w:hint="eastAsia" w:asciiTheme="minorEastAsia" w:hAnsiTheme="minorEastAsia" w:eastAsiaTheme="minorEastAsia" w:cstheme="minorEastAsia"/>
          <w:color w:val="auto"/>
          <w:highlight w:val="none"/>
        </w:rPr>
        <w:t xml:space="preserve">自招标文件公告发布之日起5个工作日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2.地点：“苏采云”系统内免费下载（投标人必须在苏采云系统中获取采购文件，方能参与政府采购项目）；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3.方式：本项目采用网上注册登记方式。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4.售价：0元</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四、提交投标文件截止时间、开标时间和地点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1.时间：2026年11月2</w:t>
      </w:r>
      <w:r>
        <w:rPr>
          <w:rFonts w:hint="eastAsia" w:asciiTheme="minorEastAsia" w:hAnsi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日</w:t>
      </w:r>
      <w:r>
        <w:rPr>
          <w:rFonts w:hint="eastAsia" w:asciiTheme="minorEastAsia" w:hAnsiTheme="minorEastAsia" w:cstheme="minorEastAsia"/>
          <w:color w:val="auto"/>
          <w:highlight w:val="none"/>
          <w:lang w:val="en-US" w:eastAsia="zh-CN"/>
        </w:rPr>
        <w:t xml:space="preserve">15</w:t>
      </w:r>
      <w:r>
        <w:rPr>
          <w:rFonts w:hint="eastAsia" w:asciiTheme="minorEastAsia" w:hAnsiTheme="minorEastAsia" w:eastAsiaTheme="minorEastAsia" w:cstheme="minorEastAsia"/>
          <w:color w:val="auto"/>
          <w:highlight w:val="none"/>
        </w:rPr>
        <w:t xml:space="preserve">点00分（北京时间）。</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2.地点：苏采云“不见面”开标大厅 。</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23" w:name="_Toc28359084"/>
      <w:r/>
      <w:bookmarkStart w:id="24" w:name="_Toc28359007"/>
      <w:r/>
      <w:bookmarkStart w:id="25" w:name="_Toc35393794"/>
      <w:r/>
      <w:bookmarkStart w:id="26" w:name="_Toc35393625"/>
      <w:r/>
      <w:bookmarkStart w:id="27" w:name="_Toc38985267"/>
      <w:r>
        <w:rPr>
          <w:rFonts w:hint="eastAsia" w:asciiTheme="minorEastAsia" w:hAnsiTheme="minorEastAsia" w:eastAsiaTheme="minorEastAsia" w:cstheme="minorEastAsia"/>
          <w:b/>
          <w:color w:val="auto"/>
          <w:highlight w:val="none"/>
        </w:rPr>
        <w:t xml:space="preserve">五、公告期限</w:t>
      </w:r>
      <w:bookmarkEnd w:id="23"/>
      <w:r/>
      <w:bookmarkEnd w:id="24"/>
      <w:r/>
      <w:bookmarkEnd w:id="25"/>
      <w:r/>
      <w:bookmarkEnd w:id="26"/>
      <w:r/>
      <w:bookmarkEnd w:id="27"/>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28" w:name="_Toc35393795"/>
      <w:r/>
      <w:bookmarkStart w:id="29" w:name="_Toc35393626"/>
      <w:r/>
      <w:bookmarkStart w:id="30" w:name="_Toc38985268"/>
      <w:r>
        <w:rPr>
          <w:rFonts w:hint="eastAsia" w:asciiTheme="minorEastAsia" w:hAnsiTheme="minorEastAsia" w:eastAsiaTheme="minorEastAsia" w:cstheme="minorEastAsia"/>
          <w:color w:val="auto"/>
          <w:highlight w:val="none"/>
        </w:rPr>
        <w:t xml:space="preserve">自本公告发布之日起5个工作日。</w:t>
      </w:r>
      <w:bookmarkEnd w:id="28"/>
      <w:r/>
      <w:bookmarkEnd w:id="29"/>
      <w:r/>
      <w:bookmarkEnd w:id="30"/>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六、其他补充事宜</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2.潜在供应商访问电子招标响应交易平台的网络地址和方法：</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潜在投标人访问“苏采云”系统方法：江苏省政府采购网首页-“苏采云”链接。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 采购文件（后缀名为“.kedt”）、供应商操作手册及政府采购客户端 工具可通过“苏采云”系统相应链接进行下载。</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采购代理机构将数据电文形式的采购文件加载至“苏采云”系统，供潜在供应商下载或者查阅。</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请潜在投标单位提前安装相应的控件（详见《“苏采云”系统供应商操作手册》）并使用谷歌浏览器登录“苏采云”系统参与不见面开评标。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如潜在投标人未按上述要求操作，将自行承担所产生的风险。</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3.有关本次招标的事项若存在变动或修改，敬请及时关注采购代理机构在“中国政府采购网”、“江苏政府采购网”“盐城市政府采购网”发布的更正公告。</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4.本次招标不收取投标保证金，不收取质量保证金。</w:t>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七、对本次招标提出询问，请按以下方式联系。</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单位名称：</w:t>
      </w:r>
      <w:r>
        <w:rPr>
          <w:rFonts w:hint="eastAsia" w:asciiTheme="minorEastAsia" w:hAnsiTheme="minorEastAsia" w:cstheme="minorEastAsia"/>
          <w:color w:val="auto"/>
          <w:highlight w:val="none"/>
          <w:lang w:eastAsia="zh-CN"/>
        </w:rPr>
        <w:t xml:space="preserve">盐城市盐都区秦南镇人民政府</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单位地址：盐城市盐都区人民路98号</w:t>
      </w:r>
      <w:r/>
    </w:p>
    <w:p>
      <w:pPr>
        <w:pStyle w:val="2149"/>
        <w:ind w:firstLine="480"/>
        <w:jc w:val="both"/>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cstheme="minorEastAsia"/>
          <w:color w:val="auto"/>
          <w:highlight w:val="none"/>
          <w:lang w:val="en-US" w:eastAsia="zh-CN"/>
        </w:rPr>
        <w:t xml:space="preserve">杨芳</w:t>
      </w:r>
      <w:r/>
    </w:p>
    <w:p>
      <w:pPr>
        <w:pStyle w:val="2149"/>
        <w:ind w:firstLine="480"/>
        <w:jc w:val="both"/>
        <w:pageBreakBefore w:val="0"/>
        <w:spacing w:beforeAutospacing="0" w:afterAutospacing="0" w:line="50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cstheme="minorEastAsia"/>
          <w:color w:val="auto"/>
          <w:highlight w:val="none"/>
          <w:lang w:val="en-US" w:eastAsia="zh-CN"/>
        </w:rPr>
        <w:t xml:space="preserve">13921803885</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2、招标代理机构信息</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名称：</w:t>
      </w:r>
      <w:r>
        <w:rPr>
          <w:rFonts w:hint="eastAsia" w:asciiTheme="minorEastAsia" w:hAnsiTheme="minorEastAsia" w:cstheme="minorEastAsia"/>
          <w:color w:val="auto"/>
          <w:highlight w:val="none"/>
          <w:lang w:eastAsia="zh-CN"/>
        </w:rPr>
        <w:t xml:space="preserve">江苏正方工程项目管理房地产评估有限公司</w:t>
      </w:r>
      <w:r>
        <w:rPr>
          <w:rFonts w:hint="eastAsia" w:asciiTheme="minorEastAsia" w:hAnsiTheme="minorEastAsia" w:eastAsiaTheme="minorEastAsia" w:cstheme="minorEastAsia"/>
          <w:color w:val="auto"/>
          <w:highlight w:val="none"/>
        </w:rPr>
        <w:t xml:space="preserve">    </w:t>
      </w:r>
      <w:r/>
    </w:p>
    <w:p>
      <w:pPr>
        <w:pStyle w:val="2149"/>
        <w:ind w:firstLine="480"/>
        <w:jc w:val="both"/>
        <w:pageBreakBefore w:val="0"/>
        <w:spacing w:beforeAutospacing="0" w:afterAutospacing="0" w:line="50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单位地址：盐城市</w:t>
      </w:r>
      <w:r>
        <w:rPr>
          <w:rFonts w:hint="eastAsia" w:asciiTheme="minorEastAsia" w:hAnsiTheme="minorEastAsia" w:cstheme="minorEastAsia"/>
          <w:color w:val="auto"/>
          <w:highlight w:val="none"/>
          <w:lang w:val="en-US" w:eastAsia="zh-CN"/>
        </w:rPr>
        <w:t xml:space="preserve">亭湖区建东路171号水岸观澜4号楼3楼</w:t>
      </w:r>
      <w:r/>
    </w:p>
    <w:p>
      <w:pPr>
        <w:pStyle w:val="2149"/>
        <w:ind w:firstLine="480"/>
        <w:jc w:val="both"/>
        <w:pageBreakBefore w:val="0"/>
        <w:spacing w:beforeAutospacing="0" w:afterAutospacing="0" w:line="50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cstheme="minorEastAsia"/>
          <w:color w:val="auto"/>
          <w:highlight w:val="none"/>
          <w:lang w:val="en-US" w:eastAsia="zh-CN"/>
        </w:rPr>
        <w:t xml:space="preserve">李工</w:t>
      </w:r>
      <w:r/>
    </w:p>
    <w:p>
      <w:pPr>
        <w:pStyle w:val="2149"/>
        <w:ind w:firstLine="480"/>
        <w:jc w:val="both"/>
        <w:pageBreakBefore w:val="0"/>
        <w:spacing w:beforeAutospacing="0" w:afterAutospacing="0" w:line="50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cstheme="minorEastAsia"/>
          <w:color w:val="auto"/>
          <w:highlight w:val="none"/>
          <w:lang w:val="en-US" w:eastAsia="zh-CN"/>
        </w:rPr>
        <w:t xml:space="preserve">18344764709</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2149"/>
        <w:ind w:firstLine="2429"/>
        <w:jc w:val="both"/>
        <w:keepLines/>
        <w:keepNext/>
        <w:spacing w:before="260" w:beforeAutospacing="0" w:after="260" w:afterAutospacing="0" w:line="415"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第二章  </w:t>
      </w:r>
      <w:bookmarkStart w:id="31" w:name="_Toc513029202"/>
      <w:r/>
      <w:bookmarkStart w:id="32" w:name="_Toc16938518"/>
      <w:r/>
      <w:bookmarkStart w:id="33" w:name="_Toc20823274"/>
      <w:r/>
      <w:bookmarkStart w:id="34" w:name="_Toc120614213"/>
      <w:r>
        <w:rPr>
          <w:rFonts w:hint="eastAsia" w:asciiTheme="minorEastAsia" w:hAnsiTheme="minorEastAsia" w:eastAsiaTheme="minorEastAsia" w:cstheme="minorEastAsia"/>
          <w:b/>
          <w:color w:val="auto"/>
          <w:sz w:val="44"/>
          <w:szCs w:val="44"/>
          <w:highlight w:val="none"/>
        </w:rPr>
        <w:t xml:space="preserve">投标人须知</w:t>
      </w:r>
      <w:bookmarkEnd w:id="31"/>
      <w:r/>
      <w:bookmarkEnd w:id="32"/>
      <w:r/>
      <w:bookmarkEnd w:id="33"/>
      <w:r/>
      <w:bookmarkEnd w:id="34"/>
      <w:r/>
      <w:r/>
    </w:p>
    <w:p>
      <w:pPr>
        <w:pStyle w:val="2149"/>
        <w:ind w:firstLine="498"/>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35" w:name="_Toc120614214"/>
      <w:r/>
      <w:bookmarkStart w:id="36" w:name="_Toc16938519"/>
      <w:r/>
      <w:bookmarkStart w:id="37" w:name="_Toc513029203"/>
      <w:r/>
      <w:bookmarkStart w:id="38" w:name="_Toc20823275"/>
      <w:r>
        <w:rPr>
          <w:rFonts w:hint="eastAsia" w:asciiTheme="minorEastAsia" w:hAnsiTheme="minorEastAsia" w:eastAsiaTheme="minorEastAsia" w:cstheme="minorEastAsia"/>
          <w:b/>
          <w:color w:val="auto"/>
          <w:highlight w:val="none"/>
        </w:rPr>
        <w:t xml:space="preserve">一、总则</w:t>
      </w:r>
      <w:bookmarkEnd w:id="35"/>
      <w:r/>
      <w:bookmarkEnd w:id="36"/>
      <w:r/>
      <w:bookmarkEnd w:id="37"/>
      <w:r/>
      <w:bookmarkEnd w:id="38"/>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39" w:name="_Toc20823276"/>
      <w:r/>
      <w:bookmarkStart w:id="40" w:name="_Toc513029204"/>
      <w:r/>
      <w:bookmarkStart w:id="41" w:name="_Toc458694821"/>
      <w:r/>
      <w:bookmarkStart w:id="42" w:name="_Toc16938520"/>
      <w:r>
        <w:rPr>
          <w:rFonts w:hint="eastAsia" w:asciiTheme="minorEastAsia" w:hAnsiTheme="minorEastAsia" w:eastAsiaTheme="minorEastAsia" w:cstheme="minorEastAsia"/>
          <w:color w:val="auto"/>
          <w:highlight w:val="none"/>
        </w:rPr>
        <w:t xml:space="preserve">1</w:t>
      </w:r>
      <w:bookmarkEnd w:id="39"/>
      <w:r>
        <w:rPr>
          <w:rFonts w:hint="eastAsia" w:asciiTheme="minorEastAsia" w:hAnsiTheme="minorEastAsia" w:eastAsiaTheme="minorEastAsia" w:cstheme="minorEastAsia"/>
          <w:color w:val="auto"/>
          <w:highlight w:val="none"/>
        </w:rPr>
        <w:t xml:space="preserve">、招标方式</w:t>
      </w:r>
      <w:bookmarkEnd w:id="40"/>
      <w:r/>
      <w:bookmarkEnd w:id="41"/>
      <w:r/>
      <w:bookmarkEnd w:id="42"/>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本次招标采取公开招标方式，本招标文件仅适用于招标公告中所述项目。</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43" w:name="_Toc20823277"/>
      <w:r/>
      <w:bookmarkStart w:id="44" w:name="_Toc513029205"/>
      <w:r/>
      <w:bookmarkStart w:id="45" w:name="_Toc16938521"/>
      <w:r>
        <w:rPr>
          <w:rFonts w:hint="eastAsia" w:asciiTheme="minorEastAsia" w:hAnsiTheme="minorEastAsia" w:eastAsiaTheme="minorEastAsia" w:cstheme="minorEastAsia"/>
          <w:color w:val="auto"/>
          <w:highlight w:val="none"/>
        </w:rPr>
        <w:t xml:space="preserve">2、合格的投标人</w:t>
      </w:r>
      <w:bookmarkEnd w:id="43"/>
      <w:r/>
      <w:bookmarkEnd w:id="44"/>
      <w:r/>
      <w:bookmarkEnd w:id="45"/>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满足本文件实质性要求和条件的规定。</w:t>
      </w:r>
      <w:r/>
    </w:p>
    <w:p>
      <w:pPr>
        <w:ind w:firstLine="420"/>
        <w:pageBreakBefore w:val="0"/>
        <w:spacing w:line="500" w:lineRule="exact"/>
        <w:widowControl w:val="off"/>
        <w:rPr>
          <w:rFonts w:hint="eastAsia" w:asciiTheme="minorEastAsia" w:hAnsiTheme="minorEastAsia" w:eastAsiaTheme="minorEastAsia" w:cstheme="minorEastAsia"/>
          <w:color w:val="auto"/>
          <w:sz w:val="24"/>
          <w:szCs w:val="21"/>
          <w:highlight w:val="none"/>
        </w:rPr>
      </w:pPr>
      <w:r/>
      <w:bookmarkStart w:id="46" w:name="_Toc16938522"/>
      <w:r/>
      <w:bookmarkStart w:id="47" w:name="_Toc513029206"/>
      <w:r/>
      <w:bookmarkStart w:id="48" w:name="_Toc20823278"/>
      <w:r>
        <w:rPr>
          <w:rFonts w:hint="eastAsia" w:asciiTheme="minorEastAsia" w:hAnsiTheme="minorEastAsia" w:eastAsiaTheme="minorEastAsia" w:cstheme="minorEastAsia"/>
          <w:color w:val="auto"/>
          <w:sz w:val="24"/>
          <w:szCs w:val="21"/>
          <w:highlight w:val="none"/>
        </w:rPr>
        <w:t xml:space="preserve">3、适用法律</w:t>
      </w:r>
      <w:bookmarkEnd w:id="46"/>
      <w:r/>
      <w:bookmarkEnd w:id="47"/>
      <w:r/>
      <w:bookmarkEnd w:id="48"/>
      <w:r>
        <w:rPr>
          <w:rFonts w:hint="eastAsia" w:asciiTheme="minorEastAsia" w:hAnsiTheme="minorEastAsia" w:eastAsiaTheme="minorEastAsia" w:cstheme="minorEastAsia"/>
          <w:color w:val="auto"/>
          <w:sz w:val="24"/>
          <w:szCs w:val="21"/>
          <w:highlight w:val="none"/>
        </w:rPr>
        <w:t xml:space="preserve">和标准</w:t>
      </w:r>
      <w:r/>
    </w:p>
    <w:p>
      <w:pPr>
        <w:pStyle w:val="2149"/>
        <w:ind w:firstLine="42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本次招标及由此产生的合同受中华人民共和国有关的法律法规制约和保护。</w:t>
      </w:r>
      <w:r/>
    </w:p>
    <w:p>
      <w:pPr>
        <w:ind w:firstLine="42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 xml:space="preserve">3.2 在本项目政府采购活动过程中，如果所执行的标准有更新的，按照最新标准执行。</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49" w:name="_Toc513029207"/>
      <w:r/>
      <w:bookmarkStart w:id="50" w:name="_Toc20823279"/>
      <w:r/>
      <w:bookmarkStart w:id="51" w:name="_Toc16938523"/>
      <w:r/>
      <w:bookmarkStart w:id="52" w:name="_Toc462564067"/>
      <w:r>
        <w:rPr>
          <w:rFonts w:hint="eastAsia" w:asciiTheme="minorEastAsia" w:hAnsiTheme="minorEastAsia" w:eastAsiaTheme="minorEastAsia" w:cstheme="minorEastAsia"/>
          <w:color w:val="auto"/>
          <w:highlight w:val="none"/>
        </w:rPr>
        <w:t xml:space="preserve">4、投标费用</w:t>
      </w:r>
      <w:bookmarkEnd w:id="49"/>
      <w:r/>
      <w:bookmarkEnd w:id="50"/>
      <w:r/>
      <w:bookmarkEnd w:id="51"/>
      <w:r/>
      <w:bookmarkEnd w:id="52"/>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4.1投标人应自行承担所有与参加投标有关的费用，无论投标过程中的做法和结果如何，采购人和采购代理机构在任何情况下均无义务和责任承担这些费用。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4.2本次招标采购人和采购代理机构不收取标书工本费。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4.3本项目代理服务费由项目中标单位支付，代理服务费收费标准按照苏招协[2022]002号文计取，由中标人领取中标通知书前，向代理公司支付，请投标人考虑在投标报价中。</w:t>
      </w:r>
      <w:r/>
    </w:p>
    <w:p>
      <w:pPr>
        <w:pStyle w:val="2149"/>
        <w:ind w:firstLine="60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5、</w:t>
      </w:r>
      <w:r>
        <w:rPr>
          <w:rFonts w:hint="eastAsia" w:asciiTheme="minorEastAsia" w:hAnsiTheme="minorEastAsia" w:eastAsiaTheme="minorEastAsia" w:cstheme="minorEastAsia"/>
          <w:color w:val="auto"/>
          <w:highlight w:val="none"/>
        </w:rPr>
        <w:t xml:space="preserve">招标文件的约束力</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投标人一旦参加本项目采购活动，即被认为接受了本招标文件的规定和约束。</w:t>
      </w:r>
      <w:r/>
    </w:p>
    <w:p>
      <w:pPr>
        <w:pStyle w:val="2149"/>
        <w:ind w:firstLine="321"/>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53" w:name="_Toc16938525"/>
      <w:r/>
      <w:bookmarkStart w:id="54" w:name="_Toc513029209"/>
      <w:r/>
      <w:bookmarkStart w:id="55" w:name="_Toc20823281"/>
      <w:r/>
      <w:bookmarkStart w:id="56" w:name="_Toc120614215"/>
      <w:r>
        <w:rPr>
          <w:rFonts w:hint="eastAsia" w:asciiTheme="minorEastAsia" w:hAnsiTheme="minorEastAsia" w:eastAsiaTheme="minorEastAsia" w:cstheme="minorEastAsia"/>
          <w:b/>
          <w:color w:val="auto"/>
          <w:highlight w:val="none"/>
        </w:rPr>
        <w:t xml:space="preserve">二、招标文件</w:t>
      </w:r>
      <w:bookmarkEnd w:id="53"/>
      <w:r/>
      <w:bookmarkEnd w:id="54"/>
      <w:r/>
      <w:bookmarkEnd w:id="55"/>
      <w:r/>
      <w:bookmarkEnd w:id="56"/>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57" w:name="_Toc20823282"/>
      <w:r/>
      <w:bookmarkStart w:id="58" w:name="_Toc513029210"/>
      <w:r/>
      <w:bookmarkStart w:id="59" w:name="_Toc16938526"/>
      <w:r>
        <w:rPr>
          <w:rFonts w:hint="eastAsia" w:asciiTheme="minorEastAsia" w:hAnsiTheme="minorEastAsia" w:eastAsiaTheme="minorEastAsia" w:cstheme="minorEastAsia"/>
          <w:color w:val="auto"/>
          <w:highlight w:val="none"/>
        </w:rPr>
        <w:t xml:space="preserve">6、招标文件构成</w:t>
      </w:r>
      <w:bookmarkEnd w:id="57"/>
      <w:r/>
      <w:bookmarkEnd w:id="58"/>
      <w:r/>
      <w:bookmarkEnd w:id="59"/>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（1）招标公告</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请仔细检查招标文件是否齐全，如有缺漏请立即与采购代理机构联系解决。</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2149"/>
        <w:ind w:firstLine="56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0" w:name="_Toc20823283"/>
      <w:r/>
      <w:bookmarkStart w:id="61" w:name="_Toc513029211"/>
      <w:r/>
      <w:bookmarkStart w:id="62" w:name="_Toc462564070"/>
      <w:r/>
      <w:bookmarkStart w:id="63" w:name="_Toc16938527"/>
      <w:r>
        <w:rPr>
          <w:rFonts w:hint="eastAsia" w:asciiTheme="minorEastAsia" w:hAnsiTheme="minorEastAsia" w:eastAsiaTheme="minorEastAsia" w:cstheme="minorEastAsia"/>
          <w:color w:val="auto"/>
          <w:highlight w:val="none"/>
        </w:rPr>
        <w:t xml:space="preserve">7、招标文件的澄清</w:t>
      </w:r>
      <w:bookmarkEnd w:id="60"/>
      <w:r/>
      <w:bookmarkEnd w:id="61"/>
      <w:r/>
      <w:bookmarkEnd w:id="62"/>
      <w:r/>
      <w:bookmarkEnd w:id="63"/>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 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前按招标公告中的通讯地址，以书面形式通知采购人或采购代理机构。</w:t>
      </w:r>
      <w:r/>
    </w:p>
    <w:p>
      <w:pPr>
        <w:pStyle w:val="2149"/>
        <w:ind w:firstLine="56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4" w:name="_Toc513029212"/>
      <w:r/>
      <w:bookmarkStart w:id="65" w:name="_Toc16938528"/>
      <w:r/>
      <w:bookmarkStart w:id="66" w:name="_Toc462564071"/>
      <w:r/>
      <w:bookmarkStart w:id="67" w:name="_Toc20823284"/>
      <w:r>
        <w:rPr>
          <w:rFonts w:hint="eastAsia" w:asciiTheme="minorEastAsia" w:hAnsiTheme="minorEastAsia" w:eastAsiaTheme="minorEastAsia" w:cstheme="minorEastAsia"/>
          <w:color w:val="auto"/>
          <w:highlight w:val="none"/>
        </w:rPr>
        <w:t xml:space="preserve">8、招标文件的修改</w:t>
      </w:r>
      <w:bookmarkEnd w:id="64"/>
      <w:r/>
      <w:bookmarkEnd w:id="65"/>
      <w:r/>
      <w:bookmarkEnd w:id="66"/>
      <w:r/>
      <w:bookmarkEnd w:id="67"/>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 在投标截止时间前，采购人可以对招标文件进行修改。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 采购人有权按照法定的要求推迟投标截止日期和开标日期。</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 招标文件的修改将在中国政府采购网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江苏政府采购网、盐城市政府采购网公布，补充文件将作为招标文件的组成部分，并对投标人具有约束力。</w:t>
      </w:r>
      <w:r/>
    </w:p>
    <w:p>
      <w:pPr>
        <w:pStyle w:val="2149"/>
        <w:ind w:firstLine="48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68" w:name="_Toc120614216"/>
      <w:r/>
      <w:bookmarkStart w:id="69" w:name="_Toc16938529"/>
      <w:r/>
      <w:bookmarkStart w:id="70" w:name="_Toc513029213"/>
      <w:r/>
      <w:bookmarkStart w:id="71" w:name="_Toc462564072"/>
      <w:r/>
      <w:bookmarkStart w:id="72" w:name="_Toc20823285"/>
      <w:r>
        <w:rPr>
          <w:rFonts w:hint="eastAsia" w:asciiTheme="minorEastAsia" w:hAnsiTheme="minorEastAsia" w:eastAsiaTheme="minorEastAsia" w:cstheme="minorEastAsia"/>
          <w:b/>
          <w:color w:val="auto"/>
          <w:highlight w:val="none"/>
        </w:rPr>
        <w:t xml:space="preserve">三、投标文件的编制</w:t>
      </w:r>
      <w:bookmarkEnd w:id="68"/>
      <w:r/>
      <w:bookmarkEnd w:id="69"/>
      <w:r/>
      <w:bookmarkEnd w:id="70"/>
      <w:r/>
      <w:bookmarkEnd w:id="71"/>
      <w:r/>
      <w:bookmarkEnd w:id="72"/>
      <w:r/>
      <w:r/>
    </w:p>
    <w:p>
      <w:pPr>
        <w:pStyle w:val="2149"/>
        <w:ind w:firstLine="56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73" w:name="_Toc513029214"/>
      <w:r/>
      <w:bookmarkStart w:id="74" w:name="_Toc20823286"/>
      <w:r/>
      <w:bookmarkStart w:id="75" w:name="_Toc462564073"/>
      <w:r/>
      <w:bookmarkStart w:id="76" w:name="_Toc16938530"/>
      <w:r>
        <w:rPr>
          <w:rFonts w:hint="eastAsia" w:asciiTheme="minorEastAsia" w:hAnsiTheme="minorEastAsia" w:eastAsiaTheme="minorEastAsia" w:cstheme="minorEastAsia"/>
          <w:color w:val="auto"/>
          <w:highlight w:val="none"/>
        </w:rPr>
        <w:t xml:space="preserve">9、投标文件的语言及度量衡单位</w:t>
      </w:r>
      <w:bookmarkEnd w:id="73"/>
      <w:r/>
      <w:bookmarkEnd w:id="74"/>
      <w:r/>
      <w:bookmarkEnd w:id="75"/>
      <w:r/>
      <w:bookmarkEnd w:id="76"/>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 投标人提交的投标文件以及投标人与采购人或采购代理机构就有关投标的所有来往通知、函件和文件均应使用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 除技术性能另有规定外，投标文件所使用的度量衡单位，均须采用国家法定计量单位。</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77" w:name="_Toc16938531"/>
      <w:r/>
      <w:bookmarkStart w:id="78" w:name="_Toc20823287"/>
      <w:r/>
      <w:bookmarkStart w:id="79" w:name="_Toc462564074"/>
      <w:r/>
      <w:bookmarkStart w:id="80" w:name="_Toc513029215"/>
      <w:r>
        <w:rPr>
          <w:rFonts w:hint="eastAsia" w:asciiTheme="minorEastAsia" w:hAnsiTheme="minorEastAsia" w:eastAsiaTheme="minorEastAsia" w:cstheme="minorEastAsia"/>
          <w:color w:val="auto"/>
          <w:highlight w:val="none"/>
        </w:rPr>
        <w:t xml:space="preserve">10、投标文件构成</w:t>
      </w:r>
      <w:bookmarkEnd w:id="77"/>
      <w:r/>
      <w:bookmarkEnd w:id="78"/>
      <w:r/>
      <w:bookmarkEnd w:id="79"/>
      <w:r/>
      <w:bookmarkEnd w:id="80"/>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 如标书制作工具中格式和内容与</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发布的招标文件不一致，请以“中国政府采购网”“江苏政府采购网”“盐城市政府采购网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发布的招标文件为准。</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81" w:name="_Toc49090507"/>
      <w:r/>
      <w:bookmarkStart w:id="82" w:name="_Toc49090508"/>
      <w:r/>
      <w:bookmarkStart w:id="83" w:name="_Toc14577357"/>
      <w:r/>
      <w:bookmarkStart w:id="84" w:name="_Toc513029216"/>
      <w:r/>
      <w:bookmarkStart w:id="85" w:name="_Toc14577354"/>
      <w:r/>
      <w:bookmarkStart w:id="86" w:name="_Toc14577355"/>
      <w:r/>
      <w:bookmarkStart w:id="87" w:name="_Toc513029219"/>
      <w:r/>
      <w:bookmarkStart w:id="88" w:name="_Toc49090509"/>
      <w:r>
        <w:rPr>
          <w:rFonts w:hint="eastAsia" w:asciiTheme="minorEastAsia" w:hAnsiTheme="minorEastAsia" w:eastAsiaTheme="minorEastAsia" w:cstheme="minorEastAsia"/>
          <w:color w:val="auto"/>
          <w:highlight w:val="none"/>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投标人应按照招标文件要求提交证明文件，证明其及投标标的符合招标文件规定。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12、投标分项报价表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投标人应按照招标文件规定格式填报投标分项报价表。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12.2投标货币。投标文件中的单价和总价无特殊规定的采用人民币报价，以元为单位标注。招标文件中另有规定的按规定执行。</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13、技术要求响应及偏离表、商务要求响应及偏离表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投标人需对招标文件中的技术要求与商务要求逐项作出响应或偏离，并说明原因。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投标人可在投标文件中提供认为需要的其他技术文件或说明。</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14、服务承诺、培训计划、人员安排及其他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投标人需根据招标文件要求提供培训计划。</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14.3投标人需根据招标文件要求提供所投标的主要组成部分、功能设计、实现思路及关键技术等。</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89" w:name="_Toc49090510"/>
      <w:r/>
      <w:bookmarkStart w:id="90" w:name="_Toc14577359"/>
      <w:r>
        <w:rPr>
          <w:rFonts w:hint="eastAsia" w:asciiTheme="minorEastAsia" w:hAnsiTheme="minorEastAsia" w:eastAsiaTheme="minorEastAsia" w:cstheme="minorEastAsia"/>
          <w:color w:val="auto"/>
          <w:highlight w:val="none"/>
        </w:rPr>
        <w:t xml:space="preserve">15、投标函和开标一览表</w:t>
      </w:r>
      <w:bookmarkEnd w:id="89"/>
      <w:r/>
      <w:bookmarkEnd w:id="90"/>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 投标人应按照招标文件中提供的格式完整、正确填写投标函、开标一览表。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91" w:name="_Toc14577360"/>
      <w:r/>
      <w:bookmarkStart w:id="92" w:name="_Toc49090511"/>
      <w:r>
        <w:rPr>
          <w:rFonts w:hint="eastAsia" w:asciiTheme="minorEastAsia" w:hAnsiTheme="minorEastAsia" w:eastAsiaTheme="minorEastAsia" w:cstheme="minorEastAsia"/>
          <w:color w:val="auto"/>
          <w:highlight w:val="none"/>
        </w:rPr>
        <w:t xml:space="preserve">16、投标有效期</w:t>
      </w:r>
      <w:bookmarkEnd w:id="91"/>
      <w:r/>
      <w:bookmarkEnd w:id="92"/>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16.1投标有效期为采购人规定的开标之日后</w:t>
      </w:r>
      <w:r>
        <w:rPr>
          <w:rFonts w:hint="eastAsia" w:asciiTheme="minorEastAsia" w:hAnsiTheme="minorEastAsia" w:eastAsiaTheme="minorEastAsia" w:cstheme="minorEastAsia"/>
          <w:b/>
          <w:color w:val="auto"/>
          <w:highlight w:val="none"/>
          <w:u w:val="single"/>
        </w:rPr>
        <w:t xml:space="preserve">九十（90）天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17、投标有效期的延长</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2149"/>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93" w:name="_Toc16938540"/>
      <w:r/>
      <w:bookmarkStart w:id="94" w:name="_Toc513029224"/>
      <w:r/>
      <w:bookmarkStart w:id="95" w:name="_Toc120614217"/>
      <w:r/>
      <w:bookmarkStart w:id="96" w:name="_Toc20823296"/>
      <w:r>
        <w:rPr>
          <w:rFonts w:hint="eastAsia" w:asciiTheme="minorEastAsia" w:hAnsiTheme="minorEastAsia" w:eastAsiaTheme="minorEastAsia" w:cstheme="minorEastAsia"/>
          <w:b/>
          <w:color w:val="auto"/>
          <w:highlight w:val="none"/>
        </w:rPr>
        <w:t xml:space="preserve">四、投标文件的递交</w:t>
      </w:r>
      <w:bookmarkEnd w:id="93"/>
      <w:r/>
      <w:bookmarkEnd w:id="94"/>
      <w:r/>
      <w:bookmarkEnd w:id="95"/>
      <w:r/>
      <w:bookmarkEnd w:id="96"/>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97" w:name="_Toc462564084"/>
      <w:r/>
      <w:bookmarkStart w:id="98" w:name="_Toc20823297"/>
      <w:r/>
      <w:bookmarkStart w:id="99" w:name="_Toc513029225"/>
      <w:r/>
      <w:bookmarkStart w:id="100" w:name="_Toc16938541"/>
      <w:r>
        <w:rPr>
          <w:rFonts w:hint="eastAsia" w:asciiTheme="minorEastAsia" w:hAnsiTheme="minorEastAsia" w:eastAsiaTheme="minorEastAsia" w:cstheme="minorEastAsia"/>
          <w:color w:val="auto"/>
          <w:highlight w:val="none"/>
        </w:rPr>
        <w:t xml:space="preserve">18、电子投标文件</w:t>
      </w:r>
      <w:bookmarkEnd w:id="97"/>
      <w:r/>
      <w:bookmarkEnd w:id="98"/>
      <w:r/>
      <w:bookmarkEnd w:id="99"/>
      <w:r/>
      <w:bookmarkEnd w:id="100"/>
      <w:r>
        <w:rPr>
          <w:rFonts w:hint="eastAsia" w:asciiTheme="minorEastAsia" w:hAnsiTheme="minorEastAsia" w:eastAsiaTheme="minorEastAsia" w:cstheme="minorEastAsia"/>
          <w:color w:val="auto"/>
          <w:highlight w:val="none"/>
        </w:rPr>
        <w:t xml:space="preserve">的递交</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18.1投标人应当按照《操作手册》规定，在投标截止时间前制作并上传电子投标文件。</w:t>
      </w:r>
      <w:bookmarkStart w:id="101" w:name="_Toc16938542"/>
      <w:r/>
      <w:bookmarkEnd w:id="101"/>
      <w:r/>
      <w:bookmarkStart w:id="102" w:name="_Toc20823298"/>
      <w:r/>
      <w:bookmarkEnd w:id="102"/>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19、投标截止日期</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19.1 投标人上传电子投标文件的时间不得迟于招标公告中规定的投标截止时间。</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03" w:name="_Toc16938543"/>
      <w:r/>
      <w:bookmarkStart w:id="104" w:name="_Toc20823299"/>
      <w:r/>
      <w:bookmarkStart w:id="105" w:name="_Toc513029227"/>
      <w:r>
        <w:rPr>
          <w:rFonts w:hint="eastAsia" w:asciiTheme="minorEastAsia" w:hAnsiTheme="minorEastAsia" w:eastAsiaTheme="minorEastAsia" w:cstheme="minorEastAsia"/>
          <w:color w:val="auto"/>
          <w:highlight w:val="none"/>
        </w:rPr>
        <w:t xml:space="preserve">20、投标文件</w:t>
      </w:r>
      <w:bookmarkEnd w:id="103"/>
      <w:r/>
      <w:bookmarkEnd w:id="104"/>
      <w:r/>
      <w:bookmarkEnd w:id="105"/>
      <w:r>
        <w:rPr>
          <w:rFonts w:hint="eastAsia" w:asciiTheme="minorEastAsia" w:hAnsiTheme="minorEastAsia" w:eastAsiaTheme="minorEastAsia" w:cstheme="minorEastAsia"/>
          <w:color w:val="auto"/>
          <w:highlight w:val="none"/>
        </w:rPr>
        <w:t xml:space="preserve">的拒收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 采购人拒绝接收在其规定的投标截止时间后上传的任何投标文件。</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06" w:name="_Toc20823300"/>
      <w:r/>
      <w:bookmarkStart w:id="107" w:name="_Toc16938544"/>
      <w:r/>
      <w:bookmarkStart w:id="108" w:name="_Toc513029228"/>
      <w:r>
        <w:rPr>
          <w:rFonts w:hint="eastAsia" w:asciiTheme="minorEastAsia" w:hAnsiTheme="minorEastAsia" w:eastAsiaTheme="minorEastAsia" w:cstheme="minorEastAsia"/>
          <w:color w:val="auto"/>
          <w:highlight w:val="none"/>
        </w:rPr>
        <w:t xml:space="preserve">21、投标文件的撤回和修改</w:t>
      </w:r>
      <w:bookmarkEnd w:id="106"/>
      <w:r/>
      <w:bookmarkEnd w:id="107"/>
      <w:r/>
      <w:bookmarkEnd w:id="108"/>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 投标文件的撤回</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21.1.1 电子投标文件的撤回</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21.1.2 投标人撤回电子投标文件，则认为其不再参与本项目投标活动。</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 投标文件的修改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21.2.1投标人可在投标截止时间前，对其电子投标文件进行修改，具体操作方法见《操作手册》。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21.2.2 在投标截止时间之后，投标人不得对其电子投标文件作任何修改。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 在投标截止时间至招标文件中规定的投标有效期满之间的这段时间内，投标人不得撤回其投标。</w:t>
      </w:r>
      <w:r/>
    </w:p>
    <w:p>
      <w:pPr>
        <w:pStyle w:val="2149"/>
        <w:ind w:firstLine="48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09" w:name="_Toc20823301"/>
      <w:r/>
      <w:bookmarkStart w:id="110" w:name="_Toc120614218"/>
      <w:r/>
      <w:bookmarkStart w:id="111" w:name="_Toc513029229"/>
      <w:r/>
      <w:bookmarkStart w:id="112" w:name="_Toc16938545"/>
      <w:r>
        <w:rPr>
          <w:rFonts w:hint="eastAsia" w:asciiTheme="minorEastAsia" w:hAnsiTheme="minorEastAsia" w:eastAsiaTheme="minorEastAsia" w:cstheme="minorEastAsia"/>
          <w:b/>
          <w:color w:val="auto"/>
          <w:highlight w:val="none"/>
        </w:rPr>
        <w:t xml:space="preserve">五、开标与评标</w:t>
      </w:r>
      <w:bookmarkEnd w:id="109"/>
      <w:r/>
      <w:bookmarkEnd w:id="110"/>
      <w:r/>
      <w:bookmarkEnd w:id="111"/>
      <w:r/>
      <w:bookmarkEnd w:id="112"/>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13" w:name="_Toc16938546"/>
      <w:r/>
      <w:bookmarkStart w:id="114" w:name="_Toc20823302"/>
      <w:r/>
      <w:bookmarkStart w:id="115" w:name="_Toc513029230"/>
      <w:r>
        <w:rPr>
          <w:rFonts w:hint="eastAsia" w:asciiTheme="minorEastAsia" w:hAnsiTheme="minorEastAsia" w:eastAsiaTheme="minorEastAsia" w:cstheme="minorEastAsia"/>
          <w:color w:val="auto"/>
          <w:highlight w:val="none"/>
        </w:rPr>
        <w:t xml:space="preserve">22、开标</w:t>
      </w:r>
      <w:bookmarkEnd w:id="113"/>
      <w:r/>
      <w:bookmarkEnd w:id="114"/>
      <w:r/>
      <w:bookmarkEnd w:id="115"/>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22.1 采购人和采购代理机构将在招标公告中规定的时间和地点组织公开开标。投标人应当按照《操作手册》规定，参加开标活动和在苏采云系统规定的时间内对投标文件进行解密。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22.2开标仪式由采购人和采购代理机构组织。苏采云系统将自动对项目进行开标，并宣布各投标人名称和投标价格。</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22.3投标人在开标过程中涉及到的投标文件解密、开标结果确认等工作，应按照《操作手册》规定执行。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22.4投标人如果对开标过程和开标记录有疑义，应当根据《操作手册》规定提出，如 苏采云系统中《开标记录表》宣布后5分钟内未提出的，视同认可开标结果。</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16" w:name="_Toc16938547"/>
      <w:r/>
      <w:bookmarkStart w:id="117" w:name="_Toc20823303"/>
      <w:r/>
      <w:bookmarkStart w:id="118" w:name="_Toc513029231"/>
      <w:r>
        <w:rPr>
          <w:rFonts w:hint="eastAsia" w:asciiTheme="minorEastAsia" w:hAnsiTheme="minorEastAsia" w:eastAsiaTheme="minorEastAsia" w:cstheme="minorEastAsia"/>
          <w:color w:val="auto"/>
          <w:highlight w:val="none"/>
        </w:rPr>
        <w:t xml:space="preserve">23、评标委员会</w:t>
      </w:r>
      <w:bookmarkEnd w:id="116"/>
      <w:r/>
      <w:bookmarkEnd w:id="117"/>
      <w:r/>
      <w:bookmarkEnd w:id="118"/>
      <w:r/>
      <w:r/>
    </w:p>
    <w:p>
      <w:pPr>
        <w:pStyle w:val="2149"/>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23.1</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开标后，采购人将立即组织评标委员会（以下简称评委会）进行评标。</w:t>
      </w:r>
      <w:r/>
    </w:p>
    <w:p>
      <w:pPr>
        <w:pStyle w:val="2149"/>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23.2 评委会由采购人代表和有关技术、经济等方面的专家组成，且人员构成符合政府采购有关规定。</w:t>
      </w:r>
      <w:r/>
    </w:p>
    <w:p>
      <w:pPr>
        <w:pStyle w:val="2149"/>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23.3评委会独立工作，负责评审所有投标文件并确定中标候选人。</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评标过程的保密与公正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24.1凡是与审查、澄清、评价和比较投标的有关资料以及授标建议等，采购人、评委、采购代理机构均不得向投标人或与评标无关的其他人员透露。</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24.2在评标过程中，投标人不得以任何行为影响评标过程，否则其投标文件将被作为无效投标文件。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24.3 采购人、采购代理机构和评标委员会不向未中标的投标人解释未中标原因，也不公布评标过程中的相关细节。</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24.4 采用综合评分法的项目，未中标的投标人可于中标结果公告期限届满之日起通过苏采云系统查看自己的评审得分及排序情况。</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19" w:name="_Toc20823304"/>
      <w:r/>
      <w:bookmarkStart w:id="120" w:name="_Toc513029232"/>
      <w:r/>
      <w:bookmarkStart w:id="121" w:name="_Toc16938548"/>
      <w:r>
        <w:rPr>
          <w:rFonts w:hint="eastAsia" w:asciiTheme="minorEastAsia" w:hAnsiTheme="minorEastAsia" w:eastAsiaTheme="minorEastAsia" w:cstheme="minorEastAsia"/>
          <w:color w:val="auto"/>
          <w:highlight w:val="none"/>
        </w:rPr>
        <w:t xml:space="preserve">25．投标文件的澄清</w:t>
      </w:r>
      <w:bookmarkEnd w:id="119"/>
      <w:r/>
      <w:bookmarkEnd w:id="120"/>
      <w:r/>
      <w:bookmarkEnd w:id="121"/>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2" w:name="_Toc513029233"/>
      <w:r/>
      <w:bookmarkStart w:id="123" w:name="_Toc16938549"/>
      <w:r/>
      <w:bookmarkStart w:id="124" w:name="_Toc20823305"/>
      <w:r>
        <w:rPr>
          <w:rFonts w:hint="eastAsia" w:asciiTheme="minorEastAsia" w:hAnsiTheme="minorEastAsia" w:eastAsiaTheme="minorEastAsia" w:cstheme="minorEastAsia"/>
          <w:color w:val="auto"/>
          <w:highlight w:val="none"/>
        </w:rPr>
        <w:t xml:space="preserve">25.1评标期间，评委会对投标文件中含义不明确、同类问题表述不一致或者有明显文字和计算错误的内容，有权要求投标人作出必要的澄清、说明或者补正。</w:t>
      </w:r>
      <w:bookmarkEnd w:id="122"/>
      <w:r/>
      <w:bookmarkEnd w:id="123"/>
      <w:r/>
      <w:bookmarkEnd w:id="124"/>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 接到评委会澄清、说明和补正要求的投标人如未按规定作出澄清、说明和补正，其风险由投标人自行承担。</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26、对投标文件的初审</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26.1投标文件初审分为资格审查和符合性审查。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 未通过资格审查或符合性审查的投标人，采购代理机构将在苏采云系统中告知未通过资格审查或符合性审查的原因，评审结束后，采购人和采购代理机构将不再告知未通过资格审查或符合性审查的原因。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26.3如果投标文件实质上没有响应招标文件的要求，评委会将予以拒绝，投标人不得通过修改或撤销不符合要求的偏离或保留而使其投标成为实质性响应的投标。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26.4评委会将对确定为实质性响应的投标进行进一步审核，看其是否有计算上或累加上的算术错误，修正错误的原则如下：</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5" w:name="_Toc16938550"/>
      <w:r/>
      <w:bookmarkStart w:id="126" w:name="_Toc20823306"/>
      <w:r/>
      <w:bookmarkStart w:id="127" w:name="_Toc513029234"/>
      <w:r>
        <w:rPr>
          <w:rFonts w:hint="eastAsia" w:asciiTheme="minorEastAsia" w:hAnsiTheme="minorEastAsia" w:eastAsiaTheme="minorEastAsia" w:cstheme="minorEastAsia"/>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r/>
      <w:bookmarkEnd w:id="126"/>
      <w:r/>
      <w:bookmarkEnd w:id="127"/>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2149"/>
        <w:ind w:firstLine="42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非单一产品采购项目，招标文件中将载明其中的核心产品。多家投标人提供的核心产品品牌相同的，按前两款规定处理。</w:t>
      </w:r>
      <w:r/>
    </w:p>
    <w:p>
      <w:pPr>
        <w:pStyle w:val="2149"/>
        <w:ind w:firstLine="42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26.7投标人在开、评标全过程中应保持通信畅通，及时登录苏采云系统查阅、答复相关信息，并安排专人与采购代理机构及评标委员会联系。</w:t>
      </w:r>
      <w:r/>
    </w:p>
    <w:p>
      <w:pPr>
        <w:pStyle w:val="2149"/>
        <w:ind w:firstLine="42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27、无效投标条款和废标条款</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28" w:name="_Toc20823307"/>
      <w:r/>
      <w:bookmarkStart w:id="129" w:name="_Toc16938551"/>
      <w:r/>
      <w:bookmarkStart w:id="130" w:name="_Toc513029235"/>
      <w:r>
        <w:rPr>
          <w:rFonts w:hint="eastAsia" w:asciiTheme="minorEastAsia" w:hAnsiTheme="minorEastAsia" w:eastAsiaTheme="minorEastAsia" w:cstheme="minorEastAsia"/>
          <w:color w:val="auto"/>
          <w:highlight w:val="none"/>
        </w:rPr>
        <w:t xml:space="preserve">27.1无效投标条款</w:t>
      </w:r>
      <w:bookmarkEnd w:id="128"/>
      <w:r/>
      <w:bookmarkEnd w:id="129"/>
      <w:r/>
      <w:bookmarkEnd w:id="130"/>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 投标人在苏采云系统规定的时间内未成功解密电子投标文件的。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27.1.2 投标人未按照招标文件要求上传电子投标文件的。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27.1.3同一投标人提交两个（含两个）以上不同的投标报价的。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27.1.4投标人不具备招标文件中规定资格要求的。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27.1.5投标人的报价超过了采购预算或最高限价的。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27.1.6未通过符合性审查的。</w:t>
      </w:r>
      <w:r/>
    </w:p>
    <w:p>
      <w:pPr>
        <w:pStyle w:val="2149"/>
        <w:ind w:firstLine="36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27.1.9投标文件含有采购人不能接受的附加条件的。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27.1.10投标人不能证明其报价合理性的，评标委员会应当将其作为无效投标处理。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（一）评审过程中出现下列情形之一的，评标委员会应当启动异常低价投标审查程序：</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3.投标（响应）报价低于采购项目最高限价</w:t>
      </w:r>
      <w:r>
        <w:rPr>
          <w:rFonts w:hint="eastAsia" w:asciiTheme="minorEastAsia" w:hAnsiTheme="minorEastAsia" w:cstheme="minorEastAsia"/>
          <w:b/>
          <w:bCs/>
          <w:color w:val="auto"/>
          <w:highlight w:val="none"/>
          <w:lang w:val="en-US" w:eastAsia="zh-CN"/>
        </w:rPr>
        <w:t xml:space="preserve">50</w:t>
      </w:r>
      <w:r>
        <w:rPr>
          <w:rFonts w:hint="eastAsia" w:asciiTheme="minorEastAsia" w:hAnsiTheme="minorEastAsia" w:eastAsiaTheme="minorEastAsia" w:cstheme="minorEastAsia"/>
          <w:b/>
          <w:bCs/>
          <w:color w:val="auto"/>
          <w:highlight w:val="none"/>
        </w:rPr>
        <w:t xml:space="preserve">%的，即投标（响应）报价&lt;采购项目最高限价×</w:t>
      </w:r>
      <w:r>
        <w:rPr>
          <w:rFonts w:hint="eastAsia" w:asciiTheme="minorEastAsia" w:hAnsiTheme="minorEastAsia" w:cstheme="minorEastAsia"/>
          <w:b/>
          <w:bCs/>
          <w:color w:val="auto"/>
          <w:highlight w:val="none"/>
          <w:lang w:val="en-US" w:eastAsia="zh-CN"/>
        </w:rPr>
        <w:t xml:space="preserve">50</w:t>
      </w:r>
      <w:r>
        <w:rPr>
          <w:rFonts w:hint="eastAsia" w:asciiTheme="minorEastAsia" w:hAnsiTheme="minorEastAsia" w:eastAsiaTheme="minorEastAsia" w:cstheme="minorEastAsia"/>
          <w:b/>
          <w:bCs/>
          <w:color w:val="auto"/>
          <w:highlight w:val="none"/>
        </w:rPr>
        <w:t xml:space="preserve">%；</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4.评审委员会基于专业判断，认为供应商报价过低，有可能影响产品质量或者不能诚信履约的其他情形。</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u w:val="single"/>
        </w:rPr>
        <w:t xml:space="preserve">提醒：采购人可以结合具体项目实际情况，提高上述第1项至第3项中启动异常低价投标（响应）审查的数值标准，但是最高不得超过65%。</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相关法律法规对供应商报价有规定的，从其规定。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27.1.12 投标文件未按照招标文件要求加盖CA电子公章的。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27.1.13其他法律、法规及本招标文件规定的属无效投标的情形。</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27.2废标条款</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27.2.1符合专业条件的供应商或者对招标文件作实质响应的供应商不足三家的。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27.2.2出现影响采购公正的违法、违规行为的。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27.2.3因重大变故，采购任务取消的。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27.2.4评标委员会认定招标文件存在歧义、重大缺陷导致评审工作无法进行。</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27.2.5 因苏采云系统故障原因造成开标不成功的。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 投标截止时间结束后参加投标的供应商不足三家的处理：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27.3.1如出现投标截止时间结束后参加投标的供应商或者在评标期间对招标文件做出实质响应的供应商不足三家情况，按政府采购相关规定执行。</w:t>
      </w:r>
      <w:r/>
    </w:p>
    <w:p>
      <w:pPr>
        <w:pStyle w:val="2149"/>
        <w:ind w:firstLine="482"/>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1" w:name="_Toc120614219"/>
      <w:r>
        <w:rPr>
          <w:rFonts w:hint="eastAsia" w:asciiTheme="minorEastAsia" w:hAnsiTheme="minorEastAsia" w:eastAsiaTheme="minorEastAsia" w:cstheme="minorEastAsia"/>
          <w:b/>
          <w:color w:val="auto"/>
          <w:highlight w:val="none"/>
        </w:rPr>
        <w:t xml:space="preserve">六、定标</w:t>
      </w:r>
      <w:bookmarkEnd w:id="131"/>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2" w:name="_Toc20823310"/>
      <w:r/>
      <w:bookmarkStart w:id="133" w:name="_Toc16938554"/>
      <w:r/>
      <w:bookmarkStart w:id="134" w:name="_Toc513029238"/>
      <w:r>
        <w:rPr>
          <w:rFonts w:hint="eastAsia" w:asciiTheme="minorEastAsia" w:hAnsiTheme="minorEastAsia" w:eastAsiaTheme="minorEastAsia" w:cstheme="minorEastAsia"/>
          <w:color w:val="auto"/>
          <w:highlight w:val="none"/>
        </w:rPr>
        <w:t xml:space="preserve">28、</w:t>
      </w:r>
      <w:bookmarkEnd w:id="132"/>
      <w:r>
        <w:rPr>
          <w:rFonts w:hint="eastAsia" w:asciiTheme="minorEastAsia" w:hAnsiTheme="minorEastAsia" w:eastAsiaTheme="minorEastAsia" w:cstheme="minorEastAsia"/>
          <w:color w:val="auto"/>
          <w:highlight w:val="none"/>
        </w:rPr>
        <w:t xml:space="preserve">确定</w:t>
      </w:r>
      <w:bookmarkEnd w:id="133"/>
      <w:r/>
      <w:bookmarkEnd w:id="134"/>
      <w:r>
        <w:rPr>
          <w:rFonts w:hint="eastAsia" w:asciiTheme="minorEastAsia" w:hAnsiTheme="minorEastAsia" w:eastAsiaTheme="minorEastAsia" w:cstheme="minorEastAsia"/>
          <w:color w:val="auto"/>
          <w:highlight w:val="none"/>
        </w:rPr>
        <w:t xml:space="preserve">中标单位</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28.1中标候选人的选取原则和数量见招标文件第五章规定。 </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 采购人应根据评委会推荐的中标候选人确定中标人。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 采购代理机构将在“中国政府采购网”“江苏政府采购网”“盐城市政府采购网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 xml:space="preserve">”</w:t>
      </w:r>
      <w:r>
        <w:rPr>
          <w:rFonts w:hint="eastAsia" w:asciiTheme="minorEastAsia" w:hAnsiTheme="minorEastAsia" w:eastAsiaTheme="minorEastAsia" w:cstheme="minorEastAsia"/>
          <w:color w:val="auto"/>
          <w:highlight w:val="none"/>
        </w:rPr>
        <w:t xml:space="preserve">发布中标公告，公告期限为1个工作日。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  若有充分证据证明，中标人出现下列情况之一的，一经查实，将被取消中标资格：</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28.4.1提供虚假材料谋取中标的。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28.4.2向采购人、采购代理机构行贿或者提供其他不正当利益的。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28.4.3属于本文件规定的无效条件，但在评标过程中又未被评委会发现的。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28.4.4与采购人或者其他供应商恶意串通的。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28.4.5采取不正当手段诋毁、排挤其他供应商的。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5" w:name="_Toc200451960"/>
      <w:r>
        <w:rPr>
          <w:rFonts w:hint="eastAsia" w:asciiTheme="minorEastAsia" w:hAnsiTheme="minorEastAsia" w:eastAsiaTheme="minorEastAsia" w:cstheme="minorEastAsia"/>
          <w:color w:val="auto"/>
          <w:highlight w:val="none"/>
        </w:rPr>
        <w:t xml:space="preserve">28.5. 有下列情形之一的，视为投标人串通投标，投标无效：</w:t>
      </w:r>
      <w:bookmarkEnd w:id="135"/>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28.5.1不同投标人的投标文件由同一单位或者个人编制；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28.5.2不同投标人委托同一单位或者个人办理投标事宜；</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 不同投标人的投标文件载明的项目管理成员或者联系人员为同一人；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28.5.4不同投标人的投标文件异常一致或者投标报价呈规律性差异；</w:t>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29、质疑处理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29.1 提出质疑的供应商应当是参与所质疑项目采购活动的供应商。潜在供应商依法获取其可质疑的采购文件的，可以对采购文件提出质疑。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29.2.1对可以质疑的采购文件提出质疑的，为收到采购文件之日或者采购文件公告期限届满之日；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29.2.2对采购过程提出质疑的，为各采购程序环节结束之日；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29.2.3对中标或者成交结果提出质疑的，为中标或者成交结果公告期限届满之日。</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采购人及采购代理机构只接收以纸质原件形式送达的质疑,采购人和采购代理机构不接受未填写快递运单的快件。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 以下情形的质疑不予受理</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29.5.1 内容不符合《政府采购质疑和投诉办法》第十二条规定的质疑。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29.5.2 超出政府采购法定期限的质疑。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29.5.3 以传真、电子邮件等方式递交的非原件形式的质疑。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29.5.4 未参加投标活动的供应商或在投标活动中自身权益未受到损害的供应商所提出的质疑。</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29.5.5供应商组成联合体参加投标，联合体中任何一方或多方未按要求签字、盖章、加盖公章的质疑。</w:t>
      </w:r>
      <w:r/>
    </w:p>
    <w:p>
      <w:pPr>
        <w:pStyle w:val="2149"/>
        <w:ind w:firstLine="468"/>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30、中标通知书</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cstheme="minorEastAsia"/>
          <w:color w:val="auto"/>
          <w:highlight w:val="none"/>
          <w:lang w:val="en-US" w:eastAsia="zh-CN"/>
        </w:rPr>
        <w:t xml:space="preserve">1</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2149"/>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36" w:name="_Toc120614220"/>
      <w:r/>
      <w:bookmarkStart w:id="137" w:name="_Toc16938552"/>
      <w:r/>
      <w:bookmarkStart w:id="138" w:name="_Toc20823308"/>
      <w:r/>
      <w:bookmarkStart w:id="139" w:name="_Toc513029236"/>
      <w:r>
        <w:rPr>
          <w:rFonts w:hint="eastAsia" w:asciiTheme="minorEastAsia" w:hAnsiTheme="minorEastAsia" w:eastAsiaTheme="minorEastAsia" w:cstheme="minorEastAsia"/>
          <w:b/>
          <w:color w:val="auto"/>
          <w:highlight w:val="none"/>
        </w:rPr>
        <w:t xml:space="preserve">七、授予合同</w:t>
      </w:r>
      <w:bookmarkEnd w:id="136"/>
      <w:r/>
      <w:bookmarkEnd w:id="137"/>
      <w:r/>
      <w:bookmarkEnd w:id="138"/>
      <w:r/>
      <w:bookmarkEnd w:id="139"/>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40" w:name="_Toc16938553"/>
      <w:r/>
      <w:bookmarkStart w:id="141" w:name="_Toc20823309"/>
      <w:r/>
      <w:bookmarkStart w:id="142" w:name="_Toc513029237"/>
      <w:r>
        <w:rPr>
          <w:rFonts w:hint="eastAsia" w:asciiTheme="minorEastAsia" w:hAnsiTheme="minorEastAsia" w:eastAsiaTheme="minorEastAsia" w:cstheme="minorEastAsia"/>
          <w:color w:val="auto"/>
          <w:highlight w:val="none"/>
        </w:rPr>
        <w:t xml:space="preserve">31</w:t>
      </w: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签订合同</w:t>
      </w:r>
      <w:bookmarkEnd w:id="140"/>
      <w:r/>
      <w:bookmarkEnd w:id="141"/>
      <w:r/>
      <w:bookmarkEnd w:id="142"/>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w:t>
      </w:r>
      <w:r>
        <w:rPr>
          <w:rFonts w:hint="eastAsia" w:asciiTheme="minorEastAsia" w:hAnsi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中标人应当在中标通知书发出之日起三十日内，按照招标文件确定的事项与采购人签订政府采购合同。</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31.2招标文件、中标人的投标文件及招标过程中有关澄清、承诺文件均应作为合同附件。</w:t>
      </w:r>
      <w:r/>
    </w:p>
    <w:p>
      <w:pPr>
        <w:pStyle w:val="2149"/>
        <w:ind w:firstLine="60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31.3 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2149"/>
        <w:ind w:firstLine="60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32、货物（包含与货物相关的服务）的追加</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33.政府采购政策功能落实</w:t>
      </w:r>
      <w:r/>
    </w:p>
    <w:p>
      <w:pPr>
        <w:pStyle w:val="2149"/>
        <w:ind w:firstLine="480"/>
        <w:jc w:val="both"/>
        <w:keepLines/>
        <w:keepNext/>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33.1政府采购线上合同信用融资政策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33.2进口产品</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33.3中小企业、监狱企业及残疾人福利性单位</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33.3.1中小企业定义：</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中小企业</w:t>
      </w:r>
      <w:r>
        <w:rPr>
          <w:rFonts w:hint="eastAsia" w:asciiTheme="minorEastAsia" w:hAnsiTheme="minorEastAsia" w:eastAsiaTheme="minorEastAsia" w:cstheme="minor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33.3.2供应商提供的货物、工程或者服务符合下列情形的，享受中小企业扶持政策：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33.3.2.1在货物采购项目中，货物由中小企业制造，即货物由中小企业生产且使用该中小企业商号或者注册商标；</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33.3.2.2在工程采购项目中，工程由中小企业承建，即工程施工单位为中小企业；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33.3.2.3在服务采购项目中，服务由中小企业承接，即提供服务的人员为中小企业依照《中华人民共和国劳动合同法》订立劳动合同的从业人员。</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33.3.3在货物采购项目中，供应商提供的货物既有中小企业制造货物，也有大型企业制造货物的，不享受中小企业扶持政策。</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33.3.4以联合体形式参加政府采购活动，联合体各方均为中小企业的，联合体视同中小企业。其中，联合体各方均为小微企业的，联合体视同小微企业。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33.3.6残疾人福利单位定义：享受政府采购支持政策的残疾人福利性单位应当同时满足以下条件：</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33.3.6.1安置的残疾人占本单位在职职工人数的比例不低于25%（含25%），并且安置的残疾人人数不少于10 人（含10 人）；</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33.3.6.2依法与安置的每位残疾人签订了一年以上（含一年）的劳动合同或服务协议；</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33.3.6.3为安置的每位残疾人按月足额缴纳了基本养老保险、基本医疗保险、失业保险、工伤保险和生育保险等社会保险费；</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33.3.6.4通过银行等金融机构向安置的每位残疾人，按月支付了不低于单位所在区县适用的经省级人民政府批准的月最低工资标准的工资；</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33.3.7本项目是否专门面向中小企业预留采购份额见第一章《招标公告》。</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33.3.8采购标的对应的中小企业划分标准所属行业见第四章《采购需求》。</w:t>
      </w:r>
      <w:r/>
    </w:p>
    <w:p>
      <w:pPr>
        <w:pStyle w:val="2149"/>
        <w:ind w:firstLine="480"/>
        <w:jc w:val="both"/>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33.3.9小微企业价格评审优惠的政策：见第五章《评标方法和评标标准》。</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33.4政府采购节能产品、环境标志产品</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 xml:space="preserve">。</w:t>
      </w:r>
      <w:r>
        <w:rPr>
          <w:rFonts w:hint="eastAsia" w:asciiTheme="minorEastAsia" w:hAnsiTheme="minorEastAsia" w:eastAsiaTheme="minorEastAsia" w:cstheme="minorEastAsia"/>
          <w:color w:val="auto"/>
          <w:sz w:val="24"/>
          <w:highlight w:val="none"/>
        </w:rPr>
        <w:t xml:space="preserve">其他条件相同情况下，应当优先采购节能产品、环境标志产品。</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33.5绿色包装</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33.6政府采购创新产品</w:t>
      </w:r>
      <w:r/>
    </w:p>
    <w:p>
      <w:pPr>
        <w:ind w:firstLine="478"/>
        <w:pageBreakBefore w:val="0"/>
        <w:spacing w:line="500" w:lineRule="exact"/>
        <w:widowControl w:val="off"/>
        <w:rPr>
          <w:rFonts w:hint="eastAsia" w:asciiTheme="minorEastAsia" w:hAnsiTheme="minorEastAsia" w:eastAsiaTheme="minorEastAsia" w:cstheme="minorEastAsia"/>
          <w:color w:val="auto"/>
          <w:sz w:val="24"/>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采购人优先采购各级政府部门公开发布的有效期内的创新产品、创新服务、首台套、首购首用等《目录》的创新产品。</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33.7绿色数据中心政策 </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33.8实施本国产品标准及相关政策</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1.本项目对采购本国产品给予政策支持，具体内容见招标文件“第五章 评标方法与评标标准”。</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33.9履约保证金政策</w:t>
      </w:r>
      <w:r/>
    </w:p>
    <w:p>
      <w:pPr>
        <w:pStyle w:val="2190"/>
        <w:ind w:left="0" w:firstLine="560"/>
        <w:pageBreakBefore w:val="0"/>
        <w:spacing w:after="0"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确需收取履约保证金的，履约保证金的缴纳形式：</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pageBreakBefore w:val="0"/>
        <w:spacing w:line="500" w:lineRule="exact"/>
        <w:widowControl w:val="off"/>
        <w:tabs>
          <w:tab w:val="left" w:pos="1381"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34. 预付款制度</w:t>
      </w:r>
      <w:r/>
    </w:p>
    <w:p>
      <w:pPr>
        <w:ind w:firstLine="480"/>
        <w:pageBreakBefore w:val="0"/>
        <w:spacing w:line="50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本项目落实预付款制度，预付款比例为</w:t>
      </w:r>
      <w:r>
        <w:rPr>
          <w:rFonts w:hint="eastAsia" w:asciiTheme="minorEastAsia" w:hAnsiTheme="minorEastAsia" w:eastAsiaTheme="minorEastAsia" w:cstheme="minorEastAsia"/>
          <w:color w:val="auto"/>
          <w:sz w:val="24"/>
          <w:highlight w:val="none"/>
          <w:u w:val="single"/>
        </w:rPr>
        <w:t xml:space="preserve">30</w:t>
      </w:r>
      <w:r>
        <w:rPr>
          <w:rFonts w:hint="eastAsia" w:asciiTheme="minorEastAsia" w:hAnsiTheme="minorEastAsia" w:eastAsiaTheme="minorEastAsia" w:cstheme="minorEastAsia"/>
          <w:color w:val="auto"/>
          <w:sz w:val="24"/>
          <w:highlight w:val="none"/>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r>
      <w:r/>
    </w:p>
    <w:p>
      <w:pPr>
        <w:tabs>
          <w:tab w:val="left" w:pos="7017" w:leader="none"/>
        </w:tabs>
        <w:rPr>
          <w:rFonts w:hint="eastAsia" w:asciiTheme="minorEastAsia" w:hAnsiTheme="minorEastAsia" w:eastAsiaTheme="minorEastAsia" w:cstheme="minorEastAsia"/>
          <w:color w:val="auto"/>
          <w:sz w:val="36"/>
          <w:szCs w:val="44"/>
          <w:highlight w:val="none"/>
          <w:lang w:eastAsia="zh-CN"/>
        </w:rPr>
      </w:pPr>
      <w:r>
        <w:rPr>
          <w:rFonts w:hint="eastAsia" w:asciiTheme="minorEastAsia" w:hAnsiTheme="minorEastAsia" w:eastAsiaTheme="minorEastAsia" w:cstheme="minorEastAsia"/>
          <w:color w:val="auto"/>
          <w:sz w:val="36"/>
          <w:szCs w:val="44"/>
          <w:highlight w:val="none"/>
        </w:rPr>
        <w:br w:type="page" w:clear="all"/>
      </w:r>
      <w:r>
        <w:rPr>
          <w:rFonts w:hint="eastAsia" w:asciiTheme="minorEastAsia" w:hAnsiTheme="minorEastAsia" w:eastAsiaTheme="minorEastAsia" w:cstheme="minorEastAsia"/>
          <w:color w:val="auto"/>
          <w:sz w:val="36"/>
          <w:szCs w:val="44"/>
          <w:highlight w:val="none"/>
          <w:lang w:eastAsia="zh-CN"/>
        </w:rPr>
        <w:tab/>
      </w:r>
      <w:r/>
    </w:p>
    <w:p>
      <w:pPr>
        <w:jc w:val="center"/>
        <w:spacing w:line="360" w:lineRule="auto"/>
        <w:widowControl/>
        <w:rPr>
          <w:rFonts w:hint="eastAsia" w:asciiTheme="minorEastAsia" w:hAnsiTheme="minorEastAsia" w:eastAsiaTheme="minorEastAsia" w:cstheme="minorEastAsia"/>
          <w:b/>
          <w:color w:val="auto"/>
          <w:sz w:val="48"/>
          <w:szCs w:val="44"/>
          <w:highlight w:val="none"/>
        </w:rPr>
      </w:pPr>
      <w:r>
        <w:rPr>
          <w:rFonts w:hint="eastAsia" w:asciiTheme="minorEastAsia" w:hAnsiTheme="minorEastAsia" w:eastAsiaTheme="minorEastAsia" w:cstheme="minorEastAsia"/>
          <w:b/>
          <w:color w:val="auto"/>
          <w:sz w:val="48"/>
          <w:szCs w:val="44"/>
          <w:highlight w:val="none"/>
        </w:rPr>
        <w:t xml:space="preserve">第三章  合同条款</w:t>
      </w:r>
      <w:r/>
    </w:p>
    <w:p>
      <w:pPr>
        <w:jc w:val="center"/>
        <w:spacing w:line="500" w:lineRule="exact"/>
        <w:rPr>
          <w:rFonts w:hint="eastAsia" w:asciiTheme="minorEastAsia" w:hAnsiTheme="minorEastAsia" w:eastAsiaTheme="minorEastAsia" w:cstheme="minorEastAsia"/>
          <w:b/>
          <w:color w:val="auto"/>
          <w:sz w:val="30"/>
          <w:szCs w:val="30"/>
          <w:highlight w:val="none"/>
        </w:rPr>
      </w:pPr>
      <w:r/>
      <w:bookmarkStart w:id="143" w:name="EB6d2006462e294de090c16e672cecc3bd"/>
      <w:r/>
      <w:bookmarkEnd w:id="143"/>
      <w:r>
        <w:rPr>
          <w:rFonts w:hint="eastAsia" w:asciiTheme="minorEastAsia" w:hAnsiTheme="minorEastAsia" w:eastAsiaTheme="minorEastAsia" w:cstheme="minorEastAsia"/>
          <w:b/>
          <w:color w:val="auto"/>
          <w:sz w:val="30"/>
          <w:szCs w:val="30"/>
          <w:highlight w:val="none"/>
          <w:lang w:bidi="ar"/>
        </w:rPr>
        <w:t xml:space="preserve">政府采购合同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根据《中华人民共和国民法典》等相关法律法规之规定，按照平等、自愿、公平和诚实信用的原则，经</w:t>
      </w:r>
      <w:r>
        <w:rPr>
          <w:rFonts w:hint="eastAsia" w:asciiTheme="minorEastAsia" w:hAnsiTheme="minorEastAsia" w:cstheme="minorEastAsia"/>
          <w:color w:val="auto"/>
          <w:sz w:val="24"/>
          <w:szCs w:val="24"/>
          <w:highlight w:val="none"/>
          <w:u w:val="single"/>
          <w:lang w:eastAsia="zh-CN"/>
        </w:rPr>
        <w:t xml:space="preserve">盐城市盐都区秦南镇人民政府</w:t>
      </w:r>
      <w:r>
        <w:rPr>
          <w:rFonts w:hint="eastAsia" w:asciiTheme="minorEastAsia" w:hAnsiTheme="minorEastAsia" w:cstheme="minorEastAsia"/>
          <w:color w:val="auto"/>
          <w:sz w:val="24"/>
          <w:szCs w:val="24"/>
          <w:highlight w:val="none"/>
          <w:lang w:eastAsia="zh-CN"/>
        </w:rPr>
        <w:t xml:space="preserve">(以下简称：甲方)和</w:t>
      </w:r>
      <w:r>
        <w:rPr>
          <w:rFonts w:hint="eastAsia" w:asciiTheme="minorEastAsia" w:hAnsiTheme="minorEastAsia" w:cstheme="minorEastAsia"/>
          <w:color w:val="auto"/>
          <w:sz w:val="24"/>
          <w:szCs w:val="24"/>
          <w:highlight w:val="none"/>
          <w:u w:val="single"/>
          <w:lang w:eastAsia="zh-CN"/>
        </w:rPr>
        <w:t xml:space="preserve">（中标人名称）</w:t>
      </w:r>
      <w:r>
        <w:rPr>
          <w:rFonts w:hint="eastAsia" w:asciiTheme="minorEastAsia" w:hAnsiTheme="minorEastAsia" w:cstheme="minorEastAsia"/>
          <w:color w:val="auto"/>
          <w:sz w:val="24"/>
          <w:szCs w:val="24"/>
          <w:highlight w:val="none"/>
          <w:lang w:eastAsia="zh-CN"/>
        </w:rPr>
        <w:t xml:space="preserve"> (以下简称：乙方)协商一致，约定以下合同条款，以兹共同遵守、全面履行。 </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项目编号：JSZC-320903-ZFDL-G2026-0013  </w:t>
      </w:r>
      <w:r/>
    </w:p>
    <w:p>
      <w:pPr>
        <w:pStyle w:val="2181"/>
        <w:ind w:firstLine="482"/>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项目名称：盐都区秦南镇第二轮土地承包到期后再延长30年技术服务项目</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甲方：</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lang w:eastAsia="zh-CN"/>
        </w:rPr>
        <w:t xml:space="preserve">                    </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eastAsia="zh-CN"/>
        </w:rPr>
        <w:t xml:space="preserve">              </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甲、乙双方根据盐都区秦南镇第二轮土地承包到期后再延长30年技术服务项目公开招标的结果，签署本合同。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第一条 采购内容</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1、项目名称：盐都区秦南镇第二轮土地承包到期后再延长30年技术服务项目  </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2、服务内容：成立机构、摸底核实、制定方案、开展调查、审核公示、签订合同、整理网签系统表格、汇交不动产颁证数据、档案整理等。</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3、服务范围：盐都区秦南镇第二轮土地承包到期后再延长30年技术服务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4、服务周期：</w:t>
      </w:r>
      <w:r>
        <w:rPr>
          <w:rFonts w:hint="eastAsia" w:asciiTheme="minorEastAsia" w:hAnsiTheme="minorEastAsia" w:cstheme="minorEastAsia"/>
          <w:color w:val="auto"/>
          <w:sz w:val="24"/>
          <w:szCs w:val="24"/>
          <w:highlight w:val="none"/>
          <w:lang w:val="en-US" w:eastAsia="zh-CN"/>
        </w:rPr>
        <w:t xml:space="preserve">120天</w:t>
      </w:r>
      <w:r>
        <w:rPr>
          <w:rFonts w:hint="eastAsia" w:asciiTheme="minorEastAsia" w:hAnsiTheme="minorEastAsia" w:cstheme="minorEastAsia"/>
          <w:color w:val="auto"/>
          <w:sz w:val="24"/>
          <w:szCs w:val="24"/>
          <w:highlight w:val="none"/>
          <w:lang w:eastAsia="zh-CN"/>
        </w:rPr>
        <w:t xml:space="preserve">（且在2027年3月底前完成）</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第二条 合同总价款</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本合同总价款为人民币 </w:t>
      </w:r>
      <w:r>
        <w:rPr>
          <w:rFonts w:hint="eastAsia" w:asciiTheme="minorEastAsia" w:hAnsiTheme="minorEastAsia" w:cstheme="minorEastAsia"/>
          <w:color w:val="auto"/>
          <w:sz w:val="24"/>
          <w:szCs w:val="24"/>
          <w:highlight w:val="none"/>
          <w:u w:val="single"/>
          <w:lang w:eastAsia="zh-CN"/>
        </w:rPr>
        <w:t xml:space="preserve">¥      元</w:t>
      </w:r>
      <w:r>
        <w:rPr>
          <w:rFonts w:hint="eastAsia" w:asciiTheme="minorEastAsia" w:hAnsiTheme="minorEastAsia" w:cstheme="minorEastAsia"/>
          <w:color w:val="auto"/>
          <w:sz w:val="24"/>
          <w:szCs w:val="24"/>
          <w:highlight w:val="none"/>
          <w:lang w:eastAsia="zh-CN"/>
        </w:rPr>
        <w:t xml:space="preserve">（小写），</w:t>
      </w:r>
      <w:r>
        <w:rPr>
          <w:rFonts w:hint="eastAsia" w:asciiTheme="minorEastAsia" w:hAnsiTheme="minorEastAsia" w:cstheme="minorEastAsia"/>
          <w:color w:val="auto"/>
          <w:sz w:val="24"/>
          <w:szCs w:val="24"/>
          <w:highlight w:val="none"/>
          <w:u w:val="single"/>
          <w:lang w:eastAsia="zh-CN"/>
        </w:rPr>
        <w:t xml:space="preserve">      </w:t>
      </w:r>
      <w:r>
        <w:rPr>
          <w:rFonts w:hint="eastAsia" w:asciiTheme="minorEastAsia" w:hAnsiTheme="minorEastAsia" w:cstheme="minorEastAsia"/>
          <w:color w:val="auto"/>
          <w:sz w:val="24"/>
          <w:szCs w:val="24"/>
          <w:highlight w:val="none"/>
          <w:lang w:eastAsia="zh-CN"/>
        </w:rPr>
        <w:t xml:space="preserve">（大写）。</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本合同服务期限内合同总价款不变。</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第三条 组成本合同的有关文件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下列与本次采购活动相适应的文件及有关附件是本合同不可分割的组成部分，与本合同具有同等法律效力，这些文件包括但不限于：</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（1）招标文件；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（2）投标文件；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（3）中标通知书；</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（4）中标人在投标、评标过程中所作其它有关承诺、声明、书面澄清；</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（5）甲乙双方商定的其他文件等。</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第四条 权利保证</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乙方应保证甲方在合同履行期限内不受第三方提出侵犯其专利权、版权、商标权或其他权利的起诉。一旦出现侵权，乙方应承担全部责任。</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第五条 付款方式</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1、合同签订时，甲方支付合同总价的30%作为项目预付款。</w:t>
      </w:r>
      <w:r>
        <w:rPr>
          <w:rFonts w:ascii="SimSun" w:hAnsi="SimSun" w:eastAsia="SimSun" w:cs="SimSun"/>
          <w:color w:val="000000"/>
          <w:sz w:val="24"/>
        </w:rPr>
        <w:t xml:space="preserve">（如乙方自愿放弃预付款或者降低预付款比例的，按乙方承诺执行）。</w:t>
      </w:r>
      <w:r>
        <w:rPr>
          <w:rFonts w:hint="eastAsia" w:asciiTheme="minorEastAsia" w:hAnsiTheme="minorEastAsia" w:cstheme="minorEastAsia"/>
          <w:color w:val="auto"/>
          <w:sz w:val="24"/>
          <w:szCs w:val="24"/>
          <w:highlight w:val="none"/>
          <w:lang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2、完成成立机构、摸底核实、制定方案、开展调查、审核公示、签订合同工作，且延包合同网签率达95%后，甲方向乙方支付合同总价的60%。</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3、完成后期档案整理归档工作，经甲方验收合格后付清合同尾款。</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（备注：对满足合同支付条件的，采购人应当自收到发票后30日内支付资金。）</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第六条 履约保证金</w:t>
      </w:r>
      <w:r/>
    </w:p>
    <w:p>
      <w:pPr>
        <w:pStyle w:val="2181"/>
        <w:ind w:firstLine="480"/>
        <w:spacing w:line="500" w:lineRule="exact"/>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 xml:space="preserve">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2、确需收取履约保证金的，履约保证金的缴纳形式：</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2.2 如以履约保函（保险）形式缴纳履约保证金，供应商可通过政府采购电子履约保函（保险）平台（www.jsdzbh.com）在线申请履约保函（保险）。</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3、合同履行结束后，甲方应及时退还交纳的履约保证金。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4、履约保证金的退还：</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4.1方式：无息退还至投标响应人缴纳履约保证金的账户。如为保函，在到期时自行失效。</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4.2时间：验收合格且采购人收到发票后30日内。</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4.3条件：按合同要求全部履约完成并经采购人验收合格，且采购人收到中标人出具的发票。</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4.4不予退还情形：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除不可抗力情况外，投标响应人出现下列情形之一的，其履约保证金，采购人将视情节决定不予退还或部分不予退还。</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（1）中标人无正当理由拒绝签订合同的，或者在签订合同时向采购人提出附加条件或者更改合同实质性内容要求的；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（2）中标人不履行与采购人订立的合同的；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（3）中标人所供货物或服务不符合招标文件规定要求的；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（4）中标人采取欺骗、弄虚作假方式投标的或与其它投标响应人串通投标的；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（5）中标人将合同内容转包、违法分包的；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（6）中标人故意捏造事实或伪造证明材料，进行虚假恶意投诉或反映的。</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第七条 双方的权利和义务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甲方权利义务：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1、甲方有权随时向乙方了解项目进度并要求乙方提供项目相关资料。</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3、甲方应及时向乙方提供与履行本合同相关的所有必须的文件、资料。</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4、甲方应为乙方在合同履行过程中与相关政府部门及其他第三方的沟通、协调提供必要的协助。</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乙方权利义务：</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1、乙方有权按照本合同约定向甲方收取费用。</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2、履行本合同所需的文件、资料由乙方自行向相关部门收集，所发生的相关费用由乙方承担，甲方配合乙方做好相关协调工作。</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3、乙方应接受并配合甲方或甲方组织的对本合同履行情况的监督与检查，对于甲方指出的问题，应及时作出合理解释或予以纠正。</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4、本合同到期后，如有需乙方配合的，乙方有义务予以协助。</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第八条 违约责任</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1、乙方采用转包、</w:t>
      </w:r>
      <w:r>
        <w:rPr>
          <w:rFonts w:hint="eastAsia" w:asciiTheme="minorEastAsia" w:hAnsiTheme="minorEastAsia" w:cstheme="minorEastAsia"/>
          <w:color w:val="auto"/>
          <w:sz w:val="24"/>
          <w:szCs w:val="24"/>
          <w:highlight w:val="none"/>
          <w:lang w:val="en-US" w:eastAsia="zh-CN"/>
        </w:rPr>
        <w:t xml:space="preserve">违法</w:t>
      </w:r>
      <w:r>
        <w:rPr>
          <w:rFonts w:hint="eastAsia" w:asciiTheme="minorEastAsia" w:hAnsiTheme="minorEastAsia" w:cstheme="minorEastAsia"/>
          <w:color w:val="auto"/>
          <w:sz w:val="24"/>
          <w:szCs w:val="24"/>
          <w:highlight w:val="none"/>
          <w:lang w:eastAsia="zh-CN"/>
        </w:rPr>
        <w:t xml:space="preserve">分包的形式履行合同的，甲方有权中止或终止合同，由此给甲方造成损失的，由乙方承担赔偿责任，并按相关规定进行处罚，直至建议有关部门吊销资质证书。</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乙方逾期完成工作和提交成果的，除不可抗力外，每逾期1日，甲方有权按照合同金额的0.1%作为违约金，在支付乙方的款项中扣除相应金额；逾期超过30日的，甲方有权中止或终止合同，由于乙方责任造成的项目违约，没收乙方全部履约保证金，并扣除合同金额的20%作为违约金。</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3、乙方在项目实施过程中，因作风不实、工作效率低下、调查成果质量差等原因，影响调查工作的，甲方有权酌情处置。性质严重的，将被列为不诚信单位并上报市、省行政主管部门。</w:t>
      </w:r>
      <w:r/>
    </w:p>
    <w:p>
      <w:pPr>
        <w:pStyle w:val="2181"/>
        <w:ind w:firstLine="482"/>
        <w:spacing w:line="500" w:lineRule="exact"/>
        <w:widowControl/>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第九条 验收条款</w:t>
      </w:r>
      <w:r/>
    </w:p>
    <w:p>
      <w:pPr>
        <w:pStyle w:val="2181"/>
        <w:ind w:firstLine="482"/>
        <w:spacing w:line="500" w:lineRule="exact"/>
        <w:widowControl/>
        <w:rPr>
          <w:rFonts w:hint="default" w:asciiTheme="minorEastAsia" w:hAnsiTheme="minorEastAsia" w:cstheme="minorEastAsia"/>
          <w:b/>
          <w:bCs/>
          <w:color w:val="auto"/>
          <w:sz w:val="24"/>
          <w:szCs w:val="24"/>
          <w:highlight w:val="none"/>
          <w:lang w:val="en-US" w:eastAsia="zh-CN"/>
        </w:rPr>
      </w:pPr>
      <w:r>
        <w:rPr>
          <w:rFonts w:hint="default" w:asciiTheme="minorEastAsia" w:hAnsiTheme="minorEastAsia" w:cstheme="minorEastAsia"/>
          <w:b/>
          <w:bCs/>
          <w:color w:val="auto"/>
          <w:sz w:val="24"/>
          <w:szCs w:val="24"/>
          <w:highlight w:val="none"/>
          <w:lang w:val="en-US"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验收依据为本合同、招标文件、投标文件及国家、行业相关技术规范。分为阶段性核查和最终竣工验收。</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eastAsia="zh-CN"/>
        </w:rPr>
        <w:t xml:space="preserve">乙方全部服务完成后提交完整成果及验收申请，甲方组织竣工验收，核查外业测绘、数据库、延包合同、纸质及电子档案、数据汇交移交、培训驻场服务等全部内容。</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cstheme="minorEastAsia"/>
          <w:color w:val="auto"/>
          <w:sz w:val="24"/>
          <w:szCs w:val="24"/>
          <w:highlight w:val="none"/>
          <w:lang w:eastAsia="zh-CN"/>
        </w:rPr>
        <w:t xml:space="preserve">验收不合格，乙方须限期无偿整改；两次整改仍不合格，按合同违约条款处理。</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w:t>
      </w:r>
      <w:r>
        <w:rPr>
          <w:rFonts w:hint="eastAsia" w:asciiTheme="minorEastAsia" w:hAnsiTheme="minorEastAsia" w:cstheme="minorEastAsia"/>
          <w:b/>
          <w:bCs/>
          <w:color w:val="auto"/>
          <w:sz w:val="24"/>
          <w:szCs w:val="24"/>
          <w:highlight w:val="none"/>
          <w:lang w:val="en-US" w:eastAsia="zh-CN"/>
        </w:rPr>
        <w:t xml:space="preserve">十</w:t>
      </w:r>
      <w:r>
        <w:rPr>
          <w:rFonts w:hint="eastAsia" w:asciiTheme="minorEastAsia" w:hAnsiTheme="minorEastAsia" w:cstheme="minorEastAsia"/>
          <w:b/>
          <w:bCs/>
          <w:color w:val="auto"/>
          <w:sz w:val="24"/>
          <w:szCs w:val="24"/>
          <w:highlight w:val="none"/>
          <w:lang w:eastAsia="zh-CN"/>
        </w:rPr>
        <w:t xml:space="preserve">条 不可抗力</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1、不可抗力，是指不能预见、不能避免并不能克服的客观情况，如战争、动乱、瘟疫、严重火灾、洪水、地震、风暴或其他自然灾害等。</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3、发生不可抗力事件，任何一方均不对因不可抗力无法履行或迟延履行本合同义务而使另一方蒙受的任何损失承担责任，法律另有规定的除外。</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4、合同各方应根据不可抗力对本合同履行的影响程度，协商确定是否终止本合同或是继续履行本合同。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一</w:t>
      </w:r>
      <w:r>
        <w:rPr>
          <w:rFonts w:hint="eastAsia" w:asciiTheme="minorEastAsia" w:hAnsiTheme="minorEastAsia" w:cstheme="minorEastAsia"/>
          <w:b/>
          <w:bCs/>
          <w:color w:val="auto"/>
          <w:sz w:val="24"/>
          <w:szCs w:val="24"/>
          <w:highlight w:val="none"/>
          <w:lang w:eastAsia="zh-CN"/>
        </w:rPr>
        <w:t xml:space="preserve">条 合同的变更和终止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1、除《中华人民共和国政府采购法》第五十条规定的情形外，本合同一经签订，甲乙双方不得擅自变更、中止或终止合同。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2、除发生法律规定的不能预见、不能避免并不能克服的客观情况外，甲乙双方不得放弃或拒绝履行合同。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二</w:t>
      </w:r>
      <w:r>
        <w:rPr>
          <w:rFonts w:hint="eastAsia" w:asciiTheme="minorEastAsia" w:hAnsiTheme="minorEastAsia" w:cstheme="minorEastAsia"/>
          <w:b/>
          <w:bCs/>
          <w:color w:val="auto"/>
          <w:sz w:val="24"/>
          <w:szCs w:val="24"/>
          <w:highlight w:val="none"/>
          <w:lang w:eastAsia="zh-CN"/>
        </w:rPr>
        <w:t xml:space="preserve">条 合同的终止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本合同因下列原因而终止：</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（1）本合同正常履行完毕；</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（2）因不可抗力导致本合同无法履行或履行不必要；</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（3）任何一方行使解除权解除本合同；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（4）合同的继续履行将损害国家利益和社会公共利益。</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除上述情形外，甲乙双方不得擅自终止合同。</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cstheme="minorEastAsia"/>
          <w:b/>
          <w:bCs/>
          <w:color w:val="auto"/>
          <w:sz w:val="24"/>
          <w:szCs w:val="24"/>
          <w:highlight w:val="none"/>
          <w:lang w:eastAsia="zh-CN"/>
        </w:rPr>
        <w:t xml:space="preserve">条 争议的解决</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因履行本合同引起的或与本合同有关的争议，甲、乙双方应首先通过友好协商解决，如果协商不能解决争议，则向甲方所在地有管辖权的人民法院提起诉讼。</w:t>
      </w:r>
      <w:r/>
    </w:p>
    <w:p>
      <w:pPr>
        <w:pStyle w:val="2181"/>
        <w:ind w:firstLine="482"/>
        <w:spacing w:line="500" w:lineRule="exact"/>
        <w:widowControl/>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第十</w:t>
      </w:r>
      <w:r>
        <w:rPr>
          <w:rFonts w:hint="eastAsia" w:asciiTheme="minorEastAsia" w:hAnsiTheme="minorEastAsia" w:cstheme="minorEastAsia"/>
          <w:b/>
          <w:bCs/>
          <w:color w:val="auto"/>
          <w:sz w:val="24"/>
          <w:szCs w:val="24"/>
          <w:highlight w:val="none"/>
          <w:lang w:val="en-US" w:eastAsia="zh-CN"/>
        </w:rPr>
        <w:t xml:space="preserve">四</w:t>
      </w:r>
      <w:r>
        <w:rPr>
          <w:rFonts w:hint="eastAsia" w:asciiTheme="minorEastAsia" w:hAnsiTheme="minorEastAsia" w:cstheme="minorEastAsia"/>
          <w:b/>
          <w:bCs/>
          <w:color w:val="auto"/>
          <w:sz w:val="24"/>
          <w:szCs w:val="24"/>
          <w:highlight w:val="none"/>
          <w:lang w:eastAsia="zh-CN"/>
        </w:rPr>
        <w:t xml:space="preserve">条 合同生效及其他</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1、本合同由甲乙双方签字、盖章后生效。</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2、本合同一式陆份，甲方、乙方各执叁份。</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3、本合同应按照中华人民共和国的现行法律进行解释。</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4、约定事项：在合同履行过程中对标的物的质量发生争议时，以质量技术监督部门鉴定结果为准。</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甲方（盖章）：                  乙方（盖章）：</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法定代表人或委托代理人：        法定代表人或委托代理人：</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单位地址：                      单位地址：</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联系电话：                      联系电话：</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开户银行：</w:t>
      </w:r>
      <w:r/>
    </w:p>
    <w:p>
      <w:pPr>
        <w:pStyle w:val="2181"/>
        <w:ind w:firstLine="480"/>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银行账号：</w:t>
      </w:r>
      <w:r/>
    </w:p>
    <w:p>
      <w:pPr>
        <w:pStyle w:val="2181"/>
        <w:jc w:val="right"/>
        <w:spacing w:line="500" w:lineRule="exact"/>
        <w:widowControl/>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r>
      <w:r/>
    </w:p>
    <w:p>
      <w:pPr>
        <w:pStyle w:val="2181"/>
        <w:jc w:val="right"/>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签订日期：   年    月    日</w:t>
      </w:r>
      <w:r/>
    </w:p>
    <w:p>
      <w:pPr>
        <w:pStyle w:val="2149"/>
        <w:jc w:val="center"/>
        <w:spacing w:before="120" w:beforeAutospacing="0" w:after="120" w:afterAutospacing="0" w:line="0" w:lineRule="atLeas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r>
      <w:r/>
    </w:p>
    <w:p>
      <w:pPr>
        <w:pStyle w:val="2149"/>
        <w:jc w:val="center"/>
        <w:spacing w:before="120" w:beforeAutospacing="0" w:after="120" w:afterAutospacing="0" w:line="0" w:lineRule="atLeas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 </w:t>
      </w:r>
      <w:r/>
    </w:p>
    <w:p>
      <w:pPr>
        <w:jc w:val="left"/>
        <w:widowControl/>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2149"/>
        <w:jc w:val="center"/>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第四章 采购需求</w:t>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bookmarkStart w:id="144" w:name="_Toc49090575"/>
      <w:r/>
      <w:bookmarkStart w:id="145" w:name="_Toc26554093"/>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项目属性:</w:t>
      </w:r>
      <w:r>
        <w:rPr>
          <w:rFonts w:hint="eastAsia" w:asciiTheme="minorEastAsia" w:hAnsiTheme="minorEastAsia" w:eastAsia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rPr>
        <w:t xml:space="preserve">类项目。</w:t>
      </w:r>
      <w:bookmarkEnd w:id="144"/>
      <w:r/>
      <w:bookmarkEnd w:id="145"/>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pStyle w:val="2149"/>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一、项目基本要求：</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1、项目名称：</w:t>
      </w:r>
      <w:r>
        <w:rPr>
          <w:rFonts w:hint="eastAsia" w:asciiTheme="minorEastAsia" w:hAnsiTheme="minorEastAsia" w:cstheme="minorEastAsia"/>
          <w:bCs/>
          <w:color w:val="auto"/>
          <w:highlight w:val="none"/>
          <w:lang w:eastAsia="zh-CN"/>
        </w:rPr>
        <w:t xml:space="preserve">盐都区秦南镇第二轮土地承包到期后再延长30年技术服务项目</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2、预算金额：</w:t>
      </w:r>
      <w:r>
        <w:rPr>
          <w:rFonts w:hint="eastAsia" w:asciiTheme="minorEastAsia" w:hAnsiTheme="minorEastAsia" w:cstheme="minorEastAsia"/>
          <w:bCs/>
          <w:color w:val="auto"/>
          <w:highlight w:val="none"/>
          <w:lang w:val="en-US" w:eastAsia="zh-CN"/>
        </w:rPr>
        <w:t xml:space="preserve">169.875万元</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rPr>
        <w:t xml:space="preserve">3、最高限价：</w:t>
      </w:r>
      <w:r>
        <w:rPr>
          <w:rFonts w:hint="eastAsia" w:asciiTheme="minorEastAsia" w:hAnsiTheme="minorEastAsia" w:cstheme="minorEastAsia"/>
          <w:bCs/>
          <w:color w:val="auto"/>
          <w:highlight w:val="none"/>
          <w:lang w:val="en-US" w:eastAsia="zh-CN"/>
        </w:rPr>
        <w:t xml:space="preserve">169.875万元</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报价超过最高限价的为无效报价，按照无效响应处理</w:t>
      </w:r>
      <w:r>
        <w:rPr>
          <w:rFonts w:hint="eastAsia" w:asciiTheme="minorEastAsia" w:hAnsiTheme="minorEastAsia" w:cstheme="minorEastAsia"/>
          <w:color w:val="auto"/>
          <w:highlight w:val="none"/>
          <w:lang w:eastAsia="zh-CN"/>
        </w:rPr>
        <w:t xml:space="preserve">。</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4、采购内容：</w:t>
      </w:r>
      <w:r>
        <w:rPr>
          <w:rFonts w:hint="eastAsia" w:asciiTheme="minorEastAsia" w:hAnsiTheme="minorEastAsia" w:cstheme="minorEastAsia"/>
          <w:bCs/>
          <w:color w:val="auto"/>
          <w:highlight w:val="none"/>
          <w:lang w:eastAsia="zh-CN"/>
        </w:rPr>
        <w:t xml:space="preserve">根据二轮承包及土地确</w:t>
      </w:r>
      <w:r>
        <w:rPr>
          <w:rFonts w:hint="eastAsia" w:asciiTheme="minorEastAsia" w:hAnsiTheme="minorEastAsia" w:cstheme="minorEastAsia"/>
          <w:bCs/>
          <w:color w:val="auto"/>
          <w:highlight w:val="none"/>
          <w:lang w:eastAsia="zh-CN"/>
        </w:rPr>
        <w:t xml:space="preserve">权成果数据，秦南镇2028年度二轮承包全部到期。本轮延包需完成将秦南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秦南镇本轮延包涉及到行政村（社区）29个，承包户约22650户</w:t>
      </w:r>
      <w:r>
        <w:rPr>
          <w:rFonts w:hint="eastAsia" w:asciiTheme="minorEastAsia" w:hAnsiTheme="minorEastAsia" w:eastAsiaTheme="minorEastAsia" w:cstheme="minorEastAsia"/>
          <w:bCs/>
          <w:color w:val="auto"/>
          <w:highlight w:val="none"/>
        </w:rPr>
        <w:t xml:space="preserve">。</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5、合同履行期限（服务期）：</w:t>
      </w:r>
      <w:r>
        <w:rPr>
          <w:rFonts w:hint="eastAsia" w:asciiTheme="minorEastAsia" w:hAnsiTheme="minorEastAsia" w:cstheme="minorEastAsia"/>
          <w:bCs/>
          <w:color w:val="auto"/>
          <w:highlight w:val="none"/>
          <w:lang w:val="en-US" w:eastAsia="zh-CN"/>
        </w:rPr>
        <w:t xml:space="preserve">120</w:t>
      </w:r>
      <w:r>
        <w:rPr>
          <w:rFonts w:hint="eastAsia" w:asciiTheme="minorEastAsia" w:hAnsiTheme="minorEastAsia" w:eastAsiaTheme="minorEastAsia" w:cstheme="minorEastAsia"/>
          <w:bCs/>
          <w:color w:val="auto"/>
          <w:highlight w:val="none"/>
        </w:rPr>
        <w:t xml:space="preserve">天（且在2027年3月底前完成）。</w:t>
      </w:r>
      <w:r/>
    </w:p>
    <w:p>
      <w:pPr>
        <w:pStyle w:val="2149"/>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Cs/>
          <w:color w:val="auto"/>
          <w:highlight w:val="none"/>
        </w:rPr>
        <w:t xml:space="preserve">6、质量要求：合格且符合采购人要求。</w:t>
      </w:r>
      <w:r/>
    </w:p>
    <w:p>
      <w:pPr>
        <w:keepLines w:val="0"/>
        <w:keepNext w:val="0"/>
        <w:pageBreakBefore w:val="0"/>
        <w:spacing w:line="500" w:lineRule="exact"/>
        <w:widowControl w:val="off"/>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rPr>
        <w:t xml:space="preserve">二、</w:t>
      </w:r>
      <w:r>
        <w:rPr>
          <w:rFonts w:hint="eastAsia" w:asciiTheme="minorEastAsia" w:hAnsiTheme="minorEastAsia" w:cstheme="minorEastAsia"/>
          <w:b/>
          <w:color w:val="auto"/>
          <w:sz w:val="24"/>
          <w:highlight w:val="none"/>
          <w:lang w:val="en-US" w:eastAsia="zh-CN"/>
        </w:rPr>
        <w:t xml:space="preserve">项目要求</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1、项目背景</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2023年中央一号文件提出，研究制定第二轮土地承包到期后再延长30年试点工作指导意见。这</w:t>
      </w:r>
      <w:r>
        <w:rPr>
          <w:rFonts w:hint="eastAsia" w:asciiTheme="minorEastAsia" w:hAnsiTheme="minorEastAsia" w:cstheme="minorEastAsia"/>
          <w:b w:val="0"/>
          <w:bCs w:val="0"/>
          <w:color w:val="auto"/>
          <w:sz w:val="24"/>
          <w:szCs w:val="24"/>
          <w:highlight w:val="none"/>
          <w:lang w:val="en-US" w:eastAsia="zh-CN" w:bidi="ar-SA"/>
        </w:rPr>
        <w:t xml:space="preserve">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2、指导思想</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3、基本原则</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一是把握政策界限。坚持农村土地集体所有，坚持家庭承包经营基础性地位，坚持土地承包关系稳定并长久不变，坚持延包原则，不得打乱重分。</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二是尊重农民意愿。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三是坚持因地制宜。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4、项目依据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4.1《国土资源部、中央农村工作领导小组办公室、财政部、农业部关于农村集体土地确权登记发证的若干意见》（国土资发[2011]178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4.2《农村土地承包合同管理办法》（农业农村部令 2023 年第 1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4.3《农村土地承包经营权调查规程》NY/T 2537-2014；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4.4《农村土地承包经营权要素编码规则》NY/T 2538-2014；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4.5《农村土地承包经营权确权登记数据库规范》NY/T 2539-2016；</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4.6《地籍调查规程》（GB/T 42547-2023）；</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4.7《土地利用现状分类》（GB/T 21010-2017）；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4.8《国家土地管理局关于确定土地所有权和使用权的若干规定》（[1995]国土[籍]字第 26号）；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4.9《城镇地籍数据库标准》（TD/T 1015-2007）；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4.10《宗地代码编制规则（试行）》；</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4.11《中华人民共和国行政区域代码》（GB/T 2260-2007）；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4.12《国家三、四等水准测量规范》（GB/T12898-2009）；</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4.13《卫星定位城市测量技术规范》（CJJ/T73-2010）；</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4.14《1：500、1：1000、1：2000 地形图图式》（GB/T 20257.1—2017）；</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4.15《国家基本比例尺地形图分幅和编号》（GB/T 13989-2012）；</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4.16《全球定位系统实时动态测量（RTK）技术规范》（CH/T 2009-2010）；</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4.17《测绘成果质量检查与验收》（GB/T 24356-2023）；</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4.18《数字测绘成果质量检查与验收》（GB/T18316-2008）；</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4.19《不动产登记暂行条例实施细则》（国土资源部令第 63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4.20《土地登记档案卷内文件排列顺序》；</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4.21《不动产权籍调查技术方案》；</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4.22《农村土地承包经营权确权登记颁证成果检查验收办法》（试行）；</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4.23《农业部关于做好农村土地承包经营权信息应用平台建设工作的通知》（农经发〔2016〕10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4.24《农业农村部办公厅关于加强农村土地承包经营合同管理的通知》；</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4.25《第二轮土地承包到期后再延长 30 年试点工作规程(试行)》（农办政改〔2023〕7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4.26《自然资源部 农业农村部关于做好不动产统一登记与土地承包合同管理工作有序衔接的通知》（自然资发〔2022〕157 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4.27《中共中央、国务院关于保持土地承包关系稳定并长久不变的意见》。</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4.28《关于做好第二轮土地承包到期后再延长30年试点工作的意见》。</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4.29《关于做好2025年第二轮土地承包到期后再延长30年试点工作的通知》（盐城市农业农村局）。</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5、项目内容</w:t>
      </w:r>
      <w:r/>
    </w:p>
    <w:tbl>
      <w:tblPr>
        <w:tblStyle w:val="2128"/>
        <w:tblW w:w="8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1608"/>
        <w:gridCol w:w="3936"/>
        <w:gridCol w:w="1284"/>
      </w:tblGrid>
      <w:tr>
        <w:trPr>
          <w:jc w:val="center"/>
          <w:trHeight w:val="48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工作程序</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对应第三方技术服务工作</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工作描述</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备注</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成立机构</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由本农村集体经济组织成员的村民会议依法 选举产生延包工作小组。根据上级要求制定村组延包工作计划，明确时间节点、工作步骤等。</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宣传培训</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宣传动员对象为参与第二轮农村土地承包到期后延长30年工作的乡镇、村组工作人员和农户。由业主方统一部署，组织多次宣传动员大会，让乡镇村组工作人员认识到延包工作的重要性。</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摸底核实</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村级摸底调查</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按原确权数据，整理出全镇（街道）摸底基础数据，并以村组为单位出具电子版摸底表（承包方调查表及按组汇总表），培训并指导村组工作人员开展延包摸底调查。</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研判认定</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协助摸底</w:t>
            </w:r>
            <w:r/>
          </w:p>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研判分析</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分析摸底核实问题，做好成员身份认定。</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制定方案</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按照法律、法规规定拟定延包方案,明确重大 问题处置意见,在所涉集体经济组织范围内张榜公示,期限不少于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 公示结束后,延包方案应当依法经本集体经济组织成员的 村民会议三分之二以上成员或者三分之二以上村民代表同意,并上报人民政府和盐都区农业农村部门。</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通过方案</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人民政府和盐都区农业农村部门审核村组工作方案。</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开展调查</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延包测绘调查</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根据摸底情况汇总统计需调查测绘的地块信息，安排外业补充测绘，并按原确权要求处理相关测绘数据。</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本次延包测绘费用包含在总价中，不再单独计算</w:t>
            </w:r>
            <w:r/>
          </w:p>
        </w:tc>
      </w:tr>
      <w:tr>
        <w:trPr>
          <w:jc w:val="center"/>
          <w:trHeight w:val="120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延包数据处理</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结合摸底数据、延包测绘数据、延包方案处理最终延包数据，并以村为单位制作成质检无错误的汇交包，接入到全国承包地合同网签系统，收集村级签章材料并提交系统申请村级电子签章。</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1440"/>
        </w:trPr>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审核公示</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公示培训及现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场驻点技术服务</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利用微信小程序、或线下公示表，培训、指导并协助村组顺利开展延包公示工作，在公示过程中若有信息变动的，协助村组在承包地网签系统完善并修改相关内容（2-4人驻场约2个月，确保每村每周至少有2天驻村培训）。</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签订合同</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网签系统</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全国承包地合同网签系统运维服务，含云资源服务、村级电子签章管理及备案、账户管理及其他系统日常使用运维。</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8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电子签章</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注册及申请村级电子签章，提供全镇（街道）的签章日常使用管理服务。</w:t>
            </w:r>
            <w:r/>
          </w:p>
        </w:tc>
        <w:tc>
          <w:tcPr>
            <w:tcBorders>
              <w:left w:val="single" w:color="000000" w:sz="4" w:space="0"/>
              <w:right w:val="single" w:color="000000" w:sz="4" w:space="0"/>
            </w:tcBorders>
            <w:tcW w:w="1284"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合同签订服务</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bidi="ar"/>
              </w:rPr>
              <w:t xml:space="preserve">全部</w:t>
            </w:r>
            <w:r>
              <w:rPr>
                <w:rFonts w:hint="eastAsia" w:ascii="宋体" w:hAnsi="宋体" w:eastAsia="宋体" w:cs="宋体"/>
                <w:color w:val="auto"/>
                <w:sz w:val="24"/>
                <w:szCs w:val="24"/>
                <w:highlight w:val="none"/>
                <w:lang w:bidi="ar"/>
              </w:rPr>
              <w:t xml:space="preserve">农户网签人脸识别技术支持、培训并指导村组开展延包合同签订工作（人脸识别鉴证费用）。</w:t>
            </w:r>
            <w:r/>
          </w:p>
        </w:tc>
        <w:tc>
          <w:tcPr>
            <w:tcBorders>
              <w:left w:val="single" w:color="000000" w:sz="4" w:space="0"/>
              <w:right w:val="single" w:color="000000" w:sz="4" w:space="0"/>
            </w:tcBorders>
            <w:tcW w:w="1284" w:type="dxa"/>
            <w:vAlign w:val="center"/>
            <w:vMerge w:val="continue"/>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0"/>
        </w:trPr>
        <w:tc>
          <w:tcPr>
            <w:tcBorders>
              <w:left w:val="single" w:color="000000" w:sz="4" w:space="0"/>
              <w:right w:val="single" w:color="000000" w:sz="4" w:space="0"/>
            </w:tcBorders>
            <w:tcW w:w="1435" w:type="dxa"/>
            <w:vAlign w:val="center"/>
            <w:vMerge w:val="continue"/>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left"/>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网签技术指导</w:t>
            </w:r>
            <w:r/>
          </w:p>
        </w:tc>
        <w:tc>
          <w:tcPr>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网签驻场技术服务（1-3人驻场约1个月，确保每村每周至少有2天驻村培训）。</w:t>
            </w:r>
            <w:r/>
          </w:p>
        </w:tc>
        <w:tc>
          <w:tcPr>
            <w:tcBorders>
              <w:left w:val="single" w:color="000000" w:sz="4" w:space="0"/>
              <w:right w:val="single" w:color="000000" w:sz="4" w:space="0"/>
            </w:tcBorders>
            <w:tcW w:w="1284" w:type="dxa"/>
            <w:vAlign w:val="center"/>
            <w:vMerge w:val="continue"/>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资料归档</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档案整理</w:t>
            </w:r>
            <w:r>
              <w:rPr>
                <w:rFonts w:hint="eastAsia" w:ascii="宋体" w:hAnsi="宋体" w:eastAsia="宋体" w:cs="宋体"/>
                <w:color w:val="auto"/>
                <w:sz w:val="24"/>
                <w:szCs w:val="24"/>
                <w:highlight w:val="none"/>
                <w:lang w:eastAsia="zh-CN" w:bidi="ar"/>
              </w:rPr>
              <w:t xml:space="preserve">数字化</w:t>
            </w:r>
            <w:r/>
          </w:p>
        </w:tc>
        <w:tc>
          <w:tcPr>
            <w:shd w:val="clear" w:color="auto" w:fill="auto"/>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按照档案管理及</w:t>
            </w:r>
            <w:r>
              <w:rPr>
                <w:rFonts w:hint="eastAsia" w:ascii="宋体" w:hAnsi="宋体" w:eastAsia="宋体" w:cs="宋体"/>
                <w:color w:val="auto"/>
                <w:sz w:val="24"/>
                <w:szCs w:val="24"/>
                <w:highlight w:val="none"/>
                <w:lang w:val="en-US" w:eastAsia="zh-CN" w:bidi="ar"/>
              </w:rPr>
              <w:t xml:space="preserve">根</w:t>
            </w:r>
            <w:r>
              <w:rPr>
                <w:rFonts w:hint="eastAsia" w:ascii="宋体" w:hAnsi="宋体" w:eastAsia="宋体" w:cs="宋体"/>
                <w:color w:val="auto"/>
                <w:sz w:val="24"/>
                <w:szCs w:val="24"/>
                <w:highlight w:val="none"/>
                <w:lang w:bidi="ar"/>
              </w:rPr>
              <w:t xml:space="preserve">据部、省两级要求，整理二轮到期延包档案材料（包括但不限于合同整理打印、签章图制作、归户表制作等）</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资料归档汇交</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纸质材料成果档案，以镇、村、户为单位，成交供应商分别整理装袋提交甲方；电子档成果数据（包括测绘数据库、</w:t>
            </w:r>
            <w:r>
              <w:rPr>
                <w:rFonts w:hint="eastAsia" w:ascii="宋体" w:hAnsi="宋体" w:eastAsia="宋体" w:cs="宋体"/>
                <w:color w:val="auto"/>
                <w:sz w:val="24"/>
                <w:szCs w:val="24"/>
                <w:highlight w:val="none"/>
                <w:lang w:eastAsia="zh-CN" w:bidi="ar"/>
              </w:rPr>
              <w:t xml:space="preserve">矢量图</w:t>
            </w:r>
            <w:r>
              <w:rPr>
                <w:rFonts w:hint="eastAsia" w:ascii="宋体" w:hAnsi="宋体" w:eastAsia="宋体" w:cs="宋体"/>
                <w:color w:val="auto"/>
                <w:sz w:val="24"/>
                <w:szCs w:val="24"/>
                <w:highlight w:val="none"/>
                <w:lang w:bidi="ar"/>
              </w:rPr>
              <w:t xml:space="preserve">、承包方和发包方信息等），成交供应商完成数据库合并，汇交甲方，并负责技术服务，</w:t>
            </w:r>
            <w:r>
              <w:rPr>
                <w:rFonts w:hint="eastAsia" w:ascii="宋体" w:hAnsi="宋体" w:eastAsia="宋体" w:cs="宋体"/>
                <w:color w:val="auto"/>
                <w:sz w:val="24"/>
                <w:szCs w:val="24"/>
                <w:highlight w:val="none"/>
                <w:lang w:eastAsia="zh-CN" w:bidi="ar"/>
              </w:rPr>
              <w:t xml:space="preserve">达到</w:t>
            </w:r>
            <w:r>
              <w:rPr>
                <w:rFonts w:hint="eastAsia" w:ascii="宋体" w:hAnsi="宋体" w:eastAsia="宋体" w:cs="宋体"/>
                <w:color w:val="auto"/>
                <w:sz w:val="24"/>
                <w:szCs w:val="24"/>
                <w:highlight w:val="none"/>
                <w:lang w:val="en-US" w:eastAsia="zh-CN" w:bidi="ar"/>
              </w:rPr>
              <w:t xml:space="preserve">盐都区农业农村部门要求，并无条件移交到位</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验收总结</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验收总结</w:t>
            </w:r>
            <w:r/>
          </w:p>
        </w:tc>
        <w:tc>
          <w:tcPr>
            <w:shd w:val="clear" w:color="auto" w:fill="auto"/>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bidi="ar"/>
              </w:rPr>
              <w:t xml:space="preserve">按省、市要求组织验收工作，并总结形成记录。</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bCs/>
          <w:color w:val="auto"/>
          <w:sz w:val="24"/>
          <w:szCs w:val="24"/>
          <w:highlight w:val="none"/>
          <w:lang w:val="en-US" w:eastAsia="zh-CN" w:bidi="ar-SA"/>
        </w:rPr>
        <w:t xml:space="preserve">三、主要技术服务要求</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服务内容包括但不限于以下内容：</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1、数据处理规范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1.1 摸底表规范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按照原土地确权汇交数据及历年来变更业务最新数据，以组为单位，出具摸底表，并指导村组如何按照摸底表进行延包摸底核实工作。</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1.2 延包数据处理规范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系统数据初始接入支持按乡镇或村导入数据汇交包，但数据汇交需满足如下规范：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《农村土地承包经营权调查规程》(NY/T2537—2014)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《农村土地承包经营权要素编码规则》(NY/T2538—2014)</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《农村土地承包经营权确权登记数据库规范》(NY/T2539—2016)</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《农村土地承包经营权确权登记颁证成果检查验收办法（试行）》（农办经[2015]5号）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《农村土地承包经营权确权登记数据库建设技术指南（试行）》（农办经[2015]13号）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《农村土地承包经营权确权登记数据库成果汇交办法（试行）》（农办经[2015]13号）</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此外汇交包需通过农业农村部最新质检软件质检，方可成功接入系统。</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2、矢量数据：矢量数据分层及结构遵守《农村土地承包经营权确权登记数据库规范》(NY/T2539-2016)规定。矢量数据必须采用 CGCS2000 坐标系，同时矢量数据文件格式采用标准的shapefile 格式(.shp)。矢量数据元数据以 XML 格式保存，编码方式为 UTF-8，统一存放在“矢量数据”目录中。</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矢量汇交数据命名规范：(属性表名)(6 位县级区划代码)(4 位年份代码).SHP。</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矢量数据元数据命名规范：SL(6 位县级区划代码)(4 位年份代码).XML。</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3、权属数据：权属数据包括发包方、承包方、承包地块、承包合同等，遵守《农村土地承包经营权确权登记数据库规范》(NY/T 2539-2014)规定。权属数据文件格式采用 Access2003 的MDB 数据格式，权属单位代码表格式采用 EXCEL2003 格式，统一存放在“权属数据”目录中。</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权属数据文件命名规范：(6 位县级区划代码)(4 位年份代码).MDB。</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权属单位代码表命名规范：(6 位县级区划代码)(4 位年份代码)权属单位代码表.XLS。</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4、栅格数据：栅格数据采用标准图幅形式进行组织，提交格式为国际工业标准无压缩的TIFF格式（.TIF）。图幅编号按照 NY/T2537-2014 执行。栅格数据须采用 CGCS2000 坐标系。</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分别建立数字正射影像图，数字栅格地图，其他栅格数据目录，存放各自栅格数据文件，所有目录统一存放在“栅格数据”目录中。</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数字正射影像图命名规范：(图幅号)DOM.TIF。</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数字栅格地图命名规范：(图幅号)DRG.TIF。</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其它栅格数据命名规范：(图幅号)QTSG.TIF。</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图件、汇总表格：本次无要求，国家系统可自动生成相关数据。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5、测绘规范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延包工作涉及到一定数量的地块修补测工作，测绘需满足如下规范：</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（农经发（2016）10号）《农村土地承包经营权信息应用平台建设总体方案》</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《基础地理信息数据库基本规定》（CH/T 9005-2009）</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《农村土地承包合同管理办法》</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《土地登记办法》</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《中华人民共和国民法典》</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《土地管理档案目录数据库标准》（试用）</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《中华人民共和国农村土地承包经营纠纷调解仲裁法》</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修补测数据可在延包数据处理过程中直接整合进汇交包，也可在国家平台按单个矢量地块上传。</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6、数学基础</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比例尺</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农村承包土地调查比例尺 1：2000</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影像分辨率</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影像分辨率为0.2m；</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坐标系统</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 平面坐标系：采用 2000 国家大地坐标系；</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(2) 高程系统：1985 国家高程基准；</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(3) 投影方式：高斯-克吕格地图投影，采用标准 3°分带平面直角坐标系统。</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7、调查图件</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7.1栅格数据分幅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采用 1:2000DOM 放大制作成 1：1000 比例尺，使用行政村界线进行套合、叠加，按自然村进行分幅，地块分布图采用以行政村为单位分幅。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7.2矢量数据分幅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承包地块、地物等矢量数据以自然村为单位进行分幅。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7.3正射影像数据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分辨率包括0.5米或优于0.5米，采用0.5米分辨率的数据时，调查图件统一由省测绘局提供，优于0.5米分辨率时其图件由专家组认可后方可使用。</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7.4矢量数据</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矢量数据由正射影像解译出来的包括地块、水系、道路等图层。</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7.5工作底图</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工作底图采用 1：2000 比例尺。</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8、主要精度指标</w:t>
      </w:r>
      <w:r/>
    </w:p>
    <w:p>
      <w:pPr>
        <w:numPr>
          <w:ilvl w:val="0"/>
          <w:numId w:val="0"/>
        </w:numPr>
        <w:ind w:firstLine="480"/>
        <w:keepLines w:val="0"/>
        <w:keepNext w:val="0"/>
        <w:pageBreakBefore w:val="0"/>
        <w:spacing w:line="500" w:lineRule="exac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地块分布图上界址点相对于邻近控制点的点位中误差和相邻界址点之间的间距中误差原则上不得超过表 1 的规定。</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界址点精度指标</w:t>
      </w:r>
      <w:r/>
    </w:p>
    <w:tbl>
      <w:tblPr>
        <w:tblStyle w:val="2128"/>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3868"/>
        <w:gridCol w:w="3141"/>
      </w:tblGrid>
      <w:tr>
        <w:trPr>
          <w:jc w:val="center"/>
          <w:trHeight w:val="404"/>
        </w:trPr>
        <w:tc>
          <w:tcPr>
            <w:tcBorders>
              <w:top w:val="single" w:color="000000" w:sz="4" w:space="0"/>
              <w:left w:val="single" w:color="000000" w:sz="4" w:space="0"/>
              <w:bottom w:val="single" w:color="000000" w:sz="4" w:space="0"/>
              <w:right w:val="single" w:color="000000" w:sz="4" w:space="0"/>
            </w:tcBorders>
            <w:tcW w:w="764"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比例尺</w:t>
            </w:r>
            <w:r/>
          </w:p>
        </w:tc>
        <w:tc>
          <w:tcPr>
            <w:gridSpan w:val="2"/>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界址点相对于邻近控制点的点位中误差和相邻界址点间的间距中误差</w:t>
            </w:r>
            <w:r/>
          </w:p>
        </w:tc>
      </w:tr>
      <w:tr>
        <w:trPr>
          <w:jc w:val="center"/>
          <w:trHeight w:val="638"/>
        </w:trPr>
        <w:tc>
          <w:tcPr>
            <w:tcBorders>
              <w:left w:val="single" w:color="000000" w:sz="4" w:space="0"/>
              <w:right w:val="single" w:color="000000" w:sz="4" w:space="0"/>
            </w:tcBorders>
            <w:tcW w:w="764" w:type="pct"/>
            <w:vAlign w:val="center"/>
            <w:vMerge w:val="continue"/>
            <w:textDirection w:val="lrTb"/>
            <w:noWrap w:val="false"/>
          </w:tcPr>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平地、丘陵</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山地、高山地</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1∶2000</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r>
    </w:tbl>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9、计量单位</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9.1长度单位采用米(m),小数点后保留两位有效数字（0.01）。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9.2面积单位采用平方米（㎡）,小数点后保留两位有效数字（0.01）。统计汇总时,面积单位采用公顷(h ㎡),小数点后保留两位有效数字（0.01）。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9.3亩作为辅助面积单位（mu），小数点后保留两位有效数字（0.01）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9.4坐标单位采用米（m），保留 3 位有效数字（0.001）。</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10、面积计算</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面积计算采用水平投影面积，面积相对误差在 5%以内。</w:t>
      </w:r>
      <w:r/>
    </w:p>
    <w:p>
      <w:pPr>
        <w:numPr>
          <w:ilvl w:val="0"/>
          <w:numId w:val="0"/>
        </w:numPr>
        <w:ind w:firstLine="480"/>
        <w:keepLines w:val="0"/>
        <w:keepNext w:val="0"/>
        <w:pageBreakBefore w:val="0"/>
        <w:spacing w:line="500" w:lineRule="exact"/>
        <w:widowControl w:val="off"/>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 xml:space="preserve">11、界址点测量</w:t>
      </w:r>
      <w:r/>
    </w:p>
    <w:p>
      <w:pPr>
        <w:numPr>
          <w:ilvl w:val="0"/>
          <w:numId w:val="0"/>
        </w:numPr>
        <w:ind w:firstLine="480"/>
        <w:keepLines w:val="0"/>
        <w:keepNext w:val="0"/>
        <w:pageBreakBefore w:val="0"/>
        <w:spacing w:line="500" w:lineRule="exact"/>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cstheme="minorEastAsia"/>
          <w:b w:val="0"/>
          <w:bCs w:val="0"/>
          <w:color w:val="auto"/>
          <w:sz w:val="24"/>
          <w:szCs w:val="24"/>
          <w:highlight w:val="none"/>
          <w:lang w:val="en-US" w:eastAsia="zh-CN" w:bidi="ar-SA"/>
        </w:rPr>
        <w:t xml:space="preserve">以图解法为基础，辅以实地勘测法进行补充调查确定界址点坐标的方法。即利用工作底图到实地核实解译界址点的正确性，对解译界址点与实地不符的，经实地标绘或测量予以纠正。</w:t>
      </w:r>
      <w:r/>
    </w:p>
    <w:p>
      <w:pPr>
        <w:keepLines w:val="0"/>
        <w:keepNext w:val="0"/>
        <w:pageBreakBefore w:val="0"/>
        <w:spacing w:line="500" w:lineRule="exact"/>
        <w:widowControl w:val="off"/>
        <w:rPr>
          <w:rFonts w:hint="default" w:asciiTheme="minorEastAsia" w:hAnsiTheme="minorEastAsia" w:eastAsiaTheme="minorEastAsia" w:cstheme="minorEastAsia"/>
          <w:b/>
          <w:color w:val="auto"/>
          <w:sz w:val="24"/>
          <w:szCs w:val="21"/>
          <w:highlight w:val="none"/>
          <w:lang w:val="en-US" w:eastAsia="zh-CN"/>
        </w:rPr>
      </w:pPr>
      <w:r>
        <w:rPr>
          <w:rFonts w:hint="eastAsia" w:asciiTheme="minorEastAsia" w:hAnsiTheme="minorEastAsia" w:eastAsiaTheme="minorEastAsia" w:cstheme="minorEastAsia"/>
          <w:b/>
          <w:color w:val="auto"/>
          <w:sz w:val="24"/>
          <w:highlight w:val="none"/>
        </w:rPr>
        <w:t xml:space="preserve">四、</w:t>
      </w:r>
      <w:r>
        <w:rPr>
          <w:rFonts w:hint="eastAsia" w:asciiTheme="minorEastAsia" w:hAnsiTheme="minorEastAsia" w:cstheme="minorEastAsia"/>
          <w:b/>
          <w:color w:val="auto"/>
          <w:sz w:val="24"/>
          <w:szCs w:val="21"/>
          <w:highlight w:val="none"/>
          <w:lang w:val="en-US" w:eastAsia="zh-CN"/>
        </w:rPr>
        <w:t xml:space="preserve">工作要求</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 xml:space="preserve">1、质量要求：①成果文件要求：开展</w:t>
      </w:r>
      <w:r>
        <w:rPr>
          <w:rFonts w:hint="eastAsia" w:asciiTheme="minorEastAsia" w:hAnsiTheme="minorEastAsia" w:cstheme="minorEastAsia"/>
          <w:color w:val="auto"/>
          <w:sz w:val="24"/>
          <w:szCs w:val="24"/>
          <w:highlight w:val="none"/>
          <w:lang w:eastAsia="zh-CN"/>
        </w:rPr>
        <w:t xml:space="preserve">盐都区秦南镇</w:t>
      </w:r>
      <w:r>
        <w:rPr>
          <w:rFonts w:hint="eastAsia" w:asciiTheme="minorEastAsia" w:hAnsiTheme="minorEastAsia" w:cstheme="minorEastAsia"/>
          <w:color w:val="auto"/>
          <w:sz w:val="24"/>
          <w:szCs w:val="21"/>
          <w:highlight w:val="none"/>
          <w:lang w:val="en-US" w:eastAsia="zh-CN"/>
        </w:rPr>
        <w:t xml:space="preserve">第二轮土地承包到期后再延长30年技术服务工作，并通过采购方组织的专家技术审查。提交的成果数量应满足咨询、审查、存档、报批等各环节的需求。②成果技术要求：项目成果报告符合采购需求的相关法律法规文件要求</w:t>
      </w:r>
      <w:r>
        <w:rPr>
          <w:rFonts w:hint="eastAsia" w:asciiTheme="minorEastAsia" w:hAnsiTheme="minorEastAsia" w:eastAsiaTheme="minorEastAsia" w:cstheme="minorEastAsia"/>
          <w:color w:val="auto"/>
          <w:sz w:val="24"/>
          <w:szCs w:val="21"/>
          <w:highlight w:val="none"/>
        </w:rPr>
        <w:t xml:space="preserve">。</w:t>
      </w:r>
      <w:r/>
    </w:p>
    <w:p>
      <w:pPr>
        <w:ind w:firstLine="480"/>
        <w:keepLines w:val="0"/>
        <w:keepNext w:val="0"/>
        <w:pageBreakBefore w:val="0"/>
        <w:spacing w:line="500" w:lineRule="exact"/>
        <w:widowControl w:val="off"/>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 xml:space="preserve">2、培训及驻场服务要求：培训主要分为工作流程培训及系统操作使用培训，要求是通过技术服务单位的培训指导，镇、村组，可充分熟悉并掌握延包工作方法及依托承包地顺利完成延包合同签订工作。本文件对技术服务单位的培训要求只是最低限度要求，具体次数及培训时间安排，要以延包工作成果为导向。技术服务单位驻场时间及人员具体数量安排，视延包合同签订完成率而定，在延包合同签订完成率达不到95%的情况下，驻点人员不得离场，且采购人不再因第三方驻场时间超期而另行支付费用。</w:t>
      </w:r>
      <w:r/>
    </w:p>
    <w:p>
      <w:pPr>
        <w:ind w:firstLine="480"/>
        <w:keepLines w:val="0"/>
        <w:keepNext w:val="0"/>
        <w:pageBreakBefore w:val="0"/>
        <w:spacing w:line="500" w:lineRule="exact"/>
        <w:widowControl w:val="off"/>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 xml:space="preserve">3、人员及实施要求：①项目团队人员应具有专业技术能力，针对采购内容提供相应的人员配备，项目组成员分工明确，至少包含项目负责人、技术负责人、数据库建设负责人等成员。 ②项目实施过程中的工作人员需服从采购人的管理安排。</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 xml:space="preserve">4</w:t>
      </w:r>
      <w:r>
        <w:rPr>
          <w:rFonts w:hint="eastAsia" w:asciiTheme="minorEastAsia" w:hAnsiTheme="minorEastAsia" w:eastAsiaTheme="minorEastAsia" w:cstheme="minorEastAsia"/>
          <w:color w:val="auto"/>
          <w:sz w:val="24"/>
          <w:szCs w:val="21"/>
          <w:highlight w:val="none"/>
        </w:rPr>
        <w:t xml:space="preserve">、本项目费用报价采用固定总价报价的方式。服务费用主要包括（但不限于）：服务酬金（包含人员工资、社会福利费、公司管理费、利润等）、交通费、食宿费、通讯费、各种资料的编制、打印、复印和传递费、办公设备和用品费、本项目的不可预见费、在执行本项目服务的过程中所发生的额外的其它所有费用。</w:t>
      </w:r>
      <w:r/>
    </w:p>
    <w:p>
      <w:pPr>
        <w:pStyle w:val="2149"/>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五</w:t>
      </w:r>
      <w:r>
        <w:rPr>
          <w:rFonts w:hint="eastAsia" w:asciiTheme="minorEastAsia" w:hAnsiTheme="minorEastAsia" w:eastAsiaTheme="minorEastAsia" w:cstheme="minorEastAsia"/>
          <w:b/>
          <w:bCs/>
          <w:color w:val="auto"/>
          <w:highlight w:val="none"/>
        </w:rPr>
        <w:t xml:space="preserve">、其他要求</w:t>
      </w:r>
      <w:r/>
    </w:p>
    <w:p>
      <w:pPr>
        <w:pStyle w:val="2149"/>
        <w:ind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、业绩</w:t>
      </w:r>
      <w:r/>
    </w:p>
    <w:p>
      <w:pPr>
        <w:pStyle w:val="2149"/>
        <w:ind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为了确保</w:t>
      </w:r>
      <w:r>
        <w:rPr>
          <w:rFonts w:hint="eastAsia" w:asciiTheme="minorEastAsia" w:hAnsiTheme="minorEastAsia" w:cstheme="minorEastAsia"/>
          <w:color w:val="auto"/>
          <w:highlight w:val="none"/>
          <w:lang w:val="en-US" w:eastAsia="zh-CN"/>
        </w:rPr>
        <w:t xml:space="preserve">本</w:t>
      </w:r>
      <w:r>
        <w:rPr>
          <w:rFonts w:hint="eastAsia" w:asciiTheme="minorEastAsia" w:hAnsiTheme="minorEastAsia" w:eastAsiaTheme="minorEastAsia" w:cstheme="minorEastAsia"/>
          <w:color w:val="auto"/>
          <w:highlight w:val="none"/>
        </w:rPr>
        <w:t xml:space="preserve">项目的顺利实施，投标人提供自2023年1月1日</w:t>
      </w:r>
      <w:r>
        <w:rPr>
          <w:rFonts w:hint="eastAsia" w:asciiTheme="minorEastAsia" w:hAnsiTheme="minorEastAsia" w:eastAsiaTheme="minorEastAsia" w:cstheme="minorEastAsia"/>
          <w:color w:val="auto"/>
          <w:highlight w:val="none"/>
          <w:lang w:bidi="ar"/>
        </w:rPr>
        <w:t xml:space="preserve">（以合同签订时间为准）</w:t>
      </w:r>
      <w:r>
        <w:rPr>
          <w:rFonts w:hint="eastAsia" w:asciiTheme="minorEastAsia" w:hAnsiTheme="minorEastAsia" w:eastAsiaTheme="minorEastAsia" w:cstheme="minorEastAsia"/>
          <w:color w:val="auto"/>
          <w:highlight w:val="none"/>
        </w:rPr>
        <w:t xml:space="preserve">以来承担过类似项目业绩的优先（同类业绩指：二轮延包类项目）。</w:t>
      </w:r>
      <w:r/>
    </w:p>
    <w:p>
      <w:pPr>
        <w:pStyle w:val="2149"/>
        <w:ind w:firstLine="482"/>
        <w:keepLines w:val="0"/>
        <w:keepNext w:val="0"/>
        <w:pageBreakBefore w:val="0"/>
        <w:spacing w:beforeAutospacing="0" w:afterAutospacing="0" w:line="500" w:lineRule="exact"/>
        <w:widowControl w:val="off"/>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2</w:t>
      </w:r>
      <w:r>
        <w:rPr>
          <w:rFonts w:hint="eastAsia" w:asciiTheme="minorEastAsia" w:hAnsiTheme="minorEastAsia" w:eastAsiaTheme="minorEastAsia" w:cstheme="minorEastAsia"/>
          <w:b/>
          <w:bCs/>
          <w:color w:val="auto"/>
          <w:highlight w:val="none"/>
          <w:lang w:val="en-US" w:eastAsia="zh-CN"/>
        </w:rPr>
        <w:t xml:space="preserve">、</w:t>
      </w:r>
      <w:r>
        <w:rPr>
          <w:rFonts w:hint="eastAsia" w:asciiTheme="minorEastAsia" w:hAnsiTheme="minorEastAsia" w:cstheme="minorEastAsia"/>
          <w:b/>
          <w:bCs/>
          <w:color w:val="auto"/>
          <w:highlight w:val="none"/>
          <w:lang w:val="en-US" w:eastAsia="zh-CN"/>
        </w:rPr>
        <w:t xml:space="preserve">企业资信</w:t>
      </w:r>
      <w:r/>
    </w:p>
    <w:p>
      <w:pPr>
        <w:pStyle w:val="2149"/>
        <w:ind w:firstLine="482"/>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为了择优选择中标人，体现企业实力，投标人具备质量管理体系认证证书、环境管理体系认证证书、职业健康安全管理体系认证证书</w:t>
      </w:r>
      <w:r>
        <w:rPr>
          <w:rFonts w:hint="eastAsia" w:asciiTheme="minorEastAsia" w:hAnsiTheme="minorEastAsia" w:cstheme="minorEastAsia"/>
          <w:color w:val="auto"/>
          <w:highlight w:val="none"/>
          <w:lang w:eastAsia="zh-CN"/>
        </w:rPr>
        <w:t xml:space="preserve">、测量管理体系</w:t>
      </w:r>
      <w:r>
        <w:rPr>
          <w:rFonts w:hint="eastAsia" w:asciiTheme="minorEastAsia" w:hAnsiTheme="minorEastAsia" w:eastAsiaTheme="minorEastAsia" w:cstheme="minorEastAsia"/>
          <w:color w:val="auto"/>
          <w:highlight w:val="none"/>
        </w:rPr>
        <w:t xml:space="preserve">证书</w:t>
      </w:r>
      <w:r>
        <w:rPr>
          <w:rFonts w:hint="eastAsia" w:asciiTheme="minorEastAsia" w:hAnsiTheme="minorEastAsia" w:cstheme="minorEastAsia"/>
          <w:color w:val="auto"/>
          <w:highlight w:val="none"/>
          <w:lang w:eastAsia="zh-CN"/>
        </w:rPr>
        <w:t xml:space="preserve">、信息技术服务管理体系认证证书</w:t>
      </w:r>
      <w:r>
        <w:rPr>
          <w:rFonts w:hint="eastAsia" w:asciiTheme="minorEastAsia" w:hAnsiTheme="minorEastAsia" w:eastAsiaTheme="minorEastAsia" w:cstheme="minorEastAsia"/>
          <w:color w:val="auto"/>
          <w:highlight w:val="none"/>
        </w:rPr>
        <w:t xml:space="preserve">的优先。</w:t>
      </w:r>
      <w:r/>
    </w:p>
    <w:p>
      <w:pPr>
        <w:pStyle w:val="2149"/>
        <w:ind w:firstLine="482"/>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投标人</w:t>
      </w:r>
      <w:r>
        <w:rPr>
          <w:rFonts w:hint="eastAsia" w:asciiTheme="minorEastAsia" w:hAnsiTheme="minorEastAsia" w:eastAsiaTheme="minorEastAsia" w:cstheme="minorEastAsia"/>
          <w:b w:val="0"/>
          <w:bCs w:val="0"/>
          <w:color w:val="auto"/>
          <w:highlight w:val="none"/>
        </w:rPr>
        <w:t xml:space="preserve">具有档案管理部门颁发的档案工作规范化管理证书</w:t>
      </w:r>
      <w:r>
        <w:rPr>
          <w:rFonts w:hint="eastAsia" w:asciiTheme="minorEastAsia" w:hAnsiTheme="minorEastAsia" w:eastAsiaTheme="minorEastAsia" w:cstheme="minorEastAsia"/>
          <w:color w:val="auto"/>
          <w:sz w:val="24"/>
          <w:highlight w:val="none"/>
          <w:lang w:bidi="ar"/>
        </w:rPr>
        <w:t xml:space="preserve">（或具有档案管理部门出具的“良好及以上等级”的工作评价证明）</w:t>
      </w:r>
      <w:r>
        <w:rPr>
          <w:rFonts w:hint="eastAsia" w:asciiTheme="minorEastAsia" w:hAnsiTheme="minorEastAsia" w:eastAsiaTheme="minorEastAsia" w:cstheme="minorEastAsia"/>
          <w:b w:val="0"/>
          <w:bCs w:val="0"/>
          <w:color w:val="auto"/>
          <w:highlight w:val="none"/>
        </w:rPr>
        <w:t xml:space="preserve">的</w:t>
      </w:r>
      <w:r>
        <w:rPr>
          <w:rFonts w:hint="eastAsia" w:asciiTheme="minorEastAsia" w:hAnsiTheme="minorEastAsia" w:eastAsiaTheme="minorEastAsia" w:cstheme="minorEastAsia"/>
          <w:color w:val="auto"/>
          <w:highlight w:val="none"/>
        </w:rPr>
        <w:t xml:space="preserve">优先</w:t>
      </w:r>
      <w:r>
        <w:rPr>
          <w:rFonts w:hint="eastAsia" w:asciiTheme="minorEastAsia" w:hAnsiTheme="minorEastAsia" w:eastAsiaTheme="minorEastAsia" w:cstheme="minorEastAsia"/>
          <w:b w:val="0"/>
          <w:bCs w:val="0"/>
          <w:color w:val="auto"/>
          <w:highlight w:val="none"/>
          <w:lang w:val="en-US" w:eastAsia="zh-CN"/>
        </w:rPr>
        <w:t xml:space="preserve">。</w:t>
      </w:r>
      <w:r/>
    </w:p>
    <w:p>
      <w:pPr>
        <w:pStyle w:val="2149"/>
        <w:ind w:firstLine="482"/>
        <w:keepLines w:val="0"/>
        <w:keepNext w:val="0"/>
        <w:pageBreakBefore w:val="0"/>
        <w:spacing w:beforeAutospacing="0" w:afterAutospacing="0" w:line="500" w:lineRule="exact"/>
        <w:widowControl w:val="off"/>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3</w:t>
      </w: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cstheme="minorEastAsia"/>
          <w:b/>
          <w:bCs/>
          <w:color w:val="auto"/>
          <w:highlight w:val="none"/>
          <w:lang w:val="en-US" w:eastAsia="zh-CN"/>
        </w:rPr>
        <w:t xml:space="preserve">服务团队</w:t>
      </w:r>
      <w:r/>
    </w:p>
    <w:p>
      <w:pPr>
        <w:pStyle w:val="2149"/>
        <w:ind w:firstLine="480"/>
        <w:keepLines w:val="0"/>
        <w:keepNext w:val="0"/>
        <w:pageBreakBefore w:val="0"/>
        <w:spacing w:beforeAutospacing="0" w:afterAutospacing="0" w:line="50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为了择优选择中标人，项目负责人具有测绘类或计算机类高级及以上职称证书的、注册测绘师执业资格证书、档案人员上岗培训证书、地理信息安全保密培训合格证书的优先。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技术负责人具有测绘类或计算机类高级及以上职称证书、具有注册测绘师执业资格证书的优先。</w:t>
      </w:r>
      <w:r/>
    </w:p>
    <w:p>
      <w:pPr>
        <w:pStyle w:val="2149"/>
        <w:numPr>
          <w:ilvl w:val="0"/>
          <w:numId w:val="0"/>
        </w:numPr>
        <w:ind w:firstLine="480"/>
        <w:keepLines w:val="0"/>
        <w:keepNext w:val="0"/>
        <w:pageBreakBefore w:val="0"/>
        <w:spacing w:beforeAutospacing="0" w:afterAutospacing="0" w:line="500" w:lineRule="exact"/>
        <w:widowControl w:val="off"/>
        <w:rPr>
          <w:rFonts w:hint="default"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数据库建设负责人有信息系统项目管理师证书（或系统集成项目管理工程师证书）、地理信息安全保密培训合格证书的优先。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其他人员（不包含项目负责人、技术负责人、数据库建设负责人）：具有测绘类或计算机类中级工程师职称证书、具有测绘类或计算机类高级及以上职称证书、具有民用无人机驾驶合格证、具有农村土地承包延包工作培训合格证书的优先。</w:t>
      </w:r>
      <w:r/>
    </w:p>
    <w:p>
      <w:pPr>
        <w:pStyle w:val="2149"/>
        <w:numPr>
          <w:ilvl w:val="0"/>
          <w:numId w:val="0"/>
        </w:numPr>
        <w:ind w:firstLine="482"/>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b/>
          <w:bCs/>
          <w:color w:val="auto"/>
          <w:highlight w:val="none"/>
          <w:lang w:val="en-US" w:eastAsia="zh-CN"/>
        </w:rPr>
        <w:t xml:space="preserve">4</w:t>
      </w:r>
      <w:r>
        <w:rPr>
          <w:rFonts w:hint="eastAsia" w:asciiTheme="minorEastAsia" w:hAnsiTheme="minorEastAsia" w:eastAsiaTheme="minorEastAsia" w:cstheme="minorEastAsia"/>
          <w:b/>
          <w:bCs/>
          <w:color w:val="auto"/>
          <w:highlight w:val="none"/>
          <w:lang w:val="en-US" w:eastAsia="zh-CN"/>
        </w:rPr>
        <w:t xml:space="preserve">、</w:t>
      </w:r>
      <w:r>
        <w:rPr>
          <w:rFonts w:hint="eastAsia" w:asciiTheme="minorEastAsia" w:hAnsiTheme="minorEastAsia" w:cstheme="minorEastAsia"/>
          <w:b/>
          <w:bCs/>
          <w:color w:val="auto"/>
          <w:highlight w:val="none"/>
          <w:lang w:val="en-US" w:eastAsia="zh-CN"/>
        </w:rPr>
        <w:t xml:space="preserve">技术</w:t>
      </w:r>
      <w:r>
        <w:rPr>
          <w:rFonts w:hint="eastAsia" w:asciiTheme="minorEastAsia" w:hAnsiTheme="minorEastAsia" w:eastAsiaTheme="minorEastAsia" w:cstheme="minorEastAsia"/>
          <w:b/>
          <w:bCs/>
          <w:color w:val="auto"/>
          <w:highlight w:val="none"/>
          <w:lang w:val="en-US" w:eastAsia="zh-CN"/>
        </w:rPr>
        <w:t xml:space="preserve">服务方案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根据农业农村部办公厅、自然资源部办公厅、国家档案局办公室关于印发《第二轮土地承包到期后再延长30年试点工作规程》，结合本次项目实际情况，对相应工作制定切实可行的实施方案，方案至少包含以下内容：</w:t>
      </w:r>
      <w:r/>
    </w:p>
    <w:p>
      <w:pPr>
        <w:pStyle w:val="2149"/>
        <w:numPr>
          <w:ilvl w:val="0"/>
          <w:numId w:val="0"/>
        </w:numPr>
        <w:ind w:firstLine="482"/>
        <w:keepLines w:val="0"/>
        <w:keepNext w:val="0"/>
        <w:pageBreakBefore w:val="0"/>
        <w:spacing w:beforeAutospacing="0" w:afterAutospacing="0" w:line="500" w:lineRule="exact"/>
        <w:widowControl w:val="off"/>
        <w:rPr>
          <w:rFonts w:hint="default"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4.1 项目整体理解及把控方案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①分析阐述对延包“八步法”的理解</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宣传动员，通过村广播、公开栏、入户走访、村民会议等不少于3种渠道宣讲延包政策，群众答疑响应不超过24小时，统一思想认识。二是摸底清查，承包地块、面积、权属、家庭成员等基础信息核查覆盖率100%，建立一户一档台账。三是方案拟定，结合村情拟定延包实施方案，</w:t>
      </w:r>
      <w:r>
        <w:rPr>
          <w:rFonts w:hint="eastAsia" w:asciiTheme="minorEastAsia" w:hAnsiTheme="minorEastAsia" w:cstheme="minorEastAsia"/>
          <w:color w:val="auto"/>
          <w:highlight w:val="none"/>
          <w:lang w:val="en-US" w:eastAsia="zh-CN"/>
        </w:rPr>
        <w:t xml:space="preserve">明确延包规则、调整情形，保障政策落地。四是民主议事，履行村民议事程序，村民代表到会率不低于应到代表的三分之二，会议资料留存完整率100%。五是公示征求意见，对延包方案、承包信息进行公示，公示期不少于15天，收集异议并在5个工作日内核查处置完毕。六是签订延包合同，规范土地承包延包合同文本，农户签约率100%，合同归档完整率100%。七是确权登记，依托国土空间数据，承包地权属登记资料整理完整率100%，配合证书换发。八是资料归档验收，全过程资料分类立卷，归档完整率100%，自查整改闭环率100%，迎接上级验收。</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②对项目需求理解</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核心目标：稳定农村土地承包关系，保持土地承包长久不变，规范完善土地承包合同、权属资料，农户延包签约率100%，顺利完成延包落地，保障农民土地承包权益。技术服务全过程严格遵循土地承包相关法规政策，统筹外业调查、内业数据整理、成果质检、档案归集、系统入库与业务培训，培训覆盖率100%。建立质量管控机制，成果一次性验收通过率不低于95%，按合同工期100%交付完整权属资料与数字化成果，助力辖区平稳有序完成土地延包，维护农村社会稳定，夯实农村土地制度改革基础。</w:t>
      </w:r>
      <w:r/>
    </w:p>
    <w:p>
      <w:pPr>
        <w:pStyle w:val="2149"/>
        <w:numPr>
          <w:ilvl w:val="0"/>
          <w:numId w:val="0"/>
        </w:numPr>
        <w:ind w:firstLine="482"/>
        <w:keepLines w:val="0"/>
        <w:keepNext w:val="0"/>
        <w:pageBreakBefore w:val="0"/>
        <w:spacing w:beforeAutospacing="0" w:afterAutospacing="0" w:line="500" w:lineRule="exact"/>
        <w:widowControl w:val="off"/>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4.2 项目实施细节方案及建议措施</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①延包工作关键环节在摸底核实</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摸底核实阶段重点做好权属、地块、人口、合同档案核查四大核心环节，核查覆盖率100%。一是资料归集比对，收集原承包合同、台账、地籍资料，承包户信息、地块坐落、面积、四至核对率100%，排查档案缺失、信息不一致问题。二是实地外业核实，现场踏勘地块边界，核实土地现状、地类变化、流转、占用及分户、销户等人员变动情况，每地块现场采集不少</w:t>
      </w:r>
      <w:r>
        <w:rPr>
          <w:rFonts w:hint="eastAsia" w:asciiTheme="minorEastAsia" w:hAnsiTheme="minorEastAsia" w:cstheme="minorEastAsia"/>
          <w:color w:val="auto"/>
          <w:highlight w:val="none"/>
          <w:lang w:val="en-US" w:eastAsia="zh-CN"/>
        </w:rPr>
        <w:t xml:space="preserve">于2张影像佐证，化解边界争议。三是内业复核校验，对采集信息交叉审核，特殊情形地块建档率100%，分类建立问题台账。四是入户调查确认，入户核实覆盖率100%，农户签字确认率100%，做好政策宣讲，留存农户确认材料。建议措施：建立分级核查机制，实行村组初审、项目组复核、抽查验收三级质控，抽查比例不低于10%；设立争议调处专班，争议响应不超过24小时，提前介入矛盾纠纷；规范数据标准，统一成果入库；强化全过程资料留痕，保障摸底成果真实准确，为土地延包方案编制、承包合同签订提供可靠基础数据，确保延包工作依法平稳推进。</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②延包工作工作量最大的部分在调查修补测</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主要包含权属调查、地块修补测、资料复核、矛盾地块核查等工作。作业需以原有确权数据库为基底，实地核查承包地边界、地类、面积，灭失、移位界址点修补率100%，更新地块图形与权属信息，同步收集农户身份、承包合同等资料，权属争议地块建档率100%。建议措施：一是组建外业专班，分片分区作</w:t>
      </w:r>
      <w:r>
        <w:rPr>
          <w:rFonts w:hint="eastAsia" w:asciiTheme="minorEastAsia" w:hAnsiTheme="minorEastAsia" w:cstheme="minorEastAsia"/>
          <w:color w:val="auto"/>
          <w:highlight w:val="none"/>
          <w:lang w:val="en-US" w:eastAsia="zh-CN"/>
        </w:rPr>
        <w:t xml:space="preserve">业，开展实地修测，平面定位精度满足±5cm以内，对照档案逐地块核验，减少内业返工；二是建立现场公示机制，实地指界确认率100%，提前排查邻里边界纠纷，现场记录争议情况并分类建档；三是严格质量管控，实行外业100%核查、内业分层抽检不低于30%，保证图形、权属、台账三者一致，一致性差错率不超过1%；四是做好数据衔接，修测成果直接对接土地承包数据库，规范成果格式；五是加强乡镇、村社联动，提前开展政策宣讲，引导农户配合指界，指界到场率不低于95%，保障修补测进度，按时提交合格调查成果，支撑延包合同签订与档案入库。</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③延包工作重点技术环节在延包数据处理</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以农村土地承包确权原有数据库为基础，整合外业调查修补测成果、承包合同、权属档案、农户信息等多源数据，开展数据清洗、图形拓扑检查、权属信息挂接、逻辑校验、地块信息更新、数据库重构及成果汇交。重点处理地块图形矛盾、权属信息不一致、农户信息缺失、承包期限更新、地块合并分割等问题</w:t>
      </w:r>
      <w:r>
        <w:rPr>
          <w:rFonts w:hint="eastAsia" w:asciiTheme="minorEastAsia" w:hAnsiTheme="minorEastAsia" w:cstheme="minorEastAsia"/>
          <w:color w:val="auto"/>
          <w:highlight w:val="none"/>
          <w:lang w:val="en-US" w:eastAsia="zh-CN"/>
        </w:rPr>
        <w:t xml:space="preserve">，图、数、账、证一致率100%。建议措施：一是搭建专用数据处理工作组，制定标准化数据字典与作业流程，统一数据格式；二是采用自动化质检工具结合人工复核，批量开展拓扑、面积、权属逻辑检查，问题台账闭环整改率100%；三是做好多源数据融合匹配，承包起止期限更新率100%，关联延包备案信息；四是建立数据分级备份机制，每日备份不少于1次，历史版本留存不少于3个，全过程可追溯，保障数据安全；五是对接主管部门数据库标准，按要求输出数据库、报表、图件等成果，成果汇交合格率100%，配合成果核查验收，支撑延包档案电子化管理。</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④延包工作成果在合同签订，而审核公示、网签技术服务是关乎合同签订进度的重要工作节点</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建立分层成果审核机制。对权属资料、承包地块信息、农户身份信息开展不少于3轮交叉核验，提前排查地块边界、面积、家庭成员等数据矛盾，形成问题台账，一般问题3个工作日内整改、重大问题24小时内响应，从源头减少合同签订争议。二是规范公示技术支撑。搭建公示信息模板，统一公示内容</w:t>
      </w:r>
      <w:r>
        <w:rPr>
          <w:rFonts w:hint="eastAsia" w:asciiTheme="minorEastAsia" w:hAnsiTheme="minorEastAsia" w:cstheme="minorEastAsia"/>
          <w:color w:val="auto"/>
          <w:highlight w:val="none"/>
          <w:lang w:val="en-US" w:eastAsia="zh-CN"/>
        </w:rPr>
        <w:t xml:space="preserve">、范围、期限，公示期不少于15天，线上线下公示影像与记录留存完整率100%，群众异议在5个工作日内核查处置完毕，保障公示程序合规。三是强化网签技术保障。优化网签系统操作流程，农户端、村级操作人员培训覆盖率100%，线上合同录入、签章、存档稳定运行，数据实时归集率100%。四是建立进度管控体系，关键节点提前3天预警，及时协调解决审核、公示、网签堵点，保障延包合同签订整体进度。配套建立档案与质量抽查机制，抽查比例不低于10%，确保成果合法合规、数据真实准确，农户延包合同签订率100%，顺利完成延包合同签订目标。</w:t>
      </w:r>
      <w:r/>
    </w:p>
    <w:p>
      <w:pPr>
        <w:pStyle w:val="2149"/>
        <w:numPr>
          <w:ilvl w:val="0"/>
          <w:numId w:val="0"/>
        </w:numPr>
        <w:ind w:firstLine="482"/>
        <w:keepLines w:val="0"/>
        <w:keepNext w:val="0"/>
        <w:pageBreakBefore w:val="0"/>
        <w:spacing w:beforeAutospacing="0" w:afterAutospacing="0" w:line="500" w:lineRule="exact"/>
        <w:widowControl w:val="off"/>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 xml:space="preserve">4.3项目质量控制、保密措施及工期安排</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①质量控制措施方案</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组织质量管控。成立专项技术质控小组，明确项目负责人、技术负责人、内审员岗位职责，实行分级审核制度，落实质量终身责任制，每周开展不少于1次内部质量会商，工作疑点响应不超过24小时。二是全过程工序质量控制。严格按照土地承包确权、延包政策及技术规范开展外业调查、权属核实、地块测绘、资料采集；外业双人核查率100%，对内业矢量数据、权属信息、承包合同、登记簿等成果</w:t>
      </w:r>
      <w:r>
        <w:rPr>
          <w:rFonts w:hint="eastAsia" w:asciiTheme="minorEastAsia" w:hAnsiTheme="minorEastAsia" w:cstheme="minorEastAsia"/>
          <w:color w:val="auto"/>
          <w:highlight w:val="none"/>
          <w:lang w:val="en-US" w:eastAsia="zh-CN"/>
        </w:rPr>
        <w:t xml:space="preserve">实行“自检-互检-专检”三级检查，三级检查覆盖率100%，重点核查地块边界、面积、农户信息一致性，一致性差错率不超过1%。三是成果审核与风险管控。对照延包政策逐项校验成果合规性，问题台账闭环整改率100%；同步开展档案资料质量检查，纸质、电子档案完整统一率100%。四是质量验收与回访。配合业主开展阶段性验收与最终成果验收，成果一次性验收通过率不低于95%，做好成果移交后的技术复核，接受主管部门抽检，对发现问题一般3个工作日内整改、重大问题24小时内响应，保障土地延包成果可入库、可应用，维护农户土地承包权益。</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②项目数据保密工作方案措施</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一是组织与责任管控。设立项目保密小组，明确项目负责人为保密第一责任人，所有技术人员保密承诺书签订率100%，岗前保密培训不少于1次、培训时长不少于2学时，落实岗位保密职责，严禁无关人员接触项目数据。二是数据全生命周期防护。数据采集、存</w:t>
      </w:r>
      <w:r>
        <w:rPr>
          <w:rFonts w:hint="eastAsia" w:asciiTheme="minorEastAsia" w:hAnsiTheme="minorEastAsia" w:cstheme="minorEastAsia"/>
          <w:color w:val="auto"/>
          <w:highlight w:val="none"/>
          <w:lang w:val="en-US" w:eastAsia="zh-CN"/>
        </w:rPr>
        <w:t xml:space="preserve">储、处理、移交各环节分级管控；原始权属资料、地块矢量数据、农户身份信息实行内网隔离存储率100%，禁止外网拷贝、传输；纸质档案专柜上锁保管，借阅登记率100%、限时归还。三是操作与人员管控。设置分级权限账号，操作全程留痕审计，操作日志留存不少于6个月；严禁私自复制、转发、外传项目数据，手机等移动设备禁止接入涉密工作终端。四是应急与收尾管理。制定数据泄露应急预案，每月开展不少于1次保密自查；项目完工后按要求清理临时数据、销毁冗余资料，规范成果移交，严守延包农户隐私与土地权属数据安全，保障延包工作依法稳妥推进。</w:t>
      </w:r>
      <w:r/>
    </w:p>
    <w:p>
      <w:pPr>
        <w:pStyle w:val="2149"/>
        <w:numPr>
          <w:ilvl w:val="0"/>
          <w:numId w:val="0"/>
        </w:num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③工期计划安排</w:t>
      </w:r>
      <w:r/>
    </w:p>
    <w:p>
      <w:pPr>
        <w:pStyle w:val="2149"/>
        <w:numPr>
          <w:ilvl w:val="0"/>
          <w:numId w:val="0"/>
        </w:numPr>
        <w:ind w:firstLine="480"/>
        <w:keepLines w:val="0"/>
        <w:keepNext w:val="0"/>
        <w:pageBreakBefore w:val="0"/>
        <w:spacing w:beforeAutospacing="0" w:afterAutospacing="0" w:line="500" w:lineRule="exact"/>
        <w:widowControl w:val="off"/>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第一阶段为前期准备阶段，约占总工期的10%：组建专项技术服务团队，开展政策培训、资料收集、现状底图梳理，实地踏勘调研，制定项目技术细则与工作清单，完成工作交底。第二阶段为外业核查阶段，约占总工期的40%：入户开展承包地块权属核实、现场指界、矛盾初步排查</w:t>
      </w:r>
      <w:r>
        <w:rPr>
          <w:rFonts w:hint="eastAsia" w:asciiTheme="minorEastAsia" w:hAnsiTheme="minorEastAsia" w:cstheme="minorEastAsia"/>
          <w:color w:val="auto"/>
          <w:highlight w:val="none"/>
          <w:lang w:val="en-US" w:eastAsia="zh-CN"/>
        </w:rPr>
        <w:t xml:space="preserve">，入户覆盖率100%，采集地块空间信息，核对承包户信息，同步记录权属争议情况。第三阶段为内业建库阶段，约占总工期的30%：整理外业成果，矢量化地块数据，完善承包信息，制作承包地块分布图，完成数据质检、权属资料校核，形成延包基础成果。第四阶段为成果公示与整改阶段，约占总工期的15%：组织成果公示，公示期不少于15天，收集群众异议，开展问题复核修改，化解权属纠纷。第五阶段为验收归档阶段，约占总工期的5%：汇总全套技术资料，完成自检验收，自检验收通过率100%，配合业主开展项目验收，成果入库归档，做好后续技术交底</w:t>
      </w:r>
      <w:r>
        <w:rPr>
          <w:rFonts w:hint="default" w:asciiTheme="minorEastAsia" w:hAnsiTheme="minorEastAsia" w:cstheme="minorEastAsia"/>
          <w:color w:val="auto"/>
          <w:highlight w:val="none"/>
          <w:lang w:val="en-US" w:eastAsia="zh-CN"/>
        </w:rPr>
        <w:t xml:space="preserve">。</w:t>
      </w:r>
      <w:r/>
    </w:p>
    <w:p>
      <w:pPr>
        <w:pStyle w:val="2149"/>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 xml:space="preserve">六</w:t>
      </w:r>
      <w:r>
        <w:rPr>
          <w:rFonts w:hint="eastAsia" w:asciiTheme="minorEastAsia" w:hAnsiTheme="minorEastAsia" w:eastAsiaTheme="minorEastAsia" w:cstheme="minorEastAsia"/>
          <w:b/>
          <w:bCs/>
          <w:color w:val="auto"/>
          <w:highlight w:val="none"/>
        </w:rPr>
        <w:t xml:space="preserve">、采购标的对应的中小企业划分标准所属行业一览表</w:t>
      </w:r>
      <w:r/>
    </w:p>
    <w:tbl>
      <w:tblPr>
        <w:tblStyle w:val="2128"/>
        <w:tblW w:w="850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93"/>
        <w:gridCol w:w="4185"/>
        <w:gridCol w:w="3626"/>
      </w:tblGrid>
      <w:tr>
        <w:trPr>
          <w:jc w:val="center"/>
          <w:tblCellSpacing w:w="0" w:type="dxa"/>
          <w:trHeight w:val="90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对应中小企业划分标准所属行业</w:t>
            </w:r>
            <w:r/>
          </w:p>
        </w:tc>
      </w:tr>
      <w:tr>
        <w:trPr>
          <w:jc w:val="center"/>
          <w:tblCellSpacing w:w="0" w:type="dxa"/>
          <w:trHeight w:val="983"/>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盐都区秦南镇第二轮土地承包到期后再延长30年技术服务项目</w:t>
            </w:r>
            <w:r/>
          </w:p>
        </w:tc>
        <w:tc>
          <w:tcPr>
            <w:shd w:val="clear" w:color="auto" w:fill="auto"/>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 xml:space="preserve">租赁和商务服务业</w:t>
            </w:r>
            <w:r/>
          </w:p>
        </w:tc>
      </w:tr>
    </w:tbl>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第五章  评标方法与评标标准</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2"/>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一、定标原则</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本项目采用</w:t>
      </w:r>
      <w:r>
        <w:rPr>
          <w:rFonts w:hint="eastAsia" w:asciiTheme="minorEastAsia" w:hAnsiTheme="minorEastAsia" w:eastAsiaTheme="minorEastAsia" w:cstheme="minorEastAsia"/>
          <w:bCs/>
          <w:color w:val="auto"/>
          <w:sz w:val="24"/>
          <w:highlight w:val="none"/>
          <w:u w:val="single"/>
        </w:rPr>
        <w:t xml:space="preserve"> 综合评分法</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2149"/>
        <w:ind w:firstLine="441"/>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政府采购政策功能落实</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1、小微型企业价格扣除</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（1）本项目专门面向中小企业采购，不再对小型和微型企业报价给予价格扣除。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（2）供应商需按照采购文件的要求提供相应的《中小企业声明函》。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（3）企业标准请参照《关于印发中小企业划型标准规定的通知》（工信部联企业〔2011〕300号）文件规定自行填写。</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2、残疾人福利单位价格扣除</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（1）本项目对残疾人福利性单位视同小型、微型企业。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（2）残疾人福利单位需按照采购文件的要求提供《残疾人福利性单位声明函》。 </w:t>
      </w:r>
      <w:r/>
    </w:p>
    <w:p>
      <w:pPr>
        <w:pStyle w:val="2149"/>
        <w:ind w:firstLine="36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（3）残疾人福利单位标准请参照《关于促进残疾人就业政府采购政策的通知》（财库〔2017〕141号）。</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3、监狱和戒毒企业价格扣除</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（1）本项目对监狱和戒毒企业（简称监狱企业）视同小型、微型企业。 </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（3）监狱企业标准请参照《关于政府采购支持监狱企业发展有关问题的通知》 （财库〔2014〕68号）。</w:t>
      </w:r>
      <w:r/>
    </w:p>
    <w:p>
      <w:pPr>
        <w:pStyle w:val="2149"/>
        <w:ind w:firstLine="480"/>
        <w:spacing w:beforeAutospacing="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4、残疾人福利单位、监狱企业属于小型、微型企业的，不重复享受政策。</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 xml:space="preserve">。</w:t>
      </w:r>
      <w:r>
        <w:rPr>
          <w:rFonts w:hint="eastAsia" w:asciiTheme="minorEastAsia" w:hAnsiTheme="minorEastAsia" w:eastAsiaTheme="minorEastAsia" w:cstheme="minorEastAsia"/>
          <w:color w:val="auto"/>
          <w:sz w:val="24"/>
          <w:highlight w:val="none"/>
        </w:rPr>
        <w:t xml:space="preserve">其他条件相同情况下，应当优先采购节能产品、环境标志产品。</w:t>
      </w:r>
      <w:r/>
    </w:p>
    <w:p>
      <w:pPr>
        <w:pStyle w:val="2149"/>
        <w:ind w:firstLine="482"/>
        <w:spacing w:beforeAutospacing="0" w:afterAutospacing="0" w:line="500" w:lineRule="exac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tbl>
      <w:tblPr>
        <w:tblStyle w:val="2128"/>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320"/>
        <w:gridCol w:w="765"/>
        <w:gridCol w:w="6777"/>
      </w:tblGrid>
      <w:tr>
        <w:trPr>
          <w:jc w:val="center"/>
          <w:trHeight w:val="705"/>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00" w:lineRule="exact"/>
              <w:rPr>
                <w:rFonts w:hint="eastAsia" w:asciiTheme="minorEastAsia" w:hAnsiTheme="minorEastAsia" w:eastAsiaTheme="minorEastAsia" w:cstheme="minorEastAsia"/>
                <w:b/>
                <w:bCs/>
                <w:color w:val="auto"/>
                <w:spacing w:val="-8"/>
                <w:sz w:val="24"/>
                <w:highlight w:val="none"/>
              </w:rPr>
            </w:pPr>
            <w:r>
              <w:rPr>
                <w:rFonts w:hint="eastAsia" w:asciiTheme="minorEastAsia" w:hAnsiTheme="minorEastAsia" w:eastAsiaTheme="minorEastAsia" w:cstheme="minorEastAsia"/>
                <w:b/>
                <w:bCs/>
                <w:color w:val="auto"/>
                <w:spacing w:val="-8"/>
                <w:sz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jc w:val="center"/>
              <w:spacing w:line="400" w:lineRule="exac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 xml:space="preserve">评分标准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10</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textDirection w:val="lrTb"/>
            <w:noWrap w:val="false"/>
          </w:tcPr>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4"/>
                <w:highlight w:val="none"/>
                <w:lang w:val="en-US" w:eastAsia="zh-CN" w:bidi="ar"/>
              </w:rPr>
              <w:t xml:space="preserve">10</w:t>
            </w:r>
            <w:r>
              <w:rPr>
                <w:rFonts w:hint="eastAsia" w:asciiTheme="minorEastAsia" w:hAnsiTheme="minorEastAsia" w:eastAsiaTheme="minorEastAsia" w:cstheme="minorEastAsia"/>
                <w:color w:val="auto"/>
                <w:sz w:val="24"/>
                <w:highlight w:val="none"/>
                <w:lang w:bidi="ar"/>
              </w:rPr>
              <w:t xml:space="preserve">。（得分保留两位小数）</w:t>
            </w:r>
            <w:r/>
          </w:p>
        </w:tc>
      </w:tr>
      <w:tr>
        <w:trPr>
          <w:jc w:val="center"/>
          <w:trHeight w:val="2568"/>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highlight w:val="none"/>
                <w:lang w:val="en-US" w:eastAsia="zh-CN" w:bidi="ar"/>
              </w:rPr>
              <w:t xml:space="preserve">18</w:t>
            </w:r>
            <w:r>
              <w:rPr>
                <w:rFonts w:hint="eastAsia" w:asciiTheme="minorEastAsia" w:hAnsiTheme="minorEastAsia" w:eastAsiaTheme="minorEastAsia" w:cstheme="minorEastAsia"/>
                <w:color w:val="auto"/>
                <w:sz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供应商自2023年1月1日至今（以合同签订时间为准），供应商承担过同类项目业绩的，每有1个得3分，本项最高得18分。（同类业绩指：二轮延包类项目）</w:t>
            </w:r>
            <w:r/>
          </w:p>
          <w:p>
            <w:pPr>
              <w:ind w:firstLine="480"/>
              <w:spacing w:line="400" w:lineRule="exac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highlight w:val="none"/>
                <w:lang w:bidi="ar"/>
              </w:rPr>
              <w:t xml:space="preserve">注：提供合同扫描件，合同须能反映项目名称、主要标的物、签订时间、单位公章或专用合同章,如不能反映的，另须提供盖有原委托单位公章的证明，否则不予认可。</w:t>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企业资信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1、供应商具有有效的质量管理体系、环境管理体系、职业健康安全管理体系、测量管理体系、信息技术服务管理体系认证证书的，每提供1个得1分，本项最高得5分。（认证证书须在“国家认监委网站（http://cnca.gov.cn/）”可查，提供网站查询截屏、证书扫描件，二个材料必须同时提供，未提供或提供不全的不得分）。</w:t>
            </w:r>
            <w:r/>
          </w:p>
          <w:p>
            <w:pPr>
              <w:ind w:firstLine="480"/>
              <w:spacing w:line="40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2、供应商具有档案管理部门颁发的档案工作规范化管理证书（或具有档案管理部门出具的“良好及以上等级”的工作评价证明）的得1分，本项最高得1分。（提供证书扫描件）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人员配置</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 xml:space="preserve">16</w:t>
            </w:r>
            <w:r>
              <w:rPr>
                <w:rFonts w:hint="eastAsia" w:asciiTheme="minorEastAsia" w:hAnsiTheme="minorEastAsia" w:eastAsiaTheme="minorEastAsia" w:cstheme="minorEastAsia"/>
                <w:color w:val="auto"/>
                <w:sz w:val="24"/>
                <w:highlight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textDirection w:val="lrTb"/>
            <w:noWrap w:val="false"/>
          </w:tcPr>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1、拟派项目负责人：具有测绘类或计算机类高级及以上职称证书的得1分；具有注册测绘师执业资格证书的得1分；具有档案人员上岗培训证书的得1分；具有地理信息安全保密培训合格证书得1分，本项最高得4分。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2、拟派技术负责人：具有测绘类或计算机类高级及以上职称证书的得1分；具有注册测绘师执业资格证书的得1分，本项最高得2分。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3、拟派数据库建设负责人：具有信息系统项目管理师证书（或系统集成项目管理工程师证书）的得1分；具有地理信息安全保密培训合格证书得1分，本项最高得2分。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4、其他人员（不包含1-3项人员）：</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（1）具有测绘类或计算机类中级工程师职称的得0.5分/人，具有测绘类或计算机类高级及以上职称的得1分/人，最高得4分。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（2）具有民用无人机驾驶合格证的得1分/人，最高得2分。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（3）具有农村土地承包延包工作培训合格证书的得1分/人，最高得2分。</w:t>
            </w:r>
            <w:r/>
          </w:p>
          <w:p>
            <w:pPr>
              <w:ind w:firstLine="480"/>
              <w:spacing w:line="40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其他人员（不包含1-3项人员）须一人一证，不得重复（同一自然人同时具有多项证书的，只计分一次，不重复计分）</w:t>
            </w:r>
            <w:r/>
          </w:p>
          <w:p>
            <w:pPr>
              <w:ind w:firstLine="480"/>
              <w:spacing w:line="400" w:lineRule="exact"/>
              <w:rPr>
                <w:rFonts w:hint="eastAsia" w:asciiTheme="minorEastAsia" w:hAnsiTheme="minorEastAsia" w:eastAsiaTheme="minorEastAsia" w:cstheme="minorEastAsia"/>
                <w:color w:val="auto"/>
                <w:sz w:val="24"/>
                <w:highlight w:val="none"/>
                <w:lang w:eastAsia="zh-CN" w:bidi="ar"/>
              </w:rPr>
            </w:pPr>
            <w:r>
              <w:rPr>
                <w:rFonts w:hint="eastAsia" w:asciiTheme="minorEastAsia" w:hAnsiTheme="minorEastAsia" w:cstheme="minorEastAsia"/>
                <w:color w:val="auto"/>
                <w:sz w:val="24"/>
                <w:szCs w:val="24"/>
                <w:highlight w:val="none"/>
                <w:lang w:val="en-US" w:eastAsia="zh-CN"/>
              </w:rPr>
              <w:t xml:space="preserve">备注:上述1-4项，投标响应时须同时提供：①证书扫描件或网页查询截图；②供应商本单位为其缴纳的从2026年3月至投标截止日当月其中的任意一个月的社保证明材料为准。未提供或提供不全的不得分</w:t>
            </w:r>
            <w:r>
              <w:rPr>
                <w:rFonts w:hint="eastAsia" w:asciiTheme="minorEastAsia" w:hAnsiTheme="minorEastAsia" w:cstheme="minorEastAsia"/>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 xml:space="preserve">技术服务方案</w:t>
            </w:r>
            <w:r>
              <w:rPr>
                <w:rFonts w:hint="eastAsia" w:asciiTheme="minorEastAsia" w:hAnsiTheme="minorEastAsia" w:eastAsiaTheme="minorEastAsia" w:cstheme="minorEastAsia"/>
                <w:color w:val="auto"/>
                <w:sz w:val="24"/>
                <w:highlight w:val="none"/>
                <w:lang w:val="en-US" w:eastAsia="zh-CN" w:bidi="ar"/>
              </w:rPr>
              <w:t xml:space="preserve">-项目整体理解及把控方案</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12</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b w:val="0"/>
                <w:bCs w:val="0"/>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投标人根据本项目第四章“</w:t>
            </w:r>
            <w:r>
              <w:rPr>
                <w:rFonts w:hint="eastAsia" w:asciiTheme="minorEastAsia" w:hAnsiTheme="minorEastAsia" w:cstheme="minorEastAsia"/>
                <w:color w:val="auto"/>
                <w:sz w:val="24"/>
                <w:szCs w:val="24"/>
                <w:highlight w:val="none"/>
                <w:lang w:val="en-US" w:eastAsia="zh-CN" w:bidi="ar"/>
              </w:rPr>
              <w:t xml:space="preserve">五</w:t>
            </w:r>
            <w:r>
              <w:rPr>
                <w:rFonts w:hint="eastAsia" w:asciiTheme="minorEastAsia" w:hAnsiTheme="minorEastAsia" w:eastAsiaTheme="minorEastAsia" w:cstheme="minorEastAsia"/>
                <w:color w:val="auto"/>
                <w:sz w:val="24"/>
                <w:szCs w:val="24"/>
                <w:highlight w:val="none"/>
                <w:lang w:bidi="ar"/>
              </w:rPr>
              <w:t xml:space="preserve">、其他要求中：</w:t>
            </w:r>
            <w:r>
              <w:rPr>
                <w:rFonts w:hint="eastAsia" w:asciiTheme="minorEastAsia" w:hAnsiTheme="minorEastAsia" w:eastAsiaTheme="minorEastAsia" w:cstheme="minorEastAsia"/>
                <w:color w:val="auto"/>
                <w:sz w:val="24"/>
                <w:szCs w:val="24"/>
                <w:highlight w:val="none"/>
                <w:lang w:val="en-US" w:eastAsia="zh-CN" w:bidi="ar"/>
              </w:rPr>
              <w:t xml:space="preserve">技术服务方案</w:t>
            </w:r>
            <w:r>
              <w:rPr>
                <w:rFonts w:hint="eastAsia" w:asciiTheme="minorEastAsia" w:hAnsiTheme="minorEastAsia" w:eastAsiaTheme="minorEastAsia" w:cstheme="minorEastAsia"/>
                <w:color w:val="auto"/>
                <w:sz w:val="24"/>
                <w:szCs w:val="24"/>
                <w:highlight w:val="none"/>
                <w:lang w:bidi="ar"/>
              </w:rPr>
              <w:t xml:space="preserve">”要求</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提供明确、详细</w:t>
            </w:r>
            <w:r>
              <w:rPr>
                <w:rFonts w:hint="eastAsia" w:asciiTheme="minorEastAsia" w:hAnsiTheme="minorEastAsia" w:eastAsiaTheme="minorEastAsia" w:cstheme="minorEastAsia"/>
                <w:b w:val="0"/>
                <w:bCs w:val="0"/>
                <w:color w:val="auto"/>
                <w:sz w:val="24"/>
                <w:szCs w:val="24"/>
                <w:highlight w:val="none"/>
                <w:lang w:bidi="ar"/>
              </w:rPr>
              <w:t xml:space="preserve">、规范、全面、可操作性强的</w:t>
            </w:r>
            <w:r>
              <w:rPr>
                <w:rFonts w:hint="eastAsia" w:asciiTheme="minorEastAsia" w:hAnsiTheme="minorEastAsia" w:cstheme="minorEastAsia"/>
                <w:b w:val="0"/>
                <w:bCs w:val="0"/>
                <w:color w:val="auto"/>
                <w:sz w:val="24"/>
                <w:szCs w:val="24"/>
                <w:highlight w:val="none"/>
                <w:lang w:val="en-US" w:eastAsia="zh-CN"/>
              </w:rPr>
              <w:t xml:space="preserve">项目整体理解及把控方案</w:t>
            </w:r>
            <w:r>
              <w:rPr>
                <w:rFonts w:hint="eastAsia" w:asciiTheme="minorEastAsia" w:hAnsiTheme="minorEastAsia" w:eastAsiaTheme="minorEastAsia" w:cstheme="minorEastAsia"/>
                <w:b w:val="0"/>
                <w:bCs w:val="0"/>
                <w:color w:val="auto"/>
                <w:sz w:val="24"/>
                <w:szCs w:val="24"/>
                <w:highlight w:val="none"/>
                <w:lang w:bidi="ar"/>
              </w:rPr>
              <w:t xml:space="preserve">，至少包含：①分析阐述对延包“八步法”的理解</w:t>
            </w:r>
            <w:r>
              <w:rPr>
                <w:rFonts w:hint="eastAsia" w:asciiTheme="minorEastAsia" w:hAnsiTheme="minorEastAsia" w:eastAsiaTheme="minorEastAsia" w:cstheme="minorEastAsia"/>
                <w:b w:val="0"/>
                <w:bCs w:val="0"/>
                <w:color w:val="auto"/>
                <w:sz w:val="24"/>
                <w:szCs w:val="24"/>
                <w:highlight w:val="none"/>
                <w:lang w:eastAsia="zh-CN" w:bidi="ar"/>
              </w:rPr>
              <w:t xml:space="preserve">；</w:t>
            </w:r>
            <w:r>
              <w:rPr>
                <w:rFonts w:hint="eastAsia" w:asciiTheme="minorEastAsia" w:hAnsiTheme="minorEastAsia" w:eastAsiaTheme="minorEastAsia" w:cstheme="minorEastAsia"/>
                <w:b w:val="0"/>
                <w:bCs w:val="0"/>
                <w:color w:val="auto"/>
                <w:sz w:val="24"/>
                <w:szCs w:val="24"/>
                <w:highlight w:val="none"/>
                <w:lang w:bidi="ar"/>
              </w:rPr>
              <w:t xml:space="preserve">②对项目需求理解。</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val="0"/>
                <w:bCs w:val="0"/>
                <w:color w:val="auto"/>
                <w:sz w:val="24"/>
                <w:szCs w:val="24"/>
                <w:highlight w:val="none"/>
                <w:lang w:bidi="ar"/>
              </w:rPr>
              <w:t xml:space="preserve">方案优于项目需求的得</w:t>
            </w:r>
            <w:r>
              <w:rPr>
                <w:rFonts w:hint="eastAsia" w:asciiTheme="minorEastAsia" w:hAnsiTheme="minorEastAsia" w:eastAsiaTheme="minorEastAsia" w:cstheme="minorEastAsia"/>
                <w:b w:val="0"/>
                <w:bCs w:val="0"/>
                <w:color w:val="auto"/>
                <w:sz w:val="24"/>
                <w:szCs w:val="24"/>
                <w:highlight w:val="none"/>
                <w:lang w:val="en-US" w:eastAsia="zh-CN" w:bidi="ar"/>
              </w:rPr>
              <w:t xml:space="preserve">6</w:t>
            </w:r>
            <w:r>
              <w:rPr>
                <w:rFonts w:hint="eastAsia" w:asciiTheme="minorEastAsia" w:hAnsiTheme="minorEastAsia" w:eastAsiaTheme="minorEastAsia" w:cstheme="minorEastAsia"/>
                <w:b w:val="0"/>
                <w:bCs w:val="0"/>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；基本满足项目需求的得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不满足或无此项内容的本项不得分</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本项最高得12分</w:t>
            </w:r>
            <w:r>
              <w:rPr>
                <w:rFonts w:hint="eastAsia" w:asciiTheme="minorEastAsia" w:hAnsiTheme="minorEastAsia" w:eastAsiaTheme="minorEastAsia" w:cstheme="minorEastAsia"/>
                <w:color w:val="auto"/>
                <w:sz w:val="24"/>
                <w:szCs w:val="24"/>
                <w:highlight w:val="none"/>
                <w:lang w:bidi="ar"/>
              </w:rPr>
              <w:t xml:space="preserve">。</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技术服务方案-项目整体理解及把控方案应描述简明扼要，不得超过</w:t>
            </w:r>
            <w:r>
              <w:rPr>
                <w:rFonts w:hint="eastAsia" w:asciiTheme="minorEastAsia" w:hAnsiTheme="minorEastAsia" w:cstheme="minorEastAsia"/>
                <w:b/>
                <w:bCs/>
                <w:color w:val="auto"/>
                <w:sz w:val="24"/>
                <w:szCs w:val="24"/>
                <w:highlight w:val="none"/>
                <w:lang w:val="en-US" w:eastAsia="zh-CN" w:bidi="ar"/>
              </w:rPr>
              <w:t xml:space="preserve">30</w:t>
            </w:r>
            <w:r>
              <w:rPr>
                <w:rFonts w:hint="eastAsia" w:asciiTheme="minorEastAsia" w:hAnsiTheme="minorEastAsia" w:eastAsiaTheme="minorEastAsia" w:cstheme="minorEastAsia"/>
                <w:b/>
                <w:bCs/>
                <w:color w:val="auto"/>
                <w:sz w:val="24"/>
                <w:szCs w:val="24"/>
                <w:highlight w:val="none"/>
                <w:lang w:bidi="ar"/>
              </w:rPr>
              <w:t xml:space="preserve">页，否则每超过1页扣1分，扣完为止。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 xml:space="preserve">6</w:t>
            </w:r>
            <w:r/>
          </w:p>
        </w:tc>
        <w:tc>
          <w:tcPr>
            <w:tcBorders>
              <w:left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技术服务方案</w:t>
            </w:r>
            <w:r>
              <w:rPr>
                <w:rFonts w:hint="eastAsia" w:asciiTheme="minorEastAsia" w:hAnsiTheme="minorEastAsia" w:eastAsiaTheme="minorEastAsia" w:cstheme="minorEastAsia"/>
                <w:color w:val="auto"/>
                <w:sz w:val="24"/>
                <w:highlight w:val="none"/>
                <w:lang w:val="en-US" w:eastAsia="zh-CN" w:bidi="ar"/>
              </w:rPr>
              <w:t xml:space="preserve">-</w:t>
            </w:r>
            <w:r>
              <w:rPr>
                <w:rFonts w:hint="eastAsia" w:asciiTheme="minorEastAsia" w:hAnsiTheme="minorEastAsia" w:eastAsiaTheme="minorEastAsia" w:cstheme="minorEastAsia"/>
                <w:color w:val="auto"/>
                <w:sz w:val="24"/>
                <w:highlight w:val="none"/>
                <w:lang w:bidi="ar"/>
              </w:rPr>
              <w:t xml:space="preserve">项目实施细节方案及建议措施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20</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textDirection w:val="lrTb"/>
            <w:noWrap w:val="false"/>
          </w:tcPr>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投标人根据本项目第四章“</w:t>
            </w:r>
            <w:r>
              <w:rPr>
                <w:rFonts w:hint="eastAsia" w:asciiTheme="minorEastAsia" w:hAnsiTheme="minorEastAsia" w:cstheme="minorEastAsia"/>
                <w:color w:val="auto"/>
                <w:sz w:val="24"/>
                <w:szCs w:val="24"/>
                <w:highlight w:val="none"/>
                <w:lang w:val="en-US" w:eastAsia="zh-CN" w:bidi="ar"/>
              </w:rPr>
              <w:t xml:space="preserve">五</w:t>
            </w:r>
            <w:r>
              <w:rPr>
                <w:rFonts w:hint="eastAsia" w:asciiTheme="minorEastAsia" w:hAnsiTheme="minorEastAsia" w:eastAsiaTheme="minorEastAsia" w:cstheme="minorEastAsia"/>
                <w:color w:val="auto"/>
                <w:sz w:val="24"/>
                <w:szCs w:val="24"/>
                <w:highlight w:val="none"/>
                <w:lang w:bidi="ar"/>
              </w:rPr>
              <w:t xml:space="preserve">、其他要求中：</w:t>
            </w:r>
            <w:r>
              <w:rPr>
                <w:rFonts w:hint="eastAsia" w:asciiTheme="minorEastAsia" w:hAnsiTheme="minorEastAsia" w:eastAsiaTheme="minorEastAsia" w:cstheme="minorEastAsia"/>
                <w:color w:val="auto"/>
                <w:sz w:val="24"/>
                <w:szCs w:val="24"/>
                <w:highlight w:val="none"/>
                <w:lang w:val="en-US" w:eastAsia="zh-CN" w:bidi="ar"/>
              </w:rPr>
              <w:t xml:space="preserve">技术服务方案</w:t>
            </w:r>
            <w:r>
              <w:rPr>
                <w:rFonts w:hint="eastAsia" w:asciiTheme="minorEastAsia" w:hAnsiTheme="minorEastAsia" w:eastAsiaTheme="minorEastAsia" w:cstheme="minorEastAsia"/>
                <w:color w:val="auto"/>
                <w:sz w:val="24"/>
                <w:szCs w:val="24"/>
                <w:highlight w:val="none"/>
                <w:lang w:bidi="ar"/>
              </w:rPr>
              <w:t xml:space="preserve">”要求</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提</w:t>
            </w:r>
            <w:r>
              <w:rPr>
                <w:rFonts w:hint="eastAsia" w:asciiTheme="minorEastAsia" w:hAnsiTheme="minorEastAsia" w:eastAsiaTheme="minorEastAsia" w:cstheme="minorEastAsia"/>
                <w:b w:val="0"/>
                <w:bCs w:val="0"/>
                <w:color w:val="auto"/>
                <w:sz w:val="24"/>
                <w:szCs w:val="24"/>
                <w:highlight w:val="none"/>
                <w:lang w:bidi="ar"/>
              </w:rPr>
              <w:t xml:space="preserve">供明确、详细、规范、全面、可操作性强的项目实施细节方案及建议措施，至少包含</w:t>
            </w:r>
            <w:r>
              <w:rPr>
                <w:rFonts w:hint="eastAsia" w:asciiTheme="minorEastAsia" w:hAnsiTheme="minorEastAsia" w:eastAsiaTheme="minorEastAsia" w:cstheme="minorEastAsia"/>
                <w:b w:val="0"/>
                <w:bCs w:val="0"/>
                <w:color w:val="auto"/>
                <w:sz w:val="24"/>
                <w:szCs w:val="24"/>
                <w:highlight w:val="none"/>
                <w:lang w:eastAsia="zh-CN" w:bidi="ar"/>
              </w:rPr>
              <w:t xml:space="preserve">：</w:t>
            </w:r>
            <w:r>
              <w:rPr>
                <w:rFonts w:hint="eastAsia" w:asciiTheme="minorEastAsia" w:hAnsiTheme="minorEastAsia" w:eastAsiaTheme="minorEastAsia" w:cstheme="minorEastAsia"/>
                <w:b w:val="0"/>
                <w:bCs w:val="0"/>
                <w:color w:val="auto"/>
                <w:sz w:val="24"/>
                <w:szCs w:val="24"/>
                <w:highlight w:val="none"/>
                <w:lang w:bidi="ar"/>
              </w:rPr>
              <w:t xml:space="preserve">①延包工作关键环节在摸底核实，供应</w:t>
            </w:r>
            <w:r>
              <w:rPr>
                <w:rFonts w:hint="eastAsia" w:asciiTheme="minorEastAsia" w:hAnsiTheme="minorEastAsia" w:eastAsiaTheme="minorEastAsia" w:cstheme="minorEastAsia"/>
                <w:color w:val="auto"/>
                <w:sz w:val="24"/>
                <w:szCs w:val="24"/>
                <w:highlight w:val="none"/>
                <w:lang w:bidi="ar"/>
              </w:rPr>
              <w:t xml:space="preserve">商针对摸底核实给出具体方案，对疑难点问题给出建议措施</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②延包工作工作量最大的部分在调查修补测，供应商针对调查修补测工作给出具体工作方案，对疑难点问题给出建议措施。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③延包工作重点技术环节在延包数据处理，供应商针对延包数据处理给出具体工作方案，对疑难点问题给出建议措施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④延包工作成果在合同签订，而审核公示、网签技术服务是关乎合同签订进度的重要工作节点，供应商针对审核公示、合同签订环节给出具体的培训指导方案等方面内容。</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方案优于项目需求的得</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；基本满足项目需求的得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3</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不满足或无此项内容的本项不得分</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本项最高得20分</w:t>
            </w:r>
            <w:r>
              <w:rPr>
                <w:rFonts w:hint="eastAsia" w:asciiTheme="minorEastAsia" w:hAnsiTheme="minorEastAsia" w:eastAsiaTheme="minorEastAsia" w:cstheme="minorEastAsia"/>
                <w:color w:val="auto"/>
                <w:sz w:val="24"/>
                <w:szCs w:val="24"/>
                <w:highlight w:val="none"/>
                <w:lang w:bidi="ar"/>
              </w:rPr>
              <w:t xml:space="preserve">。</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技术服务方案-项目实施细节方案及建议措施应描述简明扼要，不得超过</w:t>
            </w:r>
            <w:r>
              <w:rPr>
                <w:rFonts w:hint="eastAsia" w:asciiTheme="minorEastAsia" w:hAnsiTheme="minorEastAsia" w:cstheme="minorEastAsia"/>
                <w:b/>
                <w:bCs/>
                <w:color w:val="auto"/>
                <w:sz w:val="24"/>
                <w:szCs w:val="24"/>
                <w:highlight w:val="none"/>
                <w:lang w:val="en-US" w:eastAsia="zh-CN" w:bidi="ar"/>
              </w:rPr>
              <w:t xml:space="preserve">30</w:t>
            </w:r>
            <w:r>
              <w:rPr>
                <w:rFonts w:hint="eastAsia" w:asciiTheme="minorEastAsia" w:hAnsiTheme="minorEastAsia" w:eastAsiaTheme="minorEastAsia" w:cstheme="minorEastAsia"/>
                <w:b/>
                <w:bCs/>
                <w:color w:val="auto"/>
                <w:sz w:val="24"/>
                <w:szCs w:val="24"/>
                <w:highlight w:val="none"/>
                <w:lang w:bidi="ar"/>
              </w:rPr>
              <w:t xml:space="preserve">页，否则每超过1页扣1分，扣完为止。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 xml:space="preserve">7</w:t>
            </w:r>
            <w:r/>
          </w:p>
        </w:tc>
        <w:tc>
          <w:tcPr>
            <w:tcBorders>
              <w:left w:val="single" w:color="000000" w:sz="4" w:space="0"/>
              <w:right w:val="single" w:color="000000" w:sz="4" w:space="0"/>
            </w:tcBorders>
            <w:tcW w:w="132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 xml:space="preserve">技术服务方案</w:t>
            </w:r>
            <w:r>
              <w:rPr>
                <w:rFonts w:hint="eastAsia" w:asciiTheme="minorEastAsia" w:hAnsiTheme="minorEastAsia" w:eastAsiaTheme="minorEastAsia" w:cstheme="minorEastAsia"/>
                <w:color w:val="auto"/>
                <w:sz w:val="24"/>
                <w:highlight w:val="none"/>
                <w:lang w:val="en-US" w:eastAsia="zh-CN" w:bidi="ar"/>
              </w:rPr>
              <w:t xml:space="preserve">-</w:t>
            </w:r>
            <w:r>
              <w:rPr>
                <w:rFonts w:hint="eastAsia" w:asciiTheme="minorEastAsia" w:hAnsiTheme="minorEastAsia" w:eastAsiaTheme="minorEastAsia" w:cstheme="minorEastAsia"/>
                <w:color w:val="auto"/>
                <w:sz w:val="24"/>
                <w:highlight w:val="none"/>
                <w:lang w:bidi="ar"/>
              </w:rPr>
              <w:t xml:space="preserve">项目质量控制、保密措施及工期安排</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 xml:space="preserve">18</w:t>
            </w:r>
            <w:r>
              <w:rPr>
                <w:rFonts w:hint="eastAsia" w:asciiTheme="minorEastAsia" w:hAnsiTheme="minorEastAsia" w:eastAsiaTheme="minorEastAsia" w:cstheme="minorEastAsia"/>
                <w:color w:val="auto"/>
                <w:sz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777" w:type="dxa"/>
            <w:vAlign w:val="center"/>
            <w:textDirection w:val="lrTb"/>
            <w:noWrap w:val="false"/>
          </w:tcPr>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投标人根据本项目第四章“</w:t>
            </w:r>
            <w:r>
              <w:rPr>
                <w:rFonts w:hint="eastAsia" w:asciiTheme="minorEastAsia" w:hAnsiTheme="minorEastAsia" w:cstheme="minorEastAsia"/>
                <w:color w:val="auto"/>
                <w:sz w:val="24"/>
                <w:szCs w:val="24"/>
                <w:highlight w:val="none"/>
                <w:lang w:val="en-US" w:eastAsia="zh-CN" w:bidi="ar"/>
              </w:rPr>
              <w:t xml:space="preserve">五</w:t>
            </w:r>
            <w:r>
              <w:rPr>
                <w:rFonts w:hint="eastAsia" w:asciiTheme="minorEastAsia" w:hAnsiTheme="minorEastAsia" w:eastAsiaTheme="minorEastAsia" w:cstheme="minorEastAsia"/>
                <w:color w:val="auto"/>
                <w:sz w:val="24"/>
                <w:szCs w:val="24"/>
                <w:highlight w:val="none"/>
                <w:lang w:bidi="ar"/>
              </w:rPr>
              <w:t xml:space="preserve">、其他要求中：</w:t>
            </w:r>
            <w:r>
              <w:rPr>
                <w:rFonts w:hint="eastAsia" w:asciiTheme="minorEastAsia" w:hAnsiTheme="minorEastAsia" w:eastAsiaTheme="minorEastAsia" w:cstheme="minorEastAsia"/>
                <w:color w:val="auto"/>
                <w:sz w:val="24"/>
                <w:szCs w:val="24"/>
                <w:highlight w:val="none"/>
                <w:lang w:val="en-US" w:eastAsia="zh-CN" w:bidi="ar"/>
              </w:rPr>
              <w:t xml:space="preserve">技术服务方案</w:t>
            </w:r>
            <w:r>
              <w:rPr>
                <w:rFonts w:hint="eastAsia" w:asciiTheme="minorEastAsia" w:hAnsiTheme="minorEastAsia" w:eastAsiaTheme="minorEastAsia" w:cstheme="minorEastAsia"/>
                <w:color w:val="auto"/>
                <w:sz w:val="24"/>
                <w:szCs w:val="24"/>
                <w:highlight w:val="none"/>
                <w:lang w:bidi="ar"/>
              </w:rPr>
              <w:t xml:space="preserve">”要求</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提</w:t>
            </w:r>
            <w:r>
              <w:rPr>
                <w:rFonts w:hint="eastAsia" w:asciiTheme="minorEastAsia" w:hAnsiTheme="minorEastAsia" w:eastAsiaTheme="minorEastAsia" w:cstheme="minorEastAsia"/>
                <w:b w:val="0"/>
                <w:bCs w:val="0"/>
                <w:color w:val="auto"/>
                <w:sz w:val="24"/>
                <w:szCs w:val="24"/>
                <w:highlight w:val="none"/>
                <w:lang w:bidi="ar"/>
              </w:rPr>
              <w:t xml:space="preserve">供明确、详细、规范、全面、可操作性强的项目质量控制、保密措施及工期安排，至少包含</w:t>
            </w:r>
            <w:r>
              <w:rPr>
                <w:rFonts w:hint="eastAsia" w:asciiTheme="minorEastAsia" w:hAnsiTheme="minorEastAsia" w:eastAsiaTheme="minorEastAsia" w:cstheme="minorEastAsia"/>
                <w:b w:val="0"/>
                <w:bCs w:val="0"/>
                <w:color w:val="auto"/>
                <w:sz w:val="24"/>
                <w:szCs w:val="24"/>
                <w:highlight w:val="none"/>
                <w:lang w:eastAsia="zh-CN" w:bidi="ar"/>
              </w:rPr>
              <w:t xml:space="preserve">：</w:t>
            </w:r>
            <w:r>
              <w:rPr>
                <w:rFonts w:hint="eastAsia" w:asciiTheme="minorEastAsia" w:hAnsiTheme="minorEastAsia" w:eastAsiaTheme="minorEastAsia" w:cstheme="minorEastAsia"/>
                <w:b w:val="0"/>
                <w:bCs w:val="0"/>
                <w:color w:val="auto"/>
                <w:sz w:val="24"/>
                <w:szCs w:val="24"/>
                <w:highlight w:val="none"/>
                <w:lang w:bidi="ar"/>
              </w:rPr>
              <w:t xml:space="preserve">①为确保项目质量，供应商给出</w:t>
            </w:r>
            <w:r>
              <w:rPr>
                <w:rFonts w:hint="eastAsia" w:asciiTheme="minorEastAsia" w:hAnsiTheme="minorEastAsia" w:eastAsiaTheme="minorEastAsia" w:cstheme="minorEastAsia"/>
                <w:color w:val="auto"/>
                <w:sz w:val="24"/>
                <w:szCs w:val="24"/>
                <w:highlight w:val="none"/>
                <w:lang w:bidi="ar"/>
              </w:rPr>
              <w:t xml:space="preserve">完整的质量控制措施方案</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②土地承包经营权数据有一定的保密要求，供应商针对项目数据保密工作制定相关方案措施</w:t>
            </w:r>
            <w:r>
              <w:rPr>
                <w:rFonts w:hint="eastAsia" w:asciiTheme="minorEastAsia" w:hAnsi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③延包工作有明确的完成时间要求，供应商针对本项工作制定一份工期计划安排。</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方案优于项目需求的得</w:t>
            </w:r>
            <w:r>
              <w:rPr>
                <w:rFonts w:hint="eastAsia" w:asciiTheme="minorEastAsia" w:hAnsiTheme="minorEastAsia" w:eastAsiaTheme="minorEastAsia" w:cstheme="minorEastAsia"/>
                <w:color w:val="auto"/>
                <w:sz w:val="24"/>
                <w:szCs w:val="24"/>
                <w:highlight w:val="none"/>
                <w:lang w:val="en-US" w:eastAsia="zh-CN" w:bidi="ar"/>
              </w:rPr>
              <w:t xml:space="preserve">6</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bidi="ar"/>
              </w:rPr>
              <w:t xml:space="preserve">；基本满足项目需求的得</w:t>
            </w:r>
            <w:r>
              <w:rPr>
                <w:rFonts w:hint="eastAsia" w:asciiTheme="minorEastAsia" w:hAnsiTheme="minorEastAsia" w:eastAsia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bidi="ar"/>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/条</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不满足或无此项内容的本项不得分</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本项最高得</w:t>
            </w:r>
            <w:r>
              <w:rPr>
                <w:rFonts w:hint="eastAsia" w:asciiTheme="minorEastAsia" w:hAnsiTheme="minorEastAsia" w:cstheme="minorEastAsia"/>
                <w:color w:val="auto"/>
                <w:sz w:val="24"/>
                <w:szCs w:val="24"/>
                <w:highlight w:val="none"/>
                <w:lang w:val="en-US" w:eastAsia="zh-CN" w:bidi="ar"/>
              </w:rPr>
              <w:t xml:space="preserve">18</w:t>
            </w:r>
            <w:r>
              <w:rPr>
                <w:rFonts w:hint="eastAsia" w:asciiTheme="minorEastAsia" w:hAnsiTheme="minorEastAsia" w:eastAsiaTheme="minorEastAsia" w:cstheme="minorEastAsia"/>
                <w:color w:val="auto"/>
                <w:sz w:val="24"/>
                <w:szCs w:val="24"/>
                <w:highlight w:val="none"/>
                <w:lang w:val="en-US" w:eastAsia="zh-CN" w:bidi="ar"/>
              </w:rPr>
              <w:t xml:space="preserve">分</w:t>
            </w:r>
            <w:r>
              <w:rPr>
                <w:rFonts w:hint="eastAsia" w:asciiTheme="minorEastAsia" w:hAnsiTheme="minorEastAsia" w:eastAsiaTheme="minorEastAsia" w:cstheme="minorEastAsia"/>
                <w:color w:val="auto"/>
                <w:sz w:val="24"/>
                <w:szCs w:val="24"/>
                <w:highlight w:val="none"/>
                <w:lang w:bidi="ar"/>
              </w:rPr>
              <w:t xml:space="preserve">。</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r/>
          </w:p>
          <w:p>
            <w:pPr>
              <w:ind w:firstLine="480"/>
              <w:spacing w:line="40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技术服务方案-项目质量控制、保密措施及工期安排应描述简明扼要，不得超过</w:t>
            </w:r>
            <w:r>
              <w:rPr>
                <w:rFonts w:hint="eastAsia" w:asciiTheme="minorEastAsia" w:hAnsiTheme="minorEastAsia" w:cstheme="minorEastAsia"/>
                <w:b/>
                <w:bCs/>
                <w:color w:val="auto"/>
                <w:sz w:val="24"/>
                <w:szCs w:val="24"/>
                <w:highlight w:val="none"/>
                <w:lang w:val="en-US" w:eastAsia="zh-CN" w:bidi="ar"/>
              </w:rPr>
              <w:t xml:space="preserve">30</w:t>
            </w:r>
            <w:r>
              <w:rPr>
                <w:rFonts w:hint="eastAsia" w:asciiTheme="minorEastAsia" w:hAnsiTheme="minorEastAsia" w:eastAsiaTheme="minorEastAsia" w:cstheme="minorEastAsia"/>
                <w:b/>
                <w:bCs/>
                <w:color w:val="auto"/>
                <w:sz w:val="24"/>
                <w:szCs w:val="24"/>
                <w:highlight w:val="none"/>
                <w:lang w:bidi="ar"/>
              </w:rPr>
              <w:t xml:space="preserve">页，否则每超过1页扣1分，扣完为止。</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2149"/>
        <w:jc w:val="center"/>
        <w:keepNext/>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第六章  投标文件格式 </w:t>
      </w:r>
      <w:r/>
    </w:p>
    <w:p>
      <w:pPr>
        <w:pStyle w:val="2149"/>
        <w:jc w:val="center"/>
        <w:spacing w:beforeAutospacing="0" w:afterAutospacing="0"/>
        <w:rPr>
          <w:rFonts w:hint="eastAsia" w:asciiTheme="minorEastAsia" w:hAnsiTheme="minorEastAsia" w:eastAsiaTheme="minorEastAsia" w:cstheme="minorEastAsia"/>
          <w:b/>
          <w:color w:val="auto"/>
          <w:sz w:val="72"/>
          <w:szCs w:val="72"/>
          <w:highlight w:val="none"/>
        </w:rPr>
      </w:pPr>
      <w:r/>
      <w:bookmarkStart w:id="146" w:name="_Toc49090576"/>
      <w:r/>
      <w:bookmarkEnd w:id="146"/>
      <w:r/>
      <w:bookmarkStart w:id="147" w:name="_Toc120614282"/>
      <w:r/>
      <w:bookmarkEnd w:id="147"/>
      <w:r/>
      <w:r/>
    </w:p>
    <w:p>
      <w:pPr>
        <w:pStyle w:val="2149"/>
        <w:jc w:val="center"/>
        <w:spacing w:beforeAutospacing="0" w:afterAutospacing="0"/>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2149"/>
        <w:jc w:val="center"/>
        <w:spacing w:beforeAutospacing="0" w:afterAutospacing="0"/>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72"/>
          <w:szCs w:val="72"/>
          <w:highlight w:val="none"/>
        </w:rPr>
        <w:t xml:space="preserve">投  标  文  件</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1084"/>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 目 名 称：</w:t>
      </w:r>
      <w:r>
        <w:rPr>
          <w:rFonts w:hint="eastAsia" w:asciiTheme="minorEastAsia" w:hAnsiTheme="minorEastAsia" w:eastAsiaTheme="minorEastAsia" w:cstheme="minorEastAsia"/>
          <w:b/>
          <w:color w:val="auto"/>
          <w:sz w:val="36"/>
          <w:szCs w:val="36"/>
          <w:highlight w:val="none"/>
          <w:u w:val="single"/>
        </w:rPr>
        <w:t xml:space="preserve">             </w:t>
      </w:r>
      <w:r/>
    </w:p>
    <w:p>
      <w:pPr>
        <w:pStyle w:val="2149"/>
        <w:ind w:firstLine="1084"/>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 目 编 号：</w:t>
      </w:r>
      <w:r>
        <w:rPr>
          <w:rFonts w:hint="eastAsia" w:asciiTheme="minorEastAsia" w:hAnsiTheme="minorEastAsia" w:eastAsiaTheme="minorEastAsia" w:cstheme="minorEastAsia"/>
          <w:b/>
          <w:color w:val="auto"/>
          <w:sz w:val="36"/>
          <w:szCs w:val="36"/>
          <w:highlight w:val="none"/>
          <w:u w:val="singl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   投标人名称 ：</w:t>
      </w:r>
      <w:r>
        <w:rPr>
          <w:rFonts w:hint="eastAsia" w:asciiTheme="minorEastAsia" w:hAnsiTheme="minorEastAsia" w:eastAsiaTheme="minorEastAsia" w:cstheme="minorEastAsia"/>
          <w:b/>
          <w:color w:val="auto"/>
          <w:sz w:val="36"/>
          <w:szCs w:val="36"/>
          <w:highlight w:val="none"/>
          <w:u w:val="single"/>
        </w:rPr>
        <w:t xml:space="preserve">（加盖CA电子公章）</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   日   期 ：</w:t>
      </w:r>
      <w:r>
        <w:rPr>
          <w:rFonts w:hint="eastAsia" w:asciiTheme="minorEastAsia" w:hAnsiTheme="minorEastAsia" w:eastAsiaTheme="minorEastAsia" w:cstheme="minorEastAsia"/>
          <w:b/>
          <w:color w:val="auto"/>
          <w:sz w:val="36"/>
          <w:szCs w:val="36"/>
          <w:highlight w:val="none"/>
          <w:u w:val="singl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投标文件目录</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left="480"/>
        <w:jc w:val="both"/>
        <w:spacing w:beforeAutospacing="0" w:afterAutospacing="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一、法人或者其他组织的营业执照等证明文件，自然人的身份证明</w:t>
      </w:r>
      <w:r/>
    </w:p>
    <w:p>
      <w:pPr>
        <w:ind w:firstLine="480"/>
        <w:jc w:val="left"/>
        <w:tabs>
          <w:tab w:val="left" w:pos="1331" w:leader="none"/>
        </w:tabs>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 xml:space="preserve">二、上一年度的财务状况报告（至少提供资产负债表、利润表、现金流量表，</w:t>
      </w:r>
      <w:r>
        <w:rPr>
          <w:rFonts w:hint="eastAsia" w:asciiTheme="minorEastAsia" w:hAnsiTheme="minorEastAsia" w:eastAsiaTheme="minorEastAsia" w:cstheme="minorEastAsia"/>
          <w:iCs/>
          <w:color w:val="auto"/>
          <w:highlight w:val="none"/>
        </w:rPr>
        <w:t xml:space="preserve">投标人成立不满一年无需提供）</w:t>
      </w:r>
      <w:r/>
    </w:p>
    <w:p>
      <w:pPr>
        <w:pStyle w:val="2149"/>
        <w:ind w:left="480"/>
        <w:jc w:val="both"/>
        <w:spacing w:beforeAutospacing="0" w:afterAutospacing="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三、具备履行合同所必需的设备和专业技术能力的书面声明</w:t>
      </w:r>
      <w:r/>
    </w:p>
    <w:p>
      <w:pPr>
        <w:pStyle w:val="2149"/>
        <w:ind w:firstLine="480"/>
        <w:jc w:val="both"/>
        <w:spacing w:beforeAutospacing="0" w:afterAutospacing="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五、参加政府采购活动前 3 年内在经营活动中没有重大违法记录的书面声明</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六、特定资格要求的证明文件（如果本项目设置特定资格要求，则需要提供）</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七、法人授权书</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八、投标函</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九、中小企业声明函</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十、残疾人福利性单位声明函</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w:t>
      </w:r>
      <w:r>
        <w:rPr>
          <w:rFonts w:hint="eastAsia" w:asciiTheme="minorEastAsia" w:hAnsiTheme="minorEastAsia" w:eastAsiaTheme="minorEastAsia" w:cstheme="minorEastAsia"/>
          <w:iCs/>
          <w:color w:val="auto"/>
          <w:highlight w:val="none"/>
          <w:lang w:val="en-US" w:eastAsia="zh-CN"/>
        </w:rPr>
        <w:t xml:space="preserve">一</w:t>
      </w:r>
      <w:r>
        <w:rPr>
          <w:rFonts w:hint="eastAsia" w:asciiTheme="minorEastAsia" w:hAnsiTheme="minorEastAsia" w:eastAsiaTheme="minorEastAsia" w:cstheme="minorEastAsia"/>
          <w:iCs/>
          <w:color w:val="auto"/>
          <w:highlight w:val="none"/>
        </w:rPr>
        <w:t xml:space="preserve">、投标分项报价表</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十二、技术要求响应及偏离表</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十三、商务要求响应及偏离表</w:t>
      </w:r>
      <w:r/>
    </w:p>
    <w:p>
      <w:pPr>
        <w:pStyle w:val="2149"/>
        <w:ind w:firstLine="480"/>
        <w:jc w:val="both"/>
        <w:spacing w:beforeAutospacing="0" w:afterAutospacing="0" w:line="0" w:lineRule="atLeas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十四、开标一览表</w:t>
      </w:r>
      <w:r/>
    </w:p>
    <w:p>
      <w:pPr>
        <w:ind w:firstLine="480"/>
        <w:spacing w:before="50" w:after="50"/>
        <w:widowControl/>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十</w:t>
      </w:r>
      <w:r>
        <w:rPr>
          <w:rFonts w:hint="eastAsia" w:asciiTheme="minorEastAsia" w:hAnsiTheme="minorEastAsia" w:eastAsiaTheme="minorEastAsia" w:cstheme="minorEastAsia"/>
          <w:iCs/>
          <w:color w:val="auto"/>
          <w:highlight w:val="none"/>
        </w:rPr>
        <w:t xml:space="preserve">五</w:t>
      </w:r>
      <w:r>
        <w:rPr>
          <w:rFonts w:hint="eastAsia" w:asciiTheme="minorEastAsia" w:hAnsiTheme="minorEastAsia" w:eastAsiaTheme="minorEastAsia" w:cstheme="minorEastAsia"/>
          <w:iCs/>
          <w:color w:val="auto"/>
          <w:sz w:val="24"/>
          <w:highlight w:val="none"/>
        </w:rPr>
        <w:t xml:space="preserve">、拟投入本项目服务人员一览表</w:t>
      </w:r>
      <w:r/>
    </w:p>
    <w:p>
      <w:pPr>
        <w:ind w:firstLine="480"/>
        <w:spacing w:before="50" w:after="50"/>
        <w:widowControl/>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highlight w:val="none"/>
        </w:rPr>
        <w:t xml:space="preserve">十</w:t>
      </w:r>
      <w:r>
        <w:rPr>
          <w:rFonts w:hint="eastAsia" w:asciiTheme="minorEastAsia" w:hAnsiTheme="minorEastAsia" w:eastAsiaTheme="minorEastAsia" w:cstheme="minorEastAsia"/>
          <w:iCs/>
          <w:color w:val="auto"/>
          <w:sz w:val="24"/>
          <w:highlight w:val="none"/>
        </w:rPr>
        <w:t xml:space="preserve">六</w:t>
      </w:r>
      <w:r>
        <w:rPr>
          <w:rFonts w:hint="eastAsia" w:asciiTheme="minorEastAsia" w:hAnsiTheme="minorEastAsia" w:eastAsiaTheme="minorEastAsia" w:cstheme="minorEastAsia"/>
          <w:iCs/>
          <w:color w:val="auto"/>
          <w:sz w:val="24"/>
          <w:highlight w:val="none"/>
          <w:lang w:eastAsia="zh-CN"/>
        </w:rPr>
        <w:t xml:space="preserve">、技术服务方案等</w:t>
      </w:r>
      <w:r/>
    </w:p>
    <w:p>
      <w:pPr>
        <w:pStyle w:val="2149"/>
        <w:ind w:firstLine="480"/>
        <w:jc w:val="both"/>
        <w:spacing w:beforeAutospacing="0" w:afterAutospacing="0" w:line="360" w:lineRule="auto"/>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 xml:space="preserve">十</w:t>
      </w:r>
      <w:r>
        <w:rPr>
          <w:rFonts w:hint="eastAsia" w:asciiTheme="minorEastAsia" w:hAnsiTheme="minorEastAsia" w:eastAsiaTheme="minorEastAsia" w:cstheme="minorEastAsia"/>
          <w:iCs/>
          <w:color w:val="auto"/>
          <w:sz w:val="24"/>
          <w:highlight w:val="none"/>
          <w:lang w:val="en-US" w:eastAsia="zh-CN"/>
        </w:rPr>
        <w:t xml:space="preserve">七</w:t>
      </w:r>
      <w:r>
        <w:rPr>
          <w:rFonts w:hint="eastAsia" w:asciiTheme="minorEastAsia" w:hAnsiTheme="minorEastAsia" w:eastAsiaTheme="minorEastAsia" w:cstheme="minorEastAsia"/>
          <w:iCs/>
          <w:color w:val="auto"/>
          <w:highlight w:val="none"/>
        </w:rPr>
        <w:t xml:space="preserve">、盐城市政府采购事前信用承诺书</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clear="all"/>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一、法人或者其他组织的营业执照等证明文件，自然人的身份证明</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二、上一年度的财务状况报告</w:t>
      </w:r>
      <w:r/>
    </w:p>
    <w:p>
      <w:pPr>
        <w:ind w:firstLine="480"/>
        <w:jc w:val="left"/>
        <w:tabs>
          <w:tab w:val="left" w:pos="1331"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（至少提供资产负债表、利润表、现金流量表，投标人成立不满一年无需提供）</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三、具备履行合同所必需的设备和专业技术能力的书面声明</w:t>
      </w:r>
      <w:r/>
    </w:p>
    <w:p>
      <w:pPr>
        <w:pStyle w:val="2149"/>
        <w:ind w:firstLine="4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2149"/>
        <w:ind w:firstLine="4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四、依法缴纳税收和社会保障资金的相关材料</w:t>
      </w:r>
      <w:r/>
    </w:p>
    <w:p>
      <w:pPr>
        <w:pStyle w:val="2149"/>
        <w:ind w:firstLine="48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五、参加政府采购活动前 3 年内在经营活动中没有重大违法记录的书面声明</w:t>
      </w:r>
      <w:r/>
    </w:p>
    <w:p>
      <w:pPr>
        <w:pStyle w:val="2149"/>
        <w:jc w:val="both"/>
        <w:spacing w:beforeAutospacing="0" w:afterAutospacing="0" w:line="0" w:lineRule="atLeas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                </w:t>
      </w:r>
      <w:r/>
    </w:p>
    <w:p>
      <w:pPr>
        <w:pStyle w:val="2149"/>
        <w:ind w:firstLine="3092"/>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 声  明</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 xml:space="preserve">六、特定资格要求的证明文件</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如果本项目申请人的特定资格要求中要求提供的，必须提供。</w:t>
      </w:r>
      <w:r/>
    </w:p>
    <w:p>
      <w:pPr>
        <w:jc w:val="left"/>
        <w:widowControl/>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七、法人授权书</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号项目采购活动的合法代理人，以本单位名义全权处理一切与该项目采购有关的事务。</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本授权书于______年____月____日起生效，特此声明。</w:t>
      </w:r>
      <w:r/>
    </w:p>
    <w:p>
      <w:pPr>
        <w:pStyle w:val="2149"/>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被授权人身份证号码：</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被授权人联系电话：（手机）</w:t>
      </w:r>
      <w:r>
        <w:rPr>
          <w:rFonts w:hint="eastAsia" w:asciiTheme="minorEastAsia" w:hAnsiTheme="minorEastAsia" w:eastAsiaTheme="minorEastAsia" w:cstheme="minorEastAsia"/>
          <w:color w:val="auto"/>
          <w:highlight w:val="none"/>
          <w:u w:val="single"/>
        </w:rPr>
        <w:t xml:space="preserve">           </w:t>
      </w:r>
      <w:r/>
    </w:p>
    <w:p>
      <w:pPr>
        <w:pStyle w:val="2149"/>
        <w:ind w:firstLine="120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授权单位名称：</w:t>
      </w:r>
      <w:r>
        <w:rPr>
          <w:rFonts w:hint="eastAsia" w:asciiTheme="minorEastAsia" w:hAnsiTheme="minorEastAsia" w:eastAsiaTheme="minorEastAsia" w:cstheme="minorEastAsia"/>
          <w:color w:val="auto"/>
          <w:highlight w:val="none"/>
          <w:u w:val="single"/>
        </w:rPr>
        <w:t xml:space="preserve">（加盖CA电子公章）</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单位地址：</w:t>
      </w:r>
      <w:r>
        <w:rPr>
          <w:rFonts w:hint="eastAsia" w:asciiTheme="minorEastAsia" w:hAnsiTheme="minorEastAsia" w:eastAsiaTheme="minorEastAsia" w:cstheme="minorEastAsia"/>
          <w:color w:val="auto"/>
          <w:highlight w:val="none"/>
          <w:u w:val="single"/>
        </w:rPr>
        <w:t xml:space="preserve">           </w:t>
      </w:r>
      <w:r/>
    </w:p>
    <w:p>
      <w:pPr>
        <w:pStyle w:val="2149"/>
        <w:ind w:firstLine="480"/>
        <w:jc w:val="both"/>
        <w:spacing w:beforeAutospacing="0" w:afterAutospacing="0"/>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w:t>
      </w:r>
      <w:r>
        <w:rPr>
          <w:rFonts w:hint="eastAsia" w:asciiTheme="minorEastAsia" w:hAnsiTheme="minorEastAsia" w:eastAsiaTheme="minorEastAsia" w:cstheme="minorEastAsia"/>
          <w:color w:val="auto"/>
          <w:highlight w:val="none"/>
          <w:u w:val="single"/>
        </w:rPr>
        <w:t xml:space="preserve">           </w:t>
      </w:r>
      <w:r/>
    </w:p>
    <w:p>
      <w:pPr>
        <w:pStyle w:val="2149"/>
        <w:ind w:firstLine="42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3390"/>
        <w:jc w:val="both"/>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b/>
          <w:color w:val="auto"/>
          <w:highlight w:val="none"/>
        </w:rPr>
        <w:br w:type="page" w:clear="all"/>
      </w:r>
      <w:r>
        <w:rPr>
          <w:rFonts w:hint="eastAsia" w:asciiTheme="minorEastAsia" w:hAnsiTheme="minorEastAsia" w:eastAsiaTheme="minorEastAsia" w:cstheme="minorEastAsia"/>
          <w:i/>
          <w:color w:val="auto"/>
          <w:sz w:val="32"/>
          <w:szCs w:val="32"/>
          <w:highlight w:val="none"/>
          <w:u w:val="single"/>
        </w:rPr>
        <w:t xml:space="preserve">八、投标函</w:t>
      </w:r>
      <w:r/>
    </w:p>
    <w:p>
      <w:pPr>
        <w:pStyle w:val="2149"/>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致：</w:t>
      </w:r>
      <w:r>
        <w:rPr>
          <w:rFonts w:hint="eastAsia" w:asciiTheme="minorEastAsia" w:hAnsiTheme="minorEastAsia" w:cstheme="minorEastAsia"/>
          <w:color w:val="auto"/>
          <w:highlight w:val="none"/>
          <w:lang w:eastAsia="zh-CN"/>
        </w:rPr>
        <w:t xml:space="preserve">盐城市盐都区秦南镇人民政府</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根据贵方的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号招标文件，正式授权下述签字人_________________(姓名)代表我方______________（投标人的名称），全权处理本次项目投标的有关事宜。</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据此函，__________签字人兹宣布同意如下：</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1.按招标文件规定的各项要求，向买方提供所需</w:t>
      </w:r>
      <w:r>
        <w:rPr>
          <w:rFonts w:hint="eastAsia" w:asciiTheme="minorEastAsia" w:hAnsi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rPr>
        <w:t xml:space="preserve">（包含与</w:t>
      </w:r>
      <w:r>
        <w:rPr>
          <w:rFonts w:hint="eastAsia" w:asciiTheme="minorEastAsia" w:hAnsiTheme="minorEastAsia" w:cstheme="minorEastAsia"/>
          <w:color w:val="auto"/>
          <w:highlight w:val="none"/>
          <w:lang w:val="en-US" w:eastAsia="zh-CN"/>
        </w:rPr>
        <w:t xml:space="preserve">服务</w:t>
      </w:r>
      <w:r>
        <w:rPr>
          <w:rFonts w:hint="eastAsia" w:asciiTheme="minorEastAsia" w:hAnsiTheme="minorEastAsia" w:eastAsiaTheme="minorEastAsia" w:cstheme="minorEastAsia"/>
          <w:color w:val="auto"/>
          <w:highlight w:val="none"/>
        </w:rPr>
        <w:t xml:space="preserve">相关的</w:t>
      </w:r>
      <w:r>
        <w:rPr>
          <w:rFonts w:hint="eastAsia" w:asciiTheme="minorEastAsia" w:hAnsiTheme="minorEastAsia" w:cstheme="minorEastAsia"/>
          <w:color w:val="auto"/>
          <w:highlight w:val="none"/>
          <w:lang w:val="en-US" w:eastAsia="zh-CN"/>
        </w:rPr>
        <w:t xml:space="preserve">货物</w:t>
      </w:r>
      <w:r>
        <w:rPr>
          <w:rFonts w:hint="eastAsia" w:asciiTheme="minorEastAsia" w:hAnsiTheme="minorEastAsia" w:eastAsiaTheme="minorEastAsia" w:cstheme="minorEastAsia"/>
          <w:color w:val="auto"/>
          <w:highlight w:val="none"/>
        </w:rPr>
        <w:t xml:space="preserve">）。</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2.我们完全理解贵方不一定将合同授予最低报价的投标人。</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3.我们已详细审核全部招标文件及其有效补充文件，我们知道必须放弃提出含糊不清或误解问题的权利。</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4.我们同意从规定的开标日期起遵循本投标文件，并在规定的投标有效期期满之前均具有约束力。</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5.同意向贵方提供贵方可能另外要求的与投标有关的任何证据或资料，并保证我方已提供和将要提供的文件是真实的、准确的。</w:t>
      </w:r>
      <w:r/>
    </w:p>
    <w:p>
      <w:pPr>
        <w:pStyle w:val="2149"/>
        <w:ind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6.一旦我方中标,我方将根据招标文件的规定，严格履行合同的责任和义务,并保证在招标文件规定的时间完成项目，交付买方验收、使用。</w:t>
      </w:r>
      <w:r/>
    </w:p>
    <w:p>
      <w:pPr>
        <w:pStyle w:val="2149"/>
        <w:ind w:left="425"/>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7.与本投标有关的正式通讯地址为：</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          编：</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          话：</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传          真：</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投标人开户行：</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r/>
    </w:p>
    <w:p>
      <w:pPr>
        <w:pStyle w:val="2149"/>
        <w:ind w:left="420" w:firstLine="480"/>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期：________年____月____日</w:t>
      </w:r>
      <w:r/>
    </w:p>
    <w:p>
      <w:pPr>
        <w:pStyle w:val="214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240"/>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九、中小企业声明函（服务）（分包号：**）</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本公司（联合体）郑重声明，根据《政府采购促进中小企业发展管理办法》（财库﹝2020﹞46 号）的规定，本公司（联合体）参加</w:t>
      </w:r>
      <w:r>
        <w:rPr>
          <w:rFonts w:hint="eastAsia" w:asciiTheme="minorEastAsia" w:hAnsiTheme="minorEastAsia" w:cstheme="minorEastAsia"/>
          <w:color w:val="auto"/>
          <w:sz w:val="24"/>
          <w:highlight w:val="none"/>
          <w:u w:val="single"/>
          <w:lang w:val="en-US" w:eastAsia="zh-CN"/>
        </w:rPr>
        <w:t xml:space="preserve">盐城市盐都区秦南镇人民政府</w:t>
      </w:r>
      <w:r>
        <w:rPr>
          <w:rFonts w:hint="eastAsia" w:asciiTheme="minorEastAsia" w:hAnsiTheme="minorEastAsia" w:eastAsiaTheme="minorEastAsia" w:cstheme="minorEastAsia"/>
          <w:color w:val="auto"/>
          <w:sz w:val="24"/>
          <w:highlight w:val="none"/>
        </w:rPr>
        <w:t xml:space="preserve">组织的，采购编号为</w:t>
      </w:r>
      <w:r>
        <w:rPr>
          <w:rFonts w:hint="eastAsia" w:asciiTheme="minorEastAsia" w:hAnsiTheme="minorEastAsia" w:cstheme="minorEastAsia"/>
          <w:color w:val="auto"/>
          <w:sz w:val="24"/>
          <w:highlight w:val="none"/>
          <w:u w:val="single"/>
          <w:lang w:eastAsia="zh-CN"/>
        </w:rPr>
        <w:t xml:space="preserve">JSZC-320903-ZFDL-G2026-0013</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cstheme="minorEastAsia"/>
          <w:color w:val="auto"/>
          <w:sz w:val="24"/>
          <w:highlight w:val="none"/>
          <w:u w:val="single"/>
          <w:lang w:eastAsia="zh-CN"/>
        </w:rPr>
        <w:t xml:space="preserve">盐都区秦南镇第二轮土地承包到期后再延长30年技术服务项目</w:t>
      </w:r>
      <w:r>
        <w:rPr>
          <w:rFonts w:hint="eastAsia" w:asciiTheme="minorEastAsia" w:hAnsiTheme="minorEastAsia" w:eastAsiaTheme="minorEastAsia" w:cstheme="minorEastAsia"/>
          <w:color w:val="auto"/>
          <w:sz w:val="24"/>
          <w:highlight w:val="none"/>
        </w:rPr>
        <w:t xml:space="preserve">的采购活动，服务全部由符合政策要求的中小企业承接。相关企业（含联合体中的中小企业、签订分包意向协议的中小企业）的具体情况如下：</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u w:val="single"/>
        </w:rPr>
        <w:t xml:space="preserve">（标的名称）</w:t>
      </w:r>
      <w:r>
        <w:rPr>
          <w:rFonts w:hint="eastAsia" w:asciiTheme="minorEastAsia" w:hAnsiTheme="minorEastAsia" w:eastAsiaTheme="minorEastAsia" w:cstheme="minorEastAsia"/>
          <w:i/>
          <w:color w:val="auto"/>
          <w:highlight w:val="none"/>
        </w:rPr>
        <w:t xml:space="preserve">，</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行业；</w:t>
      </w:r>
      <w:r>
        <w:rPr>
          <w:rFonts w:hint="eastAsia"/>
          <w:color w:val="auto"/>
          <w:sz w:val="24"/>
        </w:rPr>
        <w:t xml:space="preserve">承接企业为</w:t>
      </w:r>
      <w:r>
        <w:rPr>
          <w:rFonts w:hint="eastAsia" w:asciiTheme="minorEastAsia" w:hAnsiTheme="minorEastAsia" w:eastAsiaTheme="minorEastAsia" w:cstheme="minorEastAsia"/>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color w:val="auto"/>
          <w:highlight w:val="none"/>
          <w:u w:val="single"/>
        </w:rPr>
        <w:t xml:space="preserve">（中型企业、小型企业、微型企业）；</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u w:val="single"/>
        </w:rPr>
        <w:t xml:space="preserve">（标的名称）</w:t>
      </w:r>
      <w:r>
        <w:rPr>
          <w:rFonts w:hint="eastAsia" w:asciiTheme="minorEastAsia" w:hAnsiTheme="minorEastAsia" w:eastAsiaTheme="minorEastAsia" w:cstheme="minorEastAsia"/>
          <w:i/>
          <w:color w:val="auto"/>
          <w:highlight w:val="none"/>
        </w:rPr>
        <w:t xml:space="preserve">，</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(采购文件中明确的所属行业)</w:t>
      </w:r>
      <w:r>
        <w:rPr>
          <w:rFonts w:hint="eastAsia" w:asciiTheme="minorEastAsia" w:hAnsiTheme="minorEastAsia" w:eastAsiaTheme="minorEastAsia" w:cstheme="minorEastAsia"/>
          <w:color w:val="auto"/>
          <w:highlight w:val="none"/>
        </w:rPr>
        <w:t xml:space="preserve">行业；</w:t>
      </w:r>
      <w:r>
        <w:rPr>
          <w:rFonts w:hint="eastAsia"/>
          <w:color w:val="auto"/>
          <w:sz w:val="24"/>
        </w:rPr>
        <w:t xml:space="preserve">承接企业为</w:t>
      </w:r>
      <w:r>
        <w:rPr>
          <w:rFonts w:hint="eastAsia" w:asciiTheme="minorEastAsia" w:hAnsiTheme="minorEastAsia" w:eastAsiaTheme="minorEastAsia" w:cstheme="minorEastAsia"/>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color w:val="auto"/>
          <w:highlight w:val="none"/>
          <w:u w:val="single"/>
        </w:rPr>
        <w:t xml:space="preserve">（中型企业、小型企业、微型企业）；</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w:t>
      </w:r>
      <w:r/>
    </w:p>
    <w:p>
      <w:pPr>
        <w:pStyle w:val="2149"/>
        <w:ind w:right="72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right="180" w:firstLine="360"/>
        <w:jc w:val="right"/>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企业名称（加盖CA电子公章）：</w:t>
      </w:r>
      <w:r/>
    </w:p>
    <w:p>
      <w:pPr>
        <w:pStyle w:val="2149"/>
        <w:ind w:right="480" w:firstLine="540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p>
    <w:p>
      <w:pPr>
        <w:pStyle w:val="2149"/>
        <w:ind w:firstLine="36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备注1：从业人员、营业收入、资产总额填报上一年度数据，无上一年度数据的新成立企业可不填报。</w:t>
      </w:r>
      <w:r/>
    </w:p>
    <w:p>
      <w:pPr>
        <w:pStyle w:val="2149"/>
        <w:ind w:firstLine="480"/>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备注2：供应商如不提供此声明函，价格将不做相应扣除（如项目全面面向中小企业，则资格审查不通过）。</w:t>
      </w:r>
      <w:r/>
    </w:p>
    <w:p>
      <w:pPr>
        <w:pStyle w:val="2149"/>
        <w:jc w:val="center"/>
        <w:spacing w:beforeAutospacing="0" w:afterAutospacing="0" w:line="0" w:lineRule="atLeas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十、残疾人福利性单位声明函（分包号：**）</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cstheme="minorEastAsia"/>
          <w:color w:val="auto"/>
          <w:highlight w:val="none"/>
          <w:u w:val="single"/>
          <w:lang w:eastAsia="zh-CN"/>
        </w:rPr>
        <w:t xml:space="preserve">盐城市盐都区秦南镇人民政府</w:t>
      </w:r>
      <w:r>
        <w:rPr>
          <w:rFonts w:hint="eastAsia" w:asciiTheme="minorEastAsia" w:hAnsiTheme="minorEastAsia" w:eastAsiaTheme="minorEastAsia" w:cstheme="minorEastAsia"/>
          <w:color w:val="auto"/>
          <w:highlight w:val="none"/>
        </w:rPr>
        <w:t xml:space="preserve">的采购文件编号为</w:t>
      </w:r>
      <w:r>
        <w:rPr>
          <w:rFonts w:hint="eastAsia" w:asciiTheme="minorEastAsia" w:hAnsiTheme="minorEastAsia" w:cstheme="minorEastAsia"/>
          <w:color w:val="auto"/>
          <w:highlight w:val="none"/>
          <w:u w:val="single"/>
          <w:lang w:eastAsia="zh-CN"/>
        </w:rPr>
        <w:t xml:space="preserve">JSZC-320903-ZFDL-G2026-0013</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cstheme="minorEastAsia"/>
          <w:color w:val="auto"/>
          <w:highlight w:val="none"/>
          <w:u w:val="single"/>
          <w:lang w:eastAsia="zh-CN"/>
        </w:rPr>
        <w:t xml:space="preserve">盐都区秦南镇第二轮土地承包到期后再延长30年技术服务项目</w:t>
      </w:r>
      <w:r>
        <w:rPr>
          <w:rFonts w:hint="eastAsia" w:asciiTheme="minorEastAsia" w:hAnsiTheme="minorEastAsia" w:eastAsiaTheme="minorEastAsia" w:cstheme="minorEastAsia"/>
          <w:color w:val="auto"/>
          <w:highlight w:val="none"/>
        </w:rPr>
        <w:t xml:space="preserve">（分包号：**）</w:t>
      </w:r>
      <w:r>
        <w:rPr>
          <w:rFonts w:hint="eastAsia" w:ascii="宋体" w:hAnsi="宋体" w:eastAsia="宋体" w:cs="宋体"/>
          <w:color w:val="auto"/>
        </w:rPr>
        <w:t xml:space="preserve">采购活动由本单位提供服务。</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firstLine="480"/>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2149"/>
        <w:ind w:firstLine="624"/>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ind w:right="1560" w:firstLine="624"/>
        <w:jc w:val="center"/>
        <w:spacing w:beforeAutospacing="0" w:afterAutospacing="0" w:line="0" w:lineRule="atLeast"/>
        <w:tabs>
          <w:tab w:val="left" w:pos="4864"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             </w:t>
      </w:r>
      <w:r>
        <w:rPr>
          <w:rFonts w:hint="eastAsia" w:asciiTheme="minorEastAsia" w:hAnsiTheme="minorEastAsia" w:eastAsiaTheme="minorEastAsia" w:cstheme="minorEastAsia"/>
          <w:color w:val="auto"/>
          <w:highlight w:val="none"/>
        </w:rPr>
        <w:t xml:space="preserve">          供应商全称（加盖CA电子公章）：</w:t>
      </w:r>
      <w:r/>
    </w:p>
    <w:p>
      <w:pPr>
        <w:pStyle w:val="2149"/>
        <w:ind w:right="1560" w:firstLine="480"/>
        <w:jc w:val="center"/>
        <w:spacing w:beforeAutospacing="0" w:afterAutospacing="0" w:line="0" w:lineRule="atLeast"/>
        <w:tabs>
          <w:tab w:val="left" w:pos="4864"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  期：</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pacing w:val="27"/>
          <w:sz w:val="39"/>
          <w:szCs w:val="39"/>
          <w:highlight w:val="none"/>
        </w:rPr>
      </w:pPr>
      <w:r>
        <w:rPr>
          <w:rFonts w:hint="eastAsia" w:asciiTheme="minorEastAsia" w:hAnsiTheme="minorEastAsia" w:eastAsiaTheme="minorEastAsia" w:cstheme="minorEastAsia"/>
          <w:color w:val="auto"/>
          <w:spacing w:val="27"/>
          <w:sz w:val="39"/>
          <w:szCs w:val="39"/>
          <w:highlight w:val="none"/>
        </w:rPr>
        <w:br w:type="page" w:clear="all"/>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lang w:val="en-US" w:eastAsia="zh-CN"/>
        </w:rPr>
        <w:t xml:space="preserve">十一</w:t>
      </w:r>
      <w:r>
        <w:rPr>
          <w:rFonts w:hint="eastAsia" w:asciiTheme="minorEastAsia" w:hAnsiTheme="minorEastAsia" w:eastAsiaTheme="minorEastAsia" w:cstheme="minorEastAsia"/>
          <w:b/>
          <w:color w:val="auto"/>
          <w:sz w:val="32"/>
          <w:szCs w:val="32"/>
          <w:highlight w:val="none"/>
        </w:rPr>
        <w:t xml:space="preserve">、投标分项报价表（分包号：***）</w:t>
      </w:r>
      <w:r/>
    </w:p>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spacing w:line="520" w:lineRule="exact"/>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bidi="ar-SA"/>
        </w:rPr>
        <w:t xml:space="preserve">投标人自拟</w:t>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供应商名称：</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（盖章或电子签章）</w:t>
      </w:r>
      <w:r/>
    </w:p>
    <w:p>
      <w:pPr>
        <w:jc w:val="right"/>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法定代表人或授权委托人：</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（签字或电子签章）</w:t>
      </w:r>
      <w:r/>
    </w:p>
    <w:p>
      <w:pPr>
        <w:jc w:val="center"/>
        <w:spacing w:line="5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年   月   日</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5250"/>
        <w:spacing w:line="520" w:lineRule="exact"/>
        <w:rPr>
          <w:rFonts w:hint="eastAsia" w:asciiTheme="minorEastAsia" w:hAnsiTheme="minorEastAsia" w:eastAsiaTheme="minorEastAsia" w:cstheme="minorEastAsia"/>
          <w:b/>
          <w:color w:val="auto"/>
          <w:sz w:val="32"/>
          <w:szCs w:val="32"/>
          <w:highlight w:val="none"/>
        </w:rPr>
        <w:sectPr>
          <w:headerReference w:type="default" r:id="rId8"/>
          <w:headerReference w:type="even" r:id="rId9"/>
          <w:headerReference w:type="first" r:id="rId10"/>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highlight w:val="non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十</w:t>
      </w:r>
      <w:r>
        <w:rPr>
          <w:rFonts w:hint="eastAsia" w:asciiTheme="minorEastAsia" w:hAnsiTheme="minorEastAsia" w:eastAsiaTheme="minorEastAsia" w:cstheme="minorEastAsia"/>
          <w:i/>
          <w:color w:val="auto"/>
          <w:sz w:val="32"/>
          <w:szCs w:val="32"/>
          <w:highlight w:val="none"/>
          <w:u w:val="single"/>
          <w:lang w:val="en-US" w:eastAsia="zh-CN"/>
        </w:rPr>
        <w:t xml:space="preserve">二</w:t>
      </w:r>
      <w:r>
        <w:rPr>
          <w:rFonts w:hint="eastAsia" w:asciiTheme="minorEastAsia" w:hAnsiTheme="minorEastAsia" w:eastAsiaTheme="minorEastAsia" w:cstheme="minorEastAsia"/>
          <w:i/>
          <w:color w:val="auto"/>
          <w:sz w:val="32"/>
          <w:szCs w:val="32"/>
          <w:highlight w:val="none"/>
          <w:u w:val="single"/>
        </w:rPr>
        <w:t xml:space="preserve">、技术要求响应及偏离表（分包号：**）</w:t>
      </w:r>
      <w:r/>
    </w:p>
    <w:tbl>
      <w:tblPr>
        <w:tblStyle w:val="21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详见招标文件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完全响应招标文件全部技术要求</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符合</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2149"/>
        <w:jc w:val="center"/>
        <w:keepLines/>
        <w:keepNext/>
        <w:spacing w:before="260" w:beforeAutospacing="0" w:after="260" w:afterAutospacing="0" w:line="415" w:lineRule="auto"/>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 xml:space="preserve">十</w:t>
      </w:r>
      <w:r>
        <w:rPr>
          <w:rFonts w:hint="eastAsia" w:asciiTheme="minorEastAsia" w:hAnsiTheme="minorEastAsia" w:eastAsiaTheme="minorEastAsia" w:cstheme="minorEastAsia"/>
          <w:i/>
          <w:color w:val="auto"/>
          <w:sz w:val="32"/>
          <w:szCs w:val="32"/>
          <w:highlight w:val="none"/>
          <w:u w:val="single"/>
          <w:lang w:val="en-US" w:eastAsia="zh-CN"/>
        </w:rPr>
        <w:t xml:space="preserve">三</w:t>
      </w:r>
      <w:r>
        <w:rPr>
          <w:rFonts w:hint="eastAsia" w:asciiTheme="minorEastAsia" w:hAnsiTheme="minorEastAsia" w:eastAsiaTheme="minorEastAsia" w:cstheme="minorEastAsia"/>
          <w:i/>
          <w:color w:val="auto"/>
          <w:sz w:val="32"/>
          <w:szCs w:val="32"/>
          <w:highlight w:val="none"/>
          <w:u w:val="single"/>
        </w:rPr>
        <w:t xml:space="preserve">、商务要求响应及偏离表（分包号：**）</w:t>
      </w:r>
      <w:r/>
    </w:p>
    <w:tbl>
      <w:tblPr>
        <w:tblStyle w:val="21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bookmarkStart w:id="148" w:name="_Hlt26671372"/>
            <w:r/>
            <w:bookmarkStart w:id="149" w:name="_Hlt26609391"/>
            <w:r/>
            <w:bookmarkStart w:id="150" w:name="_Hlt24879081"/>
            <w:r/>
            <w:bookmarkStart w:id="151" w:name="_Hlt26955064"/>
            <w:r/>
            <w:bookmarkStart w:id="152" w:name="_Hlt26671343"/>
            <w:r/>
            <w:bookmarkStart w:id="153" w:name="_Hlt26580838"/>
            <w:r/>
            <w:bookmarkStart w:id="154" w:name="_Hlt26955056"/>
            <w:r/>
            <w:bookmarkStart w:id="155" w:name="_Hlt26782999"/>
            <w:r>
              <w:rPr>
                <w:rFonts w:hint="eastAsia" w:asciiTheme="minorEastAsia" w:hAnsiTheme="minorEastAsia" w:eastAsiaTheme="minorEastAsia" w:cstheme="minorEastAsia"/>
                <w:color w:val="auto"/>
                <w:highlight w:val="none"/>
              </w:rPr>
              <w:t xml:space="preserve">序号</w:t>
            </w:r>
            <w:bookmarkEnd w:id="148"/>
            <w:r/>
            <w:bookmarkEnd w:id="149"/>
            <w:r/>
            <w:bookmarkEnd w:id="150"/>
            <w:r/>
            <w:bookmarkEnd w:id="151"/>
            <w:r/>
            <w:bookmarkEnd w:id="152"/>
            <w:r/>
            <w:bookmarkEnd w:id="153"/>
            <w:r/>
            <w:bookmarkEnd w:id="154"/>
            <w:r/>
            <w:bookmarkEnd w:id="15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详见招标文件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完全响应招标文件全部商务要求</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 xml:space="preserve">符合</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bl>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pStyle w:val="2149"/>
        <w:jc w:val="both"/>
        <w:spacing w:beforeAutospacing="0" w:afterAutospacing="0" w:line="48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clear="all"/>
      </w:r>
      <w:r/>
    </w:p>
    <w:p>
      <w:pPr>
        <w:pStyle w:val="2118"/>
        <w:jc w:val="center"/>
        <w:spacing w:before="322" w:after="322"/>
        <w:rPr>
          <w:rFonts w:hint="eastAsia" w:asciiTheme="minorEastAsia" w:hAnsiTheme="minorEastAsia" w:eastAsiaTheme="minorEastAsia" w:cstheme="minorEastAsia"/>
          <w:bCs w:val="0"/>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bCs w:val="0"/>
          <w:i/>
          <w:color w:val="auto"/>
          <w:sz w:val="32"/>
          <w:szCs w:val="32"/>
          <w:highlight w:val="none"/>
          <w:u w:val="single"/>
        </w:rPr>
        <w:t xml:space="preserve">十</w:t>
      </w:r>
      <w:r>
        <w:rPr>
          <w:rFonts w:hint="eastAsia" w:asciiTheme="minorEastAsia" w:hAnsiTheme="minorEastAsia" w:eastAsiaTheme="minorEastAsia" w:cstheme="minorEastAsia"/>
          <w:bCs w:val="0"/>
          <w:i/>
          <w:color w:val="auto"/>
          <w:sz w:val="32"/>
          <w:szCs w:val="32"/>
          <w:highlight w:val="none"/>
          <w:u w:val="single"/>
          <w:lang w:val="en-US" w:eastAsia="zh-CN"/>
        </w:rPr>
        <w:t xml:space="preserve">四</w:t>
      </w:r>
      <w:r>
        <w:rPr>
          <w:rFonts w:hint="eastAsia" w:asciiTheme="minorEastAsia" w:hAnsiTheme="minorEastAsia" w:eastAsiaTheme="minorEastAsia" w:cstheme="minorEastAsia"/>
          <w:bCs w:val="0"/>
          <w:i/>
          <w:color w:val="auto"/>
          <w:sz w:val="32"/>
          <w:szCs w:val="32"/>
          <w:highlight w:val="none"/>
          <w:u w:val="single"/>
        </w:rPr>
        <w:t xml:space="preserve">、开标一览表</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cstheme="minorEastAsia"/>
          <w:color w:val="auto"/>
          <w:sz w:val="24"/>
          <w:highlight w:val="none"/>
          <w:lang w:eastAsia="zh-CN"/>
        </w:rPr>
        <w:t xml:space="preserve">JSZC-320903-ZFDL-G2026-0013</w:t>
      </w:r>
      <w:r>
        <w:rPr>
          <w:rFonts w:hint="eastAsia" w:asciiTheme="minorEastAsia" w:hAnsiTheme="minorEastAsia" w:eastAsiaTheme="minorEastAsia" w:cstheme="minorEastAsia"/>
          <w:color w:val="auto"/>
          <w:sz w:val="24"/>
          <w:highlight w:val="none"/>
        </w:rPr>
        <w:t xml:space="preserve"> </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货币单位：人民币元</w:t>
      </w:r>
      <w:r/>
    </w:p>
    <w:tbl>
      <w:tblPr>
        <w:tblStyle w:val="215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04"/>
        <w:gridCol w:w="2466"/>
        <w:gridCol w:w="313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lang w:eastAsia="zh-CN"/>
              </w:rPr>
              <w:pBdr>
                <w:top w:val="none" w:color="auto" w:sz="0" w:space="0"/>
                <w:left w:val="none" w:color="auto" w:sz="0" w:space="0"/>
                <w:bottom w:val="none" w:color="auto" w:sz="0" w:space="0"/>
                <w:right w:val="none" w:color="auto" w:sz="0" w:space="0"/>
              </w:pBdr>
            </w:pPr>
            <w:r>
              <w:rPr>
                <w:rFonts w:hint="eastAsia" w:asciiTheme="minorEastAsia" w:hAnsiTheme="minorEastAsia" w:cstheme="minorEastAsia"/>
                <w:color w:val="auto"/>
                <w:sz w:val="24"/>
                <w:highlight w:val="none"/>
                <w:lang w:eastAsia="zh-CN"/>
              </w:rPr>
              <w:t xml:space="preserve">盐都区秦南镇第二轮土地承包到期后再延长30年技术服务项目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344" w:type="dxa"/>
            <w:vAlign w:val="center"/>
            <w:textDirection w:val="lrTb"/>
            <w:noWrap w:val="false"/>
          </w:tcPr>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金额大写  </w:t>
            </w:r>
            <w:r/>
          </w:p>
        </w:tc>
      </w:tr>
    </w:tbl>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投标人公章：（电子签章）</w:t>
      </w:r>
      <w:r/>
    </w:p>
    <w:p>
      <w:pPr>
        <w:jc w:val="right"/>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jc w:val="right"/>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jc w:val="right"/>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日期： 年 月 日</w:t>
      </w:r>
      <w:r/>
    </w:p>
    <w:p>
      <w:pPr>
        <w:spacing w:before="240" w:after="240"/>
        <w:rPr>
          <w:rFonts w:hint="eastAsia" w:asciiTheme="minorEastAsia" w:hAnsiTheme="minorEastAsia" w:eastAsiaTheme="minorEastAsia" w:cstheme="minorEastAsia"/>
          <w:color w:val="auto"/>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4"/>
          <w:highlight w:val="none"/>
        </w:rPr>
        <w:t xml:space="preserve"> </w:t>
      </w:r>
      <w:r/>
    </w:p>
    <w:p>
      <w:pPr>
        <w:pStyle w:val="2149"/>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ind w:firstLine="480"/>
        <w:jc w:val="both"/>
        <w:spacing w:beforeAutospacing="0" w:afterAutospacing="0"/>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clear="all"/>
      </w:r>
      <w:r/>
    </w:p>
    <w:p>
      <w:pPr>
        <w:jc w:val="center"/>
        <w:spacing w:before="50" w:after="50"/>
        <w:widowControl/>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eastAsiaTheme="minorEastAsia" w:cstheme="minorEastAsia"/>
          <w:color w:val="auto"/>
          <w:sz w:val="32"/>
          <w:szCs w:val="32"/>
          <w:highlight w:val="none"/>
          <w:lang w:val="en-US" w:eastAsia="zh-CN"/>
        </w:rPr>
        <w:t xml:space="preserve">五</w:t>
      </w:r>
      <w:r>
        <w:rPr>
          <w:rFonts w:hint="eastAsia" w:asciiTheme="minorEastAsia" w:hAnsiTheme="minorEastAsia" w:eastAsiaTheme="minorEastAsia" w:cstheme="minorEastAsia"/>
          <w:color w:val="auto"/>
          <w:sz w:val="32"/>
          <w:szCs w:val="32"/>
          <w:highlight w:val="none"/>
        </w:rPr>
        <w:t xml:space="preserve">、拟投入本项目服务人员一览表</w:t>
      </w:r>
      <w:r/>
    </w:p>
    <w:tbl>
      <w:tblPr>
        <w:tblStyle w:val="2128"/>
        <w:tblW w:w="9060" w:type="dxa"/>
        <w:jc w:val="center"/>
        <w:tblLayout w:type="fixed"/>
        <w:tblCellMar>
          <w:left w:w="108" w:type="dxa"/>
          <w:top w:w="0" w:type="dxa"/>
          <w:right w:w="108" w:type="dxa"/>
          <w:bottom w:w="0" w:type="dxa"/>
        </w:tblCellMar>
        <w:tblLook w:val="04A0" w:firstRow="1" w:lastRow="0" w:firstColumn="1" w:lastColumn="0" w:noHBand="0" w:noVBand="1"/>
      </w:tblPr>
      <w:tblGrid>
        <w:gridCol w:w="751"/>
        <w:gridCol w:w="753"/>
        <w:gridCol w:w="728"/>
        <w:gridCol w:w="807"/>
        <w:gridCol w:w="1251"/>
        <w:gridCol w:w="1307"/>
        <w:gridCol w:w="893"/>
        <w:gridCol w:w="2570"/>
      </w:tblGrid>
      <w:tr>
        <w:trPr>
          <w:jc w:val="center"/>
          <w:trHeight w:val="929"/>
        </w:trPr>
        <w:tc>
          <w:tcPr>
            <w:gridSpan w:val="8"/>
            <w:tcBorders>
              <w:top w:val="single" w:color="auto" w:sz="4" w:space="0"/>
              <w:left w:val="single" w:color="auto" w:sz="4" w:space="0"/>
              <w:bottom w:val="single" w:color="auto" w:sz="4" w:space="0"/>
              <w:right w:val="single" w:color="auto" w:sz="4" w:space="0"/>
            </w:tcBorders>
            <w:tcW w:w="9060"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服务人员</w:t>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性别</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年龄</w:t>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职务职称</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业务专业</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学历</w:t>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29"/>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984"/>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5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供应商名称：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（盖章或电子签章）</w:t>
      </w:r>
      <w:r/>
    </w:p>
    <w:p>
      <w:pPr>
        <w:jc w:val="right"/>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法定代表人或授权委托人：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（签字或电子签章）</w:t>
      </w:r>
      <w:r/>
    </w:p>
    <w:p>
      <w:pPr>
        <w:jc w:val="center"/>
        <w:spacing w:before="50" w:after="50"/>
        <w:widowControl/>
        <w:rPr>
          <w:rFonts w:hint="eastAsia" w:asciiTheme="minorEastAsia" w:hAnsiTheme="minorEastAsia" w:eastAsiaTheme="minorEastAsia" w:cstheme="minorEastAsia"/>
          <w:color w:val="auto"/>
          <w:sz w:val="32"/>
          <w:szCs w:val="32"/>
          <w:highlight w:val="none"/>
          <w:lang w:eastAsia="zh-CN"/>
        </w:rPr>
        <w:sectPr>
          <w:headerReference w:type="default" r:id="rId11"/>
          <w:headerReference w:type="even" r:id="rId12"/>
          <w:headerReference w:type="firs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szCs w:val="21"/>
          <w:highlight w:val="none"/>
        </w:rPr>
        <w:t xml:space="preserve">                       年   月   日</w:t>
      </w:r>
      <w:r/>
    </w:p>
    <w:p>
      <w:pPr>
        <w:jc w:val="center"/>
        <w:spacing w:before="50" w:after="5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十</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w:t>
      </w:r>
      <w:r>
        <w:rPr>
          <w:rFonts w:hint="eastAsia" w:asciiTheme="minorEastAsia" w:hAnsiTheme="minorEastAsia" w:cstheme="minorEastAsia"/>
          <w:color w:val="auto"/>
          <w:sz w:val="32"/>
          <w:szCs w:val="32"/>
          <w:highlight w:val="none"/>
          <w:lang w:val="en-US" w:eastAsia="zh-CN"/>
        </w:rPr>
        <w:t xml:space="preserve">技术</w:t>
      </w:r>
      <w:r>
        <w:rPr>
          <w:rFonts w:hint="eastAsia" w:asciiTheme="minorEastAsia" w:hAnsiTheme="minorEastAsia" w:eastAsiaTheme="minorEastAsia" w:cstheme="minorEastAsia"/>
          <w:color w:val="auto"/>
          <w:sz w:val="32"/>
          <w:szCs w:val="32"/>
          <w:highlight w:val="none"/>
          <w:lang w:eastAsia="zh-CN"/>
        </w:rPr>
        <w:t xml:space="preserve">服务方案</w:t>
      </w:r>
      <w:r>
        <w:rPr>
          <w:rFonts w:hint="eastAsia" w:asciiTheme="minorEastAsia" w:hAnsiTheme="minorEastAsia" w:eastAsiaTheme="minorEastAsia" w:cstheme="minorEastAsia"/>
          <w:color w:val="auto"/>
          <w:sz w:val="32"/>
          <w:szCs w:val="32"/>
          <w:highlight w:val="none"/>
        </w:rPr>
        <w:t xml:space="preserve">等</w:t>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widowControl/>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ind w:firstLine="1600"/>
        <w:spacing w:line="499" w:lineRule="atLeast"/>
        <w:widowControl/>
        <w:rPr>
          <w:rFonts w:hint="eastAsia" w:asciiTheme="minorEastAsia" w:hAnsiTheme="minorEastAsia" w:eastAsiaTheme="minorEastAsia" w:cstheme="minorEastAsia"/>
          <w:i/>
          <w:color w:val="auto"/>
          <w:sz w:val="32"/>
          <w:szCs w:val="32"/>
          <w:highlight w:val="none"/>
          <w:u w:val="single"/>
          <w:lang w:val="en-US" w:eastAsia="zh-CN" w:bidi="ar-SA"/>
        </w:rPr>
      </w:pPr>
      <w:r>
        <w:rPr>
          <w:rFonts w:hint="eastAsia" w:asciiTheme="minorEastAsia" w:hAnsiTheme="minorEastAsia" w:eastAsiaTheme="minorEastAsia" w:cstheme="minorEastAsia"/>
          <w:i/>
          <w:color w:val="auto"/>
          <w:sz w:val="32"/>
          <w:szCs w:val="32"/>
          <w:highlight w:val="none"/>
          <w:u w:val="single"/>
          <w:lang w:val="en-US" w:eastAsia="zh-CN" w:bidi="ar-SA"/>
        </w:rPr>
        <w:t xml:space="preserve">十七、盐城市政府采购事前信用承诺书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xml:space="preserve"> </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（六）自觉接受政府、行业组织、社会公众、新闻舆论的监督；</w:t>
      </w:r>
      <w:r/>
    </w:p>
    <w:p>
      <w:pPr>
        <w:ind w:firstLine="4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（八）本人已认真阅读了上述承诺，并向本单位员工作了宣传教育。</w:t>
      </w:r>
      <w:r/>
    </w:p>
    <w:p>
      <w:pPr>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5280"/>
        <w:jc w:val="left"/>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法定代表人签名：</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单位名称（盖章）：</w:t>
      </w:r>
      <w:r/>
    </w:p>
    <w:p>
      <w:pPr>
        <w:jc w:val="center"/>
        <w:spacing w:line="499" w:lineRule="atLeas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日</w:t>
      </w:r>
      <w:r/>
    </w:p>
    <w:p>
      <w:pPr>
        <w:pStyle w:val="2149"/>
        <w:jc w:val="center"/>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2149"/>
        <w:jc w:val="center"/>
        <w:spacing w:beforeAutospacing="0" w:afterAutospacing="0"/>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质疑函范本</w:t>
      </w:r>
      <w:r/>
    </w:p>
    <w:p>
      <w:pPr>
        <w:pStyle w:val="2149"/>
        <w:jc w:val="both"/>
        <w:spacing w:before="290"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2149"/>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2149"/>
        <w:jc w:val="both"/>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2149"/>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2149"/>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2149"/>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2149"/>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14"/>
      <w:headerReference w:type="even" r:id="rId15"/>
      <w:head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华文楷体">
    <w:panose1 w:val="02010600040101010101"/>
  </w:font>
  <w:font w:name="仿宋">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39"/>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2" o:spid="_x0000_s4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39"/>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tabs>
        <w:tab w:val="left" w:pos="3249" w:leader="none"/>
      </w:tabs>
      <w:rPr>
        <w:rFonts w:hint="eastAsia" w:eastAsiaTheme="minorEastAsia"/>
        <w:lang w:eastAsia="zh-CN"/>
      </w:rPr>
    </w:pPr>
    <w:r>
      <w:rPr>
        <w:rFonts w:hint="eastAsia"/>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4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0" o:spid="_x0000_s0"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4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1" o:spid="_x0000_s1"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4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2" o:spid="_x0000_s2"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643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745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848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950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7052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7155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矩形 4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9" o:spid="_x0000_s9"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矩形 46"/>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10" o:spid="_x0000_s10"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47"/>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w="12700">
                        <a:noFill/>
                      </a:ln>
                    </wps:spPr>
                    <wps:txbx>
                      <w:txbxContent>
                        <w:p>
                          <w:pPr>
                            <w:jc w:val="center"/>
                            <w:rPr>
                              <w:rFonts w:ascii="宋体" w:hAnsi="宋体"/>
                              <w:color w:val="d9d9d9"/>
                              <w:sz w:val="72"/>
                              <w:szCs w:val="72"/>
                            </w:rPr>
                          </w:pPr>
                          <w:r>
                            <w:rPr>
                              <w:rFonts w:ascii="宋体" w:hAnsi="宋体"/>
                              <w:color w:val="d9d9d9"/>
                              <w:sz w:val="72"/>
                              <w:szCs w:val="72"/>
                            </w:rPr>
                          </w:r>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shape 11" o:spid="_x0000_s11"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text-anchor:top;visibility:visible;" filled="f" stroked="f" strokeweight="1.00pt">
              <v:textbox inset="0,0,0,0">
                <w:txbxContent>
                  <w:p>
                    <w:pPr>
                      <w:jc w:val="center"/>
                      <w:rPr>
                        <w:rFonts w:ascii="宋体" w:hAnsi="宋体"/>
                        <w:color w:val="d9d9d9"/>
                        <w:sz w:val="72"/>
                        <w:szCs w:val="72"/>
                      </w:rPr>
                    </w:pPr>
                    <w:r>
                      <w:rPr>
                        <w:rFonts w:ascii="宋体" w:hAnsi="宋体"/>
                        <w:color w:val="d9d9d9"/>
                        <w:sz w:val="72"/>
                        <w:szCs w:val="72"/>
                      </w:rPr>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623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633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643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8720;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9744;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076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179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2816;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3840;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7257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7360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7462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7564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7667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7769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100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203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305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408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510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612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848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858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869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6879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6889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6899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水域感知前端二期维保项目</w:t>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11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2118">
    <w:name w:val="Heading 1"/>
    <w:basedOn w:val="2117"/>
    <w:next w:val="2117"/>
    <w:link w:val="2193"/>
    <w:uiPriority w:val="0"/>
    <w:qFormat/>
    <w:pPr>
      <w:keepLines/>
      <w:keepNext/>
      <w:spacing w:before="340" w:after="330" w:line="578" w:lineRule="auto"/>
      <w:outlineLvl w:val="0"/>
    </w:pPr>
    <w:rPr>
      <w:b/>
      <w:bCs/>
      <w:sz w:val="44"/>
      <w:szCs w:val="44"/>
    </w:rPr>
  </w:style>
  <w:style w:type="paragraph" w:styleId="2119">
    <w:name w:val="Heading 2"/>
    <w:basedOn w:val="2117"/>
    <w:next w:val="211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2120">
    <w:name w:val="Heading 3"/>
    <w:basedOn w:val="2117"/>
    <w:next w:val="2117"/>
    <w:link w:val="2197"/>
    <w:uiPriority w:val="9"/>
    <w:unhideWhenUsed/>
    <w:qFormat/>
    <w:pPr>
      <w:keepLines/>
      <w:keepNext/>
      <w:spacing w:before="320" w:after="200"/>
      <w:outlineLvl w:val="2"/>
    </w:pPr>
    <w:rPr>
      <w:rFonts w:ascii="Arial" w:hAnsi="Arial" w:eastAsia="Arial" w:cs="Arial"/>
      <w:sz w:val="30"/>
      <w:szCs w:val="30"/>
    </w:rPr>
  </w:style>
  <w:style w:type="paragraph" w:styleId="2121">
    <w:name w:val="Heading 4"/>
    <w:basedOn w:val="2117"/>
    <w:next w:val="2117"/>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2122">
    <w:name w:val="Heading 5"/>
    <w:basedOn w:val="2117"/>
    <w:next w:val="2117"/>
    <w:link w:val="2355"/>
    <w:uiPriority w:val="9"/>
    <w:unhideWhenUsed/>
    <w:qFormat/>
    <w:pPr>
      <w:keepLines/>
      <w:keepNext/>
      <w:spacing w:before="320" w:after="200"/>
      <w:outlineLvl w:val="4"/>
    </w:pPr>
    <w:rPr>
      <w:rFonts w:ascii="Arial" w:hAnsi="Arial" w:eastAsia="Arial" w:cs="Arial"/>
      <w:b/>
      <w:bCs/>
      <w:sz w:val="24"/>
    </w:rPr>
  </w:style>
  <w:style w:type="paragraph" w:styleId="2123">
    <w:name w:val="Heading 6"/>
    <w:basedOn w:val="2117"/>
    <w:next w:val="2117"/>
    <w:link w:val="2292"/>
    <w:uiPriority w:val="9"/>
    <w:unhideWhenUsed/>
    <w:qFormat/>
    <w:pPr>
      <w:keepLines/>
      <w:keepNext/>
      <w:spacing w:before="320" w:after="200"/>
      <w:outlineLvl w:val="5"/>
    </w:pPr>
    <w:rPr>
      <w:rFonts w:ascii="Arial" w:hAnsi="Arial" w:eastAsia="Arial" w:cs="Arial"/>
      <w:b/>
      <w:bCs/>
      <w:sz w:val="22"/>
      <w:szCs w:val="22"/>
    </w:rPr>
  </w:style>
  <w:style w:type="paragraph" w:styleId="2124">
    <w:name w:val="Heading 7"/>
    <w:basedOn w:val="2117"/>
    <w:next w:val="2117"/>
    <w:link w:val="2294"/>
    <w:uiPriority w:val="9"/>
    <w:unhideWhenUsed/>
    <w:qFormat/>
    <w:pPr>
      <w:keepLines/>
      <w:keepNext/>
      <w:spacing w:before="320" w:after="200"/>
      <w:outlineLvl w:val="6"/>
    </w:pPr>
    <w:rPr>
      <w:rFonts w:ascii="Arial" w:hAnsi="Arial" w:eastAsia="Arial" w:cs="Arial"/>
      <w:b/>
      <w:bCs/>
      <w:i/>
      <w:iCs/>
      <w:sz w:val="22"/>
      <w:szCs w:val="22"/>
    </w:rPr>
  </w:style>
  <w:style w:type="paragraph" w:styleId="2125">
    <w:name w:val="Heading 8"/>
    <w:basedOn w:val="2117"/>
    <w:next w:val="2117"/>
    <w:link w:val="2242"/>
    <w:uiPriority w:val="9"/>
    <w:unhideWhenUsed/>
    <w:qFormat/>
    <w:pPr>
      <w:keepLines/>
      <w:keepNext/>
      <w:spacing w:before="320" w:after="200"/>
      <w:outlineLvl w:val="7"/>
    </w:pPr>
    <w:rPr>
      <w:rFonts w:ascii="Arial" w:hAnsi="Arial" w:eastAsia="Arial" w:cs="Arial"/>
      <w:i/>
      <w:iCs/>
      <w:sz w:val="22"/>
      <w:szCs w:val="22"/>
    </w:rPr>
  </w:style>
  <w:style w:type="paragraph" w:styleId="2126">
    <w:name w:val="Heading 9"/>
    <w:basedOn w:val="2117"/>
    <w:next w:val="2117"/>
    <w:link w:val="2175"/>
    <w:uiPriority w:val="9"/>
    <w:unhideWhenUsed/>
    <w:qFormat/>
    <w:pPr>
      <w:keepLines/>
      <w:keepNext/>
      <w:spacing w:before="320" w:after="200"/>
      <w:outlineLvl w:val="8"/>
    </w:pPr>
    <w:rPr>
      <w:rFonts w:ascii="Arial" w:hAnsi="Arial" w:eastAsia="Arial" w:cs="Arial"/>
      <w:i/>
      <w:iCs/>
      <w:szCs w:val="21"/>
    </w:rPr>
  </w:style>
  <w:style w:type="character" w:styleId="2127" w:default="1">
    <w:name w:val="Default Paragraph Font"/>
    <w:uiPriority w:val="1"/>
    <w:semiHidden/>
    <w:unhideWhenUsed/>
    <w:qFormat/>
  </w:style>
  <w:style w:type="table" w:styleId="2128" w:default="1">
    <w:name w:val="Normal Table"/>
    <w:uiPriority w:val="99"/>
    <w:semiHidden/>
    <w:unhideWhenUsed/>
    <w:qFormat/>
    <w:tblPr>
      <w:tblCellMar>
        <w:left w:w="108" w:type="dxa"/>
        <w:top w:w="0" w:type="dxa"/>
        <w:right w:w="108" w:type="dxa"/>
        <w:bottom w:w="0" w:type="dxa"/>
      </w:tblCellMar>
    </w:tblPr>
  </w:style>
  <w:style w:type="paragraph" w:styleId="2129">
    <w:name w:val="toc 7"/>
    <w:basedOn w:val="2117"/>
    <w:next w:val="2117"/>
    <w:uiPriority w:val="39"/>
    <w:unhideWhenUsed/>
    <w:qFormat/>
    <w:pPr>
      <w:ind w:left="1701"/>
      <w:spacing w:after="57"/>
    </w:pPr>
  </w:style>
  <w:style w:type="paragraph" w:styleId="2130">
    <w:name w:val="Caption"/>
    <w:basedOn w:val="2117"/>
    <w:next w:val="21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2131">
    <w:name w:val="annotation text"/>
    <w:basedOn w:val="2117"/>
    <w:uiPriority w:val="0"/>
    <w:qFormat/>
    <w:pPr>
      <w:jc w:val="left"/>
    </w:pPr>
  </w:style>
  <w:style w:type="paragraph" w:styleId="2132">
    <w:name w:val="Body Text"/>
    <w:basedOn w:val="2117"/>
    <w:uiPriority w:val="0"/>
    <w:unhideWhenUsed/>
    <w:qFormat/>
    <w:pPr>
      <w:spacing w:after="120"/>
    </w:pPr>
    <w:rPr>
      <w:rFonts w:ascii="Calibri" w:hAnsi="Calibri"/>
      <w:szCs w:val="22"/>
    </w:rPr>
  </w:style>
  <w:style w:type="paragraph" w:styleId="2133">
    <w:name w:val="Body Text Indent"/>
    <w:basedOn w:val="2117"/>
    <w:link w:val="2229"/>
    <w:uiPriority w:val="0"/>
    <w:qFormat/>
    <w:pPr>
      <w:ind w:left="420"/>
      <w:spacing w:after="120"/>
    </w:pPr>
  </w:style>
  <w:style w:type="paragraph" w:styleId="2134">
    <w:name w:val="toc 5"/>
    <w:basedOn w:val="2117"/>
    <w:next w:val="2117"/>
    <w:uiPriority w:val="39"/>
    <w:unhideWhenUsed/>
    <w:qFormat/>
    <w:pPr>
      <w:ind w:left="1134"/>
      <w:spacing w:after="57"/>
    </w:pPr>
  </w:style>
  <w:style w:type="paragraph" w:styleId="2135">
    <w:name w:val="toc 3"/>
    <w:basedOn w:val="2117"/>
    <w:next w:val="2117"/>
    <w:uiPriority w:val="39"/>
    <w:unhideWhenUsed/>
    <w:qFormat/>
    <w:pPr>
      <w:ind w:left="567"/>
      <w:spacing w:after="57"/>
    </w:pPr>
  </w:style>
  <w:style w:type="paragraph" w:styleId="2136">
    <w:name w:val="Plain Text"/>
    <w:basedOn w:val="2117"/>
    <w:uiPriority w:val="0"/>
    <w:unhideWhenUsed/>
    <w:qFormat/>
    <w:rPr>
      <w:rFonts w:ascii="宋体" w:hAnsi="Courier New" w:cs="Courier New"/>
      <w:szCs w:val="21"/>
    </w:rPr>
  </w:style>
  <w:style w:type="paragraph" w:styleId="2137">
    <w:name w:val="toc 8"/>
    <w:basedOn w:val="2117"/>
    <w:next w:val="2117"/>
    <w:uiPriority w:val="39"/>
    <w:unhideWhenUsed/>
    <w:qFormat/>
    <w:pPr>
      <w:ind w:left="1984"/>
      <w:spacing w:after="57"/>
    </w:pPr>
  </w:style>
  <w:style w:type="paragraph" w:styleId="2138">
    <w:name w:val="endnote text"/>
    <w:basedOn w:val="2117"/>
    <w:link w:val="2180"/>
    <w:uiPriority w:val="99"/>
    <w:semiHidden/>
    <w:unhideWhenUsed/>
    <w:qFormat/>
    <w:rPr>
      <w:sz w:val="20"/>
    </w:rPr>
  </w:style>
  <w:style w:type="paragraph" w:styleId="2139">
    <w:name w:val="Footer"/>
    <w:basedOn w:val="2117"/>
    <w:link w:val="2310"/>
    <w:uiPriority w:val="0"/>
    <w:qFormat/>
    <w:pPr>
      <w:jc w:val="left"/>
      <w:tabs>
        <w:tab w:val="center" w:pos="4153" w:leader="none"/>
        <w:tab w:val="right" w:pos="8306" w:leader="none"/>
      </w:tabs>
    </w:pPr>
    <w:rPr>
      <w:sz w:val="18"/>
      <w:szCs w:val="18"/>
    </w:rPr>
  </w:style>
  <w:style w:type="paragraph" w:styleId="2140">
    <w:name w:val="Header"/>
    <w:basedOn w:val="2117"/>
    <w:link w:val="2158"/>
    <w:uiPriority w:val="0"/>
    <w:qFormat/>
    <w:pPr>
      <w:jc w:val="center"/>
      <w:tabs>
        <w:tab w:val="center" w:pos="4153" w:leader="none"/>
        <w:tab w:val="right" w:pos="8306" w:leader="none"/>
      </w:tabs>
      <w:pBdr>
        <w:bottom w:val="single" w:color="auto" w:sz="6" w:space="1"/>
      </w:pBdr>
    </w:pPr>
    <w:rPr>
      <w:sz w:val="18"/>
      <w:szCs w:val="18"/>
    </w:rPr>
  </w:style>
  <w:style w:type="paragraph" w:styleId="2141">
    <w:name w:val="toc 1"/>
    <w:basedOn w:val="2117"/>
    <w:next w:val="2117"/>
    <w:uiPriority w:val="39"/>
    <w:unhideWhenUsed/>
    <w:qFormat/>
    <w:pPr>
      <w:spacing w:after="57"/>
    </w:pPr>
  </w:style>
  <w:style w:type="paragraph" w:styleId="2142">
    <w:name w:val="toc 4"/>
    <w:basedOn w:val="2117"/>
    <w:next w:val="2117"/>
    <w:uiPriority w:val="39"/>
    <w:unhideWhenUsed/>
    <w:qFormat/>
    <w:pPr>
      <w:ind w:left="850"/>
      <w:spacing w:after="57"/>
    </w:pPr>
  </w:style>
  <w:style w:type="paragraph" w:styleId="2143">
    <w:name w:val="Subtitle"/>
    <w:basedOn w:val="2117"/>
    <w:link w:val="2204"/>
    <w:uiPriority w:val="11"/>
    <w:qFormat/>
    <w:pPr>
      <w:spacing w:before="200" w:after="200"/>
    </w:pPr>
    <w:rPr>
      <w:sz w:val="24"/>
    </w:rPr>
  </w:style>
  <w:style w:type="paragraph" w:styleId="2144">
    <w:name w:val="footnote text"/>
    <w:basedOn w:val="2117"/>
    <w:link w:val="2256"/>
    <w:uiPriority w:val="99"/>
    <w:semiHidden/>
    <w:unhideWhenUsed/>
    <w:qFormat/>
    <w:pPr>
      <w:spacing w:after="40"/>
    </w:pPr>
    <w:rPr>
      <w:sz w:val="18"/>
    </w:rPr>
  </w:style>
  <w:style w:type="paragraph" w:styleId="2145">
    <w:name w:val="toc 6"/>
    <w:basedOn w:val="2117"/>
    <w:next w:val="2117"/>
    <w:uiPriority w:val="39"/>
    <w:unhideWhenUsed/>
    <w:qFormat/>
    <w:pPr>
      <w:ind w:left="1417"/>
      <w:spacing w:after="57"/>
    </w:pPr>
  </w:style>
  <w:style w:type="paragraph" w:styleId="2146">
    <w:name w:val="table of figures"/>
    <w:basedOn w:val="2117"/>
    <w:next w:val="2117"/>
    <w:uiPriority w:val="99"/>
    <w:unhideWhenUsed/>
    <w:qFormat/>
  </w:style>
  <w:style w:type="paragraph" w:styleId="2147">
    <w:name w:val="toc 2"/>
    <w:basedOn w:val="2117"/>
    <w:next w:val="2117"/>
    <w:uiPriority w:val="39"/>
    <w:unhideWhenUsed/>
    <w:qFormat/>
    <w:pPr>
      <w:ind w:left="283"/>
      <w:spacing w:after="57"/>
    </w:pPr>
  </w:style>
  <w:style w:type="paragraph" w:styleId="2148">
    <w:name w:val="toc 9"/>
    <w:basedOn w:val="2117"/>
    <w:next w:val="2117"/>
    <w:uiPriority w:val="39"/>
    <w:unhideWhenUsed/>
    <w:qFormat/>
    <w:pPr>
      <w:ind w:left="2268"/>
      <w:spacing w:after="57"/>
    </w:pPr>
  </w:style>
  <w:style w:type="paragraph" w:styleId="2149">
    <w:name w:val="Normal (Web)"/>
    <w:basedOn w:val="2117"/>
    <w:link w:val="2226"/>
    <w:uiPriority w:val="0"/>
    <w:qFormat/>
    <w:pPr>
      <w:jc w:val="left"/>
      <w:spacing w:beforeAutospacing="1" w:afterAutospacing="1"/>
    </w:pPr>
    <w:rPr>
      <w:rFonts w:cs="Times New Roman"/>
      <w:sz w:val="24"/>
    </w:rPr>
  </w:style>
  <w:style w:type="paragraph" w:styleId="2150">
    <w:name w:val="Title"/>
    <w:basedOn w:val="2117"/>
    <w:link w:val="2342"/>
    <w:uiPriority w:val="10"/>
    <w:qFormat/>
    <w:pPr>
      <w:contextualSpacing/>
      <w:spacing w:before="300" w:after="200"/>
    </w:pPr>
    <w:rPr>
      <w:sz w:val="48"/>
      <w:szCs w:val="48"/>
    </w:rPr>
  </w:style>
  <w:style w:type="paragraph" w:styleId="2151">
    <w:name w:val="Body Text First Indent 2"/>
    <w:basedOn w:val="2133"/>
    <w:link w:val="2257"/>
    <w:uiPriority w:val="99"/>
    <w:qFormat/>
    <w:pPr>
      <w:ind w:firstLine="420"/>
    </w:pPr>
  </w:style>
  <w:style w:type="table" w:styleId="2152">
    <w:name w:val="Table Grid"/>
    <w:basedOn w:val="21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53">
    <w:name w:val="Strong"/>
    <w:basedOn w:val="2127"/>
    <w:uiPriority w:val="22"/>
    <w:qFormat/>
    <w:rPr>
      <w:b/>
      <w:bCs/>
    </w:rPr>
  </w:style>
  <w:style w:type="character" w:styleId="2154">
    <w:name w:val="endnote reference"/>
    <w:basedOn w:val="2127"/>
    <w:uiPriority w:val="99"/>
    <w:semiHidden/>
    <w:unhideWhenUsed/>
    <w:qFormat/>
    <w:rPr>
      <w:vertAlign w:val="superscript"/>
    </w:rPr>
  </w:style>
  <w:style w:type="character" w:styleId="2155">
    <w:name w:val="Emphasis"/>
    <w:uiPriority w:val="0"/>
    <w:qFormat/>
    <w:rPr>
      <w:i/>
    </w:rPr>
  </w:style>
  <w:style w:type="character" w:styleId="2156">
    <w:name w:val="Hyperlink"/>
    <w:uiPriority w:val="99"/>
    <w:unhideWhenUsed/>
    <w:qFormat/>
    <w:rPr>
      <w:color w:val="0563c1" w:themeColor="hyperlink"/>
      <w:u w:val="single"/>
      <w14:textFill>
        <w14:solidFill>
          <w14:schemeClr w14:val="hlink"/>
        </w14:solidFill>
      </w14:textFill>
    </w:rPr>
  </w:style>
  <w:style w:type="character" w:styleId="2157">
    <w:name w:val="footnote reference"/>
    <w:basedOn w:val="2127"/>
    <w:uiPriority w:val="99"/>
    <w:unhideWhenUsed/>
    <w:qFormat/>
    <w:rPr>
      <w:vertAlign w:val="superscript"/>
    </w:rPr>
  </w:style>
  <w:style w:type="character" w:styleId="2158" w:customStyle="1">
    <w:name w:val="页眉 Char"/>
    <w:basedOn w:val="2127"/>
    <w:link w:val="2140"/>
    <w:uiPriority w:val="0"/>
    <w:qFormat/>
    <w:rPr>
      <w:rFonts w:asciiTheme="minorHAnsi" w:hAnsiTheme="minorHAnsi" w:eastAsiaTheme="minorEastAsia" w:cstheme="minorBidi"/>
      <w:sz w:val="18"/>
      <w:szCs w:val="18"/>
    </w:rPr>
  </w:style>
  <w:style w:type="paragraph" w:styleId="2159">
    <w:name w:val="Intense Quote"/>
    <w:basedOn w:val="2117"/>
    <w:link w:val="22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2160" w:customStyle="1">
    <w:name w:val="List Table 4"/>
    <w:basedOn w:val="21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161" w:customStyle="1">
    <w:name w:val="清单表 5 深色1"/>
    <w:basedOn w:val="21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2162" w:customStyle="1">
    <w:name w:val="正文缩进1"/>
    <w:basedOn w:val="2117"/>
    <w:uiPriority w:val="0"/>
    <w:qFormat/>
    <w:pPr>
      <w:ind w:firstLine="420"/>
    </w:pPr>
  </w:style>
  <w:style w:type="character" w:styleId="2163" w:customStyle="1">
    <w:name w:val="Heading 1 Char"/>
    <w:basedOn w:val="2127"/>
    <w:uiPriority w:val="9"/>
    <w:qFormat/>
    <w:rPr>
      <w:rFonts w:ascii="Arial" w:hAnsi="Arial" w:eastAsia="Arial" w:cs="Arial"/>
      <w:sz w:val="40"/>
      <w:szCs w:val="40"/>
    </w:rPr>
  </w:style>
  <w:style w:type="table" w:styleId="2164" w:customStyle="1">
    <w:name w:val="Grid Table 5 Dark - Accent 3"/>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2165" w:customStyle="1">
    <w:name w:val="Grid Table 5 Dark - Accent 5"/>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character" w:styleId="2166" w:customStyle="1">
    <w:name w:val="Heading 8 Char"/>
    <w:basedOn w:val="2127"/>
    <w:uiPriority w:val="9"/>
    <w:qFormat/>
    <w:rPr>
      <w:rFonts w:ascii="Arial" w:hAnsi="Arial" w:eastAsia="Arial" w:cs="Arial"/>
      <w:i/>
      <w:iCs/>
      <w:sz w:val="22"/>
      <w:szCs w:val="22"/>
    </w:rPr>
  </w:style>
  <w:style w:type="table" w:styleId="2167" w:customStyle="1">
    <w:name w:val="List Table 4 - Accent 2"/>
    <w:basedOn w:val="21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2168" w:customStyle="1">
    <w:name w:val="List Table 2 - Accent 6"/>
    <w:basedOn w:val="21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paragraph" w:styleId="2169" w:customStyle="1">
    <w:name w:val="正文1"/>
    <w:basedOn w:val="2117"/>
    <w:next w:val="2117"/>
    <w:uiPriority w:val="0"/>
    <w:unhideWhenUsed/>
    <w:qFormat/>
    <w:pPr>
      <w:ind w:firstLine="200"/>
      <w:spacing w:before="0" w:line="360" w:lineRule="auto"/>
    </w:pPr>
    <w:rPr>
      <w:rFonts w:hint="eastAsia" w:ascii="Calibri" w:hAnsi="Calibri" w:eastAsia="Calibri"/>
      <w:sz w:val="32"/>
      <w:szCs w:val="32"/>
    </w:rPr>
  </w:style>
  <w:style w:type="table" w:styleId="2170" w:customStyle="1">
    <w:name w:val="Grid Table 6 Colorful - Accent 3"/>
    <w:basedOn w:val="21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2171" w:customStyle="1">
    <w:name w:val="List Table 4 - Accent 6"/>
    <w:basedOn w:val="21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2172" w:customStyle="1">
    <w:name w:val="清单表 6 彩色1"/>
    <w:basedOn w:val="212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173" w:customStyle="1">
    <w:name w:val="Grid Table 4 - Accent 1"/>
    <w:basedOn w:val="21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2174" w:customStyle="1">
    <w:name w:val="Grid Table 2 - Accent 2"/>
    <w:basedOn w:val="21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character" w:styleId="2175" w:customStyle="1">
    <w:name w:val="标题 9 Char"/>
    <w:basedOn w:val="2127"/>
    <w:link w:val="2126"/>
    <w:uiPriority w:val="9"/>
    <w:qFormat/>
    <w:rPr>
      <w:rFonts w:ascii="Arial" w:hAnsi="Arial" w:eastAsia="Arial" w:cs="Arial"/>
      <w:i/>
      <w:iCs/>
      <w:sz w:val="21"/>
      <w:szCs w:val="21"/>
    </w:rPr>
  </w:style>
  <w:style w:type="table" w:styleId="2176" w:customStyle="1">
    <w:name w:val="List Table 6 Colorful - Accent 3"/>
    <w:basedOn w:val="212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2177" w:customStyle="1">
    <w:name w:val="List Table 4 - Accent 1"/>
    <w:basedOn w:val="21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2178" w:customStyle="1">
    <w:name w:val="Bordered &amp; Lined - Accent 6"/>
    <w:basedOn w:val="21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2179" w:customStyle="1">
    <w:name w:val="Grid Table 6 Colorful - Accent 6"/>
    <w:basedOn w:val="21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character" w:styleId="2180" w:customStyle="1">
    <w:name w:val="尾注文本 Char"/>
    <w:link w:val="2138"/>
    <w:uiPriority w:val="99"/>
    <w:qFormat/>
    <w:rPr>
      <w:sz w:val="20"/>
    </w:rPr>
  </w:style>
  <w:style w:type="paragraph" w:styleId="2181" w:customStyle="1">
    <w:name w:val="纯文本1"/>
    <w:basedOn w:val="2117"/>
    <w:uiPriority w:val="0"/>
    <w:unhideWhenUsed/>
    <w:qFormat/>
    <w:rPr>
      <w:rFonts w:hint="eastAsia" w:ascii="宋体" w:hAnsi="Courier New" w:cs="Times New Roman"/>
      <w:szCs w:val="21"/>
    </w:rPr>
  </w:style>
  <w:style w:type="table" w:styleId="2182" w:customStyle="1">
    <w:name w:val="List Table 6 Colorful - Accent 6"/>
    <w:basedOn w:val="212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2183" w:customStyle="1">
    <w:name w:val="Bordered &amp; Lined - Accent 1"/>
    <w:basedOn w:val="212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paragraph" w:styleId="2184" w:customStyle="1">
    <w:name w:val="普通正文"/>
    <w:basedOn w:val="2117"/>
    <w:uiPriority w:val="0"/>
    <w:qFormat/>
    <w:pPr>
      <w:ind w:firstLine="480"/>
      <w:jc w:val="left"/>
      <w:spacing w:before="120" w:after="120" w:line="360" w:lineRule="auto"/>
    </w:pPr>
    <w:rPr>
      <w:rFonts w:ascii="Arial" w:hAnsi="Arial" w:eastAsia="等线" w:cs="Arial"/>
      <w:sz w:val="24"/>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2186" w:customStyle="1">
    <w:name w:val="Bordered - Accent 6"/>
    <w:basedOn w:val="21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2187" w:customStyle="1">
    <w:name w:val="Grid Table 1 Light - Accent 4"/>
    <w:basedOn w:val="21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2188" w:customStyle="1">
    <w:name w:val="Grid Table 1 Light"/>
    <w:basedOn w:val="21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2189">
    <w:name w:val="Quote"/>
    <w:basedOn w:val="2117"/>
    <w:link w:val="2301"/>
    <w:uiPriority w:val="29"/>
    <w:qFormat/>
    <w:pPr>
      <w:ind w:left="720" w:right="720"/>
    </w:pPr>
    <w:rPr>
      <w:i/>
    </w:rPr>
  </w:style>
  <w:style w:type="paragraph" w:styleId="2190" w:customStyle="1">
    <w:name w:val="正文首行缩进 21"/>
    <w:basedOn w:val="2191"/>
    <w:uiPriority w:val="0"/>
    <w:qFormat/>
    <w:pPr>
      <w:ind w:firstLine="420"/>
    </w:pPr>
  </w:style>
  <w:style w:type="paragraph" w:styleId="2191" w:customStyle="1">
    <w:name w:val="正文文本缩进1"/>
    <w:basedOn w:val="2117"/>
    <w:uiPriority w:val="0"/>
    <w:qFormat/>
    <w:pPr>
      <w:ind w:left="420"/>
      <w:spacing w:after="120"/>
    </w:pPr>
  </w:style>
  <w:style w:type="table" w:styleId="2192" w:customStyle="1">
    <w:name w:val="List Table 2 - Accent 1"/>
    <w:basedOn w:val="21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character" w:styleId="2193" w:customStyle="1">
    <w:name w:val="标题 1 Char"/>
    <w:basedOn w:val="2127"/>
    <w:link w:val="2118"/>
    <w:uiPriority w:val="0"/>
    <w:qFormat/>
    <w:rPr>
      <w:rFonts w:asciiTheme="minorHAnsi" w:hAnsiTheme="minorHAnsi" w:eastAsiaTheme="minorEastAsia" w:cstheme="minorBidi"/>
      <w:b/>
      <w:bCs/>
      <w:sz w:val="44"/>
      <w:szCs w:val="44"/>
    </w:rPr>
  </w:style>
  <w:style w:type="table" w:styleId="2194" w:customStyle="1">
    <w:name w:val="Lined - Accent"/>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95" w:customStyle="1">
    <w:name w:val="List Table 1 Light - Accent 1"/>
    <w:basedOn w:val="212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2196" w:customStyle="1">
    <w:name w:val="Table Grid Light"/>
    <w:basedOn w:val="21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character" w:styleId="2197" w:customStyle="1">
    <w:name w:val="标题 3 Char"/>
    <w:basedOn w:val="2127"/>
    <w:link w:val="2120"/>
    <w:uiPriority w:val="9"/>
    <w:qFormat/>
    <w:rPr>
      <w:rFonts w:ascii="Arial" w:hAnsi="Arial" w:eastAsia="Arial" w:cs="Arial"/>
      <w:sz w:val="30"/>
      <w:szCs w:val="30"/>
    </w:rPr>
  </w:style>
  <w:style w:type="table" w:styleId="2198" w:customStyle="1">
    <w:name w:val="清单表 1 浅色1"/>
    <w:basedOn w:val="212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199" w:customStyle="1">
    <w:name w:val="Grid Table 1 Light - Accent 2"/>
    <w:basedOn w:val="21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paragraph" w:styleId="2200">
    <w:name w:val="No Spacing"/>
    <w:uiPriority w:val="1"/>
    <w:qFormat/>
    <w:rPr>
      <w:rFonts w:hint="default" w:ascii="Times New Roman" w:hAnsi="Times New Roman" w:eastAsia="宋体" w:cs="Times New Roman"/>
      <w:lang w:val="en-US" w:eastAsia="zh-CN" w:bidi="ar-SA"/>
    </w:rPr>
  </w:style>
  <w:style w:type="character" w:styleId="2201" w:customStyle="1">
    <w:name w:val="Heading 5 Char"/>
    <w:basedOn w:val="2127"/>
    <w:uiPriority w:val="9"/>
    <w:qFormat/>
    <w:rPr>
      <w:rFonts w:ascii="Arial" w:hAnsi="Arial" w:eastAsia="Arial" w:cs="Arial"/>
      <w:b/>
      <w:bCs/>
      <w:sz w:val="24"/>
      <w:szCs w:val="24"/>
    </w:rPr>
  </w:style>
  <w:style w:type="table" w:styleId="2202" w:customStyle="1">
    <w:name w:val="Grid Table 4 - Accent 6"/>
    <w:basedOn w:val="21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2203" w:customStyle="1">
    <w:name w:val="无格式表格 51"/>
    <w:basedOn w:val="21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2204" w:customStyle="1">
    <w:name w:val="副标题 Char"/>
    <w:basedOn w:val="2127"/>
    <w:link w:val="2143"/>
    <w:uiPriority w:val="11"/>
    <w:qFormat/>
    <w:rPr>
      <w:sz w:val="24"/>
      <w:szCs w:val="24"/>
    </w:rPr>
  </w:style>
  <w:style w:type="table" w:styleId="2205" w:customStyle="1">
    <w:name w:val="List Table 4 - Accent 4"/>
    <w:basedOn w:val="21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character" w:styleId="2206" w:customStyle="1">
    <w:name w:val="Heading 9 Char"/>
    <w:basedOn w:val="2127"/>
    <w:uiPriority w:val="9"/>
    <w:qFormat/>
    <w:rPr>
      <w:rFonts w:ascii="Arial" w:hAnsi="Arial" w:eastAsia="Arial" w:cs="Arial"/>
      <w:i/>
      <w:iCs/>
      <w:sz w:val="21"/>
      <w:szCs w:val="21"/>
    </w:rPr>
  </w:style>
  <w:style w:type="table" w:styleId="2207" w:customStyle="1">
    <w:name w:val="Grid Table 3 - Accent 4"/>
    <w:basedOn w:val="21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2208" w:customStyle="1">
    <w:name w:val="custom-tag-placeholder-class"/>
    <w:basedOn w:val="2127"/>
    <w:uiPriority w:val="0"/>
    <w:qFormat/>
  </w:style>
  <w:style w:type="table" w:styleId="2209" w:customStyle="1">
    <w:name w:val="List Table 6 Colorful - Accent 4"/>
    <w:basedOn w:val="212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2210" w:customStyle="1">
    <w:name w:val="List Table 3"/>
    <w:basedOn w:val="21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211" w:customStyle="1">
    <w:name w:val="Grid Table 5 Dark - Accent 2"/>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2212" w:customStyle="1">
    <w:name w:val="List Table 3 - Accent 3"/>
    <w:basedOn w:val="21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2213" w:customStyle="1">
    <w:name w:val="网格表 41"/>
    <w:basedOn w:val="21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2214" w:customStyle="1">
    <w:name w:val="Table Text"/>
    <w:basedOn w:val="2117"/>
    <w:uiPriority w:val="0"/>
    <w:qFormat/>
    <w:pPr>
      <w:jc w:val="left"/>
      <w:widowControl/>
    </w:pPr>
    <w:rPr>
      <w:rFonts w:ascii="仿宋" w:hAnsi="仿宋" w:eastAsia="仿宋" w:cs="仿宋"/>
      <w:color w:val="000000"/>
      <w:sz w:val="24"/>
      <w:lang w:eastAsia="en-US"/>
    </w:rPr>
  </w:style>
  <w:style w:type="table" w:styleId="2215" w:customStyle="1">
    <w:name w:val="Bordered &amp; Lined - Accent 3"/>
    <w:basedOn w:val="21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2216" w:customStyle="1">
    <w:name w:val="List Table 7 Colorful - Accent 3"/>
    <w:basedOn w:val="212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paragraph" w:styleId="2217" w:customStyle="1">
    <w:name w:val="普通(网站)1"/>
    <w:basedOn w:val="2117"/>
    <w:uiPriority w:val="0"/>
    <w:qFormat/>
    <w:pPr>
      <w:jc w:val="left"/>
      <w:spacing w:beforeAutospacing="1" w:afterAutospacing="1"/>
    </w:pPr>
    <w:rPr>
      <w:rFonts w:ascii="Times New Roman" w:hAnsi="Times New Roman" w:eastAsia="宋体" w:cs="Times New Roman"/>
      <w:sz w:val="24"/>
    </w:rPr>
  </w:style>
  <w:style w:type="table" w:styleId="2218" w:customStyle="1">
    <w:name w:val="List Table 2 - Accent 4"/>
    <w:basedOn w:val="21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2219" w:customStyle="1">
    <w:name w:val="清单表 7 彩色1"/>
    <w:basedOn w:val="212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220" w:customStyle="1">
    <w:name w:val="Grid Table 4"/>
    <w:basedOn w:val="21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221" w:customStyle="1">
    <w:name w:val="List Table 3 - Accent 1"/>
    <w:basedOn w:val="21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2222" w:customStyle="1">
    <w:name w:val="List Table 6 Colorful - Accent 5"/>
    <w:basedOn w:val="212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2223" w:customStyle="1">
    <w:name w:val="List Table 2 - Accent 5"/>
    <w:basedOn w:val="21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2224" w:customStyle="1">
    <w:name w:val="Grid Table 7 Colorful - Accent 2"/>
    <w:basedOn w:val="21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2225" w:customStyle="1">
    <w:name w:val="Grid Table 2 - Accent 3"/>
    <w:basedOn w:val="21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character" w:styleId="2226" w:customStyle="1">
    <w:name w:val="普通(网站) Char"/>
    <w:link w:val="2149"/>
    <w:uiPriority w:val="0"/>
    <w:qFormat/>
    <w:rPr>
      <w:rFonts w:asciiTheme="minorHAnsi" w:hAnsiTheme="minorHAnsi" w:eastAsiaTheme="minorEastAsia"/>
      <w:sz w:val="24"/>
      <w:szCs w:val="24"/>
    </w:rPr>
  </w:style>
  <w:style w:type="character" w:styleId="2227" w:customStyle="1">
    <w:name w:val="Footer Char"/>
    <w:basedOn w:val="2127"/>
    <w:uiPriority w:val="99"/>
    <w:qFormat/>
  </w:style>
  <w:style w:type="table" w:styleId="2228" w:customStyle="1">
    <w:name w:val="Lined - Accent 2"/>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character" w:styleId="2229" w:customStyle="1">
    <w:name w:val="正文文本缩进 Char"/>
    <w:basedOn w:val="2127"/>
    <w:link w:val="2133"/>
    <w:uiPriority w:val="0"/>
    <w:qFormat/>
    <w:rPr>
      <w:rFonts w:asciiTheme="minorHAnsi" w:hAnsiTheme="minorHAnsi" w:eastAsiaTheme="minorEastAsia" w:cstheme="minorBidi"/>
      <w:sz w:val="21"/>
      <w:szCs w:val="24"/>
    </w:rPr>
  </w:style>
  <w:style w:type="table" w:styleId="2230" w:customStyle="1">
    <w:name w:val="List Table 6 Colorful - Accent 2"/>
    <w:basedOn w:val="212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2231" w:customStyle="1">
    <w:name w:val="Grid Table 3 - Accent 1"/>
    <w:basedOn w:val="21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32" w:customStyle="1">
    <w:name w:val="Grid Table 7 Colorful - Accent 3"/>
    <w:basedOn w:val="21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2233" w:customStyle="1">
    <w:name w:val="Lined - Accent 4"/>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paragraph" w:styleId="2234" w:customStyle="1">
    <w:name w:val="列表段落1"/>
    <w:basedOn w:val="2117"/>
    <w:uiPriority w:val="34"/>
    <w:qFormat/>
    <w:pPr>
      <w:ind w:firstLine="420"/>
    </w:pPr>
  </w:style>
  <w:style w:type="table" w:styleId="2235" w:customStyle="1">
    <w:name w:val="List Table 7 Colorful - Accent 6"/>
    <w:basedOn w:val="212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2236" w:customStyle="1">
    <w:name w:val="网格表 21"/>
    <w:basedOn w:val="21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237" w:customStyle="1">
    <w:name w:val="List Table 1 Light - Accent 5"/>
    <w:basedOn w:val="212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character" w:styleId="2238" w:customStyle="1">
    <w:name w:val="Subtitle Char"/>
    <w:basedOn w:val="2127"/>
    <w:uiPriority w:val="11"/>
    <w:qFormat/>
    <w:rPr>
      <w:sz w:val="24"/>
      <w:szCs w:val="24"/>
    </w:rPr>
  </w:style>
  <w:style w:type="table" w:styleId="2239" w:customStyle="1">
    <w:name w:val="List Table 5 Dark - Accent 1"/>
    <w:basedOn w:val="21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40" w:customStyle="1">
    <w:name w:val="Grid Table 4 - Accent 2"/>
    <w:basedOn w:val="21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2241" w:customStyle="1">
    <w:name w:val="Grid Table 2 - Accent 1"/>
    <w:basedOn w:val="21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character" w:styleId="2242" w:customStyle="1">
    <w:name w:val="标题 8 Char"/>
    <w:basedOn w:val="2127"/>
    <w:link w:val="2125"/>
    <w:uiPriority w:val="9"/>
    <w:qFormat/>
    <w:rPr>
      <w:rFonts w:ascii="Arial" w:hAnsi="Arial" w:eastAsia="Arial" w:cs="Arial"/>
      <w:i/>
      <w:iCs/>
      <w:sz w:val="22"/>
      <w:szCs w:val="22"/>
    </w:rPr>
  </w:style>
  <w:style w:type="table" w:styleId="2243" w:customStyle="1">
    <w:name w:val="Grid Table 1 Light - Accent 5"/>
    <w:basedOn w:val="21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2244" w:customStyle="1">
    <w:name w:val="Plain Table 5"/>
    <w:basedOn w:val="21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2245" w:customStyle="1">
    <w:name w:val="列出段落1"/>
    <w:basedOn w:val="2117"/>
    <w:uiPriority w:val="34"/>
    <w:qFormat/>
    <w:pPr>
      <w:ind w:firstLine="420"/>
    </w:pPr>
    <w:rPr>
      <w:rFonts w:ascii="Calibri" w:hAnsi="Calibri" w:eastAsia="宋体" w:cs="Times New Roman"/>
      <w:szCs w:val="20"/>
    </w:rPr>
  </w:style>
  <w:style w:type="table" w:styleId="2246" w:customStyle="1">
    <w:name w:val="无格式表格 21"/>
    <w:basedOn w:val="2128"/>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247" w:customStyle="1">
    <w:name w:val="List Table 4 - Accent 5"/>
    <w:basedOn w:val="21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2248" w:customStyle="1">
    <w:name w:val="Grid Table 6 Colorful"/>
    <w:basedOn w:val="21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249" w:customStyle="1">
    <w:name w:val="Bordered &amp; Lined - Accent 4"/>
    <w:basedOn w:val="21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2250" w:customStyle="1">
    <w:name w:val="Grid Table 7 Colorful - Accent 6"/>
    <w:basedOn w:val="21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2251" w:customStyle="1">
    <w:name w:val="Grid Table 6 Colorful - Accent 5"/>
    <w:basedOn w:val="21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2252" w:customStyle="1">
    <w:name w:val="Grid Table 7 Colorful"/>
    <w:basedOn w:val="21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2253" w:customStyle="1">
    <w:name w:val="Footnote Text Char"/>
    <w:uiPriority w:val="99"/>
    <w:qFormat/>
    <w:rPr>
      <w:sz w:val="18"/>
    </w:rPr>
  </w:style>
  <w:style w:type="character" w:styleId="2254" w:customStyle="1">
    <w:name w:val="Endnote Text Char"/>
    <w:uiPriority w:val="99"/>
    <w:qFormat/>
    <w:rPr>
      <w:sz w:val="20"/>
    </w:rPr>
  </w:style>
  <w:style w:type="table" w:styleId="2255" w:customStyle="1">
    <w:name w:val="List Table 3 - Accent 5"/>
    <w:basedOn w:val="212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character" w:styleId="2256" w:customStyle="1">
    <w:name w:val="脚注文本 Char"/>
    <w:link w:val="2144"/>
    <w:uiPriority w:val="99"/>
    <w:qFormat/>
    <w:rPr>
      <w:sz w:val="18"/>
    </w:rPr>
  </w:style>
  <w:style w:type="character" w:styleId="2257" w:customStyle="1">
    <w:name w:val="正文首行缩进 2 Char"/>
    <w:basedOn w:val="2229"/>
    <w:link w:val="2151"/>
    <w:uiPriority w:val="99"/>
    <w:qFormat/>
    <w:rPr>
      <w:rFonts w:asciiTheme="minorHAnsi" w:hAnsiTheme="minorHAnsi" w:eastAsiaTheme="minorEastAsia" w:cstheme="minorBidi"/>
      <w:sz w:val="21"/>
      <w:szCs w:val="24"/>
    </w:rPr>
  </w:style>
  <w:style w:type="table" w:styleId="2258" w:customStyle="1">
    <w:name w:val="List Table 5 Dark - Accent 6"/>
    <w:basedOn w:val="21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59" w:customStyle="1">
    <w:name w:val="List Table 3 - Accent 4"/>
    <w:basedOn w:val="21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2260" w:customStyle="1">
    <w:name w:val="List Table 1 Light"/>
    <w:basedOn w:val="21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261" w:customStyle="1">
    <w:name w:val="网格表 31"/>
    <w:basedOn w:val="21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62" w:customStyle="1">
    <w:name w:val="Lined - Accent 6"/>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paragraph" w:styleId="2263" w:customStyle="1">
    <w:name w:val="TOC Heading"/>
    <w:uiPriority w:val="39"/>
    <w:unhideWhenUsed/>
    <w:qFormat/>
    <w:rPr>
      <w:rFonts w:hint="default" w:ascii="Times New Roman" w:hAnsi="Times New Roman" w:eastAsia="宋体" w:cs="Times New Roman"/>
      <w:lang w:val="en-US" w:eastAsia="en-US" w:bidi="ar-SA"/>
    </w:rPr>
  </w:style>
  <w:style w:type="table" w:styleId="2264" w:customStyle="1">
    <w:name w:val="List Table 5 Dark - Accent 4"/>
    <w:basedOn w:val="21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265" w:customStyle="1">
    <w:name w:val="Lined - Accent 1"/>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2266" w:customStyle="1">
    <w:name w:val="Bordered - Accent 2"/>
    <w:basedOn w:val="21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character" w:styleId="2267" w:customStyle="1">
    <w:name w:val="Heading 2 Char"/>
    <w:basedOn w:val="2127"/>
    <w:uiPriority w:val="9"/>
    <w:qFormat/>
    <w:rPr>
      <w:rFonts w:ascii="Arial" w:hAnsi="Arial" w:eastAsia="Arial" w:cs="Arial"/>
      <w:sz w:val="34"/>
    </w:rPr>
  </w:style>
  <w:style w:type="table" w:styleId="2268" w:customStyle="1">
    <w:name w:val="Bordered - Accent 1"/>
    <w:basedOn w:val="21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2269" w:customStyle="1">
    <w:name w:val="Plain Table 2"/>
    <w:basedOn w:val="2128"/>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270" w:customStyle="1">
    <w:name w:val="Grid Table 4 - Accent 3"/>
    <w:basedOn w:val="21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character" w:styleId="2271" w:customStyle="1">
    <w:name w:val="Heading 3 Char"/>
    <w:basedOn w:val="2127"/>
    <w:uiPriority w:val="9"/>
    <w:qFormat/>
    <w:rPr>
      <w:rFonts w:ascii="Arial" w:hAnsi="Arial" w:eastAsia="Arial" w:cs="Arial"/>
      <w:sz w:val="30"/>
      <w:szCs w:val="30"/>
    </w:rPr>
  </w:style>
  <w:style w:type="table" w:styleId="2272" w:customStyle="1">
    <w:name w:val="网格表 5 深色1"/>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273" w:customStyle="1">
    <w:name w:val="Grid Table 3 - Accent 2"/>
    <w:basedOn w:val="21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74" w:customStyle="1">
    <w:name w:val="Grid Table 1 Light - Accent 1"/>
    <w:basedOn w:val="21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character" w:styleId="2275" w:customStyle="1">
    <w:name w:val="Title Char"/>
    <w:basedOn w:val="2127"/>
    <w:uiPriority w:val="10"/>
    <w:qFormat/>
    <w:rPr>
      <w:sz w:val="48"/>
      <w:szCs w:val="48"/>
    </w:rPr>
  </w:style>
  <w:style w:type="table" w:styleId="2276" w:customStyle="1">
    <w:name w:val="网格表 6 彩色1"/>
    <w:basedOn w:val="21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277" w:customStyle="1">
    <w:name w:val="Grid Table 3 - Accent 5"/>
    <w:basedOn w:val="212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278" w:customStyle="1">
    <w:name w:val="Bordered - Accent 3"/>
    <w:basedOn w:val="21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2279" w:customStyle="1">
    <w:name w:val="Grid Table 1 Light - Accent 6"/>
    <w:basedOn w:val="21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2280" w:customStyle="1">
    <w:name w:val="Plain Table 4"/>
    <w:basedOn w:val="21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281" w:customStyle="1">
    <w:name w:val="Grid Table 5 Dark- Accent 1"/>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paragraph" w:styleId="2282" w:customStyle="1">
    <w:name w:val="正文文本1"/>
    <w:basedOn w:val="2117"/>
    <w:uiPriority w:val="0"/>
    <w:qFormat/>
    <w:pPr>
      <w:spacing w:after="120"/>
    </w:pPr>
    <w:rPr>
      <w:rFonts w:ascii="Times New Roman" w:hAnsi="Times New Roman" w:eastAsia="宋体" w:cs="Times New Roman"/>
      <w:szCs w:val="21"/>
    </w:rPr>
  </w:style>
  <w:style w:type="table" w:styleId="2283" w:customStyle="1">
    <w:name w:val="List Table 1 Light - Accent 4"/>
    <w:basedOn w:val="212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2284" w:customStyle="1">
    <w:name w:val="Grid Table 6 Colorful - Accent 1"/>
    <w:basedOn w:val="212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character" w:styleId="2285" w:customStyle="1">
    <w:name w:val="Quote Char"/>
    <w:uiPriority w:val="29"/>
    <w:qFormat/>
    <w:rPr>
      <w:i/>
    </w:rPr>
  </w:style>
  <w:style w:type="table" w:styleId="2286" w:customStyle="1">
    <w:name w:val="List Table 7 Colorful - Accent 2"/>
    <w:basedOn w:val="212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paragraph" w:styleId="2287" w:customStyle="1">
    <w:name w:val="正文文本11"/>
    <w:basedOn w:val="2117"/>
    <w:uiPriority w:val="0"/>
    <w:qFormat/>
    <w:rPr>
      <w:rFonts w:ascii="楷体_GB2312" w:hAnsi="Arial" w:eastAsia="楷体_GB2312"/>
      <w:sz w:val="28"/>
      <w:szCs w:val="28"/>
      <w:lang w:eastAsia="en-US"/>
    </w:rPr>
  </w:style>
  <w:style w:type="table" w:styleId="2288" w:customStyle="1">
    <w:name w:val="List Table 2 - Accent 2"/>
    <w:basedOn w:val="21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paragraph" w:styleId="2289" w:customStyle="1">
    <w:name w:val="页脚1"/>
    <w:basedOn w:val="2117"/>
    <w:uiPriority w:val="99"/>
    <w:unhideWhenUsed/>
    <w:qFormat/>
    <w:pPr>
      <w:jc w:val="left"/>
      <w:tabs>
        <w:tab w:val="center" w:pos="4153" w:leader="none"/>
        <w:tab w:val="right" w:pos="8306" w:leader="none"/>
      </w:tabs>
    </w:pPr>
    <w:rPr>
      <w:sz w:val="18"/>
      <w:szCs w:val="18"/>
    </w:rPr>
  </w:style>
  <w:style w:type="character" w:styleId="2290" w:customStyle="1">
    <w:name w:val="明显引用 Char"/>
    <w:link w:val="2159"/>
    <w:uiPriority w:val="30"/>
    <w:qFormat/>
    <w:rPr>
      <w:i/>
    </w:rPr>
  </w:style>
  <w:style w:type="paragraph" w:styleId="2291" w:customStyle="1">
    <w:name w:val="普通(网站)11"/>
    <w:basedOn w:val="2117"/>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character" w:styleId="2292" w:customStyle="1">
    <w:name w:val="标题 6 Char"/>
    <w:basedOn w:val="2127"/>
    <w:link w:val="2123"/>
    <w:uiPriority w:val="9"/>
    <w:qFormat/>
    <w:rPr>
      <w:rFonts w:ascii="Arial" w:hAnsi="Arial" w:eastAsia="Arial" w:cs="Arial"/>
      <w:b/>
      <w:bCs/>
      <w:sz w:val="22"/>
      <w:szCs w:val="22"/>
    </w:rPr>
  </w:style>
  <w:style w:type="table" w:styleId="2293" w:customStyle="1">
    <w:name w:val="Grid Table 2"/>
    <w:basedOn w:val="21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2294" w:customStyle="1">
    <w:name w:val="标题 7 Char"/>
    <w:basedOn w:val="2127"/>
    <w:link w:val="2124"/>
    <w:uiPriority w:val="9"/>
    <w:qFormat/>
    <w:rPr>
      <w:rFonts w:ascii="Arial" w:hAnsi="Arial" w:eastAsia="Arial" w:cs="Arial"/>
      <w:b/>
      <w:bCs/>
      <w:i/>
      <w:iCs/>
      <w:sz w:val="22"/>
      <w:szCs w:val="22"/>
    </w:rPr>
  </w:style>
  <w:style w:type="paragraph" w:styleId="2295" w:customStyle="1">
    <w:name w:val="批注文字1"/>
    <w:basedOn w:val="2117"/>
    <w:uiPriority w:val="0"/>
    <w:qFormat/>
    <w:pPr>
      <w:jc w:val="left"/>
    </w:pPr>
    <w:rPr>
      <w:rFonts w:ascii="Times New Roman" w:hAnsi="Times New Roman" w:eastAsia="宋体" w:cs="Times New Roman"/>
    </w:rPr>
  </w:style>
  <w:style w:type="table" w:styleId="2296" w:customStyle="1">
    <w:name w:val="无格式表格 31"/>
    <w:basedOn w:val="21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character" w:styleId="2297" w:customStyle="1">
    <w:name w:val="Caption Char"/>
    <w:uiPriority w:val="99"/>
    <w:qFormat/>
  </w:style>
  <w:style w:type="table" w:styleId="2298" w:customStyle="1">
    <w:name w:val="List Table 1 Light - Accent 6"/>
    <w:basedOn w:val="212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2299" w:customStyle="1">
    <w:name w:val="List Table 3 - Accent 2"/>
    <w:basedOn w:val="21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2300" w:customStyle="1">
    <w:name w:val="List Table 7 Colorful - Accent 1"/>
    <w:basedOn w:val="212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character" w:styleId="2301" w:customStyle="1">
    <w:name w:val="引用 Char"/>
    <w:link w:val="2189"/>
    <w:uiPriority w:val="29"/>
    <w:qFormat/>
    <w:rPr>
      <w:i/>
    </w:rPr>
  </w:style>
  <w:style w:type="table" w:styleId="2302" w:customStyle="1">
    <w:name w:val="List Table 5 Dark"/>
    <w:basedOn w:val="21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03" w:customStyle="1">
    <w:name w:val="Grid Table 2 - Accent 5"/>
    <w:basedOn w:val="212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2304" w:customStyle="1">
    <w:name w:val="Bordered &amp; Lined - Accent 5"/>
    <w:basedOn w:val="212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paragraph" w:styleId="2305" w:customStyle="1">
    <w:name w:val="09正文_wh"/>
    <w:uiPriority w:val="0"/>
    <w:qFormat/>
    <w:pPr>
      <w:ind w:firstLine="200"/>
      <w:jc w:val="both"/>
      <w:spacing w:line="300" w:lineRule="auto"/>
    </w:pPr>
    <w:rPr>
      <w:rFonts w:hint="default" w:ascii="Calibri" w:hAnsi="Calibri" w:eastAsia="宋体" w:cs="Times New Roman"/>
      <w:sz w:val="28"/>
      <w:szCs w:val="22"/>
      <w:lang w:val="en-US" w:eastAsia="zh-CN" w:bidi="ar-SA"/>
    </w:rPr>
  </w:style>
  <w:style w:type="table" w:styleId="2306" w:customStyle="1">
    <w:name w:val="List Table 7 Colorful"/>
    <w:basedOn w:val="21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307" w:customStyle="1">
    <w:name w:val="Grid Table 5 Dark"/>
    <w:basedOn w:val="21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308" w:customStyle="1">
    <w:name w:val="List Table 6 Colorful - Accent 1"/>
    <w:basedOn w:val="212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2309" w:customStyle="1">
    <w:name w:val="Lined - Accent 5"/>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character" w:styleId="2310" w:customStyle="1">
    <w:name w:val="页脚 Char"/>
    <w:basedOn w:val="2127"/>
    <w:link w:val="2139"/>
    <w:uiPriority w:val="0"/>
    <w:qFormat/>
    <w:rPr>
      <w:rFonts w:asciiTheme="minorHAnsi" w:hAnsiTheme="minorHAnsi" w:eastAsiaTheme="minorEastAsia" w:cstheme="minorBidi"/>
      <w:sz w:val="18"/>
      <w:szCs w:val="18"/>
    </w:rPr>
  </w:style>
  <w:style w:type="table" w:styleId="2311" w:customStyle="1">
    <w:name w:val="Bordered - Accent 5"/>
    <w:basedOn w:val="21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2312" w:customStyle="1">
    <w:name w:val="List Table 5 Dark - Accent 5"/>
    <w:basedOn w:val="212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13" w:customStyle="1">
    <w:name w:val="List Table 7 Colorful - Accent 5"/>
    <w:basedOn w:val="212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2314" w:customStyle="1">
    <w:name w:val="Bordered &amp; Lined - Accent"/>
    <w:basedOn w:val="21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315" w:customStyle="1">
    <w:name w:val="Plain Table 1"/>
    <w:basedOn w:val="21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316" w:customStyle="1">
    <w:name w:val="网格表 7 彩色1"/>
    <w:basedOn w:val="21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317" w:customStyle="1">
    <w:name w:val="Grid Table 7 Colorful - Accent 5"/>
    <w:basedOn w:val="21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paragraph" w:styleId="2318" w:customStyle="1">
    <w:name w:val="TOC 标题1"/>
    <w:uiPriority w:val="39"/>
    <w:unhideWhenUsed/>
    <w:qFormat/>
    <w:rPr>
      <w:rFonts w:hint="default" w:ascii="Times New Roman" w:hAnsi="Times New Roman" w:eastAsia="宋体" w:cs="Times New Roman"/>
      <w:lang w:val="en-US" w:eastAsia="zh-CN" w:bidi="ar-SA"/>
    </w:rPr>
  </w:style>
  <w:style w:type="table" w:styleId="2319" w:customStyle="1">
    <w:name w:val="清单表 21"/>
    <w:basedOn w:val="21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character" w:styleId="2320" w:customStyle="1">
    <w:name w:val="Heading 7 Char"/>
    <w:basedOn w:val="2127"/>
    <w:uiPriority w:val="9"/>
    <w:qFormat/>
    <w:rPr>
      <w:rFonts w:ascii="Arial" w:hAnsi="Arial" w:eastAsia="Arial" w:cs="Arial"/>
      <w:b/>
      <w:bCs/>
      <w:i/>
      <w:iCs/>
      <w:sz w:val="22"/>
      <w:szCs w:val="22"/>
    </w:rPr>
  </w:style>
  <w:style w:type="table" w:styleId="2321" w:customStyle="1">
    <w:name w:val="Grid Table 4 - Accent 4"/>
    <w:basedOn w:val="21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paragraph" w:styleId="2322" w:customStyle="1">
    <w:name w:val="Default"/>
    <w:basedOn w:val="2117"/>
    <w:uiPriority w:val="0"/>
    <w:semiHidden/>
    <w:qFormat/>
    <w:pPr>
      <w:jc w:val="left"/>
    </w:pPr>
    <w:rPr>
      <w:rFonts w:ascii="宋体" w:hAnsi="Calibri" w:cs="宋体"/>
      <w:color w:val="000000"/>
      <w:sz w:val="24"/>
    </w:rPr>
  </w:style>
  <w:style w:type="character" w:styleId="2323" w:customStyle="1">
    <w:name w:val="Heading 6 Char"/>
    <w:basedOn w:val="2127"/>
    <w:uiPriority w:val="9"/>
    <w:qFormat/>
    <w:rPr>
      <w:rFonts w:ascii="Arial" w:hAnsi="Arial" w:eastAsia="Arial" w:cs="Arial"/>
      <w:b/>
      <w:bCs/>
      <w:sz w:val="22"/>
      <w:szCs w:val="22"/>
    </w:rPr>
  </w:style>
  <w:style w:type="table" w:styleId="2324" w:customStyle="1">
    <w:name w:val="Bordered"/>
    <w:basedOn w:val="21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325" w:customStyle="1">
    <w:name w:val="Grid Table 5 Dark- Accent 4"/>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2326" w:customStyle="1">
    <w:name w:val="Grid Table 4 - Accent 5"/>
    <w:basedOn w:val="21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2327" w:customStyle="1">
    <w:name w:val="Plain Table 3"/>
    <w:basedOn w:val="21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328" w:customStyle="1">
    <w:name w:val="无格式表格 11"/>
    <w:basedOn w:val="21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329" w:customStyle="1">
    <w:name w:val="清单表 31"/>
    <w:basedOn w:val="21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330" w:customStyle="1">
    <w:name w:val="List Table 3 - Accent 6"/>
    <w:basedOn w:val="21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2331" w:customStyle="1">
    <w:name w:val="Grid Table 3 - Accent 3"/>
    <w:basedOn w:val="21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32" w:customStyle="1">
    <w:name w:val="清单表 41"/>
    <w:basedOn w:val="21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333" w:customStyle="1">
    <w:name w:val="List Table 1 Light - Accent 2"/>
    <w:basedOn w:val="212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2334" w:customStyle="1">
    <w:name w:val="Grid Table 5 Dark - Accent 6"/>
    <w:basedOn w:val="21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character" w:styleId="2335" w:customStyle="1">
    <w:name w:val="NormalCharacter12"/>
    <w:uiPriority w:val="0"/>
    <w:semiHidden/>
    <w:qFormat/>
    <w:rPr>
      <w:rFonts w:asciiTheme="minorHAnsi" w:hAnsiTheme="minorHAnsi" w:eastAsiaTheme="minorEastAsia" w:cstheme="minorBidi"/>
      <w:sz w:val="21"/>
      <w:szCs w:val="24"/>
      <w:lang w:val="en-US" w:eastAsia="zh-CN" w:bidi="ar-SA"/>
    </w:rPr>
  </w:style>
  <w:style w:type="character" w:styleId="2336" w:customStyle="1">
    <w:name w:val="Header Char"/>
    <w:basedOn w:val="2127"/>
    <w:uiPriority w:val="99"/>
    <w:qFormat/>
  </w:style>
  <w:style w:type="table" w:styleId="2337" w:customStyle="1">
    <w:name w:val="List Table 2"/>
    <w:basedOn w:val="21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338" w:customStyle="1">
    <w:name w:val="List Table 7 Colorful - Accent 4"/>
    <w:basedOn w:val="212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2339" w:customStyle="1">
    <w:name w:val="Grid Table 2 - Accent 6"/>
    <w:basedOn w:val="212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2340" w:customStyle="1">
    <w:name w:val="List Table 1 Light - Accent 3"/>
    <w:basedOn w:val="212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2341" w:customStyle="1">
    <w:name w:val="Grid Table 6 Colorful - Accent 2"/>
    <w:basedOn w:val="21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character" w:styleId="2342" w:customStyle="1">
    <w:name w:val="标题 Char"/>
    <w:basedOn w:val="2127"/>
    <w:link w:val="2150"/>
    <w:uiPriority w:val="10"/>
    <w:qFormat/>
    <w:rPr>
      <w:sz w:val="48"/>
      <w:szCs w:val="48"/>
    </w:rPr>
  </w:style>
  <w:style w:type="paragraph" w:styleId="2343" w:customStyle="1">
    <w:name w:val="正文首行缩进11"/>
    <w:basedOn w:val="2287"/>
    <w:uiPriority w:val="99"/>
    <w:unhideWhenUsed/>
    <w:qFormat/>
    <w:pPr>
      <w:ind w:firstLine="420"/>
    </w:pPr>
    <w:rPr>
      <w:rFonts w:ascii="Times New Roman" w:hAnsi="Times New Roman"/>
    </w:rPr>
  </w:style>
  <w:style w:type="table" w:styleId="2344" w:customStyle="1">
    <w:name w:val="List Table 5 Dark - Accent 3"/>
    <w:basedOn w:val="21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45" w:customStyle="1">
    <w:name w:val="Grid Table 3"/>
    <w:basedOn w:val="21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2346" w:customStyle="1">
    <w:name w:val="Heading 4 Char"/>
    <w:basedOn w:val="2127"/>
    <w:uiPriority w:val="9"/>
    <w:qFormat/>
    <w:rPr>
      <w:rFonts w:ascii="Arial" w:hAnsi="Arial" w:eastAsia="Arial" w:cs="Arial"/>
      <w:b/>
      <w:bCs/>
      <w:sz w:val="26"/>
      <w:szCs w:val="26"/>
    </w:rPr>
  </w:style>
  <w:style w:type="table" w:styleId="2347" w:customStyle="1">
    <w:name w:val="Bordered &amp; Lined - Accent 2"/>
    <w:basedOn w:val="21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paragraph" w:styleId="2348">
    <w:name w:val="List Paragraph"/>
    <w:basedOn w:val="2117"/>
    <w:uiPriority w:val="34"/>
    <w:qFormat/>
    <w:pPr>
      <w:contextualSpacing/>
      <w:ind w:left="720"/>
    </w:pPr>
    <w:rPr>
      <w:rFonts w:ascii="Times New Roman" w:hAnsi="Times New Roman" w:eastAsia="宋体" w:cs="Times New Roman"/>
    </w:rPr>
  </w:style>
  <w:style w:type="table" w:styleId="2349" w:customStyle="1">
    <w:name w:val="Grid Table 2 - Accent 4"/>
    <w:basedOn w:val="21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2350" w:customStyle="1">
    <w:name w:val="网格表 1 浅色1"/>
    <w:basedOn w:val="21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2351" w:customStyle="1">
    <w:name w:val="List Table 6 Colorful"/>
    <w:basedOn w:val="21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352" w:customStyle="1">
    <w:name w:val="Grid Table 1 Light - Accent 3"/>
    <w:basedOn w:val="21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2353" w:customStyle="1">
    <w:name w:val="Grid Table 7 Colorful - Accent 1"/>
    <w:basedOn w:val="212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2354" w:customStyle="1">
    <w:name w:val="Lined - Accent 3"/>
    <w:basedOn w:val="21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character" w:styleId="2355" w:customStyle="1">
    <w:name w:val="标题 5 Char"/>
    <w:basedOn w:val="2127"/>
    <w:link w:val="2122"/>
    <w:uiPriority w:val="9"/>
    <w:qFormat/>
    <w:rPr>
      <w:rFonts w:ascii="Arial" w:hAnsi="Arial" w:eastAsia="Arial" w:cs="Arial"/>
      <w:b/>
      <w:bCs/>
      <w:sz w:val="24"/>
      <w:szCs w:val="24"/>
    </w:rPr>
  </w:style>
  <w:style w:type="table" w:styleId="2356" w:customStyle="1">
    <w:name w:val="Grid Table 7 Colorful - Accent 4"/>
    <w:basedOn w:val="21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paragraph" w:styleId="2357" w:customStyle="1">
    <w:name w:val="标题 41"/>
    <w:basedOn w:val="2117"/>
    <w:next w:val="2117"/>
    <w:uiPriority w:val="0"/>
    <w:qFormat/>
    <w:pPr>
      <w:keepLines/>
      <w:keepNext/>
      <w:spacing w:before="280" w:after="290" w:line="376" w:lineRule="auto"/>
      <w:outlineLvl w:val="3"/>
    </w:pPr>
    <w:rPr>
      <w:rFonts w:ascii="Arial" w:hAnsi="Arial" w:eastAsia="黑体"/>
      <w:b/>
      <w:bCs/>
      <w:sz w:val="28"/>
      <w:szCs w:val="28"/>
    </w:rPr>
  </w:style>
  <w:style w:type="table" w:styleId="2358" w:customStyle="1">
    <w:name w:val="Bordered - Accent 4"/>
    <w:basedOn w:val="21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2359" w:customStyle="1">
    <w:name w:val="Grid Table 3 - Accent 6"/>
    <w:basedOn w:val="212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360" w:customStyle="1">
    <w:name w:val="List Table 4 - Accent 3"/>
    <w:basedOn w:val="21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2361" w:customStyle="1">
    <w:name w:val="List Table 5 Dark - Accent 2"/>
    <w:basedOn w:val="21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362" w:customStyle="1">
    <w:name w:val="Grid Table 6 Colorful - Accent 4"/>
    <w:basedOn w:val="21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2363" w:customStyle="1">
    <w:name w:val="无格式表格 41"/>
    <w:basedOn w:val="21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364" w:customStyle="1">
    <w:name w:val="List Table 2 - Accent 3"/>
    <w:basedOn w:val="21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character" w:styleId="2365" w:customStyle="1">
    <w:name w:val="Intense Quote Char"/>
    <w:uiPriority w:val="30"/>
    <w:qFormat/>
    <w:rPr>
      <w:i/>
    </w:rPr>
  </w:style>
  <w:style w:type="numbering" w:styleId="9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footer" Target="footer1.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4103"/>
    <customShpInfo spid="_x0000_s4104"/>
    <customShpInfo spid="_x0000_s4105"/>
    <customShpInfo spid="_x0000_s4106"/>
    <customShpInfo spid="_x0000_s4107"/>
    <customShpInfo spid="_x0000_s4108"/>
    <customShpInfo spid="_x0000_s4097"/>
    <customShpInfo spid="_x0000_s4098"/>
    <customShpInfo spid="_x0000_s4099"/>
    <customShpInfo spid="_x0000_s4100"/>
    <customShpInfo spid="_x0000_s4101"/>
    <customShpInfo spid="_x0000_s4102"/>
    <customShpInfo spid="_x0000_s4115"/>
    <customShpInfo spid="_x0000_s4116"/>
    <customShpInfo spid="_x0000_s4117"/>
    <customShpInfo spid="_x0000_s4118"/>
    <customShpInfo spid="_x0000_s4119"/>
    <customShpInfo spid="_x0000_s4120"/>
    <customShpInfo spid="_x0000_s4109"/>
    <customShpInfo spid="_x0000_s4110"/>
    <customShpInfo spid="_x0000_s4111"/>
    <customShpInfo spid="_x0000_s4112"/>
    <customShpInfo spid="_x0000_s4113"/>
    <customShpInfo spid="_x0000_s4114"/>
    <customShpInfo spid="_x0000_s4127"/>
    <customShpInfo spid="_x0000_s4128"/>
    <customShpInfo spid="_x0000_s4129"/>
    <customShpInfo spid="_x0000_s4130"/>
    <customShpInfo spid="_x0000_s4131"/>
    <customShpInfo spid="_x0000_s4132"/>
    <customShpInfo spid="_x0000_s4121"/>
    <customShpInfo spid="_x0000_s4122"/>
    <customShpInfo spid="_x0000_s4123"/>
    <customShpInfo spid="_x0000_s4124"/>
    <customShpInfo spid="_x0000_s4125"/>
    <customShpInfo spid="_x0000_s41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许强</cp:lastModifiedBy>
  <cp:revision>1</cp:revision>
  <dcterms:created xsi:type="dcterms:W3CDTF">2026-10-29T08:57:00Z</dcterms:created>
  <dcterms:modified xsi:type="dcterms:W3CDTF">2026-10-30T05:18:46Z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D0F82E2DAAEF4AE7999ADE136E3BE498_13</vt:lpwstr>
  </property>
  <property fmtid="{D5CDD505-2E9C-101B-9397-08002B2CF9AE}" pid="3" name="KSOProductBuildVer">
    <vt:lpwstr>2052-12.1.0.29161</vt:lpwstr>
  </property>
  <property fmtid="{D5CDD505-2E9C-101B-9397-08002B2CF9AE}" pid="4" name="KSOTemplateDocerSaveRecord">
    <vt:lpwstr>eyJoZGlkIjoiZDExZWQzYzZjNWM3OWE2OWM5ZDI4ZmVjYzA3NTA2NzQiLCJ1c2VySWQiOiIyNjY5ODk2MiJ9</vt:lpwstr>
  </property>
</Properties>
</file>