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3"/>
        <w:jc w:val="center"/>
        <w:keepLines w:val="0"/>
        <w:keepNext w:val="0"/>
        <w:pageBreakBefore w:val="0"/>
        <w:spacing w:line="600" w:lineRule="exact"/>
        <w:widowControl w:val="off"/>
        <w:rPr>
          <w:rFonts w:hint="eastAsia" w:ascii="宋体" w:hAnsi="宋体" w:eastAsia="宋体" w:cs="宋体"/>
          <w:bCs/>
          <w:color w:val="000000"/>
          <w:spacing w:val="20"/>
          <w:sz w:val="44"/>
          <w:szCs w:val="44"/>
          <w:highlight w:val="none"/>
        </w:rPr>
        <w:outlineLvl w:val="0"/>
      </w:pPr>
      <w:r>
        <w:rPr>
          <w:rFonts w:hint="eastAsia" w:ascii="宋体" w:hAnsi="宋体" w:eastAsia="宋体" w:cs="宋体"/>
          <w:b/>
          <w:color w:val="000000"/>
          <w:spacing w:val="20"/>
          <w:sz w:val="44"/>
          <w:szCs w:val="44"/>
          <w:highlight w:val="none"/>
        </w:rPr>
        <w:t xml:space="preserve">南通市产品质量监督检验所重点工业产品检验检测设备更新项目（第一批）</w:t>
      </w:r>
      <w:r>
        <w:rPr>
          <w:rFonts w:hint="eastAsia" w:ascii="宋体" w:hAnsi="宋体" w:eastAsia="宋体" w:cs="宋体"/>
          <w:bCs/>
          <w:color w:val="000000"/>
          <w:spacing w:val="20"/>
          <w:sz w:val="44"/>
          <w:szCs w:val="44"/>
          <w:highlight w:val="none"/>
        </w:rPr>
      </w:r>
      <w:r/>
    </w:p>
    <w:p>
      <w:pPr>
        <w:pStyle w:val="1503"/>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1503"/>
        <w:jc w:val="center"/>
        <w:spacing w:line="1000" w:lineRule="exact"/>
        <w:rPr>
          <w:rFonts w:hint="eastAsia" w:ascii="宋体" w:hAnsi="宋体" w:eastAsia="宋体" w:cs="宋体"/>
          <w:bCs/>
          <w:color w:val="000000"/>
          <w:sz w:val="100"/>
          <w:szCs w:val="100"/>
          <w:highlight w:val="none"/>
        </w:rPr>
        <w:outlineLvl w:val="0"/>
      </w:pPr>
      <w:r/>
      <w:bookmarkStart w:id="0" w:name="_Toc24819"/>
      <w:r/>
      <w:bookmarkStart w:id="1" w:name="_Toc5695"/>
      <w:r>
        <w:rPr>
          <w:rFonts w:hint="eastAsia" w:ascii="宋体" w:hAnsi="宋体" w:eastAsia="宋体" w:cs="宋体"/>
          <w:bCs/>
          <w:color w:val="000000"/>
          <w:sz w:val="100"/>
          <w:szCs w:val="100"/>
          <w:highlight w:val="none"/>
        </w:rPr>
      </w:r>
      <w:r/>
    </w:p>
    <w:p>
      <w:pPr>
        <w:pStyle w:val="1503"/>
        <w:jc w:val="center"/>
        <w:spacing w:line="1000" w:lineRule="exact"/>
        <w:rPr>
          <w:rFonts w:hint="eastAsia" w:ascii="宋体" w:hAnsi="宋体" w:eastAsia="宋体" w:cs="宋体"/>
          <w:bCs/>
          <w:color w:val="000000"/>
          <w:sz w:val="100"/>
          <w:szCs w:val="100"/>
          <w:highlight w:val="none"/>
        </w:rPr>
        <w:outlineLvl w:val="0"/>
      </w:pPr>
      <w:r>
        <w:rPr>
          <w:rFonts w:hint="eastAsia" w:ascii="宋体" w:hAnsi="宋体" w:eastAsia="宋体" w:cs="宋体"/>
          <w:bCs/>
          <w:color w:val="000000"/>
          <w:sz w:val="100"/>
          <w:szCs w:val="100"/>
          <w:highlight w:val="none"/>
        </w:rPr>
      </w:r>
      <w:r/>
    </w:p>
    <w:p>
      <w:pPr>
        <w:pStyle w:val="1503"/>
        <w:jc w:val="center"/>
        <w:spacing w:line="1000" w:lineRule="exact"/>
        <w:rPr>
          <w:rFonts w:hint="eastAsia" w:ascii="宋体" w:hAnsi="宋体" w:eastAsia="宋体" w:cs="宋体"/>
          <w:b/>
          <w:bCs/>
          <w:color w:val="000000"/>
          <w:highlight w:val="none"/>
        </w:rPr>
        <w:outlineLvl w:val="0"/>
      </w:pPr>
      <w:r>
        <w:rPr>
          <w:rFonts w:hint="eastAsia" w:ascii="宋体" w:hAnsi="宋体" w:eastAsia="宋体" w:cs="宋体"/>
          <w:bCs/>
          <w:color w:val="000000"/>
          <w:sz w:val="100"/>
          <w:szCs w:val="100"/>
          <w:highlight w:val="none"/>
        </w:rPr>
        <w:t xml:space="preserve">政府采购招标文件</w:t>
      </w:r>
      <w:bookmarkEnd w:id="0"/>
      <w:r/>
      <w:bookmarkEnd w:id="1"/>
      <w:r>
        <w:rPr>
          <w:rFonts w:hint="eastAsia" w:ascii="宋体" w:hAnsi="宋体" w:eastAsia="宋体" w:cs="宋体"/>
          <w:b/>
          <w:bCs/>
          <w:color w:val="000000"/>
          <w:highlight w:val="none"/>
        </w:rPr>
      </w:r>
      <w:r/>
    </w:p>
    <w:p>
      <w:pPr>
        <w:pStyle w:val="1503"/>
        <w:jc w:val="center"/>
        <w:spacing w:line="1000" w:lineRule="exact"/>
        <w:rPr>
          <w:rFonts w:hint="eastAsia" w:ascii="宋体" w:hAnsi="宋体" w:eastAsia="宋体" w:cs="宋体"/>
          <w:b/>
          <w:color w:val="000000"/>
          <w:sz w:val="36"/>
          <w:highlight w:val="none"/>
        </w:rPr>
      </w:pPr>
      <w:r>
        <w:rPr>
          <w:rFonts w:hint="eastAsia" w:ascii="宋体" w:hAnsi="宋体" w:eastAsia="宋体" w:cs="宋体"/>
          <w:bCs/>
          <w:color w:val="000000"/>
          <w:sz w:val="36"/>
          <w:szCs w:val="36"/>
          <w:highlight w:val="none"/>
        </w:rPr>
        <w:t xml:space="preserve">招标文件编号：JSZC-320600-NTSC-G2026-0004 </w:t>
      </w:r>
      <w:r>
        <w:rPr>
          <w:rFonts w:hint="eastAsia" w:ascii="宋体" w:hAnsi="宋体" w:eastAsia="宋体" w:cs="宋体"/>
          <w:b/>
          <w:color w:val="000000"/>
          <w:sz w:val="36"/>
          <w:highlight w:val="none"/>
        </w:rPr>
      </w:r>
      <w:r/>
    </w:p>
    <w:p>
      <w:pPr>
        <w:pStyle w:val="1503"/>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50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7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503"/>
        <w:ind w:left="-2" w:right="120"/>
        <w:jc w:val="center"/>
        <w:spacing w:before="120" w:after="120" w:line="46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南通市产品质量监督检验所</w:t>
      </w:r>
      <w:r>
        <w:rPr>
          <w:rFonts w:hint="eastAsia" w:ascii="宋体" w:hAnsi="宋体" w:eastAsia="宋体" w:cs="宋体"/>
          <w:b/>
          <w:bCs/>
          <w:color w:val="000000"/>
          <w:sz w:val="32"/>
          <w:szCs w:val="32"/>
          <w:highlight w:val="none"/>
        </w:rPr>
      </w:r>
      <w:r/>
    </w:p>
    <w:p>
      <w:pPr>
        <w:pStyle w:val="1503"/>
        <w:ind w:left="-2" w:right="120"/>
        <w:jc w:val="center"/>
        <w:spacing w:before="120" w:after="120" w:line="4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2026年10月</w:t>
      </w:r>
      <w:r>
        <w:rPr>
          <w:rFonts w:hint="eastAsia" w:ascii="宋体" w:hAnsi="宋体" w:eastAsia="宋体" w:cs="宋体"/>
          <w:b/>
          <w:bCs/>
          <w:color w:val="000000"/>
          <w:sz w:val="32"/>
          <w:szCs w:val="32"/>
          <w:highlight w:val="none"/>
        </w:rPr>
      </w:r>
      <w:r/>
    </w:p>
    <w:p>
      <w:pPr>
        <w:pStyle w:val="1503"/>
        <w:jc w:val="center"/>
        <w:rPr>
          <w:rFonts w:hint="eastAsia" w:ascii="宋体" w:hAnsi="宋体" w:eastAsia="宋体" w:cs="宋体"/>
          <w:color w:val="000000"/>
          <w:sz w:val="36"/>
          <w:szCs w:val="44"/>
          <w:highlight w:val="none"/>
        </w:rPr>
      </w:pPr>
      <w:r>
        <w:rPr>
          <w:rFonts w:hint="eastAsia" w:ascii="宋体" w:hAnsi="宋体" w:eastAsia="宋体" w:cs="宋体"/>
          <w:color w:val="000000"/>
          <w:sz w:val="36"/>
          <w:szCs w:val="44"/>
          <w:highlight w:val="none"/>
        </w:rPr>
      </w:r>
      <w:r/>
    </w:p>
    <w:p>
      <w:pPr>
        <w:pStyle w:val="1503"/>
        <w:jc w:val="center"/>
        <w:rPr>
          <w:rFonts w:hint="eastAsia" w:ascii="宋体" w:hAnsi="宋体" w:eastAsia="宋体" w:cs="宋体"/>
          <w:color w:val="000000"/>
          <w:sz w:val="36"/>
          <w:szCs w:val="44"/>
          <w:highlight w:val="none"/>
        </w:rPr>
      </w:pPr>
      <w:r>
        <w:rPr>
          <w:rFonts w:hint="eastAsia" w:ascii="宋体" w:hAnsi="宋体" w:eastAsia="宋体" w:cs="宋体"/>
          <w:color w:val="000000"/>
          <w:sz w:val="36"/>
          <w:szCs w:val="44"/>
          <w:highlight w:val="none"/>
        </w:rPr>
      </w:r>
      <w:r/>
    </w:p>
    <w:p>
      <w:pPr>
        <w:pStyle w:val="1503"/>
        <w:jc w:val="center"/>
        <w:rPr>
          <w:rFonts w:hint="eastAsia" w:ascii="宋体" w:hAnsi="宋体" w:eastAsia="宋体" w:cs="宋体"/>
          <w:color w:val="000000"/>
          <w:sz w:val="36"/>
          <w:szCs w:val="44"/>
          <w:highlight w:val="none"/>
        </w:rPr>
      </w:pPr>
      <w:r>
        <w:rPr>
          <w:rFonts w:hint="eastAsia" w:ascii="宋体" w:hAnsi="宋体" w:eastAsia="宋体" w:cs="宋体"/>
          <w:color w:val="000000"/>
          <w:sz w:val="36"/>
          <w:szCs w:val="44"/>
          <w:highlight w:val="none"/>
        </w:rPr>
        <w:t xml:space="preserve">目录</w:t>
      </w:r>
      <w:r>
        <w:rPr>
          <w:rFonts w:hint="eastAsia" w:ascii="宋体" w:hAnsi="宋体" w:eastAsia="宋体" w:cs="宋体"/>
          <w:color w:val="000000"/>
          <w:sz w:val="36"/>
          <w:szCs w:val="44"/>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"_Toc29789"</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第一部分投标邀请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_Toc29789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"_Toc28364"</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第二部分投标须知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_Toc28364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"_Toc21690"</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第三部分项目需求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_Toc21690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"_Toc30320"</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第四部分开标和评标</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_Toc30320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68</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rPr>
      </w:r>
      <w:r/>
    </w:p>
    <w:p>
      <w:pPr>
        <w:pStyle w:val="1553"/>
        <w:spacing w:line="720" w:lineRule="auto"/>
        <w:tabs>
          <w:tab w:val="right" w:pos="8307" w:leader="dot"/>
        </w:tabs>
        <w:rPr>
          <w:rFonts w:hint="eastAsia" w:ascii="宋体" w:hAnsi="宋体" w:eastAsia="宋体" w:cs="宋体"/>
          <w:color w:val="000000"/>
          <w:sz w:val="32"/>
          <w:szCs w:val="32"/>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"_Toc23874"</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第五部分质疑与投诉</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8</w:t>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lang w:val="en-US" w:eastAsia="zh-CN"/>
        </w:rPr>
        <w:t xml:space="preserve">0</w:t>
      </w:r>
      <w:r>
        <w:rPr>
          <w:rFonts w:hint="eastAsia" w:ascii="宋体" w:hAnsi="宋体" w:eastAsia="宋体" w:cs="宋体"/>
          <w:color w:val="000000"/>
          <w:sz w:val="32"/>
          <w:szCs w:val="32"/>
          <w:highlight w:val="none"/>
          <w:lang w:eastAsia="zh-CN"/>
        </w:rPr>
      </w:r>
      <w:r/>
    </w:p>
    <w:p>
      <w:pPr>
        <w:pStyle w:val="1553"/>
        <w:spacing w:line="720" w:lineRule="auto"/>
        <w:tabs>
          <w:tab w:val="right" w:pos="8307" w:leader="dot"/>
        </w:tabs>
        <w:rPr>
          <w:rFonts w:hint="eastAsia" w:ascii="宋体" w:hAnsi="宋体" w:eastAsia="宋体" w:cs="宋体"/>
          <w:color w:val="000000"/>
          <w:sz w:val="32"/>
          <w:szCs w:val="32"/>
          <w:highlight w:val="none"/>
          <w:lang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\l "_Toc12704"</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32"/>
          <w:szCs w:val="44"/>
          <w:highlight w:val="none"/>
        </w:rPr>
        <w:t xml:space="preserve">第六部分投标文件组成</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8</w:t>
      </w:r>
      <w:r>
        <w:rPr>
          <w:rFonts w:hint="eastAsia" w:ascii="宋体" w:hAnsi="宋体" w:eastAsia="宋体" w:cs="宋体"/>
          <w:color w:val="000000"/>
          <w:highlight w:val="none"/>
        </w:rPr>
        <w:fldChar w:fldCharType="end"/>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eastAsia="zh-CN"/>
        </w:rPr>
      </w:r>
      <w:r/>
    </w:p>
    <w:p>
      <w:pPr>
        <w:pStyle w:val="1503"/>
        <w:spacing w:line="720" w:lineRule="auto"/>
        <w:rPr>
          <w:rFonts w:hint="eastAsia" w:ascii="宋体" w:hAnsi="宋体" w:eastAsia="宋体" w:cs="宋体"/>
          <w:color w:val="000000"/>
          <w:highlight w:val="none"/>
        </w:rPr>
      </w:pPr>
      <w:r>
        <w:rPr>
          <w:rFonts w:hint="eastAsia" w:ascii="宋体" w:hAnsi="宋体" w:eastAsia="宋体" w:cs="宋体"/>
          <w:color w:val="000000"/>
          <w:sz w:val="24"/>
          <w:szCs w:val="32"/>
          <w:highlight w:val="none"/>
        </w:rPr>
        <w:fldChar w:fldCharType="end"/>
      </w:r>
      <w:r>
        <w:rPr>
          <w:rFonts w:hint="eastAsia" w:ascii="宋体" w:hAnsi="宋体" w:eastAsia="宋体" w:cs="宋体"/>
          <w:color w:val="000000"/>
          <w:highlight w:val="none"/>
        </w:rPr>
      </w:r>
      <w:r/>
    </w:p>
    <w:p>
      <w:pPr>
        <w:pStyle w:val="15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03"/>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50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150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1503"/>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spacing w:line="50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50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bookmarkStart w:id="2" w:name="_Toc29789"/>
      <w:r/>
      <w:bookmarkStart w:id="3" w:name="_Toc21799"/>
      <w:r>
        <w:rPr>
          <w:rFonts w:hint="eastAsia" w:ascii="宋体" w:hAnsi="宋体" w:eastAsia="宋体" w:cs="宋体"/>
          <w:bCs/>
          <w:color w:val="000000"/>
          <w:sz w:val="36"/>
          <w:szCs w:val="36"/>
          <w:highlight w:val="none"/>
        </w:rPr>
        <w:t xml:space="preserve">第一部分</w:t>
      </w:r>
      <w:bookmarkStart w:id="4" w:name="OLE_LINK7"/>
      <w:r/>
      <w:bookmarkStart w:id="5" w:name="OLE_LINK5"/>
      <w:r>
        <w:rPr>
          <w:rFonts w:hint="eastAsia" w:ascii="宋体" w:hAnsi="宋体" w:eastAsia="宋体" w:cs="宋体"/>
          <w:bCs/>
          <w:color w:val="000000"/>
          <w:sz w:val="36"/>
          <w:szCs w:val="36"/>
          <w:highlight w:val="none"/>
        </w:rPr>
        <w:t xml:space="preserve">投标邀请</w:t>
      </w:r>
      <w:bookmarkEnd w:id="2"/>
      <w:r/>
      <w:bookmarkEnd w:id="3"/>
      <w:r>
        <w:rPr>
          <w:rFonts w:hint="eastAsia" w:ascii="宋体" w:hAnsi="宋体" w:eastAsia="宋体" w:cs="宋体"/>
          <w:bCs/>
          <w:color w:val="000000"/>
          <w:sz w:val="36"/>
          <w:szCs w:val="36"/>
          <w:highlight w:val="none"/>
        </w:rPr>
      </w:r>
      <w:r/>
    </w:p>
    <w:p>
      <w:pPr>
        <w:pStyle w:val="1503"/>
        <w:ind w:firstLine="560"/>
        <w:spacing w:line="440" w:lineRule="exact"/>
        <w:rPr>
          <w:rFonts w:hint="eastAsia" w:ascii="宋体" w:hAnsi="宋体" w:eastAsia="宋体" w:cs="宋体"/>
          <w:color w:val="000000"/>
          <w:sz w:val="28"/>
          <w:szCs w:val="28"/>
          <w:highlight w:val="none"/>
        </w:rPr>
      </w:pPr>
      <w:r/>
      <w:bookmarkStart w:id="6" w:name="OLE_LINK6"/>
      <w:r>
        <w:rPr>
          <w:rFonts w:hint="eastAsia" w:ascii="宋体" w:hAnsi="宋体" w:eastAsia="宋体" w:cs="宋体"/>
          <w:color w:val="000000"/>
          <w:sz w:val="28"/>
          <w:szCs w:val="28"/>
          <w:highlight w:val="none"/>
        </w:rPr>
        <w:t xml:space="preserve">受[南通市产品质量监督检验所]的委托，南通苏采招投标咨询服务有限公司就[南通市产品质量监督检验所重点工业产品检验检测设备更新项目（第一批）](项目编号:JSZC-320600-NTSC-G2026-0004 )进行公开招标采购，欢迎符合条件的投标人投标。</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南通市产品质量监督检验所重点工业产品检验检测设备更新项目（第一批）的潜在投标人应在（苏采云系统内免费）获取招标文件，并于2026年11月20日9点30分（北京时间）前递交投标文件。</w:t>
      </w:r>
      <w:r>
        <w:rPr>
          <w:rFonts w:hint="eastAsia" w:ascii="宋体" w:hAnsi="宋体" w:eastAsia="宋体" w:cs="宋体"/>
          <w:color w:val="000000"/>
          <w:sz w:val="28"/>
          <w:szCs w:val="28"/>
          <w:highlight w:val="none"/>
        </w:rPr>
      </w:r>
      <w:r/>
    </w:p>
    <w:p>
      <w:pPr>
        <w:pStyle w:val="1503"/>
        <w:ind w:firstLine="562"/>
        <w:spacing w:line="440" w:lineRule="exact"/>
        <w:rPr>
          <w:rFonts w:hint="eastAsia" w:ascii="宋体" w:hAnsi="宋体" w:eastAsia="宋体" w:cs="宋体"/>
          <w:b/>
          <w:color w:val="000000"/>
          <w:sz w:val="28"/>
          <w:szCs w:val="28"/>
          <w:highlight w:val="none"/>
        </w:rPr>
        <w:outlineLvl w:val="1"/>
      </w:pPr>
      <w:r/>
      <w:bookmarkStart w:id="7" w:name="_Toc20404"/>
      <w:r>
        <w:rPr>
          <w:rFonts w:hint="eastAsia" w:ascii="宋体" w:hAnsi="宋体" w:eastAsia="宋体" w:cs="宋体"/>
          <w:b/>
          <w:color w:val="000000"/>
          <w:sz w:val="28"/>
          <w:szCs w:val="28"/>
          <w:highlight w:val="none"/>
        </w:rPr>
        <w:t xml:space="preserve">一、项目基本情况</w:t>
      </w:r>
      <w:bookmarkEnd w:id="7"/>
      <w:r>
        <w:rPr>
          <w:rFonts w:hint="eastAsia" w:ascii="宋体" w:hAnsi="宋体" w:eastAsia="宋体" w:cs="宋体"/>
          <w:b/>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1.项目编号：JSZC-320600-NTSC-G2026-0004 </w:t>
      </w:r>
      <w:r>
        <w:rPr>
          <w:rFonts w:hint="eastAsia" w:ascii="宋体" w:hAnsi="宋体" w:eastAsia="宋体" w:cs="宋体"/>
          <w:color w:val="000000"/>
          <w:sz w:val="28"/>
          <w:szCs w:val="28"/>
          <w:highlight w:val="none"/>
        </w:rPr>
      </w:r>
      <w:r/>
    </w:p>
    <w:p>
      <w:pPr>
        <w:pStyle w:val="1503"/>
        <w:ind w:firstLine="560"/>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2.项目名称：南通市产品质量监督检验所重点工业产品检验检测设备更新项目（第一批）。</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3.预算金额：580万元，共分4个采购包，其中包1总预算50万元、包2总预算334.5万元、包3总预算171万元、包4总预算24.5万元。</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4.最高限价：580万元，包1最高限价50万元、包2最高限价334.5万元、包3最高限价171万元、包4最高限价24.5万元，各包单项最高限价详见项目需求，投标报价高于对应的最高限价的作无效标处理。</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5.采购需求：详见招标文件，请仔细研究。</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6.合同履行期限：合同签订45天内供货到位，货到30天内完成安装调试。</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7.本项目是否接受联合体投标：否。</w:t>
      </w:r>
      <w:r>
        <w:rPr>
          <w:rFonts w:hint="eastAsia" w:ascii="宋体" w:hAnsi="宋体" w:eastAsia="宋体" w:cs="宋体"/>
          <w:color w:val="000000"/>
          <w:sz w:val="28"/>
          <w:szCs w:val="28"/>
          <w:highlight w:val="none"/>
        </w:rPr>
      </w:r>
      <w:r/>
    </w:p>
    <w:p>
      <w:pPr>
        <w:pStyle w:val="1503"/>
        <w:ind w:firstLine="562"/>
        <w:spacing w:line="440" w:lineRule="exact"/>
        <w:rPr>
          <w:rFonts w:hint="eastAsia" w:ascii="宋体" w:hAnsi="宋体" w:eastAsia="宋体" w:cs="宋体"/>
          <w:b/>
          <w:color w:val="000000"/>
          <w:sz w:val="28"/>
          <w:szCs w:val="28"/>
          <w:highlight w:val="none"/>
        </w:rPr>
        <w:outlineLvl w:val="1"/>
      </w:pPr>
      <w:r/>
      <w:bookmarkStart w:id="8" w:name="_Toc7742"/>
      <w:r>
        <w:rPr>
          <w:rFonts w:hint="eastAsia" w:ascii="宋体" w:hAnsi="宋体" w:eastAsia="宋体" w:cs="宋体"/>
          <w:b/>
          <w:color w:val="000000"/>
          <w:sz w:val="28"/>
          <w:szCs w:val="28"/>
          <w:highlight w:val="none"/>
        </w:rPr>
        <w:t xml:space="preserve">二、申请人的资格要求：</w:t>
      </w:r>
      <w:bookmarkEnd w:id="8"/>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2.本项目的特定资格要求：</w:t>
      </w:r>
      <w:r>
        <w:rPr>
          <w:rFonts w:hint="eastAsia" w:ascii="宋体" w:hAnsi="宋体" w:eastAsia="宋体" w:cs="宋体"/>
          <w:color w:val="000000"/>
          <w:sz w:val="28"/>
          <w:szCs w:val="28"/>
          <w:highlight w:val="none"/>
          <w:u w:val="single"/>
        </w:rPr>
        <w:t xml:space="preserve">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3.落实政府采购政策需满足的资格要求：</w:t>
      </w:r>
      <w:r>
        <w:rPr>
          <w:rFonts w:hint="eastAsia" w:ascii="宋体" w:hAnsi="宋体" w:eastAsia="宋体" w:cs="宋体"/>
          <w:color w:val="000000"/>
          <w:sz w:val="28"/>
          <w:szCs w:val="28"/>
          <w:highlight w:val="none"/>
          <w:u w:val="single"/>
        </w:rPr>
        <w:t xml:space="preserve">本项目属于专门面向中小企业采购的项目,供应商应为中小微企业、监狱企业或残疾人福利性单位，并按照采购文件要求提供《中小企业声明函》或《残疾人福利性单位声明函》或监狱和戒毒企业证明材料。</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outlineLvl w:val="1"/>
      </w:pPr>
      <w:r/>
      <w:bookmarkStart w:id="9" w:name="_Toc13052"/>
      <w:r>
        <w:rPr>
          <w:rFonts w:hint="eastAsia" w:ascii="宋体" w:hAnsi="宋体" w:eastAsia="宋体" w:cs="宋体"/>
          <w:color w:val="000000"/>
          <w:sz w:val="28"/>
          <w:szCs w:val="28"/>
          <w:highlight w:val="none"/>
        </w:rPr>
        <w:t xml:space="preserve">三、获取招标文件</w:t>
      </w:r>
      <w:bookmarkEnd w:id="9"/>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1.时间：自招标文件公告发布之日起5个工作日。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2.地点：网上注册登记成功后系统内免费下载。</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3.获取方式：本项目采用网上注册登记方式。</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2"/>
      </w:pPr>
      <w:r/>
      <w:bookmarkStart w:id="10" w:name="_Toc740"/>
      <w:r>
        <w:rPr>
          <w:rFonts w:hint="eastAsia" w:ascii="宋体" w:hAnsi="宋体" w:eastAsia="宋体" w:cs="宋体"/>
          <w:color w:val="000000"/>
          <w:sz w:val="28"/>
          <w:szCs w:val="28"/>
          <w:highlight w:val="none"/>
        </w:rPr>
        <w:t xml:space="preserve">3.1潜在投标人访问电子招标响应交易平台的网络地址和方法：</w:t>
      </w:r>
      <w:bookmarkEnd w:id="10"/>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3.2潜在投标人访问“苏采云”系统的网络地址和方法：“苏采云”系统的网址：http://jszfcg.jsczt.cn/。</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2"/>
      </w:pPr>
      <w:r/>
      <w:bookmarkStart w:id="11" w:name="_Toc31543"/>
      <w:r>
        <w:rPr>
          <w:rFonts w:hint="eastAsia" w:ascii="宋体" w:hAnsi="宋体" w:eastAsia="宋体" w:cs="宋体"/>
          <w:color w:val="000000"/>
          <w:sz w:val="28"/>
          <w:szCs w:val="28"/>
          <w:highlight w:val="none"/>
        </w:rPr>
        <w:t xml:space="preserve">3.3“CA数字证书”的获取：</w:t>
      </w:r>
      <w:bookmarkEnd w:id="11"/>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响应投标人需办理“CA数字证书”，CA办理指南及“苏采云”操作手册可至江苏省政府采购网―办事指南-资料下载中心下载。</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3.4招标文件（后缀名为“.kedt”）、供应商操作手册及政府采购客户端工具可通过“苏采云”系统--已报名项目--报名详情页面内相应链接进行下载。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3.5采购人或采购代理机构将数据电文形式的招标文件加载至“苏采云”系统，供潜在投标人下载或者查阅。</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3.6请潜在投标人提前安装相应的控件（详见《江苏省政府采购管理交易系统（苏采云）供应商操作手册》）并使用谷歌浏览器登录“苏采云”系统参与不见面开评标。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注：如潜在投标人未按上述要求操作，将自行承担所产生的风险。</w:t>
      </w:r>
      <w:r>
        <w:rPr>
          <w:rFonts w:hint="eastAsia" w:ascii="宋体" w:hAnsi="宋体" w:eastAsia="宋体" w:cs="宋体"/>
          <w:color w:val="000000"/>
          <w:sz w:val="28"/>
          <w:szCs w:val="28"/>
          <w:highlight w:val="none"/>
        </w:rPr>
      </w:r>
      <w:r/>
    </w:p>
    <w:p>
      <w:pPr>
        <w:pStyle w:val="1503"/>
        <w:ind w:firstLine="562"/>
        <w:spacing w:line="440" w:lineRule="exact"/>
        <w:rPr>
          <w:rFonts w:hint="eastAsia" w:ascii="宋体" w:hAnsi="宋体" w:eastAsia="宋体" w:cs="宋体"/>
          <w:b/>
          <w:color w:val="000000"/>
          <w:sz w:val="28"/>
          <w:szCs w:val="28"/>
          <w:highlight w:val="none"/>
        </w:rPr>
        <w:outlineLvl w:val="1"/>
      </w:pPr>
      <w:r/>
      <w:bookmarkStart w:id="12" w:name="_Toc25294"/>
      <w:r>
        <w:rPr>
          <w:rFonts w:hint="eastAsia" w:ascii="宋体" w:hAnsi="宋体" w:eastAsia="宋体" w:cs="宋体"/>
          <w:b/>
          <w:color w:val="000000"/>
          <w:sz w:val="28"/>
          <w:szCs w:val="28"/>
          <w:highlight w:val="none"/>
        </w:rPr>
        <w:t xml:space="preserve">四、提交投标文件截止时间、开标时间和地点</w:t>
      </w:r>
      <w:bookmarkEnd w:id="12"/>
      <w:r>
        <w:rPr>
          <w:rFonts w:hint="eastAsia" w:ascii="宋体" w:hAnsi="宋体" w:eastAsia="宋体" w:cs="宋体"/>
          <w:b/>
          <w:color w:val="000000"/>
          <w:sz w:val="28"/>
          <w:szCs w:val="28"/>
          <w:highlight w:val="none"/>
        </w:rPr>
      </w:r>
      <w:r/>
    </w:p>
    <w:p>
      <w:pPr>
        <w:pStyle w:val="1503"/>
        <w:ind w:firstLine="420"/>
        <w:spacing w:line="460" w:lineRule="exact"/>
        <w:rPr>
          <w:rStyle w:val="1636"/>
          <w:rFonts w:hint="eastAsia" w:ascii="宋体" w:hAnsi="宋体" w:eastAsia="宋体" w:cs="宋体"/>
          <w:color w:val="000000"/>
          <w:sz w:val="28"/>
          <w:szCs w:val="28"/>
          <w:highlight w:val="none"/>
        </w:rPr>
      </w:pPr>
      <w:r>
        <w:rPr>
          <w:rStyle w:val="1636"/>
          <w:rFonts w:hint="eastAsia" w:ascii="宋体" w:hAnsi="宋体" w:eastAsia="宋体" w:cs="宋体"/>
          <w:color w:val="000000"/>
          <w:sz w:val="28"/>
          <w:szCs w:val="28"/>
          <w:highlight w:val="none"/>
        </w:rPr>
        <w:t xml:space="preserve">1.投标文件接收截止及开标时间：</w:t>
      </w:r>
      <w:r>
        <w:rPr>
          <w:rStyle w:val="1636"/>
          <w:rFonts w:hint="eastAsia" w:ascii="宋体" w:hAnsi="宋体" w:eastAsia="宋体" w:cs="宋体"/>
          <w:b/>
          <w:bCs/>
          <w:color w:val="000000"/>
          <w:sz w:val="28"/>
          <w:szCs w:val="28"/>
          <w:highlight w:val="none"/>
        </w:rPr>
        <w:t xml:space="preserve">2026年11月20日9点30分（北京时间）</w:t>
      </w:r>
      <w:r>
        <w:rPr>
          <w:rStyle w:val="1636"/>
          <w:rFonts w:hint="eastAsia" w:ascii="宋体" w:hAnsi="宋体" w:eastAsia="宋体" w:cs="宋体"/>
          <w:color w:val="000000"/>
          <w:sz w:val="28"/>
          <w:szCs w:val="28"/>
          <w:highlight w:val="none"/>
        </w:rPr>
        <w:t xml:space="preserve">，逾时“苏采云”系统将拒绝接受上传投标文件电子文档。</w:t>
      </w:r>
      <w:r>
        <w:rPr>
          <w:rStyle w:val="1636"/>
          <w:rFonts w:hint="eastAsia" w:ascii="宋体" w:hAnsi="宋体" w:eastAsia="宋体" w:cs="宋体"/>
          <w:color w:val="000000"/>
          <w:sz w:val="28"/>
          <w:szCs w:val="28"/>
          <w:highlight w:val="none"/>
        </w:rPr>
      </w:r>
      <w:r/>
    </w:p>
    <w:p>
      <w:pPr>
        <w:pStyle w:val="1503"/>
        <w:ind w:firstLine="420"/>
        <w:spacing w:line="460" w:lineRule="exact"/>
        <w:rPr>
          <w:rStyle w:val="1636"/>
          <w:rFonts w:hint="eastAsia" w:ascii="宋体" w:hAnsi="宋体" w:eastAsia="宋体" w:cs="宋体"/>
          <w:color w:val="000000"/>
          <w:sz w:val="28"/>
          <w:szCs w:val="28"/>
          <w:highlight w:val="none"/>
          <w:lang w:eastAsia="en-US"/>
        </w:rPr>
        <w:outlineLvl w:val="2"/>
      </w:pPr>
      <w:r/>
      <w:bookmarkStart w:id="13" w:name="_Toc24646"/>
      <w:r>
        <w:rPr>
          <w:rStyle w:val="1636"/>
          <w:rFonts w:hint="eastAsia" w:ascii="宋体" w:hAnsi="宋体" w:eastAsia="宋体" w:cs="宋体"/>
          <w:color w:val="000000"/>
          <w:sz w:val="28"/>
          <w:szCs w:val="28"/>
          <w:highlight w:val="none"/>
          <w:lang w:eastAsia="en-US"/>
        </w:rPr>
        <w:t xml:space="preserve">2.地点：“苏采云”系统（网址：http://jszfcg.jsczt.cn/）</w:t>
      </w:r>
      <w:bookmarkEnd w:id="13"/>
      <w:r>
        <w:rPr>
          <w:rStyle w:val="1636"/>
          <w:rFonts w:hint="eastAsia" w:ascii="宋体" w:hAnsi="宋体" w:eastAsia="宋体" w:cs="宋体"/>
          <w:color w:val="000000"/>
          <w:sz w:val="28"/>
          <w:szCs w:val="28"/>
          <w:highlight w:val="none"/>
        </w:rPr>
        <w:t xml:space="preserve">。</w:t>
      </w:r>
      <w:r>
        <w:rPr>
          <w:rStyle w:val="1636"/>
          <w:rFonts w:hint="eastAsia" w:ascii="宋体" w:hAnsi="宋体" w:eastAsia="宋体" w:cs="宋体"/>
          <w:color w:val="000000"/>
          <w:sz w:val="28"/>
          <w:szCs w:val="28"/>
          <w:highlight w:val="none"/>
          <w:lang w:eastAsia="en-US"/>
        </w:rPr>
      </w:r>
      <w:r/>
    </w:p>
    <w:p>
      <w:pPr>
        <w:pStyle w:val="1503"/>
        <w:ind w:firstLine="420"/>
        <w:spacing w:line="460" w:lineRule="exact"/>
        <w:rPr>
          <w:rStyle w:val="1636"/>
          <w:rFonts w:hint="eastAsia" w:ascii="宋体" w:hAnsi="宋体" w:eastAsia="宋体" w:cs="宋体"/>
          <w:color w:val="000000"/>
          <w:sz w:val="28"/>
          <w:szCs w:val="28"/>
          <w:highlight w:val="none"/>
          <w:u w:val="single"/>
        </w:rPr>
      </w:pPr>
      <w:r>
        <w:rPr>
          <w:rStyle w:val="1636"/>
          <w:rFonts w:hint="eastAsia" w:ascii="宋体" w:hAnsi="宋体" w:eastAsia="宋体" w:cs="宋体"/>
          <w:color w:val="000000"/>
          <w:sz w:val="28"/>
          <w:szCs w:val="28"/>
          <w:highlight w:val="none"/>
        </w:rPr>
        <w:t xml:space="preserve">3.投标文件的解密：开标当天各投标人及时登录不见面开标大厅，投标文件接收截止时间后，采购人将在系统内公布投标人名单，然后通过开标会议区发出投标文件解密的指令，投标人在开标室按规定时间自行实施远程解密，</w:t>
      </w:r>
      <w:r>
        <w:rPr>
          <w:rStyle w:val="1636"/>
          <w:rFonts w:hint="eastAsia" w:ascii="宋体" w:hAnsi="宋体" w:eastAsia="宋体" w:cs="宋体"/>
          <w:b/>
          <w:bCs/>
          <w:color w:val="000000"/>
          <w:sz w:val="28"/>
          <w:szCs w:val="28"/>
          <w:highlight w:val="none"/>
        </w:rPr>
        <w:t xml:space="preserve">投标人解密限定在开标后30分钟之内完成</w:t>
      </w:r>
      <w:r>
        <w:rPr>
          <w:rStyle w:val="1636"/>
          <w:rFonts w:hint="eastAsia" w:ascii="宋体" w:hAnsi="宋体" w:eastAsia="宋体" w:cs="宋体"/>
          <w:color w:val="000000"/>
          <w:sz w:val="28"/>
          <w:szCs w:val="28"/>
          <w:highlight w:val="none"/>
        </w:rPr>
        <w:t xml:space="preserve">。</w:t>
      </w:r>
      <w:r>
        <w:rPr>
          <w:rStyle w:val="1636"/>
          <w:rFonts w:hint="eastAsia" w:ascii="宋体" w:hAnsi="宋体" w:eastAsia="宋体" w:cs="宋体"/>
          <w:color w:val="000000"/>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招标代理机构）原因或网上招投标平台发生故障，导致无法按时完成投标文件解密或开、评标工作无法进行的，可根据实际情况相应延迟解密时间或调整开、评标时间。</w:t>
      </w:r>
      <w:r>
        <w:rPr>
          <w:rStyle w:val="1636"/>
          <w:rFonts w:hint="eastAsia" w:ascii="宋体" w:hAnsi="宋体" w:eastAsia="宋体" w:cs="宋体"/>
          <w:color w:val="000000"/>
          <w:sz w:val="28"/>
          <w:szCs w:val="28"/>
          <w:highlight w:val="none"/>
          <w:u w:val="single"/>
        </w:rPr>
      </w:r>
      <w:r/>
    </w:p>
    <w:p>
      <w:pPr>
        <w:pStyle w:val="1503"/>
        <w:ind w:firstLine="562"/>
        <w:spacing w:line="440" w:lineRule="exact"/>
        <w:rPr>
          <w:rFonts w:hint="eastAsia" w:ascii="宋体" w:hAnsi="宋体" w:eastAsia="宋体" w:cs="宋体"/>
          <w:b/>
          <w:color w:val="000000"/>
          <w:sz w:val="28"/>
          <w:szCs w:val="28"/>
          <w:highlight w:val="none"/>
        </w:rPr>
        <w:outlineLvl w:val="1"/>
      </w:pPr>
      <w:r/>
      <w:bookmarkStart w:id="14" w:name="_Toc6486"/>
      <w:r>
        <w:rPr>
          <w:rFonts w:hint="eastAsia" w:ascii="宋体" w:hAnsi="宋体" w:eastAsia="宋体" w:cs="宋体"/>
          <w:b/>
          <w:color w:val="000000"/>
          <w:sz w:val="28"/>
          <w:szCs w:val="28"/>
          <w:highlight w:val="none"/>
        </w:rPr>
        <w:t xml:space="preserve">五、公告期限</w:t>
      </w:r>
      <w:bookmarkEnd w:id="14"/>
      <w:r>
        <w:rPr>
          <w:rFonts w:hint="eastAsia" w:ascii="宋体" w:hAnsi="宋体" w:eastAsia="宋体" w:cs="宋体"/>
          <w:b/>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1503"/>
        <w:ind w:firstLine="562"/>
        <w:spacing w:line="440" w:lineRule="exact"/>
        <w:rPr>
          <w:rFonts w:hint="eastAsia" w:ascii="宋体" w:hAnsi="宋体" w:eastAsia="宋体" w:cs="宋体"/>
          <w:b/>
          <w:color w:val="000000"/>
          <w:sz w:val="28"/>
          <w:szCs w:val="28"/>
          <w:highlight w:val="none"/>
        </w:rPr>
        <w:outlineLvl w:val="1"/>
      </w:pPr>
      <w:r/>
      <w:bookmarkStart w:id="15" w:name="_Toc12080"/>
      <w:r>
        <w:rPr>
          <w:rFonts w:hint="eastAsia" w:ascii="宋体" w:hAnsi="宋体" w:eastAsia="宋体" w:cs="宋体"/>
          <w:b/>
          <w:color w:val="000000"/>
          <w:sz w:val="28"/>
          <w:szCs w:val="28"/>
          <w:highlight w:val="none"/>
        </w:rPr>
        <w:t xml:space="preserve">六、其他补充事宜</w:t>
      </w:r>
      <w:bookmarkEnd w:id="15"/>
      <w:r>
        <w:rPr>
          <w:rFonts w:hint="eastAsia" w:ascii="宋体" w:hAnsi="宋体" w:eastAsia="宋体" w:cs="宋体"/>
          <w:b/>
          <w:color w:val="000000"/>
          <w:sz w:val="28"/>
          <w:szCs w:val="28"/>
          <w:highlight w:val="none"/>
        </w:rPr>
      </w:r>
      <w:r/>
    </w:p>
    <w:p>
      <w:pPr>
        <w:pStyle w:val="1503"/>
        <w:ind w:firstLine="567"/>
        <w:spacing w:line="460" w:lineRule="exact"/>
        <w:rPr>
          <w:rFonts w:hint="eastAsia" w:ascii="宋体" w:hAnsi="宋体" w:eastAsia="宋体" w:cs="宋体"/>
          <w:color w:val="000000"/>
          <w:sz w:val="28"/>
          <w:szCs w:val="28"/>
          <w:highlight w:val="none"/>
        </w:rPr>
        <w:outlineLvl w:val="2"/>
      </w:pPr>
      <w:r/>
      <w:bookmarkStart w:id="16" w:name="_Toc27181"/>
      <w:r>
        <w:rPr>
          <w:rFonts w:hint="eastAsia" w:ascii="宋体" w:hAnsi="宋体" w:eastAsia="宋体" w:cs="宋体"/>
          <w:color w:val="000000"/>
          <w:sz w:val="28"/>
          <w:szCs w:val="28"/>
          <w:highlight w:val="none"/>
        </w:rPr>
        <w:t xml:space="preserve">1.投标保证金：免收</w:t>
      </w:r>
      <w:bookmarkEnd w:id="16"/>
      <w:r>
        <w:rPr>
          <w:rStyle w:val="1636"/>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firstLine="567"/>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2.项目开标活动模式：不见面远程开标模式，投标人在各自地点通过不见面交易系统参加开标会。</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3.项目演示：详见采购文件。</w:t>
      </w:r>
      <w:r>
        <w:rPr>
          <w:rFonts w:hint="eastAsia" w:ascii="宋体" w:hAnsi="宋体" w:cs="宋体"/>
          <w:b/>
          <w:bCs/>
          <w:color w:val="000000"/>
          <w:sz w:val="28"/>
          <w:szCs w:val="28"/>
          <w:highlight w:val="none"/>
        </w:rPr>
        <w:t xml:space="preserve">投标人根据</w:t>
      </w:r>
      <w:r>
        <w:rPr>
          <w:rFonts w:hint="eastAsia" w:ascii="宋体" w:hAnsi="宋体" w:cs="宋体"/>
          <w:b/>
          <w:bCs/>
          <w:color w:val="000000"/>
          <w:sz w:val="28"/>
          <w:szCs w:val="28"/>
          <w:highlight w:val="none"/>
          <w:lang w:eastAsia="zh-CN"/>
        </w:rPr>
        <w:t xml:space="preserve">对应采购包</w:t>
      </w:r>
      <w:r>
        <w:rPr>
          <w:rFonts w:hint="eastAsia" w:ascii="宋体" w:hAnsi="宋体" w:cs="宋体"/>
          <w:b/>
          <w:bCs/>
          <w:color w:val="000000"/>
          <w:sz w:val="28"/>
          <w:szCs w:val="28"/>
          <w:highlight w:val="none"/>
        </w:rPr>
        <w:t xml:space="preserve">技术</w:t>
      </w:r>
      <w:r>
        <w:rPr>
          <w:rFonts w:hint="eastAsia" w:ascii="宋体" w:hAnsi="宋体" w:cs="宋体"/>
          <w:b/>
          <w:bCs/>
          <w:color w:val="000000"/>
          <w:sz w:val="28"/>
          <w:szCs w:val="28"/>
          <w:highlight w:val="none"/>
          <w:lang w:eastAsia="zh-CN"/>
        </w:rPr>
        <w:t xml:space="preserve">要求需要</w:t>
      </w:r>
      <w:r>
        <w:rPr>
          <w:rFonts w:hint="eastAsia" w:ascii="宋体" w:hAnsi="宋体" w:cs="宋体"/>
          <w:b/>
          <w:bCs/>
          <w:color w:val="000000"/>
          <w:sz w:val="28"/>
          <w:szCs w:val="28"/>
          <w:highlight w:val="none"/>
        </w:rPr>
        <w:t xml:space="preserve">提供</w:t>
      </w:r>
      <w:r>
        <w:rPr>
          <w:rFonts w:hint="eastAsia" w:ascii="宋体" w:hAnsi="宋体" w:cs="宋体"/>
          <w:b/>
          <w:bCs/>
          <w:color w:val="000000"/>
          <w:sz w:val="28"/>
          <w:szCs w:val="28"/>
          <w:highlight w:val="none"/>
          <w:lang w:eastAsia="zh-CN"/>
        </w:rPr>
        <w:t xml:space="preserve">视频文件的</w:t>
      </w:r>
      <w:r>
        <w:rPr>
          <w:rFonts w:hint="eastAsia" w:ascii="宋体" w:hAnsi="宋体" w:cs="宋体"/>
          <w:b/>
          <w:bCs/>
          <w:color w:val="000000"/>
          <w:sz w:val="28"/>
          <w:szCs w:val="28"/>
          <w:highlight w:val="none"/>
        </w:rPr>
        <w:t xml:space="preserve">，视频文件的格式为*.mp4或*.avi，投标人须将视频文件分段压缩为*.zip文件上传（单个文件不得大于50M，所有文件总共不得大于300M）。文件上传方式见《操作手册》规定，上传的视频将作为投标文件的组成部分，视频时长总计不超过</w:t>
      </w:r>
      <w:r>
        <w:rPr>
          <w:rFonts w:ascii="宋体" w:hAnsi="宋体" w:cs="宋体"/>
          <w:b/>
          <w:bCs/>
          <w:color w:val="000000"/>
          <w:sz w:val="28"/>
          <w:szCs w:val="28"/>
          <w:highlight w:val="none"/>
        </w:rPr>
        <w:t xml:space="preserve">30</w:t>
      </w:r>
      <w:r>
        <w:rPr>
          <w:rFonts w:hint="eastAsia" w:ascii="宋体" w:hAnsi="宋体" w:cs="宋体"/>
          <w:b/>
          <w:bCs/>
          <w:color w:val="000000"/>
          <w:sz w:val="28"/>
          <w:szCs w:val="28"/>
          <w:highlight w:val="none"/>
        </w:rPr>
        <w:t xml:space="preserve">分钟。</w:t>
      </w:r>
      <w:r>
        <w:rPr>
          <w:rFonts w:hint="eastAsia" w:ascii="宋体" w:hAnsi="宋体" w:eastAsia="宋体" w:cs="宋体"/>
          <w:color w:val="000000"/>
          <w:sz w:val="28"/>
          <w:szCs w:val="28"/>
          <w:highlight w:val="none"/>
        </w:rPr>
      </w:r>
      <w:r/>
    </w:p>
    <w:p>
      <w:pPr>
        <w:pStyle w:val="1503"/>
        <w:ind w:firstLine="567"/>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bookmarkStart w:id="17" w:name="_Toc17541"/>
      <w:r>
        <w:rPr>
          <w:rFonts w:hint="eastAsia" w:ascii="宋体" w:hAnsi="宋体" w:eastAsia="宋体" w:cs="宋体"/>
          <w:color w:val="000000"/>
          <w:sz w:val="28"/>
          <w:szCs w:val="28"/>
          <w:highlight w:val="none"/>
        </w:rPr>
        <w:t xml:space="preserve">6.本项目共4个采购包，投标人可投多个分包，但最多只能中一个包。本项目按包1至包4的自然顺序进行，投标人在4个采购包投标中可以兼投、不可以兼中；每个包确定1个中标人。若前面分包中标人如已递交后面分包投标文件，在后面分包资格审查环节做无效处理，不属于后面分包的合格投标人，自动丧失后面分包的评审资格。</w:t>
      </w:r>
      <w:r>
        <w:rPr>
          <w:rFonts w:hint="eastAsia" w:ascii="宋体" w:hAnsi="宋体" w:eastAsia="宋体" w:cs="宋体"/>
          <w:color w:val="000000"/>
          <w:sz w:val="28"/>
          <w:szCs w:val="28"/>
          <w:highlight w:val="none"/>
        </w:rPr>
      </w:r>
      <w:r/>
    </w:p>
    <w:p>
      <w:pPr>
        <w:pStyle w:val="1503"/>
        <w:ind w:firstLine="562"/>
        <w:spacing w:line="44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七、对本次招标提出询问，请按以下方式联系</w:t>
      </w:r>
      <w:bookmarkEnd w:id="17"/>
      <w:r>
        <w:rPr>
          <w:rFonts w:hint="eastAsia" w:ascii="宋体" w:hAnsi="宋体" w:eastAsia="宋体" w:cs="宋体"/>
          <w:b/>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bookmarkStart w:id="18" w:name="_Toc20676"/>
      <w:r>
        <w:rPr>
          <w:rFonts w:hint="eastAsia" w:ascii="宋体" w:hAnsi="宋体" w:eastAsia="宋体" w:cs="宋体"/>
          <w:color w:val="000000"/>
          <w:sz w:val="28"/>
          <w:szCs w:val="28"/>
          <w:highlight w:val="none"/>
        </w:rPr>
        <w:t xml:space="preserve">1.采购人信息</w:t>
      </w:r>
      <w:bookmarkEnd w:id="18"/>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bookmarkStart w:id="19" w:name="_Toc28359020"/>
      <w:r/>
      <w:bookmarkStart w:id="20" w:name="_Toc28359097"/>
      <w:r/>
      <w:bookmarkStart w:id="21" w:name="_Toc35393807"/>
      <w:r/>
      <w:bookmarkStart w:id="22" w:name="_Toc35393638"/>
      <w:r>
        <w:rPr>
          <w:rFonts w:hint="eastAsia" w:ascii="宋体" w:hAnsi="宋体" w:eastAsia="宋体" w:cs="宋体"/>
          <w:color w:val="000000"/>
          <w:sz w:val="28"/>
          <w:szCs w:val="28"/>
          <w:highlight w:val="none"/>
        </w:rPr>
        <w:t xml:space="preserve">名称：南通市产品质量监督检验所　　　　　　　　　　　　</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bookmarkEnd w:id="19"/>
      <w:r/>
      <w:bookmarkEnd w:id="20"/>
      <w:r/>
      <w:bookmarkEnd w:id="21"/>
      <w:r/>
      <w:bookmarkEnd w:id="22"/>
      <w:r>
        <w:rPr>
          <w:rFonts w:hint="eastAsia" w:ascii="宋体" w:hAnsi="宋体" w:eastAsia="宋体" w:cs="宋体"/>
          <w:color w:val="000000"/>
          <w:sz w:val="28"/>
          <w:szCs w:val="28"/>
          <w:highlight w:val="none"/>
        </w:rPr>
        <w:t xml:space="preserve">地址：南通市崇川区国强路119号</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联系人：赵先生</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联系方式：051351008631，13382383756</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2.代理机构信息</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名称：南通苏采招投标咨询服务有限公司</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地址：南通市海外联谊大厦</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联系方式：汤工18251369818</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1.公开招标文件</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2.采购人信用承诺书</w:t>
      </w:r>
      <w:r>
        <w:rPr>
          <w:rFonts w:hint="eastAsia" w:ascii="宋体" w:hAnsi="宋体" w:eastAsia="宋体" w:cs="宋体"/>
          <w:color w:val="000000"/>
          <w:sz w:val="28"/>
          <w:szCs w:val="28"/>
          <w:highlight w:val="none"/>
        </w:rPr>
      </w:r>
      <w:r/>
    </w:p>
    <w:p>
      <w:pPr>
        <w:pStyle w:val="1503"/>
        <w:jc w:val="center"/>
        <w:rPr>
          <w:rFonts w:hint="eastAsia" w:ascii="宋体" w:hAnsi="宋体" w:eastAsia="宋体" w:cs="宋体"/>
          <w:bCs/>
          <w:color w:val="000000"/>
          <w:sz w:val="36"/>
          <w:szCs w:val="36"/>
          <w:highlight w:val="none"/>
        </w:rPr>
        <w:outlineLvl w:val="0"/>
      </w:pPr>
      <w:r/>
      <w:bookmarkStart w:id="23" w:name="_Toc28364"/>
      <w:r/>
      <w:bookmarkStart w:id="24" w:name="_Toc12269"/>
      <w:r>
        <w:rPr>
          <w:rFonts w:hint="eastAsia" w:ascii="宋体" w:hAnsi="宋体" w:eastAsia="宋体" w:cs="宋体"/>
          <w:bCs/>
          <w:color w:val="000000"/>
          <w:sz w:val="36"/>
          <w:szCs w:val="36"/>
          <w:highlight w:val="none"/>
        </w:rPr>
        <w:t xml:space="preserve">第二部分</w:t>
      </w: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rPr>
        <w:t xml:space="preserve">投标须知</w:t>
      </w:r>
      <w:bookmarkEnd w:id="23"/>
      <w:r/>
      <w:bookmarkEnd w:id="24"/>
      <w:r>
        <w:rPr>
          <w:rFonts w:hint="eastAsia" w:ascii="宋体" w:hAnsi="宋体" w:eastAsia="宋体" w:cs="宋体"/>
          <w:bCs/>
          <w:color w:val="000000"/>
          <w:sz w:val="36"/>
          <w:szCs w:val="36"/>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25" w:name="_Toc120614214"/>
      <w:r/>
      <w:bookmarkStart w:id="26" w:name="_Toc16938519"/>
      <w:r/>
      <w:bookmarkStart w:id="27" w:name="_Toc513029203"/>
      <w:r/>
      <w:bookmarkStart w:id="28" w:name="_Toc2896"/>
      <w:r/>
      <w:bookmarkStart w:id="29" w:name="_Toc20823275"/>
      <w:r>
        <w:rPr>
          <w:rFonts w:hint="eastAsia" w:ascii="宋体" w:hAnsi="宋体" w:eastAsia="宋体" w:cs="宋体"/>
          <w:color w:val="000000"/>
          <w:sz w:val="28"/>
          <w:szCs w:val="28"/>
          <w:highlight w:val="none"/>
        </w:rPr>
        <w:t xml:space="preserve">一、总则</w:t>
      </w:r>
      <w:bookmarkEnd w:id="25"/>
      <w:r/>
      <w:bookmarkEnd w:id="26"/>
      <w:r/>
      <w:bookmarkEnd w:id="27"/>
      <w:r/>
      <w:bookmarkEnd w:id="28"/>
      <w:r/>
      <w:bookmarkEnd w:id="29"/>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30" w:name="_Hlt16619475"/>
      <w:r/>
      <w:bookmarkEnd w:id="30"/>
      <w:r/>
      <w:bookmarkStart w:id="31" w:name="_Toc458694821"/>
      <w:r/>
      <w:bookmarkStart w:id="32" w:name="_Toc16938520"/>
      <w:r/>
      <w:bookmarkStart w:id="33" w:name="_Toc20823276"/>
      <w:r/>
      <w:bookmarkStart w:id="34" w:name="_Toc2940"/>
      <w:r/>
      <w:bookmarkStart w:id="35" w:name="_Toc513029204"/>
      <w:r>
        <w:rPr>
          <w:rFonts w:hint="eastAsia" w:ascii="宋体" w:hAnsi="宋体" w:eastAsia="宋体" w:cs="宋体"/>
          <w:color w:val="000000"/>
          <w:sz w:val="28"/>
          <w:szCs w:val="28"/>
          <w:highlight w:val="none"/>
        </w:rPr>
        <w:t xml:space="preserve">1</w:t>
      </w:r>
      <w:bookmarkEnd w:id="31"/>
      <w:r>
        <w:rPr>
          <w:rFonts w:hint="eastAsia" w:ascii="宋体" w:hAnsi="宋体" w:eastAsia="宋体" w:cs="宋体"/>
          <w:color w:val="000000"/>
          <w:sz w:val="28"/>
          <w:szCs w:val="28"/>
          <w:highlight w:val="none"/>
        </w:rPr>
        <w:t xml:space="preserve">.招标方式</w:t>
      </w:r>
      <w:bookmarkEnd w:id="32"/>
      <w:r/>
      <w:bookmarkEnd w:id="33"/>
      <w:r/>
      <w:bookmarkEnd w:id="34"/>
      <w:r/>
      <w:bookmarkEnd w:id="35"/>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36" w:name="_Toc513029205"/>
      <w:r/>
      <w:bookmarkStart w:id="37" w:name="_Toc20823277"/>
      <w:r/>
      <w:bookmarkStart w:id="38" w:name="_Toc16938521"/>
      <w:r/>
      <w:bookmarkStart w:id="39" w:name="_Toc32621"/>
      <w:r>
        <w:rPr>
          <w:rFonts w:hint="eastAsia" w:ascii="宋体" w:hAnsi="宋体" w:eastAsia="宋体" w:cs="宋体"/>
          <w:color w:val="000000"/>
          <w:sz w:val="28"/>
          <w:szCs w:val="28"/>
          <w:highlight w:val="none"/>
        </w:rPr>
        <w:t xml:space="preserve">2.合格的投标人</w:t>
      </w:r>
      <w:bookmarkEnd w:id="36"/>
      <w:r/>
      <w:bookmarkEnd w:id="37"/>
      <w:r/>
      <w:bookmarkEnd w:id="38"/>
      <w:r/>
      <w:bookmarkEnd w:id="39"/>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2.1满足招标公告中投标人的资格要求的规定。</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40" w:name="_Toc1005"/>
      <w:r/>
      <w:bookmarkStart w:id="41" w:name="_Toc20823278"/>
      <w:r/>
      <w:bookmarkStart w:id="42" w:name="_Toc513029206"/>
      <w:r/>
      <w:bookmarkStart w:id="43" w:name="_Toc16938522"/>
      <w:r>
        <w:rPr>
          <w:rFonts w:hint="eastAsia" w:ascii="宋体" w:hAnsi="宋体" w:eastAsia="宋体" w:cs="宋体"/>
          <w:color w:val="000000"/>
          <w:sz w:val="28"/>
          <w:szCs w:val="28"/>
          <w:highlight w:val="none"/>
        </w:rPr>
        <w:t xml:space="preserve">3.适用法律</w:t>
      </w:r>
      <w:bookmarkEnd w:id="40"/>
      <w:r/>
      <w:bookmarkEnd w:id="41"/>
      <w:r/>
      <w:bookmarkEnd w:id="42"/>
      <w:r/>
      <w:bookmarkEnd w:id="43"/>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44" w:name="_Toc20823279"/>
      <w:r/>
      <w:bookmarkStart w:id="45" w:name="_Toc23647"/>
      <w:r/>
      <w:bookmarkStart w:id="46" w:name="_Toc16938523"/>
      <w:r/>
      <w:bookmarkStart w:id="47" w:name="_Toc462564067"/>
      <w:r/>
      <w:bookmarkStart w:id="48" w:name="_Toc513029207"/>
      <w:r>
        <w:rPr>
          <w:rFonts w:hint="eastAsia" w:ascii="宋体" w:hAnsi="宋体" w:eastAsia="宋体" w:cs="宋体"/>
          <w:color w:val="000000"/>
          <w:sz w:val="28"/>
          <w:szCs w:val="28"/>
          <w:highlight w:val="none"/>
        </w:rPr>
        <w:t xml:space="preserve">4.投标费用</w:t>
      </w:r>
      <w:bookmarkEnd w:id="44"/>
      <w:r/>
      <w:bookmarkEnd w:id="45"/>
      <w:r/>
      <w:bookmarkEnd w:id="46"/>
      <w:r/>
      <w:bookmarkEnd w:id="47"/>
      <w:r/>
      <w:bookmarkEnd w:id="48"/>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投标人应自行承担所有与参加投标有关的费用，无论投标过程中的做法和结果如何，南通苏采招投标咨询服务有限公司（以下简称招标代理机构）在任何情况下均无义务和责任承担这些费用。</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4.2本项目招标代理费按江苏省招标投标协会苏招协【2022】002号文件标准的50%计收（</w:t>
      </w:r>
      <w:r>
        <w:rPr>
          <w:rFonts w:hint="eastAsia" w:ascii="宋体" w:hAnsi="宋体" w:eastAsia="宋体" w:cs="宋体"/>
          <w:color w:val="000000"/>
          <w:sz w:val="28"/>
          <w:szCs w:val="28"/>
          <w:highlight w:val="none"/>
          <w:lang w:eastAsia="zh-CN"/>
        </w:rPr>
        <w:t xml:space="preserve">按采购包分别收取，</w:t>
      </w:r>
      <w:r>
        <w:rPr>
          <w:rFonts w:hint="eastAsia" w:ascii="宋体" w:hAnsi="宋体" w:eastAsia="宋体" w:cs="宋体"/>
          <w:color w:val="000000"/>
          <w:sz w:val="28"/>
          <w:szCs w:val="28"/>
          <w:highlight w:val="none"/>
        </w:rPr>
        <w:t xml:space="preserve">单个</w:t>
      </w:r>
      <w:r>
        <w:rPr>
          <w:rFonts w:hint="eastAsia" w:ascii="宋体" w:hAnsi="宋体" w:eastAsia="宋体" w:cs="宋体"/>
          <w:color w:val="000000"/>
          <w:sz w:val="28"/>
          <w:szCs w:val="28"/>
          <w:highlight w:val="none"/>
          <w:lang w:eastAsia="zh-CN"/>
        </w:rPr>
        <w:t xml:space="preserve">采购包</w:t>
      </w:r>
      <w:r>
        <w:rPr>
          <w:rFonts w:hint="eastAsia" w:ascii="宋体" w:hAnsi="宋体" w:eastAsia="宋体" w:cs="宋体"/>
          <w:color w:val="000000"/>
          <w:sz w:val="28"/>
          <w:szCs w:val="28"/>
          <w:highlight w:val="none"/>
        </w:rPr>
        <w:t xml:space="preserve">代理服务费保底收费2500元），由各采购包中标人承担。</w:t>
      </w:r>
      <w:r>
        <w:rPr>
          <w:rFonts w:hint="eastAsia" w:ascii="宋体" w:hAnsi="宋体" w:eastAsia="宋体" w:cs="宋体"/>
          <w:color w:val="000000"/>
          <w:sz w:val="28"/>
          <w:szCs w:val="28"/>
          <w:highlight w:val="none"/>
          <w:lang w:eastAsia="zh-CN"/>
        </w:rPr>
        <w:t xml:space="preserve">代理服务费包含在投标报价内，</w:t>
      </w:r>
      <w:r>
        <w:rPr>
          <w:rFonts w:hint="eastAsia" w:ascii="宋体" w:hAnsi="宋体" w:eastAsia="宋体" w:cs="宋体"/>
          <w:color w:val="000000"/>
          <w:sz w:val="28"/>
          <w:szCs w:val="28"/>
          <w:highlight w:val="none"/>
        </w:rPr>
        <w:t xml:space="preserve">投标人报价时应综合考虑（不单列）</w:t>
      </w:r>
      <w:r>
        <w:rPr>
          <w:rFonts w:hint="eastAsia" w:ascii="宋体" w:hAnsi="宋体" w:eastAsia="宋体" w:cs="宋体"/>
          <w:color w:val="000000"/>
          <w:sz w:val="28"/>
          <w:szCs w:val="28"/>
          <w:highlight w:val="none"/>
        </w:rPr>
      </w:r>
      <w:r/>
    </w:p>
    <w:p>
      <w:pPr>
        <w:pStyle w:val="1503"/>
        <w:ind w:firstLine="560"/>
        <w:spacing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支付要求：</w:t>
      </w:r>
      <w:r>
        <w:rPr>
          <w:rFonts w:hint="eastAsia" w:ascii="宋体" w:hAnsi="宋体" w:cs="宋体"/>
          <w:color w:val="000000"/>
          <w:sz w:val="28"/>
          <w:szCs w:val="28"/>
          <w:highlight w:val="none"/>
          <w:lang w:val="en-US" w:eastAsia="zh-CN"/>
        </w:rPr>
        <w:t xml:space="preserve">中标人</w:t>
      </w:r>
      <w:r>
        <w:rPr>
          <w:rFonts w:hint="eastAsia" w:ascii="宋体" w:hAnsi="宋体" w:cs="宋体"/>
          <w:color w:val="000000"/>
          <w:sz w:val="28"/>
          <w:szCs w:val="28"/>
          <w:highlight w:val="none"/>
        </w:rPr>
        <w:t xml:space="preserve">在</w:t>
      </w:r>
      <w:r>
        <w:rPr>
          <w:rFonts w:hint="eastAsia" w:ascii="宋体" w:hAnsi="宋体" w:cs="宋体"/>
          <w:color w:val="000000"/>
          <w:sz w:val="28"/>
          <w:szCs w:val="28"/>
          <w:highlight w:val="none"/>
          <w:lang w:val="en-US" w:eastAsia="zh-CN"/>
        </w:rPr>
        <w:t xml:space="preserve">中标</w:t>
      </w:r>
      <w:r>
        <w:rPr>
          <w:rFonts w:hint="eastAsia" w:ascii="宋体" w:hAnsi="宋体" w:cs="宋体"/>
          <w:color w:val="000000"/>
          <w:sz w:val="28"/>
          <w:szCs w:val="28"/>
          <w:highlight w:val="none"/>
        </w:rPr>
        <w:t xml:space="preserve">结果公告期满、领取</w:t>
      </w:r>
      <w:r>
        <w:rPr>
          <w:rFonts w:hint="eastAsia" w:ascii="宋体" w:hAnsi="宋体" w:cs="宋体"/>
          <w:color w:val="000000"/>
          <w:sz w:val="28"/>
          <w:szCs w:val="28"/>
          <w:highlight w:val="none"/>
          <w:lang w:val="en-US" w:eastAsia="zh-CN"/>
        </w:rPr>
        <w:t xml:space="preserve">中标</w:t>
      </w:r>
      <w:r>
        <w:rPr>
          <w:rFonts w:hint="eastAsia" w:ascii="宋体" w:hAnsi="宋体" w:cs="宋体"/>
          <w:color w:val="000000"/>
          <w:sz w:val="28"/>
          <w:szCs w:val="28"/>
          <w:highlight w:val="none"/>
        </w:rPr>
        <w:t xml:space="preserve">通知书前，一次性足额向采购代理机构缴纳代理服务费；代理机构收到费用后开具合法有效票据。</w:t>
      </w:r>
      <w:r>
        <w:rPr>
          <w:rFonts w:hint="eastAsia" w:ascii="宋体" w:hAnsi="宋体" w:cs="宋体"/>
          <w:color w:val="000000"/>
          <w:sz w:val="28"/>
          <w:szCs w:val="28"/>
          <w:highlight w:val="none"/>
        </w:rPr>
      </w:r>
      <w:r/>
    </w:p>
    <w:p>
      <w:pPr>
        <w:pStyle w:val="1503"/>
        <w:ind w:firstLine="560"/>
        <w:spacing w:line="5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退费规则：（1）仅因采购代理机构、采购人原因取消采购、作废项目的，全额退还已缴纳代理费；（2）</w:t>
      </w:r>
      <w:r>
        <w:rPr>
          <w:rFonts w:hint="eastAsia" w:ascii="宋体" w:hAnsi="宋体" w:cs="宋体"/>
          <w:color w:val="000000"/>
          <w:sz w:val="28"/>
          <w:szCs w:val="28"/>
          <w:highlight w:val="none"/>
          <w:lang w:val="en-US" w:eastAsia="zh-CN"/>
        </w:rPr>
        <w:t xml:space="preserve">中标人</w:t>
      </w:r>
      <w:r>
        <w:rPr>
          <w:rFonts w:hint="eastAsia" w:ascii="宋体" w:hAnsi="宋体" w:cs="宋体"/>
          <w:color w:val="000000"/>
          <w:sz w:val="28"/>
          <w:szCs w:val="28"/>
          <w:highlight w:val="none"/>
        </w:rPr>
        <w:t xml:space="preserve">无正当理由放弃成交、提供虚假材料被取消成交资格的，代理机构不予退费（评审、文件编制、公告等全部代理服务完成需附工作记录备查）。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color w:val="000000"/>
          <w:sz w:val="28"/>
          <w:szCs w:val="28"/>
          <w:highlight w:val="none"/>
          <w:lang w:val="zh-CN"/>
        </w:rPr>
        <w:t xml:space="preserve">代理费定标后由</w:t>
      </w:r>
      <w:r>
        <w:rPr>
          <w:rFonts w:hint="eastAsia" w:ascii="宋体" w:hAnsi="宋体" w:eastAsia="宋体" w:cs="宋体"/>
          <w:color w:val="000000"/>
          <w:sz w:val="28"/>
          <w:szCs w:val="28"/>
          <w:highlight w:val="none"/>
        </w:rPr>
        <w:t xml:space="preserve">中标</w:t>
      </w:r>
      <w:r>
        <w:rPr>
          <w:rFonts w:hint="eastAsia" w:ascii="宋体" w:hAnsi="宋体" w:eastAsia="宋体" w:cs="宋体"/>
          <w:color w:val="000000"/>
          <w:sz w:val="28"/>
          <w:szCs w:val="28"/>
          <w:highlight w:val="none"/>
          <w:lang w:val="zh-CN"/>
        </w:rPr>
        <w:t xml:space="preserve">候选人支付给代理机构。因</w:t>
      </w:r>
      <w:r>
        <w:rPr>
          <w:rFonts w:hint="eastAsia" w:ascii="宋体" w:hAnsi="宋体" w:eastAsia="宋体" w:cs="宋体"/>
          <w:color w:val="000000"/>
          <w:sz w:val="28"/>
          <w:szCs w:val="28"/>
          <w:highlight w:val="none"/>
        </w:rPr>
        <w:t xml:space="preserve">中标人</w:t>
      </w:r>
      <w:r>
        <w:rPr>
          <w:rFonts w:hint="eastAsia" w:ascii="宋体" w:hAnsi="宋体" w:eastAsia="宋体" w:cs="宋体"/>
          <w:color w:val="000000"/>
          <w:sz w:val="28"/>
          <w:szCs w:val="28"/>
          <w:highlight w:val="none"/>
          <w:lang w:val="zh-CN"/>
        </w:rPr>
        <w:t xml:space="preserve">原因导致</w:t>
      </w:r>
      <w:r>
        <w:rPr>
          <w:rFonts w:hint="eastAsia" w:ascii="宋体" w:hAnsi="宋体" w:eastAsia="宋体" w:cs="宋体"/>
          <w:color w:val="000000"/>
          <w:sz w:val="28"/>
          <w:szCs w:val="28"/>
          <w:highlight w:val="none"/>
        </w:rPr>
        <w:t xml:space="preserve">中标</w:t>
      </w:r>
      <w:r>
        <w:rPr>
          <w:rFonts w:hint="eastAsia" w:ascii="宋体" w:hAnsi="宋体" w:eastAsia="宋体" w:cs="宋体"/>
          <w:color w:val="000000"/>
          <w:sz w:val="28"/>
          <w:szCs w:val="28"/>
          <w:highlight w:val="none"/>
          <w:lang w:val="zh-CN"/>
        </w:rPr>
        <w:t xml:space="preserve">结果变更或取消</w:t>
      </w:r>
      <w:r>
        <w:rPr>
          <w:rFonts w:hint="eastAsia" w:ascii="宋体" w:hAnsi="宋体" w:eastAsia="宋体" w:cs="宋体"/>
          <w:color w:val="000000"/>
          <w:sz w:val="28"/>
          <w:szCs w:val="28"/>
          <w:highlight w:val="none"/>
        </w:rPr>
        <w:t xml:space="preserve">中标</w:t>
      </w:r>
      <w:r>
        <w:rPr>
          <w:rFonts w:hint="eastAsia" w:ascii="宋体" w:hAnsi="宋体" w:eastAsia="宋体" w:cs="宋体"/>
          <w:color w:val="000000"/>
          <w:sz w:val="28"/>
          <w:szCs w:val="28"/>
          <w:highlight w:val="none"/>
          <w:lang w:val="zh-CN"/>
        </w:rPr>
        <w:t xml:space="preserve">资格等，代理费不予退还。</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49" w:name="_Toc19559"/>
      <w:r>
        <w:rPr>
          <w:rFonts w:hint="eastAsia" w:ascii="宋体" w:hAnsi="宋体" w:eastAsia="宋体" w:cs="宋体"/>
          <w:color w:val="000000"/>
          <w:sz w:val="28"/>
          <w:szCs w:val="28"/>
          <w:highlight w:val="none"/>
        </w:rPr>
        <w:t xml:space="preserve">5.招标文件的约束力</w:t>
      </w:r>
      <w:bookmarkEnd w:id="49"/>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2"/>
      </w:pPr>
      <w:r/>
      <w:bookmarkStart w:id="50" w:name="_Toc20136"/>
      <w:r>
        <w:rPr>
          <w:rFonts w:hint="eastAsia" w:ascii="宋体" w:hAnsi="宋体" w:eastAsia="宋体" w:cs="宋体"/>
          <w:color w:val="000000"/>
          <w:sz w:val="28"/>
          <w:szCs w:val="28"/>
          <w:highlight w:val="none"/>
        </w:rPr>
        <w:t xml:space="preserve">6.招标文件的解释</w:t>
      </w:r>
      <w:bookmarkEnd w:id="50"/>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招标文件需求部分（投标人资格要求、项目需求、商务技术评分标准）由采购人解释，其他部分由代理机构解释。</w:t>
      </w:r>
      <w:r>
        <w:rPr>
          <w:rFonts w:hint="eastAsia" w:ascii="宋体" w:hAnsi="宋体" w:eastAsia="宋体" w:cs="宋体"/>
          <w:color w:val="000000"/>
          <w:sz w:val="28"/>
          <w:szCs w:val="28"/>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51" w:name="_Toc20823281"/>
      <w:r/>
      <w:bookmarkStart w:id="52" w:name="_Toc513029209"/>
      <w:r/>
      <w:bookmarkStart w:id="53" w:name="_Toc16938525"/>
      <w:r/>
      <w:bookmarkStart w:id="54" w:name="_Toc21896"/>
      <w:r/>
      <w:bookmarkStart w:id="55" w:name="_Toc120614215"/>
      <w:r>
        <w:rPr>
          <w:rFonts w:hint="eastAsia" w:ascii="宋体" w:hAnsi="宋体" w:eastAsia="宋体" w:cs="宋体"/>
          <w:color w:val="000000"/>
          <w:sz w:val="28"/>
          <w:szCs w:val="28"/>
          <w:highlight w:val="none"/>
        </w:rPr>
        <w:t xml:space="preserve">二、招标文件</w:t>
      </w:r>
      <w:bookmarkEnd w:id="51"/>
      <w:r/>
      <w:bookmarkEnd w:id="52"/>
      <w:r/>
      <w:bookmarkEnd w:id="53"/>
      <w:r/>
      <w:bookmarkEnd w:id="54"/>
      <w:r/>
      <w:bookmarkEnd w:id="55"/>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56" w:name="_Toc18925"/>
      <w:r/>
      <w:bookmarkStart w:id="57" w:name="_Toc513029210"/>
      <w:r/>
      <w:bookmarkStart w:id="58" w:name="_Toc16938526"/>
      <w:r/>
      <w:bookmarkStart w:id="59" w:name="_Toc20823282"/>
      <w:r>
        <w:rPr>
          <w:rFonts w:hint="eastAsia" w:ascii="宋体" w:hAnsi="宋体" w:eastAsia="宋体" w:cs="宋体"/>
          <w:color w:val="000000"/>
          <w:sz w:val="28"/>
          <w:szCs w:val="28"/>
          <w:highlight w:val="none"/>
        </w:rPr>
        <w:t xml:space="preserve">1.招标文件构成</w:t>
      </w:r>
      <w:bookmarkEnd w:id="56"/>
      <w:r/>
      <w:bookmarkEnd w:id="57"/>
      <w:r/>
      <w:bookmarkEnd w:id="58"/>
      <w:r/>
      <w:bookmarkEnd w:id="59"/>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（1）招标邀请</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（5）投标文件组成</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请仔细检查招标文件是否齐全，如有缺漏请立即与代理机构联系解决。</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60" w:name="_Toc16938527"/>
      <w:r/>
      <w:bookmarkStart w:id="61" w:name="_Toc513029211"/>
      <w:r/>
      <w:bookmarkStart w:id="62" w:name="_Toc20823283"/>
      <w:r/>
      <w:bookmarkStart w:id="63" w:name="_Toc462564070"/>
      <w:r/>
      <w:bookmarkStart w:id="64" w:name="_Toc31712"/>
      <w:r>
        <w:rPr>
          <w:rFonts w:hint="eastAsia" w:ascii="宋体" w:hAnsi="宋体" w:eastAsia="宋体" w:cs="宋体"/>
          <w:color w:val="000000"/>
          <w:sz w:val="28"/>
          <w:szCs w:val="28"/>
          <w:highlight w:val="none"/>
        </w:rPr>
        <w:t xml:space="preserve">2.招标文件的澄清</w:t>
      </w:r>
      <w:bookmarkEnd w:id="60"/>
      <w:r/>
      <w:bookmarkEnd w:id="61"/>
      <w:r/>
      <w:bookmarkEnd w:id="62"/>
      <w:r/>
      <w:bookmarkEnd w:id="63"/>
      <w:r/>
      <w:bookmarkEnd w:id="64"/>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65" w:name="_Toc513029212"/>
      <w:r/>
      <w:bookmarkStart w:id="66" w:name="_Toc31249"/>
      <w:r/>
      <w:bookmarkStart w:id="67" w:name="_Toc16938528"/>
      <w:r/>
      <w:bookmarkStart w:id="68" w:name="_Toc462564071"/>
      <w:r/>
      <w:bookmarkStart w:id="69" w:name="_Toc20823284"/>
      <w:r>
        <w:rPr>
          <w:rFonts w:hint="eastAsia" w:ascii="宋体" w:hAnsi="宋体" w:eastAsia="宋体" w:cs="宋体"/>
          <w:color w:val="000000"/>
          <w:sz w:val="28"/>
          <w:szCs w:val="28"/>
          <w:highlight w:val="none"/>
        </w:rPr>
        <w:t xml:space="preserve">3.招标文件的修改</w:t>
      </w:r>
      <w:bookmarkEnd w:id="65"/>
      <w:r/>
      <w:bookmarkEnd w:id="66"/>
      <w:r/>
      <w:bookmarkEnd w:id="67"/>
      <w:r/>
      <w:bookmarkEnd w:id="68"/>
      <w:r/>
      <w:bookmarkEnd w:id="69"/>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在投标截止时间前，代理机构可以对招标文件进行修改。</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rPr>
        <w:t xml:space="preserve">代理机构有权按照法定的要求推迟投标截止日期和开标日期。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招标文件的修改将在江苏省政府采购网公布，补充文件将作为招标文件的组成部分，并对投标人具有约束力。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1503"/>
        <w:ind w:firstLine="482"/>
        <w:spacing w:line="460" w:lineRule="exact"/>
        <w:rPr>
          <w:rFonts w:hint="eastAsia" w:ascii="宋体" w:hAnsi="宋体" w:eastAsia="宋体" w:cs="宋体"/>
          <w:b/>
          <w:bCs/>
          <w:color w:val="000000"/>
          <w:sz w:val="28"/>
          <w:szCs w:val="28"/>
          <w:highlight w:val="none"/>
          <w:u w:val="single"/>
        </w:rPr>
      </w:pPr>
      <w:r/>
      <w:bookmarkStart w:id="70" w:name="_Toc16938529"/>
      <w:r/>
      <w:bookmarkStart w:id="71" w:name="_Toc462564072"/>
      <w:r/>
      <w:bookmarkStart w:id="72" w:name="_Toc120614216"/>
      <w:r/>
      <w:bookmarkStart w:id="73" w:name="_Toc20823285"/>
      <w:r/>
      <w:bookmarkStart w:id="74" w:name="_Toc513029213"/>
      <w:r>
        <w:rPr>
          <w:rFonts w:hint="eastAsia" w:ascii="宋体" w:hAnsi="宋体" w:eastAsia="宋体" w:cs="宋体"/>
          <w:b/>
          <w:bCs/>
          <w:color w:val="000000"/>
          <w:sz w:val="28"/>
          <w:szCs w:val="28"/>
          <w:highlight w:val="none"/>
          <w:u w:val="single"/>
        </w:rPr>
        <w:t xml:space="preserve">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hint="eastAsia" w:ascii="宋体" w:hAnsi="宋体" w:eastAsia="宋体" w:cs="宋体"/>
          <w:b/>
          <w:bCs/>
          <w:color w:val="000000"/>
          <w:sz w:val="28"/>
          <w:szCs w:val="28"/>
          <w:highlight w:val="none"/>
          <w:u w:val="single"/>
        </w:rPr>
      </w:r>
      <w:r/>
    </w:p>
    <w:p>
      <w:pPr>
        <w:pStyle w:val="1503"/>
        <w:ind w:firstLine="48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5.投标人对采购人提供的招标文件所做出的推论、解释和结论，采购人概不负责。投标人由于对招标文件的任何推论和误解以及采购人对有关问题的口头解释所造成的后果，均由各潜在投标人自负。</w:t>
      </w:r>
      <w:r>
        <w:rPr>
          <w:rFonts w:hint="eastAsia" w:ascii="宋体" w:hAnsi="宋体" w:eastAsia="宋体" w:cs="宋体"/>
          <w:color w:val="000000"/>
          <w:sz w:val="24"/>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75" w:name="_Toc16140"/>
      <w:r>
        <w:rPr>
          <w:rFonts w:hint="eastAsia" w:ascii="宋体" w:hAnsi="宋体" w:eastAsia="宋体" w:cs="宋体"/>
          <w:color w:val="000000"/>
          <w:sz w:val="28"/>
          <w:szCs w:val="28"/>
          <w:highlight w:val="none"/>
        </w:rPr>
        <w:t xml:space="preserve">三、投标文件的编制</w:t>
      </w:r>
      <w:bookmarkEnd w:id="70"/>
      <w:r/>
      <w:bookmarkEnd w:id="71"/>
      <w:r/>
      <w:bookmarkEnd w:id="72"/>
      <w:r/>
      <w:bookmarkEnd w:id="73"/>
      <w:r/>
      <w:bookmarkEnd w:id="74"/>
      <w:r/>
      <w:bookmarkEnd w:id="75"/>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76" w:name="_Toc32352"/>
      <w:r/>
      <w:bookmarkStart w:id="77" w:name="_Toc20823286"/>
      <w:r/>
      <w:bookmarkStart w:id="78" w:name="_Toc513029214"/>
      <w:r/>
      <w:bookmarkStart w:id="79" w:name="_Toc16938530"/>
      <w:r/>
      <w:bookmarkStart w:id="80" w:name="_Toc462564073"/>
      <w:r>
        <w:rPr>
          <w:rFonts w:hint="eastAsia" w:ascii="宋体" w:hAnsi="宋体" w:eastAsia="宋体" w:cs="宋体"/>
          <w:color w:val="000000"/>
          <w:sz w:val="28"/>
          <w:szCs w:val="28"/>
          <w:highlight w:val="none"/>
        </w:rPr>
        <w:t xml:space="preserve">1.投标文件的语言及度量衡单位</w:t>
      </w:r>
      <w:bookmarkEnd w:id="76"/>
      <w:r/>
      <w:bookmarkEnd w:id="77"/>
      <w:r/>
      <w:bookmarkEnd w:id="78"/>
      <w:r/>
      <w:bookmarkEnd w:id="79"/>
      <w:r/>
      <w:bookmarkEnd w:id="80"/>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投标人提交的投标文件以及投标人与代理机构就有关投标的所有来往通知、函件和文件均应使用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81" w:name="_Toc462564074"/>
      <w:r/>
      <w:bookmarkStart w:id="82" w:name="_Toc28358"/>
      <w:r/>
      <w:bookmarkStart w:id="83" w:name="_Toc513029215"/>
      <w:r/>
      <w:bookmarkStart w:id="84" w:name="_Toc16938531"/>
      <w:r/>
      <w:bookmarkStart w:id="85" w:name="_Toc20823287"/>
      <w:r>
        <w:rPr>
          <w:rFonts w:hint="eastAsia" w:ascii="宋体" w:hAnsi="宋体" w:eastAsia="宋体" w:cs="宋体"/>
          <w:color w:val="000000"/>
          <w:sz w:val="28"/>
          <w:szCs w:val="28"/>
          <w:highlight w:val="none"/>
        </w:rPr>
        <w:t xml:space="preserve">2.投标文件构成</w:t>
      </w:r>
      <w:bookmarkEnd w:id="81"/>
      <w:r/>
      <w:bookmarkEnd w:id="82"/>
      <w:r/>
      <w:bookmarkEnd w:id="83"/>
      <w:r/>
      <w:bookmarkEnd w:id="84"/>
      <w:r/>
      <w:bookmarkEnd w:id="85"/>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投标人编写的投标文件应包括资格审查证明材料文件、商务技术标文件、价格标文件。投标人按“第五部分投标文件组成”要求编写投标文件</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86" w:name="_Hlt26670360"/>
      <w:r/>
      <w:bookmarkEnd w:id="86"/>
      <w:r/>
      <w:bookmarkStart w:id="87" w:name="_Hlt26954838"/>
      <w:r/>
      <w:bookmarkEnd w:id="87"/>
      <w:r/>
      <w:bookmarkStart w:id="88" w:name="_Hlt26668975"/>
      <w:r/>
      <w:bookmarkEnd w:id="88"/>
      <w:r/>
      <w:bookmarkStart w:id="89" w:name="_Toc49090511"/>
      <w:r/>
      <w:bookmarkStart w:id="90" w:name="_Toc14577360"/>
      <w:r/>
      <w:bookmarkStart w:id="91" w:name="_Toc18141"/>
      <w:r>
        <w:rPr>
          <w:rFonts w:hint="eastAsia" w:ascii="宋体" w:hAnsi="宋体" w:eastAsia="宋体" w:cs="宋体"/>
          <w:color w:val="000000"/>
          <w:sz w:val="28"/>
          <w:szCs w:val="28"/>
          <w:highlight w:val="none"/>
        </w:rPr>
        <w:t xml:space="preserve">3.投标有效期</w:t>
      </w:r>
      <w:bookmarkEnd w:id="89"/>
      <w:r/>
      <w:bookmarkEnd w:id="90"/>
      <w:r/>
      <w:bookmarkEnd w:id="91"/>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3.1投标有效期为代理机构规定的开标之日后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92" w:name="_Toc25966"/>
      <w:r>
        <w:rPr>
          <w:rFonts w:hint="eastAsia" w:ascii="宋体" w:hAnsi="宋体" w:eastAsia="宋体" w:cs="宋体"/>
          <w:color w:val="000000"/>
          <w:sz w:val="28"/>
          <w:szCs w:val="28"/>
          <w:highlight w:val="none"/>
        </w:rPr>
        <w:t xml:space="preserve">4.投标有效期的延长</w:t>
      </w:r>
      <w:bookmarkEnd w:id="92"/>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93" w:name="_Hlt26954739"/>
      <w:r/>
      <w:bookmarkEnd w:id="93"/>
      <w:r/>
      <w:bookmarkStart w:id="94" w:name="_Hlt26954852"/>
      <w:r/>
      <w:bookmarkEnd w:id="94"/>
      <w:r/>
      <w:bookmarkStart w:id="95" w:name="_Toc513029224"/>
      <w:r/>
      <w:bookmarkStart w:id="96" w:name="_Toc16938540"/>
      <w:r/>
      <w:bookmarkStart w:id="97" w:name="_Toc27948"/>
      <w:r/>
      <w:bookmarkStart w:id="98" w:name="_Toc20823296"/>
      <w:r/>
      <w:bookmarkStart w:id="99" w:name="_Toc120614217"/>
      <w:r>
        <w:rPr>
          <w:rFonts w:hint="eastAsia" w:ascii="宋体" w:hAnsi="宋体" w:eastAsia="宋体" w:cs="宋体"/>
          <w:bCs/>
          <w:color w:val="000000"/>
          <w:sz w:val="28"/>
          <w:szCs w:val="28"/>
          <w:highlight w:val="none"/>
        </w:rPr>
        <w:t xml:space="preserve">5.电子投标文件其他要求</w:t>
      </w:r>
      <w:bookmarkEnd w:id="97"/>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5.1电子招标投标交易平台（即“苏采云”系统）相关要求是本招标文件的组成部分。</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5.2投标人应对CA证书妥善保管，如被他人盗用投标，因此带来的结果均由投标人自行承担。</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5.3投标人应当对招标文件提出的实质性要求和条件作出实质性响应，并在电子投标系统逐条应答。</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5.4投标人应对要求提供的资格证明文件（如资质证书、资格证书）、技术资料（如白皮书、彩页、手册、检测报告等）扫描上传至投标系统。</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eastAsia="宋体" w:cs="宋体"/>
          <w:bCs/>
          <w:color w:val="000000"/>
          <w:sz w:val="28"/>
          <w:szCs w:val="28"/>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100" w:name="_Toc25552"/>
      <w:r>
        <w:rPr>
          <w:rFonts w:hint="eastAsia" w:ascii="宋体" w:hAnsi="宋体" w:eastAsia="宋体" w:cs="宋体"/>
          <w:color w:val="000000"/>
          <w:sz w:val="28"/>
          <w:szCs w:val="28"/>
          <w:highlight w:val="none"/>
        </w:rPr>
        <w:t xml:space="preserve">四、投标文件的递交</w:t>
      </w:r>
      <w:bookmarkEnd w:id="95"/>
      <w:r/>
      <w:bookmarkEnd w:id="96"/>
      <w:r/>
      <w:bookmarkEnd w:id="98"/>
      <w:r/>
      <w:bookmarkEnd w:id="99"/>
      <w:r/>
      <w:bookmarkEnd w:id="100"/>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101" w:name="_Toc16938541"/>
      <w:r/>
      <w:bookmarkStart w:id="102" w:name="_Toc20823297"/>
      <w:r/>
      <w:bookmarkStart w:id="103" w:name="_Toc462564084"/>
      <w:r/>
      <w:bookmarkStart w:id="104" w:name="_Toc28087"/>
      <w:r/>
      <w:bookmarkStart w:id="105" w:name="_Toc16938545"/>
      <w:r/>
      <w:bookmarkStart w:id="106" w:name="_Toc20823301"/>
      <w:r/>
      <w:bookmarkStart w:id="107" w:name="_Toc513029229"/>
      <w:r/>
      <w:bookmarkStart w:id="108" w:name="_Toc120614218"/>
      <w:r/>
      <w:bookmarkStart w:id="109" w:name="_Toc513029225"/>
      <w:r>
        <w:rPr>
          <w:rFonts w:hint="eastAsia" w:ascii="宋体" w:hAnsi="宋体" w:eastAsia="宋体" w:cs="宋体"/>
          <w:bCs/>
          <w:color w:val="000000"/>
          <w:sz w:val="28"/>
          <w:szCs w:val="28"/>
          <w:highlight w:val="none"/>
        </w:rPr>
        <w:t xml:space="preserve">1.</w:t>
      </w:r>
      <w:bookmarkEnd w:id="101"/>
      <w:r/>
      <w:bookmarkEnd w:id="102"/>
      <w:r/>
      <w:bookmarkEnd w:id="103"/>
      <w:r/>
      <w:bookmarkEnd w:id="109"/>
      <w:r>
        <w:rPr>
          <w:rFonts w:hint="eastAsia" w:ascii="宋体" w:hAnsi="宋体" w:eastAsia="宋体" w:cs="宋体"/>
          <w:bCs/>
          <w:color w:val="000000"/>
          <w:sz w:val="28"/>
          <w:szCs w:val="28"/>
          <w:highlight w:val="none"/>
        </w:rPr>
        <w:t xml:space="preserve">投标文件的提交</w:t>
      </w:r>
      <w:bookmarkEnd w:id="104"/>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1.1线上提交与接收地点：投标人应当通过“苏采云”系统提交数据电文形式的投标文件（即电子投标），“苏采云”系统自动接收。</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110" w:name="_Toc60"/>
      <w:r>
        <w:rPr>
          <w:rFonts w:hint="eastAsia" w:ascii="宋体" w:hAnsi="宋体" w:eastAsia="宋体" w:cs="宋体"/>
          <w:bCs/>
          <w:color w:val="000000"/>
          <w:sz w:val="28"/>
          <w:szCs w:val="28"/>
          <w:highlight w:val="none"/>
        </w:rPr>
        <w:t xml:space="preserve">2.提交投标文件截止日期</w:t>
      </w:r>
      <w:bookmarkEnd w:id="110"/>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2.1投标人上传电子投标文件的时间不得迟于公开招标公告中规定的投标文件提交截止时间。</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2.2采购人或招标代理机构可以按照规定，通过修改投标文件酌情延长投标文件提交截止日期，在此情况下，投标人的所有权利和义务以及投标人受制的截止日期均应以延长后新的截止日期为准。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111" w:name="_Toc2805"/>
      <w:r>
        <w:rPr>
          <w:rFonts w:hint="eastAsia" w:ascii="宋体" w:hAnsi="宋体" w:eastAsia="宋体" w:cs="宋体"/>
          <w:bCs/>
          <w:color w:val="000000"/>
          <w:sz w:val="28"/>
          <w:szCs w:val="28"/>
          <w:highlight w:val="none"/>
        </w:rPr>
        <w:t xml:space="preserve">3.投标文件的密封（加密）要求：</w:t>
      </w:r>
      <w:bookmarkEnd w:id="111"/>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3.2投标人须通过“苏采云”系统提供的政府采购客户端工具（使用“CA数字证书”）加盖电子签章。</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说明：投标人应在用CA数字证书以及自备的能够登录“苏采云”系统的电脑，在达到开标时间后，使用CA数字证书解密各自投标文件。</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3.3投标人未按规定加密的投标文件，“苏采云”系统将拒收并提示。</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112" w:name="_Toc27425"/>
      <w:r>
        <w:rPr>
          <w:rFonts w:hint="eastAsia" w:ascii="宋体" w:hAnsi="宋体" w:eastAsia="宋体" w:cs="宋体"/>
          <w:bCs/>
          <w:color w:val="000000"/>
          <w:sz w:val="28"/>
          <w:szCs w:val="28"/>
          <w:highlight w:val="none"/>
        </w:rPr>
        <w:t xml:space="preserve">4.投标文件的拒收</w:t>
      </w:r>
      <w:bookmarkEnd w:id="112"/>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4.1招标代理机构拒绝接收在其规定的投标文件提交截止时间后上传的任何投标文件。</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2"/>
      </w:pPr>
      <w:r/>
      <w:bookmarkStart w:id="113" w:name="_Toc13316"/>
      <w:r>
        <w:rPr>
          <w:rFonts w:hint="eastAsia" w:ascii="宋体" w:hAnsi="宋体" w:eastAsia="宋体" w:cs="宋体"/>
          <w:bCs/>
          <w:color w:val="000000"/>
          <w:sz w:val="28"/>
          <w:szCs w:val="28"/>
          <w:highlight w:val="none"/>
        </w:rPr>
        <w:t xml:space="preserve">5.投标文件的撤回和修改</w:t>
      </w:r>
      <w:bookmarkEnd w:id="113"/>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5.1投标文件的撤回</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4"/>
      </w:pPr>
      <w:r>
        <w:rPr>
          <w:rFonts w:hint="eastAsia" w:ascii="宋体" w:hAnsi="宋体" w:eastAsia="宋体" w:cs="宋体"/>
          <w:bCs/>
          <w:color w:val="000000"/>
          <w:sz w:val="28"/>
          <w:szCs w:val="28"/>
          <w:highlight w:val="none"/>
        </w:rPr>
        <w:t xml:space="preserve">5.1.1电子投标文件的撤回</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投标人可在投标文件提交截止时间前，撤回其电子投标文件，具体操作方法见“苏采云”系统供应商操作手册。</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5.1.2投标人撤回电子投标文件，则认为其不再参与本项目投标活动。</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5.2投标文件的修改</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投标人可在投标文件提交截止时间前，对其电子投标文件进行修改。具体操作方法见“苏采云”系统供应商操作手册。</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5.3在投标文件提交截止时间之后，投标人不得对其电子投标文件作任何修改。</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5.4在投标文件提交截止时间至招标文件中规定的投标有效期满之间的这段时间内，投标人不得撤回其投标文件。</w:t>
      </w:r>
      <w:r>
        <w:rPr>
          <w:rFonts w:hint="eastAsia" w:ascii="宋体" w:hAnsi="宋体" w:eastAsia="宋体" w:cs="宋体"/>
          <w:bCs/>
          <w:color w:val="000000"/>
          <w:sz w:val="28"/>
          <w:szCs w:val="28"/>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114" w:name="_Toc7634"/>
      <w:r>
        <w:rPr>
          <w:rFonts w:hint="eastAsia" w:ascii="宋体" w:hAnsi="宋体" w:eastAsia="宋体" w:cs="宋体"/>
          <w:color w:val="000000"/>
          <w:sz w:val="28"/>
          <w:szCs w:val="28"/>
          <w:highlight w:val="none"/>
        </w:rPr>
        <w:t xml:space="preserve">五、开标与评标</w:t>
      </w:r>
      <w:bookmarkEnd w:id="105"/>
      <w:r/>
      <w:bookmarkEnd w:id="106"/>
      <w:r/>
      <w:bookmarkEnd w:id="107"/>
      <w:r/>
      <w:bookmarkEnd w:id="108"/>
      <w:r/>
      <w:bookmarkEnd w:id="114"/>
      <w:r>
        <w:rPr>
          <w:rFonts w:hint="eastAsia" w:ascii="宋体" w:hAnsi="宋体" w:eastAsia="宋体" w:cs="宋体"/>
          <w:color w:val="000000"/>
          <w:sz w:val="28"/>
          <w:szCs w:val="28"/>
          <w:highlight w:val="none"/>
        </w:rPr>
      </w:r>
      <w:r/>
    </w:p>
    <w:p>
      <w:pPr>
        <w:pStyle w:val="1503"/>
        <w:ind w:firstLine="360"/>
        <w:spacing w:line="460" w:lineRule="exact"/>
        <w:rPr>
          <w:rFonts w:hint="eastAsia" w:ascii="宋体" w:hAnsi="宋体" w:eastAsia="宋体" w:cs="宋体"/>
          <w:bCs/>
          <w:color w:val="000000"/>
          <w:sz w:val="28"/>
          <w:szCs w:val="28"/>
          <w:highlight w:val="none"/>
        </w:rPr>
        <w:outlineLvl w:val="2"/>
      </w:pPr>
      <w:r/>
      <w:bookmarkStart w:id="115" w:name="_Toc20823303"/>
      <w:r/>
      <w:bookmarkStart w:id="116" w:name="_Toc16938547"/>
      <w:r/>
      <w:bookmarkStart w:id="117" w:name="_Toc513029231"/>
      <w:r/>
      <w:bookmarkStart w:id="118" w:name="_Toc20724"/>
      <w:r>
        <w:rPr>
          <w:rFonts w:hint="eastAsia" w:ascii="宋体" w:hAnsi="宋体" w:eastAsia="宋体" w:cs="宋体"/>
          <w:bCs/>
          <w:color w:val="000000"/>
          <w:sz w:val="28"/>
          <w:szCs w:val="28"/>
          <w:highlight w:val="none"/>
        </w:rPr>
        <w:t xml:space="preserve">1.开标</w:t>
      </w:r>
      <w:bookmarkEnd w:id="118"/>
      <w:r>
        <w:rPr>
          <w:rFonts w:hint="eastAsia" w:ascii="宋体" w:hAnsi="宋体" w:eastAsia="宋体" w:cs="宋体"/>
          <w:bCs/>
          <w:color w:val="000000"/>
          <w:sz w:val="28"/>
          <w:szCs w:val="28"/>
          <w:highlight w:val="none"/>
        </w:rPr>
      </w:r>
      <w:r/>
    </w:p>
    <w:p>
      <w:pPr>
        <w:pStyle w:val="1503"/>
        <w:ind w:firstLine="48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eastAsia="宋体" w:cs="宋体"/>
          <w:b/>
          <w:color w:val="000000"/>
          <w:sz w:val="28"/>
          <w:szCs w:val="28"/>
          <w:highlight w:val="none"/>
          <w:u w:val="single"/>
        </w:rPr>
        <w:t xml:space="preserve">30分钟之内</w:t>
      </w:r>
      <w:r>
        <w:rPr>
          <w:rFonts w:hint="eastAsia" w:ascii="宋体" w:hAnsi="宋体" w:eastAsia="宋体" w:cs="宋体"/>
          <w:b/>
          <w:color w:val="000000"/>
          <w:sz w:val="28"/>
          <w:szCs w:val="28"/>
          <w:highlight w:val="none"/>
        </w:rPr>
        <w:t xml:space="preserve">完成。</w:t>
      </w:r>
      <w:r>
        <w:rPr>
          <w:rFonts w:hint="eastAsia" w:ascii="宋体" w:hAnsi="宋体" w:eastAsia="宋体" w:cs="宋体"/>
          <w:b/>
          <w:color w:val="000000"/>
          <w:sz w:val="28"/>
          <w:szCs w:val="28"/>
          <w:highlight w:val="none"/>
        </w:rPr>
      </w:r>
      <w:r/>
    </w:p>
    <w:p>
      <w:pPr>
        <w:pStyle w:val="1503"/>
        <w:ind w:firstLine="48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000000"/>
          <w:sz w:val="28"/>
          <w:szCs w:val="28"/>
          <w:highlight w:val="none"/>
        </w:rPr>
        <w:t xml:space="preserve">因采购人（或招标代理机构）原因或网上招投标平台发生故障，导致无法按时完成投标文件解密或开、评标工作无法进行的，可根据实际情况相应延迟解密时间或调整开、评标时间。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b/>
          <w:color w:val="000000"/>
          <w:sz w:val="28"/>
          <w:szCs w:val="28"/>
          <w:highlight w:val="none"/>
        </w:rPr>
      </w:r>
      <w:r/>
    </w:p>
    <w:p>
      <w:pPr>
        <w:pStyle w:val="1503"/>
        <w:ind w:firstLine="48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rPr>
        <w:t xml:space="preserve">开标仪式由</w:t>
      </w:r>
      <w:r>
        <w:rPr>
          <w:rFonts w:hint="eastAsia" w:ascii="宋体" w:hAnsi="宋体" w:eastAsia="宋体" w:cs="宋体"/>
          <w:bCs/>
          <w:color w:val="000000"/>
          <w:sz w:val="28"/>
          <w:szCs w:val="28"/>
          <w:highlight w:val="none"/>
        </w:rPr>
        <w:t xml:space="preserve">招标代理机构</w:t>
      </w:r>
      <w:r>
        <w:rPr>
          <w:rFonts w:hint="eastAsia" w:ascii="宋体" w:hAnsi="宋体" w:eastAsia="宋体" w:cs="宋体"/>
          <w:color w:val="000000"/>
          <w:sz w:val="28"/>
          <w:szCs w:val="28"/>
          <w:highlight w:val="none"/>
        </w:rPr>
        <w:t xml:space="preserve">组织。苏采云系统将自动对项目进行开标，并宣布各投标人名称和投标价格。</w:t>
      </w:r>
      <w:r>
        <w:rPr>
          <w:rFonts w:hint="eastAsia" w:ascii="宋体" w:hAnsi="宋体" w:eastAsia="宋体" w:cs="宋体"/>
          <w:color w:val="000000"/>
          <w:sz w:val="28"/>
          <w:szCs w:val="28"/>
          <w:highlight w:val="none"/>
        </w:rPr>
      </w:r>
      <w:r/>
    </w:p>
    <w:p>
      <w:pPr>
        <w:pStyle w:val="1503"/>
        <w:ind w:firstLine="48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1.4投标人在开标过程中涉及到的投标文件解密、开标结果确认等工作，应按照“苏采云”系统供应商操作手册规定执行。</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1.5投标人如果对开标过程和开标记录有疑义，应当根据</w:t>
      </w:r>
      <w:r>
        <w:rPr>
          <w:rFonts w:hint="eastAsia" w:ascii="宋体" w:hAnsi="宋体" w:eastAsia="宋体" w:cs="宋体"/>
          <w:bCs/>
          <w:color w:val="000000"/>
          <w:sz w:val="28"/>
          <w:szCs w:val="28"/>
          <w:highlight w:val="none"/>
        </w:rPr>
        <w:t xml:space="preserve">“苏采云”系统供应商操作手册</w:t>
      </w:r>
      <w:r>
        <w:rPr>
          <w:rFonts w:hint="eastAsia" w:ascii="宋体" w:hAnsi="宋体" w:eastAsia="宋体" w:cs="宋体"/>
          <w:color w:val="000000"/>
          <w:sz w:val="28"/>
          <w:szCs w:val="28"/>
          <w:highlight w:val="none"/>
        </w:rPr>
        <w:t xml:space="preserve">规定提出，如苏采云系统中《开标记录表》宣布后5分钟内未提出的，视同认可开标结果。</w:t>
      </w:r>
      <w:r>
        <w:rPr>
          <w:rFonts w:hint="eastAsia" w:ascii="宋体" w:hAnsi="宋体" w:eastAsia="宋体" w:cs="宋体"/>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2"/>
      </w:pPr>
      <w:r/>
      <w:bookmarkEnd w:id="115"/>
      <w:r/>
      <w:bookmarkEnd w:id="116"/>
      <w:r/>
      <w:bookmarkEnd w:id="117"/>
      <w:r/>
      <w:bookmarkStart w:id="119" w:name="_Toc27677"/>
      <w:r>
        <w:rPr>
          <w:rFonts w:hint="eastAsia" w:ascii="宋体" w:hAnsi="宋体" w:eastAsia="宋体" w:cs="宋体"/>
          <w:bCs/>
          <w:color w:val="000000"/>
          <w:sz w:val="28"/>
          <w:szCs w:val="28"/>
          <w:highlight w:val="none"/>
        </w:rPr>
        <w:t xml:space="preserve">2.评标委员会</w:t>
      </w:r>
      <w:bookmarkEnd w:id="119"/>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2.1开标后，招标代理机构将立即组织评标委员会（以下简称评委会）进行评审。</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2.2评委会由采购人代表和有关技术、经济等方面的专家组成，且人员构成符合政府采购有关规定。</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2.3评标委员会独立工作，负责评审所有投标文件并确定中标候选人。</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2"/>
      </w:pPr>
      <w:r/>
      <w:bookmarkStart w:id="120" w:name="_Toc10859"/>
      <w:r>
        <w:rPr>
          <w:rFonts w:hint="eastAsia" w:ascii="宋体" w:hAnsi="宋体" w:eastAsia="宋体" w:cs="宋体"/>
          <w:bCs/>
          <w:color w:val="000000"/>
          <w:sz w:val="28"/>
          <w:szCs w:val="28"/>
          <w:highlight w:val="none"/>
        </w:rPr>
        <w:t xml:space="preserve">3.评审过程的保密与公正</w:t>
      </w:r>
      <w:bookmarkEnd w:id="120"/>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3.1评标委员会、采购人或招标代理机构、相关监督人员等与评审工作有关的人员，对评审情况以及在评审过程中获悉的国家秘密、商业秘密负有保密责任。</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3.2在评审过程中，投标人不得以任何行为影响评审过程，否则其投标文件将被作为无效投标文件。</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3.4凡是与审查、澄清、评价和比较投标的有关资料以及授标建议等，采购人、评标委员会、招标代理机构均不得向投标人或与评标无关的其他人员透露。</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3.5在评审期间，招标代理机构将设专门人员与投标人联系。</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3.6采购人、招标代理机构和评标委员会不向未中标的投标人解释未中标原因，也不公布评审过程中的相关细节。</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3.7采用综合评分法的项目，未中标的投标人可于中标结果公告期限届满之日起通过苏采云系统查看自己的评审得分及排序情况。</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2"/>
      </w:pPr>
      <w:r/>
      <w:bookmarkStart w:id="121" w:name="_Toc30673"/>
      <w:r>
        <w:rPr>
          <w:rFonts w:hint="eastAsia" w:ascii="宋体" w:hAnsi="宋体" w:eastAsia="宋体" w:cs="宋体"/>
          <w:bCs/>
          <w:color w:val="000000"/>
          <w:sz w:val="28"/>
          <w:szCs w:val="28"/>
          <w:highlight w:val="none"/>
        </w:rPr>
        <w:t xml:space="preserve">4.投标文件的澄清</w:t>
      </w:r>
      <w:bookmarkEnd w:id="121"/>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4.3接到评标委员会澄清、说明和更正要求的投标人如未按规定做出澄清、说明和更正，其风险由投标人自行承担。</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2"/>
      </w:pPr>
      <w:r/>
      <w:bookmarkStart w:id="122" w:name="_Toc3995"/>
      <w:r>
        <w:rPr>
          <w:rFonts w:hint="eastAsia" w:ascii="宋体" w:hAnsi="宋体" w:eastAsia="宋体" w:cs="宋体"/>
          <w:bCs/>
          <w:color w:val="000000"/>
          <w:sz w:val="28"/>
          <w:szCs w:val="28"/>
          <w:highlight w:val="none"/>
        </w:rPr>
        <w:t xml:space="preserve">5.对投标文件的审查</w:t>
      </w:r>
      <w:bookmarkEnd w:id="122"/>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5.1投标文件初审分为资格性审查和符合性审查。</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5.1.1资格性检查：依据法律法规和招标文件的规定，由采购人对投标文件中的资格证明文件进行审查。资格审查的结论，采购人以书面形式向评委会进行反馈。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w:t>
      </w:r>
      <w:r>
        <w:rPr>
          <w:rFonts w:hint="eastAsia" w:ascii="宋体" w:hAnsi="宋体" w:eastAsia="宋体" w:cs="宋体"/>
          <w:bCs/>
          <w:color w:val="000000"/>
          <w:sz w:val="28"/>
          <w:szCs w:val="28"/>
          <w:highlight w:val="none"/>
          <w:lang w:eastAsia="zh-CN"/>
        </w:rPr>
        <w:t xml:space="preserve">信用</w:t>
      </w:r>
      <w:r>
        <w:rPr>
          <w:rFonts w:hint="eastAsia" w:ascii="宋体" w:hAnsi="宋体" w:eastAsia="宋体" w:cs="宋体"/>
          <w:bCs/>
          <w:color w:val="000000"/>
          <w:sz w:val="28"/>
          <w:szCs w:val="28"/>
          <w:highlight w:val="none"/>
        </w:rPr>
        <w:t xml:space="preserve">记录。</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5.2异常低价审查</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5.2.1根据财库〔2026〕2号文件,政府采购评审中出现下列情形之一的，评审委员会应当启动异常低价投标（响应）审查程序：</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5.2.1.1投标（响应）报价低于全部通过符合性审查供应商投标（响应）报价平均值50%的，即投标（响应）报价&lt;全部通过符合性审查供应商投标（响应）报价平均值×50%；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5.2.1.2投标（响应）报价低于通过符合性审查的次低报价供应商投标（响应）报价50%的，即投标（响应）报价&lt;通过符合性审查的次低报价供应商投标（响应）报价×50%；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5.2.1.3投标（响应）报价低于采购项目最高限价45%的，即投标（响应）报价&lt;采购项目最高限价×45%；</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5.2.1.4评审委员会基于专业判断，认为供应商报价过低，有可能影响产品质量或者不能诚信履约的其他情形。</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5.2.1.3项情形，投标人已随投标（响应）文件一并提交相关书面说明及必要的证明材料的，在评审现场可不再重复提交。</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（4）异常低价投标审查的启动原因、审查意见和审查结果应当在评审报告中记录，并随供应商提供的相关书面说明及证明材料，以及评审小组有关互联网浏览、查询历史一并归档。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5.5评标委员会将对确定为实质性响应的文件进行进一步审核，看其是否有计算上或累加上的算术错误，修正错误的原则如下：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4"/>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5.7评标委员会将允许修正投标文件中不构成重大偏离的、微小的、非正规的、不一致的或不规则的地方，但这些修改不能影响任何投标人相应的名次排列。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color w:val="000000"/>
          <w:sz w:val="28"/>
          <w:szCs w:val="28"/>
          <w:highlight w:val="none"/>
        </w:rPr>
      </w:r>
      <w:r/>
    </w:p>
    <w:p>
      <w:pPr>
        <w:pStyle w:val="1503"/>
        <w:ind w:firstLine="480"/>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5.10非单一产品采购项目，招标文件中将载明其中的核心产品。多家投标人提供的核心产品品牌相同的，按前两款规定处理。</w:t>
      </w:r>
      <w:r>
        <w:rPr>
          <w:rFonts w:hint="eastAsia" w:ascii="宋体" w:hAnsi="宋体" w:eastAsia="宋体" w:cs="宋体"/>
          <w:b/>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5.11投标人在开、评标全过程中应保持通讯畅通，及时登录苏采云系统查阅、答复相关信息，并安排专人与采购人或招标代理机构及评标委员会联系。</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outlineLvl w:val="2"/>
      </w:pPr>
      <w:r/>
      <w:bookmarkStart w:id="123" w:name="_Toc15738"/>
      <w:r>
        <w:rPr>
          <w:rFonts w:hint="eastAsia" w:ascii="宋体" w:hAnsi="宋体" w:eastAsia="宋体" w:cs="宋体"/>
          <w:bCs/>
          <w:color w:val="000000"/>
          <w:sz w:val="28"/>
          <w:szCs w:val="28"/>
          <w:highlight w:val="none"/>
        </w:rPr>
        <w:t xml:space="preserve">6.投标文件线上格式要求</w:t>
      </w:r>
      <w:bookmarkEnd w:id="123"/>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6.1投标人应当通过“苏采云”系统提交数据电文形式的投标文件（即电子投标）。</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6.2通过“苏采云”系统提交政府采购客户端工具导出加密的投标文件（后缀名为zip）。投标文件不得超过150M！</w:t>
      </w:r>
      <w:r>
        <w:rPr>
          <w:rFonts w:hint="eastAsia" w:ascii="宋体" w:hAnsi="宋体" w:eastAsia="宋体" w:cs="宋体"/>
          <w:bCs/>
          <w:color w:val="000000"/>
          <w:sz w:val="28"/>
          <w:szCs w:val="28"/>
          <w:highlight w:val="none"/>
        </w:rPr>
      </w:r>
      <w:r/>
    </w:p>
    <w:p>
      <w:pPr>
        <w:pStyle w:val="1503"/>
        <w:ind w:firstLine="48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6.3本项目采用线上投标，即投标人投标文件从政府采购客户端工具制作通过“苏采云”系统提交，未提供线上投标文件的，投标无效。</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outlineLvl w:val="2"/>
      </w:pPr>
      <w:r/>
      <w:bookmarkStart w:id="124" w:name="_Toc13461"/>
      <w:r>
        <w:rPr>
          <w:rFonts w:hint="eastAsia" w:ascii="宋体" w:hAnsi="宋体" w:eastAsia="宋体" w:cs="宋体"/>
          <w:color w:val="000000"/>
          <w:sz w:val="28"/>
          <w:szCs w:val="28"/>
          <w:highlight w:val="none"/>
        </w:rPr>
        <w:t xml:space="preserve">7.无效投标条款和废标条款</w:t>
      </w:r>
      <w:bookmarkEnd w:id="124"/>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bookmarkStart w:id="125" w:name="_Toc20823307"/>
      <w:r/>
      <w:bookmarkStart w:id="126" w:name="_Toc513029235"/>
      <w:r/>
      <w:bookmarkStart w:id="127" w:name="_Toc16938551"/>
      <w:r>
        <w:rPr>
          <w:rFonts w:hint="eastAsia" w:ascii="宋体" w:hAnsi="宋体" w:eastAsia="宋体" w:cs="宋体"/>
          <w:bCs/>
          <w:color w:val="000000"/>
          <w:sz w:val="28"/>
          <w:szCs w:val="28"/>
          <w:highlight w:val="none"/>
        </w:rPr>
        <w:t xml:space="preserve">7.1.1同一投标人提交两个（含两个）以上不同的投标报价的。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7.1.2投标人不具备招标文件中规定资格要求的。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7.1.3投标人的报价超过了采购预算或最高限价的。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7.1.4未通过符合性检查的。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7.1.5不符合招标文件中规定的其他实质性要求和条件的。</w:t>
      </w:r>
      <w:r>
        <w:rPr>
          <w:rFonts w:hint="eastAsia" w:ascii="宋体" w:hAnsi="宋体" w:eastAsia="宋体" w:cs="宋体"/>
          <w:bCs/>
          <w:i/>
          <w:color w:val="000000"/>
          <w:sz w:val="28"/>
          <w:szCs w:val="28"/>
          <w:highlight w:val="none"/>
          <w:u w:val="single"/>
        </w:rPr>
      </w:r>
      <w:r/>
    </w:p>
    <w:p>
      <w:pPr>
        <w:pStyle w:val="1503"/>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i/>
          <w:color w:val="000000"/>
          <w:sz w:val="28"/>
          <w:szCs w:val="28"/>
          <w:highlight w:val="none"/>
          <w:u w:val="singl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7.1.7投标文件含有采购人不能接受的附加条件的。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4"/>
      </w:pPr>
      <w:r>
        <w:rPr>
          <w:rFonts w:hint="eastAsia" w:ascii="宋体" w:hAnsi="宋体" w:eastAsia="宋体" w:cs="宋体"/>
          <w:bCs/>
          <w:color w:val="000000"/>
          <w:sz w:val="28"/>
          <w:szCs w:val="28"/>
          <w:highlight w:val="none"/>
        </w:rPr>
        <w:t xml:space="preserve">7.1.8启动异常低价响应审查后，供应商不提供书面说明、证明材料，或者提供的书面说明、证明材料不能证明其报价合理性的。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Cs/>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7.1.10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4"/>
      </w:pPr>
      <w:r>
        <w:rPr>
          <w:rFonts w:hint="eastAsia" w:ascii="宋体" w:hAnsi="宋体" w:eastAsia="宋体" w:cs="宋体"/>
          <w:bCs/>
          <w:color w:val="000000"/>
          <w:sz w:val="28"/>
          <w:szCs w:val="28"/>
          <w:highlight w:val="none"/>
        </w:rPr>
        <w:t xml:space="preserve">7.1.11投标文件未按照招标文件要求加盖CA电子公章的。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7.1.12投标人的商务技术部分得分相差悬殊，评标委员会认为得分畸低者没有实质性响应的。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7.1.13其他法律、法规及本招标文件规定的属无效投标的情形。</w:t>
      </w:r>
      <w:r>
        <w:rPr>
          <w:rFonts w:hint="eastAsia" w:ascii="宋体" w:hAnsi="宋体" w:eastAsia="宋体" w:cs="宋体"/>
          <w:bCs/>
          <w:color w:val="000000"/>
          <w:sz w:val="28"/>
          <w:szCs w:val="28"/>
          <w:highlight w:val="none"/>
        </w:rPr>
      </w:r>
      <w:r/>
    </w:p>
    <w:p>
      <w:pPr>
        <w:pStyle w:val="1660"/>
        <w:ind w:left="0" w:firstLine="560"/>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t xml:space="preserve">7.1.14不同的投标人响应文件MAC地址、标书制作工具客户端识别码一致的。</w:t>
      </w:r>
      <w:r>
        <w:rPr>
          <w:rFonts w:hint="eastAsia" w:ascii="宋体" w:hAnsi="宋体" w:eastAsia="宋体" w:cs="宋体"/>
          <w:bCs/>
          <w:color w:val="000000"/>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7.1.15其他法律、法规及本招标文件规定的属无效投标的情形。</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7.2废标条款：</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7.2.1符合专业条件的投标人或者对招标文件作实质响应的投标人不足三家的。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7.2.2出现影响采购公正的违法、违规行为的。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7.2.3因重大变故，采购任务取消的。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7.2.4评标委员会认定招标文件存在歧义、重大缺陷导致评审工作无法进行。</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4"/>
      </w:pPr>
      <w:r>
        <w:rPr>
          <w:rFonts w:hint="eastAsia" w:ascii="宋体" w:hAnsi="宋体" w:eastAsia="宋体" w:cs="宋体"/>
          <w:bCs/>
          <w:color w:val="000000"/>
          <w:sz w:val="28"/>
          <w:szCs w:val="28"/>
          <w:highlight w:val="none"/>
        </w:rPr>
        <w:t xml:space="preserve">7.2.5因苏采云系统故障原因造成开标不成功的。</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7.3投标截止时间结束后参加投标的投标人不足三家的处理：</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8"/>
          <w:szCs w:val="28"/>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End w:id="125"/>
      <w:r/>
      <w:bookmarkEnd w:id="126"/>
      <w:r/>
      <w:bookmarkEnd w:id="127"/>
      <w:r/>
      <w:bookmarkStart w:id="128" w:name="_Toc120614219"/>
      <w:r/>
      <w:bookmarkStart w:id="129" w:name="_Toc27597"/>
      <w:r>
        <w:rPr>
          <w:rFonts w:hint="eastAsia" w:ascii="宋体" w:hAnsi="宋体" w:eastAsia="宋体" w:cs="宋体"/>
          <w:color w:val="000000"/>
          <w:sz w:val="28"/>
          <w:szCs w:val="28"/>
          <w:highlight w:val="none"/>
        </w:rPr>
        <w:t xml:space="preserve">六、定标</w:t>
      </w:r>
      <w:bookmarkEnd w:id="128"/>
      <w:r/>
      <w:bookmarkEnd w:id="129"/>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color w:val="000000"/>
          <w:sz w:val="28"/>
          <w:szCs w:val="28"/>
          <w:highlight w:val="none"/>
        </w:rPr>
        <w:outlineLvl w:val="2"/>
      </w:pPr>
      <w:r/>
      <w:bookmarkStart w:id="130" w:name="_Toc20823310"/>
      <w:r/>
      <w:bookmarkStart w:id="131" w:name="_Toc21628"/>
      <w:r/>
      <w:bookmarkStart w:id="132" w:name="_Toc16938554"/>
      <w:r>
        <w:rPr>
          <w:rFonts w:hint="eastAsia" w:ascii="宋体" w:hAnsi="宋体" w:eastAsia="宋体" w:cs="宋体"/>
          <w:color w:val="000000"/>
          <w:sz w:val="28"/>
          <w:szCs w:val="28"/>
          <w:highlight w:val="none"/>
        </w:rPr>
        <w:t xml:space="preserve">1.确定</w:t>
      </w:r>
      <w:bookmarkEnd w:id="130"/>
      <w:r/>
      <w:bookmarkEnd w:id="132"/>
      <w:r>
        <w:rPr>
          <w:rFonts w:hint="eastAsia" w:ascii="宋体" w:hAnsi="宋体" w:eastAsia="宋体" w:cs="宋体"/>
          <w:color w:val="000000"/>
          <w:sz w:val="28"/>
          <w:szCs w:val="28"/>
          <w:highlight w:val="none"/>
        </w:rPr>
        <w:t xml:space="preserve">中标单位</w:t>
      </w:r>
      <w:bookmarkEnd w:id="131"/>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1.2采购人授权评委会在中标候选人中直接确定中标人。</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rPr>
        <w:t xml:space="preserve">代理机构将在“江苏政府采购网”发布中标公告，公告期限为1个工作日。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1.4.2向采购人、代理机构行贿或者提供其他不正当利益的。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1.4.5与采购人或者其他投标人恶意串通的。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1.4.6采取不正当手段诋毁、排挤其他投标人的。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bookmarkStart w:id="133"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color w:val="000000"/>
          <w:sz w:val="28"/>
          <w:szCs w:val="28"/>
          <w:highlight w:val="none"/>
        </w:rPr>
        <w:outlineLvl w:val="2"/>
      </w:pPr>
      <w:r/>
      <w:bookmarkStart w:id="134" w:name="_Toc922"/>
      <w:r>
        <w:rPr>
          <w:rFonts w:hint="eastAsia" w:ascii="宋体" w:hAnsi="宋体" w:eastAsia="宋体" w:cs="宋体"/>
          <w:color w:val="000000"/>
          <w:sz w:val="28"/>
          <w:szCs w:val="28"/>
          <w:highlight w:val="none"/>
        </w:rPr>
        <w:t xml:space="preserve">2.质疑处理</w:t>
      </w:r>
      <w:bookmarkEnd w:id="133"/>
      <w:r/>
      <w:bookmarkEnd w:id="134"/>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2.1提出质疑的投标人应当是参与所质疑项目采购活动的投标人。潜在投标人依法获取其可质疑的招标文件的，可以对招标文件提出质疑。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2.2投标人认为招标文件、采购过程和采购结果使自己的权益受到损害的，可以在知道或应知其权益受到损害之日起七个工作日内，以书面形式向代理机构或采购人提出质疑。上述应知其权益受到损害之日，是指：</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2.2.1对可以质疑的招标文件提出质疑的，为收到招标文件之日或者招标文件公告期限届满之日；</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2.2.2对采购过程提出质疑的，为各采购程序环节结束之日；</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投标人应当在法定质疑期内一次性提出针对同一采购程序环节的质疑。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对招标方式、招标文件中项目需求、投标人资格条件、评标方法和评标标准、资格审查结果等应当由采购人答复的质疑，请向采购人提出，由采购人负责答复。投标人对其他事项的质疑，请向代理机构提出，由采购人或代理机构负责答复。</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投标人提起质疑采取书面形式，可以现场送达，也可以邮寄。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采购人及代理机构质疑接收人及联系方式，见招标文件第一部分。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4"/>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2.5.3未参加投标活动的投标人或在投标活动中自身权益未受到损害的投标人所提出的质疑。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color w:val="000000"/>
          <w:sz w:val="28"/>
          <w:szCs w:val="28"/>
          <w:highlight w:val="none"/>
        </w:rPr>
        <w:outlineLvl w:val="2"/>
      </w:pPr>
      <w:r/>
      <w:bookmarkStart w:id="135" w:name="_Toc15921"/>
      <w:r>
        <w:rPr>
          <w:rFonts w:hint="eastAsia" w:ascii="宋体" w:hAnsi="宋体" w:eastAsia="宋体" w:cs="宋体"/>
          <w:color w:val="000000"/>
          <w:sz w:val="28"/>
          <w:szCs w:val="28"/>
          <w:highlight w:val="none"/>
        </w:rPr>
        <w:t xml:space="preserve">3.中标通知书</w:t>
      </w:r>
      <w:bookmarkEnd w:id="135"/>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8"/>
          <w:szCs w:val="28"/>
          <w:highlight w:val="none"/>
        </w:rPr>
      </w:r>
      <w:r/>
    </w:p>
    <w:p>
      <w:pPr>
        <w:pStyle w:val="1505"/>
        <w:ind w:firstLine="562"/>
        <w:spacing w:before="0" w:after="0" w:line="460" w:lineRule="exact"/>
        <w:rPr>
          <w:rFonts w:hint="eastAsia" w:ascii="宋体" w:hAnsi="宋体" w:eastAsia="宋体" w:cs="宋体"/>
          <w:color w:val="000000"/>
          <w:sz w:val="28"/>
          <w:szCs w:val="28"/>
          <w:highlight w:val="none"/>
        </w:rPr>
      </w:pPr>
      <w:r/>
      <w:bookmarkStart w:id="136" w:name="_Toc513029236"/>
      <w:r/>
      <w:bookmarkStart w:id="137" w:name="_Toc16938552"/>
      <w:r/>
      <w:bookmarkStart w:id="138" w:name="_Toc120614220"/>
      <w:r/>
      <w:bookmarkStart w:id="139" w:name="_Toc20823308"/>
      <w:r>
        <w:rPr>
          <w:rFonts w:hint="eastAsia" w:ascii="宋体" w:hAnsi="宋体" w:eastAsia="宋体" w:cs="宋体"/>
          <w:color w:val="000000"/>
          <w:sz w:val="28"/>
          <w:szCs w:val="28"/>
          <w:highlight w:val="none"/>
        </w:rPr>
        <w:t xml:space="preserve">特别说明：中标人在下载中标通知书后须提供</w:t>
      </w:r>
      <w:r>
        <w:rPr>
          <w:rFonts w:hint="eastAsia" w:ascii="宋体" w:hAnsi="宋体" w:eastAsia="宋体" w:cs="宋体"/>
          <w:color w:val="000000"/>
          <w:sz w:val="28"/>
          <w:szCs w:val="28"/>
          <w:highlight w:val="none"/>
          <w:u w:val="single"/>
        </w:rPr>
        <w:t xml:space="preserve">4套</w:t>
      </w:r>
      <w:r>
        <w:rPr>
          <w:rFonts w:hint="eastAsia" w:ascii="宋体" w:hAnsi="宋体" w:eastAsia="宋体" w:cs="宋体"/>
          <w:color w:val="000000"/>
          <w:sz w:val="28"/>
          <w:szCs w:val="28"/>
          <w:highlight w:val="none"/>
        </w:rPr>
        <w:t xml:space="preserve">加盖红章的系统内打印的纸质响应文件给招标代理机构。</w:t>
      </w:r>
      <w:r>
        <w:rPr>
          <w:rFonts w:hint="eastAsia" w:ascii="宋体" w:hAnsi="宋体" w:eastAsia="宋体" w:cs="宋体"/>
          <w:color w:val="000000"/>
          <w:sz w:val="28"/>
          <w:szCs w:val="28"/>
          <w:highlight w:val="none"/>
        </w:rPr>
      </w:r>
      <w:r/>
    </w:p>
    <w:p>
      <w:pPr>
        <w:pStyle w:val="1505"/>
        <w:ind w:firstLine="562"/>
        <w:spacing w:before="0" w:after="0" w:line="420" w:lineRule="exact"/>
        <w:rPr>
          <w:rFonts w:hint="eastAsia" w:ascii="宋体" w:hAnsi="宋体" w:eastAsia="宋体" w:cs="宋体"/>
          <w:color w:val="000000"/>
          <w:sz w:val="28"/>
          <w:szCs w:val="28"/>
          <w:highlight w:val="none"/>
        </w:rPr>
      </w:pPr>
      <w:r/>
      <w:bookmarkStart w:id="140" w:name="_Toc27718"/>
      <w:r>
        <w:rPr>
          <w:rFonts w:hint="eastAsia" w:ascii="宋体" w:hAnsi="宋体" w:eastAsia="宋体" w:cs="宋体"/>
          <w:color w:val="000000"/>
          <w:sz w:val="28"/>
          <w:szCs w:val="28"/>
          <w:highlight w:val="none"/>
        </w:rPr>
        <w:t xml:space="preserve">七、授予合同</w:t>
      </w:r>
      <w:bookmarkEnd w:id="138"/>
      <w:r/>
      <w:bookmarkEnd w:id="140"/>
      <w:r>
        <w:rPr>
          <w:rFonts w:hint="eastAsia" w:ascii="宋体" w:hAnsi="宋体" w:eastAsia="宋体" w:cs="宋体"/>
          <w:color w:val="000000"/>
          <w:sz w:val="28"/>
          <w:szCs w:val="28"/>
          <w:highlight w:val="none"/>
        </w:rPr>
      </w:r>
      <w:r/>
    </w:p>
    <w:p>
      <w:pPr>
        <w:pStyle w:val="1503"/>
        <w:ind w:firstLine="560"/>
        <w:keepNext/>
        <w:spacing w:line="420" w:lineRule="exact"/>
        <w:rPr>
          <w:rFonts w:hint="eastAsia" w:ascii="宋体" w:hAnsi="宋体" w:eastAsia="宋体" w:cs="宋体"/>
          <w:b/>
          <w:color w:val="000000"/>
          <w:sz w:val="28"/>
          <w:szCs w:val="28"/>
          <w:highlight w:val="none"/>
        </w:rPr>
        <w:outlineLvl w:val="2"/>
      </w:pPr>
      <w:r/>
      <w:bookmarkEnd w:id="136"/>
      <w:r/>
      <w:bookmarkEnd w:id="137"/>
      <w:r/>
      <w:bookmarkEnd w:id="139"/>
      <w:r/>
      <w:bookmarkStart w:id="141" w:name="_Toc26471"/>
      <w:r>
        <w:rPr>
          <w:rFonts w:hint="eastAsia" w:ascii="宋体" w:hAnsi="宋体" w:eastAsia="宋体" w:cs="宋体"/>
          <w:color w:val="000000"/>
          <w:sz w:val="28"/>
          <w:szCs w:val="28"/>
          <w:highlight w:val="none"/>
        </w:rPr>
        <w:t xml:space="preserve">1.签订合同</w:t>
      </w:r>
      <w:bookmarkEnd w:id="141"/>
      <w:r>
        <w:rPr>
          <w:rFonts w:hint="eastAsia" w:ascii="宋体" w:hAnsi="宋体" w:eastAsia="宋体" w:cs="宋体"/>
          <w:b/>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1503"/>
        <w:ind w:firstLine="422"/>
        <w:spacing w:line="4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签订合同时需做好提交各类声明函、承诺函、业绩证明、资质、职称证书等相应原件的核查准备；核查后发现虚假或违背承诺的，依照相关法律法规规定处理。</w:t>
      </w:r>
      <w:r>
        <w:rPr>
          <w:rFonts w:hint="eastAsia" w:ascii="宋体" w:hAnsi="宋体" w:eastAsia="宋体" w:cs="宋体"/>
          <w:b/>
          <w:bCs/>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1.2招标文件、中标人的响应文件及开标过程中有关澄清、承诺文件均应作为合同附件。</w:t>
      </w:r>
      <w:r>
        <w:rPr>
          <w:rFonts w:hint="eastAsia" w:ascii="宋体" w:hAnsi="宋体" w:eastAsia="宋体" w:cs="宋体"/>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投标人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1503"/>
        <w:ind w:firstLine="560"/>
        <w:keepNext/>
        <w:spacing w:line="420" w:lineRule="exact"/>
        <w:rPr>
          <w:rFonts w:hint="eastAsia" w:ascii="宋体" w:hAnsi="宋体" w:eastAsia="宋体" w:cs="宋体"/>
          <w:b/>
          <w:color w:val="000000"/>
          <w:sz w:val="28"/>
          <w:szCs w:val="28"/>
          <w:highlight w:val="none"/>
        </w:rPr>
        <w:outlineLvl w:val="2"/>
      </w:pPr>
      <w:r/>
      <w:bookmarkStart w:id="142" w:name="_Toc18712"/>
      <w:r>
        <w:rPr>
          <w:rFonts w:hint="eastAsia" w:ascii="宋体" w:hAnsi="宋体" w:eastAsia="宋体" w:cs="宋体"/>
          <w:color w:val="000000"/>
          <w:sz w:val="28"/>
          <w:szCs w:val="28"/>
          <w:highlight w:val="none"/>
        </w:rPr>
        <w:t xml:space="preserve">2.货物和服务的追加、减少和添购。</w:t>
      </w:r>
      <w:bookmarkEnd w:id="142"/>
      <w:r>
        <w:rPr>
          <w:rFonts w:hint="eastAsia" w:ascii="宋体" w:hAnsi="宋体" w:eastAsia="宋体" w:cs="宋体"/>
          <w:b/>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eastAsia="宋体" w:cs="宋体"/>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outlineLvl w:val="2"/>
      </w:pPr>
      <w:r/>
      <w:bookmarkStart w:id="143" w:name="_Toc16700"/>
      <w:r>
        <w:rPr>
          <w:rFonts w:hint="eastAsia" w:ascii="宋体" w:hAnsi="宋体" w:eastAsia="宋体" w:cs="宋体"/>
          <w:color w:val="000000"/>
          <w:sz w:val="28"/>
          <w:szCs w:val="28"/>
          <w:highlight w:val="none"/>
        </w:rPr>
        <w:t xml:space="preserve">3.政府采购履约保证资金、合同信用融资扶持政策</w:t>
      </w:r>
      <w:bookmarkEnd w:id="143"/>
      <w:r>
        <w:rPr>
          <w:rFonts w:hint="eastAsia" w:ascii="宋体" w:hAnsi="宋体" w:eastAsia="宋体" w:cs="宋体"/>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深入开展南通市政府采购线上合同信用融资工作的通知》（通财购〔2022〕68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rPr>
          <w:rFonts w:hint="eastAsia" w:ascii="宋体" w:hAnsi="宋体" w:eastAsia="宋体" w:cs="宋体"/>
          <w:color w:val="000000"/>
          <w:sz w:val="28"/>
          <w:szCs w:val="28"/>
          <w:highlight w:val="none"/>
        </w:rPr>
      </w:r>
      <w:r/>
    </w:p>
    <w:p>
      <w:pPr>
        <w:pStyle w:val="1503"/>
        <w:ind w:firstLine="562"/>
        <w:keepLines/>
        <w:keepNext/>
        <w:spacing w:line="420" w:lineRule="exact"/>
        <w:rPr>
          <w:rFonts w:hint="eastAsia" w:ascii="宋体" w:hAnsi="宋体" w:eastAsia="宋体" w:cs="宋体"/>
          <w:b/>
          <w:bCs/>
          <w:color w:val="000000"/>
          <w:sz w:val="28"/>
          <w:szCs w:val="28"/>
          <w:highlight w:val="none"/>
        </w:rPr>
        <w:outlineLvl w:val="1"/>
      </w:pPr>
      <w:r/>
      <w:bookmarkStart w:id="144" w:name="_Toc32218"/>
      <w:r>
        <w:rPr>
          <w:rFonts w:hint="eastAsia" w:ascii="宋体" w:hAnsi="宋体" w:eastAsia="宋体" w:cs="宋体"/>
          <w:b/>
          <w:bCs/>
          <w:color w:val="000000"/>
          <w:sz w:val="28"/>
          <w:szCs w:val="28"/>
          <w:highlight w:val="none"/>
        </w:rPr>
        <w:t xml:space="preserve">八、电子招标投标交易平台</w:t>
      </w:r>
      <w:bookmarkEnd w:id="144"/>
      <w:r>
        <w:rPr>
          <w:rFonts w:hint="eastAsia" w:ascii="宋体" w:hAnsi="宋体" w:eastAsia="宋体" w:cs="宋体"/>
          <w:b/>
          <w:bCs/>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电子招标投标交易平台（即“苏采云”系统，网址：http://jszfcg.jsczt.cn/）相关要求是本招标文件的组成部分。</w:t>
      </w:r>
      <w:r>
        <w:rPr>
          <w:rFonts w:hint="eastAsia" w:ascii="宋体" w:hAnsi="宋体" w:eastAsia="宋体" w:cs="宋体"/>
          <w:color w:val="000000"/>
          <w:sz w:val="28"/>
          <w:szCs w:val="28"/>
          <w:highlight w:val="none"/>
        </w:rPr>
      </w:r>
      <w:r/>
    </w:p>
    <w:p>
      <w:pPr>
        <w:pStyle w:val="1503"/>
        <w:jc w:val="center"/>
        <w:spacing w:line="46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bookmarkStart w:id="145" w:name="_Toc21690"/>
      <w:r/>
      <w:bookmarkStart w:id="146" w:name="_Toc8914"/>
      <w:r>
        <w:rPr>
          <w:rFonts w:hint="eastAsia" w:ascii="宋体" w:hAnsi="宋体" w:eastAsia="宋体" w:cs="宋体"/>
          <w:bCs/>
          <w:color w:val="000000"/>
          <w:sz w:val="36"/>
          <w:szCs w:val="36"/>
          <w:highlight w:val="none"/>
        </w:rPr>
        <w:t xml:space="preserve">第三部分项目需求</w:t>
      </w:r>
      <w:bookmarkEnd w:id="145"/>
      <w:r/>
      <w:bookmarkEnd w:id="146"/>
      <w:r>
        <w:rPr>
          <w:rFonts w:hint="eastAsia" w:ascii="宋体" w:hAnsi="宋体" w:eastAsia="宋体" w:cs="宋体"/>
          <w:bCs/>
          <w:color w:val="000000"/>
          <w:sz w:val="36"/>
          <w:szCs w:val="36"/>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bookmarkEnd w:id="4"/>
      <w:r/>
      <w:bookmarkEnd w:id="5"/>
      <w:r/>
      <w:bookmarkEnd w:id="6"/>
      <w:r>
        <w:rPr>
          <w:rFonts w:hint="eastAsia" w:ascii="宋体" w:hAnsi="宋体" w:eastAsia="宋体" w:cs="宋体"/>
          <w:color w:val="000000"/>
          <w:sz w:val="28"/>
          <w:szCs w:val="28"/>
          <w:highlight w:val="none"/>
        </w:rPr>
        <w:t xml:space="preserve">一、项目具体需求说明</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（一）项目预算：580万元。</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（二）地理位置：南通市产品质量监督检验所，位于南通市崇川区国强路119号/南通市通州区金桥路626号。</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（三）本项目所采购设备须为国产设备。</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bCs/>
          <w:color w:val="000000"/>
          <w:highlight w:val="none"/>
        </w:rPr>
      </w:pPr>
      <w:r>
        <w:rPr>
          <w:rFonts w:hint="eastAsia" w:ascii="宋体" w:hAnsi="宋体" w:eastAsia="宋体" w:cs="宋体"/>
          <w:b/>
          <w:bCs/>
          <w:color w:val="000000"/>
          <w:sz w:val="28"/>
          <w:szCs w:val="28"/>
          <w:highlight w:val="none"/>
        </w:rPr>
        <w:t xml:space="preserve">二、项目属性：货物类项目。</w:t>
      </w:r>
      <w:r>
        <w:rPr>
          <w:rFonts w:hint="eastAsia" w:ascii="宋体" w:hAnsi="宋体" w:eastAsia="宋体" w:cs="宋体"/>
          <w:b/>
          <w:bCs/>
          <w:color w:val="000000"/>
          <w:highlight w:val="none"/>
        </w:rPr>
      </w:r>
      <w:r/>
    </w:p>
    <w:p>
      <w:pPr>
        <w:pStyle w:val="1572"/>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三、采购清单</w:t>
      </w:r>
      <w:r>
        <w:rPr>
          <w:rFonts w:hint="eastAsia" w:ascii="宋体" w:hAnsi="宋体" w:eastAsia="宋体" w:cs="宋体"/>
          <w:b/>
          <w:bCs/>
          <w:color w:val="000000"/>
          <w:sz w:val="28"/>
          <w:szCs w:val="28"/>
          <w:highlight w:val="none"/>
        </w:rPr>
      </w:r>
      <w:r/>
    </w:p>
    <w:p>
      <w:pPr>
        <w:pStyle w:val="1572"/>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（1）采购包1</w:t>
      </w:r>
      <w:r>
        <w:rPr>
          <w:rFonts w:hint="eastAsia" w:ascii="宋体" w:hAnsi="宋体" w:eastAsia="宋体" w:cs="宋体"/>
          <w:color w:val="000000"/>
          <w:sz w:val="28"/>
          <w:szCs w:val="28"/>
          <w:highlight w:val="none"/>
        </w:rPr>
      </w:r>
      <w:r/>
    </w:p>
    <w:tbl>
      <w:tblPr>
        <w:tblW w:w="5760" w:type="pct"/>
        <w:jc w:val="center"/>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0" w:type="dxa"/>
          <w:top w:w="20" w:type="dxa"/>
          <w:right w:w="20" w:type="dxa"/>
          <w:bottom w:w="20" w:type="dxa"/>
        </w:tblCellMar>
        <w:tblLook w:val="04A0" w:firstRow="1" w:lastRow="0" w:firstColumn="1" w:lastColumn="0" w:noHBand="0" w:noVBand="1"/>
      </w:tblPr>
      <w:tblGrid>
        <w:gridCol w:w="690"/>
        <w:gridCol w:w="1523"/>
        <w:gridCol w:w="1561"/>
        <w:gridCol w:w="847"/>
        <w:gridCol w:w="849"/>
        <w:gridCol w:w="1136"/>
        <w:gridCol w:w="1088"/>
        <w:gridCol w:w="959"/>
        <w:gridCol w:w="963"/>
      </w:tblGrid>
      <w:tr>
        <w:trPr>
          <w:trHeight w:val="849"/>
        </w:trPr>
        <w:tc>
          <w:tcPr>
            <w:tcMar>
              <w:left w:w="20" w:type="dxa"/>
              <w:top w:w="20" w:type="dxa"/>
              <w:right w:w="20" w:type="dxa"/>
              <w:bottom w:w="20" w:type="dxa"/>
            </w:tcMar>
            <w:tcW w:w="35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9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采购标的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1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对应中小企业划分标准所属行业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单位</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0"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bookmarkStart w:id="147" w:name="OLE_LINK55"/>
            <w:r>
              <w:rPr>
                <w:rFonts w:hint="eastAsia" w:ascii="宋体" w:hAnsi="宋体" w:eastAsia="宋体" w:cs="宋体"/>
                <w:b/>
                <w:color w:val="000000"/>
                <w:sz w:val="28"/>
                <w:szCs w:val="28"/>
                <w:highlight w:val="none"/>
              </w:rPr>
              <w:t xml:space="preserve">单项最高限价（万元）</w:t>
            </w:r>
            <w:bookmarkEnd w:id="147"/>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6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是否主要标的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8"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是否核心产品</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00"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是否强制节能</w:t>
            </w:r>
            <w:r>
              <w:rPr>
                <w:rFonts w:hint="eastAsia" w:ascii="宋体" w:hAnsi="宋体" w:eastAsia="宋体" w:cs="宋体"/>
                <w:b/>
                <w:color w:val="000000"/>
                <w:sz w:val="28"/>
                <w:szCs w:val="28"/>
                <w:highlight w:val="none"/>
              </w:rPr>
            </w:r>
            <w:r/>
          </w:p>
        </w:tc>
      </w:tr>
      <w:tr>
        <w:trPr>
          <w:trHeight w:val="417"/>
        </w:trPr>
        <w:tc>
          <w:tcPr>
            <w:tcMar>
              <w:left w:w="20" w:type="dxa"/>
              <w:top w:w="20" w:type="dxa"/>
              <w:right w:w="20" w:type="dxa"/>
              <w:bottom w:w="20" w:type="dxa"/>
            </w:tcMar>
            <w:tcW w:w="35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bookmarkStart w:id="148" w:name="_Hlk243309534"/>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91" w:type="dxa"/>
            <w:vAlign w:val="center"/>
            <w:textDirection w:val="lrTb"/>
            <w:noWrap w:val="false"/>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水蒸气透气量测试仪</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1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0"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6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8"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0"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
                <w:color w:val="000000"/>
                <w:sz w:val="28"/>
                <w:szCs w:val="28"/>
                <w:highlight w:val="none"/>
              </w:rPr>
            </w:r>
            <w:r/>
          </w:p>
        </w:tc>
      </w:tr>
      <w:tr>
        <w:trPr>
          <w:trHeight w:val="765"/>
        </w:trPr>
        <w:tc>
          <w:tcPr>
            <w:tcMar>
              <w:left w:w="20" w:type="dxa"/>
              <w:top w:w="20" w:type="dxa"/>
              <w:right w:w="20" w:type="dxa"/>
              <w:bottom w:w="20" w:type="dxa"/>
            </w:tcMar>
            <w:tcW w:w="35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bookmarkEnd w:id="148"/>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91" w:type="dxa"/>
            <w:vAlign w:val="center"/>
            <w:textDirection w:val="lrTb"/>
            <w:noWrap w:val="false"/>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压差法气体渗透仪</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1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0"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30.0</w:t>
            </w:r>
            <w:r>
              <w:rPr>
                <w:rFonts w:hint="eastAsia" w:ascii="宋体" w:hAnsi="宋体" w:eastAsia="宋体" w:cs="宋体"/>
                <w:color w:val="000000"/>
                <w:sz w:val="28"/>
                <w:szCs w:val="28"/>
                <w:highlight w:val="none"/>
              </w:rPr>
            </w:r>
            <w:r/>
          </w:p>
        </w:tc>
        <w:tc>
          <w:tcPr>
            <w:shd w:val="clear" w:color="auto" w:fill="ffffff"/>
            <w:tcMar>
              <w:left w:w="20" w:type="dxa"/>
              <w:top w:w="20" w:type="dxa"/>
              <w:right w:w="20" w:type="dxa"/>
              <w:bottom w:w="20" w:type="dxa"/>
            </w:tcMar>
            <w:tcW w:w="565" w:type="dxa"/>
            <w:vAlign w:val="center"/>
            <w:textDirection w:val="lrTb"/>
            <w:noWrap w:val="false"/>
          </w:tcPr>
          <w:p>
            <w:pPr>
              <w:pStyle w:val="1503"/>
              <w:jc w:val="center"/>
              <w:spacing w:line="3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shd w:val="clear" w:color="auto" w:fill="ffffff"/>
            <w:tcMar>
              <w:left w:w="20" w:type="dxa"/>
              <w:top w:w="20" w:type="dxa"/>
              <w:right w:w="20" w:type="dxa"/>
              <w:bottom w:w="20" w:type="dxa"/>
            </w:tcMar>
            <w:tcW w:w="498" w:type="dxa"/>
            <w:vAlign w:val="center"/>
            <w:textDirection w:val="lrTb"/>
            <w:noWrap w:val="false"/>
          </w:tcPr>
          <w:p>
            <w:pPr>
              <w:pStyle w:val="1503"/>
              <w:jc w:val="center"/>
              <w:spacing w:line="3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00"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bl>
    <w:p>
      <w:pPr>
        <w:pStyle w:val="1572"/>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（2）采购包2</w:t>
      </w:r>
      <w:r>
        <w:rPr>
          <w:rFonts w:hint="eastAsia" w:ascii="宋体" w:hAnsi="宋体" w:eastAsia="宋体" w:cs="宋体"/>
          <w:color w:val="000000"/>
          <w:sz w:val="28"/>
          <w:szCs w:val="28"/>
          <w:highlight w:val="none"/>
        </w:rPr>
      </w:r>
      <w:r/>
    </w:p>
    <w:tbl>
      <w:tblPr>
        <w:tblW w:w="5769" w:type="pct"/>
        <w:jc w:val="center"/>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0" w:type="dxa"/>
          <w:top w:w="20" w:type="dxa"/>
          <w:right w:w="20" w:type="dxa"/>
          <w:bottom w:w="20" w:type="dxa"/>
        </w:tblCellMar>
        <w:tblLook w:val="04A0" w:firstRow="1" w:lastRow="0" w:firstColumn="1" w:lastColumn="0" w:noHBand="0" w:noVBand="1"/>
      </w:tblPr>
      <w:tblGrid>
        <w:gridCol w:w="797"/>
        <w:gridCol w:w="1475"/>
        <w:gridCol w:w="1558"/>
        <w:gridCol w:w="851"/>
        <w:gridCol w:w="851"/>
        <w:gridCol w:w="1135"/>
        <w:gridCol w:w="944"/>
        <w:gridCol w:w="1040"/>
        <w:gridCol w:w="980"/>
      </w:tblGrid>
      <w:tr>
        <w:trPr>
          <w:trHeight w:val="864"/>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采购标的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对应中小企业划分标准所属行业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单位</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单项最高限价（万元）</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是否主要标的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是否核心产品</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是否强制节能</w:t>
            </w:r>
            <w:r>
              <w:rPr>
                <w:rFonts w:hint="eastAsia" w:ascii="宋体" w:hAnsi="宋体" w:eastAsia="宋体" w:cs="宋体"/>
                <w:b/>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68.0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
                <w:color w:val="000000"/>
                <w:sz w:val="28"/>
                <w:szCs w:val="28"/>
                <w:highlight w:val="none"/>
              </w:rPr>
            </w:r>
            <w:r/>
          </w:p>
        </w:tc>
      </w:tr>
      <w:tr>
        <w:trPr>
          <w:trHeight w:val="475"/>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83.0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30.0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13.0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28.5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90"/>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高频疲劳试验机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65.0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微机控制环刚度试验机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14.5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电液伺服压力试验机</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20.5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50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4.5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527"/>
        </w:trPr>
        <w:tc>
          <w:tcPr>
            <w:tcMar>
              <w:left w:w="20" w:type="dxa"/>
              <w:top w:w="20" w:type="dxa"/>
              <w:right w:w="20" w:type="dxa"/>
              <w:bottom w:w="20" w:type="dxa"/>
            </w:tcMar>
            <w:tcW w:w="41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766" w:type="dxa"/>
            <w:vAlign w:val="top"/>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09"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89"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7.5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9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4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bl>
    <w:p>
      <w:pPr>
        <w:pStyle w:val="1572"/>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（3）采购包3</w:t>
      </w:r>
      <w:r>
        <w:rPr>
          <w:rFonts w:hint="eastAsia" w:ascii="宋体" w:hAnsi="宋体" w:eastAsia="宋体" w:cs="宋体"/>
          <w:color w:val="000000"/>
          <w:sz w:val="28"/>
          <w:szCs w:val="28"/>
          <w:highlight w:val="none"/>
        </w:rPr>
      </w:r>
      <w:r/>
    </w:p>
    <w:tbl>
      <w:tblPr>
        <w:tblW w:w="5712" w:type="pct"/>
        <w:jc w:val="center"/>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0" w:type="dxa"/>
          <w:top w:w="20" w:type="dxa"/>
          <w:right w:w="20" w:type="dxa"/>
          <w:bottom w:w="20" w:type="dxa"/>
        </w:tblCellMar>
        <w:tblLook w:val="04A0" w:firstRow="1" w:lastRow="0" w:firstColumn="1" w:lastColumn="0" w:noHBand="0" w:noVBand="1"/>
      </w:tblPr>
      <w:tblGrid>
        <w:gridCol w:w="687"/>
        <w:gridCol w:w="1611"/>
        <w:gridCol w:w="1578"/>
        <w:gridCol w:w="849"/>
        <w:gridCol w:w="710"/>
        <w:gridCol w:w="1134"/>
        <w:gridCol w:w="992"/>
        <w:gridCol w:w="1082"/>
        <w:gridCol w:w="893"/>
      </w:tblGrid>
      <w:tr>
        <w:trPr>
          <w:trHeight w:val="864"/>
        </w:trPr>
        <w:tc>
          <w:tcPr>
            <w:tcMar>
              <w:left w:w="20" w:type="dxa"/>
              <w:top w:w="20" w:type="dxa"/>
              <w:right w:w="20" w:type="dxa"/>
              <w:bottom w:w="20" w:type="dxa"/>
            </w:tcMar>
            <w:tcW w:w="36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采购标的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7"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对应中小企业划分标准所属行业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单位</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4"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单项最高限价（万元）</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是否主要标的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67"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是否核心产品</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468"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是否强制节能</w:t>
            </w:r>
            <w:r>
              <w:rPr>
                <w:rFonts w:hint="eastAsia" w:ascii="宋体" w:hAnsi="宋体" w:eastAsia="宋体" w:cs="宋体"/>
                <w:b/>
                <w:color w:val="000000"/>
                <w:sz w:val="28"/>
                <w:szCs w:val="28"/>
                <w:highlight w:val="none"/>
              </w:rPr>
            </w:r>
            <w:r/>
          </w:p>
        </w:tc>
      </w:tr>
      <w:tr>
        <w:trPr>
          <w:trHeight w:val="727"/>
        </w:trPr>
        <w:tc>
          <w:tcPr>
            <w:tcMar>
              <w:left w:w="20" w:type="dxa"/>
              <w:top w:w="20" w:type="dxa"/>
              <w:right w:w="20" w:type="dxa"/>
              <w:bottom w:w="20" w:type="dxa"/>
            </w:tcMar>
            <w:tcW w:w="36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交变湿热试验箱</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7"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67"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68"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
                <w:color w:val="000000"/>
                <w:sz w:val="28"/>
                <w:szCs w:val="28"/>
                <w:highlight w:val="none"/>
              </w:rPr>
            </w:r>
            <w:r/>
          </w:p>
        </w:tc>
      </w:tr>
      <w:tr>
        <w:trPr>
          <w:trHeight w:val="475"/>
        </w:trPr>
        <w:tc>
          <w:tcPr>
            <w:tcMar>
              <w:left w:w="20" w:type="dxa"/>
              <w:top w:w="20" w:type="dxa"/>
              <w:right w:w="20" w:type="dxa"/>
              <w:bottom w:w="20" w:type="dxa"/>
            </w:tcMar>
            <w:tcW w:w="36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bookmarkStart w:id="149" w:name="_Hlk243309549"/>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步入式高低温湿热试验箱</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7"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4"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135.0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67"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46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r>
        <w:trPr>
          <w:trHeight w:val="727"/>
        </w:trPr>
        <w:tc>
          <w:tcPr>
            <w:tcMar>
              <w:left w:w="20" w:type="dxa"/>
              <w:top w:w="20" w:type="dxa"/>
              <w:right w:w="20" w:type="dxa"/>
              <w:bottom w:w="20" w:type="dxa"/>
            </w:tcMar>
            <w:tcW w:w="36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bookmarkEnd w:id="149"/>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盐雾试验箱</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7"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4"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30.0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67" w:type="dxa"/>
            <w:vAlign w:val="center"/>
            <w:textDirection w:val="lrTb"/>
            <w:noWrap w:val="false"/>
          </w:tcPr>
          <w:p>
            <w:pPr>
              <w:pStyle w:val="1503"/>
              <w:jc w:val="center"/>
              <w:keepLines/>
              <w:keepNext/>
              <w:spacing w:line="32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68"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bl>
    <w:p>
      <w:pPr>
        <w:pStyle w:val="1572"/>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（4）采购包4</w:t>
      </w:r>
      <w:r>
        <w:rPr>
          <w:rFonts w:hint="eastAsia" w:ascii="宋体" w:hAnsi="宋体" w:eastAsia="宋体" w:cs="宋体"/>
          <w:color w:val="000000"/>
          <w:sz w:val="28"/>
          <w:szCs w:val="28"/>
          <w:highlight w:val="none"/>
        </w:rPr>
      </w:r>
      <w:r/>
    </w:p>
    <w:tbl>
      <w:tblPr>
        <w:tblW w:w="5712" w:type="pct"/>
        <w:jc w:val="center"/>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0" w:type="dxa"/>
          <w:top w:w="20" w:type="dxa"/>
          <w:right w:w="20" w:type="dxa"/>
          <w:bottom w:w="20" w:type="dxa"/>
        </w:tblCellMar>
        <w:tblLook w:val="04A0" w:firstRow="1" w:lastRow="0" w:firstColumn="1" w:lastColumn="0" w:noHBand="0" w:noVBand="1"/>
      </w:tblPr>
      <w:tblGrid>
        <w:gridCol w:w="688"/>
        <w:gridCol w:w="1610"/>
        <w:gridCol w:w="1579"/>
        <w:gridCol w:w="849"/>
        <w:gridCol w:w="709"/>
        <w:gridCol w:w="1135"/>
        <w:gridCol w:w="992"/>
        <w:gridCol w:w="1015"/>
        <w:gridCol w:w="959"/>
      </w:tblGrid>
      <w:tr>
        <w:trPr>
          <w:trHeight w:val="864"/>
        </w:trPr>
        <w:tc>
          <w:tcPr>
            <w:tcMar>
              <w:left w:w="20" w:type="dxa"/>
              <w:top w:w="20" w:type="dxa"/>
              <w:right w:w="20" w:type="dxa"/>
              <w:bottom w:w="20" w:type="dxa"/>
            </w:tcMar>
            <w:tcW w:w="36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采购标的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8"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对应中小企业划分标准所属行业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数量</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单位</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5"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单项最高限价（万元）</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是否主要标的</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32"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是否核心产品</w:t>
            </w:r>
            <w:r>
              <w:rPr>
                <w:rFonts w:hint="eastAsia" w:ascii="宋体" w:hAnsi="宋体" w:eastAsia="宋体" w:cs="宋体"/>
                <w:b/>
                <w:color w:val="000000"/>
                <w:sz w:val="28"/>
                <w:szCs w:val="28"/>
                <w:highlight w:val="none"/>
              </w:rPr>
            </w:r>
            <w:r/>
          </w:p>
        </w:tc>
        <w:tc>
          <w:tcPr>
            <w:tcMar>
              <w:left w:w="20" w:type="dxa"/>
              <w:top w:w="20" w:type="dxa"/>
              <w:right w:w="20" w:type="dxa"/>
              <w:bottom w:w="20" w:type="dxa"/>
            </w:tcMar>
            <w:tcW w:w="504"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是否强制节能</w:t>
            </w:r>
            <w:r>
              <w:rPr>
                <w:rFonts w:hint="eastAsia" w:ascii="宋体" w:hAnsi="宋体" w:eastAsia="宋体" w:cs="宋体"/>
                <w:b/>
                <w:color w:val="000000"/>
                <w:sz w:val="28"/>
                <w:szCs w:val="28"/>
                <w:highlight w:val="none"/>
              </w:rPr>
            </w:r>
            <w:r/>
          </w:p>
        </w:tc>
      </w:tr>
      <w:tr>
        <w:trPr>
          <w:trHeight w:val="727"/>
        </w:trPr>
        <w:tc>
          <w:tcPr>
            <w:tcMar>
              <w:left w:w="20" w:type="dxa"/>
              <w:top w:w="20" w:type="dxa"/>
              <w:right w:w="20" w:type="dxa"/>
              <w:bottom w:w="20" w:type="dxa"/>
            </w:tcMar>
            <w:tcW w:w="36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8"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22.0</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32" w:type="dxa"/>
            <w:vAlign w:val="center"/>
            <w:textDirection w:val="lrTb"/>
            <w:noWrap w:val="false"/>
          </w:tcPr>
          <w:p>
            <w:pPr>
              <w:pStyle w:val="1503"/>
              <w:jc w:val="center"/>
              <w:keepLines/>
              <w:keepNext/>
              <w:spacing w:line="3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是</w:t>
            </w:r>
            <w:r>
              <w:rPr>
                <w:rFonts w:hint="eastAsia" w:ascii="宋体" w:hAnsi="宋体" w:eastAsia="宋体" w:cs="宋体"/>
                <w:b/>
                <w:bCs/>
                <w:color w:val="000000"/>
                <w:sz w:val="28"/>
                <w:szCs w:val="28"/>
                <w:highlight w:val="none"/>
              </w:rPr>
            </w:r>
            <w:r/>
          </w:p>
        </w:tc>
        <w:tc>
          <w:tcPr>
            <w:tcMar>
              <w:left w:w="20" w:type="dxa"/>
              <w:top w:w="20" w:type="dxa"/>
              <w:right w:w="20" w:type="dxa"/>
              <w:bottom w:w="20" w:type="dxa"/>
            </w:tcMar>
            <w:tcW w:w="504"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
                <w:color w:val="000000"/>
                <w:sz w:val="28"/>
                <w:szCs w:val="28"/>
                <w:highlight w:val="none"/>
              </w:rPr>
            </w:r>
            <w:r/>
          </w:p>
        </w:tc>
      </w:tr>
      <w:tr>
        <w:trPr>
          <w:trHeight w:val="475"/>
        </w:trPr>
        <w:tc>
          <w:tcPr>
            <w:tcMar>
              <w:left w:w="20" w:type="dxa"/>
              <w:top w:w="20" w:type="dxa"/>
              <w:right w:w="20" w:type="dxa"/>
              <w:bottom w:w="20" w:type="dxa"/>
            </w:tcMar>
            <w:tcW w:w="361"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44"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828"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工业</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445" w:type="dxa"/>
            <w:vAlign w:val="center"/>
            <w:textDirection w:val="lrTb"/>
            <w:noWrap w:val="false"/>
          </w:tcPr>
          <w:p>
            <w:pPr>
              <w:pStyle w:val="1503"/>
              <w:jc w:val="center"/>
              <w:spacing w:line="32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37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套</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9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2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32"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否</w:t>
            </w:r>
            <w:r>
              <w:rPr>
                <w:rFonts w:hint="eastAsia" w:ascii="宋体" w:hAnsi="宋体" w:eastAsia="宋体" w:cs="宋体"/>
                <w:color w:val="000000"/>
                <w:sz w:val="28"/>
                <w:szCs w:val="28"/>
                <w:highlight w:val="none"/>
              </w:rPr>
            </w:r>
            <w:r/>
          </w:p>
        </w:tc>
        <w:tc>
          <w:tcPr>
            <w:tcMar>
              <w:left w:w="20" w:type="dxa"/>
              <w:top w:w="20" w:type="dxa"/>
              <w:right w:w="20" w:type="dxa"/>
              <w:bottom w:w="20" w:type="dxa"/>
            </w:tcMar>
            <w:tcW w:w="504" w:type="dxa"/>
            <w:vAlign w:val="center"/>
            <w:textDirection w:val="lrTb"/>
            <w:noWrap w:val="false"/>
          </w:tcPr>
          <w:p>
            <w:pPr>
              <w:pStyle w:val="1503"/>
              <w:jc w:val="center"/>
              <w:spacing w:line="3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否</w:t>
            </w:r>
            <w:r>
              <w:rPr>
                <w:rFonts w:hint="eastAsia" w:ascii="宋体" w:hAnsi="宋体" w:eastAsia="宋体" w:cs="宋体"/>
                <w:bCs/>
                <w:color w:val="000000"/>
                <w:sz w:val="28"/>
                <w:szCs w:val="28"/>
                <w:highlight w:val="none"/>
              </w:rPr>
            </w:r>
            <w:r/>
          </w:p>
        </w:tc>
      </w:tr>
    </w:tbl>
    <w:p>
      <w:pPr>
        <w:pStyle w:val="1503"/>
        <w:ind w:firstLine="562"/>
        <w:spacing w:line="460" w:lineRule="exact"/>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四、主要技术参数</w:t>
      </w:r>
      <w:r>
        <w:rPr>
          <w:rFonts w:hint="eastAsia" w:ascii="宋体" w:hAnsi="宋体" w:eastAsia="宋体" w:cs="宋体"/>
          <w:b/>
          <w:bCs/>
          <w:color w:val="000000"/>
          <w:sz w:val="28"/>
          <w:szCs w:val="28"/>
          <w:highlight w:val="none"/>
        </w:rPr>
      </w:r>
      <w:r/>
    </w:p>
    <w:p>
      <w:pPr>
        <w:pStyle w:val="1503"/>
        <w:rPr>
          <w:rFonts w:hint="eastAsia" w:ascii="宋体" w:hAnsi="宋体" w:eastAsia="宋体" w:cs="宋体"/>
          <w:b/>
          <w:color w:val="000000"/>
          <w:sz w:val="28"/>
          <w:szCs w:val="28"/>
          <w:highlight w:val="none"/>
        </w:rPr>
      </w:pPr>
      <w:r/>
      <w:bookmarkStart w:id="150" w:name="OLE_LINK229"/>
      <w:r/>
      <w:bookmarkStart w:id="151" w:name="OLE_LINK228"/>
      <w:r>
        <w:rPr>
          <w:rFonts w:hint="eastAsia" w:ascii="宋体" w:hAnsi="宋体" w:eastAsia="宋体" w:cs="宋体"/>
          <w:b/>
          <w:color w:val="000000"/>
          <w:sz w:val="28"/>
          <w:szCs w:val="28"/>
          <w:highlight w:val="none"/>
        </w:rPr>
        <w:t xml:space="preserve">1.包1仪器设备技术及配置要求</w:t>
      </w:r>
      <w:r>
        <w:rPr>
          <w:rFonts w:hint="eastAsia" w:ascii="宋体" w:hAnsi="宋体" w:eastAsia="宋体" w:cs="宋体"/>
          <w:b/>
          <w:color w:val="000000"/>
          <w:sz w:val="28"/>
          <w:szCs w:val="28"/>
          <w:highlight w:val="none"/>
        </w:rPr>
      </w:r>
      <w:r/>
    </w:p>
    <w:tbl>
      <w:tblPr>
        <w:tblW w:w="9074"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795"/>
        <w:gridCol w:w="1307"/>
        <w:gridCol w:w="6972"/>
      </w:tblGrid>
      <w:tr>
        <w:trPr/>
        <w:tc>
          <w:tcPr>
            <w:tcMar>
              <w:left w:w="57" w:type="dxa"/>
              <w:top w:w="57" w:type="dxa"/>
              <w:right w:w="57" w:type="dxa"/>
              <w:bottom w:w="57" w:type="dxa"/>
            </w:tcMar>
            <w:tcW w:w="795"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bookmarkEnd w:id="150"/>
            <w:r/>
            <w:bookmarkEnd w:id="151"/>
            <w:r>
              <w:rPr>
                <w:rFonts w:hint="eastAsia" w:ascii="宋体" w:hAnsi="宋体" w:eastAsia="宋体" w:cs="宋体"/>
                <w:b/>
                <w:color w:val="000000"/>
                <w:sz w:val="28"/>
                <w:szCs w:val="28"/>
                <w:highlight w:val="none"/>
              </w:rPr>
              <w:t xml:space="preserve">序号</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1307"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仪器名称</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2" w:type="dxa"/>
            <w:vAlign w:val="top"/>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技术要求</w:t>
            </w:r>
            <w:r>
              <w:rPr>
                <w:rFonts w:hint="eastAsia" w:ascii="宋体" w:hAnsi="宋体" w:eastAsia="宋体" w:cs="宋体"/>
                <w:b/>
                <w:color w:val="000000"/>
                <w:sz w:val="28"/>
                <w:szCs w:val="28"/>
                <w:highlight w:val="none"/>
              </w:rPr>
            </w:r>
            <w:r/>
          </w:p>
        </w:tc>
      </w:tr>
      <w:tr>
        <w:trPr/>
        <w:tc>
          <w:tcPr>
            <w:tcMar>
              <w:left w:w="57" w:type="dxa"/>
              <w:top w:w="57" w:type="dxa"/>
              <w:right w:w="57" w:type="dxa"/>
              <w:bottom w:w="57" w:type="dxa"/>
            </w:tcMar>
            <w:tcW w:w="795"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7"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水蒸气透气量测试仪</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2"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一、技术性能指标</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1.符合GB/T1037-2021塑料薄膜与薄片水蒸气透过性能测定杯式增重与减重法测试、GB/T10457-2021食品用塑料自粘保鲜膜质里通则，GB/T10003-2008普通用途双向拉伸聚丙烯(B0PP)薄膜，BB/T0002-2008</w:t>
            </w:r>
            <w:r>
              <w:rPr>
                <w:rFonts w:hint="eastAsia" w:ascii="宋体" w:hAnsi="宋体" w:eastAsia="宋体" w:cs="宋体"/>
                <w:color w:val="000000"/>
                <w:sz w:val="28"/>
                <w:szCs w:val="28"/>
                <w:highlight w:val="none"/>
              </w:rPr>
              <w:t xml:space="preserve">双向拉伸聚丙烯珠光薄膜，GB/T27740-2011流延聚丙烯(CPP)薄膜，GB/T16958-2008包装用双向拉伸聚酯薄膜，GB/T10004-2008包装用塑料复合膜、袋干法复合、挤出复合，GB/T21302-2007包装用复合膜、袋通则，GB/T28118-2011食品包装用塑料与铝箔复合膜、袋，QB/T1871-1993双向拉伸尼龙(BOPA)低密度聚乙烯(LDPE)复合膜、袋、GB/T28117-2011食品包装用多层共挤膜、袋，GB/T15267-1994食品包装用聚氯乙烯硬片、膜，标准要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原理要求：仪器采用规范的间歇式称重方法，严格符合GB1037-2021最新标准要求，自动间歇称重测试，每次测量前称重器自动清零，保证测试精度。在称量后由升降机构将透湿杯与天平分离开，在称量时由升降机构将透湿杯置于天平上进行称量，实验过程中需不断将透湿杯与天平执行分离与放置称量的操作（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★3.仪器要求至少具有12个测试腔，数据独立。同时具备增重法和减重法测试模式（需提供技设计方案实物图有效证明材料）。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4.为快速进行温度和湿度控制，仪器应采用先进的圆形测试腔结构，具备先进的流体力结构，使温度和湿度更加均匀稳定，测试周期更短，结果更精准。无温度湿度死角。</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▲5.测试腔内内置高精度风速计和温湿度传感器，有效防止透湿杯上方湿度梯度的形成，可实时测定和自动调节，外置可见，可拆卸，可计量（需提供温湿度、风速传感器实物图片有效证明材料）。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▲6.采用气动封腔设计，试验腔与称量腔自动隔离，避免高温、高湿对天平的影响（需提供技设计方案实物图有效证明材料）。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7.测试过程数据与测试结果数据一致；可提供标准膜和标准砝码双重快速校准模式，保证检测数据的准确性和通用性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全自动测试，无需人工干预，数据自动保存。无需人工调整快速获得精确结果。设备实时显示水蒸气透过率曲线、渗透系数曲线、温度曲线、湿度曲线等关键核心数据（需提供相关文件如操作软件的界面截图、说明资料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核心传感器为高分辨率称重传感器。需配备高精度电子天平，最大称量≥200g，进口品牌天平，全时段分度值0.1mg及以上的I级天平含组件，必须有防潮保护功能，不接受分段式分度值天平。（需提供天平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风速范围：0.3m/s~2.5m/s，具备标准的风速设计要求，同时风速可进行实时测定和自动调节，确保测试腔的湿度均匀恒定。进口风速电机更佳,有效防止透湿杯上方湿度梯度的形成，保证测试准确性。需配备品牌风速传感器。（提供风速电机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▲11.测试设备所涉及电磁阀、电机、开关电源、电子驱动件等部件须质量稳定可靠并提供配置情况说明资料等证明材料(如选用了3C认证产品应提供3C证书)，以确保设备整体运行的稳定性。</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12.测试范围:覆盖0.1~19,000g/m</w:t>
            </w:r>
            <w:r>
              <w:rPr>
                <w:rFonts w:hint="eastAsia" w:ascii="宋体" w:hAnsi="宋体" w:eastAsia="宋体" w:cs="宋体"/>
                <w:color w:val="000000"/>
                <w:sz w:val="28"/>
                <w:szCs w:val="28"/>
                <w:highlight w:val="none"/>
                <w:vertAlign w:val="superscript"/>
              </w:rPr>
              <w:t xml:space="preserve">2</w:t>
            </w:r>
            <w:r>
              <w:rPr>
                <w:rFonts w:hint="eastAsia" w:ascii="宋体" w:hAnsi="宋体" w:eastAsia="宋体" w:cs="宋体"/>
                <w:color w:val="000000"/>
                <w:sz w:val="28"/>
                <w:szCs w:val="28"/>
                <w:highlight w:val="none"/>
              </w:rPr>
              <w:t xml:space="preserve">·24h。</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试验温度：15～60℃；控温精度：±0.1℃；温度控制，要求仪器全自动温度控制，同时采用舱体空间立体恒温技术，使温度控制更加均匀稳定快速。设备能连续和实时监控、记录舱內的温度、时间等控制参数，可实现系统控制、程序设定、动态数据显示和历史数据回放、故障记录等功能。提供配置情况说明资料等证明材料。（需提供控温装置温度传感器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试验湿度：room～95%RH，100%RH±1%RH；标准90%RH,设备测试腔内部需配备高精度湿度传感器，能连续和实时监控、记录舱内的相对湿度、时间等控制参数，可实现系统控制、程序设定、动态数据显示和历史数据回放、故障记录等功能，（需提供控湿装置湿度传感器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▲15.湿度控制，配备高效率无水雾湿度自动调节装置，满足长时间连续测试需要；配备气体干燥装置无需更换内芯，连续工作寿命至少两万小时。（需提供气体干燥装置配置情况说明资料等证明材料）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▲16.设备自动抽水，采用自动启动泵抽水式加水，自动启停的精准操控，系统自动将激活电动水泵，将外部水源抽送至储水箱;可实现超时间测试，无须人工加水。（需提供技设计方案实物图有效证明材料）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17.样品尺寸：≤Φ74mm；测试面积：≥33cm</w:t>
            </w:r>
            <w:r>
              <w:rPr>
                <w:rFonts w:hint="eastAsia" w:ascii="宋体" w:hAnsi="宋体" w:eastAsia="宋体" w:cs="宋体"/>
                <w:color w:val="000000"/>
                <w:sz w:val="28"/>
                <w:szCs w:val="28"/>
                <w:highlight w:val="none"/>
                <w:vertAlign w:val="superscript"/>
              </w:rPr>
              <w:t xml:space="preserve">2</w:t>
            </w:r>
            <w:r>
              <w:rPr>
                <w:rFonts w:hint="eastAsia" w:ascii="宋体" w:hAnsi="宋体" w:eastAsia="宋体" w:cs="宋体"/>
                <w:color w:val="000000"/>
                <w:sz w:val="28"/>
                <w:szCs w:val="28"/>
                <w:highlight w:val="none"/>
              </w:rPr>
              <w:t xml:space="preserve">；试样厚度≤3mm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18.设备应配置有国家一级标准物质证书的标准膜(低阻隔7、中阻隔3、高阻隔0.5)各三张。</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19.为保障数据的准确性，供应商需派技术人员操作供货设备，参加能力验证或测里审核，结果应满意或合格。</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▲20.可测试薄膜材料及塑料瓶如PP/PET瓶子水蒸气透过率测试，腔体容积不小于40L，可容纳不同高度容器测试。</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标准配置:主机、计算机、透湿杯、气体干燥装置（免维护型）、自动干燥过滤器、校验、砝码、取样器、供气阀门管件、空压机</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tc>
      </w:tr>
      <w:tr>
        <w:trPr/>
        <w:tc>
          <w:tcPr>
            <w:tcMar>
              <w:left w:w="57" w:type="dxa"/>
              <w:top w:w="57" w:type="dxa"/>
              <w:right w:w="57" w:type="dxa"/>
              <w:bottom w:w="57" w:type="dxa"/>
            </w:tcMar>
            <w:tcW w:w="795"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7"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压差法气体渗透仪</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2"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一、技术性能指标</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1.测试方法和原理：符合标准GB/T1038.1-2022标准方法（差压法）。GB/T10457-2021食品用塑料自粘保鲜膜质量通则，GB/T16958-2008包装用双向拉伸聚酯薄膜，GB/T20218-2021双向拉伸聚</w:t>
            </w:r>
            <w:r>
              <w:rPr>
                <w:rFonts w:hint="eastAsia" w:ascii="宋体" w:hAnsi="宋体" w:eastAsia="宋体" w:cs="宋体"/>
                <w:color w:val="000000"/>
                <w:sz w:val="28"/>
                <w:szCs w:val="28"/>
                <w:highlight w:val="none"/>
              </w:rPr>
              <w:t xml:space="preserve">酰胺(尼龙)薄膜，GB/T10004-2008包装用塑料复合膜、袋干法复合、挤出复合，GB/T21302-2007包装用复合膜、袋通则，QB/T1871-1993双向拉伸尼龙(B0PA)低密度聚乙烯(LDPE)复合膜、袋，GB/T18192-2008液体食品无菌包装用纸基复合材料，GB/T18706-2008液体食品保鲜包装用纸基复合材料，GB/T19741-2005液体食品包装用塑料复合膜、袋，GB/T28117-2011食品包装用多层共挤膜、袋、BB/T0052-2017液态奶共挤包装膜、袋等标准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★2.测试范围0.01～50000cm³/m²・24h・0.1MPa（拓展上限≥200000cm³/m²・24h・0.1MPa）。</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至少具有3个测试腔，支持同一条件下多个试样同时测试，数据相互独立。为提高检测效率和准确度，采用屉式测试腔体，气动自动夹紧试样，无须手动夹紧试样，测试腔手动出仓、返回。腔体自动密封，密封性由设备自动检测，需避免测试过程中因夹持不严密封性差，发生泄漏，导致测试过程失败。提供相关文件如结构照片、说明资料、操作软件的提醒截图等。（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★4.真空分辨率0.1Pa。</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▲5.仪器具备良好的高、中、低阻隔性材料的测试能力，配备高精度真空传感器，实现0.01～0.1cm</w:t>
            </w:r>
            <w:r>
              <w:rPr>
                <w:rFonts w:hint="eastAsia" w:ascii="宋体" w:hAnsi="宋体" w:eastAsia="宋体" w:cs="宋体"/>
                <w:color w:val="000000"/>
                <w:sz w:val="28"/>
                <w:szCs w:val="28"/>
                <w:highlight w:val="none"/>
                <w:vertAlign w:val="superscript"/>
              </w:rPr>
              <w:t xml:space="preserve">3</w:t>
            </w:r>
            <w:r>
              <w:rPr>
                <w:rFonts w:hint="eastAsia" w:ascii="宋体" w:hAnsi="宋体" w:eastAsia="宋体" w:cs="宋体"/>
                <w:color w:val="000000"/>
                <w:sz w:val="28"/>
                <w:szCs w:val="28"/>
                <w:highlight w:val="none"/>
              </w:rPr>
              <w:t xml:space="preserve">/m</w:t>
            </w:r>
            <w:r>
              <w:rPr>
                <w:rFonts w:hint="eastAsia" w:ascii="宋体" w:hAnsi="宋体" w:eastAsia="宋体" w:cs="宋体"/>
                <w:color w:val="000000"/>
                <w:sz w:val="28"/>
                <w:szCs w:val="28"/>
                <w:highlight w:val="none"/>
                <w:vertAlign w:val="superscript"/>
              </w:rPr>
              <w:t xml:space="preserve">2</w:t>
            </w:r>
            <w:r>
              <w:rPr>
                <w:rFonts w:hint="eastAsia" w:ascii="宋体" w:hAnsi="宋体" w:eastAsia="宋体" w:cs="宋体"/>
                <w:color w:val="000000"/>
                <w:sz w:val="28"/>
                <w:szCs w:val="28"/>
                <w:highlight w:val="none"/>
              </w:rPr>
              <w:t xml:space="preserve">•24h•0.1MPa超高阻隔材料的准确测试。（需提供相关文件如操作软件的界面截图、说明资料等）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▲6.分辨率：≤0.01cm</w:t>
            </w:r>
            <w:r>
              <w:rPr>
                <w:rFonts w:hint="eastAsia" w:ascii="宋体" w:hAnsi="宋体" w:eastAsia="宋体" w:cs="宋体"/>
                <w:color w:val="000000"/>
                <w:sz w:val="28"/>
                <w:szCs w:val="28"/>
                <w:highlight w:val="none"/>
                <w:vertAlign w:val="superscript"/>
              </w:rPr>
              <w:t xml:space="preserve">3</w:t>
            </w:r>
            <w:r>
              <w:rPr>
                <w:rFonts w:hint="eastAsia" w:ascii="宋体" w:hAnsi="宋体" w:eastAsia="宋体" w:cs="宋体"/>
                <w:color w:val="000000"/>
                <w:sz w:val="28"/>
                <w:szCs w:val="28"/>
                <w:highlight w:val="none"/>
              </w:rPr>
              <w:t xml:space="preserve">/m</w:t>
            </w:r>
            <w:r>
              <w:rPr>
                <w:rFonts w:hint="eastAsia" w:ascii="宋体" w:hAnsi="宋体" w:eastAsia="宋体" w:cs="宋体"/>
                <w:color w:val="000000"/>
                <w:sz w:val="28"/>
                <w:szCs w:val="28"/>
                <w:highlight w:val="none"/>
                <w:vertAlign w:val="superscript"/>
              </w:rPr>
              <w:t xml:space="preserve">2</w:t>
            </w:r>
            <w:r>
              <w:rPr>
                <w:rFonts w:hint="eastAsia" w:ascii="宋体" w:hAnsi="宋体" w:eastAsia="宋体" w:cs="宋体"/>
                <w:color w:val="000000"/>
                <w:sz w:val="28"/>
                <w:szCs w:val="28"/>
                <w:highlight w:val="none"/>
              </w:rPr>
              <w:t xml:space="preserve">·24h·0.1MP。</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7.试验温度：5℃～95℃，温度分辨率：±0.1℃；温度波动：±0.2℃。配备高精度温度传感器仪器全自动温度控制系统，采用空间立体恒温技术，确保温度控制更加均匀稳定快速。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▲8.测试腔体需气动夹持可实现全自动夹紧试样，夹紧力度一致，确保系统整体密封良好，保障测试精度。配备试样固定夹，方便夹装试样，快速装样、换样。（需提供技设计方案实物图有效证明材料）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为提高测试效率，快速进行温度控制，仪器采用全域循环恒温技术，测试时测试腔内置在主机内部，可对三个测试上下腔同时控温，且温度可调,可为测试腔体整体提供恒温的测试环境，无需依赖专业恒温恒湿实验室，避免环境温度对测试结果的影响。（需提供技设计方案实物图有效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▲10.配备高精度真空规传感器及真空泵，能使低压室的压力≤10Pa，分辨率：≤0.1Pa，自动控制，无需人工开启/关闭。（需提供配置情况说明资料等证明材料）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配备高精度压力传感器，试验过程自动恒压补压，压力变化≤0.2kPa。支持20kPa~150kPa范围内灵活设定高压腔压力，系统精确保压。应配备高精度压力传感器，确保测试数据的稳定性、重复性。（需提供配置情况说明资料等证明材料）</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▲12.配备windows系统台式计算机操控，键入测试条件，一键全自动测试，自动结束试验、自动保存数据、自动出结果。</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▲13.测试周期（含抽真空时间）：高阻隔材料测试时间＜12h，中、低阻隔材料测试时间＜6h。（需提供相关文件如操作软件的界面截图、说明资料等）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14.试样尺寸：不超过13cm×13cm。透过面积：≥30cm</w:t>
            </w:r>
            <w:r>
              <w:rPr>
                <w:rFonts w:hint="eastAsia" w:ascii="宋体" w:hAnsi="宋体" w:eastAsia="宋体" w:cs="宋体"/>
                <w:color w:val="000000"/>
                <w:sz w:val="28"/>
                <w:szCs w:val="28"/>
                <w:highlight w:val="none"/>
                <w:vertAlign w:val="superscript"/>
              </w:rPr>
              <w:t xml:space="preserve">2</w:t>
            </w:r>
            <w:r>
              <w:rPr>
                <w:rFonts w:hint="eastAsia" w:ascii="宋体" w:hAnsi="宋体" w:eastAsia="宋体" w:cs="宋体"/>
                <w:color w:val="000000"/>
                <w:sz w:val="28"/>
                <w:szCs w:val="28"/>
                <w:highlight w:val="none"/>
              </w:rPr>
              <w:t xml:space="preserve">。试验气体：O</w:t>
            </w:r>
            <w:r>
              <w:rPr>
                <w:rFonts w:hint="eastAsia" w:ascii="宋体" w:hAnsi="宋体" w:eastAsia="宋体" w:cs="宋体"/>
                <w:color w:val="000000"/>
                <w:sz w:val="28"/>
                <w:szCs w:val="28"/>
                <w:highlight w:val="none"/>
                <w:vertAlign w:val="subscript"/>
              </w:rPr>
              <w:t xml:space="preserve">2</w:t>
            </w:r>
            <w:r>
              <w:rPr>
                <w:rFonts w:hint="eastAsia" w:ascii="宋体" w:hAnsi="宋体" w:eastAsia="宋体" w:cs="宋体"/>
                <w:color w:val="000000"/>
                <w:sz w:val="28"/>
                <w:szCs w:val="28"/>
                <w:highlight w:val="none"/>
              </w:rPr>
              <w:t xml:space="preserve">、N</w:t>
            </w:r>
            <w:r>
              <w:rPr>
                <w:rFonts w:hint="eastAsia" w:ascii="宋体" w:hAnsi="宋体" w:eastAsia="宋体" w:cs="宋体"/>
                <w:color w:val="000000"/>
                <w:sz w:val="28"/>
                <w:szCs w:val="28"/>
                <w:highlight w:val="none"/>
                <w:vertAlign w:val="subscript"/>
              </w:rPr>
              <w:t xml:space="preserve">2</w:t>
            </w:r>
            <w:r>
              <w:rPr>
                <w:rFonts w:hint="eastAsia" w:ascii="宋体" w:hAnsi="宋体" w:eastAsia="宋体" w:cs="宋体"/>
                <w:color w:val="000000"/>
                <w:sz w:val="28"/>
                <w:szCs w:val="28"/>
                <w:highlight w:val="none"/>
              </w:rPr>
              <w:t xml:space="preserve">、CO</w:t>
            </w:r>
            <w:r>
              <w:rPr>
                <w:rFonts w:hint="eastAsia" w:ascii="宋体" w:hAnsi="宋体" w:eastAsia="宋体" w:cs="宋体"/>
                <w:color w:val="000000"/>
                <w:sz w:val="28"/>
                <w:szCs w:val="28"/>
                <w:highlight w:val="none"/>
                <w:vertAlign w:val="subscript"/>
              </w:rPr>
              <w:t xml:space="preserve">2</w:t>
            </w:r>
            <w:r>
              <w:rPr>
                <w:rFonts w:hint="eastAsia" w:ascii="宋体" w:hAnsi="宋体" w:eastAsia="宋体" w:cs="宋体"/>
                <w:color w:val="000000"/>
                <w:sz w:val="28"/>
                <w:szCs w:val="28"/>
                <w:highlight w:val="none"/>
              </w:rPr>
              <w:t xml:space="preserve">等气体。</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▲15.测试设备所涉及电磁阀、电机、开关电源、电子驱动件等部件须质量稳定可靠并提供配置情况说明资料等证明材料(如选用了3C认证产品应提供3C证书)，以确保设备整体运行的稳定性。</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气体透过率测试仪主机1台、计算机1台、测试软件系统1套、真空泵1台、取样器1套、空压机1台、试样夹3套</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r>
            <w:r/>
          </w:p>
        </w:tc>
      </w:tr>
    </w:tbl>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2.包2仪器设备技术及配置要求</w:t>
      </w:r>
      <w:r>
        <w:rPr>
          <w:rFonts w:hint="eastAsia" w:ascii="宋体" w:hAnsi="宋体" w:eastAsia="宋体" w:cs="宋体"/>
          <w:b/>
          <w:color w:val="000000"/>
          <w:sz w:val="28"/>
          <w:szCs w:val="28"/>
          <w:highlight w:val="none"/>
        </w:rPr>
      </w:r>
      <w:r/>
    </w:p>
    <w:tbl>
      <w:tblPr>
        <w:tblW w:w="9090" w:type="dxa"/>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810"/>
        <w:gridCol w:w="1305"/>
        <w:gridCol w:w="6975"/>
      </w:tblGrid>
      <w:tr>
        <w:trPr/>
        <w:tc>
          <w:tcPr>
            <w:tcMar>
              <w:left w:w="57" w:type="dxa"/>
              <w:top w:w="57" w:type="dxa"/>
              <w:right w:w="57" w:type="dxa"/>
              <w:bottom w:w="57" w:type="dxa"/>
            </w:tcMar>
            <w:tcW w:w="810"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1305"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仪器名称</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技术要求</w:t>
            </w:r>
            <w:r>
              <w:rPr>
                <w:rFonts w:hint="eastAsia" w:ascii="宋体" w:hAnsi="宋体" w:eastAsia="宋体" w:cs="宋体"/>
                <w:b/>
                <w:color w:val="000000"/>
                <w:sz w:val="28"/>
                <w:szCs w:val="28"/>
                <w:highlight w:val="none"/>
              </w:rPr>
            </w:r>
            <w:r/>
          </w:p>
        </w:tc>
      </w:tr>
      <w:tr>
        <w:trPr>
          <w:trHeight w:val="4702"/>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液</w:t>
            </w:r>
            <w:r>
              <w:rPr>
                <w:rFonts w:hint="eastAsia" w:ascii="宋体" w:hAnsi="宋体" w:eastAsia="宋体" w:cs="宋体"/>
                <w:color w:val="000000"/>
                <w:sz w:val="28"/>
                <w:szCs w:val="28"/>
                <w:highlight w:val="none"/>
              </w:rPr>
              <w:t xml:space="preserve">压式万能材料试验机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一、主要技术规格及要求</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1.技术指标</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1.1主机最大载荷：不小于1000kN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1.3试验力测量范围：1%～100%FS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1.4试验力分辨力：1/600000FS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1.5位移示值相对误差：±0.5%以内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1.6位移分辨力：0.004mm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1.7变形示值相对误差：±0.5%以内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1.8变形测量范围：1%～100%FS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▲1.9整机刚度：950kN/mm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（提供产品彩页截图技术样本或</w:t>
            </w:r>
            <w:r>
              <w:rPr>
                <w:rFonts w:hint="eastAsia" w:ascii="宋体" w:hAnsi="宋体" w:eastAsia="宋体" w:cs="宋体"/>
                <w:i w:val="0"/>
                <w:iCs w:val="0"/>
                <w:color w:val="000000"/>
                <w:sz w:val="28"/>
                <w:szCs w:val="28"/>
                <w:highlight w:val="none"/>
                <w:lang w:val="en-US" w:eastAsia="zh-CN"/>
              </w:rPr>
              <w:t xml:space="preserve">第三方检测报告等有效证明文件之一）</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b w:val="0"/>
                <w:bCs w:val="0"/>
                <w:i w:val="0"/>
                <w:iCs w:val="0"/>
                <w:color w:val="000000"/>
                <w:sz w:val="28"/>
                <w:szCs w:val="28"/>
                <w:highlight w:val="none"/>
                <w:lang w:val="en-US" w:eastAsia="zh-CN"/>
              </w:rPr>
              <w:t xml:space="preserve">▲1.10活塞上升移动最大速度：不小于600mm/min</w:t>
            </w:r>
            <w:bookmarkStart w:id="152" w:name="OLE_LINK56"/>
            <w:r/>
            <w:bookmarkStart w:id="153" w:name="OLE_LINK57"/>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（提供产品技术参数彩页内容截图）</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bookmarkEnd w:id="152"/>
            <w:r/>
            <w:bookmarkEnd w:id="153"/>
            <w:r>
              <w:rPr>
                <w:rFonts w:hint="eastAsia" w:ascii="宋体" w:hAnsi="宋体" w:eastAsia="宋体" w:cs="宋体"/>
                <w:b w:val="0"/>
                <w:bCs w:val="0"/>
                <w:i w:val="0"/>
                <w:iCs w:val="0"/>
                <w:color w:val="000000"/>
                <w:sz w:val="28"/>
                <w:szCs w:val="28"/>
                <w:highlight w:val="none"/>
                <w:lang w:val="en-US" w:eastAsia="zh-CN"/>
              </w:rPr>
              <w:t xml:space="preserve">▲1.11活塞下降移动最大速度：1400mm/min</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（提供产品技术参数彩页内容截图）</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1.12拉伸钳口最大间距：1300mm</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▲1.13有效试验宽度：不小于900mm</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1.14主机带触摸屏和手操控盒；触摸屏自带操作系统，可通过触摸屏完成试验操作</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1.15最大压缩空间：不小于950mm</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▲1.16活塞行程：1300mm</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b/>
                <w:i w:val="0"/>
                <w:iCs w:val="0"/>
                <w:color w:val="000000"/>
                <w:sz w:val="28"/>
                <w:szCs w:val="28"/>
                <w:highlight w:val="none"/>
                <w:lang w:val="en-US" w:eastAsia="zh-CN"/>
              </w:rPr>
            </w:pPr>
            <w:r>
              <w:rPr>
                <w:rFonts w:hint="eastAsia" w:ascii="宋体" w:hAnsi="宋体" w:eastAsia="宋体" w:cs="宋体"/>
                <w:b/>
                <w:i w:val="0"/>
                <w:iCs w:val="0"/>
                <w:color w:val="000000"/>
                <w:sz w:val="28"/>
                <w:szCs w:val="28"/>
                <w:highlight w:val="none"/>
                <w:lang w:val="en-US" w:eastAsia="zh-CN"/>
              </w:rPr>
              <w:t xml:space="preserve">二、技术性能要求</w:t>
            </w:r>
            <w:r>
              <w:rPr>
                <w:rFonts w:hint="eastAsia" w:ascii="宋体" w:hAnsi="宋体" w:eastAsia="宋体" w:cs="宋体"/>
                <w:b/>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2.1主机系统</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2.1.1主机采用四立柱机架，高刚性，抗震动，抗冲击，可靠性好，使整机具有更高精度</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2.1.2采用液压平推夹具，适用于高强度材料的夹持</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2.1.3高刚度的传感器组件，可以达到150%过载力</w:t>
            </w:r>
            <w:r>
              <w:rPr>
                <w:rFonts w:hint="eastAsia" w:ascii="宋体" w:hAnsi="宋体" w:eastAsia="宋体" w:cs="宋体"/>
                <w:color w:val="000000"/>
                <w:sz w:val="28"/>
                <w:szCs w:val="28"/>
                <w:highlight w:val="none"/>
              </w:rPr>
              <w:t xml:space="preserve">。</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b/>
                <w:bCs/>
                <w:i w:val="0"/>
                <w:iCs w:val="0"/>
                <w:color w:val="000000"/>
                <w:sz w:val="28"/>
                <w:szCs w:val="28"/>
                <w:highlight w:val="none"/>
                <w:lang w:val="en-US" w:eastAsia="zh-CN"/>
              </w:rPr>
              <w:t xml:space="preserve">▲</w:t>
            </w:r>
            <w:r>
              <w:rPr>
                <w:rFonts w:hint="eastAsia" w:ascii="宋体" w:hAnsi="宋体" w:eastAsia="宋体" w:cs="宋体"/>
                <w:b w:val="0"/>
                <w:bCs w:val="0"/>
                <w:i w:val="0"/>
                <w:iCs w:val="0"/>
                <w:color w:val="000000"/>
                <w:sz w:val="28"/>
                <w:szCs w:val="28"/>
                <w:highlight w:val="none"/>
                <w:lang w:val="en-US" w:eastAsia="zh-CN"/>
              </w:rPr>
              <w:t xml:space="preserve">2.1.4油源配置的设备状态可视化交互系统，通过不同颜色灯语直观展示当前主机运行状态，避免误操作，最大限度的保护设备及人员</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（提供产品彩页内容截图）</w:t>
            </w:r>
            <w:r>
              <w:rPr>
                <w:rFonts w:hint="eastAsia" w:ascii="宋体" w:hAnsi="宋体" w:eastAsia="宋体" w:cs="宋体"/>
                <w:i w:val="0"/>
                <w:iCs w:val="0"/>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i w:val="0"/>
                <w:iCs w:val="0"/>
                <w:color w:val="000000"/>
                <w:sz w:val="28"/>
                <w:szCs w:val="28"/>
                <w:highlight w:val="none"/>
                <w:lang w:val="en-US" w:eastAsia="zh-CN"/>
              </w:rPr>
              <w:t xml:space="preserve">▲2.1.5油源采用油电混合动力技术，通过伺服电机和伺服阀的配合来调节液压油的流量以及压力，从</w:t>
            </w:r>
            <w:r>
              <w:rPr>
                <w:rFonts w:hint="eastAsia" w:ascii="宋体" w:hAnsi="宋体" w:eastAsia="宋体" w:cs="宋体"/>
                <w:color w:val="000000"/>
                <w:sz w:val="28"/>
                <w:szCs w:val="28"/>
                <w:highlight w:val="none"/>
                <w:lang w:val="en-US" w:eastAsia="zh-CN"/>
              </w:rPr>
              <w:t xml:space="preserve">而控制油缸升降及加载速度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（提供产品彩页截图或技术样本或第三方检测报告等有效证明文件之一）</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▲2.1.6设备配备液晶触摸彩屏操作盒，具有载荷、位移显示、微调横梁及夹具调节功能，具有双模式通讯，全面满足高精度测试场景需求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（提供产品彩页截图或技术样本或第三方检测报告等有效证明文件之一）</w:t>
            </w:r>
            <w:r>
              <w:rPr>
                <w:rFonts w:hint="eastAsia" w:ascii="宋体" w:hAnsi="宋体" w:eastAsia="宋体" w:cs="宋体"/>
                <w:color w:val="000000"/>
                <w:sz w:val="28"/>
                <w:szCs w:val="28"/>
                <w:highlight w:val="none"/>
                <w:lang w:val="en-US"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▲2.1.7高低温试验箱采用双压缩机制冷控制，最大温度为正350度，最低温度为负70度，内腔尺寸(宽×高×深)不低于400mm×920mm×1250mm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（现场按技术参数要求验收）</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2.1.8配置的SEB三点弯曲夹具，跨距范围为200～800mm，支棍长度为200mm，包含高精度进口COD规，温度范围为-270°～100℃。测量范围为＋10mm/-1mm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▲2.1.9全自动接触式引伸计最大标距优于200mm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2.2控制器系统</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2.2.1具有全数字控制、多信道采集、高速数据传输等功能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2.2.2具有TEDS自识别功能，可实现系统能自动识别传感器，并读取校准参数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2.2.3支持以太网/USB接口方式，可完成低频率的波形试验，如正弦波，三角波等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2.2.4AD测量通道不少于6路，信号采集频率不少于4MHz，分辨率不少于20bit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2.3软件系统</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2.3.1软件支持横、竖向自适应布局，支持脱机运行模拟试验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▲2.3.2软件支持试验进度可视化显示、一键导出原始数据及支持一键切换语言等功能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（需提供两种语言软件功能界面截图，中、英软件界面截图）</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2.3.3试验曲线可进行全局或单坐标轴的定位、缩放、平移操作支持添加辅助线等功能，满足用户在曲线分析与结果比对方面的需求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▲2.3.4软件允许用户自定义坐标轴默认边界，支持单坐标轴及双Y轴曲线显示，方便用户试验数据进行比对分析（需提供制造商公开发行的产品彩页截图）</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2.3.5软件支持周期波形试验，如正弦波，三角波、梯形波及方波等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2.3.6具有三闭环（力、变形、位移）控制功能，实现力、变形、位移全数字三闭环控制，各控制环间可自动切换，并在各方式间切换时实现无冲击平滑过渡</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▲2.3.7软件支持视频录制回放，可实现视频画面的每一帧和曲线上的数据点逐一对应，测试结束后同步自动停止录像</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（提供软件功能截图）</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b/>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b/>
                <w:color w:val="000000"/>
                <w:sz w:val="28"/>
                <w:szCs w:val="28"/>
                <w:highlight w:val="none"/>
                <w:lang w:val="en-US" w:eastAsia="zh-CN"/>
              </w:rPr>
              <w:t xml:space="preserve">三、配置要求</w:t>
            </w:r>
            <w:r>
              <w:rPr>
                <w:rFonts w:hint="eastAsia" w:ascii="宋体" w:hAnsi="宋体" w:eastAsia="宋体" w:cs="宋体"/>
                <w:b/>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3.11000KN拉伸试验主机1台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3.2平推液压拉伸夹具1套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3.3压缩夹具1套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3.4电脑终端系统1套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3.5机械式全自动电子引伸计1套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3.6残余变形引伸计1套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3.7螺栓拉伸及楔负荷夹具1套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3.8高温拉伸夹具及拉杆1套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3.9视频引伸计支架1套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3.10SEB三点弯曲试验夹具1套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3.11进口COD规1套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03"/>
              <w:spacing w:line="24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3.12高低温试验箱1套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液</w:t>
            </w:r>
            <w:r>
              <w:rPr>
                <w:rFonts w:hint="eastAsia" w:ascii="宋体" w:hAnsi="宋体" w:eastAsia="宋体" w:cs="宋体"/>
                <w:color w:val="000000"/>
                <w:sz w:val="28"/>
                <w:szCs w:val="28"/>
                <w:highlight w:val="none"/>
              </w:rPr>
              <w:t xml:space="preserve">压式万能材料试验机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1.1主机最大载荷：不小于2000kN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1.3试验力测量范围：1%～100%FS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1.4试验力分辨力：1/600000FS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1.5位移示值相对误差：±0.5%以内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1.6位移分辨力：0.004mm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1.7变形示值相对误差：±0.5%以内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1.8变形测量范围：1%～100%FS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▲1.9整机刚度：1800kN/mm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rPr>
            </w:pPr>
            <w:r>
              <w:rPr>
                <w:rFonts w:hint="eastAsia" w:ascii="宋体" w:hAnsi="宋体" w:eastAsia="宋体" w:cs="宋体"/>
                <w:b/>
                <w:bCs/>
                <w:i w:val="0"/>
                <w:iCs w:val="0"/>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1.10活塞上升移动最大速度：不小于300mm/min（提供产品技术参数彩页内容截图</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8"/>
                <w:szCs w:val="28"/>
                <w:highlight w:val="none"/>
              </w:rPr>
              <w:t xml:space="preserve">▲1.11活塞下降移动最大速度：650mm/min（提供产品技术参数彩页内容截图）</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4"/>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1.12拉伸钳口最大间距：不小于1000mm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1.13立柱间有效试验宽度：900mm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1.14主机带触摸屏和手操控盒；触摸屏自带操作系统，可通过触摸屏完成试验操作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1.15最大压缩空间：700mm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1.16活塞行程：1000mm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2.1主机系统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2.1.1主机采用四立柱机架，高刚性，抗震动，抗冲击，可靠性好，使整机具有更高精度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2.1.2采用液压平推夹具，特别适用于高强度材料的夹持</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2.1.3高刚度的传感器组件，可以达到150%过载力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28"/>
                <w:highlight w:val="none"/>
              </w:rPr>
              <w:t xml:space="preserve">▲2.1.4油源配置标准的设备状态可视化交互系统，通过不同颜色灯语直观展示当前主机运行状态，避免误操作，最大限度的保护设备及人员</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（提供可视化产品彩页截图</w:t>
            </w:r>
            <w:r>
              <w:rPr>
                <w:rFonts w:hint="eastAsia" w:ascii="宋体" w:hAnsi="宋体" w:eastAsia="宋体" w:cs="宋体"/>
                <w:b w:val="0"/>
                <w:bCs w:val="0"/>
                <w:i w:val="0"/>
                <w:iCs w:val="0"/>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b w:val="0"/>
                <w:bCs w:val="0"/>
                <w:i w:val="0"/>
                <w:iCs w:val="0"/>
                <w:color w:val="000000"/>
                <w:sz w:val="28"/>
                <w:szCs w:val="28"/>
                <w:highlight w:val="none"/>
              </w:rPr>
              <w:t xml:space="preserve">▲2.1.5油源采用油电混合动力技术，通过伺服电机和伺服阀的</w:t>
            </w:r>
            <w:r>
              <w:rPr>
                <w:rFonts w:hint="eastAsia" w:ascii="宋体" w:hAnsi="宋体" w:eastAsia="宋体" w:cs="宋体"/>
                <w:color w:val="000000"/>
                <w:sz w:val="28"/>
                <w:szCs w:val="28"/>
                <w:highlight w:val="none"/>
              </w:rPr>
              <w:t xml:space="preserve">配合来调节液压油的流量以及压力，从而控制油缸升降及加载速度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▲2.1.6主机配备液晶触摸彩屏操作盒，具有载荷、位移显示、微调横梁及夹具调节功能，具有双模式通讯，全面满足高精度测试场景需求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2.1.7防护罩确保人员安全。</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2.1.8高温炉温度要求为最高1100°，高温炉温控器为三控三测温度控制。对样品温度和空气温度进行切换控制。</w:t>
            </w:r>
            <w:r>
              <w:rPr>
                <w:rFonts w:hint="eastAsia" w:ascii="宋体" w:hAnsi="宋体" w:eastAsia="宋体" w:cs="宋体"/>
                <w:color w:val="000000"/>
                <w:sz w:val="28"/>
                <w:szCs w:val="28"/>
                <w:highlight w:val="none"/>
                <w:lang w:val="en-US"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2.2控制器系统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2.2.1具有全数字控制、多信道采集、高速数据传输等功能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2.2.2具有TEDS自识别功能，可实现系统能自动识别传感器，并读取校准参数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2.2.3支持以太网/USB接口方式，可完成低频率的波形试验，如正弦波，三角波等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2.2.4AD测量通道不少于6路，信号采集频率不少于4MHz，分辨率不少于20bit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2.3软件系统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2.3.1软件支持横、竖向自适应布局，支持脱机运行模拟试验；</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▲2.3.2软件支持试验进度可视化显示、一键导出原始数据及支持一键切换语言等功能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（需提供两种语言软件功能界面截图，中、英软件界面）</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2.3.3试验曲线可进行全局或单坐标轴的定位、缩放、平移操作支持添加辅助线等功能，满足用户在曲线分析与结果比对方面的需求；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▲2.3.4软件允许用户自定义坐标轴默认边界，支持单坐标轴及双Y轴曲线显示，方便用户试验数据进行比对分析</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（需提供制造商公开发行的产品彩页）</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2.3.5软件支持周期波形试验，如正弦波，三角波、梯形波及方波等；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2.3.6具有三闭环（力、变形、位移）控制功能，实现力、变形、位移全数字三闭环控制，各控制环间可自动切换，并在各方式间切换时实现无冲击平滑过渡。</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154" w:name="OLE_LINK26"/>
            <w:r>
              <w:rPr>
                <w:rFonts w:hint="eastAsia" w:ascii="宋体" w:hAnsi="宋体" w:eastAsia="宋体" w:cs="宋体"/>
                <w:color w:val="000000"/>
                <w:sz w:val="28"/>
                <w:szCs w:val="28"/>
                <w:highlight w:val="none"/>
              </w:rPr>
              <w:t xml:space="preserve">▲2.3.7软件支持视频录制回放，</w:t>
            </w:r>
            <w:bookmarkStart w:id="155" w:name="OLE_LINK21"/>
            <w:r/>
            <w:bookmarkStart w:id="156" w:name="OLE_LINK20"/>
            <w:r>
              <w:rPr>
                <w:rFonts w:hint="eastAsia" w:ascii="宋体" w:hAnsi="宋体" w:eastAsia="宋体" w:cs="宋体"/>
                <w:color w:val="000000"/>
                <w:sz w:val="28"/>
                <w:szCs w:val="28"/>
                <w:highlight w:val="none"/>
              </w:rPr>
              <w:t xml:space="preserve">满足试验数据记录、回放</w:t>
            </w:r>
            <w:bookmarkEnd w:id="155"/>
            <w:r/>
            <w:bookmarkEnd w:id="156"/>
            <w:r>
              <w:rPr>
                <w:rFonts w:hint="eastAsia" w:ascii="宋体" w:hAnsi="宋体" w:eastAsia="宋体" w:cs="宋体"/>
                <w:color w:val="000000"/>
                <w:sz w:val="28"/>
                <w:szCs w:val="28"/>
                <w:highlight w:val="none"/>
              </w:rPr>
              <w:t xml:space="preserve">，测试结束后同步自动停止录像。（提供软件功能截图）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bookmarkEnd w:id="154"/>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3.12000KN拉伸试验主机1台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3.5电子引伸计1套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3.6螺栓拉伸及楔负荷夹具全套1套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3.7视频引伸计</w:t>
            </w:r>
            <w:bookmarkStart w:id="157" w:name="OLE_LINK178"/>
            <w:r/>
            <w:bookmarkStart w:id="158" w:name="OLE_LINK176"/>
            <w:r>
              <w:rPr>
                <w:rFonts w:hint="eastAsia" w:ascii="宋体" w:hAnsi="宋体" w:eastAsia="宋体" w:cs="宋体"/>
                <w:color w:val="000000"/>
                <w:sz w:val="28"/>
                <w:szCs w:val="28"/>
                <w:highlight w:val="none"/>
              </w:rPr>
              <w:t xml:space="preserve">1套</w:t>
            </w:r>
            <w:bookmarkEnd w:id="157"/>
            <w:r/>
            <w:bookmarkEnd w:id="158"/>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3.8 高温炉1套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液</w:t>
            </w:r>
            <w:r>
              <w:rPr>
                <w:rFonts w:hint="eastAsia" w:ascii="宋体" w:hAnsi="宋体" w:eastAsia="宋体" w:cs="宋体"/>
                <w:color w:val="000000"/>
                <w:sz w:val="28"/>
                <w:szCs w:val="28"/>
                <w:highlight w:val="none"/>
              </w:rPr>
              <w:t xml:space="preserve">压式万能材料试验机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34"/>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一、主要技术规格及要求</w:t>
            </w:r>
            <w:r>
              <w:rPr>
                <w:rFonts w:hint="eastAsia" w:ascii="宋体" w:hAnsi="宋体" w:eastAsia="宋体" w:cs="宋体"/>
                <w:b/>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1.技术指标</w:t>
            </w:r>
            <w:r>
              <w:rPr>
                <w:rFonts w:hint="eastAsia" w:ascii="宋体" w:hAnsi="宋体" w:eastAsia="宋体" w:cs="宋体"/>
                <w:color w:val="000000"/>
                <w:sz w:val="28"/>
                <w:szCs w:val="28"/>
                <w:highlight w:val="none"/>
                <w:lang w:val="en-US" w:eastAsia="zh-CN"/>
              </w:rPr>
              <w:tab/>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1.1主机最大载荷：不小于100kN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b w:val="0"/>
                <w:bCs w:val="0"/>
                <w:i w:val="0"/>
                <w:iCs w:val="0"/>
                <w:color w:val="000000"/>
                <w:sz w:val="28"/>
                <w:szCs w:val="28"/>
                <w:highlight w:val="none"/>
                <w:lang w:val="en-US" w:eastAsia="zh-CN"/>
              </w:rPr>
              <w:t xml:space="preserve">▲1.3试验速度范围：0.00005-850mm/min可调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（提供产品技术参数彩页内容截图）</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b w:val="0"/>
                <w:bCs w:val="0"/>
                <w:i w:val="0"/>
                <w:iCs w:val="0"/>
                <w:color w:val="000000"/>
                <w:sz w:val="28"/>
                <w:szCs w:val="28"/>
                <w:highlight w:val="none"/>
                <w:lang w:val="en-US" w:eastAsia="zh-CN"/>
              </w:rPr>
              <w:t xml:space="preserve">1.4横梁位移分辨力：不低于0.02μm</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b w:val="0"/>
                <w:bCs w:val="0"/>
                <w:i w:val="0"/>
                <w:iCs w:val="0"/>
                <w:color w:val="000000"/>
                <w:sz w:val="28"/>
                <w:szCs w:val="28"/>
                <w:highlight w:val="none"/>
                <w:lang w:val="en-US" w:eastAsia="zh-CN"/>
              </w:rPr>
              <w:t xml:space="preserve">▲1.5横梁速度调节范围：0.00005～1200mm/min</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（提供产品技术参数彩页内容截图）</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▲1.6机架轴向刚度：不低于270kN/mm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（提供产品彩页截图或技术样本或第三方检测报告等有效证明文件之一）</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1.7横梁移动速度精度：优于设定值的±0.2%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1.8位移测量精度：优于设定值的±0.2%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1.9数据采集频率（获取从试验机到PC的最终原始数据）：最快采集速率不低于每秒钟采集1200组数据（不限于速度控制、载荷控制、应力控制、位移控制等试验模式，且至少4通道同步采集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1.10BNC接口：2个，DC:±10V</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1.11增量编码器通道（TTL）：2个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bookmarkStart w:id="159" w:name="OLE_LINK80"/>
            <w:r/>
            <w:bookmarkStart w:id="160" w:name="OLE_LINK81"/>
            <w:r>
              <w:rPr>
                <w:rFonts w:hint="eastAsia" w:ascii="宋体" w:hAnsi="宋体" w:eastAsia="宋体" w:cs="宋体"/>
                <w:color w:val="000000"/>
                <w:sz w:val="28"/>
                <w:szCs w:val="28"/>
                <w:highlight w:val="none"/>
                <w:lang w:val="en-US" w:eastAsia="zh-CN"/>
              </w:rPr>
              <w:t xml:space="preserve">▲</w:t>
            </w:r>
            <w:bookmarkEnd w:id="159"/>
            <w:r/>
            <w:bookmarkEnd w:id="160"/>
            <w:r>
              <w:rPr>
                <w:rFonts w:hint="eastAsia" w:ascii="宋体" w:hAnsi="宋体" w:eastAsia="宋体" w:cs="宋体"/>
                <w:color w:val="000000"/>
                <w:sz w:val="28"/>
                <w:szCs w:val="28"/>
                <w:highlight w:val="none"/>
                <w:lang w:val="en-US" w:eastAsia="zh-CN"/>
              </w:rPr>
              <w:t xml:space="preserve">1.12横梁行程：工作平台到横梁间的最大可移动距离不低于1700mm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1.13有效试验宽度：不小于600mm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1.14主机带触摸屏和手操控盒；触摸屏自带操作系统，可通过触摸屏完成试验操作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1.15主机结构：台式型设备，门式结构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二、技术性能要求</w:t>
            </w:r>
            <w:r>
              <w:rPr>
                <w:rFonts w:hint="eastAsia" w:ascii="宋体" w:hAnsi="宋体" w:eastAsia="宋体" w:cs="宋体"/>
                <w:b/>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2.1主机系统</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2.1.1主机采用双导柱导向增加设备的横向刚性，确保横梁线性运动</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2.1.2传动系统采用伺服直驱带动同步带传动结构，可有效应对高强度、高频次试验场景</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2.1.3高刚度的传感器组件，可以达到150%过载力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b w:val="0"/>
                <w:bCs w:val="0"/>
                <w:i w:val="0"/>
                <w:iCs w:val="0"/>
                <w:color w:val="000000"/>
                <w:sz w:val="28"/>
                <w:szCs w:val="28"/>
                <w:highlight w:val="none"/>
                <w:lang w:val="en-US" w:eastAsia="zh-CN"/>
              </w:rPr>
              <w:t xml:space="preserve">▲2.1.4</w:t>
            </w:r>
            <w:bookmarkStart w:id="161" w:name="OLE_LINK76"/>
            <w:r/>
            <w:bookmarkStart w:id="162" w:name="OLE_LINK72"/>
            <w:r>
              <w:rPr>
                <w:rFonts w:hint="eastAsia" w:ascii="宋体" w:hAnsi="宋体" w:eastAsia="宋体" w:cs="宋体"/>
                <w:b w:val="0"/>
                <w:bCs w:val="0"/>
                <w:i w:val="0"/>
                <w:iCs w:val="0"/>
                <w:color w:val="000000"/>
                <w:sz w:val="28"/>
                <w:szCs w:val="28"/>
                <w:highlight w:val="none"/>
                <w:lang w:val="en-US" w:eastAsia="zh-CN"/>
              </w:rPr>
              <w:t xml:space="preserve">主机配置设备状态可视化交互系统，通过不同颜色灯语直观展示当前主机运行状态，避免误操作，最大限度的保护设备及人员</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lang w:val="en-US" w:eastAsia="zh-CN"/>
              </w:rPr>
              <w:t xml:space="preserve">（提供产品可视化彩页截图</w:t>
            </w:r>
            <w:bookmarkEnd w:id="161"/>
            <w:r/>
            <w:bookmarkEnd w:id="162"/>
            <w:r>
              <w:rPr>
                <w:rFonts w:hint="eastAsia" w:ascii="宋体" w:hAnsi="宋体" w:eastAsia="宋体" w:cs="宋体"/>
                <w:b w:val="0"/>
                <w:bCs w:val="0"/>
                <w:i w:val="0"/>
                <w:iCs w:val="0"/>
                <w:color w:val="000000"/>
                <w:sz w:val="28"/>
                <w:szCs w:val="28"/>
                <w:highlight w:val="none"/>
                <w:lang w:val="en-US" w:eastAsia="zh-CN"/>
              </w:rPr>
              <w:t xml:space="preserve">）</w:t>
            </w:r>
            <w:r>
              <w:rPr>
                <w:rFonts w:hint="eastAsia" w:ascii="宋体" w:hAnsi="宋体" w:eastAsia="宋体" w:cs="宋体"/>
                <w:b w:val="0"/>
                <w:bCs w:val="0"/>
                <w:i w:val="0"/>
                <w:iCs w:val="0"/>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2.1.5设备配置双通道配电单元，提供2路独立直流电源输出，方便用户扩展外围设备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bookmarkStart w:id="163" w:name="OLE_LINK47"/>
            <w:r/>
            <w:bookmarkStart w:id="164" w:name="OLE_LINK48"/>
            <w:r>
              <w:rPr>
                <w:rFonts w:hint="eastAsia" w:ascii="宋体" w:hAnsi="宋体" w:eastAsia="宋体" w:cs="宋体"/>
                <w:color w:val="000000"/>
                <w:sz w:val="28"/>
                <w:szCs w:val="28"/>
                <w:highlight w:val="none"/>
                <w:lang w:val="en-US" w:eastAsia="zh-CN"/>
              </w:rPr>
              <w:t xml:space="preserve">▲2.1.6设备配备液晶触摸彩屏操作盒，具有载荷、位移显示、微调横梁及夹具调节功能，具有双模式通讯，全面满足高精度测试场景需求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（提供产品彩页截图或技术样本或第三方检测报告等有效证明文件之一）</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2.1.7防护系统配置安全门开关锁，并在软件里面配置相应的门禁策略，为操作人员提供全方位安全防护。</w:t>
            </w:r>
            <w:r>
              <w:rPr>
                <w:rFonts w:hint="eastAsia" w:ascii="宋体" w:hAnsi="宋体" w:eastAsia="宋体" w:cs="宋体"/>
                <w:color w:val="000000"/>
                <w:sz w:val="28"/>
                <w:szCs w:val="28"/>
                <w:highlight w:val="none"/>
                <w:lang w:val="en-US"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2.1.8高低温箱温度控制在-70~+350℃，加载方式为双压缩机制冷。</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8"/>
                <w:szCs w:val="28"/>
                <w:highlight w:val="none"/>
                <w:lang w:val="en-US" w:eastAsia="zh-CN"/>
              </w:rPr>
            </w:pPr>
            <w:r/>
            <w:bookmarkEnd w:id="163"/>
            <w:r/>
            <w:bookmarkEnd w:id="164"/>
            <w:r>
              <w:rPr>
                <w:rFonts w:hint="eastAsia" w:ascii="宋体" w:hAnsi="宋体" w:eastAsia="宋体" w:cs="宋体"/>
                <w:color w:val="000000"/>
                <w:sz w:val="28"/>
                <w:szCs w:val="28"/>
                <w:highlight w:val="none"/>
                <w:lang w:val="en-US" w:eastAsia="zh-CN"/>
              </w:rPr>
              <w:t xml:space="preserve">2.2控制器系统</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2.2.1具有全数字控制、多信道采集、高速数据传输等功能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2.2.2具有TEDS自识别功能，可实现系统能自动识别传感器，并读取校准参数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2.2.3支持以太网/USB接口方式，可完成低频率的波形试验，如正弦波，三角波等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2.2.4AD测量通道不少于6路，信号采集频率不少于4MHz，分辨率不少于20bit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2.3软件系统</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2.3.1软件支持横、竖向自适应布局，支持脱机运行模拟试验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▲2.3.2</w:t>
            </w:r>
            <w:bookmarkStart w:id="165" w:name="OLE_LINK10"/>
            <w:r>
              <w:rPr>
                <w:rFonts w:hint="eastAsia" w:ascii="宋体" w:hAnsi="宋体" w:eastAsia="宋体" w:cs="宋体"/>
                <w:color w:val="000000"/>
                <w:sz w:val="28"/>
                <w:szCs w:val="28"/>
                <w:highlight w:val="none"/>
                <w:lang w:val="en-US" w:eastAsia="zh-CN"/>
              </w:rPr>
              <w:t xml:space="preserve">软件支持试验进度可视化显示、一键导出原始数据及支持一键切换语言等功能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（需提供两种语言软件功能界面截图，中、英软件界面）</w:t>
            </w:r>
            <w:bookmarkEnd w:id="165"/>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2.3.3试验曲线可进行全局或单坐标轴的定位、缩放、平移操作支持添加辅助线等功能，满足用户在曲线分析与结果比对方面的需求；</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bookmarkStart w:id="166" w:name="OLE_LINK44"/>
            <w:r/>
            <w:bookmarkStart w:id="167" w:name="OLE_LINK43"/>
            <w:r>
              <w:rPr>
                <w:rFonts w:hint="eastAsia" w:ascii="宋体" w:hAnsi="宋体" w:eastAsia="宋体" w:cs="宋体"/>
                <w:color w:val="000000"/>
                <w:sz w:val="28"/>
                <w:szCs w:val="28"/>
                <w:highlight w:val="none"/>
                <w:lang w:val="en-US" w:eastAsia="zh-CN"/>
              </w:rPr>
              <w:t xml:space="preserve">▲</w:t>
            </w:r>
            <w:bookmarkEnd w:id="166"/>
            <w:r/>
            <w:bookmarkEnd w:id="167"/>
            <w:r>
              <w:rPr>
                <w:rFonts w:hint="eastAsia" w:ascii="宋体" w:hAnsi="宋体" w:eastAsia="宋体" w:cs="宋体"/>
                <w:color w:val="000000"/>
                <w:sz w:val="28"/>
                <w:szCs w:val="28"/>
                <w:highlight w:val="none"/>
                <w:lang w:val="en-US" w:eastAsia="zh-CN"/>
              </w:rPr>
              <w:t xml:space="preserve">2.3.4软件允许用户自定义坐标轴默认边界，支持单坐标轴及双Y轴曲线显示，方便用户试验数据进行比对分析</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（需提供制造商公开发行的产品彩页）</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2.3.5软件支持周期波形试验，如正弦波，三角波、梯形波及方波等；</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2.3.6具有三闭环（力、变形、位移）控制功能，实现力、变形、位移全数字三闭环控制，各控制环间可自动切换，并在各方式间切换时实现无冲击平滑过渡。</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2.3.7支持夹具压力的自动设置功能，试验力超过门槛值后，根据力值的变化，同步增加夹持压力，防止在试验中出现试样打滑。</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2.3.8支持依据预设的维护保养规则自动提醒用户帮助用户及时进行设备维护保养，提升设备安全性和使用寿命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03"/>
              <w:spacing w:line="240" w:lineRule="auto"/>
              <w:rPr>
                <w:rFonts w:hint="eastAsia" w:ascii="宋体" w:hAnsi="宋体" w:eastAsia="宋体" w:cs="宋体"/>
                <w:color w:val="000000"/>
                <w:sz w:val="28"/>
                <w:szCs w:val="28"/>
                <w:highlight w:val="none"/>
              </w:rPr>
            </w:pPr>
            <w:r/>
            <w:bookmarkStart w:id="168" w:name="OLE_LINK158"/>
            <w:r>
              <w:rPr>
                <w:rFonts w:hint="eastAsia" w:ascii="宋体" w:hAnsi="宋体" w:eastAsia="宋体" w:cs="宋体"/>
                <w:color w:val="000000"/>
                <w:sz w:val="28"/>
                <w:szCs w:val="28"/>
                <w:highlight w:val="none"/>
              </w:rPr>
              <w:t xml:space="preserve">▲2.3.9</w:t>
            </w:r>
            <w:bookmarkStart w:id="169" w:name="OLE_LINK27"/>
            <w:r>
              <w:rPr>
                <w:rFonts w:hint="eastAsia" w:ascii="宋体" w:hAnsi="宋体" w:eastAsia="宋体" w:cs="宋体"/>
                <w:color w:val="000000"/>
                <w:sz w:val="28"/>
                <w:szCs w:val="28"/>
                <w:highlight w:val="none"/>
              </w:rPr>
              <w:t xml:space="preserve">软件支持视频录制回放，满足试验数据记录、回放，测试结束后同步自动停止录像。（提供软件功能截图）</w:t>
            </w:r>
            <w:bookmarkEnd w:id="169"/>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strike/>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sz w:val="28"/>
                <w:szCs w:val="28"/>
                <w:highlight w:val="none"/>
              </w:rPr>
              <w:t xml:space="preserve">2.3.10为了能实现后期智能化需求，该设备后期需要进行自动化升级</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承诺配合后续自动化升级</w:t>
            </w:r>
            <w:r>
              <w:rPr>
                <w:rFonts w:hint="eastAsia" w:ascii="宋体" w:hAnsi="宋体" w:eastAsia="宋体" w:cs="宋体"/>
                <w:color w:val="000000"/>
                <w:sz w:val="28"/>
                <w:szCs w:val="28"/>
                <w:highlight w:val="none"/>
                <w:lang w:eastAsia="zh-CN"/>
              </w:rPr>
              <w:t xml:space="preserve">，投标时提供承诺函加盖公章（格式自拟）。</w:t>
            </w:r>
            <w:r>
              <w:rPr>
                <w:rFonts w:hint="eastAsia" w:ascii="宋体" w:hAnsi="宋体" w:eastAsia="宋体" w:cs="宋体"/>
                <w:strike/>
                <w:color w:val="000000"/>
                <w:highlight w:val="none"/>
              </w:rPr>
            </w:r>
            <w:r/>
          </w:p>
          <w:p>
            <w:pPr>
              <w:pStyle w:val="1534"/>
              <w:rPr>
                <w:rFonts w:hint="eastAsia" w:ascii="宋体" w:hAnsi="宋体" w:eastAsia="宋体" w:cs="宋体"/>
                <w:b/>
                <w:color w:val="000000"/>
                <w:sz w:val="28"/>
                <w:szCs w:val="28"/>
                <w:highlight w:val="none"/>
                <w:lang w:val="en-US" w:eastAsia="zh-CN"/>
              </w:rPr>
            </w:pPr>
            <w:r/>
            <w:bookmarkEnd w:id="168"/>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b/>
                <w:color w:val="000000"/>
                <w:sz w:val="28"/>
                <w:szCs w:val="28"/>
                <w:highlight w:val="none"/>
                <w:lang w:val="en-US" w:eastAsia="zh-CN"/>
              </w:rPr>
              <w:t xml:space="preserve">三、配置要求</w:t>
            </w:r>
            <w:r>
              <w:rPr>
                <w:rFonts w:hint="eastAsia" w:ascii="宋体" w:hAnsi="宋体" w:eastAsia="宋体" w:cs="宋体"/>
                <w:b/>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3.1100KN拉伸试验主机1台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3.2楔形液压拉伸夹具1套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3.3压缩夹具1套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3.4</w:t>
            </w:r>
            <w:bookmarkStart w:id="170" w:name="OLE_LINK23"/>
            <w:r>
              <w:rPr>
                <w:rFonts w:hint="eastAsia" w:ascii="宋体" w:hAnsi="宋体" w:eastAsia="宋体" w:cs="宋体"/>
                <w:color w:val="000000"/>
                <w:sz w:val="28"/>
                <w:szCs w:val="28"/>
                <w:highlight w:val="none"/>
                <w:lang w:val="en-US" w:eastAsia="zh-CN"/>
              </w:rPr>
              <w:t xml:space="preserve">机械式全自动引伸计</w:t>
            </w:r>
            <w:bookmarkEnd w:id="170"/>
            <w:r/>
            <w:bookmarkStart w:id="171" w:name="OLE_LINK16"/>
            <w:r/>
            <w:bookmarkStart w:id="172" w:name="OLE_LINK18"/>
            <w:r>
              <w:rPr>
                <w:rFonts w:hint="eastAsia" w:ascii="宋体" w:hAnsi="宋体" w:eastAsia="宋体" w:cs="宋体"/>
                <w:color w:val="000000"/>
                <w:sz w:val="28"/>
                <w:szCs w:val="28"/>
                <w:highlight w:val="none"/>
                <w:lang w:val="en-US" w:eastAsia="zh-CN"/>
              </w:rPr>
              <w:t xml:space="preserve">1套</w:t>
            </w:r>
            <w:bookmarkEnd w:id="171"/>
            <w:r/>
            <w:bookmarkEnd w:id="172"/>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3.5弯曲夹具</w:t>
            </w:r>
            <w:bookmarkStart w:id="173" w:name="OLE_LINK19"/>
            <w:r>
              <w:rPr>
                <w:rFonts w:hint="eastAsia" w:ascii="宋体" w:hAnsi="宋体" w:eastAsia="宋体" w:cs="宋体"/>
                <w:color w:val="000000"/>
                <w:sz w:val="28"/>
                <w:szCs w:val="28"/>
                <w:highlight w:val="none"/>
                <w:lang w:val="en-US" w:eastAsia="zh-CN"/>
              </w:rPr>
              <w:t xml:space="preserve">1套</w:t>
            </w:r>
            <w:bookmarkEnd w:id="173"/>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3.6高温拉伸夹具</w:t>
            </w:r>
            <w:bookmarkStart w:id="174" w:name="OLE_LINK22"/>
            <w:r>
              <w:rPr>
                <w:rFonts w:hint="eastAsia" w:ascii="宋体" w:hAnsi="宋体" w:eastAsia="宋体" w:cs="宋体"/>
                <w:color w:val="000000"/>
                <w:sz w:val="28"/>
                <w:szCs w:val="28"/>
                <w:highlight w:val="none"/>
                <w:lang w:val="en-US" w:eastAsia="zh-CN"/>
              </w:rPr>
              <w:t xml:space="preserve">1套</w:t>
            </w:r>
            <w:bookmarkEnd w:id="174"/>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bookmarkStart w:id="175" w:name="OLE_LINK24"/>
            <w:r/>
            <w:bookmarkStart w:id="176" w:name="OLE_LINK25"/>
            <w:r>
              <w:rPr>
                <w:rFonts w:hint="eastAsia" w:ascii="宋体" w:hAnsi="宋体" w:eastAsia="宋体" w:cs="宋体"/>
                <w:color w:val="000000"/>
                <w:sz w:val="28"/>
                <w:szCs w:val="28"/>
                <w:highlight w:val="none"/>
                <w:lang w:val="en-US" w:eastAsia="zh-CN"/>
              </w:rPr>
              <w:t xml:space="preserve">3.7型材剪切夹具</w:t>
            </w:r>
            <w:bookmarkEnd w:id="175"/>
            <w:r/>
            <w:bookmarkEnd w:id="176"/>
            <w:r>
              <w:rPr>
                <w:rFonts w:hint="eastAsia" w:ascii="宋体" w:hAnsi="宋体" w:eastAsia="宋体" w:cs="宋体"/>
                <w:color w:val="000000"/>
                <w:sz w:val="28"/>
                <w:szCs w:val="28"/>
                <w:highlight w:val="none"/>
                <w:lang w:val="en-US" w:eastAsia="zh-CN"/>
              </w:rPr>
              <w:t xml:space="preserve">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3.8电脑终端系统</w:t>
            </w:r>
            <w:bookmarkStart w:id="177" w:name="OLE_LINK17"/>
            <w:r/>
            <w:bookmarkStart w:id="178" w:name="OLE_LINK9"/>
            <w:r>
              <w:rPr>
                <w:rFonts w:hint="eastAsia" w:ascii="宋体" w:hAnsi="宋体" w:eastAsia="宋体" w:cs="宋体"/>
                <w:color w:val="000000"/>
                <w:sz w:val="28"/>
                <w:szCs w:val="28"/>
                <w:highlight w:val="none"/>
                <w:lang w:val="en-US" w:eastAsia="zh-CN"/>
              </w:rPr>
              <w:t xml:space="preserve">1套</w:t>
            </w:r>
            <w:bookmarkEnd w:id="177"/>
            <w:r/>
            <w:bookmarkEnd w:id="178"/>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highlight w:val="none"/>
                <w:lang w:val="en-US" w:eastAsia="zh-CN"/>
              </w:rPr>
              <w:t xml:space="preserve">3.9</w:t>
            </w:r>
            <w:r>
              <w:rPr>
                <w:rFonts w:hint="eastAsia" w:ascii="宋体" w:hAnsi="宋体" w:eastAsia="宋体" w:cs="宋体"/>
                <w:color w:val="000000"/>
                <w:sz w:val="28"/>
                <w:szCs w:val="28"/>
                <w:highlight w:val="none"/>
                <w:lang w:val="en-US" w:eastAsia="zh-CN"/>
              </w:rPr>
              <w:t xml:space="preserve">高低温环境箱</w:t>
            </w:r>
            <w:r>
              <w:rPr>
                <w:rFonts w:hint="eastAsia" w:ascii="宋体" w:hAnsi="宋体" w:eastAsia="宋体" w:cs="宋体"/>
                <w:color w:val="000000"/>
                <w:sz w:val="28"/>
                <w:szCs w:val="28"/>
                <w:highlight w:val="none"/>
                <w:lang w:val="en-US" w:eastAsia="zh-CN"/>
              </w:rPr>
              <w:t xml:space="preserve">及支架</w:t>
            </w:r>
            <w:r>
              <w:rPr>
                <w:rFonts w:hint="eastAsia" w:ascii="宋体" w:hAnsi="宋体" w:eastAsia="宋体" w:cs="宋体"/>
                <w:color w:val="000000"/>
                <w:sz w:val="28"/>
                <w:szCs w:val="28"/>
                <w:highlight w:val="none"/>
                <w:lang w:val="en-US" w:eastAsia="zh-CN"/>
              </w:rPr>
              <w:t xml:space="preserve">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bookmarkStart w:id="179" w:name="OLE_LINK29"/>
            <w:r>
              <w:rPr>
                <w:rFonts w:hint="eastAsia" w:ascii="宋体" w:hAnsi="宋体" w:eastAsia="宋体" w:cs="宋体"/>
                <w:b/>
                <w:color w:val="000000"/>
                <w:sz w:val="28"/>
                <w:szCs w:val="28"/>
                <w:highlight w:val="none"/>
              </w:rPr>
              <w:t xml:space="preserve">一、主要技术规格及要求</w:t>
            </w:r>
            <w:bookmarkEnd w:id="179"/>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1.1主机最大载荷：不小于20kN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1.2试验力分辨力：1/600000FS，准确度等级：0.5级</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lang w:eastAsia="zh-CN"/>
              </w:rPr>
            </w:pPr>
            <w:r/>
            <w:bookmarkStart w:id="180" w:name="OLE_LINK51"/>
            <w:r/>
            <w:bookmarkStart w:id="181" w:name="OLE_LINK54"/>
            <w:r>
              <w:rPr>
                <w:rFonts w:hint="eastAsia" w:ascii="宋体" w:hAnsi="宋体" w:eastAsia="宋体" w:cs="宋体"/>
                <w:b w:val="0"/>
                <w:bCs w:val="0"/>
                <w:i w:val="0"/>
                <w:iCs w:val="0"/>
                <w:color w:val="000000"/>
                <w:sz w:val="28"/>
                <w:szCs w:val="28"/>
                <w:highlight w:val="none"/>
              </w:rPr>
              <w:t xml:space="preserve">▲</w:t>
            </w:r>
            <w:bookmarkEnd w:id="180"/>
            <w:r/>
            <w:bookmarkEnd w:id="181"/>
            <w:r>
              <w:rPr>
                <w:rFonts w:hint="eastAsia" w:ascii="宋体" w:hAnsi="宋体" w:eastAsia="宋体" w:cs="宋体"/>
                <w:b w:val="0"/>
                <w:bCs w:val="0"/>
                <w:i w:val="0"/>
                <w:iCs w:val="0"/>
                <w:color w:val="000000"/>
                <w:sz w:val="28"/>
                <w:szCs w:val="28"/>
                <w:highlight w:val="none"/>
              </w:rPr>
              <w:t xml:space="preserve">1.3试验速度范围：0.00005-900mm/min</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（提供产品技术参数彩页内容截图</w:t>
            </w:r>
            <w:r>
              <w:rPr>
                <w:rFonts w:hint="eastAsia" w:ascii="宋体" w:hAnsi="宋体" w:eastAsia="宋体" w:cs="宋体"/>
                <w:b w:val="0"/>
                <w:bCs w:val="0"/>
                <w:i w:val="0"/>
                <w:iCs w:val="0"/>
                <w:color w:val="000000"/>
                <w:sz w:val="28"/>
                <w:szCs w:val="28"/>
                <w:highlight w:val="none"/>
                <w:lang w:eastAsia="zh-CN"/>
              </w:rPr>
              <w:t xml:space="preserve">）</w:t>
            </w:r>
            <w:r>
              <w:rPr>
                <w:rFonts w:hint="eastAsia" w:ascii="宋体" w:hAnsi="宋体" w:eastAsia="宋体" w:cs="宋体"/>
                <w:b w:val="0"/>
                <w:bCs w:val="0"/>
                <w:i w:val="0"/>
                <w:iCs w:val="0"/>
                <w:color w:val="000000"/>
                <w:sz w:val="28"/>
                <w:szCs w:val="28"/>
                <w:highlight w:val="none"/>
                <w:lang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1.4横梁位置分辨力：不低于0.02μm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1.5最大返回速度：不低于1500mm/min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▲1.6机架轴向刚度：不低于180kN/mm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1.7横梁移动速度精度：优于设定值的±0.2%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1.8位移测量精度：优于设定值的±0.2%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1.9数据采集频率（获取从试验机到PC的最终原始数据）：最快采集速率不低于每秒钟采集1000组数据（不限于速度控制、载荷控制、应力控制、位移控制等试验模式，且至少4通道同步采集）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1.10BNC接口：2个，DC:±10V</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1.11增量编码器通道（TTL）：2个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▲1.12横梁行程：工作平台到横梁间的最大可移动距离不低于1000mm（产品彩页或技术样本或第三方检测报告等有效证明文件之一）</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1.13有效试验宽度：不小于600mm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1.14主机带触摸屏和手操控盒；触摸屏自带操作系统，可通过触摸屏完成试验操作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1.15主机结构：台式型设备，门式结构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2.1主机系统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2.1.1主机采用双导柱导向增加设备的横向刚性，确保横梁线性运动</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2.1.2传动系统采用伺服直驱带动同步带传动结构，可有效应对高强度、高频次试验场景</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b w:val="0"/>
                <w:bCs w:val="0"/>
                <w:i w:val="0"/>
                <w:iCs w:val="0"/>
                <w:color w:val="000000"/>
                <w:sz w:val="28"/>
                <w:szCs w:val="28"/>
                <w:highlight w:val="none"/>
              </w:rPr>
              <w:t xml:space="preserve">.1.3高刚度的传感器组件，可以达到150%过载力</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b w:val="0"/>
                <w:bCs w:val="0"/>
                <w:i w:val="0"/>
                <w:iCs w:val="0"/>
                <w:color w:val="000000"/>
                <w:sz w:val="28"/>
                <w:szCs w:val="28"/>
                <w:highlight w:val="none"/>
              </w:rPr>
              <w:t xml:space="preserve">▲2.1.4</w:t>
            </w:r>
            <w:bookmarkStart w:id="182" w:name="OLE_LINK38"/>
            <w:r/>
            <w:bookmarkStart w:id="183" w:name="OLE_LINK35"/>
            <w:r>
              <w:rPr>
                <w:rFonts w:hint="eastAsia" w:ascii="宋体" w:hAnsi="宋体" w:eastAsia="宋体" w:cs="宋体"/>
                <w:b w:val="0"/>
                <w:bCs w:val="0"/>
                <w:i w:val="0"/>
                <w:iCs w:val="0"/>
                <w:color w:val="000000"/>
                <w:sz w:val="28"/>
                <w:szCs w:val="28"/>
                <w:highlight w:val="none"/>
              </w:rPr>
              <w:t xml:space="preserve">主机配置符的设备状态可视化交互系统，通过不同颜色灯语直观展示当前主机运行状态，避免误操作，最大限度的保护设备及人员</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（通过产品可视化彩页截图）</w:t>
            </w:r>
            <w:bookmarkEnd w:id="182"/>
            <w:r/>
            <w:bookmarkEnd w:id="183"/>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2.1.5设备配置双通道配电单元，提供2路独立直流电源输出，方便用户扩展外围设备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184" w:name="OLE_LINK71"/>
            <w:r/>
            <w:bookmarkStart w:id="185" w:name="OLE_LINK70"/>
            <w:r>
              <w:rPr>
                <w:rFonts w:hint="eastAsia" w:ascii="宋体" w:hAnsi="宋体" w:eastAsia="宋体" w:cs="宋体"/>
                <w:color w:val="000000"/>
                <w:sz w:val="28"/>
                <w:szCs w:val="28"/>
                <w:highlight w:val="none"/>
              </w:rPr>
              <w:t xml:space="preserve">▲2.1.6设备配备液晶触摸彩屏操作盒，具有载荷、位移显示、微调横梁及夹具调节功能，具有双模式通讯，全面满足高精度测试场景需求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End w:id="184"/>
            <w:r/>
            <w:bookmarkEnd w:id="185"/>
            <w:r>
              <w:rPr>
                <w:rFonts w:hint="eastAsia" w:ascii="宋体" w:hAnsi="宋体" w:eastAsia="宋体" w:cs="宋体"/>
                <w:color w:val="000000"/>
                <w:sz w:val="28"/>
                <w:szCs w:val="28"/>
                <w:highlight w:val="none"/>
              </w:rPr>
              <w:t xml:space="preserve">2.1.7防护系统配置安全门开关锁，并在软件里面配置相应的门禁策略，为操作人员提供全方位安全防护。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2.2控制器系统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2.2.1具有全数字控制、多信道采集、高速数据传输等功能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2.2.2具有TEDS自识别功能，可实现系统能自动识别传感器，并读取校准参数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2.2.3支持以太网/USB接口方式，可完成低频率的波形试验，如正弦波，三角波等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2.2.4AD测量通道不少于6路，信号采集频率不少于4MHz，分辨率不少于20bit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2.3软件系统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2.3.1软件支持横、竖向自适应布局，支持脱机运行模拟试验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▲2.3.2软件支持试验进度可视化显示、一键导出原始数据及支持一键切换语言等功能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（需提供两种语言软件功能界面截图，中、英软件界面）</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2.3.3试验曲线可进行全局或单坐标轴的定位、缩放、平移操作支持添加辅助线等功能，满足用户在曲线分析与结果比对方面的需求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2.3.4软件允许用户自定义坐标轴默认边界，支持单坐标轴及双Y轴曲线显示，方便用户试验数据进行比对分析；</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2.3.5软件支持周期波形试验，如正弦波，三角波、梯形波及方波等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2.3.6具有三闭环（力、变形、位移）控制功能，实现力、变形、位移全数字三闭环控制，各控制环间可自动切换，并在各方式间切换时实现无冲击平滑过渡。</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▲2.3.7</w:t>
            </w:r>
            <w:bookmarkStart w:id="186" w:name="OLE_LINK40"/>
            <w:r/>
            <w:bookmarkStart w:id="187" w:name="OLE_LINK45"/>
            <w:r/>
            <w:bookmarkStart w:id="188" w:name="OLE_LINK49"/>
            <w:r>
              <w:rPr>
                <w:rFonts w:hint="eastAsia" w:ascii="宋体" w:hAnsi="宋体" w:eastAsia="宋体" w:cs="宋体"/>
                <w:color w:val="000000"/>
                <w:sz w:val="28"/>
                <w:szCs w:val="28"/>
                <w:highlight w:val="none"/>
              </w:rPr>
              <w:t xml:space="preserve">软件支持视频录制回放，满足试验数据记录、回放，测试结束后同步自动停止</w:t>
            </w:r>
            <w:r>
              <w:rPr>
                <w:rFonts w:hint="eastAsia" w:ascii="宋体" w:hAnsi="宋体" w:eastAsia="宋体" w:cs="宋体"/>
                <w:color w:val="000000"/>
                <w:sz w:val="28"/>
                <w:szCs w:val="28"/>
                <w:highlight w:val="none"/>
              </w:rPr>
              <w:t xml:space="preserve">录像。（提供软件功能截图）</w:t>
            </w:r>
            <w:bookmarkEnd w:id="186"/>
            <w:r/>
            <w:bookmarkEnd w:id="187"/>
            <w:r/>
            <w:bookmarkEnd w:id="188"/>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bookmarkStart w:id="189" w:name="OLE_LINK30"/>
            <w:r/>
            <w:bookmarkStart w:id="190" w:name="OLE_LINK11"/>
            <w:r/>
            <w:bookmarkStart w:id="191" w:name="OLE_LINK162"/>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bookmarkEnd w:id="189"/>
            <w:r>
              <w:rPr>
                <w:rFonts w:hint="eastAsia" w:ascii="宋体" w:hAnsi="宋体" w:eastAsia="宋体" w:cs="宋体"/>
                <w:b/>
                <w:color w:val="000000"/>
                <w:sz w:val="28"/>
                <w:szCs w:val="28"/>
                <w:highlight w:val="none"/>
              </w:rPr>
            </w:r>
            <w:r/>
          </w:p>
          <w:p>
            <w:pPr>
              <w:pStyle w:val="1503"/>
              <w:jc w:val="left"/>
              <w:spacing w:line="320" w:lineRule="exact"/>
              <w:rPr>
                <w:rFonts w:hint="eastAsia" w:ascii="宋体" w:hAnsi="宋体" w:eastAsia="宋体" w:cs="宋体"/>
                <w:color w:val="000000"/>
                <w:sz w:val="28"/>
                <w:szCs w:val="28"/>
                <w:highlight w:val="none"/>
              </w:rPr>
            </w:pPr>
            <w:r/>
            <w:bookmarkEnd w:id="190"/>
            <w:r>
              <w:rPr>
                <w:rFonts w:hint="eastAsia" w:ascii="宋体" w:hAnsi="宋体" w:eastAsia="宋体" w:cs="宋体"/>
                <w:color w:val="000000"/>
                <w:sz w:val="28"/>
                <w:szCs w:val="28"/>
                <w:highlight w:val="none"/>
              </w:rPr>
              <w:t xml:space="preserve">3.120KN拉伸试验主机1台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3.2楔形拉伸强度夹具1套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3.5电子引伸计1套</w:t>
            </w:r>
            <w:bookmarkEnd w:id="191"/>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1.1主机最大载荷：不小于20kN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u w:val="none"/>
              </w:rPr>
            </w:pPr>
            <w:r>
              <w:rPr>
                <w:rFonts w:hint="eastAsia" w:ascii="宋体" w:hAnsi="宋体" w:eastAsia="宋体" w:cs="宋体"/>
                <w:b w:val="0"/>
                <w:bCs w:val="0"/>
                <w:i w:val="0"/>
                <w:iCs w:val="0"/>
                <w:color w:val="000000"/>
                <w:sz w:val="28"/>
                <w:szCs w:val="28"/>
                <w:highlight w:val="none"/>
                <w:u w:val="none"/>
              </w:rPr>
              <w:t xml:space="preserve">1.3试验速度范围：0.00005-1000mm/min</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u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1.4横梁位置分辨力：不低于0.02μm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1.5最大返回速度：不低于1500mm/min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▲1.6机架轴向刚度：不低于180kN/mm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1.7横梁移动速度精度：优于设定值的±0.2%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1.8位移测量精度：优于设定值的±0.2%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1.9数据采集频率（获取从试验机到PC的最终原始数据）：最快采集速率不低于每秒钟采集1000组数据（不限于速度控制、载荷控制、应力控制、位移控制等试验模式，且至少4通道同步采集）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1.10BNC接口：2个，DC:±10V</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1.11增量编码器通道（TTL）：2个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▲1.12横梁行程：工作平台到横梁间的最大可移动距离不低于1000mm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1.13有效试验宽度：不小于600mm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1.14主机带触摸屏和手操控盒；触摸屏自带操作系统，可通过触摸屏完成试验操作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1.15主机结构：台式型设备，门式结构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2.1主机系统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2.1.1主机采用双导柱导向增加设备的横向刚性，确保横梁线性运动</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2.1.2传动系统采用伺服直驱带动同步带传动结构，可有效应对高强度、高频次试验场景</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2.1.3高刚度的传感器组件，可以达到150%过载力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lang w:eastAsia="zh-CN"/>
              </w:rPr>
            </w:pPr>
            <w:r>
              <w:rPr>
                <w:rFonts w:hint="eastAsia" w:ascii="宋体" w:hAnsi="宋体" w:eastAsia="宋体" w:cs="宋体"/>
                <w:b w:val="0"/>
                <w:bCs w:val="0"/>
                <w:i w:val="0"/>
                <w:iCs w:val="0"/>
                <w:color w:val="000000"/>
                <w:sz w:val="28"/>
                <w:szCs w:val="28"/>
                <w:highlight w:val="none"/>
              </w:rPr>
              <w:t xml:space="preserve">▲2.1.4主机配置符合设备状态可视化交互系统，通过不同颜色灯语直观展示当前主机运行状态，避免误操作，最大限度的保护设备及人员</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（提供产品可视化彩页截图</w:t>
            </w:r>
            <w:r>
              <w:rPr>
                <w:rFonts w:hint="eastAsia" w:ascii="宋体" w:hAnsi="宋体" w:eastAsia="宋体" w:cs="宋体"/>
                <w:b w:val="0"/>
                <w:bCs w:val="0"/>
                <w:i w:val="0"/>
                <w:iCs w:val="0"/>
                <w:color w:val="000000"/>
                <w:sz w:val="28"/>
                <w:szCs w:val="28"/>
                <w:highlight w:val="none"/>
                <w:lang w:eastAsia="zh-CN"/>
              </w:rPr>
              <w:t xml:space="preserve">）</w:t>
            </w:r>
            <w:r>
              <w:rPr>
                <w:rFonts w:hint="eastAsia" w:ascii="宋体" w:hAnsi="宋体" w:eastAsia="宋体" w:cs="宋体"/>
                <w:b w:val="0"/>
                <w:bCs w:val="0"/>
                <w:i w:val="0"/>
                <w:iCs w:val="0"/>
                <w:color w:val="000000"/>
                <w:sz w:val="28"/>
                <w:szCs w:val="28"/>
                <w:highlight w:val="none"/>
                <w:lang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2.1.5设备配置双通道配电单元，提供2路独立直流电源输出，方便用户扩展外围设备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▲2.1.6设备配备液晶触摸彩屏操作盒，具有载荷、位移显示、微调横梁及夹具调节功能，具有双模式通讯，全面满足高精度测试场景需求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（提供产品彩页截图或技术样本或第三方检测报告等有效证明文件之一）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2.1.7防护系统配置安全门开关锁，并在软件里面配置相应的门禁策略，为操作人员提供全方位安全防护。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▲2.1.8全自动接触式引伸计最大标距</w:t>
            </w:r>
            <w:bookmarkStart w:id="192" w:name="OLE_LINK92"/>
            <w:r/>
            <w:bookmarkStart w:id="193" w:name="OLE_LINK95"/>
            <w:r>
              <w:rPr>
                <w:rFonts w:hint="eastAsia" w:ascii="宋体" w:hAnsi="宋体" w:eastAsia="宋体" w:cs="宋体"/>
                <w:color w:val="000000"/>
                <w:sz w:val="28"/>
                <w:szCs w:val="28"/>
                <w:highlight w:val="none"/>
              </w:rPr>
              <w:t xml:space="preserve">优于</w:t>
            </w:r>
            <w:bookmarkEnd w:id="192"/>
            <w:r/>
            <w:bookmarkEnd w:id="193"/>
            <w:r>
              <w:rPr>
                <w:rFonts w:hint="eastAsia" w:ascii="宋体" w:hAnsi="宋体" w:eastAsia="宋体" w:cs="宋体"/>
                <w:color w:val="000000"/>
                <w:sz w:val="28"/>
                <w:szCs w:val="28"/>
                <w:highlight w:val="none"/>
              </w:rPr>
              <w:t xml:space="preserve">200mm。</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2.2控制器系统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2.2.1具有全数字控制、多信道采集、高速数据传输等功能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2.2.2具有TEDS自识别功能，可实现系统能自动识别传感器，并读取校准参数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2.2.3支持以太网/USB接口方式，可完成低频率的波形试验，如正弦波，三角波等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2.2.4AD测量通道不少于6路，信号采集频率不少于4MHz，分辨率不少于20bit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2.3软件系统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2.3.1软件支持横、竖向自适应布局，支持脱机运行模拟试验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▲2.3.2软件支持试验进度可视化显示、一键导出原始数据及支持一键切换语言等功能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（需提供两种语言软件功能界面截图，中、英软件界面）</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2.3.3试验曲线可进行全局或单坐标轴的定位、缩放、平移操作支持添加辅助线等功能，满足用户在曲线分析与结果比对方面的需求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2.3.4软件允许用户自定义坐标轴默认边界，支持单坐标轴及双Y轴曲线显示，方便用户试验数据进行比对分析；</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2.3.5软件支持周期波形试验，如正弦波，三角波、梯形波及方波等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2.3.6具有三闭环（力、变形、位移）控制功能，实现力、变形、位移全数字三闭环控制，各控制环间可自动切换，并在各方式间切换时实现无冲击平滑过渡。</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▲2.3.7</w:t>
            </w:r>
            <w:bookmarkStart w:id="194" w:name="OLE_LINK31"/>
            <w:r/>
            <w:bookmarkStart w:id="195" w:name="OLE_LINK39"/>
            <w:r>
              <w:rPr>
                <w:rFonts w:hint="eastAsia" w:ascii="宋体" w:hAnsi="宋体" w:eastAsia="宋体" w:cs="宋体"/>
                <w:color w:val="000000"/>
                <w:sz w:val="28"/>
                <w:szCs w:val="28"/>
                <w:highlight w:val="none"/>
              </w:rPr>
              <w:t xml:space="preserve">软件支持视频录制回放，满足试验数据记录、回放，测试结束后同步自动停止录像。（提供软件功能截图）</w:t>
            </w:r>
            <w:bookmarkEnd w:id="194"/>
            <w:r/>
            <w:bookmarkEnd w:id="195"/>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3.120KN拉伸试验主机1台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3.2楔形拉伸夹具1套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3.5大行程引伸计</w:t>
            </w:r>
            <w:bookmarkStart w:id="196" w:name="OLE_LINK109"/>
            <w:r/>
            <w:bookmarkStart w:id="197" w:name="OLE_LINK108"/>
            <w:r>
              <w:rPr>
                <w:rFonts w:hint="eastAsia" w:ascii="宋体" w:hAnsi="宋体" w:eastAsia="宋体" w:cs="宋体"/>
                <w:color w:val="000000"/>
                <w:sz w:val="28"/>
                <w:szCs w:val="28"/>
                <w:highlight w:val="none"/>
              </w:rPr>
              <w:t xml:space="preserve">1套</w:t>
            </w:r>
            <w:bookmarkEnd w:id="196"/>
            <w:r/>
            <w:bookmarkEnd w:id="197"/>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3.6扇形拉伸夹具1套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3.7双偏心轮夹具</w:t>
            </w:r>
            <w:bookmarkStart w:id="198" w:name="OLE_LINK114"/>
            <w:r/>
            <w:bookmarkStart w:id="199" w:name="OLE_LINK115"/>
            <w:r>
              <w:rPr>
                <w:rFonts w:hint="eastAsia" w:ascii="宋体" w:hAnsi="宋体" w:eastAsia="宋体" w:cs="宋体"/>
                <w:color w:val="000000"/>
                <w:sz w:val="28"/>
                <w:szCs w:val="28"/>
                <w:highlight w:val="none"/>
              </w:rPr>
              <w:t xml:space="preserve">1套</w:t>
            </w:r>
            <w:bookmarkEnd w:id="198"/>
            <w:r/>
            <w:bookmarkEnd w:id="199"/>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3.8薄膜拉伸夹具</w:t>
            </w:r>
            <w:bookmarkStart w:id="200" w:name="OLE_LINK118"/>
            <w:r/>
            <w:bookmarkStart w:id="201" w:name="OLE_LINK117"/>
            <w:r>
              <w:rPr>
                <w:rFonts w:hint="eastAsia" w:ascii="宋体" w:hAnsi="宋体" w:eastAsia="宋体" w:cs="宋体"/>
                <w:color w:val="000000"/>
                <w:sz w:val="28"/>
                <w:szCs w:val="28"/>
                <w:highlight w:val="none"/>
              </w:rPr>
              <w:t xml:space="preserve">1套</w:t>
            </w:r>
            <w:bookmarkEnd w:id="200"/>
            <w:r/>
            <w:bookmarkEnd w:id="201"/>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3.9管材拉伸夹具</w:t>
            </w:r>
            <w:bookmarkStart w:id="202" w:name="OLE_LINK197"/>
            <w:r>
              <w:rPr>
                <w:rFonts w:hint="eastAsia" w:ascii="宋体" w:hAnsi="宋体" w:eastAsia="宋体" w:cs="宋体"/>
                <w:color w:val="000000"/>
                <w:sz w:val="28"/>
                <w:szCs w:val="28"/>
                <w:highlight w:val="none"/>
              </w:rPr>
              <w:t xml:space="preserve">1套</w:t>
            </w:r>
            <w:bookmarkEnd w:id="202"/>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3.10机械式全自动引伸计1套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高频疲劳试验机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03" w:name="OLE_LINK61"/>
            <w:r>
              <w:rPr>
                <w:rFonts w:hint="eastAsia" w:ascii="宋体" w:hAnsi="宋体" w:eastAsia="宋体" w:cs="宋体"/>
                <w:color w:val="000000"/>
                <w:sz w:val="28"/>
                <w:szCs w:val="28"/>
                <w:highlight w:val="none"/>
              </w:rPr>
              <w:t xml:space="preserve">▲1.1主机最大试验力：不小于1000kN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1.2试验力测量范围(kN)：（2%～100%FS）20～1000</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1.3试验力示值静态精度：±0.5%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1.4试验力示值动态精度：±0.1%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1.5位移测量分辨力：0.001mm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1.6频率：60Hz～400Hz，不低于60Hz</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1.7液压夹具同轴度：5%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▲1.8油源流量：≥200L/min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▲1.9拉伸空间(上/下夹具端面距离)：0～1500mm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1.10立柱间有效距离：1100mm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1.11试验波形：包含正弦波、三角波、方波等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1.12抗磨液压油最大容量不低于600L</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w:t>
            </w:r>
            <w:bookmarkEnd w:id="203"/>
            <w:r>
              <w:rPr>
                <w:rFonts w:hint="eastAsia" w:ascii="宋体" w:hAnsi="宋体" w:eastAsia="宋体" w:cs="宋体"/>
                <w:b/>
                <w:color w:val="000000"/>
                <w:sz w:val="28"/>
                <w:szCs w:val="28"/>
                <w:highlight w:val="none"/>
              </w:rPr>
              <w:t xml:space="preserve">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2.1.1主机采用封闭式框架结构，机架刚度大，无反向间隙，稳定性好；横梁升降、横梁锁紧均液压驱动，由旋钮操作，灵活方便；横梁有自锁功能，即使停机也不下滑。</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2.1.2保护功能具备过载保护、机械限位保护、激励器过流保护、断裂保护、频率变动保护、横梁上下限保护等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val="0"/>
                <w:bCs w:val="0"/>
                <w:i w:val="0"/>
                <w:iCs w:val="0"/>
                <w:color w:val="000000"/>
                <w:sz w:val="28"/>
                <w:szCs w:val="28"/>
                <w:highlight w:val="none"/>
              </w:rPr>
            </w:pPr>
            <w:r/>
            <w:bookmarkStart w:id="204" w:name="OLE_LINK89"/>
            <w:r>
              <w:rPr>
                <w:rFonts w:hint="eastAsia" w:ascii="宋体" w:hAnsi="宋体" w:eastAsia="宋体" w:cs="宋体"/>
                <w:b w:val="0"/>
                <w:bCs w:val="0"/>
                <w:i w:val="0"/>
                <w:iCs w:val="0"/>
                <w:color w:val="000000"/>
                <w:sz w:val="28"/>
                <w:szCs w:val="28"/>
                <w:highlight w:val="none"/>
              </w:rPr>
              <w:t xml:space="preserve">▲2.1.3控制器采用高性能传感器：负载和应变分辨率不低于±25000码；同步采样频率≥10kHz，可实现方波，三角波和正弦波等的动态测试。控制器做过不低于10000小时的MTBF试验认证</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iCs w:val="0"/>
                <w:color w:val="000000"/>
                <w:sz w:val="28"/>
                <w:szCs w:val="28"/>
                <w:highlight w:val="none"/>
              </w:rPr>
              <w:t xml:space="preserve">（提供第三方检测或评估报告扫描件并加盖公章）</w:t>
            </w:r>
            <w:r>
              <w:rPr>
                <w:rFonts w:hint="eastAsia" w:ascii="宋体" w:hAnsi="宋体" w:eastAsia="宋体" w:cs="宋体"/>
                <w:b w:val="0"/>
                <w:bCs w:val="0"/>
                <w:i w:val="0"/>
                <w:iCs w:val="0"/>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05" w:name="OLE_LINK42"/>
            <w:r>
              <w:rPr>
                <w:rFonts w:hint="eastAsia" w:ascii="宋体" w:hAnsi="宋体" w:eastAsia="宋体" w:cs="宋体"/>
                <w:color w:val="000000"/>
                <w:sz w:val="28"/>
                <w:szCs w:val="28"/>
                <w:highlight w:val="none"/>
              </w:rPr>
              <w:t xml:space="preserve">▲2.1.</w:t>
            </w:r>
            <w:bookmarkEnd w:id="205"/>
            <w:r>
              <w:rPr>
                <w:rFonts w:hint="eastAsia" w:ascii="宋体" w:hAnsi="宋体" w:eastAsia="宋体" w:cs="宋体"/>
                <w:color w:val="000000"/>
                <w:sz w:val="28"/>
                <w:szCs w:val="28"/>
                <w:highlight w:val="none"/>
              </w:rPr>
              <w:t xml:space="preserve">4</w:t>
            </w:r>
            <w:bookmarkStart w:id="206" w:name="OLE_LINK79"/>
            <w:r/>
            <w:bookmarkStart w:id="207" w:name="OLE_LINK78"/>
            <w:r>
              <w:rPr>
                <w:rFonts w:hint="eastAsia" w:ascii="宋体" w:hAnsi="宋体" w:eastAsia="宋体" w:cs="宋体"/>
                <w:color w:val="000000"/>
                <w:sz w:val="28"/>
                <w:szCs w:val="28"/>
                <w:highlight w:val="none"/>
              </w:rPr>
              <w:t xml:space="preserve">油源系统1套：流量要求≥200L/min，后续可扩展其他设备。具有降噪设计，采用油浸式电机；具有良好冷却效果，能长时间持续运行并保证噪音控制在75db以内。（产品彩页或技术样本或第三方检测报告等有效证明文件之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▲2.1.5具有节能设计要求，油泵采用变量柱塞泵，可以根据伺服作动器实际油量的需求，自动调节流量输出，可以起到节能效果，同时也能起到降噪效果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▲2.1.6位移传感器</w:t>
            </w:r>
            <w:bookmarkStart w:id="208" w:name="OLE_LINK14"/>
            <w:r/>
            <w:bookmarkStart w:id="209" w:name="OLE_LINK15"/>
            <w:r>
              <w:rPr>
                <w:rFonts w:hint="eastAsia" w:ascii="宋体" w:hAnsi="宋体" w:eastAsia="宋体" w:cs="宋体"/>
                <w:color w:val="000000"/>
                <w:sz w:val="28"/>
                <w:szCs w:val="28"/>
                <w:highlight w:val="none"/>
              </w:rPr>
              <w:t xml:space="preserve">采用高性能传感器</w:t>
            </w:r>
            <w:bookmarkEnd w:id="208"/>
            <w:r/>
            <w:bookmarkEnd w:id="209"/>
            <w:r>
              <w:rPr>
                <w:rFonts w:hint="eastAsia" w:ascii="宋体" w:hAnsi="宋体" w:eastAsia="宋体" w:cs="宋体"/>
                <w:color w:val="000000"/>
                <w:sz w:val="28"/>
                <w:szCs w:val="28"/>
                <w:highlight w:val="none"/>
              </w:rPr>
              <w:t xml:space="preserve">：测量范围：0～150(±75)mm，分辨率不低于1um，示值相对误差绝对值≤0.5%，重复精度不低于0.001%。</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2.1.7力传感器采用高性能传感器：最大力≥1000kN；安全过载≥300%FS；静态误差带绝对值≤0.15%FS；非线性绝对值≤0.15%FS；滞后性绝对值≤0.15%FS；侧向力影响绝对值≤0.25%</w:t>
            </w:r>
            <w:bookmarkEnd w:id="204"/>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End w:id="206"/>
            <w:r/>
            <w:bookmarkEnd w:id="207"/>
            <w:r>
              <w:rPr>
                <w:rFonts w:hint="eastAsia" w:ascii="宋体" w:hAnsi="宋体" w:eastAsia="宋体" w:cs="宋体"/>
                <w:color w:val="000000"/>
                <w:sz w:val="28"/>
                <w:szCs w:val="28"/>
                <w:highlight w:val="none"/>
              </w:rPr>
              <w:t xml:space="preserve">2.1.8软件内置独立高、低周试验方案、裂纹试验方案、弹性体试验方案</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2.1.9软件支持手指操作放大缩小，曲线任意缩放、平移、遍历等操作，试验过程中自动切换坐标系，确保曲线始终保持在合理的坐标系内。同时提供全程记录试验过程中的关键节点步骤参数信息、事件信息、动作信息和异常报警信息，可分析异常原因提供依据</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bookmarkStart w:id="210" w:name="OLE_LINK94"/>
            <w:r/>
            <w:bookmarkStart w:id="211" w:name="OLE_LINK93"/>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3.11000KN疲劳试验主机1台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3.2液压拉伸夹具1套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3.3轮辐式力传感器1套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3.4同轴度调节装置1套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3.5控制器1套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3.6冲洗套件1套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3.8磁致伸缩位移传感器1套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3.9疲劳测试专业软件1套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3.10油源</w:t>
            </w:r>
            <w:bookmarkStart w:id="212" w:name="OLE_LINK13"/>
            <w:r/>
            <w:bookmarkStart w:id="213" w:name="OLE_LINK12"/>
            <w:r>
              <w:rPr>
                <w:rFonts w:hint="eastAsia" w:ascii="宋体" w:hAnsi="宋体" w:eastAsia="宋体" w:cs="宋体"/>
                <w:color w:val="000000"/>
                <w:sz w:val="28"/>
                <w:szCs w:val="28"/>
                <w:highlight w:val="none"/>
              </w:rPr>
              <w:t xml:space="preserve">1套</w:t>
            </w:r>
            <w:bookmarkEnd w:id="212"/>
            <w:r/>
            <w:bookmarkEnd w:id="213"/>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3.11冷水机1套</w:t>
            </w:r>
            <w:bookmarkEnd w:id="210"/>
            <w:r/>
            <w:bookmarkEnd w:id="211"/>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微机控制环刚度试验机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1.1主机最大载荷：不小于100kN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14" w:name="OLE_LINK65"/>
            <w:r/>
            <w:bookmarkStart w:id="215" w:name="OLE_LINK64"/>
            <w:r>
              <w:rPr>
                <w:rFonts w:hint="eastAsia" w:ascii="宋体" w:hAnsi="宋体" w:eastAsia="宋体" w:cs="宋体"/>
                <w:color w:val="000000"/>
                <w:sz w:val="28"/>
                <w:szCs w:val="28"/>
                <w:highlight w:val="none"/>
              </w:rPr>
              <w:t xml:space="preserve">▲</w:t>
            </w:r>
            <w:bookmarkEnd w:id="214"/>
            <w:r/>
            <w:bookmarkEnd w:id="215"/>
            <w:r>
              <w:rPr>
                <w:rFonts w:hint="eastAsia" w:ascii="宋体" w:hAnsi="宋体" w:eastAsia="宋体" w:cs="宋体"/>
                <w:color w:val="000000"/>
                <w:sz w:val="28"/>
                <w:szCs w:val="28"/>
                <w:highlight w:val="none"/>
              </w:rPr>
              <w:t xml:space="preserve">1.3试验力示值相对误差：±0.5％以内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1.4变形分辨力：最大变形量的1/1000000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1.5有效试验空间宽度：1000mm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16" w:name="OLE_LINK177"/>
            <w:r>
              <w:rPr>
                <w:rFonts w:hint="eastAsia" w:ascii="宋体" w:hAnsi="宋体" w:eastAsia="宋体" w:cs="宋体"/>
                <w:color w:val="000000"/>
                <w:sz w:val="28"/>
                <w:szCs w:val="28"/>
                <w:highlight w:val="none"/>
              </w:rPr>
              <w:t xml:space="preserve">▲</w:t>
            </w:r>
            <w:bookmarkEnd w:id="216"/>
            <w:r>
              <w:rPr>
                <w:rFonts w:hint="eastAsia" w:ascii="宋体" w:hAnsi="宋体" w:eastAsia="宋体" w:cs="宋体"/>
                <w:color w:val="000000"/>
                <w:sz w:val="28"/>
                <w:szCs w:val="28"/>
                <w:highlight w:val="none"/>
              </w:rPr>
              <w:t xml:space="preserve">1.6内径测量分辨力：0.01mm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▲1.7移动横梁最大行程：2500mm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highlight w:val="none"/>
                <w:lang w:val="en-US" w:eastAsia="zh-CN"/>
              </w:rPr>
              <w:t xml:space="preserve">1.8 试验速度0.001～1000mm/min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4"/>
                <w:szCs w:val="20"/>
                <w:highlight w:val="none"/>
                <w:lang w:val="en-US" w:eastAsia="zh-CN"/>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17" w:name="OLE_LINK192"/>
            <w:r/>
            <w:bookmarkStart w:id="218" w:name="OLE_LINK193"/>
            <w:r>
              <w:rPr>
                <w:rFonts w:hint="eastAsia" w:ascii="宋体" w:hAnsi="宋体" w:eastAsia="宋体" w:cs="宋体"/>
                <w:color w:val="000000"/>
                <w:sz w:val="28"/>
                <w:szCs w:val="28"/>
                <w:highlight w:val="none"/>
              </w:rPr>
              <w:t xml:space="preserve">2.1关键受力部件采用优质碳钢整体加工制造，保证机架的整体刚度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2.2为设备提供良好的动力，必须采用进口交流伺服电机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▲2.3控制器具有三闭环（力、变形、位移）控制功能，，六路24位AD测量通道，每路通道最高可达1200Hz采集频率，支持以太网/USB接口方式，配备传感器自识别系统，校正参数记忆功能，可实现多种传感器快速替换</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▲2.4专用中文版试验软件一套,软件具备中文版界面，且能一键切换多语言模式</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提供软件著作权证书或功能截图）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▲2.5采用高精度的负荷传感器具有高刚度、高稳定性和低非线性度，供过载和侧向负荷保护,可拉压双向使用，能更好的满足测试需求，负荷传感器可以达到0.04%FS的测量精度</w:t>
            </w:r>
            <w:bookmarkEnd w:id="217"/>
            <w:r/>
            <w:bookmarkEnd w:id="218"/>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bookmarkStart w:id="219" w:name="OLE_LINK85"/>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End w:id="219"/>
            <w:r>
              <w:rPr>
                <w:rFonts w:hint="eastAsia" w:ascii="宋体" w:hAnsi="宋体" w:eastAsia="宋体" w:cs="宋体"/>
                <w:color w:val="000000"/>
                <w:sz w:val="28"/>
                <w:szCs w:val="28"/>
                <w:highlight w:val="none"/>
              </w:rPr>
              <w:t xml:space="preserve">3.1100KN环刚度试验主机1台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3.2内径测量装置（φ50mm～φ2000mm）1套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3.3环刚度压板1套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电液伺服压力试验机</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20" w:name="OLE_LINK66"/>
            <w:r>
              <w:rPr>
                <w:rFonts w:hint="eastAsia" w:ascii="宋体" w:hAnsi="宋体" w:eastAsia="宋体" w:cs="宋体"/>
                <w:color w:val="000000"/>
                <w:sz w:val="28"/>
                <w:szCs w:val="28"/>
                <w:highlight w:val="none"/>
              </w:rPr>
              <w:t xml:space="preserve">1.1主机最大载荷：不小于3000kN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1.2准确度等级：0.5级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1.3试验力加载速率范围：0.02%-2%FS/s</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1.4试验力示值相对误差：不超过±0.5%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1.5压缩空间：不低于300mm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1.6活塞运动方向控制：双向油缸</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1.7有效试验宽度：≤540mm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1.8活塞行程：≥70mm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1.9压板尺寸：400×400mm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21" w:name="OLE_LINK190"/>
            <w:r/>
            <w:bookmarkStart w:id="222" w:name="OLE_LINK191"/>
            <w:r>
              <w:rPr>
                <w:rFonts w:hint="eastAsia" w:ascii="宋体" w:hAnsi="宋体" w:eastAsia="宋体" w:cs="宋体"/>
                <w:color w:val="000000"/>
                <w:sz w:val="28"/>
                <w:szCs w:val="28"/>
                <w:highlight w:val="none"/>
              </w:rPr>
              <w:t xml:space="preserve">2.1主机系统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2.1.1主机需具有力闭环控制、具有恒应力控制和载荷保持功能。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2.1.2主机需配置齿轮泵及伺服电机；可根据试验的要求任意设定加载速度。</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2.1.3适用于水泥、混凝土、岩石的抗压强度试验，满足混凝土的劈裂试验、静压弹性模量试验，可根据用户要求扩展多个位移测量通道。</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▲2.1.4油源部分采用新式油电混合动力结构，液压系统通过伺服电机控制泵的转速来调节液压油的流量，具有工作时噪音低，发热低，安全节能高效的特点</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▲2.1.5主油缸采用双向液压缸加载，加载端采用采用双球面、全封闭结构，防止粉尘进入球头内部。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2.1.6具备完善的限位保护、超载保护、电机过热保护及紧急状态下急停等安全保护功能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bookmarkEnd w:id="221"/>
            <w:r/>
            <w:bookmarkEnd w:id="222"/>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23" w:name="OLE_LINK86"/>
            <w:r/>
            <w:bookmarkStart w:id="224" w:name="OLE_LINK87"/>
            <w:r>
              <w:rPr>
                <w:rFonts w:hint="eastAsia" w:ascii="宋体" w:hAnsi="宋体" w:eastAsia="宋体" w:cs="宋体"/>
                <w:color w:val="000000"/>
                <w:sz w:val="28"/>
                <w:szCs w:val="28"/>
                <w:highlight w:val="none"/>
              </w:rPr>
              <w:t xml:space="preserve">3.13000KN电液伺服压力试验机主机1台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3.2液压静音油源1套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3.3全封闭双球头抗压夹具1套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3.4全数字闭环电气系统1套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left="0" w:firstLine="0"/>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3.5电脑终端1套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3.6专用试验软件1套</w:t>
            </w:r>
            <w:bookmarkEnd w:id="220"/>
            <w:r/>
            <w:bookmarkEnd w:id="223"/>
            <w:r/>
            <w:bookmarkEnd w:id="224"/>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highlight w:val="none"/>
              </w:rPr>
              <w:t xml:space="preserve">1</w:t>
            </w:r>
            <w:r>
              <w:rPr>
                <w:rFonts w:hint="eastAsia" w:ascii="宋体" w:hAnsi="宋体" w:eastAsia="宋体" w:cs="宋体"/>
                <w:color w:val="000000"/>
                <w:sz w:val="28"/>
                <w:szCs w:val="28"/>
                <w:highlight w:val="none"/>
              </w:rPr>
              <w:t xml:space="preserve">、控温范围：室温~-80℃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▲2、恒温精度：±0.3℃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3、降温速度：室温~-80℃约80min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其中：室温~0℃约2.0℃/min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0℃~-20℃约1.5℃/min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-20℃~-60℃约1.0℃/min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-60℃~-80℃约0.5℃/min。</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4、工作室尺寸：280×160×120mm（长×宽×高），容积5.4升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bookmarkStart w:id="225" w:name="OLE_LINK50"/>
            <w:r/>
            <w:bookmarkStart w:id="226" w:name="OLE_LINK58"/>
            <w:r>
              <w:rPr>
                <w:rFonts w:hint="eastAsia" w:ascii="宋体" w:hAnsi="宋体" w:eastAsia="宋体" w:cs="宋体"/>
                <w:color w:val="000000"/>
                <w:sz w:val="28"/>
                <w:szCs w:val="28"/>
                <w:highlight w:val="none"/>
              </w:rPr>
              <w:t xml:space="preserve">试样架可容纳不少于60个标准样品</w:t>
            </w:r>
            <w:bookmarkEnd w:id="225"/>
            <w:r/>
            <w:bookmarkEnd w:id="226"/>
            <w:r>
              <w:rPr>
                <w:rFonts w:hint="eastAsia" w:ascii="宋体" w:hAnsi="宋体" w:eastAsia="宋体" w:cs="宋体"/>
                <w:color w:val="000000"/>
                <w:sz w:val="28"/>
                <w:szCs w:val="28"/>
                <w:highlight w:val="none"/>
              </w:rPr>
              <w:t xml:space="preserve">（试样尺寸：10×10×55,mm）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6、控制系统：7寸触摸屏+PLC控制（自主研发控制软件）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7、冷却介质：乙醇或其他不冻液</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8、搅拌电机：不低于20W</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二.技术性能（描述性）</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2.1温控系统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2.1.1自主研发触摸屏控制系统，触摸屏+PLC模块+温度采集模块+温度控制。</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2.1.28点线性参数修正。</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2.2技术要求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27" w:name="OLE_LINK37"/>
            <w:r>
              <w:rPr>
                <w:rFonts w:hint="eastAsia" w:ascii="宋体" w:hAnsi="宋体" w:eastAsia="宋体" w:cs="宋体"/>
                <w:color w:val="000000"/>
                <w:sz w:val="28"/>
                <w:szCs w:val="28"/>
                <w:highlight w:val="none"/>
              </w:rPr>
              <w:t xml:space="preserve">2.2.1</w:t>
            </w:r>
            <w:bookmarkStart w:id="228" w:name="OLE_LINK36"/>
            <w:r/>
            <w:bookmarkStart w:id="229" w:name="OLE_LINK34"/>
            <w:r>
              <w:rPr>
                <w:rFonts w:hint="eastAsia" w:ascii="宋体" w:hAnsi="宋体" w:eastAsia="宋体" w:cs="宋体"/>
                <w:color w:val="000000"/>
                <w:sz w:val="28"/>
                <w:szCs w:val="28"/>
                <w:highlight w:val="none"/>
              </w:rPr>
              <w:t xml:space="preserve">工作室材料：304不锈钢材质</w:t>
            </w:r>
            <w:bookmarkEnd w:id="228"/>
            <w:r/>
            <w:bookmarkEnd w:id="229"/>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2.2.2低温箱工作室部分要具有防变形能力（工作一段时间后，不能变形过大）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▲2.2.3低温箱要有报警输出功能；温度到达提醒和保温时间到达提醒功能。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2.2.4底部有多组滚轮，使高低温箱能方便地在导轨上滑动。</w:t>
            </w:r>
            <w:bookmarkEnd w:id="227"/>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val="false"/>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6975"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一.技术指标</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30" w:name="OLE_LINK33"/>
            <w:r/>
            <w:bookmarkStart w:id="231" w:name="OLE_LINK32"/>
            <w:r>
              <w:rPr>
                <w:rFonts w:hint="eastAsia" w:ascii="宋体" w:hAnsi="宋体" w:eastAsia="宋体" w:cs="宋体"/>
                <w:color w:val="000000"/>
                <w:sz w:val="28"/>
                <w:szCs w:val="28"/>
                <w:highlight w:val="none"/>
              </w:rPr>
              <w:t xml:space="preserve">▲</w:t>
            </w:r>
            <w:bookmarkEnd w:id="230"/>
            <w:r/>
            <w:bookmarkEnd w:id="231"/>
            <w:r>
              <w:rPr>
                <w:rFonts w:hint="eastAsia" w:ascii="宋体" w:hAnsi="宋体" w:eastAsia="宋体" w:cs="宋体"/>
                <w:color w:val="000000"/>
                <w:sz w:val="28"/>
                <w:szCs w:val="28"/>
                <w:highlight w:val="none"/>
              </w:rPr>
              <w:t xml:space="preserve">1、控温范围：-40~-196℃</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2、恒温精度：±2℃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3、降温速度：2℃/min；(平均)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4、工作室尺寸不低于160×280×120mm（深×宽×高），容积5.4升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5、开口尺寸不低于160×160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▲6、试样架可容纳不少于60个标准样品</w:t>
            </w:r>
            <w:bookmarkStart w:id="232" w:name="_GoBack"/>
            <w:r/>
            <w:bookmarkEnd w:id="232"/>
            <w:r>
              <w:rPr>
                <w:rFonts w:hint="eastAsia" w:ascii="宋体" w:hAnsi="宋体" w:eastAsia="宋体" w:cs="宋体"/>
                <w:color w:val="000000"/>
                <w:sz w:val="28"/>
                <w:szCs w:val="28"/>
                <w:highlight w:val="none"/>
              </w:rPr>
              <w:t xml:space="preserve">标准试样（10×10×55）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7、搅拌电机不低于25W</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8、冷却介质：液氮</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9、高压液氮罐一个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二.技术性能（描述性）</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2.2.1工作室材料：304不锈钢材质</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2.2.2低温箱工作室部分要具有防变形能力（工作一段时间后，不能变形过大）</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2.2.3低温箱要有报警输出功能；温度到达提醒和保温时间到达提醒功能。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2.2.4底部有多组滚轮，使高低温箱能方便地在导轨上滑动。</w:t>
            </w:r>
            <w:r>
              <w:rPr>
                <w:rFonts w:hint="eastAsia" w:ascii="宋体" w:hAnsi="宋体" w:eastAsia="宋体" w:cs="宋体"/>
                <w:color w:val="000000"/>
                <w:sz w:val="28"/>
                <w:szCs w:val="28"/>
                <w:highlight w:val="none"/>
              </w:rPr>
            </w:r>
            <w:r/>
          </w:p>
        </w:tc>
      </w:tr>
    </w:tbl>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3.包3仪器设备技术及配置要求</w:t>
      </w:r>
      <w:r>
        <w:rPr>
          <w:rFonts w:hint="eastAsia" w:ascii="宋体" w:hAnsi="宋体" w:eastAsia="宋体" w:cs="宋体"/>
          <w:b/>
          <w:color w:val="000000"/>
          <w:sz w:val="28"/>
          <w:szCs w:val="28"/>
          <w:highlight w:val="none"/>
        </w:rPr>
      </w:r>
      <w:r/>
    </w:p>
    <w:tbl>
      <w:tblPr>
        <w:tblW w:w="9075" w:type="dxa"/>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810"/>
        <w:gridCol w:w="1290"/>
        <w:gridCol w:w="6975"/>
      </w:tblGrid>
      <w:tr>
        <w:trPr/>
        <w:tc>
          <w:tcPr>
            <w:tcMar>
              <w:left w:w="57" w:type="dxa"/>
              <w:top w:w="57" w:type="dxa"/>
              <w:right w:w="57" w:type="dxa"/>
              <w:bottom w:w="57" w:type="dxa"/>
            </w:tcMar>
            <w:tcW w:w="810"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1290" w:type="dxa"/>
            <w:vAlign w:val="top"/>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仪器名称</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技术要求</w:t>
            </w:r>
            <w:r>
              <w:rPr>
                <w:rFonts w:hint="eastAsia" w:ascii="宋体" w:hAnsi="宋体" w:eastAsia="宋体" w:cs="宋体"/>
                <w:b/>
                <w:color w:val="000000"/>
                <w:sz w:val="28"/>
                <w:szCs w:val="28"/>
                <w:highlight w:val="none"/>
              </w:rPr>
            </w:r>
            <w:r/>
          </w:p>
        </w:tc>
      </w:tr>
      <w:tr>
        <w:trPr/>
        <w:tc>
          <w:tcPr>
            <w:tcMar>
              <w:left w:w="57" w:type="dxa"/>
              <w:top w:w="57" w:type="dxa"/>
              <w:right w:w="57" w:type="dxa"/>
              <w:bottom w:w="57" w:type="dxa"/>
            </w:tcMar>
            <w:tcW w:w="810"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290"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交变湿热试验箱</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1、技术性能指标要求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★1.1内部尺寸：不小于W750mm×D670mm×H900mm，工作室有效容积不小于450L。</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★1.2温度范围：-70℃～+180℃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1.3制冷方式：液氮制冷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1.4控制精度：±0.1℃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1.5温度波动度：≤±0.5℃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1.6温度均匀度：≤2℃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1.7温度偏差：≤±2℃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1.8湿度范围：10%～98%RH。</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1.9湿度波动度：≤±3%RH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1.10湿度均匀度：≤5%RH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1.11湿度偏差：≤±3%RH（相对湿度＞75%RH时）；≤±5%RH（相对湿度≤75%RH时）。</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1.12带载能力：可在带载约20kg铝试样条件下满足IEC60068-2-30、IEC60068-2-38温湿度（组合）循环试验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2、箱体结构设计要求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保温壳体：预制夹层（夹心）结构，内胆采用SUS304不锈钢板（厚度≥1.0mm），内胆所有拼缝氩弧焊接、各装配件全气密处理；外壳采用镀锌钢板喷塑（RAL7035，厚度≥1.5mm）；保温层为不小于120mm聚氨酯发泡+岩棉自支撑结构。</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2.2底板与试样承载：底板均布承载不小于200kg/m²；配置不少于1层高度可调试样隔板，每层均布承载不小于40kg。</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2.3箱门：手动单开铰链门1扇，门洞尺寸不小于W750mm×H900mm，门体结构及保温方式与箱体一致，带门框加热，防止门框结冰、凝露。</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2.4门观察窗：门上安装多层加热中空玻璃观察窗，并带窗框加热，防雾、防凝露、防结冰，视窗位于人视线高度；尺寸约W435mm×H445mm，数量1个。</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2.5照明：观察窗内侧嵌装LED照明灯1只，经玻璃与工作室环境隔离。</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2.6移动与调平：设备底部配置万向脚轮及可调高度支脚，便于移动就位与水平调平。</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2.7插座：箱体外壳设置1套防护等级IP65的防水电源插座，规格AC220V/10A。</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2.8穿线孔：左右侧壁各设1个Ø100mm带硅橡胶塞及密封盖的电缆穿线孔。</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2.9安全装置：设急停按钮1个，配置带蜂鸣器的三色状态指示灯。</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3电气及控制系统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3.1电气柜：配置独立功能电路安全装置，故障时自动切断受影响电路并触发PLC报警、按逻辑停止相关功能回路。提供相关电路原理图并标注相应的功能。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3.2传感器：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配温度传感器和湿度传感器。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▲3.3人机界面：嵌入式工业电脑，使用Windows系统的13.3″及以上电容触摸屏；显示分辨率不小于1920×1080，硬件配置不低于：8GB运行内存、256GBSSD固态硬盘。</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控制软件：支持中/英文，温度/湿度/时间设定精度分别为0.1℃/1%RH/1分钟；具备定值、程序两种运行方式；可编辑60个程序，每个程序99步/段，单段/程序最大999次循环，程序间可链接，支持预览、暂停、跳步；额外具备PID参数分区自诊断与自动调整、分段标定、强制硬件运行、锁屏保护、定时开机、操作记录功能；报警信息附带故障排查指引；运行界面实时显示设定值、实测值、程序名称、总运行时间、段运行/剩余时间、硬件运行状态、PID输出贡献度。</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3.5数据记录：控制器存储≥10年试验曲线、运行记录、报警记录，支持曲线缩放/翻页、波动度与变化率计算、Excel参数导出、画面捕获及打印，内置智能电表实时监控功耗并集成数据。</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3.6.1模拟输入-分辨率：温度：0.1℃/0.1℉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1503"/>
              <w:spacing w:line="320" w:lineRule="exact"/>
              <w:rPr>
                <w:rFonts w:hint="eastAsia" w:ascii="宋体" w:hAnsi="宋体" w:eastAsia="宋体" w:cs="宋体"/>
                <w:color w:val="000000"/>
                <w:highlight w:val="none"/>
                <w:lang w:eastAsia="zh-CN"/>
              </w:rPr>
            </w:pPr>
            <w:r>
              <w:rPr>
                <w:rFonts w:hint="eastAsia" w:ascii="宋体" w:hAnsi="宋体" w:eastAsia="宋体" w:cs="宋体"/>
                <w:color w:val="000000"/>
                <w:sz w:val="28"/>
                <w:szCs w:val="28"/>
                <w:highlight w:val="none"/>
              </w:rPr>
              <w:t xml:space="preserve">3.6.2可重复性：±0.05%满量程</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highlight w:val="none"/>
                <w:lang w:eastAsia="zh-CN"/>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3.7远程控制：支持WiFi/RJ45远程操作，配备Windows版远程控制及数据管理软件，USB接口用于数据转储，HDMI接口支持双显。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3.8权限管理：分操作员、管理员、生产商三级权限，用户名+密码管控。</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▲3.9视频监控：配备1台摄像头，实现测试数据曲线与视频同步在同一界面中，</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▲3.10内置智能电表监控实时功耗，数据将被集成在控制器内，要以柱状图形式显示功耗，</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▲3.11具有短信提醒功能，能够以一定频率将设备状态（包括运行的程序，温湿度信息等）发给不同用户，再出现报警或者开关机操作时立刻发信息给指定客户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▲3.12操作及报警日志功能：能够记录设备所有报警及每个用户的登录及对设备操作；在进行历史曲线查询时，可以同时显示日志（包括报警、操作和系统信息）。</w:t>
            </w: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▲3.13具有局域网和广域网的远程控制功能，能够针对不同客户开启和关闭远程控制，远程控制可以实现本地控制的所有功能，并且可以进行远程数据下载。</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4、安全保护系统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需具备以下全项保护功能，缺一不可</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电源缺相/相序错乱/超压/欠压保护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软件超温保护；控制传感器断线保护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独立传感器可调温限（高、低温）保护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加热器超温保护；循环风机过载保护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急停开关保护。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5、周边设施配套要求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5.1本项目为交钥匙工程。</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5.2中标方免费提供与设备配套的纯水机并负责管路安装。</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290"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步入式高低温湿热试验箱</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1、技术性能指标要求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★1.1内部尺寸：不小于W3200mm×D4200mm×H3000mm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★1.2温度范围：-60℃～+150℃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1.3控制精度：±0.1℃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1.4波动度：≤±0.5℃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1.5均匀性：≤2℃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1.6温度偏差：≤±2℃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★1.7升降温速率：从-60℃到+150℃,空载平均速率≥3℃/min</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1.8湿度范围：10%～98%RH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1.9控制精度：±0.1%RH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1.10波动度：≤±3%RH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1.11均匀性：≤5%RH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1.12带载能力：≥12T电机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1.13湿度偏差：≤±3%RH（温度＞+25℃时）；≤±5%RH（温度为+10℃～+25℃时）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2、箱体结构设计要求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2.1保温壳体：预制夹心结构，内胆SUS304不锈钢板（≥1.0mm），外壳镀锌钢板喷塑（RAL7035，≥1.2mm），保温层为150mm聚氨酯发泡自支撑结构；内胆整体氩弧焊接，全气密处理。</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▲2.2底板设计：除了日常的小型样品进出舱体以外，需要考虑≥12T的样品进出方式，投标时提供具体方案。</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★2.3箱体需要下沉式，箱内底板与地面保持水平，方便装载样品，投标时提供具体方案。</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2.4箱门尺寸：尺寸3000mm×3000mm，手动双开门，带门框加热，所有箱门配备内外可开应急门锁，防止人员被困。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2.5门观察窗：每扇门上都安装了一个多层加热中空玻璃，同时带窗框加热，防雾防凝露，视窗安装在人视线高度；尺寸：400mm×500mm，数量：2个（每扇门一个）</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2.6照明：IP65级LED灯，+60℃以下常亮，+60℃以上10分钟自动关闭。</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2.7插座：2套AC220V/10A国标五孔插座，安装于箱体外壳。</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2.8穿线孔：4个Ø150mm带硅橡胶塞+密封盖的电缆穿线孔，位置待定。</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2.9安全装置：箱门附近设1个急停按钮，配置带蜂鸣器的三色状态指示灯。</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2.10压力平衡：箱体顶板配备压力补偿系统，自动平衡箱内外压力。</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3、系统配置要求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3.1空气调节系统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3.1.1循环方式：上出风（箱体顶部）+下回风（箱体底部）强制对流，外置变频电机通过不锈钢加长轴驱动离心叶轮。</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3.1.2加热：铠装电加热器，配气体式超温防止器，PID算法+固态继电器精确控制输出。</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3.1.3加湿：电加热式无压蒸汽发生器，配液位开关+气体式干烧保护器，采用去离子水，蒸汽出口集成于循环系统实现均匀混合，PID+固态继电器控制。</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3.1.4除湿：与制冷系统相连的光滑盘管冷凝除湿，PID算法+高频脉冲电磁阀实现0～100%无级除湿调节。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3.1.5换热：层压式热交换器直冷设计，PID+高频脉冲电磁阀实现0～100%无级制冷输出调节。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3.1.6独立的冷端和热端PID调节，热量和冷量均可连续调节，避免了制冷量和加热量对冲而造成的能源浪费</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3.2制冷系统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制冷方式：机械制冷，水冷冷凝方式，投标人需要配置冷水机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4电气及控制系统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4.1电气柜：配置独立功能电路安全装置，故障时自动切断受影响电路并触发PLC报警、按逻辑停止相关功能回路。提供相关电路原理图并标注相应的功能。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4.2传感器：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配温度传感器和湿度传感器。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▲4.3人机界面：嵌入式工业电脑，使用Windows系统的13.3″及以上电容触摸屏；显示分辨率不小于1920×1080，硬件配置不低于：8GB运行内存、256GBSSD固态硬盘。</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4.4控制软件：支持中/英文，温度/湿度/时间设定精度分别为0.1℃/1%RH/1分钟；具备定值、程序两种运行方式；可编辑60个程序，每个程序99步/段，单段/程序最大999次循环，程序间可链接，支持预览、暂停、跳步；额外具备PID参数分区自诊断与自动调整、分段标定、强制硬件运行、锁屏保护、定时开机、操作记录功能；报警信息附带故障排查指引；运行界面实时显示设定值、实测值、程序名称、总运行时间、段运行/剩余时间、硬件运行状态、PID输出贡献度。</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4.5数据记录：控制器存储≥10年试验曲线、运行记录、报警记录，支持曲线缩放/翻页、波动度与变化率计算、Excel参数导出、画面捕获及打印，内置智能电表实时监控功耗并集成数据。</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4.6.1模拟输入-分辨率：温度：0.1℃/0.1℉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4.6.2可重复性：±0.05%满量程</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4.7远程控制：支持WiFi/RJ45远程操作，配备Windows版远程控制及数据管理软件，USB接口用于数据转储，HDMI接口支持双显。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▲4.8权限管理：分操作员、管理员、生产商三级角色，用户名+密码管控，可以设定每个角色针对每个功能的子权限</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▲4.9视频监控：配备1台摄像头，实现测试数据曲线与视频同步在同一界面中，</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▲4.10内置智能电表监控实时功耗，数据将被集成在控制器内，要以柱状图形式显示功耗，</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▲4.11具有短信提醒功能，能够以一定频率将设备状态（包括运行的程序，温湿度信息等）发给不同用户，再出现报警或者开关机操作时立刻发信息给指定客户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▲4.12操作及报警日志功能：能够记录设备所有报警及每个用户的登录及对设备操作；在进行历史曲线查询时，可以同时显示日志（包括报警、操作和系统信息）。</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▲4.13具有局域网和广域网的远程控制功能，能够针对不同客户开启和关闭远程控制，远程控制可以实现本地控制的所有功能，并且可以进行远程数据下载。</w:t>
            </w:r>
            <w:r>
              <w:rPr>
                <w:rFonts w:hint="eastAsia" w:ascii="宋体" w:hAnsi="宋体" w:eastAsia="宋体" w:cs="宋体"/>
                <w:color w:val="000000"/>
                <w:sz w:val="28"/>
                <w:szCs w:val="28"/>
                <w:highlight w:val="none"/>
                <w:lang w:val="en-US" w:eastAsia="zh-CN"/>
              </w:rPr>
              <w:t xml:space="preserve">投标时</w:t>
            </w:r>
            <w:r>
              <w:rPr>
                <w:rFonts w:hint="eastAsia" w:ascii="宋体" w:hAnsi="宋体" w:eastAsia="宋体" w:cs="宋体"/>
                <w:color w:val="000000"/>
                <w:sz w:val="28"/>
                <w:szCs w:val="28"/>
                <w:highlight w:val="none"/>
              </w:rPr>
              <w:t xml:space="preserve">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5、安全保护系统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需具备以下全项保护功能，缺一不可</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电源缺相/相序错乱/超压/欠压保护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软件超温保护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控制传感器断线保护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独立传感器可调温限保护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加热器气体式超温保护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蒸汽发生器低水位/空烧保</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循环风机过载保护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制冷压缩机超压/过载/过热/缺油保护；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制冷系统缺制冷剂报警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急停开关保护。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6、周边设施配套要求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6.1本项目为交钥匙工程</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6.2中标方提供与设备配套的的冷水机和纯水机并负责对应管路安装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6.3中标方负责设备地基制作</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810"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290" w:type="dxa"/>
            <w:vAlign w:val="center"/>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盐雾试验箱</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75"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1、技术性能指标要求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★1.1内部尺寸：不小于W1500mm×D1800mm×H1600mm（不含尖顶部分），工作室有效容积不小于4.3m³</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★1.2温湿度试验温度范围：+10℃～+70℃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1.3温度控制精度：±0.1℃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1.4温度波动度：≤±0.5℃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1.5温度均匀度：≤2℃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1.6温度偏差：≤±2℃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★1.7升降温速率：在带载100kg钢铁试样、无发热负载条件下，+20℃升至+60℃及+60℃降至+20℃的平均升降温速率均≥1.0℃/min（在空气处理单元出风口处测量）。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1.8湿度范围：在+10℃～+70℃温度范围内为20%～98%RH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1.9湿度波动度：≤±3%RH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复合循环试验能力：单台设备须集成温湿度（交变湿热）、盐雾（中性盐雾）、盐水喷淋、冷凝四种试验模式，并可在同一试验程序中按设定时间与参数自动切换、连续循环运行，模式切换过程中试样无需出箱或人工转移，可实现“盐雾—干燥—湿热—冷凝”等多步循环腐蚀试验，同时满足盐雾条件、干燥条件、湿热条件和标准大气条件等各类交变试验</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1.11盐雾试验性能：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盐雾试验工作室温度范围为：室温+5℃～+50℃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饱和桶温度范围为：室温+10℃～+70℃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温度波动度≤±1.0℃。</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1.12盐雾沉降量：1.0～2.0mL/80cm2*h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1.13冷凝试验性能：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工作室温度范围为：室温+5℃～+50℃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相对湿度可达约100%RH</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温度波动度≤±1.0℃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1.14带载能力：箱内底板均布承载不小于400kg/m²。</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2、箱体结构设计要求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2.1保温壳体：内、外壳体均采用玻璃钢层压板（玻璃纤维增强聚酯）整体成型，耐盐雾腐蚀、不生锈；内、外壳体之间保温层为不小于100mm聚氨酯发泡自支撑结构，隔热性能优良、降低能耗。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2.2防腐材质：空气处理（空调）单元内胆、循环风机叶轮、电机加长轴、电加热器护套等接触盐雾或凝露的过流部件采用SUS316L不锈钢；换热器、除湿盘管等制冷部件表面须做耐盐雾防腐处理。</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2.3顶棚设计：工作室顶棚设计成不小于30°的尖顶（斜面）结构，使凝露水沿侧壁流下，防止冷凝水滴落到试样上，满足相关盐雾试验标准要求。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2.4底板：采用不小于10mm厚均压电木板，底板均布承载不小于400kg/m²。</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2.5箱门：设手动双开铰链试样门1扇，门洞尺寸不小于W1500mm×H1600mm；门体结构及保温方式与箱体一致，带门框加热防凝露；</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2.6门观察窗：每扇门上均安装多层加热中空玻璃观察窗，并带窗框加热，防雾、防凝露，视窗位于人视线高度；尺寸约400mm×500mm，数量2个（每扇门1个）。</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2.7照明：每个观察窗内侧嵌装1只LED照明灯，经玻璃与工作室环境隔离，防腐、防雾。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2.8插座：箱体外壳设置不少于1套防护等级IP65的防水防腐蚀电源插座，规格AC220V/10A。</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2.9穿线孔：侧壁设1个Ø100mm带硅橡胶塞及密封盖的电缆穿线孔，位置由需方确认。</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2.10安全装置：控制器（箱门）附近设1个急停按钮，箱门上方配置带蜂鸣器的三色状态指示灯。</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2.11压力平衡：箱体顶板配备压力补偿（平衡）系统，自动平衡箱内外压力，防止箱内压力过高或过低。</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防腐隔离：在盐雾、盐水喷淋及冷凝模式运行时，空气处理单元与工作室之间须设置可随试验模式自动启闭的机械隔离装置，在非温湿度循环模式时自动关闭，将换热器、电加热器、循环风机等部件与含盐潮湿空气完全隔离，避免空气处理单元内部件遭受盐雾腐蚀（投标时提供具体结构方案及机械隔离装置</w:t>
            </w:r>
            <w:r>
              <w:rPr>
                <w:rFonts w:hint="eastAsia" w:ascii="宋体" w:hAnsi="宋体" w:eastAsia="宋体" w:cs="宋体"/>
                <w:color w:val="000000"/>
                <w:sz w:val="28"/>
                <w:szCs w:val="28"/>
                <w:highlight w:val="none"/>
                <w:lang w:val="en-US" w:eastAsia="zh-CN"/>
              </w:rPr>
              <w:t xml:space="preserve">的开合</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3、系统配置要求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3.1空气调节系统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3.1.1循环方式：空气处理单元位于箱体后方，经两条风道与主箱体连接，采用上出风（靠近箱体顶部）+下回风（靠近箱体底部）强制对流</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3.1.2加热：采用SUS316L不锈钢铠装镍铬合金电加热器，配气体膨胀式（气体式）超温防止器，防止加热器局部过温；由PID算法+固态继电器（SSR）精确控制加热输出。</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3.1.3加湿：采用电加热式低压（无压）蒸汽发生器，配压力开关、安全阀、液位开关及干烧保护器。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3.1.4除湿：采用与制冷系统相连的光滑盘管冷凝除湿，盘管表面做耐盐雾电泳+喷粉防腐处理，由PID算法+高频脉冲电磁阀控制制冷剂流量，实现0～100%无级除湿调节。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3.1.5换热：采用层压式热交换器直冷设计，热交换器表面做耐盐雾电泳+喷粉双重防腐涂层，由PID算法+高频脉冲电磁阀控制制冷剂流量，实现0～100%无级制冷输出调节。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独立的冷端和热端PID调节，加热量与制冷量均可连续调节，避免制冷量与加热量对冲而造成的能源浪费。</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3.1.6配置风道隔离与自清洁功能。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3.2制冷系统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制冷方式：采用机械压缩式单级制冷系统，水冷冷凝方式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3.3盐雾喷雾、冷凝与排雾系统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3.3.1溶液储存与配制：设置容积不小于200L的溶液箱1个，带液位计及电磁阀，可自动补充去离子水；配电动搅拌器对盐溶液进行搅拌；随机提供便携式盐浓度计1只，用于测量溶液浓度；配置盐水泵向高位液罐供液。</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▲3.3.2喷雾发生与沉降量控制：采用压缩空气双流体喷嘴，工作室内布置不少于2只耐腐蚀材质喷嘴，保证盐雾在测试空间内均匀分布、沉降；投标时提供工作原理图、及</w:t>
            </w:r>
            <w:r>
              <w:rPr>
                <w:rFonts w:hint="eastAsia" w:ascii="宋体" w:hAnsi="宋体" w:eastAsia="宋体" w:cs="宋体"/>
                <w:color w:val="000000"/>
                <w:sz w:val="28"/>
                <w:szCs w:val="28"/>
                <w:highlight w:val="none"/>
                <w:lang w:val="en-US" w:eastAsia="zh-CN"/>
              </w:rPr>
              <w:t xml:space="preserve">产品实物</w:t>
            </w:r>
            <w:r>
              <w:rPr>
                <w:rFonts w:hint="eastAsia" w:ascii="宋体" w:hAnsi="宋体" w:eastAsia="宋体" w:cs="宋体"/>
                <w:color w:val="000000"/>
                <w:sz w:val="28"/>
                <w:szCs w:val="28"/>
                <w:highlight w:val="none"/>
              </w:rPr>
              <w:t xml:space="preserve">照片。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3.3.3空气饱和桶：喷雾用压缩空气须先经饱和桶加湿饱和后再进入喷嘴，以避免盐溶液在喷嘴处结晶；饱和桶配电加热器加热并在彩色触摸屏上数字设定、显示水温设定值与实测值。</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3.3.4冷凝试验加湿：冷凝及盐雾喷雾模式下空调循环风系统停止运行，由专用加湿器向箱内注入蒸汽，蒸汽喷管沿工作室内胆四周布置，以保证箱内温度均匀</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3.3.5排雾与新风系统：盐雾试验结束后，由耐腐蚀排气风机经电动排气阀门快速排出箱内盐雾，同时电动新风风门开启、从大气吸入新鲜空气补偿排气，避免开门时盐雾外溢，保护操作人员与实验室环境。</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4电气及控制系统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4.1电气柜：配置独立电气柜，内置熔断、保护、开关、控制与调节器件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4.2传感器：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温度传感器采用铠装式Pt100双探头（1只用于控制、1只用于独立超温保护）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湿度测量采用干湿球法</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液体压力传感器：1个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▲4.3人机界面：采用嵌入式工业电脑，Windows系统，13.3″及以上电容触摸屏；显示分辨率不小于1920×1080，支持10点触控；硬件配置不低于：8GB运行内存、256GBSSD固态硬盘、集成高清显卡；</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4.4控制软件：支持中/英文；温度、湿度、时间设定精度分别为0.1℃、1%RH、1分钟（压力0.1bar）；具备定值运行、程序运行两种方式及温湿度试验、盐雾试验、盐水喷淋、冷凝试验四种试验模式；可编辑不少于60个程序，每个程序不少于99步/段，单段/程序最大999次循环，程序之间可链接，支持程序预览、暂停及跳步，试验时间0-999H:M可以调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4.5高级功能：具备PID参数分区自诊断与自动整定、分段（多点）标定、强制硬件运行、锁屏保护、定时开机、操作记录等功能；报警信息附带故障排查指引</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4.6数据记录：控制器存储不少于10年试验曲线、运行记录、报警记录，支持曲线缩放/翻页、波动度与变化率计算、Excel参数导出、画面捕获及打印。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4.7.1模拟输入-分辨率：温度：0.1℃/0.1℉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4.7.2可重复性：±0.05%满量程</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4.8远程控制：支持WiFi/RJ45远程操作，配备Windows版远程控制及数据管理软件，HDMI接口支持双显。</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4.9权限管理：分操作员、管理员、生产商三级权限，凭用户名+密码登录并分配相应查询、操作及参数设定权限。</w:t>
            </w:r>
            <w:r>
              <w:rPr>
                <w:rFonts w:hint="eastAsia" w:ascii="宋体" w:hAnsi="宋体" w:eastAsia="宋体" w:cs="宋体"/>
                <w:color w:val="000000"/>
                <w:sz w:val="28"/>
                <w:szCs w:val="28"/>
                <w:highlight w:val="none"/>
              </w:rPr>
            </w:r>
            <w:r/>
          </w:p>
          <w:p>
            <w:pPr>
              <w:pStyle w:val="1503"/>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▲4.10内置智能电表监控实时功耗，数据将被集成在控制器内，要以柱状图形式显示功耗，投标时提供</w:t>
            </w:r>
            <w:r>
              <w:rPr>
                <w:rFonts w:hint="eastAsia" w:ascii="宋体" w:hAnsi="宋体" w:eastAsia="宋体" w:cs="宋体"/>
                <w:color w:val="000000"/>
                <w:sz w:val="28"/>
                <w:szCs w:val="28"/>
                <w:highlight w:val="none"/>
                <w:lang w:val="en-US" w:eastAsia="zh-CN"/>
              </w:rPr>
              <w:t xml:space="preserve">满足该功能的软件截图</w:t>
            </w:r>
            <w:r>
              <w:rPr>
                <w:rFonts w:hint="eastAsia" w:ascii="宋体" w:hAnsi="宋体" w:eastAsia="宋体" w:cs="宋体"/>
                <w:color w:val="000000"/>
                <w:sz w:val="28"/>
                <w:szCs w:val="28"/>
                <w:highlight w:val="none"/>
              </w:rPr>
              <w:t xml:space="preserve">和</w:t>
            </w:r>
            <w:r>
              <w:rPr>
                <w:rFonts w:hint="eastAsia" w:ascii="宋体" w:hAnsi="宋体" w:eastAsia="宋体" w:cs="宋体"/>
                <w:color w:val="000000"/>
                <w:sz w:val="28"/>
                <w:szCs w:val="28"/>
                <w:highlight w:val="none"/>
                <w:lang w:val="en-US" w:eastAsia="zh-CN"/>
              </w:rPr>
              <w:t xml:space="preserve">演示</w:t>
            </w:r>
            <w:r>
              <w:rPr>
                <w:rFonts w:hint="eastAsia" w:ascii="宋体" w:hAnsi="宋体" w:eastAsia="宋体" w:cs="宋体"/>
                <w:color w:val="000000"/>
                <w:sz w:val="28"/>
                <w:szCs w:val="28"/>
                <w:highlight w:val="none"/>
              </w:rPr>
              <w:t xml:space="preserve">视频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5、安全保护系统</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需具备以下全项保护功能，缺一不可：</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电源缺相/相序错乱/超压/欠压保护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软件超温（高、低温）保护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加热器气体式超温保护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蒸汽发生器、饱和桶低水位/缺水及空烧（干烧）保护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盐溶液箱、去离子水箱缺液报警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压缩空气欠压（低压）报警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盐水泵、循环水泵及循环风机、排雾风机过载保护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制冷压缩机超压/过载/过热/缺油保护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制冷系统缺制冷剂报警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制冷系统安全泄压（安全阀）保护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排雾风机与新风/排气风门联锁保护</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6、周边设施配套要求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6.1盐雾箱冷却塔由招标方提供，中标方负责相关管路的连接到设备。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6.2中标方提供与设备配套的纯水机并负责对应管路安装。</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6.3中标方提供满足喷雾要求的洁净压缩空气气源并负责管路安装。</w:t>
            </w:r>
            <w:r>
              <w:rPr>
                <w:rFonts w:hint="eastAsia" w:ascii="宋体" w:hAnsi="宋体" w:eastAsia="宋体" w:cs="宋体"/>
                <w:color w:val="000000"/>
                <w:sz w:val="28"/>
                <w:szCs w:val="28"/>
                <w:highlight w:val="none"/>
              </w:rPr>
            </w:r>
            <w:r/>
          </w:p>
        </w:tc>
      </w:tr>
    </w:tbl>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4.包4仪器设备技术及配置要求</w:t>
      </w:r>
      <w:r>
        <w:rPr>
          <w:rFonts w:hint="eastAsia" w:ascii="宋体" w:hAnsi="宋体" w:eastAsia="宋体" w:cs="宋体"/>
          <w:b/>
          <w:color w:val="000000"/>
          <w:sz w:val="28"/>
          <w:szCs w:val="28"/>
          <w:highlight w:val="none"/>
        </w:rPr>
      </w:r>
      <w:r/>
    </w:p>
    <w:tbl>
      <w:tblPr>
        <w:tblW w:w="9059"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57" w:type="dxa"/>
          <w:right w:w="57" w:type="dxa"/>
          <w:bottom w:w="57" w:type="dxa"/>
        </w:tblCellMar>
        <w:tblLook w:val="04A0" w:firstRow="1" w:lastRow="0" w:firstColumn="1" w:lastColumn="0" w:noHBand="0" w:noVBand="1"/>
      </w:tblPr>
      <w:tblGrid>
        <w:gridCol w:w="798"/>
        <w:gridCol w:w="1305"/>
        <w:gridCol w:w="6956"/>
      </w:tblGrid>
      <w:tr>
        <w:trPr/>
        <w:tc>
          <w:tcPr>
            <w:tcMar>
              <w:left w:w="57" w:type="dxa"/>
              <w:top w:w="57" w:type="dxa"/>
              <w:right w:w="57" w:type="dxa"/>
              <w:bottom w:w="57" w:type="dxa"/>
            </w:tcMar>
            <w:tcW w:w="798"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序号</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1305" w:type="dxa"/>
            <w:vAlign w:val="top"/>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仪器名称</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56" w:type="dxa"/>
            <w:vAlign w:val="top"/>
            <w:textDirection w:val="lrTb"/>
            <w:noWrap/>
          </w:tcPr>
          <w:p>
            <w:pPr>
              <w:pStyle w:val="1503"/>
              <w:jc w:val="center"/>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技术要求</w:t>
            </w:r>
            <w:r>
              <w:rPr>
                <w:rFonts w:hint="eastAsia" w:ascii="宋体" w:hAnsi="宋体" w:eastAsia="宋体" w:cs="宋体"/>
                <w:b/>
                <w:color w:val="000000"/>
                <w:sz w:val="28"/>
                <w:szCs w:val="28"/>
                <w:highlight w:val="none"/>
              </w:rPr>
            </w:r>
            <w:r/>
          </w:p>
        </w:tc>
      </w:tr>
      <w:tr>
        <w:trPr/>
        <w:tc>
          <w:tcPr>
            <w:tcMar>
              <w:left w:w="57" w:type="dxa"/>
              <w:top w:w="57" w:type="dxa"/>
              <w:right w:w="57" w:type="dxa"/>
              <w:bottom w:w="57" w:type="dxa"/>
            </w:tcMar>
            <w:tcW w:w="798"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tcPr>
          <w:p>
            <w:pPr>
              <w:pStyle w:val="1503"/>
              <w:jc w:val="left"/>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b/>
                <w:color w:val="000000"/>
                <w:sz w:val="28"/>
                <w:szCs w:val="28"/>
                <w:highlight w:val="none"/>
              </w:rPr>
            </w:r>
            <w:r/>
          </w:p>
        </w:tc>
        <w:tc>
          <w:tcPr>
            <w:tcMar>
              <w:left w:w="57" w:type="dxa"/>
              <w:top w:w="57" w:type="dxa"/>
              <w:right w:w="57" w:type="dxa"/>
              <w:bottom w:w="57" w:type="dxa"/>
            </w:tcMar>
            <w:tcW w:w="6956"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1.主要参数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▲1.1测量范围：不小于1000×800×200mm，机械主体：平台、立柱需为花岗岩大理石结构。</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▲1.2运动控制系统：4轴CNC全自动控制模式：X、Y、Z、镜头四个轴向方向上皆可实现全自动控制，镜头轴自动变倍后无需重新校正，四轴均可进入自动编程进行批量测量。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▲1.3数控成像系统：镜头自动变焦无需校正，6.5:1可变倍，24寸显示器下系统总放大倍率为25～225X</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▲1.4光源系统：具备三种光源：表面光、轮廓光、同轴光，均需256级亮度可调LED冷光源，其中表面光源需为6环8区48段独立可控环形光。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▲1.5全自动影像测量软件系统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2.技术性能要求：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▲2.1基本参数：测量范围：不小于1000×800×200mm，精度：XY轴：(3.0+L/200)μm（L为被测工件长度，单位mm），Z轴示值误差≤(4.0+L/150)μm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2.2软件必备功能：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▲2.2.1测量软件是支持Window11操作系统下的正版软件。</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具备3种批量测量功能模式：a.固定夹具位置模式、b.随机位置模式、c.网格位置模式。要求可使用a模式实现单个工件固定位置的自动测量；使用b模式实现单个工件随机位置的自动测量；使用c模式实现多个工件规则分布时一次性快速批量测量。并在自动测量过程中可支持自动和手工交互操作。</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▲2.2.3平面度测量功能模块：单独的一项功能模块，可快速的对工件表面进行平面度测量。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▲2.2.4聚焦测高功能：可通过自动聚焦方式进行高度测量，并可进入全自动批量测量。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▲2.2.5具备以下影像量测工具：整体提取、快速整体提取、多段提取、自动轮廓提取、最大闭合轮廓线、最近闭合轮廓线、绘图点、最近边缘点、聚焦点、圆形框取点、最佳边缘点。</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2.3软件基本功能</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▲2.3.1可测几何量：点、线、圆、弧、样条曲线、椭圆、槽、环、距离、点群等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▲2.3.2可构建：中心点、端点、交点、两点连线、平行线、垂线、切线、中心线、合并线、合并圆、合并弧等</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▲2.3.3可测形位公差：直线度、圆度、位置度、平行度、垂直度、倾斜度、同心度等</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▲2.3.4可满足多种基元提取方式：要求具备至少三种的提取功能，方便对重复基元的快速测量，三种方式：复制提取、旋转提取、镜像提取。</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▲2.3.5全景扫描：对工件全貌进行高分辨率的观察。通过软件指定扫描区域范围，软件依次扫描各个部分，然后获得指定区域的工件整体扫描影像。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▲2.3.6图纸比对：支持将标准工件图纸与测量图纸进行比对分析。</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▲2.3.7SPC统计：对测量结果进行SPC统计分析，并可输出数字、图文报表。</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▲2.3.8CAD图纸导入：支持多种CAD格式图纸的输入，直接进行编程自动测量。</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▲2.3.9多种报表输出：可输出Word、Excel、HTML、TXT报表和DXF文件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3.核心元器件要求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▲3.1光栅尺：光栅尺分辨率不得低于0.5μm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strike/>
                <w:color w:val="000000"/>
                <w:sz w:val="28"/>
                <w:szCs w:val="28"/>
                <w:highlight w:val="none"/>
              </w:rPr>
            </w:pPr>
            <w:r>
              <w:rPr>
                <w:rFonts w:hint="eastAsia" w:ascii="宋体" w:hAnsi="宋体" w:eastAsia="宋体" w:cs="宋体"/>
                <w:color w:val="000000"/>
                <w:sz w:val="28"/>
                <w:szCs w:val="28"/>
                <w:highlight w:val="none"/>
              </w:rPr>
              <w:t xml:space="preserve">▲3.2CCD：230万像素</w:t>
            </w:r>
            <w:r>
              <w:rPr>
                <w:rFonts w:hint="eastAsia" w:ascii="宋体" w:hAnsi="宋体" w:eastAsia="宋体" w:cs="宋体"/>
                <w:color w:val="000000"/>
                <w:sz w:val="28"/>
                <w:szCs w:val="28"/>
                <w:highlight w:val="none"/>
              </w:rPr>
              <w:t xml:space="preserve">。</w:t>
            </w:r>
            <w:r>
              <w:rPr>
                <w:rFonts w:hint="eastAsia" w:ascii="宋体" w:hAnsi="宋体" w:eastAsia="宋体" w:cs="宋体"/>
                <w:strike/>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▲3.3影像放大倍数：25-225X（24寸显示器下）</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▲3.4镜头：自动变倍镜头，变焦倍率：0.6～5.0X</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Start w:id="233" w:name="OLE_LINK62"/>
            <w:r/>
            <w:bookmarkStart w:id="234" w:name="OLE_LINK60"/>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bookmarkEnd w:id="233"/>
            <w:r/>
            <w:bookmarkEnd w:id="234"/>
            <w:r>
              <w:rPr>
                <w:rFonts w:hint="eastAsia" w:ascii="宋体" w:hAnsi="宋体" w:eastAsia="宋体" w:cs="宋体"/>
                <w:color w:val="000000"/>
                <w:sz w:val="28"/>
                <w:szCs w:val="28"/>
                <w:highlight w:val="none"/>
              </w:rPr>
              <w:t xml:space="preserve">▲3.5设备底座及横梁采用精密天然花岗岩，精度达0级标准。</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▲3.6光学玻璃采用高清超白玻璃，平面度需达到0.1mm.</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▲3.7设备XY轴需采用直线电机</w:t>
            </w:r>
            <w:r>
              <w:rPr>
                <w:rFonts w:hint="eastAsia" w:ascii="宋体" w:hAnsi="宋体" w:eastAsia="宋体" w:cs="宋体"/>
                <w:color w:val="000000"/>
                <w:sz w:val="28"/>
                <w:szCs w:val="28"/>
                <w:highlight w:val="none"/>
                <w:lang w:eastAsia="zh-CN"/>
              </w:rPr>
              <w:t xml:space="preserve">驱动</w:t>
            </w:r>
            <w:r>
              <w:rPr>
                <w:rFonts w:hint="eastAsia" w:ascii="宋体" w:hAnsi="宋体" w:eastAsia="宋体" w:cs="宋体"/>
                <w:color w:val="000000"/>
                <w:sz w:val="28"/>
                <w:szCs w:val="28"/>
                <w:highlight w:val="none"/>
              </w:rPr>
              <w:t xml:space="preserve">，运行噪音低于45dB。</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Z轴采用进口伺服电机+丝杆传动结构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▲3.8设备所配电脑</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4.1机身（含彩色工业摄像机）、工作台1套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4.2CCD1个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4.3镜头1个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4.4光栅尺3套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4.5直线电机2套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4.6丝杆1套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4.7导轨3套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4.8限位开关6个</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4.9软件（加密锁）1套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4.10运动控制器1套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4.11光学玻璃1块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4.12摇杆1套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4.13电脑1套</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r>
        <w:trPr/>
        <w:tc>
          <w:tcPr>
            <w:tcMar>
              <w:left w:w="57" w:type="dxa"/>
              <w:top w:w="57" w:type="dxa"/>
              <w:right w:w="57" w:type="dxa"/>
              <w:bottom w:w="57" w:type="dxa"/>
            </w:tcMar>
            <w:tcW w:w="798"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1305" w:type="dxa"/>
            <w:vAlign w:val="center"/>
            <w:textDirection w:val="lrTb"/>
            <w:noWrap/>
          </w:tcPr>
          <w:p>
            <w:pPr>
              <w:pStyle w:val="1503"/>
              <w:jc w:val="left"/>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6956" w:type="dxa"/>
            <w:vAlign w:val="top"/>
            <w:textDirection w:val="lrTb"/>
            <w:noWrap/>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一、主要技术规格及要求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1.主要技术指标</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▲1.1.测量行程：不低于150*100mm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▲1.2.调焦行程：90mm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▲1.3.光栅分辨率：0.5μm（0.0005mm），XY轴测量示值误差≤(3.0+L/200)μm（L为被测长度，单位mm）</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▲1.4.投影放大倍数10X。</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▲1.5.配合多功能数据处理系统。</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1.6电源Power：200～240Vac，50/60Hz，单相single-phase，700W</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2.1投影仪机身1件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2.210X光学镜头1件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2.3光学玻璃1件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2.4数据采集盒1件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2.5光栅尺1件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2.6保险丝2件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2.7工作桌1件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2.8反射棱镜1件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2.9其它按厂家出厂标准配备。</w:t>
            </w:r>
            <w:r>
              <w:rPr>
                <w:rFonts w:hint="eastAsia" w:ascii="宋体" w:hAnsi="宋体" w:eastAsia="宋体" w:cs="宋体"/>
                <w:color w:val="000000"/>
                <w:sz w:val="28"/>
                <w:szCs w:val="28"/>
                <w:highlight w:val="none"/>
              </w:rPr>
            </w:r>
            <w:r/>
          </w:p>
        </w:tc>
      </w:tr>
    </w:tbl>
    <w:p>
      <w:pPr>
        <w:pStyle w:val="1503"/>
        <w:ind w:firstLine="562"/>
        <w:spacing w:line="460" w:lineRule="exact"/>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注：上述</w:t>
      </w:r>
      <w:r>
        <w:rPr>
          <w:rFonts w:hint="eastAsia" w:ascii="宋体" w:hAnsi="宋体" w:eastAsia="宋体" w:cs="宋体"/>
          <w:b/>
          <w:bCs/>
          <w:color w:val="000000"/>
          <w:sz w:val="28"/>
          <w:szCs w:val="28"/>
          <w:highlight w:val="none"/>
          <w:lang w:eastAsia="zh-CN"/>
        </w:rPr>
        <w:t xml:space="preserve">四个采购包技术要求中</w:t>
      </w:r>
      <w:r>
        <w:rPr>
          <w:rFonts w:hint="eastAsia" w:ascii="宋体" w:hAnsi="宋体" w:eastAsia="宋体" w:cs="宋体"/>
          <w:b/>
          <w:bCs/>
          <w:color w:val="000000"/>
          <w:sz w:val="28"/>
          <w:szCs w:val="28"/>
          <w:highlight w:val="none"/>
        </w:rPr>
        <w:t xml:space="preserve">标注“★”的参数必须完全满足，未完全满足作无效投标处理。</w:t>
      </w:r>
      <w:r>
        <w:rPr>
          <w:rFonts w:hint="eastAsia" w:ascii="宋体" w:hAnsi="宋体" w:eastAsia="宋体" w:cs="宋体"/>
          <w:b/>
          <w:bCs/>
          <w:color w:val="000000"/>
          <w:sz w:val="28"/>
          <w:szCs w:val="28"/>
          <w:highlight w:val="none"/>
        </w:rPr>
      </w:r>
      <w:r/>
    </w:p>
    <w:p>
      <w:pPr>
        <w:pStyle w:val="1503"/>
        <w:ind w:firstLine="562"/>
        <w:spacing w:line="460" w:lineRule="exact"/>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五、商务部分</w:t>
      </w:r>
      <w:r>
        <w:rPr>
          <w:rFonts w:hint="eastAsia" w:ascii="宋体" w:hAnsi="宋体" w:eastAsia="宋体" w:cs="宋体"/>
          <w:b/>
          <w:bCs/>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1.参数偏离表承诺函：</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投标人需出具参数偏离表的盖章承诺函（格式自拟）。</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1.1承诺其提交的相关材料真实有效，承诺每项参数都可作为验收的依据，参数验收时如果不能符合标书要求，应按投标价的30%作为对业主的赔偿，仪器退回，合同作废。并承担虚假应标的相关责任。</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1.2承诺其投标产品为原厂家生产的全新产品，非代工产品或翻新产品，厂家负责保修，保证仪器使用的稳定性。</w:t>
      </w:r>
      <w:r>
        <w:rPr>
          <w:rFonts w:hint="eastAsia" w:ascii="宋体" w:hAnsi="宋体" w:eastAsia="宋体" w:cs="宋体"/>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2.交货期：</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自合同签定之日起合同签订后45天内供货到位，货到后30天内完成安装调试。</w:t>
      </w:r>
      <w:r>
        <w:rPr>
          <w:rFonts w:hint="eastAsia" w:ascii="宋体" w:hAnsi="宋体" w:eastAsia="宋体" w:cs="宋体"/>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3.交货条件：</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3.1产品交货时，包装须完整无破损，供方还需提供装箱单、产品质检合格证明。</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3.2运输及到货：由供方负责办理运输及装卸，直接送至需方安装指定地点，所有费用由供方承担。</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3.3货物到达需方地址至验收合格期间，由供方负责保管，若因保管不当造成的质量问题，供方应负责修理，同时有关费用由供方承担。</w:t>
      </w:r>
      <w:r>
        <w:rPr>
          <w:rFonts w:hint="eastAsia" w:ascii="宋体" w:hAnsi="宋体" w:eastAsia="宋体" w:cs="宋体"/>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4.验收标准：</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4.1供方提供的商品必须满足标书中所列全部规格、型号、具体配置、技术条件及功能要求和供方承诺的其它指标。</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4.2设备随机耗材（试剂）要求：报价供应商应列明能确保设备正常使用的，所需耗材（试剂）及维修配件的清单及价格（格式可自拟）；未列其中的，视为免费维保范围之材料。</w:t>
      </w:r>
      <w:r>
        <w:rPr>
          <w:rFonts w:hint="eastAsia" w:ascii="宋体" w:hAnsi="宋体" w:eastAsia="宋体" w:cs="宋体"/>
          <w:color w:val="000000"/>
          <w:sz w:val="28"/>
          <w:szCs w:val="28"/>
          <w:highlight w:val="none"/>
        </w:rPr>
      </w:r>
      <w:r/>
    </w:p>
    <w:p>
      <w:pPr>
        <w:pStyle w:val="1503"/>
        <w:ind w:firstLine="562"/>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5.安装与调试</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5.1在接到采购人通知安装、调试后1周内,供方需安排工程技术人员到采购人现场安装、调试仪器,按验收指标逐项测试,直至达到验收要求。</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5.2供方负责本次采购设备的免费安装、调试(安装、调试过程所需耗品应由供方免费提供)，保证培训人员能正常操作该设备的各种功能。供方提供设备操作规范张贴设备上，提供设备操作规范电子档交于采购人。</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5.3设备安装调试须在采购人书面通知安装、调试后30天内完成。</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5.4中标单位应遵守现场的一切规章制度，应自行负责现场的安全管理，安全、文明安装和调试。负责保管、看护进场的设备及附配件。承担安装调试期间安装场所的安全以及设备和安装调试人员的安全责任。</w:t>
      </w:r>
      <w:r>
        <w:rPr>
          <w:rFonts w:hint="eastAsia" w:ascii="宋体" w:hAnsi="宋体" w:eastAsia="宋体" w:cs="宋体"/>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6.培训与方法支持：</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bookmarkStart w:id="235" w:name="_Hlk46925359"/>
      <w:r>
        <w:rPr>
          <w:rFonts w:hint="eastAsia" w:ascii="宋体" w:hAnsi="宋体" w:eastAsia="宋体" w:cs="宋体"/>
          <w:color w:val="000000"/>
          <w:sz w:val="28"/>
          <w:szCs w:val="28"/>
          <w:highlight w:val="none"/>
        </w:rPr>
        <w:t xml:space="preserve">6.1免费提供软件操作现场培训和应用培训。免费提供不少于2人次/套（台）操作人员前往生产商在实验室进行相关软硬件的操作培训，内容包括仪器的基本原理、操作应用及仪器的维护保养知识，直到用户能正常使用和维护仪器。</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6.2仪器设备安装后，需长期提供技术支持和维修服务，包括软件的免费升级、为采购人提供需要的方法开发及应用资料。保修期内应用工程师每年免费上门进行方法开发及技术支持1次。</w:t>
      </w:r>
      <w:bookmarkEnd w:id="235"/>
      <w:r>
        <w:rPr>
          <w:rFonts w:hint="eastAsia" w:ascii="宋体" w:hAnsi="宋体" w:eastAsia="宋体" w:cs="宋体"/>
          <w:b/>
          <w:bCs/>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7.维修保证：</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设备生产厂家免费保修期≥2年（验收合格之日起开始计算），质保期内每年提供一次原厂技术维护。供应商中标后签订合同前提供生产厂家出具免费维保证明原件，不能提供或未按要求提供的采购人有权拒签合同。</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7.2质保期内，由于产品本身在设计、制造、零部件或配件上的缺陷或质量问题而造成的故障，中标单位负责无条件免费维修或免费更换。质保期外根据采购人需要提供原厂保养和维修服务，优惠收取保养更换的配件费、人工费及其他费用。中标单位需长期提供优惠价格的主要零配件</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7.3仪器出现故障后，在收到采购人通知后2小时响应，12小时内到达现场。</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7.4设备使用年限内（本次所投产品的年限为10年），供应商中标后签订合同前提供生产厂家承诺保证配件、耗材供应的承诺函原件，不能提供或未按要求提供的采购人有权拒签合同。</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7.5需提供设备合格证、保修卡以及中文操作、培训教材、保养、维修手册。</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8.各采购包售后服务专用条款</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8.1采购包1售后服务专用补充条款</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故障响应：供应商须提供终身售后服务承诺，明确售后服务方式与服务能力；设备故障2小时内响应；若设备故障在检修48工作小时后仍无法排除，供应商应免费提供不低于故障设备或零配件规格型号档次的备用件供采购方使用，直至故障完全修复。</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②专项培训：提供员工专项培训，培训内容包含：设备测试原理、使用方法、设备日常维护保养、常见故障排除等内容。</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8.2采购包2售后服务专用补充条款</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①保修期：仪器标准保修不少于二年。</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②培训计划：除提供安装调试后的使用及维护培训外，承诺自设备经采购人最终验收合格后三年内再提供不少于3次工程师免费上门培训、答疑，每次服务时间不少于4h。</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8.3采购包4售后服务专用补充条款</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①保修期：仪器标准保修不少于二年。</w:t>
      </w:r>
      <w:r>
        <w:rPr>
          <w:rFonts w:hint="eastAsia" w:ascii="宋体" w:hAnsi="宋体" w:eastAsia="宋体" w:cs="宋体"/>
          <w:color w:val="000000"/>
          <w:sz w:val="28"/>
          <w:szCs w:val="28"/>
          <w:highlight w:val="none"/>
        </w:rPr>
      </w:r>
      <w:r/>
    </w:p>
    <w:p>
      <w:pPr>
        <w:pStyle w:val="1503"/>
        <w:numPr>
          <w:ilvl w:val="0"/>
          <w:numId w:val="0"/>
        </w:numPr>
        <w:ind w:firstLine="560"/>
        <w:jc w:val="left"/>
        <w:spacing w:beforeAutospacing="0" w:afterAutospacing="0" w:line="460" w:lineRule="exact"/>
        <w:widowControl/>
        <w:tabs>
          <w:tab w:val="left" w:pos="72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②培训计划：除提供安装调试后的使用及维护培训外，承诺自设备经采购人最终验收合格后三年内再提供不少于3次免费上门培训、答疑，每次服务时间不少于4h。</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③验收标准：技术指标、配置和精度均应满足技术协议、相关标准、招标文件和投标文件的要求。验收依据JJF1318</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2011《影像测量仪校准规范》执行，由采购方委托有资质的计量部门针对待交货设备出具校准或检定证书；技术指标经校准满足技术协议规定的要求方可通过验收，否则不能通过验收。</w:t>
      </w:r>
      <w:r>
        <w:rPr>
          <w:rFonts w:hint="eastAsia" w:ascii="宋体" w:hAnsi="宋体" w:eastAsia="宋体" w:cs="宋体"/>
          <w:b/>
          <w:bCs/>
          <w:color w:val="000000"/>
          <w:sz w:val="28"/>
          <w:szCs w:val="28"/>
          <w:highlight w:val="none"/>
        </w:rPr>
      </w:r>
      <w:r/>
    </w:p>
    <w:p>
      <w:pPr>
        <w:pStyle w:val="1503"/>
        <w:ind w:firstLine="562"/>
        <w:jc w:val="left"/>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9.付款方式：</w:t>
      </w:r>
      <w:r>
        <w:rPr>
          <w:rFonts w:hint="eastAsia" w:ascii="宋体" w:hAnsi="宋体" w:eastAsia="宋体" w:cs="宋体"/>
          <w:b/>
          <w:bCs/>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不响应付款方式的，视同无效投标处理。</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合同签订支付预付款30%，货到后支付40%货款，安装、调试、验收合格之后支付30%货款。</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10.本次采购需切实履行绿色采购。</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10.1商品包装环保要求：应当按《关于印发〈商品包装政府采购需求标准（试行）〉、〈快递包装政府采购需求标准（试行）〉的通知》（财办库〔2020〕123号）文件执行。</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（1）商品包装层数不得超过3层，空隙率不大于40%；</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（3）商品包装中铅、汞、镉、六价铬的总含量应不大于100mg/kg；</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（4）商品包装印刷使用的油墨中挥发性有机化合物(VOCs)含量应不大于5%（以重量计）；</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（5）塑料材质商品包装上呈现的印刷颜色不得超过6色；</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（6）纸质商品包装应使用75%以上的可再生纤维原料生产；</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（7）木质商品包装的原料应来源于可持续性森林。</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10.2快递包装环保要求：</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（1）快递包装中重金属（铅、汞、镉、六价铬）总量应不大于100mg/kg；</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（3）快递包装中使用纸基材的包装材料，纸基材中的有机氯的含量应不大于150mg/kg；</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（6）快递中使用的充气类填充物不得使用聚氯乙烯作为原料，且原料为单一材质制成，生物分解率大于60%；</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（7）快递中使用的集装袋应为单一材质制成，其重复使用次数应不小于80次；</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（8）快递中应使用幅宽不大于45mm的生物降解胶带；</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（9）快递包装中不得使用溶剂型胶粘剂；</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（11）快递应使用电子面单；</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（12）直接使用商品包装作为快递包装的商品，其商品包装满足《商品包装政府采购需求标准（试行）》即可；</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（13）快递包装产品质量和封装方式应符合相关国家或行业标准技术指标要求。</w:t>
      </w:r>
      <w:r>
        <w:rPr>
          <w:rFonts w:hint="eastAsia" w:ascii="宋体" w:hAnsi="宋体" w:eastAsia="宋体" w:cs="宋体"/>
          <w:b/>
          <w:bCs/>
          <w:color w:val="000000"/>
          <w:sz w:val="28"/>
          <w:szCs w:val="28"/>
          <w:highlight w:val="none"/>
        </w:rPr>
      </w:r>
      <w:r/>
    </w:p>
    <w:p>
      <w:pPr>
        <w:pStyle w:val="1503"/>
        <w:ind w:firstLine="562"/>
        <w:spacing w:line="460" w:lineRule="exact"/>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11.履约保证金</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本项目中标后的履约保证金为项目中标价的10%，中标人的履约保证金须在中标通知书发出之日起至合同签订前汇入采购人账户（应当以数字人民币、支票、汇票或者金融机构、担保机构出具的保函等非现金形式提交），中标人凭中标通知书与采购人签订合同。超期或未有协商，则视为自动放弃中标资格。</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中标人全部履约合同义务，经采购人验收合格无质量、进度等问题的，采购人在本项目验收合格并正常运行后30日内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4"/>
      </w:pPr>
      <w:r>
        <w:rPr>
          <w:rFonts w:hint="eastAsia" w:ascii="宋体" w:hAnsi="宋体" w:eastAsia="宋体" w:cs="宋体"/>
          <w:color w:val="000000"/>
          <w:sz w:val="28"/>
          <w:szCs w:val="28"/>
          <w:highlight w:val="none"/>
        </w:rPr>
        <w:t xml:space="preserve">11.3发生以下情况的，履约保证金不予退还或部分退还：</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a.签订合同后，中标人不履行合同义务的，采购人有权全额扣除履约保证金，全额不予退还，同时采购人亦有权终止合同，中标人还须承担相应的法律赔偿责任。</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b.中标人在履约过程中发生违约行为，给采购人造成损失的，采购人有权在中标人缴纳的履约保证金中予以扣款，以弥补采购人经济损失，不足的部分中标人另外补齐。</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11.4以履约保函（保险）形式向采购人缴纳的，按照《关于在全省政府采购领域推行电子履约保函（保险）的通知》，登录江苏政府采购网，选择“保险保函”模块，进行相关操作。投标人可登陆江苏政府采购网“资料下载”栏目下载“政府采购电子履约（保函）保险操作手册（网址：http://www.ccgp-jiangsu.gov.cn/jiangsu/paying.html)。</w:t>
      </w:r>
      <w:r>
        <w:rPr>
          <w:rFonts w:hint="eastAsia" w:ascii="宋体" w:hAnsi="宋体" w:eastAsia="宋体" w:cs="宋体"/>
          <w:color w:val="000000"/>
          <w:highlight w:val="none"/>
        </w:rPr>
      </w:r>
      <w:r/>
    </w:p>
    <w:p>
      <w:pPr>
        <w:pStyle w:val="1503"/>
        <w:ind w:firstLine="562"/>
        <w:spacing w:line="460" w:lineRule="exact"/>
        <w:tabs>
          <w:tab w:val="left" w:pos="420" w:leader="none"/>
        </w:tabs>
        <w:rPr>
          <w:rFonts w:hint="eastAsia" w:ascii="宋体" w:hAnsi="宋体" w:eastAsia="宋体" w:cs="宋体"/>
          <w:b/>
          <w:bCs/>
          <w:i/>
          <w:iCs/>
          <w:color w:val="000000"/>
          <w:sz w:val="28"/>
          <w:szCs w:val="28"/>
          <w:highlight w:val="none"/>
          <w:u w:val="single"/>
        </w:rPr>
      </w:pPr>
      <w:r>
        <w:rPr>
          <w:rFonts w:hint="eastAsia" w:ascii="宋体" w:hAnsi="宋体" w:eastAsia="宋体" w:cs="宋体"/>
          <w:b/>
          <w:bCs/>
          <w:i/>
          <w:iCs/>
          <w:color w:val="000000"/>
          <w:sz w:val="28"/>
          <w:szCs w:val="28"/>
          <w:highlight w:val="none"/>
          <w:u w:val="single"/>
        </w:rPr>
        <w:t xml:space="preserve">六、采购需求中必须满足的实质性要求</w:t>
      </w:r>
      <w:r>
        <w:rPr>
          <w:rFonts w:hint="eastAsia" w:ascii="宋体" w:hAnsi="宋体" w:eastAsia="宋体" w:cs="宋体"/>
          <w:b/>
          <w:bCs/>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（一）技术部分</w:t>
      </w:r>
      <w:r>
        <w:rPr>
          <w:rFonts w:hint="eastAsia" w:ascii="宋体" w:hAnsi="宋体" w:eastAsia="宋体" w:cs="宋体"/>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lang w:eastAsia="zh-CN"/>
        </w:rPr>
      </w:pPr>
      <w:r>
        <w:rPr>
          <w:rFonts w:hint="eastAsia" w:ascii="宋体" w:hAnsi="宋体" w:eastAsia="宋体" w:cs="宋体"/>
          <w:i/>
          <w:iCs/>
          <w:color w:val="000000"/>
          <w:sz w:val="28"/>
          <w:szCs w:val="28"/>
          <w:highlight w:val="none"/>
          <w:u w:val="single"/>
        </w:rPr>
        <w:t xml:space="preserve">1.技术参数标★项为实质性条款，投标人不得出现负偏离，否则作无效投标处理，提供实质性要求响应及偏离表（格式见</w:t>
      </w:r>
      <w:r>
        <w:rPr>
          <w:rFonts w:hint="eastAsia" w:ascii="宋体" w:hAnsi="宋体" w:eastAsia="宋体" w:cs="宋体"/>
          <w:i/>
          <w:iCs/>
          <w:color w:val="000000"/>
          <w:sz w:val="28"/>
          <w:szCs w:val="28"/>
          <w:highlight w:val="none"/>
          <w:u w:val="single"/>
          <w:lang w:eastAsia="zh-CN"/>
        </w:rPr>
        <w:t xml:space="preserve">附件12</w:t>
      </w:r>
      <w:r>
        <w:rPr>
          <w:rFonts w:hint="eastAsia" w:ascii="宋体" w:hAnsi="宋体" w:eastAsia="宋体" w:cs="宋体"/>
          <w:i/>
          <w:iCs/>
          <w:color w:val="000000"/>
          <w:sz w:val="28"/>
          <w:szCs w:val="28"/>
          <w:highlight w:val="none"/>
          <w:u w:val="single"/>
        </w:rPr>
        <w:t xml:space="preserve">）</w:t>
      </w:r>
      <w:r>
        <w:rPr>
          <w:rFonts w:hint="eastAsia" w:ascii="宋体" w:hAnsi="宋体" w:eastAsia="宋体" w:cs="宋体"/>
          <w:i/>
          <w:iCs/>
          <w:color w:val="000000"/>
          <w:sz w:val="28"/>
          <w:szCs w:val="28"/>
          <w:highlight w:val="none"/>
          <w:u w:val="single"/>
          <w:lang w:eastAsia="zh-CN"/>
        </w:rPr>
        <w:t xml:space="preserve">及按要求提供佐证材料。</w:t>
      </w:r>
      <w:r>
        <w:rPr>
          <w:rFonts w:hint="eastAsia" w:ascii="宋体" w:hAnsi="宋体" w:eastAsia="宋体" w:cs="宋体"/>
          <w:i/>
          <w:iCs/>
          <w:color w:val="000000"/>
          <w:sz w:val="28"/>
          <w:szCs w:val="28"/>
          <w:highlight w:val="none"/>
          <w:u w:val="single"/>
          <w:lang w:eastAsia="zh-CN"/>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（二）商务部分</w:t>
      </w:r>
      <w:r>
        <w:rPr>
          <w:rFonts w:hint="eastAsia" w:ascii="宋体" w:hAnsi="宋体" w:eastAsia="宋体" w:cs="宋体"/>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1.参数偏离表承诺函：</w:t>
      </w:r>
      <w:r>
        <w:rPr>
          <w:rFonts w:hint="eastAsia" w:ascii="宋体" w:hAnsi="宋体" w:eastAsia="宋体" w:cs="宋体"/>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投标人需出具参数偏离表的盖章承诺函（格式自拟）。</w:t>
      </w:r>
      <w:r>
        <w:rPr>
          <w:rFonts w:hint="eastAsia" w:ascii="宋体" w:hAnsi="宋体" w:eastAsia="宋体" w:cs="宋体"/>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1.1承诺其提交的相关材料真实有效，承诺每项参数都可作为验收的依据，参数验收时如果不能符合标书要求，应按投标价的30%作为对业主的赔偿，仪器退回，合同作废。并承担虚假应标的相关责任。</w:t>
      </w:r>
      <w:r>
        <w:rPr>
          <w:rFonts w:hint="eastAsia" w:ascii="宋体" w:hAnsi="宋体" w:eastAsia="宋体" w:cs="宋体"/>
          <w:i/>
          <w:iCs/>
          <w:color w:val="000000"/>
          <w:sz w:val="28"/>
          <w:szCs w:val="28"/>
          <w:highlight w:val="none"/>
          <w:u w:val="single"/>
        </w:rPr>
      </w:r>
      <w:r/>
    </w:p>
    <w:p>
      <w:pPr>
        <w:pStyle w:val="1503"/>
        <w:ind w:firstLine="560"/>
        <w:jc w:val="left"/>
        <w:spacing w:line="460" w:lineRule="exact"/>
        <w:rPr>
          <w:rFonts w:hint="eastAsia" w:ascii="宋体" w:hAnsi="宋体" w:eastAsia="宋体" w:cs="宋体"/>
          <w:i/>
          <w:iCs/>
          <w:color w:val="000000"/>
          <w:sz w:val="28"/>
          <w:szCs w:val="28"/>
          <w:highlight w:val="none"/>
          <w:u w:val="single"/>
        </w:rPr>
      </w:pPr>
      <w:r>
        <w:rPr>
          <w:rFonts w:hint="eastAsia" w:ascii="宋体" w:hAnsi="宋体" w:eastAsia="宋体" w:cs="宋体"/>
          <w:i/>
          <w:iCs/>
          <w:color w:val="000000"/>
          <w:sz w:val="28"/>
          <w:szCs w:val="28"/>
          <w:highlight w:val="none"/>
          <w:u w:val="single"/>
        </w:rPr>
        <w:t xml:space="preserve">1.2承诺其投标产品为原厂家生产的全新产品，非代工产品或翻新产品，厂家负责保修，保证仪器使用的稳定性。</w:t>
      </w:r>
      <w:r>
        <w:rPr>
          <w:rFonts w:hint="eastAsia" w:ascii="宋体" w:hAnsi="宋体" w:eastAsia="宋体" w:cs="宋体"/>
          <w:i/>
          <w:iCs/>
          <w:color w:val="000000"/>
          <w:sz w:val="28"/>
          <w:szCs w:val="28"/>
          <w:highlight w:val="none"/>
          <w:u w:val="single"/>
        </w:rPr>
      </w:r>
      <w:r/>
    </w:p>
    <w:p>
      <w:pPr>
        <w:pStyle w:val="1503"/>
        <w:ind w:firstLine="562"/>
        <w:jc w:val="left"/>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i/>
          <w:iCs/>
          <w:color w:val="000000"/>
          <w:sz w:val="28"/>
          <w:szCs w:val="28"/>
          <w:highlight w:val="none"/>
          <w:u w:val="single"/>
        </w:rPr>
        <w:t xml:space="preserve">以上内容提供承诺函，不提供的或提供不满足要求的按无效标处理，承诺书格式如下：</w:t>
      </w: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503"/>
        <w:jc w:val="center"/>
        <w:spacing w:line="52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32"/>
          <w:szCs w:val="32"/>
          <w:highlight w:val="none"/>
        </w:rPr>
        <w:t xml:space="preserve">承诺书</w:t>
      </w:r>
      <w:r>
        <w:rPr>
          <w:rFonts w:hint="eastAsia" w:ascii="宋体" w:hAnsi="宋体" w:eastAsia="宋体" w:cs="宋体"/>
          <w:color w:val="000000"/>
          <w:sz w:val="28"/>
          <w:szCs w:val="28"/>
          <w:highlight w:val="none"/>
        </w:rPr>
      </w:r>
      <w:r/>
    </w:p>
    <w:p>
      <w:pPr>
        <w:pStyle w:val="1503"/>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南通市产品质量监督检验所</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我公司愿就由贵单位组织实施的</w:t>
      </w:r>
      <w:r>
        <w:rPr>
          <w:rFonts w:hint="eastAsia" w:ascii="宋体" w:hAnsi="宋体" w:eastAsia="宋体" w:cs="宋体"/>
          <w:bCs/>
          <w:color w:val="000000"/>
          <w:sz w:val="28"/>
          <w:szCs w:val="28"/>
          <w:highlight w:val="none"/>
          <w:u w:val="single"/>
        </w:rPr>
        <w:t xml:space="preserve">（南通市产品质量监督检验所重点工业产品检验检测设备更新项目（第一批）)</w:t>
      </w:r>
      <w:r>
        <w:rPr>
          <w:rFonts w:hint="eastAsia" w:ascii="宋体" w:hAnsi="宋体" w:eastAsia="宋体" w:cs="宋体"/>
          <w:bCs/>
          <w:color w:val="000000"/>
          <w:sz w:val="28"/>
          <w:szCs w:val="28"/>
          <w:highlight w:val="none"/>
        </w:rPr>
        <w:t xml:space="preserve">招标活动进行响应，我公司作如下承诺：</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如我公司中标，我公司承诺：</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（1）提交的相关材料真实有效，承诺每项参数都可作为验收的依据，参数验收时如果不能符合标书要求，应按投标价的30%作为对业主的赔偿，仪器退回，合同作废。并承担虚假应标的相关责任。</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（2）投标产品为原厂家生产的全新产品，非代工产品或翻新产品，厂家负责保修，保证仪器使用的稳定性。</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我公司所提交的投标文件中所有关于以上条款响应的文件、证明和陈述均是真实的、准确的。若与真实情况不符，我公司愿意承担由此而产生的一切后果。</w:t>
      </w:r>
      <w:r>
        <w:rPr>
          <w:rFonts w:hint="eastAsia" w:ascii="宋体" w:hAnsi="宋体" w:eastAsia="宋体" w:cs="宋体"/>
          <w:bCs/>
          <w:color w:val="000000"/>
          <w:sz w:val="28"/>
          <w:szCs w:val="28"/>
          <w:highlight w:val="none"/>
        </w:rPr>
      </w:r>
      <w:r/>
    </w:p>
    <w:p>
      <w:pPr>
        <w:pStyle w:val="1503"/>
        <w:spacing w:line="42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503"/>
        <w:ind w:firstLine="252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投标人（盖公章）：</w:t>
      </w:r>
      <w:r>
        <w:rPr>
          <w:rFonts w:hint="eastAsia" w:ascii="宋体" w:hAnsi="宋体" w:eastAsia="宋体" w:cs="宋体"/>
          <w:bCs/>
          <w:color w:val="000000"/>
          <w:sz w:val="28"/>
          <w:szCs w:val="28"/>
          <w:highlight w:val="none"/>
        </w:rPr>
      </w:r>
      <w:r/>
    </w:p>
    <w:p>
      <w:pPr>
        <w:pStyle w:val="1503"/>
        <w:ind w:firstLine="224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法定代表人（签字或盖章）：</w:t>
      </w:r>
      <w:r>
        <w:rPr>
          <w:rFonts w:hint="eastAsia" w:ascii="宋体" w:hAnsi="宋体" w:eastAsia="宋体" w:cs="宋体"/>
          <w:bCs/>
          <w:color w:val="000000"/>
          <w:sz w:val="28"/>
          <w:szCs w:val="28"/>
          <w:highlight w:val="none"/>
        </w:rPr>
      </w:r>
      <w:r/>
    </w:p>
    <w:p>
      <w:pPr>
        <w:pStyle w:val="1503"/>
        <w:ind w:firstLine="252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日期：</w:t>
      </w:r>
      <w:r>
        <w:rPr>
          <w:rFonts w:hint="eastAsia" w:ascii="宋体" w:hAnsi="宋体" w:eastAsia="宋体" w:cs="宋体"/>
          <w:bCs/>
          <w:color w:val="000000"/>
          <w:sz w:val="28"/>
          <w:szCs w:val="28"/>
          <w:highlight w:val="none"/>
        </w:rPr>
      </w:r>
      <w:r/>
    </w:p>
    <w:p>
      <w:pPr>
        <w:pStyle w:val="1503"/>
        <w:ind w:firstLine="560"/>
        <w:spacing w:line="460" w:lineRule="exact"/>
        <w:tabs>
          <w:tab w:val="left" w:pos="42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1503"/>
        <w:ind w:firstLine="562"/>
        <w:spacing w:line="460" w:lineRule="exact"/>
        <w:tabs>
          <w:tab w:val="left" w:pos="42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七、合同文本（仅供参考）：</w:t>
      </w:r>
      <w:r>
        <w:rPr>
          <w:rFonts w:hint="eastAsia" w:ascii="宋体" w:hAnsi="宋体" w:eastAsia="宋体" w:cs="宋体"/>
          <w:b/>
          <w:bCs/>
          <w:color w:val="000000"/>
          <w:sz w:val="28"/>
          <w:szCs w:val="28"/>
          <w:highlight w:val="none"/>
        </w:rPr>
      </w:r>
      <w:r/>
    </w:p>
    <w:p>
      <w:pPr>
        <w:pStyle w:val="1503"/>
        <w:jc w:val="center"/>
        <w:spacing w:before="145" w:after="145"/>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8"/>
          <w:highlight w:val="none"/>
        </w:rPr>
        <w:t xml:space="preserve">南通市政府采购合同（货物）（合同编号）</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项目名称：南通市产品质量监督检验所重点工业产品检验检测设备更新项目</w:t>
      </w:r>
      <w:r>
        <w:rPr>
          <w:rFonts w:hint="eastAsia" w:ascii="宋体" w:hAnsi="宋体" w:eastAsia="宋体" w:cs="宋体"/>
          <w:color w:val="000000"/>
          <w:sz w:val="28"/>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甲方</w:t>
      </w:r>
      <w:r>
        <w:rPr>
          <w:rFonts w:hint="eastAsia" w:ascii="宋体" w:hAnsi="宋体" w:eastAsia="宋体" w:cs="宋体"/>
          <w:color w:val="000000"/>
          <w:sz w:val="28"/>
          <w:szCs w:val="28"/>
          <w:highlight w:val="none"/>
        </w:rPr>
        <w:t xml:space="preserve">（买方）：_________</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乙方</w:t>
      </w:r>
      <w:r>
        <w:rPr>
          <w:rFonts w:hint="eastAsia" w:ascii="宋体" w:hAnsi="宋体" w:eastAsia="宋体" w:cs="宋体"/>
          <w:color w:val="000000"/>
          <w:sz w:val="28"/>
          <w:szCs w:val="28"/>
          <w:highlight w:val="none"/>
        </w:rPr>
        <w:t xml:space="preserve">（卖方）：_________</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甲、乙双方根据</w:t>
      </w:r>
      <w:r>
        <w:rPr>
          <w:rFonts w:hint="eastAsia" w:ascii="宋体" w:hAnsi="宋体" w:eastAsia="宋体" w:cs="宋体"/>
          <w:color w:val="000000"/>
          <w:sz w:val="28"/>
          <w:szCs w:val="28"/>
          <w:highlight w:val="none"/>
          <w:u w:val="single"/>
        </w:rPr>
        <w:t xml:space="preserve">南通市产品质量监督检验所重点工业产品检验检测设备更新项目（第一批）</w:t>
      </w:r>
      <w:r>
        <w:rPr>
          <w:rFonts w:hint="eastAsia" w:ascii="宋体" w:hAnsi="宋体" w:eastAsia="宋体" w:cs="宋体"/>
          <w:color w:val="000000"/>
          <w:sz w:val="28"/>
          <w:szCs w:val="28"/>
          <w:highlight w:val="none"/>
        </w:rPr>
        <w:t xml:space="preserve">公开招标的结果，签署本合同。</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一、合同内容</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1.1标的名称：</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1.2标的质量：满足招标文件需求。</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1.3标的数量（规模）：详见招标文件及乙方投标文件。</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1.4履行时间（期限）：</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1.5履行地点：甲方指定地点。</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二、合同价款</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2.1本合同价款为人民币（大写）：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三、技术资料</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3.1乙方应按招标文件规定的时间向甲方提供使用货物(包含与货物相关的服务)的有关技术资料。</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3.2没有甲方事先书面同意，乙方不得将由甲方提供的有关合同或任何合同条文、规格、计划、图纸、样品或资料提供给与履行本合同无关的任何其他人。即使向履行本合同有关人员提供，也应注意保密并限于履行合同的必需范围。</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四、知识产权</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五、产权担保</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5.1乙方保证所交付货物（包含与货物相关的服务）的所有权完全属于乙方且无任何抵押、查封等产权瑕疵。</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b/>
          <w:bCs/>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六、合同转包或分包</w:t>
      </w:r>
      <w:r>
        <w:rPr>
          <w:rFonts w:hint="eastAsia" w:ascii="宋体" w:hAnsi="宋体" w:eastAsia="宋体" w:cs="宋体"/>
          <w:b/>
          <w:bCs/>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6.1乙方不得将合同标的转包给他人履行。</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6.2乙方不得将合同标的分包给他人履行。</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6.3乙方如有转包或未经甲方书面同意的分包行为，甲方有权终止本合同。</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七、合同款项支付</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7.1合同款项的支付方式及进度安排</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合同签订支付预付款30%，货到后支付40%货款，安装、调试、验收合格之后支付30%货款。</w:t>
      </w:r>
      <w:r>
        <w:rPr>
          <w:rFonts w:hint="eastAsia" w:ascii="宋体" w:hAnsi="宋体" w:eastAsia="宋体" w:cs="宋体"/>
          <w:color w:val="000000"/>
          <w:sz w:val="28"/>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八、税费</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8.1本合同所涉及的一切税费均由乙方负担。</w:t>
      </w:r>
      <w:r>
        <w:rPr>
          <w:rFonts w:hint="eastAsia" w:ascii="宋体" w:hAnsi="宋体" w:eastAsia="宋体" w:cs="宋体"/>
          <w:color w:val="000000"/>
          <w:sz w:val="22"/>
          <w:szCs w:val="28"/>
          <w:highlight w:val="none"/>
        </w:rPr>
      </w:r>
      <w:r/>
    </w:p>
    <w:p>
      <w:pPr>
        <w:pStyle w:val="1503"/>
        <w:ind w:firstLine="562"/>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九、履约保证金</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9.2乙方全部履约合同义务，经甲方验收合格无质量、进度等问题的，甲方在本项目验收合格并正常运行后30日内一次性退还履约保证金，甲方若逾期退还履约保证金的，按照逾期部分的每日0.05%支付违约金；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4"/>
      </w:pPr>
      <w:r>
        <w:rPr>
          <w:rFonts w:hint="eastAsia" w:ascii="宋体" w:hAnsi="宋体" w:eastAsia="宋体" w:cs="宋体"/>
          <w:color w:val="000000"/>
          <w:sz w:val="28"/>
          <w:szCs w:val="28"/>
          <w:highlight w:val="none"/>
        </w:rPr>
        <w:t xml:space="preserve">9.3发生以下情况的，履约保证金不予退还或部分退还：</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s="宋体"/>
          <w:color w:val="000000"/>
          <w:sz w:val="28"/>
          <w:szCs w:val="28"/>
          <w:highlight w:val="none"/>
        </w:rPr>
      </w:r>
      <w:r/>
    </w:p>
    <w:p>
      <w:pPr>
        <w:pStyle w:val="1503"/>
        <w:ind w:firstLine="560"/>
        <w:jc w:val="lef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网址：</w:t>
      </w:r>
      <w:r>
        <w:rPr>
          <w:rFonts w:hint="eastAsia" w:ascii="宋体" w:hAnsi="宋体" w:eastAsia="宋体" w:cs="宋体"/>
          <w:color w:val="000000"/>
          <w:sz w:val="24"/>
          <w:highlight w:val="none"/>
        </w:rPr>
        <w:t xml:space="preserve">http://www.ccgp-jiangsu.gov.cn/jiangsu/paying.html</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十、质量保修范围和保修期及售后服务</w:t>
      </w:r>
      <w:r>
        <w:rPr>
          <w:rFonts w:hint="eastAsia" w:ascii="宋体" w:hAnsi="宋体" w:eastAsia="宋体" w:cs="宋体"/>
          <w:color w:val="000000"/>
          <w:sz w:val="22"/>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设备生产厂家免费保修期≥2年（验收合格之日起开始计算），质保期内每年提供一次原厂技术维护。供应商中标后签订合同前提供生产厂家出具免费维保证明原件，不能提供或未按要求提供的采购人有权拒签合同。</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质保期内，由于产品本身在设计、制造、零部件或配件上的缺陷或质量问题而造成的故障，中标单位负责无条件免费维修或免费更换。质保期外根据采购人需要提供原厂保养和维修服务，优惠收取保养更换的配件费、人工费及其他费用。中标单位需长期提供优惠价格的主要零配件</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10.3仪器出现故障后，在收到采购人通知后2小时响应，</w:t>
      </w: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小时内到达现场。</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10.4设备使用年限内（本次所投产品的年限为10年），供应商中标后签订合同前提供生产厂家承诺保证配件、耗材供应的承诺函原件，不能提供或未按要求提供的采购人有权拒签合同。</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10.5需提供设备合格证、保修卡以及中文操作、培训教材、保养、维修手册。</w:t>
      </w:r>
      <w:r>
        <w:rPr>
          <w:rFonts w:hint="eastAsia" w:ascii="宋体" w:hAnsi="宋体" w:eastAsia="宋体" w:cs="宋体"/>
          <w:color w:val="000000"/>
          <w:sz w:val="28"/>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十一、项目验收</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11.1甲方依法组织履约验收工作。</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11.3对于实际使用人和甲方分离的项目，甲方邀请实际使用人参与验收。</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11.4如有必要，甲方邀请参加本项目的其他供应商或第三方专业机构及专家参与验收，相关意见将作为验收书的参考资料。</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十二、货物的包装、发运及运输</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12.2使用说明书、质量检验证明书、随配附件和工具以及清单一并附于货物内。</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12.3乙方在货物发运手续办理完毕后24小时内或货到甲方48小时前书面通知甲方，以准备接货。</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12.4货物在交付甲方前发生的风险均由乙方承担。</w:t>
      </w:r>
      <w:r>
        <w:rPr>
          <w:rFonts w:hint="eastAsia" w:ascii="宋体" w:hAnsi="宋体" w:eastAsia="宋体" w:cs="宋体"/>
          <w:color w:val="000000"/>
          <w:sz w:val="22"/>
          <w:szCs w:val="28"/>
          <w:highlight w:val="none"/>
        </w:rPr>
      </w:r>
      <w:r/>
    </w:p>
    <w:p>
      <w:pPr>
        <w:pStyle w:val="1503"/>
        <w:ind w:right="26"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12.5货物在规定的交付期限内由乙方送达甲方指定地点视为交付，乙方同时需书面通知甲方货物已送达。</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十三、违约责任</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13.1甲方无正当理由拒收货物的，甲方向乙方偿付拒收货款总值</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的违约金。</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13.2甲方无故逾期验收和办理货款支付手续的,甲方应按逾期付款总额每日</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向乙方支付违约金。</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13.3乙方逾期交付货物的扣除全部履约保证金，乙方另应按逾期交货总额每日千分之六向甲方支付违约金，由甲方从待付货款中扣除。乙方未能在年月日前交货的，甲方拒收货物并终止合同，乙方并按合同价的50%赔偿给甲方。</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且无需支付乙方任何费用。</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十四、不可抗力事件处理</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14.1在合同有效期内，任何一方因不可抗力事件导致不能履行合同，则合同履行期可延长，其延长期与不可抗力影响期相同。</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14.2不可抗力事件发生后，应立即通知对方，并寄送有关权威机构出具的证明。</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14.3不可抗力事件延续120天以上，甲乙双方应通过友好协商，确定是否继续履行合同。</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十五、解决争议的方法</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15.1甲乙双方因合同签订、履行而发生的一切争议，应通过友好协商解决。如协商不成的，由甲方所在地人民法院管辖。</w:t>
      </w:r>
      <w:r>
        <w:rPr>
          <w:rFonts w:hint="eastAsia" w:ascii="宋体" w:hAnsi="宋体" w:eastAsia="宋体" w:cs="宋体"/>
          <w:color w:val="000000"/>
          <w:sz w:val="22"/>
          <w:szCs w:val="28"/>
          <w:highlight w:val="none"/>
        </w:rPr>
      </w:r>
      <w:r/>
    </w:p>
    <w:p>
      <w:pPr>
        <w:pStyle w:val="1503"/>
        <w:ind w:firstLine="422"/>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十六、合同生效及其它</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16.1合同经甲乙双方法定代表人或授权委托代表人签字并加盖单位公章后生效。</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16.2本合同未尽事宜，遵照《中华人民共和国民法典》《中华人民共和国政府采购法》有关条文执行。</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16.3 本合同正本一式两份，具有同等法律效力，甲方、乙方各执一份。</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（以下无正文）</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甲方（盖章）：乙方（盖章）：</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地址： 地址：</w:t>
      </w:r>
      <w:r>
        <w:rPr>
          <w:rFonts w:hint="eastAsia" w:ascii="宋体" w:hAnsi="宋体" w:eastAsia="宋体" w:cs="宋体"/>
          <w:color w:val="000000"/>
          <w:sz w:val="22"/>
          <w:szCs w:val="28"/>
          <w:highlight w:val="none"/>
        </w:rPr>
      </w:r>
      <w:r/>
    </w:p>
    <w:p>
      <w:pPr>
        <w:pStyle w:val="1503"/>
        <w:ind w:firstLine="420"/>
        <w:spacing w:line="49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法定代表人或授权代表：法定代表人或授权代表：</w:t>
      </w:r>
      <w:r>
        <w:rPr>
          <w:rFonts w:hint="eastAsia" w:ascii="宋体" w:hAnsi="宋体" w:eastAsia="宋体" w:cs="宋体"/>
          <w:color w:val="000000"/>
          <w:sz w:val="28"/>
          <w:szCs w:val="28"/>
          <w:highlight w:val="none"/>
        </w:rPr>
      </w:r>
      <w:r/>
    </w:p>
    <w:p>
      <w:pPr>
        <w:pStyle w:val="1503"/>
        <w:ind w:firstLine="420"/>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联系电话：   联系电话：</w:t>
      </w:r>
      <w:r>
        <w:rPr>
          <w:rFonts w:hint="eastAsia" w:ascii="宋体" w:hAnsi="宋体" w:eastAsia="宋体" w:cs="宋体"/>
          <w:color w:val="000000"/>
          <w:sz w:val="22"/>
          <w:szCs w:val="28"/>
          <w:highlight w:val="none"/>
        </w:rPr>
      </w:r>
      <w:r/>
    </w:p>
    <w:p>
      <w:pPr>
        <w:pStyle w:val="1503"/>
        <w:ind w:firstLine="367"/>
        <w:jc w:val="center"/>
        <w:spacing w:line="499" w:lineRule="atLeast"/>
        <w:rPr>
          <w:rFonts w:hint="eastAsia" w:ascii="宋体" w:hAnsi="宋体" w:eastAsia="宋体" w:cs="宋体"/>
          <w:color w:val="00000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2"/>
          <w:szCs w:val="28"/>
          <w:highlight w:val="none"/>
        </w:rPr>
      </w:r>
      <w:r/>
    </w:p>
    <w:p>
      <w:pPr>
        <w:pStyle w:val="1503"/>
        <w:ind w:firstLine="560"/>
        <w:jc w:val="left"/>
        <w:spacing w:line="460" w:lineRule="exact"/>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签订日期：年  月 日</w:t>
      </w:r>
      <w:r>
        <w:rPr>
          <w:rFonts w:hint="eastAsia" w:ascii="宋体" w:hAnsi="宋体" w:eastAsia="宋体" w:cs="宋体"/>
          <w:b/>
          <w:color w:val="000000"/>
          <w:sz w:val="32"/>
          <w:szCs w:val="32"/>
          <w:highlight w:val="none"/>
        </w:rPr>
      </w:r>
      <w:r/>
    </w:p>
    <w:p>
      <w:pPr>
        <w:pStyle w:val="1503"/>
        <w:jc w:val="center"/>
        <w:spacing w:line="46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24"/>
          <w:highlight w:val="none"/>
        </w:rPr>
        <w:br w:type="page" w:clear="all"/>
      </w:r>
      <w:bookmarkStart w:id="236" w:name="_Toc26259"/>
      <w:r/>
      <w:bookmarkStart w:id="237" w:name="_Toc30320"/>
      <w:r>
        <w:rPr>
          <w:rFonts w:hint="eastAsia" w:ascii="宋体" w:hAnsi="宋体" w:eastAsia="宋体" w:cs="宋体"/>
          <w:bCs/>
          <w:color w:val="000000"/>
          <w:sz w:val="36"/>
          <w:szCs w:val="36"/>
          <w:highlight w:val="none"/>
        </w:rPr>
        <w:t xml:space="preserve">第四部分开标和评标</w:t>
      </w:r>
      <w:bookmarkEnd w:id="236"/>
      <w:r/>
      <w:bookmarkEnd w:id="237"/>
      <w:r>
        <w:rPr>
          <w:rFonts w:hint="eastAsia" w:ascii="宋体" w:hAnsi="宋体" w:eastAsia="宋体" w:cs="宋体"/>
          <w:bCs/>
          <w:color w:val="000000"/>
          <w:sz w:val="36"/>
          <w:szCs w:val="36"/>
          <w:highlight w:val="none"/>
        </w:rPr>
      </w:r>
      <w:r/>
    </w:p>
    <w:p>
      <w:pPr>
        <w:pStyle w:val="1581"/>
        <w:ind w:left="0" w:right="0" w:firstLine="562"/>
        <w:jc w:val="left"/>
        <w:spacing w:before="0" w:after="0" w:line="460" w:lineRule="exact"/>
        <w:rPr>
          <w:rFonts w:hint="eastAsia" w:ascii="宋体" w:hAnsi="宋体" w:eastAsia="宋体" w:cs="宋体"/>
          <w:b/>
          <w:color w:val="000000"/>
          <w:sz w:val="28"/>
          <w:szCs w:val="28"/>
          <w:highlight w:val="none"/>
        </w:rPr>
        <w:outlineLvl w:val="1"/>
      </w:pPr>
      <w:r/>
      <w:bookmarkStart w:id="238" w:name="_Toc29131"/>
      <w:r>
        <w:rPr>
          <w:rFonts w:hint="eastAsia" w:ascii="宋体" w:hAnsi="宋体" w:eastAsia="宋体" w:cs="宋体"/>
          <w:b/>
          <w:color w:val="000000"/>
          <w:sz w:val="28"/>
          <w:szCs w:val="28"/>
          <w:highlight w:val="none"/>
        </w:rPr>
        <w:t xml:space="preserve">一、开标</w:t>
      </w:r>
      <w:bookmarkEnd w:id="238"/>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不见面远程开标模式：开标当天各投标人在各自地点通过苏采云系统及时登录不见面开标大厅，参加投标活动。</w:t>
      </w:r>
      <w:r>
        <w:rPr>
          <w:rFonts w:hint="eastAsia" w:ascii="宋体" w:hAnsi="宋体" w:eastAsia="宋体" w:cs="宋体"/>
          <w:color w:val="000000"/>
          <w:sz w:val="28"/>
          <w:szCs w:val="28"/>
          <w:highlight w:val="none"/>
        </w:rPr>
      </w:r>
      <w:r/>
    </w:p>
    <w:p>
      <w:pPr>
        <w:pStyle w:val="1581"/>
        <w:ind w:left="0" w:right="0" w:firstLine="562"/>
        <w:jc w:val="left"/>
        <w:spacing w:before="0" w:after="0" w:line="460" w:lineRule="exact"/>
        <w:rPr>
          <w:rFonts w:hint="eastAsia" w:ascii="宋体" w:hAnsi="宋体" w:eastAsia="宋体" w:cs="宋体"/>
          <w:b/>
          <w:color w:val="000000"/>
          <w:sz w:val="28"/>
          <w:szCs w:val="28"/>
          <w:highlight w:val="none"/>
        </w:rPr>
        <w:outlineLvl w:val="1"/>
      </w:pPr>
      <w:r/>
      <w:bookmarkStart w:id="239" w:name="_Toc28154"/>
      <w:r>
        <w:rPr>
          <w:rFonts w:hint="eastAsia" w:ascii="宋体" w:hAnsi="宋体" w:eastAsia="宋体" w:cs="宋体"/>
          <w:b/>
          <w:color w:val="000000"/>
          <w:sz w:val="28"/>
          <w:szCs w:val="28"/>
          <w:highlight w:val="none"/>
        </w:rPr>
        <w:t xml:space="preserve">二、评标流程和评标标准</w:t>
      </w:r>
      <w:bookmarkEnd w:id="239"/>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采用综合评分法。分资格审查、商务技术标、价格标、三部分评审，总分值为100分，加分和减分因素除外。</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本项目共4个采购包，投标人可投多个分包，但最多只能中一个包。本项目按包1至包4的自然顺序进行，投标人在4个采购包投标中可以兼投、不可以兼中；每个包确定1个中标人。若前面采购包中标人如已递交后面采购包投标文件，在后面采购包资格审查环节做无效处理，不属于后面采购包的合格投标人，自动丧失后面采购包的评审资格。</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outlineLvl w:val="2"/>
      </w:pPr>
      <w:r/>
      <w:bookmarkStart w:id="240" w:name="_Toc13980"/>
      <w:r>
        <w:rPr>
          <w:rFonts w:hint="eastAsia" w:ascii="宋体" w:hAnsi="宋体" w:eastAsia="宋体" w:cs="宋体"/>
          <w:b/>
          <w:color w:val="000000"/>
          <w:sz w:val="28"/>
          <w:szCs w:val="28"/>
          <w:highlight w:val="none"/>
        </w:rPr>
        <w:t xml:space="preserve">（一）采购人（代表）对投标人资格进行审查。</w:t>
      </w:r>
      <w:bookmarkEnd w:id="240"/>
      <w:r>
        <w:rPr>
          <w:rFonts w:hint="eastAsia" w:ascii="宋体" w:hAnsi="宋体" w:eastAsia="宋体" w:cs="宋体"/>
          <w:b/>
          <w:color w:val="000000"/>
          <w:sz w:val="28"/>
          <w:szCs w:val="28"/>
          <w:highlight w:val="none"/>
        </w:rPr>
      </w:r>
      <w:r/>
    </w:p>
    <w:p>
      <w:pPr>
        <w:pStyle w:val="1585"/>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1503"/>
        <w:ind w:firstLine="562"/>
        <w:jc w:val="left"/>
        <w:spacing w:line="460" w:lineRule="exact"/>
        <w:rPr>
          <w:rFonts w:hint="eastAsia" w:ascii="宋体" w:hAnsi="宋体" w:eastAsia="宋体" w:cs="宋体"/>
          <w:b/>
          <w:color w:val="000000"/>
          <w:sz w:val="28"/>
          <w:szCs w:val="28"/>
          <w:highlight w:val="none"/>
        </w:rPr>
        <w:outlineLvl w:val="2"/>
      </w:pPr>
      <w:r/>
      <w:bookmarkStart w:id="241" w:name="_Toc8474"/>
      <w:r>
        <w:rPr>
          <w:rFonts w:hint="eastAsia" w:ascii="宋体" w:hAnsi="宋体" w:eastAsia="宋体" w:cs="宋体"/>
          <w:b/>
          <w:color w:val="000000"/>
          <w:sz w:val="28"/>
          <w:szCs w:val="28"/>
          <w:highlight w:val="none"/>
        </w:rPr>
        <w:t xml:space="preserve">（二）评标委员会对符合资格投标人的投标文件进行符合性审查。</w:t>
      </w:r>
      <w:bookmarkEnd w:id="241"/>
      <w:r>
        <w:rPr>
          <w:rFonts w:hint="eastAsia" w:ascii="宋体" w:hAnsi="宋体" w:eastAsia="宋体" w:cs="宋体"/>
          <w:b/>
          <w:color w:val="000000"/>
          <w:sz w:val="28"/>
          <w:szCs w:val="28"/>
          <w:highlight w:val="none"/>
        </w:rPr>
      </w:r>
      <w:r/>
    </w:p>
    <w:p>
      <w:pPr>
        <w:pStyle w:val="1585"/>
        <w:ind w:firstLine="560"/>
        <w:spacing w:line="460" w:lineRule="exact"/>
        <w:rPr>
          <w:rFonts w:hint="eastAsia" w:ascii="宋体" w:hAnsi="宋体" w:eastAsia="宋体" w:cs="宋体"/>
          <w:color w:val="000000"/>
          <w:sz w:val="28"/>
          <w:highlight w:val="none"/>
          <w:lang w:eastAsia="zh-CN"/>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lang w:eastAsia="zh-CN"/>
        </w:rPr>
      </w:r>
      <w:r/>
    </w:p>
    <w:p>
      <w:pPr>
        <w:pStyle w:val="1503"/>
        <w:ind w:firstLine="562"/>
        <w:jc w:val="left"/>
        <w:spacing w:line="460" w:lineRule="exact"/>
        <w:rPr>
          <w:rFonts w:hint="eastAsia" w:ascii="宋体" w:hAnsi="宋体" w:eastAsia="宋体" w:cs="宋体"/>
          <w:color w:val="000000"/>
          <w:sz w:val="28"/>
          <w:szCs w:val="28"/>
          <w:highlight w:val="none"/>
          <w:lang w:val="zh-CN"/>
        </w:rPr>
        <w:outlineLvl w:val="2"/>
      </w:pPr>
      <w:r/>
      <w:bookmarkStart w:id="242" w:name="_Toc24736"/>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70</w:t>
      </w:r>
      <w:r>
        <w:rPr>
          <w:rFonts w:hint="eastAsia" w:ascii="宋体" w:hAnsi="宋体" w:eastAsia="宋体" w:cs="宋体"/>
          <w:color w:val="000000"/>
          <w:sz w:val="28"/>
          <w:szCs w:val="28"/>
          <w:highlight w:val="none"/>
          <w:lang w:val="zh-CN"/>
        </w:rPr>
        <w:t xml:space="preserve">分</w:t>
      </w:r>
      <w:bookmarkEnd w:id="242"/>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p>
      <w:pPr>
        <w:pStyle w:val="1503"/>
        <w:ind w:firstLine="482"/>
        <w:spacing w:line="420" w:lineRule="exact"/>
        <w:rPr>
          <w:rFonts w:hint="eastAsia" w:ascii="宋体" w:hAnsi="宋体" w:eastAsia="宋体" w:cs="宋体"/>
          <w:b/>
          <w:color w:val="000000"/>
          <w:sz w:val="24"/>
          <w:highlight w:val="none"/>
        </w:rPr>
      </w:pPr>
      <w:r/>
      <w:bookmarkStart w:id="243" w:name="_Toc126"/>
      <w:r>
        <w:rPr>
          <w:rFonts w:hint="eastAsia" w:ascii="宋体" w:hAnsi="宋体" w:eastAsia="宋体" w:cs="宋体"/>
          <w:b/>
          <w:color w:val="000000"/>
          <w:sz w:val="24"/>
          <w:highlight w:val="none"/>
        </w:rPr>
        <w:t xml:space="preserve">包1评分标准</w:t>
      </w:r>
      <w:r>
        <w:rPr>
          <w:rFonts w:hint="eastAsia" w:ascii="宋体" w:hAnsi="宋体" w:eastAsia="宋体" w:cs="宋体"/>
          <w:b/>
          <w:color w:val="000000"/>
          <w:sz w:val="24"/>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851"/>
        <w:gridCol w:w="5953"/>
        <w:gridCol w:w="936"/>
      </w:tblGrid>
      <w:tr>
        <w:trPr>
          <w:trHeight w:val="284"/>
          <w:tblHeader/>
        </w:trPr>
        <w:tc>
          <w:tcPr>
            <w:tcW w:w="784" w:type="dxa"/>
            <w:vAlign w:val="center"/>
            <w:textDirection w:val="lrTb"/>
            <w:noWrap/>
          </w:tcPr>
          <w:p>
            <w:pPr>
              <w:pStyle w:val="150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评审因素</w:t>
            </w:r>
            <w:r>
              <w:rPr>
                <w:rFonts w:hint="eastAsia" w:ascii="宋体" w:hAnsi="宋体" w:eastAsia="宋体" w:cs="宋体"/>
                <w:b/>
                <w:color w:val="000000"/>
                <w:sz w:val="24"/>
                <w:highlight w:val="none"/>
              </w:rPr>
            </w:r>
            <w:r/>
          </w:p>
        </w:tc>
        <w:tc>
          <w:tcPr>
            <w:tcW w:w="5953"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评审标准</w:t>
            </w:r>
            <w:r>
              <w:rPr>
                <w:rFonts w:hint="eastAsia" w:ascii="宋体" w:hAnsi="宋体" w:eastAsia="宋体" w:cs="宋体"/>
                <w:b/>
                <w:color w:val="000000"/>
                <w:sz w:val="24"/>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rPr>
                <w:rFonts w:hint="eastAsia" w:ascii="宋体" w:hAnsi="宋体" w:eastAsia="宋体" w:cs="宋体"/>
                <w:b/>
                <w:color w:val="000000"/>
                <w:sz w:val="24"/>
                <w:highlight w:val="none"/>
              </w:rPr>
            </w:r>
            <w:r/>
          </w:p>
        </w:tc>
      </w:tr>
      <w:tr>
        <w:trPr>
          <w:trHeight w:val="1055"/>
        </w:trPr>
        <w:tc>
          <w:tcPr>
            <w:tcW w:w="784" w:type="dxa"/>
            <w:vAlign w:val="center"/>
            <w:vMerge w:val="restart"/>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rPr>
            </w:r>
            <w:r/>
          </w:p>
        </w:tc>
        <w:tc>
          <w:tcPr>
            <w:tcW w:w="851" w:type="dxa"/>
            <w:vAlign w:val="center"/>
            <w:vMerge w:val="restart"/>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技术响应</w:t>
            </w:r>
            <w:r>
              <w:rPr>
                <w:rFonts w:hint="eastAsia" w:ascii="宋体" w:hAnsi="宋体" w:eastAsia="宋体" w:cs="宋体"/>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委根据投标文件中技术参数响应情况进行打分。完全满足招标文件要求的得34分。其中标注“★”的参数为实质性要求，负偏离作无效投标处理；标注“▲”的内容为重要参数，有一项负偏离的，每项扣2分。其他普通参数负偏离的，则每项扣1分。</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备注：投标人须在投标文件内对于项目需求四、主要技术参数标中标注“▲”的参数提供相应技术支持资料(如彩页或者白皮书或者检测报告或者截图证明等，如参数中有要求，则按文件要求提供),并在《技术要求响应及偏离表》中详细标明技术支持资料在投标文件中的页码和位置。未</w:t>
            </w:r>
            <w:r>
              <w:rPr>
                <w:rFonts w:hint="eastAsia" w:ascii="宋体" w:hAnsi="宋体" w:eastAsia="宋体" w:cs="宋体"/>
                <w:b/>
                <w:bCs/>
                <w:color w:val="000000"/>
                <w:sz w:val="24"/>
                <w:highlight w:val="none"/>
                <w:lang w:eastAsia="zh-CN"/>
              </w:rPr>
              <w:t xml:space="preserve">按要求</w:t>
            </w:r>
            <w:r>
              <w:rPr>
                <w:rFonts w:hint="eastAsia" w:ascii="宋体" w:hAnsi="宋体" w:eastAsia="宋体" w:cs="宋体"/>
                <w:b/>
                <w:bCs/>
                <w:color w:val="000000"/>
                <w:sz w:val="24"/>
                <w:highlight w:val="none"/>
              </w:rPr>
              <w:t xml:space="preserve">提供技术支持资料的作负偏离处理，如因未在《技术要求响应及偏离表》中注明支持资料具体页码和位置导致本项不得分的，由此产生的后果由投标人自行承担。</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34</w:t>
            </w:r>
            <w:r>
              <w:rPr>
                <w:rFonts w:hint="eastAsia" w:ascii="宋体" w:hAnsi="宋体" w:eastAsia="宋体" w:cs="宋体"/>
                <w:b/>
                <w:color w:val="000000"/>
                <w:sz w:val="24"/>
                <w:highlight w:val="none"/>
              </w:rPr>
            </w:r>
            <w:r/>
          </w:p>
        </w:tc>
      </w:tr>
      <w:tr>
        <w:trPr>
          <w:trHeight w:val="1055"/>
        </w:trPr>
        <w:tc>
          <w:tcPr>
            <w:tcW w:w="784"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851" w:type="dxa"/>
            <w:vAlign w:val="center"/>
            <w:vMerge w:val="continue"/>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评标委员会根据投标人提供的所有产品选型与设计制造方案进行综合评审，内容包括：①产品选型与配置方案②规格参数与设计科学性、合理性③材质选用方案④制造工艺与质量控制水平。</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每个方面满分2分，每个方面缺失扣2分，每个方面每有一处内容存在缺陷或不足的扣1分，2分扣完为止。本项最多得8分。</w:t>
            </w:r>
            <w:r>
              <w:rPr>
                <w:rFonts w:hint="eastAsia" w:ascii="宋体" w:hAnsi="宋体" w:eastAsia="宋体" w:cs="宋体"/>
                <w:color w:val="000000"/>
                <w:sz w:val="24"/>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b/>
                <w:color w:val="000000"/>
                <w:sz w:val="24"/>
                <w:highlight w:val="none"/>
              </w:rPr>
            </w:r>
            <w:r/>
          </w:p>
        </w:tc>
      </w:tr>
      <w:tr>
        <w:trPr>
          <w:trHeight w:val="455"/>
        </w:trPr>
        <w:tc>
          <w:tcPr>
            <w:tcW w:w="784" w:type="dxa"/>
            <w:vAlign w:val="center"/>
            <w:vMerge w:val="restart"/>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rPr>
            </w:r>
            <w:r/>
          </w:p>
        </w:tc>
        <w:tc>
          <w:tcPr>
            <w:tcW w:w="851" w:type="dxa"/>
            <w:vAlign w:val="center"/>
            <w:vMerge w:val="restart"/>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售后服务</w:t>
            </w:r>
            <w:r>
              <w:rPr>
                <w:rFonts w:hint="eastAsia" w:ascii="宋体" w:hAnsi="宋体" w:eastAsia="宋体" w:cs="宋体"/>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满足招标文件免费质保期2年的基础上，每增加1年免费质保得1分，本项最多得2分。需提供售后服务承诺书（原件）（若投标文件中出现前后不一致的情况，以最低免费质保期作为评分依据）。</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trHeight w:val="455"/>
        </w:trPr>
        <w:tc>
          <w:tcPr>
            <w:tcW w:w="784"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851" w:type="dxa"/>
            <w:vAlign w:val="center"/>
            <w:vMerge w:val="continue"/>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评标委员会根据投标人提供的售后服务方案及培训方案进行综合评审，内容包括①服务体系与服务内容②故障处置解决方案③服务响应时间及服务联络保障④专业技术人员保障⑤人员培训实施方案。</w:t>
            </w:r>
            <w:r>
              <w:rPr>
                <w:rFonts w:hint="eastAsia" w:ascii="宋体" w:hAnsi="宋体" w:eastAsia="宋体" w:cs="宋体"/>
                <w:color w:val="000000"/>
                <w:sz w:val="24"/>
                <w:highlight w:val="none"/>
              </w:rPr>
            </w:r>
            <w:r/>
          </w:p>
          <w:p>
            <w:pPr>
              <w:pStyle w:val="150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每个方面满分1分，每个方面缺失扣1分，每个方面每有一处内容存在缺陷或不足的扣0.5分，1分扣完为止。本项最多得5分。</w:t>
            </w:r>
            <w:r>
              <w:rPr>
                <w:rFonts w:hint="eastAsia" w:ascii="宋体" w:hAnsi="宋体" w:eastAsia="宋体" w:cs="宋体"/>
                <w:color w:val="000000"/>
                <w:sz w:val="24"/>
                <w:highlight w:val="none"/>
              </w:rPr>
            </w:r>
            <w:r/>
          </w:p>
          <w:p>
            <w:pPr>
              <w:pStyle w:val="1534"/>
              <w:rPr>
                <w:rFonts w:hint="eastAsia" w:ascii="宋体" w:hAnsi="宋体" w:eastAsia="宋体" w:cs="宋体"/>
                <w:color w:val="000000"/>
                <w:highlight w:val="none"/>
                <w:lang w:val="en-US" w:eastAsia="zh-CN"/>
              </w:rPr>
            </w:pPr>
            <w:r>
              <w:rPr>
                <w:rFonts w:hint="eastAsia" w:ascii="宋体" w:hAnsi="宋体" w:eastAsia="宋体" w:cs="宋体"/>
                <w:color w:val="000000"/>
                <w:szCs w:val="24"/>
                <w:highlight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highlight w:val="none"/>
                <w:lang w:val="en-US" w:eastAsia="zh-CN"/>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1419"/>
        </w:trPr>
        <w:tc>
          <w:tcPr>
            <w:tcW w:w="784" w:type="dxa"/>
            <w:vAlign w:val="center"/>
            <w:textDirection w:val="lrTb"/>
            <w:noWrap/>
          </w:tcPr>
          <w:p>
            <w:pPr>
              <w:pStyle w:val="150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rPr>
            </w:r>
            <w:r/>
          </w:p>
        </w:tc>
        <w:tc>
          <w:tcPr>
            <w:tcW w:w="851" w:type="dxa"/>
            <w:vAlign w:val="center"/>
            <w:textDirection w:val="lrTb"/>
            <w:noWrap/>
          </w:tcPr>
          <w:p>
            <w:pPr>
              <w:pStyle w:val="1503"/>
              <w:jc w:val="center"/>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实施方案</w:t>
            </w:r>
            <w:r>
              <w:rPr>
                <w:rFonts w:hint="eastAsia" w:ascii="宋体" w:hAnsi="宋体" w:eastAsia="宋体" w:cs="宋体"/>
                <w:bCs/>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评标委员会根据投标人提供的项目实施方案进行综合评审，内容包括①设备安装实施方案②项目实施计划及进度管控③项目组织与管理措施④设备调试及项目验收实施方案。</w:t>
            </w:r>
            <w:r>
              <w:rPr>
                <w:rFonts w:hint="eastAsia" w:ascii="宋体" w:hAnsi="宋体" w:eastAsia="宋体" w:cs="宋体"/>
                <w:color w:val="000000"/>
                <w:sz w:val="24"/>
                <w:highlight w:val="none"/>
              </w:rPr>
            </w:r>
            <w:r/>
          </w:p>
          <w:p>
            <w:pPr>
              <w:pStyle w:val="150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每个方面满分2分，每个方面缺失扣2分，每个方面每有一处内容存在缺陷或不足的扣1分，2分扣完为止。本项最多得8分。</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r>
      <w:tr>
        <w:trPr>
          <w:trHeight w:val="394"/>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培训方案</w:t>
            </w:r>
            <w:r>
              <w:rPr>
                <w:rFonts w:hint="eastAsia" w:ascii="宋体" w:hAnsi="宋体" w:eastAsia="宋体" w:cs="宋体"/>
                <w:bCs/>
                <w:color w:val="000000"/>
                <w:sz w:val="24"/>
                <w:highlight w:val="none"/>
              </w:rPr>
            </w:r>
            <w:r/>
          </w:p>
        </w:tc>
        <w:tc>
          <w:tcPr>
            <w:tcW w:w="5953" w:type="dxa"/>
            <w:vAlign w:val="center"/>
            <w:textDirection w:val="lrTb"/>
            <w:noWrap/>
          </w:tcPr>
          <w:p>
            <w:pPr>
              <w:pStyle w:val="15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评标委员会根据投标人提供的人员培训方案及计划进行综合评审，内容包括①培训对象与培训内容设置②培训实施方式与培训课时安排③培训效果保障及后续技术辅导措施。</w:t>
            </w:r>
            <w:r>
              <w:rPr>
                <w:rFonts w:hint="eastAsia" w:ascii="宋体" w:hAnsi="宋体" w:eastAsia="宋体" w:cs="宋体"/>
                <w:bCs/>
                <w:color w:val="000000"/>
                <w:sz w:val="24"/>
                <w:highlight w:val="none"/>
              </w:rPr>
            </w:r>
            <w:r/>
          </w:p>
          <w:p>
            <w:pPr>
              <w:pStyle w:val="150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每个方面满分1分，每个方面缺失扣1分，每个方面每有一处内容存在缺陷或不足的扣0.5分，1分扣完为止。本项最多得3分。</w:t>
            </w:r>
            <w:r>
              <w:rPr>
                <w:rFonts w:hint="eastAsia" w:ascii="宋体" w:hAnsi="宋体" w:eastAsia="宋体" w:cs="宋体"/>
                <w:color w:val="000000"/>
                <w:sz w:val="24"/>
                <w:highlight w:val="none"/>
              </w:rPr>
            </w:r>
            <w:r/>
          </w:p>
          <w:p>
            <w:pPr>
              <w:pStyle w:val="15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bCs/>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114"/>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类似业绩</w:t>
            </w:r>
            <w:r>
              <w:rPr>
                <w:rFonts w:hint="eastAsia" w:ascii="宋体" w:hAnsi="宋体" w:eastAsia="宋体" w:cs="宋体"/>
                <w:b/>
                <w:color w:val="000000"/>
                <w:sz w:val="24"/>
                <w:highlight w:val="none"/>
              </w:rPr>
            </w:r>
            <w:r/>
          </w:p>
        </w:tc>
        <w:tc>
          <w:tcPr>
            <w:tcW w:w="5953" w:type="dxa"/>
            <w:vAlign w:val="center"/>
            <w:textDirection w:val="lrTb"/>
            <w:noWrap/>
          </w:tcPr>
          <w:p>
            <w:pPr>
              <w:pStyle w:val="15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投标人自2023年1月1日（以合同签订时间为准）以来具有本采购包采购产品类似业绩。每提供一个业绩得2分，每个产品最多得6分，本项最多得10分。</w:t>
            </w:r>
            <w:r>
              <w:rPr>
                <w:rFonts w:hint="eastAsia" w:ascii="宋体" w:hAnsi="宋体" w:eastAsia="宋体" w:cs="宋体"/>
                <w:bCs/>
                <w:color w:val="000000"/>
                <w:sz w:val="24"/>
                <w:highlight w:val="none"/>
              </w:rPr>
            </w:r>
            <w:r/>
          </w:p>
          <w:p>
            <w:pPr>
              <w:pStyle w:val="150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w:t>
            </w:r>
            <w:r>
              <w:rPr>
                <w:rFonts w:hint="eastAsia" w:ascii="宋体" w:hAnsi="宋体" w:eastAsia="宋体" w:cs="宋体"/>
                <w:bCs/>
                <w:color w:val="000000"/>
                <w:sz w:val="24"/>
                <w:highlight w:val="none"/>
                <w:lang w:eastAsia="zh-CN"/>
              </w:rPr>
              <w:t xml:space="preserve">①</w:t>
            </w:r>
            <w:r>
              <w:rPr>
                <w:rFonts w:hint="eastAsia" w:ascii="宋体" w:hAnsi="宋体" w:eastAsia="宋体" w:cs="宋体"/>
                <w:bCs/>
                <w:color w:val="000000"/>
                <w:sz w:val="24"/>
                <w:highlight w:val="none"/>
              </w:rPr>
              <w:t xml:space="preserve">同一用户单位不重复计分。</w:t>
            </w:r>
            <w:r>
              <w:rPr>
                <w:rFonts w:hint="eastAsia" w:ascii="宋体" w:hAnsi="宋体" w:eastAsia="宋体" w:cs="宋体"/>
                <w:bCs/>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eastAsia="zh-CN"/>
              </w:rPr>
              <w:t xml:space="preserve">②每个业绩均须同时</w:t>
            </w:r>
            <w:r>
              <w:rPr>
                <w:rFonts w:hint="eastAsia" w:ascii="宋体" w:hAnsi="宋体" w:eastAsia="宋体" w:cs="宋体"/>
                <w:bCs/>
                <w:color w:val="000000"/>
                <w:sz w:val="24"/>
                <w:highlight w:val="none"/>
              </w:rPr>
              <w:t xml:space="preserve">提供合同及</w:t>
            </w:r>
            <w:r>
              <w:rPr>
                <w:rFonts w:hint="eastAsia" w:ascii="宋体" w:hAnsi="宋体" w:eastAsia="宋体" w:cs="宋体"/>
                <w:bCs/>
                <w:color w:val="000000"/>
                <w:sz w:val="24"/>
                <w:highlight w:val="none"/>
                <w:lang w:eastAsia="zh-CN"/>
              </w:rPr>
              <w:t xml:space="preserve">对应合同</w:t>
            </w:r>
            <w:r>
              <w:rPr>
                <w:rFonts w:hint="eastAsia" w:ascii="宋体" w:hAnsi="宋体" w:eastAsia="宋体" w:cs="宋体"/>
                <w:bCs/>
                <w:color w:val="000000"/>
                <w:sz w:val="24"/>
                <w:highlight w:val="none"/>
              </w:rPr>
              <w:t xml:space="preserve">结算发票（至少一张）扫描件，合同和发票不能体现业绩产品内容的，对应业绩不得分。</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bl>
    <w:p>
      <w:pPr>
        <w:pStyle w:val="1503"/>
        <w:ind w:firstLine="482"/>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包2评分标准</w:t>
      </w:r>
      <w:r>
        <w:rPr>
          <w:rFonts w:hint="eastAsia" w:ascii="宋体" w:hAnsi="宋体" w:eastAsia="宋体" w:cs="宋体"/>
          <w:b/>
          <w:color w:val="000000"/>
          <w:sz w:val="24"/>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851"/>
        <w:gridCol w:w="5953"/>
        <w:gridCol w:w="936"/>
      </w:tblGrid>
      <w:tr>
        <w:trPr>
          <w:trHeight w:val="284"/>
          <w:tblHeader/>
        </w:trPr>
        <w:tc>
          <w:tcPr>
            <w:tcW w:w="784" w:type="dxa"/>
            <w:vAlign w:val="center"/>
            <w:textDirection w:val="lrTb"/>
            <w:noWrap/>
          </w:tcPr>
          <w:p>
            <w:pPr>
              <w:pStyle w:val="150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评审因素</w:t>
            </w:r>
            <w:r>
              <w:rPr>
                <w:rFonts w:hint="eastAsia" w:ascii="宋体" w:hAnsi="宋体" w:eastAsia="宋体" w:cs="宋体"/>
                <w:b/>
                <w:color w:val="000000"/>
                <w:sz w:val="24"/>
                <w:highlight w:val="none"/>
              </w:rPr>
            </w:r>
            <w:r/>
          </w:p>
        </w:tc>
        <w:tc>
          <w:tcPr>
            <w:tcW w:w="5953"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评审标准</w:t>
            </w:r>
            <w:r>
              <w:rPr>
                <w:rFonts w:hint="eastAsia" w:ascii="宋体" w:hAnsi="宋体" w:eastAsia="宋体" w:cs="宋体"/>
                <w:b/>
                <w:color w:val="000000"/>
                <w:sz w:val="24"/>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rPr>
                <w:rFonts w:hint="eastAsia" w:ascii="宋体" w:hAnsi="宋体" w:eastAsia="宋体" w:cs="宋体"/>
                <w:b/>
                <w:color w:val="000000"/>
                <w:sz w:val="24"/>
                <w:highlight w:val="none"/>
              </w:rPr>
            </w:r>
            <w:r/>
          </w:p>
        </w:tc>
      </w:tr>
      <w:tr>
        <w:trPr>
          <w:trHeight w:val="1055"/>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技术响应</w:t>
            </w:r>
            <w:r>
              <w:rPr>
                <w:rFonts w:hint="eastAsia" w:ascii="宋体" w:hAnsi="宋体" w:eastAsia="宋体" w:cs="宋体"/>
                <w:b/>
                <w:color w:val="000000"/>
                <w:sz w:val="24"/>
                <w:highlight w:val="none"/>
              </w:rPr>
            </w:r>
            <w:r/>
          </w:p>
        </w:tc>
        <w:tc>
          <w:tcPr>
            <w:tcW w:w="5953"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完全满足招标文件要求的，每一项重要响应指标不满足或负偏离扣0.5分，每一项非重要响应指标不满足或负偏离减0.25分。本项最高得38分，最低得0分。</w:t>
            </w:r>
            <w:r>
              <w:rPr>
                <w:rFonts w:hint="eastAsia" w:ascii="宋体" w:hAnsi="宋体" w:eastAsia="宋体" w:cs="宋体"/>
                <w:color w:val="000000"/>
                <w:sz w:val="24"/>
                <w:highlight w:val="none"/>
              </w:rPr>
            </w:r>
            <w:r/>
          </w:p>
          <w:p>
            <w:pPr>
              <w:pStyle w:val="16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项目需求四、主要技术参数标中标注“▲”的参数为重要响应指标，其余为非重要响应指标。</w:t>
            </w:r>
            <w:r>
              <w:rPr>
                <w:rFonts w:hint="eastAsia" w:ascii="宋体" w:hAnsi="宋体" w:eastAsia="宋体" w:cs="宋体"/>
                <w:color w:val="000000"/>
                <w:sz w:val="24"/>
                <w:szCs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注：投标人提供《技术部分参数响应偏离表》，重要响应指标及招标文件中要求提供证明材料的，投标文件应按照招标文件要求提供证明材料。</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38</w:t>
            </w:r>
            <w:r>
              <w:rPr>
                <w:rFonts w:hint="eastAsia" w:ascii="宋体" w:hAnsi="宋体" w:eastAsia="宋体" w:cs="宋体"/>
                <w:b/>
                <w:color w:val="000000"/>
                <w:sz w:val="24"/>
                <w:highlight w:val="none"/>
              </w:rPr>
            </w:r>
            <w:r/>
          </w:p>
        </w:tc>
      </w:tr>
      <w:tr>
        <w:trPr>
          <w:trHeight w:val="1055"/>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实施方案</w:t>
            </w:r>
            <w:r>
              <w:rPr>
                <w:rFonts w:hint="eastAsia" w:ascii="宋体" w:hAnsi="宋体" w:eastAsia="宋体" w:cs="宋体"/>
                <w:b/>
                <w:color w:val="000000"/>
                <w:sz w:val="24"/>
                <w:highlight w:val="none"/>
              </w:rPr>
            </w:r>
            <w:r/>
          </w:p>
        </w:tc>
        <w:tc>
          <w:tcPr>
            <w:tcW w:w="5953" w:type="dxa"/>
            <w:vAlign w:val="center"/>
            <w:textDirection w:val="lrTb"/>
            <w:noWrap/>
          </w:tcPr>
          <w:p>
            <w:pPr>
              <w:pStyle w:val="1560"/>
              <w:spacing w:before="0" w:beforeAutospacing="0" w:after="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评标委员会根据投标人投标文件，对项目整体实施配送安装方案、所投产品检定证书（或校准证书）响应承诺情况进行综合评审，内容包括①货物配送及到货保障实施方案②现场安装实施保障方案③所投产品检定/校准证书取得、提交及履约承诺。</w:t>
            </w:r>
            <w:r>
              <w:rPr>
                <w:rFonts w:hint="eastAsia" w:ascii="宋体" w:hAnsi="宋体" w:eastAsia="宋体" w:cs="宋体"/>
                <w:color w:val="000000"/>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每个方面满分2分，每个方面缺失扣2分，每个方面每有一处内容存在缺陷或不足的扣1分，2分扣完为止。本项最多得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1560"/>
              <w:spacing w:before="0" w:beforeAutospacing="0" w:after="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
                <w:color w:val="000000"/>
                <w:sz w:val="24"/>
                <w:highlight w:val="none"/>
              </w:rPr>
            </w:r>
            <w:r/>
          </w:p>
        </w:tc>
      </w:tr>
      <w:tr>
        <w:trPr>
          <w:trHeight w:val="455"/>
        </w:trPr>
        <w:tc>
          <w:tcPr>
            <w:tcW w:w="784" w:type="dxa"/>
            <w:vAlign w:val="center"/>
            <w:vMerge w:val="restart"/>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rPr>
            </w:r>
            <w:r/>
          </w:p>
        </w:tc>
        <w:tc>
          <w:tcPr>
            <w:tcW w:w="851" w:type="dxa"/>
            <w:vAlign w:val="center"/>
            <w:vMerge w:val="restart"/>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售后服务</w:t>
            </w:r>
            <w:r>
              <w:rPr>
                <w:rFonts w:hint="eastAsia" w:ascii="宋体" w:hAnsi="宋体" w:eastAsia="宋体" w:cs="宋体"/>
                <w:b/>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产品免费质保服务期在2年的基础上，每增加1年得1分，最高得2分（质保期不满2年的不得分）。（若投标文件中出现前后不一致的情况，以最低免费质保期作为评分依据）。</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trHeight w:val="455"/>
        </w:trPr>
        <w:tc>
          <w:tcPr>
            <w:tcW w:w="784"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851"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评标委员会根据投标人提供的项目售后服务及培训、维保方案进行综合评审，内容包括①售后服务与维保保障方案②操作人员培训实施方案。</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每个方面满分2.5分，每个方面缺失扣2.5分，每个方面每有一处内容存在缺陷或不足的扣1分，2.5分扣完为止。本项最多得5分。</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455"/>
        </w:trPr>
        <w:tc>
          <w:tcPr>
            <w:tcW w:w="784"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851" w:type="dxa"/>
            <w:vAlign w:val="center"/>
            <w:vMerge w:val="continue"/>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评标委员会根据投标人提供的所投产品服务方案进行综合评审，内容包括①免费质保期内服务保障方案②质保期届满之后维修、零部件更换等服务保障方案。</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每个方面满分2.5分，每个方面缺失扣2.5分，每个方面每有一处内容存在缺陷或不足的扣1分，2.5分扣完为止。本项最多得5分。</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667"/>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类似业绩</w:t>
            </w:r>
            <w:r>
              <w:rPr>
                <w:rFonts w:hint="eastAsia" w:ascii="宋体" w:hAnsi="宋体" w:eastAsia="宋体" w:cs="宋体"/>
                <w:b/>
                <w:color w:val="000000"/>
                <w:sz w:val="24"/>
                <w:highlight w:val="none"/>
              </w:rPr>
            </w:r>
            <w:r/>
          </w:p>
        </w:tc>
        <w:tc>
          <w:tcPr>
            <w:tcW w:w="5953" w:type="dxa"/>
            <w:vAlign w:val="center"/>
            <w:textDirection w:val="lrTb"/>
            <w:noWrap/>
          </w:tcPr>
          <w:p>
            <w:pPr>
              <w:pStyle w:val="1503"/>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投标人自2023年1月1日（以合同签订时间为准）以来具有本项目采购包采购设备</w:t>
            </w:r>
            <w:r>
              <w:rPr>
                <w:rFonts w:hint="eastAsia" w:ascii="宋体" w:hAnsi="宋体" w:eastAsia="宋体" w:cs="宋体"/>
                <w:color w:val="000000"/>
                <w:sz w:val="24"/>
                <w:highlight w:val="none"/>
              </w:rPr>
              <w:t xml:space="preserve">同类型、同等主要功能规格的销售业绩</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503"/>
              <w:numPr>
                <w:ilvl w:val="0"/>
                <w:numId w:val="0"/>
              </w:numPr>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en-US" w:eastAsia="zh-CN" w:bidi="ar-SA"/>
              </w:rPr>
              <w:t xml:space="preserve">1.提供</w:t>
            </w:r>
            <w:r>
              <w:rPr>
                <w:rFonts w:hint="eastAsia" w:ascii="宋体" w:hAnsi="宋体" w:eastAsia="宋体" w:cs="宋体"/>
                <w:color w:val="000000"/>
                <w:sz w:val="24"/>
                <w:highlight w:val="none"/>
                <w:lang w:val="en-US" w:eastAsia="zh-CN"/>
              </w:rPr>
              <w:t xml:space="preserve">采购清单</w:t>
            </w:r>
            <w:r>
              <w:rPr>
                <w:rFonts w:hint="eastAsia" w:ascii="宋体" w:hAnsi="宋体" w:eastAsia="宋体" w:cs="宋体"/>
                <w:color w:val="000000"/>
                <w:sz w:val="24"/>
                <w:highlight w:val="none"/>
              </w:rPr>
              <w:t xml:space="preserve">序号3</w:t>
            </w:r>
            <w:r>
              <w:rPr>
                <w:rFonts w:hint="eastAsia" w:ascii="宋体" w:hAnsi="宋体" w:eastAsia="宋体" w:cs="宋体"/>
                <w:color w:val="000000"/>
                <w:sz w:val="24"/>
                <w:highlight w:val="none"/>
                <w:lang w:eastAsia="zh-CN"/>
              </w:rPr>
              <w:t xml:space="preserve">设备类似业绩，</w:t>
            </w:r>
            <w:r>
              <w:rPr>
                <w:rFonts w:hint="eastAsia" w:ascii="宋体" w:hAnsi="宋体" w:eastAsia="宋体" w:cs="宋体"/>
                <w:color w:val="000000"/>
                <w:sz w:val="24"/>
                <w:highlight w:val="none"/>
              </w:rPr>
              <w:t xml:space="preserve">每提供一份有效合同得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分，本项最多得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分；须为</w:t>
            </w:r>
            <w:r>
              <w:rPr>
                <w:rFonts w:hint="eastAsia" w:ascii="宋体" w:hAnsi="宋体" w:eastAsia="宋体" w:cs="宋体"/>
                <w:color w:val="000000"/>
                <w:sz w:val="24"/>
                <w:highlight w:val="none"/>
              </w:rPr>
              <w:t xml:space="preserve">全自动业绩</w:t>
            </w:r>
            <w:r>
              <w:rPr>
                <w:rFonts w:hint="eastAsia" w:ascii="宋体" w:hAnsi="宋体" w:eastAsia="宋体" w:cs="宋体"/>
                <w:color w:val="000000"/>
                <w:sz w:val="24"/>
                <w:highlight w:val="none"/>
                <w:lang w:eastAsia="zh-CN"/>
              </w:rPr>
              <w:t xml:space="preserve">，否则不得分。</w:t>
            </w:r>
            <w:r>
              <w:rPr>
                <w:rFonts w:hint="eastAsia" w:ascii="宋体" w:hAnsi="宋体" w:eastAsia="宋体" w:cs="宋体"/>
                <w:color w:val="000000"/>
                <w:sz w:val="24"/>
                <w:highlight w:val="none"/>
                <w:lang w:eastAsia="zh-CN"/>
              </w:rPr>
            </w:r>
            <w:r/>
          </w:p>
          <w:p>
            <w:pPr>
              <w:pStyle w:val="1503"/>
              <w:numPr>
                <w:ilvl w:val="0"/>
                <w:numId w:val="0"/>
              </w:numPr>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2.提供</w:t>
            </w:r>
            <w:r>
              <w:rPr>
                <w:rFonts w:hint="eastAsia" w:ascii="宋体" w:hAnsi="宋体" w:eastAsia="宋体" w:cs="宋体"/>
                <w:color w:val="000000"/>
                <w:sz w:val="24"/>
                <w:highlight w:val="none"/>
                <w:lang w:val="en-US" w:eastAsia="zh-CN"/>
              </w:rPr>
              <w:t xml:space="preserve">采购清单</w:t>
            </w: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设备类似业绩，</w:t>
            </w:r>
            <w:r>
              <w:rPr>
                <w:rFonts w:hint="eastAsia" w:ascii="宋体" w:hAnsi="宋体" w:eastAsia="宋体" w:cs="宋体"/>
                <w:color w:val="000000"/>
                <w:sz w:val="24"/>
                <w:highlight w:val="none"/>
              </w:rPr>
              <w:t xml:space="preserve">每提供一份有效合同得</w:t>
            </w:r>
            <w:r>
              <w:rPr>
                <w:rFonts w:hint="eastAsia" w:ascii="宋体" w:hAnsi="宋体" w:eastAsia="宋体" w:cs="宋体"/>
                <w:color w:val="000000"/>
                <w:sz w:val="24"/>
                <w:highlight w:val="none"/>
                <w:lang w:eastAsia="zh-CN"/>
              </w:rPr>
              <w:t xml:space="preserve">1分，本项最多得3分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503"/>
              <w:numPr>
                <w:ilvl w:val="0"/>
                <w:numId w:val="0"/>
              </w:numP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3.提供采购清单</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设备</w:t>
            </w:r>
            <w:r>
              <w:rPr>
                <w:rFonts w:hint="eastAsia" w:ascii="宋体" w:hAnsi="宋体" w:eastAsia="宋体" w:cs="宋体"/>
                <w:color w:val="000000"/>
                <w:sz w:val="24"/>
                <w:highlight w:val="none"/>
                <w:lang w:eastAsia="zh-CN"/>
              </w:rPr>
              <w:t xml:space="preserve">类似业绩，</w:t>
            </w:r>
            <w:r>
              <w:rPr>
                <w:rFonts w:hint="eastAsia" w:ascii="宋体" w:hAnsi="宋体" w:eastAsia="宋体" w:cs="宋体"/>
                <w:color w:val="000000"/>
                <w:sz w:val="24"/>
                <w:highlight w:val="none"/>
              </w:rPr>
              <w:t xml:space="preserve">每个产品提供1份有效合同得</w:t>
            </w:r>
            <w:r>
              <w:rPr>
                <w:rFonts w:hint="eastAsia" w:ascii="宋体" w:hAnsi="宋体" w:eastAsia="宋体" w:cs="宋体"/>
                <w:color w:val="000000"/>
                <w:sz w:val="24"/>
                <w:highlight w:val="none"/>
                <w:lang w:eastAsia="zh-CN"/>
              </w:rPr>
              <w:t xml:space="preserve">0.5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单个产品最高得</w:t>
            </w:r>
            <w:r>
              <w:rPr>
                <w:rFonts w:hint="eastAsia" w:ascii="宋体" w:hAnsi="宋体" w:eastAsia="宋体" w:cs="宋体"/>
                <w:color w:val="000000"/>
                <w:sz w:val="24"/>
                <w:highlight w:val="none"/>
                <w:lang w:val="en-US" w:eastAsia="zh-CN"/>
              </w:rPr>
              <w:t xml:space="preserve">0.5分，本项</w:t>
            </w:r>
            <w:r>
              <w:rPr>
                <w:rFonts w:hint="eastAsia" w:ascii="宋体" w:hAnsi="宋体" w:eastAsia="宋体" w:cs="宋体"/>
                <w:color w:val="000000"/>
                <w:sz w:val="24"/>
                <w:highlight w:val="none"/>
                <w:lang w:eastAsia="zh-CN"/>
              </w:rPr>
              <w:t xml:space="preserve">最多得4分，</w:t>
            </w:r>
            <w:r>
              <w:rPr>
                <w:rFonts w:hint="eastAsia" w:ascii="宋体" w:hAnsi="宋体" w:eastAsia="宋体" w:cs="宋体"/>
                <w:color w:val="000000"/>
                <w:sz w:val="24"/>
                <w:highlight w:val="none"/>
                <w:lang w:eastAsia="zh-CN"/>
              </w:rPr>
            </w:r>
            <w:r/>
          </w:p>
          <w:p>
            <w:pPr>
              <w:pStyle w:val="1503"/>
              <w:numPr>
                <w:ilvl w:val="0"/>
                <w:numId w:val="0"/>
              </w:numP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本大项</w:t>
            </w:r>
            <w:r>
              <w:rPr>
                <w:rFonts w:hint="eastAsia" w:ascii="宋体" w:hAnsi="宋体" w:eastAsia="宋体" w:cs="宋体"/>
                <w:color w:val="000000"/>
                <w:sz w:val="24"/>
                <w:highlight w:val="none"/>
              </w:rPr>
              <w:t xml:space="preserve">合计最高得</w:t>
            </w:r>
            <w:r>
              <w:rPr>
                <w:rFonts w:hint="eastAsia" w:ascii="宋体" w:hAnsi="宋体" w:eastAsia="宋体" w:cs="宋体"/>
                <w:color w:val="000000"/>
                <w:sz w:val="24"/>
                <w:highlight w:val="none"/>
                <w:lang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503"/>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w:t>
            </w:r>
            <w:r>
              <w:rPr>
                <w:rFonts w:hint="eastAsia" w:ascii="宋体" w:hAnsi="宋体" w:eastAsia="宋体" w:cs="宋体"/>
                <w:color w:val="000000"/>
                <w:sz w:val="24"/>
                <w:highlight w:val="none"/>
                <w:lang w:eastAsia="zh-CN"/>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①一份合同无论包含多少台设备，仅计为1份业绩，不得拆分多次计分。</w:t>
            </w:r>
            <w:r>
              <w:rPr>
                <w:rFonts w:hint="eastAsia" w:ascii="宋体" w:hAnsi="宋体" w:eastAsia="宋体" w:cs="宋体"/>
                <w:color w:val="000000"/>
                <w:sz w:val="24"/>
                <w:highlight w:val="none"/>
              </w:rPr>
            </w:r>
            <w:r/>
          </w:p>
          <w:p>
            <w:pPr>
              <w:pStyle w:val="1503"/>
              <w:spacing w:before="0" w:after="0"/>
              <w:widowControl/>
              <w:tabs>
                <w:tab w:val="left" w:pos="7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②同一采购单位的业绩仅计取1次，不重复计分；</w:t>
            </w:r>
            <w:r>
              <w:rPr>
                <w:rFonts w:hint="eastAsia" w:ascii="宋体" w:hAnsi="宋体" w:eastAsia="宋体" w:cs="宋体"/>
                <w:color w:val="000000"/>
                <w:sz w:val="24"/>
                <w:highlight w:val="none"/>
              </w:rPr>
            </w:r>
            <w:r/>
          </w:p>
          <w:p>
            <w:pPr>
              <w:pStyle w:val="1503"/>
              <w:spacing w:before="0" w:after="0"/>
              <w:widowControl/>
              <w:tabs>
                <w:tab w:val="left" w:pos="7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③业绩材料提供合同复印件，合同须清晰体现供货标的内容；框架协议、意向合同不计为有效业绩；</w:t>
            </w:r>
            <w:r>
              <w:rPr>
                <w:rFonts w:hint="eastAsia" w:ascii="宋体" w:hAnsi="宋体" w:eastAsia="宋体" w:cs="宋体"/>
                <w:color w:val="000000"/>
                <w:sz w:val="24"/>
                <w:highlight w:val="none"/>
              </w:rPr>
            </w:r>
            <w:r/>
          </w:p>
          <w:p>
            <w:pPr>
              <w:pStyle w:val="1503"/>
              <w:spacing w:before="100" w:after="100"/>
              <w:widowControl/>
              <w:tabs>
                <w:tab w:val="left" w:pos="720"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④中标后采购人有权对业绩原件进行核查，必要时可要求补充提供发票、验收材料予以佐证。</w:t>
            </w:r>
            <w:r>
              <w:rPr>
                <w:rFonts w:hint="eastAsia" w:ascii="宋体" w:hAnsi="宋体" w:eastAsia="宋体" w:cs="宋体"/>
                <w:b/>
                <w:bCs/>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r>
        <w:trPr>
          <w:trHeight w:val="667"/>
        </w:trPr>
        <w:tc>
          <w:tcPr>
            <w:tcW w:w="784"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rPr>
                <w:rFonts w:hint="eastAsia" w:ascii="宋体" w:hAnsi="宋体" w:eastAsia="宋体" w:cs="宋体"/>
                <w:b/>
                <w:color w:val="000000"/>
                <w:sz w:val="24"/>
                <w:highlight w:val="none"/>
              </w:rPr>
            </w:r>
            <w:r/>
          </w:p>
        </w:tc>
        <w:tc>
          <w:tcPr>
            <w:tcW w:w="851"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企业认证</w:t>
            </w:r>
            <w:r>
              <w:rPr>
                <w:rFonts w:hint="eastAsia" w:ascii="宋体" w:hAnsi="宋体" w:eastAsia="宋体" w:cs="宋体"/>
                <w:b/>
                <w:color w:val="000000"/>
                <w:sz w:val="24"/>
                <w:highlight w:val="none"/>
              </w:rPr>
            </w:r>
            <w:r/>
          </w:p>
        </w:tc>
        <w:tc>
          <w:tcPr>
            <w:tcW w:w="5953"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投标人具有有效的ISO9001质量管理体系证书、ISO14001环境管理体系证书、</w:t>
            </w:r>
            <w:bookmarkStart w:id="244" w:name="OLE_LINK3"/>
            <w:r>
              <w:rPr>
                <w:rFonts w:hint="eastAsia" w:ascii="宋体" w:hAnsi="宋体" w:eastAsia="宋体" w:cs="宋体"/>
                <w:color w:val="000000"/>
                <w:sz w:val="24"/>
                <w:highlight w:val="none"/>
              </w:rPr>
              <w:t xml:space="preserve">ISO45001职业健康安全管理体系证书</w:t>
            </w:r>
            <w:bookmarkEnd w:id="244"/>
            <w:r>
              <w:rPr>
                <w:rFonts w:hint="eastAsia" w:ascii="宋体" w:hAnsi="宋体" w:eastAsia="宋体" w:cs="宋体"/>
                <w:color w:val="000000"/>
                <w:sz w:val="24"/>
                <w:highlight w:val="none"/>
              </w:rPr>
              <w:t xml:space="preserve">、ISO27001信息安全管理体系证书，每个证书得1分，本项最高得4分，最低得0分。</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以上材料提供证书复印件并加盖公章。</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r>
    </w:tbl>
    <w:p>
      <w:pPr>
        <w:pStyle w:val="1503"/>
        <w:ind w:firstLine="482"/>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包3评分标准</w:t>
      </w:r>
      <w:r>
        <w:rPr>
          <w:rFonts w:hint="eastAsia" w:ascii="宋体" w:hAnsi="宋体" w:eastAsia="宋体" w:cs="宋体"/>
          <w:b/>
          <w:color w:val="000000"/>
          <w:sz w:val="24"/>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6"/>
        <w:gridCol w:w="5319"/>
        <w:gridCol w:w="936"/>
      </w:tblGrid>
      <w:tr>
        <w:trPr>
          <w:trHeight w:val="284"/>
          <w:tblHeader/>
        </w:trPr>
        <w:tc>
          <w:tcPr>
            <w:tcW w:w="77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27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评审因素</w:t>
            </w:r>
            <w:r>
              <w:rPr>
                <w:rFonts w:hint="eastAsia" w:ascii="宋体" w:hAnsi="宋体" w:eastAsia="宋体" w:cs="宋体"/>
                <w:b/>
                <w:color w:val="000000"/>
                <w:sz w:val="24"/>
                <w:highlight w:val="none"/>
              </w:rPr>
            </w:r>
            <w:r/>
          </w:p>
        </w:tc>
        <w:tc>
          <w:tcPr>
            <w:tcW w:w="5319"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评审标准</w:t>
            </w:r>
            <w:r>
              <w:rPr>
                <w:rFonts w:hint="eastAsia" w:ascii="宋体" w:hAnsi="宋体" w:eastAsia="宋体" w:cs="宋体"/>
                <w:b/>
                <w:color w:val="000000"/>
                <w:sz w:val="24"/>
                <w:highlight w:val="none"/>
              </w:rPr>
            </w:r>
            <w:r/>
          </w:p>
        </w:tc>
        <w:tc>
          <w:tcPr>
            <w:tcW w:w="936"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rPr>
                <w:rFonts w:hint="eastAsia" w:ascii="宋体" w:hAnsi="宋体" w:eastAsia="宋体" w:cs="宋体"/>
                <w:b/>
                <w:color w:val="000000"/>
                <w:sz w:val="24"/>
                <w:highlight w:val="none"/>
              </w:rPr>
            </w:r>
            <w:r/>
          </w:p>
        </w:tc>
      </w:tr>
      <w:tr>
        <w:trPr>
          <w:trHeight w:val="351"/>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技术评分</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对投标人所投设备的技术能力进行综合评分。</w:t>
            </w:r>
            <w:r>
              <w:rPr>
                <w:rFonts w:hint="eastAsia" w:ascii="宋体" w:hAnsi="宋体" w:eastAsia="宋体" w:cs="宋体"/>
                <w:b/>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45</w:t>
            </w:r>
            <w:r>
              <w:rPr>
                <w:rFonts w:hint="eastAsia" w:ascii="宋体" w:hAnsi="宋体" w:eastAsia="宋体" w:cs="宋体"/>
                <w:b/>
                <w:color w:val="000000"/>
                <w:sz w:val="24"/>
                <w:highlight w:val="none"/>
              </w:rPr>
            </w:r>
            <w:r/>
          </w:p>
        </w:tc>
      </w:tr>
      <w:tr>
        <w:trPr>
          <w:trHeight w:val="1055"/>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w:t>
            </w:r>
            <w:r>
              <w:rPr>
                <w:rFonts w:hint="eastAsia" w:ascii="宋体" w:hAnsi="宋体" w:eastAsia="宋体" w:cs="宋体"/>
                <w:b/>
                <w:color w:val="000000"/>
                <w:sz w:val="24"/>
                <w:highlight w:val="none"/>
              </w:rPr>
            </w:r>
            <w:r/>
          </w:p>
        </w:tc>
        <w:tc>
          <w:tcPr>
            <w:tcW w:w="1276" w:type="dxa"/>
            <w:vAlign w:val="center"/>
            <w:textDirection w:val="lrTb"/>
            <w:noWrap/>
          </w:tcPr>
          <w:p>
            <w:pPr>
              <w:pStyle w:val="15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技术响应</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满足招标文件要求的得35分。其中标注“★”的参数为实质性要求，负偏离作无效投标处理；标注“▲”的内容为重要参数，有一项负偏离的，每项扣2分。其他普通参数负偏离的，则每项扣1分，35分扣完为止。</w:t>
            </w:r>
            <w:r>
              <w:rPr>
                <w:rFonts w:hint="eastAsia" w:ascii="宋体" w:hAnsi="宋体" w:eastAsia="宋体" w:cs="宋体"/>
                <w:color w:val="000000"/>
                <w:sz w:val="24"/>
                <w:highlight w:val="none"/>
              </w:rPr>
            </w:r>
            <w:r/>
          </w:p>
          <w:p>
            <w:pPr>
              <w:pStyle w:val="1534"/>
              <w:rPr>
                <w:rFonts w:hint="eastAsia" w:ascii="宋体" w:hAnsi="宋体" w:eastAsia="宋体" w:cs="宋体"/>
                <w:color w:val="000000"/>
                <w:highlight w:val="none"/>
                <w:lang w:val="en-US" w:eastAsia="zh-CN"/>
              </w:rPr>
            </w:pPr>
            <w:r>
              <w:rPr>
                <w:rFonts w:hint="eastAsia" w:ascii="宋体" w:hAnsi="宋体" w:eastAsia="宋体" w:cs="宋体"/>
                <w:b/>
                <w:bCs/>
                <w:color w:val="000000"/>
                <w:szCs w:val="24"/>
                <w:highlight w:val="none"/>
                <w:lang w:val="en-US" w:eastAsia="zh-CN"/>
              </w:rPr>
              <w:t xml:space="preserve">注：投标人提供《技术部分参数响应偏离表》，招标文件中要求提供证明材料的，投标文件应按照招标文件要求提供证明材料，</w:t>
            </w:r>
            <w:r>
              <w:rPr>
                <w:rFonts w:hint="eastAsia" w:eastAsia="宋体" w:cs="宋体"/>
                <w:b/>
                <w:bCs/>
                <w:color w:val="000000"/>
                <w:sz w:val="24"/>
                <w:szCs w:val="24"/>
                <w:highlight w:val="none"/>
                <w:lang w:eastAsia="zh-CN"/>
              </w:rPr>
              <w:t xml:space="preserve">不提供或提供不满足要求的视为负偏离</w:t>
            </w:r>
            <w:r>
              <w:rPr>
                <w:rFonts w:hint="eastAsia" w:ascii="宋体" w:hAnsi="宋体" w:eastAsia="宋体" w:cs="宋体"/>
                <w:b/>
                <w:bCs/>
                <w:color w:val="000000"/>
                <w:szCs w:val="24"/>
                <w:highlight w:val="none"/>
                <w:lang w:val="en-US" w:eastAsia="zh-CN"/>
              </w:rPr>
              <w:t xml:space="preserve">。</w:t>
            </w:r>
            <w:r>
              <w:rPr>
                <w:rFonts w:hint="eastAsia" w:ascii="宋体" w:hAnsi="宋体" w:eastAsia="宋体" w:cs="宋体"/>
                <w:color w:val="000000"/>
                <w:highlight w:val="none"/>
                <w:lang w:val="en-US" w:eastAsia="zh-CN"/>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rPr>
            </w:r>
            <w:r/>
          </w:p>
        </w:tc>
      </w:tr>
      <w:tr>
        <w:trPr>
          <w:trHeight w:val="1055"/>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技术方案</w:t>
            </w:r>
            <w:r>
              <w:rPr>
                <w:rFonts w:hint="eastAsia" w:ascii="宋体" w:hAnsi="宋体" w:eastAsia="宋体" w:cs="宋体"/>
                <w:b/>
                <w:color w:val="000000"/>
                <w:sz w:val="24"/>
                <w:highlight w:val="none"/>
              </w:rPr>
            </w:r>
            <w:r/>
          </w:p>
        </w:tc>
        <w:tc>
          <w:tcPr>
            <w:tcW w:w="5319" w:type="dxa"/>
            <w:vAlign w:val="center"/>
            <w:textDirection w:val="lrTb"/>
            <w:noWrap/>
          </w:tcPr>
          <w:p>
            <w:pPr>
              <w:pStyle w:val="1503"/>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评标委员会根据投标人提供的三类试验设备技术方案进行综合评审，内容包括:</w:t>
            </w:r>
            <w:r>
              <w:rPr>
                <w:rFonts w:hint="eastAsia" w:ascii="宋体" w:hAnsi="宋体" w:eastAsia="宋体" w:cs="宋体"/>
                <w:color w:val="000000"/>
                <w:sz w:val="24"/>
                <w:highlight w:val="none"/>
                <w:lang w:eastAsia="zh-CN"/>
              </w:rPr>
              <w:t xml:space="preserve">①</w:t>
            </w:r>
            <w:r>
              <w:rPr>
                <w:rFonts w:hint="eastAsia" w:ascii="宋体" w:hAnsi="宋体" w:eastAsia="宋体" w:cs="宋体"/>
                <w:color w:val="000000"/>
                <w:sz w:val="24"/>
                <w:highlight w:val="none"/>
              </w:rPr>
              <w:t xml:space="preserve">箱体结构介绍</w:t>
            </w:r>
            <w:r>
              <w:rPr>
                <w:rFonts w:hint="eastAsia" w:ascii="宋体" w:hAnsi="宋体" w:eastAsia="宋体" w:cs="宋体"/>
                <w:color w:val="000000"/>
                <w:sz w:val="24"/>
                <w:highlight w:val="none"/>
                <w:lang w:eastAsia="zh-CN"/>
              </w:rPr>
              <w:t xml:space="preserve">、②</w:t>
            </w:r>
            <w:r>
              <w:rPr>
                <w:rFonts w:hint="eastAsia" w:ascii="宋体" w:hAnsi="宋体" w:eastAsia="宋体" w:cs="宋体"/>
                <w:color w:val="000000"/>
                <w:sz w:val="24"/>
                <w:highlight w:val="none"/>
              </w:rPr>
              <w:t xml:space="preserve">加湿系统介绍</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rPr>
              <w:t xml:space="preserve">制冷系统介绍</w:t>
            </w: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rPr>
              <w:t xml:space="preserve">电气控制系统介绍</w:t>
            </w:r>
            <w:r>
              <w:rPr>
                <w:rFonts w:hint="eastAsia" w:ascii="宋体" w:hAnsi="宋体" w:eastAsia="宋体" w:cs="宋体"/>
                <w:color w:val="000000"/>
                <w:sz w:val="24"/>
                <w:highlight w:val="none"/>
                <w:lang w:eastAsia="zh-CN"/>
              </w:rPr>
              <w:t xml:space="preserve">、⑤</w:t>
            </w:r>
            <w:r>
              <w:rPr>
                <w:rFonts w:hint="eastAsia" w:ascii="宋体" w:hAnsi="宋体" w:eastAsia="宋体" w:cs="宋体"/>
                <w:color w:val="000000"/>
                <w:sz w:val="24"/>
                <w:highlight w:val="none"/>
              </w:rPr>
              <w:t xml:space="preserve">测控系统介绍。每个方面满分</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分，每个方面缺失扣</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分，每个方面每有一处内容存在缺陷或不足的扣</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分扣完为止。本项最多得5分。</w:t>
            </w:r>
            <w:r>
              <w:rPr>
                <w:rFonts w:hint="eastAsia" w:ascii="宋体" w:hAnsi="宋体" w:eastAsia="宋体" w:cs="宋体"/>
                <w:color w:val="000000"/>
                <w:sz w:val="24"/>
                <w:highlight w:val="none"/>
              </w:rPr>
            </w:r>
            <w:r/>
          </w:p>
          <w:p>
            <w:pPr>
              <w:pStyle w:val="1503"/>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1055"/>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系统智能化介绍</w:t>
            </w:r>
            <w:r>
              <w:rPr>
                <w:rFonts w:hint="eastAsia" w:ascii="宋体" w:hAnsi="宋体" w:eastAsia="宋体" w:cs="宋体"/>
                <w:b/>
                <w:color w:val="000000"/>
                <w:sz w:val="24"/>
                <w:highlight w:val="none"/>
              </w:rPr>
            </w:r>
            <w:r/>
          </w:p>
        </w:tc>
        <w:tc>
          <w:tcPr>
            <w:tcW w:w="5319" w:type="dxa"/>
            <w:vAlign w:val="center"/>
            <w:textDirection w:val="lrTb"/>
            <w:noWrap/>
          </w:tcPr>
          <w:p>
            <w:pPr>
              <w:pStyle w:val="1503"/>
              <w:ind w:firstLine="48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评标委员会根据投标人提供的设备智能化优势介绍材料进行综合评审，内容包括①智能化功能配置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②智能化功能对用户实际使用的</w:t>
            </w:r>
            <w:r>
              <w:rPr>
                <w:rFonts w:hint="eastAsia" w:ascii="宋体" w:hAnsi="宋体" w:eastAsia="宋体" w:cs="宋体"/>
                <w:color w:val="000000"/>
                <w:sz w:val="24"/>
                <w:highlight w:val="none"/>
                <w:lang w:eastAsia="zh-CN"/>
              </w:rPr>
              <w:t xml:space="preserve">便捷性</w:t>
            </w:r>
            <w:r>
              <w:rPr>
                <w:rFonts w:hint="eastAsia" w:ascii="宋体" w:hAnsi="宋体" w:eastAsia="宋体" w:cs="宋体"/>
                <w:color w:val="000000"/>
                <w:sz w:val="24"/>
                <w:highlight w:val="none"/>
              </w:rPr>
              <w:t xml:space="preserve">。每个方面满分2.5分，每个方面缺失扣2.5分，每个方面每有一处内容存在缺陷或不足的扣1分，2.5分扣完为止。本项最多得5分。</w:t>
            </w:r>
            <w:r>
              <w:rPr>
                <w:rFonts w:hint="eastAsia" w:ascii="宋体" w:hAnsi="宋体" w:eastAsia="宋体" w:cs="宋体"/>
                <w:color w:val="000000"/>
                <w:highlight w:val="none"/>
              </w:rPr>
            </w:r>
            <w:r/>
          </w:p>
          <w:p>
            <w:pPr>
              <w:pStyle w:val="1503"/>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201"/>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商务响应</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对投标人商务响应情况进行评审。</w:t>
            </w:r>
            <w:r>
              <w:rPr>
                <w:rFonts w:hint="eastAsia" w:ascii="宋体" w:hAnsi="宋体" w:eastAsia="宋体" w:cs="宋体"/>
                <w:b/>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w:t>
            </w:r>
            <w:r>
              <w:rPr>
                <w:rFonts w:hint="eastAsia" w:ascii="宋体" w:hAnsi="宋体" w:eastAsia="宋体" w:cs="宋体"/>
                <w:b/>
                <w:color w:val="000000"/>
                <w:sz w:val="24"/>
                <w:highlight w:val="none"/>
              </w:rPr>
            </w:r>
            <w:r/>
          </w:p>
        </w:tc>
      </w:tr>
      <w:tr>
        <w:trPr>
          <w:trHeight w:val="1055"/>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案例证明</w:t>
            </w:r>
            <w:r>
              <w:rPr>
                <w:rFonts w:hint="eastAsia" w:ascii="宋体" w:hAnsi="宋体" w:eastAsia="宋体" w:cs="宋体"/>
                <w:b/>
                <w:color w:val="000000"/>
                <w:sz w:val="24"/>
                <w:highlight w:val="none"/>
              </w:rPr>
            </w:r>
            <w:r/>
          </w:p>
        </w:tc>
        <w:tc>
          <w:tcPr>
            <w:tcW w:w="5319" w:type="dxa"/>
            <w:vAlign w:val="center"/>
            <w:textDirection w:val="lrTb"/>
            <w:noWrap/>
          </w:tcPr>
          <w:p>
            <w:pPr>
              <w:pStyle w:val="1503"/>
              <w:numPr>
                <w:ilvl w:val="0"/>
                <w:numId w:val="0"/>
              </w:numPr>
              <w:ind w:firstLine="480"/>
              <w:keepLines w:val="0"/>
              <w:keepNext w:val="0"/>
              <w:spacing w:before="100" w:after="10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投标人提供2023年1月1日起至本项目投标截止之日（以合同签订日期为准）所投产品同类型、同等主要功能规格的销售业绩。</w:t>
            </w:r>
            <w:r>
              <w:rPr>
                <w:rFonts w:hint="eastAsia" w:ascii="宋体" w:hAnsi="宋体" w:eastAsia="宋体" w:cs="宋体"/>
                <w:color w:val="000000"/>
                <w:sz w:val="24"/>
                <w:szCs w:val="24"/>
                <w:highlight w:val="none"/>
                <w:lang w:val="en-US" w:eastAsia="zh-CN" w:bidi="ar-SA"/>
              </w:rPr>
            </w:r>
            <w:r/>
          </w:p>
          <w:p>
            <w:pPr>
              <w:pStyle w:val="1503"/>
              <w:numPr>
                <w:ilvl w:val="0"/>
                <w:numId w:val="0"/>
              </w:numPr>
              <w:ind w:firstLine="480"/>
              <w:keepLines w:val="0"/>
              <w:keepNext w:val="0"/>
              <w:spacing w:before="100" w:after="10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定义说明】同类型同等主要功能规格：交变湿热试验箱、步入式高低温湿热试验箱、盐雾试验箱，指对应为同一大类环境试验设备，关键功能档次不低于本项目采购设备；一份合同内同时包含本采购包多种类型设备的，该份合同最多仅可计取其中一类设备得分，不得拆分重复计多个设备得分。</w:t>
            </w:r>
            <w:r>
              <w:rPr>
                <w:rFonts w:hint="eastAsia" w:ascii="宋体" w:hAnsi="宋体" w:eastAsia="宋体" w:cs="宋体"/>
                <w:color w:val="000000"/>
                <w:sz w:val="24"/>
                <w:szCs w:val="24"/>
                <w:highlight w:val="none"/>
                <w:lang w:val="en-US" w:eastAsia="zh-CN" w:bidi="ar-SA"/>
              </w:rPr>
            </w:r>
            <w:r/>
          </w:p>
          <w:p>
            <w:pPr>
              <w:pStyle w:val="1503"/>
              <w:numPr>
                <w:ilvl w:val="0"/>
                <w:numId w:val="0"/>
              </w:numPr>
              <w:ind w:firstLine="480"/>
              <w:keepLines w:val="0"/>
              <w:keepNext w:val="0"/>
              <w:spacing w:before="100" w:after="10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交变湿热试验箱、步入式高低温湿热试验箱、盐雾试验箱，每一类型设备每提供1份有效业绩得0.5分，单类设备最高得1分，三类设备合计最高得3分。</w:t>
            </w:r>
            <w:r>
              <w:rPr>
                <w:rFonts w:hint="eastAsia" w:ascii="宋体" w:hAnsi="宋体" w:eastAsia="宋体" w:cs="宋体"/>
                <w:color w:val="000000"/>
                <w:sz w:val="24"/>
                <w:szCs w:val="24"/>
                <w:highlight w:val="none"/>
                <w:lang w:val="en-US" w:eastAsia="zh-CN" w:bidi="ar-SA"/>
              </w:rPr>
            </w:r>
            <w:r/>
          </w:p>
          <w:p>
            <w:pPr>
              <w:pStyle w:val="1503"/>
              <w:numPr>
                <w:ilvl w:val="0"/>
                <w:numId w:val="0"/>
              </w:numPr>
              <w:ind w:firstLine="480"/>
              <w:keepLines w:val="0"/>
              <w:keepNext w:val="0"/>
              <w:spacing w:before="100" w:after="10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r>
            <w:r/>
          </w:p>
          <w:p>
            <w:pPr>
              <w:pStyle w:val="1503"/>
              <w:numPr>
                <w:ilvl w:val="0"/>
                <w:numId w:val="0"/>
              </w:numPr>
              <w:ind w:left="0" w:firstLine="480"/>
              <w:keepLines w:val="0"/>
              <w:keepNext w:val="0"/>
              <w:spacing w:before="100" w:beforeAutospacing="0" w:after="100" w:afterAutospacing="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①同一采购单位的业绩仅计取1次，不重复计分；</w:t>
            </w:r>
            <w:r>
              <w:rPr>
                <w:rFonts w:hint="eastAsia" w:ascii="宋体" w:hAnsi="宋体" w:eastAsia="宋体" w:cs="宋体"/>
                <w:color w:val="000000"/>
                <w:sz w:val="24"/>
                <w:szCs w:val="24"/>
                <w:highlight w:val="none"/>
                <w:lang w:val="en-US" w:eastAsia="zh-CN" w:bidi="ar-SA"/>
              </w:rPr>
            </w:r>
            <w:r/>
          </w:p>
          <w:p>
            <w:pPr>
              <w:pStyle w:val="1503"/>
              <w:numPr>
                <w:ilvl w:val="0"/>
                <w:numId w:val="0"/>
              </w:numPr>
              <w:ind w:left="0" w:firstLine="480"/>
              <w:keepLines w:val="0"/>
              <w:keepNext w:val="0"/>
              <w:spacing w:before="100" w:beforeAutospacing="0" w:after="100" w:afterAutospacing="0"/>
              <w:widowControl/>
              <w:tabs>
                <w:tab w:val="left" w:pos="720" w:leader="none"/>
              </w:tabs>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②业绩材料提供合同复印件，合同须清晰体现标的设备名称、品类规格；框架协议、意向合同不计为有效业绩；</w:t>
            </w:r>
            <w:r>
              <w:rPr>
                <w:rFonts w:hint="eastAsia" w:ascii="宋体" w:hAnsi="宋体" w:eastAsia="宋体" w:cs="宋体"/>
                <w:color w:val="000000"/>
                <w:sz w:val="24"/>
                <w:szCs w:val="24"/>
                <w:highlight w:val="none"/>
                <w:lang w:val="en-US" w:eastAsia="zh-CN" w:bidi="ar-SA"/>
              </w:rPr>
            </w:r>
            <w:r/>
          </w:p>
          <w:p>
            <w:pPr>
              <w:pStyle w:val="1503"/>
              <w:numPr>
                <w:ilvl w:val="0"/>
                <w:numId w:val="0"/>
              </w:numPr>
              <w:ind w:firstLine="480"/>
              <w:spacing w:before="100" w:after="100"/>
              <w:widowControl/>
              <w:tabs>
                <w:tab w:val="left" w:pos="72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③中标后采购人有权对业绩原件进行核查，必要时可要求补充提供发票或验收材料予以佐证。</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1055"/>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专利技术</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提供投标设备相关专利证书</w:t>
            </w:r>
            <w:r>
              <w:rPr>
                <w:rFonts w:hint="eastAsia" w:ascii="宋体" w:hAnsi="宋体" w:eastAsia="宋体" w:cs="宋体"/>
                <w:color w:val="000000"/>
                <w:sz w:val="24"/>
                <w:szCs w:val="24"/>
                <w:highlight w:val="none"/>
                <w:lang w:val="en-US" w:eastAsia="zh-CN" w:bidi="ar-SA"/>
              </w:rPr>
            </w:r>
            <w:r/>
          </w:p>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发明专利每个0.5分，最高1.5分；</w:t>
            </w:r>
            <w:r>
              <w:rPr>
                <w:rFonts w:hint="eastAsia" w:ascii="宋体" w:hAnsi="宋体" w:eastAsia="宋体" w:cs="宋体"/>
                <w:color w:val="000000"/>
                <w:sz w:val="24"/>
                <w:szCs w:val="24"/>
                <w:highlight w:val="none"/>
                <w:lang w:val="en-US" w:eastAsia="zh-CN" w:bidi="ar-SA"/>
              </w:rPr>
            </w:r>
            <w:r/>
          </w:p>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实用新型专利每个0.3分，最高1.5分。</w:t>
            </w:r>
            <w:r>
              <w:rPr>
                <w:rFonts w:hint="eastAsia" w:ascii="宋体" w:hAnsi="宋体" w:eastAsia="宋体" w:cs="宋体"/>
                <w:color w:val="000000"/>
                <w:sz w:val="24"/>
                <w:szCs w:val="24"/>
                <w:highlight w:val="none"/>
                <w:lang w:val="en-US" w:eastAsia="zh-CN" w:bidi="ar-SA"/>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896"/>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软著证书</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①提供所投产品制造商温湿度箱集中监控软件类相关软著证书得2.5分；</w:t>
            </w:r>
            <w:r>
              <w:rPr>
                <w:rFonts w:hint="eastAsia" w:ascii="宋体" w:hAnsi="宋体" w:eastAsia="宋体" w:cs="宋体"/>
                <w:color w:val="000000"/>
                <w:sz w:val="24"/>
                <w:szCs w:val="24"/>
                <w:highlight w:val="none"/>
                <w:lang w:val="en-US" w:eastAsia="zh-CN" w:bidi="ar-SA"/>
              </w:rPr>
            </w:r>
            <w:r/>
          </w:p>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②提供</w:t>
            </w:r>
            <w:r>
              <w:rPr>
                <w:rFonts w:hint="eastAsia" w:ascii="宋体" w:hAnsi="宋体" w:eastAsia="宋体" w:cs="宋体"/>
                <w:color w:val="000000"/>
                <w:sz w:val="24"/>
                <w:szCs w:val="24"/>
                <w:highlight w:val="none"/>
                <w:lang w:val="en-US" w:eastAsia="zh-CN" w:bidi="ar-SA"/>
              </w:rPr>
              <w:t xml:space="preserve">所投产品制造商</w:t>
            </w:r>
            <w:r>
              <w:rPr>
                <w:rFonts w:hint="eastAsia" w:ascii="宋体" w:hAnsi="宋体" w:eastAsia="宋体" w:cs="宋体"/>
                <w:color w:val="000000"/>
                <w:sz w:val="24"/>
                <w:szCs w:val="24"/>
                <w:highlight w:val="none"/>
                <w:lang w:val="en-US" w:eastAsia="zh-CN" w:bidi="ar-SA"/>
              </w:rPr>
              <w:t xml:space="preserve">盐雾箱盐雾控制软件类相关软著证书得2.5分。</w:t>
            </w:r>
            <w:r>
              <w:rPr>
                <w:rFonts w:hint="eastAsia" w:ascii="宋体" w:hAnsi="宋体" w:eastAsia="宋体" w:cs="宋体"/>
                <w:color w:val="000000"/>
                <w:sz w:val="24"/>
                <w:szCs w:val="24"/>
                <w:highlight w:val="none"/>
                <w:lang w:val="en-US" w:eastAsia="zh-CN" w:bidi="ar-SA"/>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r>
      <w:tr>
        <w:trPr>
          <w:trHeight w:val="896"/>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2.4</w:t>
            </w:r>
            <w:r>
              <w:rPr>
                <w:rFonts w:hint="eastAsia" w:ascii="宋体" w:hAnsi="宋体" w:eastAsia="宋体" w:cs="宋体"/>
                <w:b/>
                <w:color w:val="000000"/>
                <w:sz w:val="24"/>
                <w:highlight w:val="none"/>
              </w:rPr>
            </w:r>
            <w:r/>
          </w:p>
        </w:tc>
        <w:tc>
          <w:tcPr>
            <w:tcW w:w="1276" w:type="dxa"/>
            <w:vAlign w:val="center"/>
            <w:textDirection w:val="lrTb"/>
            <w:noWrap/>
          </w:tcPr>
          <w:p>
            <w:pPr>
              <w:pStyle w:val="1503"/>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服务与售后实施方案</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委员会根据投标人提供的项目售后服务及培训、维保、现场安装方案进行综合评审，内容包括：①售后服务与维保保障方案、②操作人员培训实施方案、③售后响应及时性方案、④现场安装方案，每个方面满分3分，每个方面缺失扣3分，每个方面每有一处内容存在缺陷或不足的扣1分，3分扣完为止。本项最多得12分。</w:t>
            </w:r>
            <w:r>
              <w:rPr>
                <w:rFonts w:hint="eastAsia" w:ascii="宋体" w:hAnsi="宋体" w:eastAsia="宋体" w:cs="宋体"/>
                <w:color w:val="000000"/>
                <w:sz w:val="24"/>
                <w:szCs w:val="24"/>
                <w:highlight w:val="none"/>
                <w:lang w:val="en-US" w:eastAsia="zh-CN" w:bidi="ar-SA"/>
              </w:rPr>
            </w:r>
            <w:r/>
          </w:p>
          <w:p>
            <w:pPr>
              <w:pStyle w:val="1503"/>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szCs w:val="24"/>
                <w:highlight w:val="none"/>
                <w:lang w:val="en-US" w:eastAsia="zh-CN" w:bidi="ar-SA"/>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r>
      <w:tr>
        <w:trPr>
          <w:trHeight w:val="667"/>
        </w:trPr>
        <w:tc>
          <w:tcPr>
            <w:tcW w:w="7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w:t>
            </w:r>
            <w:r>
              <w:rPr>
                <w:rFonts w:hint="eastAsia" w:ascii="宋体" w:hAnsi="宋体" w:eastAsia="宋体" w:cs="宋体"/>
                <w:b/>
                <w:color w:val="000000"/>
                <w:sz w:val="24"/>
                <w:highlight w:val="none"/>
              </w:rPr>
            </w:r>
            <w:r/>
          </w:p>
        </w:tc>
        <w:tc>
          <w:tcPr>
            <w:tcW w:w="1276" w:type="dxa"/>
            <w:vAlign w:val="center"/>
            <w:textDirection w:val="lrTb"/>
            <w:noWrap/>
          </w:tcPr>
          <w:p>
            <w:pPr>
              <w:pStyle w:val="150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质保</w:t>
            </w:r>
            <w:r>
              <w:rPr>
                <w:rFonts w:hint="eastAsia" w:ascii="宋体" w:hAnsi="宋体" w:eastAsia="宋体" w:cs="宋体"/>
                <w:b/>
                <w:color w:val="000000"/>
                <w:sz w:val="24"/>
                <w:highlight w:val="none"/>
              </w:rPr>
            </w:r>
            <w:r/>
          </w:p>
        </w:tc>
        <w:tc>
          <w:tcPr>
            <w:tcW w:w="5319"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在满足招标文件要求原厂质保</w:t>
            </w:r>
            <w:r>
              <w:rPr>
                <w:rFonts w:hint="eastAsia" w:ascii="宋体" w:hAnsi="宋体" w:eastAsia="宋体" w:cs="宋体"/>
                <w:color w:val="000000"/>
                <w:sz w:val="24"/>
                <w:highlight w:val="none"/>
                <w:lang w:val="en-US" w:eastAsia="zh-CN"/>
              </w:rPr>
              <w:t xml:space="preserve">2年</w:t>
            </w:r>
            <w:r>
              <w:rPr>
                <w:rFonts w:hint="eastAsia" w:ascii="宋体" w:hAnsi="宋体" w:eastAsia="宋体" w:cs="宋体"/>
                <w:color w:val="000000"/>
                <w:sz w:val="24"/>
                <w:highlight w:val="none"/>
              </w:rPr>
              <w:t xml:space="preserve">的基础上，承诺每增加1年</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rPr>
              <w:t xml:space="preserve">1分，最多得2分（投标时提供承诺函，格式自拟）（若投标文件中出现前后不一致的情况，以最低免费质保期作为评分依据）。</w:t>
            </w:r>
            <w:r>
              <w:rPr>
                <w:rFonts w:hint="eastAsia" w:ascii="宋体" w:hAnsi="宋体" w:eastAsia="宋体" w:cs="宋体"/>
                <w:color w:val="000000"/>
                <w:sz w:val="24"/>
                <w:highlight w:val="none"/>
              </w:rPr>
            </w:r>
            <w:r/>
          </w:p>
        </w:tc>
        <w:tc>
          <w:tcPr>
            <w:tcW w:w="936"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bl>
    <w:p>
      <w:pPr>
        <w:pStyle w:val="1503"/>
        <w:ind w:firstLine="482"/>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503"/>
        <w:ind w:firstLine="482"/>
        <w:spacing w:line="4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包4评分标准</w:t>
      </w:r>
      <w:r>
        <w:rPr>
          <w:rFonts w:hint="eastAsia" w:ascii="宋体" w:hAnsi="宋体" w:eastAsia="宋体" w:cs="宋体"/>
          <w:b/>
          <w:color w:val="000000"/>
          <w:sz w:val="24"/>
          <w:highlight w:val="none"/>
        </w:rPr>
      </w:r>
      <w:r/>
    </w:p>
    <w:tbl>
      <w:tblPr>
        <w:tblW w:w="86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
        <w:gridCol w:w="540"/>
        <w:gridCol w:w="1248"/>
        <w:gridCol w:w="5712"/>
        <w:gridCol w:w="709"/>
      </w:tblGrid>
      <w:tr>
        <w:trPr>
          <w:trHeight w:val="284"/>
          <w:tblHeader/>
        </w:trPr>
        <w:tc>
          <w:tcPr>
            <w:tcW w:w="430"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gridSpan w:val="2"/>
            <w:tcW w:w="1788" w:type="dxa"/>
            <w:vAlign w:val="center"/>
            <w:textDirection w:val="lrTb"/>
            <w:noWrap/>
          </w:tcPr>
          <w:p>
            <w:pPr>
              <w:pStyle w:val="1503"/>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评审因素</w:t>
            </w:r>
            <w:r>
              <w:rPr>
                <w:rFonts w:hint="eastAsia" w:ascii="宋体" w:hAnsi="宋体" w:eastAsia="宋体" w:cs="宋体"/>
                <w:b/>
                <w:color w:val="000000"/>
                <w:sz w:val="24"/>
                <w:highlight w:val="none"/>
              </w:rPr>
            </w:r>
            <w:r/>
          </w:p>
        </w:tc>
        <w:tc>
          <w:tcPr>
            <w:tcW w:w="5712" w:type="dxa"/>
            <w:vAlign w:val="center"/>
            <w:textDirection w:val="lrTb"/>
            <w:noWrap/>
          </w:tcPr>
          <w:p>
            <w:pPr>
              <w:pStyle w:val="150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评审标准</w:t>
            </w:r>
            <w:r>
              <w:rPr>
                <w:rFonts w:hint="eastAsia" w:ascii="宋体" w:hAnsi="宋体" w:eastAsia="宋体" w:cs="宋体"/>
                <w:b/>
                <w:color w:val="000000"/>
                <w:sz w:val="24"/>
                <w:highlight w:val="none"/>
              </w:rPr>
            </w:r>
            <w:r/>
          </w:p>
        </w:tc>
        <w:tc>
          <w:tcPr>
            <w:tcW w:w="709" w:type="dxa"/>
            <w:vAlign w:val="center"/>
            <w:textDirection w:val="lrTb"/>
            <w:noWrap/>
          </w:tcPr>
          <w:p>
            <w:pPr>
              <w:pStyle w:val="150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rPr>
                <w:rFonts w:hint="eastAsia" w:ascii="宋体" w:hAnsi="宋体" w:eastAsia="宋体" w:cs="宋体"/>
                <w:b/>
                <w:color w:val="000000"/>
                <w:sz w:val="24"/>
                <w:highlight w:val="none"/>
              </w:rPr>
            </w:r>
            <w:r/>
          </w:p>
        </w:tc>
      </w:tr>
      <w:tr>
        <w:trPr>
          <w:trHeight w:val="50"/>
        </w:trPr>
        <w:tc>
          <w:tcPr>
            <w:tcW w:w="430" w:type="dxa"/>
            <w:vAlign w:val="center"/>
            <w:vMerge w:val="restart"/>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540" w:type="dxa"/>
            <w:vAlign w:val="center"/>
            <w:vMerge w:val="restart"/>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技术分</w:t>
            </w: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技术方案</w:t>
            </w:r>
            <w:r>
              <w:rPr>
                <w:rFonts w:hint="eastAsia" w:ascii="宋体" w:hAnsi="宋体" w:eastAsia="宋体" w:cs="宋体"/>
                <w:color w:val="000000"/>
                <w:sz w:val="24"/>
                <w:highlight w:val="none"/>
              </w:rPr>
            </w:r>
            <w:r/>
          </w:p>
        </w:tc>
        <w:tc>
          <w:tcPr>
            <w:tcW w:w="5712"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评标委员会根据投标人提供的技术方案进行综合评审，内容包括①需求匹配针对性②方案内容完整性；③技术选型合理性④现场可实施性⑤风险预判及应对措施。</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每个方面满分3分，每个方面缺失扣3分，每个方面每有一处内容存在缺陷或不足的扣1分，3分扣完为止。本项最多得15分。</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709"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rHeight w:val="271"/>
        </w:trPr>
        <w:tc>
          <w:tcPr>
            <w:tcW w:w="43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技术参数响应</w:t>
            </w:r>
            <w:r>
              <w:rPr>
                <w:rFonts w:hint="eastAsia" w:ascii="宋体" w:hAnsi="宋体" w:eastAsia="宋体" w:cs="宋体"/>
                <w:color w:val="000000"/>
                <w:sz w:val="24"/>
                <w:highlight w:val="none"/>
              </w:rPr>
            </w:r>
            <w:r/>
          </w:p>
        </w:tc>
        <w:tc>
          <w:tcPr>
            <w:tcW w:w="5712" w:type="dxa"/>
            <w:vAlign w:val="center"/>
            <w:textDirection w:val="lrTb"/>
            <w:noWrap/>
          </w:tcPr>
          <w:p>
            <w:pPr>
              <w:pStyle w:val="1503"/>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完全满足招标文件要求的，每一项重要响应指标不满足或负偏离扣0.5分，每一项非重要响应指标不满足或负偏离减0.25分，全部满足得20分；优于招标要求的正偏离每项加0.5分，累计加分不超过5分。</w:t>
            </w:r>
            <w:r>
              <w:rPr>
                <w:rFonts w:hint="eastAsia" w:ascii="宋体" w:hAnsi="宋体" w:eastAsia="宋体" w:cs="宋体"/>
                <w:color w:val="000000"/>
                <w:sz w:val="24"/>
                <w:highlight w:val="none"/>
              </w:rPr>
            </w:r>
            <w:r/>
          </w:p>
          <w:p>
            <w:pPr>
              <w:pStyle w:val="1666"/>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招标文件</w:t>
            </w:r>
            <w:r>
              <w:rPr>
                <w:rFonts w:hint="eastAsia" w:eastAsia="宋体" w:cs="宋体"/>
                <w:b w:val="0"/>
                <w:bCs w:val="0"/>
                <w:color w:val="000000"/>
                <w:sz w:val="24"/>
                <w:szCs w:val="24"/>
                <w:highlight w:val="none"/>
                <w:lang w:eastAsia="zh-CN"/>
              </w:rPr>
              <w:t xml:space="preserve">技术要求</w:t>
            </w:r>
            <w:r>
              <w:rPr>
                <w:rFonts w:hint="eastAsia" w:ascii="宋体" w:hAnsi="宋体" w:eastAsia="宋体" w:cs="宋体"/>
                <w:b w:val="0"/>
                <w:bCs w:val="0"/>
                <w:color w:val="000000"/>
                <w:sz w:val="24"/>
                <w:szCs w:val="24"/>
                <w:highlight w:val="none"/>
              </w:rPr>
              <w:t xml:space="preserve">中</w:t>
            </w:r>
            <w:r>
              <w:rPr>
                <w:rFonts w:hint="eastAsia" w:ascii="宋体" w:hAnsi="宋体" w:eastAsia="宋体" w:cs="宋体"/>
                <w:b w:val="0"/>
                <w:bCs w:val="0"/>
                <w:color w:val="000000"/>
                <w:sz w:val="24"/>
                <w:highlight w:val="none"/>
              </w:rPr>
              <w:t xml:space="preserve">标注“★”的参数为实质性要求，负偏离作无效投标处理；标注</w:t>
            </w:r>
            <w:r>
              <w:rPr>
                <w:rFonts w:hint="eastAsia" w:ascii="宋体" w:hAnsi="宋体" w:eastAsia="宋体" w:cs="宋体"/>
                <w:b w:val="0"/>
                <w:bCs w:val="0"/>
                <w:color w:val="000000"/>
                <w:sz w:val="24"/>
                <w:szCs w:val="24"/>
                <w:highlight w:val="none"/>
              </w:rPr>
              <w:t xml:space="preserve">“▲”标志的为重要响应指标，其余为非重要响应指标。</w:t>
            </w:r>
            <w:r>
              <w:rPr>
                <w:rFonts w:hint="eastAsia" w:ascii="宋体" w:hAnsi="宋体" w:eastAsia="宋体" w:cs="宋体"/>
                <w:b w:val="0"/>
                <w:bCs w:val="0"/>
                <w:color w:val="000000"/>
                <w:sz w:val="24"/>
                <w:szCs w:val="24"/>
                <w:highlight w:val="none"/>
              </w:rPr>
            </w:r>
            <w:r/>
          </w:p>
          <w:p>
            <w:pPr>
              <w:pStyle w:val="1666"/>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注：投标人提供《技术部分参数响应偏离表》，重要响应指标及招标文件中要求提供证明材料的，投标文件应按照招标文件要求提供证明材料</w:t>
            </w:r>
            <w:r>
              <w:rPr>
                <w:rFonts w:hint="eastAsia" w:eastAsia="宋体" w:cs="宋体"/>
                <w:color w:val="000000"/>
                <w:sz w:val="24"/>
                <w:szCs w:val="24"/>
                <w:highlight w:val="none"/>
                <w:lang w:eastAsia="zh-CN"/>
              </w:rPr>
              <w:t xml:space="preserve">，不提供或提供不满足要求的视为负偏离</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tc>
        <w:tc>
          <w:tcPr>
            <w:tcW w:w="709"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rPr>
            </w:r>
            <w:r/>
          </w:p>
        </w:tc>
      </w:tr>
      <w:tr>
        <w:trPr>
          <w:trHeight w:val="455"/>
        </w:trPr>
        <w:tc>
          <w:tcPr>
            <w:tcW w:w="43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安装调试与实施</w:t>
            </w:r>
            <w:r>
              <w:rPr>
                <w:rFonts w:hint="eastAsia" w:ascii="宋体" w:hAnsi="宋体" w:eastAsia="宋体" w:cs="宋体"/>
                <w:color w:val="000000"/>
                <w:sz w:val="24"/>
                <w:highlight w:val="none"/>
              </w:rPr>
            </w:r>
            <w:r/>
          </w:p>
        </w:tc>
        <w:tc>
          <w:tcPr>
            <w:tcW w:w="5712"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评标委员会根据投标人提供的项目实施计划、安装调试方案、人员配置及工期保障进行综合评审，内容包括①实施计划与安装调试方案②项目人员配置及工期保障措施。</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每个方面满分3分，每个方面缺失扣3分，每个方面每有一处内容存在缺陷或不足的扣1分，3分扣完为止。本项最多得6分。</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709"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r>
      <w:tr>
        <w:trPr>
          <w:trHeight w:val="455"/>
        </w:trPr>
        <w:tc>
          <w:tcPr>
            <w:tcW w:w="43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w:t>
            </w:r>
            <w:r>
              <w:rPr>
                <w:rFonts w:hint="eastAsia" w:ascii="宋体" w:hAnsi="宋体" w:eastAsia="宋体" w:cs="宋体"/>
                <w:color w:val="000000"/>
                <w:sz w:val="24"/>
                <w:highlight w:val="none"/>
              </w:rPr>
            </w:r>
            <w:r/>
          </w:p>
        </w:tc>
        <w:tc>
          <w:tcPr>
            <w:tcW w:w="5712"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评标委员会根据投标人提供的项目售后服务及培训、维保方案进行综合评审，内容包括：</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①售后服务与维保保障方案</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②操作人员培训实施方案</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③售后响应及时性方案</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每个方面满分4分，每个方面缺失扣4分，每个方面每有一处内容存在缺陷或不足的扣1分，4分扣完为止。本项最多得12分。</w:t>
            </w:r>
            <w:r>
              <w:rPr>
                <w:rFonts w:hint="eastAsia" w:ascii="宋体" w:hAnsi="宋体" w:eastAsia="宋体" w:cs="宋体"/>
                <w:color w:val="000000"/>
                <w:sz w:val="24"/>
                <w:highlight w:val="none"/>
              </w:rPr>
            </w:r>
            <w:r/>
          </w:p>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4"/>
                <w:highlight w:val="none"/>
              </w:rPr>
            </w:r>
            <w:r/>
          </w:p>
        </w:tc>
        <w:tc>
          <w:tcPr>
            <w:tcW w:w="709"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r>
      <w:tr>
        <w:trPr>
          <w:trHeight w:val="455"/>
        </w:trPr>
        <w:tc>
          <w:tcPr>
            <w:tcW w:w="430" w:type="dxa"/>
            <w:vAlign w:val="center"/>
            <w:vMerge w:val="restart"/>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540" w:type="dxa"/>
            <w:vAlign w:val="center"/>
            <w:vMerge w:val="restart"/>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商务分</w:t>
            </w: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企业资质</w:t>
            </w:r>
            <w:r>
              <w:rPr>
                <w:rFonts w:hint="eastAsia" w:ascii="宋体" w:hAnsi="宋体" w:eastAsia="宋体" w:cs="宋体"/>
                <w:color w:val="000000"/>
                <w:sz w:val="24"/>
                <w:highlight w:val="none"/>
              </w:rPr>
            </w:r>
            <w:r/>
          </w:p>
        </w:tc>
        <w:tc>
          <w:tcPr>
            <w:tcW w:w="5712"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具有ISO9001质量管理体系认证得2分（以有效证书复印件为评审依据）。</w:t>
            </w:r>
            <w:r>
              <w:rPr>
                <w:rFonts w:hint="eastAsia" w:ascii="宋体" w:hAnsi="宋体" w:eastAsia="宋体" w:cs="宋体"/>
                <w:color w:val="000000"/>
                <w:sz w:val="24"/>
                <w:highlight w:val="none"/>
              </w:rPr>
            </w:r>
            <w:r/>
          </w:p>
        </w:tc>
        <w:tc>
          <w:tcPr>
            <w:tcW w:w="709"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trHeight w:val="753"/>
        </w:trPr>
        <w:tc>
          <w:tcPr>
            <w:tcW w:w="43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40" w:type="dxa"/>
            <w:vAlign w:val="center"/>
            <w:vMerge w:val="continue"/>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48"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业绩案例</w:t>
            </w:r>
            <w:r>
              <w:rPr>
                <w:rFonts w:hint="eastAsia" w:ascii="宋体" w:hAnsi="宋体" w:eastAsia="宋体" w:cs="宋体"/>
                <w:color w:val="000000"/>
                <w:sz w:val="24"/>
                <w:highlight w:val="none"/>
              </w:rPr>
            </w:r>
            <w:r/>
          </w:p>
        </w:tc>
        <w:tc>
          <w:tcPr>
            <w:tcW w:w="5712" w:type="dxa"/>
            <w:vAlign w:val="center"/>
            <w:textDirection w:val="lrTb"/>
            <w:noWrap/>
          </w:tcPr>
          <w:p>
            <w:pPr>
              <w:pStyle w:val="1503"/>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投标人自2023年1月1日以来（以合同签订时间为准）具有同类设备销售业绩：每提供1份有效合同（需同时提供中标通知书或验收报告）得2分，最高得10分。</w:t>
            </w:r>
            <w:r>
              <w:rPr>
                <w:rFonts w:hint="eastAsia" w:ascii="宋体" w:hAnsi="宋体" w:eastAsia="宋体" w:cs="宋体"/>
                <w:color w:val="000000"/>
                <w:sz w:val="24"/>
                <w:highlight w:val="none"/>
              </w:rPr>
            </w:r>
            <w:r/>
          </w:p>
        </w:tc>
        <w:tc>
          <w:tcPr>
            <w:tcW w:w="709" w:type="dxa"/>
            <w:vAlign w:val="center"/>
            <w:textDirection w:val="lrTb"/>
            <w:noWrap/>
          </w:tcPr>
          <w:p>
            <w:pPr>
              <w:pStyle w:val="150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r>
    </w:tbl>
    <w:p>
      <w:pPr>
        <w:pStyle w:val="1503"/>
        <w:ind w:firstLine="562"/>
        <w:spacing w:line="460" w:lineRule="exact"/>
        <w:rPr>
          <w:rFonts w:ascii="宋体" w:hAnsi="宋体" w:eastAsia="宋体" w:cs="宋体"/>
          <w:color w:val="000000"/>
          <w:sz w:val="28"/>
          <w:szCs w:val="28"/>
          <w:highlight w:val="none"/>
          <w:lang w:val="en-US" w:eastAsia="zh-CN"/>
        </w:rPr>
        <w:outlineLvl w:val="2"/>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t xml:space="preserve">30</w:t>
      </w:r>
      <w:r>
        <w:rPr>
          <w:rFonts w:hint="eastAsia" w:ascii="宋体" w:hAnsi="宋体" w:eastAsia="宋体" w:cs="宋体"/>
          <w:color w:val="000000"/>
          <w:sz w:val="28"/>
          <w:szCs w:val="28"/>
          <w:highlight w:val="none"/>
          <w:lang w:val="zh-CN"/>
        </w:rPr>
        <w:t xml:space="preserve">分</w:t>
      </w:r>
      <w:bookmarkEnd w:id="243"/>
      <w:r>
        <w:rPr>
          <w:rFonts w:hint="eastAsia" w:ascii="宋体" w:hAnsi="宋体" w:eastAsia="宋体" w:cs="宋体"/>
          <w:color w:val="000000"/>
          <w:sz w:val="28"/>
          <w:szCs w:val="28"/>
          <w:highlight w:val="none"/>
          <w:lang w:val="zh-CN"/>
        </w:rPr>
        <w:t xml:space="preserve">（适用于包</w:t>
      </w:r>
      <w:r>
        <w:rPr>
          <w:rFonts w:hint="eastAsia" w:ascii="宋体" w:hAnsi="宋体" w:eastAsia="宋体" w:cs="宋体"/>
          <w:color w:val="000000"/>
          <w:sz w:val="28"/>
          <w:szCs w:val="28"/>
          <w:highlight w:val="none"/>
          <w:lang w:val="en-US" w:eastAsia="zh-CN"/>
        </w:rPr>
        <w:t xml:space="preserve">1、包2、包3、包4）</w:t>
      </w:r>
      <w:r>
        <w:rPr>
          <w:rFonts w:ascii="宋体" w:hAnsi="宋体" w:eastAsia="宋体" w:cs="宋体"/>
          <w:color w:val="000000"/>
          <w:sz w:val="28"/>
          <w:szCs w:val="28"/>
          <w:highlight w:val="none"/>
          <w:lang w:val="en-US" w:eastAsia="zh-CN"/>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价格分统一采用低价优先法计算，即满足招标文件要求且投标价格最低的投标报价为各采购包评标基准价，其价格分为满分。其他投标人的价格分统一按照下列公式计算：</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投标报价得分=（评标基准价/投标报价）×30</w:t>
      </w:r>
      <w:r>
        <w:rPr>
          <w:rFonts w:hint="eastAsia" w:ascii="宋体" w:hAnsi="宋体" w:eastAsia="宋体" w:cs="宋体"/>
          <w:color w:val="000000"/>
          <w:sz w:val="28"/>
          <w:szCs w:val="28"/>
          <w:highlight w:val="none"/>
        </w:rPr>
      </w:r>
      <w:r/>
    </w:p>
    <w:p>
      <w:pPr>
        <w:pStyle w:val="150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
          <w:color w:val="000000"/>
          <w:sz w:val="28"/>
          <w:szCs w:val="28"/>
          <w:highlight w:val="none"/>
        </w:rPr>
      </w:r>
      <w:r/>
    </w:p>
    <w:p>
      <w:pPr>
        <w:pStyle w:val="1503"/>
        <w:spacing w:line="460" w:lineRule="exact"/>
        <w:rPr>
          <w:rFonts w:hint="eastAsia" w:ascii="宋体" w:hAnsi="宋体" w:eastAsia="宋体" w:cs="宋体"/>
          <w:bCs/>
          <w:color w:val="000000"/>
          <w:highlight w:val="none"/>
        </w:rPr>
        <w:outlineLvl w:val="2"/>
      </w:pPr>
      <w:r/>
      <w:bookmarkStart w:id="245" w:name="_Toc13123"/>
      <w:r>
        <w:rPr>
          <w:rFonts w:hint="eastAsia" w:ascii="宋体" w:hAnsi="宋体" w:eastAsia="宋体" w:cs="宋体"/>
          <w:b/>
          <w:color w:val="000000"/>
          <w:sz w:val="28"/>
          <w:szCs w:val="28"/>
          <w:highlight w:val="none"/>
        </w:rPr>
        <w:t xml:space="preserve">（五）</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Cs/>
          <w:color w:val="000000"/>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（一）采购本国产品的支持政策</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投标文件组成”的“附件1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5.投标人需按照招标文件的要求提供《关于符合本国产品标准的声明函》（以下简称《声明函》）（格式见附件2），如不提供将不享受本国产品价格评审优惠。</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8"/>
          <w:szCs w:val="28"/>
          <w:highlight w:val="none"/>
        </w:rPr>
      </w:r>
      <w:r/>
    </w:p>
    <w:p>
      <w:pPr>
        <w:pStyle w:val="1503"/>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Cs/>
          <w:color w:val="000000"/>
          <w:sz w:val="28"/>
          <w:szCs w:val="28"/>
          <w:highlight w:val="none"/>
        </w:rPr>
        <w:outlineLvl w:val="2"/>
      </w:pPr>
      <w:r>
        <w:rPr>
          <w:rFonts w:hint="eastAsia" w:ascii="宋体" w:hAnsi="宋体" w:eastAsia="宋体" w:cs="宋体"/>
          <w:b/>
          <w:color w:val="000000"/>
          <w:sz w:val="28"/>
          <w:szCs w:val="28"/>
          <w:highlight w:val="none"/>
        </w:rPr>
        <w:t xml:space="preserve">（六）中标人的确定</w:t>
      </w:r>
      <w:bookmarkEnd w:id="245"/>
      <w:r>
        <w:rPr>
          <w:rFonts w:hint="eastAsia" w:ascii="宋体" w:hAnsi="宋体" w:eastAsia="宋体" w:cs="宋体"/>
          <w:bCs/>
          <w:color w:val="000000"/>
          <w:sz w:val="28"/>
          <w:szCs w:val="28"/>
          <w:highlight w:val="none"/>
        </w:rPr>
      </w:r>
      <w:r/>
    </w:p>
    <w:p>
      <w:pPr>
        <w:pStyle w:val="1503"/>
        <w:ind w:firstLine="57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rPr>
          <w:rFonts w:hint="eastAsia" w:ascii="宋体" w:hAnsi="宋体" w:eastAsia="宋体" w:cs="宋体"/>
          <w:bCs/>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outlineLvl w:val="2"/>
      </w:pPr>
      <w:r/>
      <w:bookmarkStart w:id="246" w:name="_Toc13"/>
      <w:r>
        <w:rPr>
          <w:rFonts w:hint="eastAsia" w:ascii="宋体" w:hAnsi="宋体" w:eastAsia="宋体" w:cs="宋体"/>
          <w:b/>
          <w:color w:val="000000"/>
          <w:sz w:val="28"/>
          <w:szCs w:val="28"/>
          <w:highlight w:val="none"/>
        </w:rPr>
        <w:t xml:space="preserve">（七）公告中标结果</w:t>
      </w:r>
      <w:bookmarkEnd w:id="246"/>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1503"/>
        <w:ind w:firstLine="562"/>
        <w:spacing w:line="420" w:lineRule="exact"/>
        <w:rPr>
          <w:rFonts w:hint="eastAsia" w:ascii="宋体" w:hAnsi="宋体" w:eastAsia="宋体" w:cs="宋体"/>
          <w:b/>
          <w:bCs/>
          <w:color w:val="000000"/>
          <w:sz w:val="28"/>
          <w:szCs w:val="28"/>
          <w:highlight w:val="none"/>
        </w:rPr>
        <w:outlineLvl w:val="2"/>
      </w:pPr>
      <w:r/>
      <w:bookmarkStart w:id="247" w:name="_Toc27458"/>
      <w:r>
        <w:rPr>
          <w:rFonts w:hint="eastAsia" w:ascii="宋体" w:hAnsi="宋体" w:eastAsia="宋体" w:cs="宋体"/>
          <w:b/>
          <w:color w:val="000000"/>
          <w:sz w:val="28"/>
          <w:szCs w:val="28"/>
          <w:highlight w:val="none"/>
        </w:rPr>
        <w:t xml:space="preserve">（八）</w:t>
      </w:r>
      <w:r>
        <w:rPr>
          <w:rFonts w:hint="eastAsia" w:ascii="宋体" w:hAnsi="宋体" w:eastAsia="宋体" w:cs="宋体"/>
          <w:b/>
          <w:bCs/>
          <w:color w:val="000000"/>
          <w:sz w:val="28"/>
          <w:szCs w:val="28"/>
          <w:highlight w:val="none"/>
        </w:rPr>
        <w:t xml:space="preserve">发放中标通知书</w:t>
      </w:r>
      <w:bookmarkEnd w:id="247"/>
      <w:r>
        <w:rPr>
          <w:rFonts w:hint="eastAsia" w:ascii="宋体" w:hAnsi="宋体" w:eastAsia="宋体" w:cs="宋体"/>
          <w:b/>
          <w:bCs/>
          <w:color w:val="000000"/>
          <w:sz w:val="28"/>
          <w:szCs w:val="28"/>
          <w:highlight w:val="none"/>
        </w:rPr>
      </w:r>
      <w:r/>
    </w:p>
    <w:p>
      <w:pPr>
        <w:pStyle w:val="1503"/>
        <w:ind w:firstLine="560"/>
        <w:spacing w:line="42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公告中标结果的同时，采购人</w:t>
      </w:r>
      <w:r>
        <w:rPr>
          <w:rFonts w:hint="eastAsia" w:ascii="宋体" w:hAnsi="宋体" w:eastAsia="宋体" w:cs="宋体"/>
          <w:bCs/>
          <w:color w:val="000000"/>
          <w:sz w:val="28"/>
          <w:szCs w:val="28"/>
          <w:highlight w:val="none"/>
        </w:rPr>
        <w:t xml:space="preserve">向中标人发放中标通知书。</w:t>
      </w:r>
      <w:r>
        <w:rPr>
          <w:rFonts w:hint="eastAsia" w:ascii="宋体" w:hAnsi="宋体" w:eastAsia="宋体" w:cs="宋体"/>
          <w:bCs/>
          <w:color w:val="000000"/>
          <w:sz w:val="28"/>
          <w:szCs w:val="28"/>
          <w:highlight w:val="none"/>
        </w:rPr>
      </w:r>
      <w:r/>
    </w:p>
    <w:p>
      <w:pPr>
        <w:pStyle w:val="1503"/>
        <w:ind w:firstLine="560"/>
        <w:spacing w:line="42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中标通知书发出后，采购人不得违法改变中标结果，中标人无正当理由不得放弃中标。</w:t>
      </w:r>
      <w:r>
        <w:rPr>
          <w:rFonts w:hint="eastAsia" w:ascii="宋体" w:hAnsi="宋体" w:eastAsia="宋体" w:cs="宋体"/>
          <w:b/>
          <w:color w:val="000000"/>
          <w:sz w:val="28"/>
          <w:szCs w:val="28"/>
          <w:highlight w:val="none"/>
        </w:rPr>
      </w:r>
      <w:r/>
    </w:p>
    <w:p>
      <w:pPr>
        <w:pStyle w:val="1503"/>
        <w:ind w:firstLine="562"/>
        <w:spacing w:line="420" w:lineRule="exact"/>
        <w:rPr>
          <w:rFonts w:hint="eastAsia" w:ascii="宋体" w:hAnsi="宋体" w:eastAsia="宋体" w:cs="宋体"/>
          <w:b/>
          <w:color w:val="000000"/>
          <w:sz w:val="28"/>
          <w:szCs w:val="28"/>
          <w:highlight w:val="none"/>
        </w:rPr>
        <w:outlineLvl w:val="2"/>
      </w:pPr>
      <w:r/>
      <w:bookmarkStart w:id="248" w:name="_Toc19733"/>
      <w:r>
        <w:rPr>
          <w:rFonts w:hint="eastAsia" w:ascii="宋体" w:hAnsi="宋体" w:eastAsia="宋体" w:cs="宋体"/>
          <w:b/>
          <w:color w:val="000000"/>
          <w:sz w:val="28"/>
          <w:szCs w:val="28"/>
          <w:highlight w:val="none"/>
        </w:rPr>
        <w:t xml:space="preserve">（九）其他</w:t>
      </w:r>
      <w:bookmarkEnd w:id="248"/>
      <w:r>
        <w:rPr>
          <w:rFonts w:hint="eastAsia" w:ascii="宋体" w:hAnsi="宋体" w:eastAsia="宋体" w:cs="宋体"/>
          <w:b/>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当中标人无正当理由放弃中标，被查实存在影响中标结果的违法行为等情形，采购人有权按照政府采购相关法律法规的规定对其采取惩戒措施，包含但不限于列入采购失信人黑名单等措施。</w:t>
      </w:r>
      <w:r>
        <w:rPr>
          <w:rFonts w:hint="eastAsia" w:ascii="宋体" w:hAnsi="宋体" w:eastAsia="宋体" w:cs="宋体"/>
          <w:color w:val="000000"/>
          <w:sz w:val="28"/>
          <w:szCs w:val="28"/>
          <w:highlight w:val="none"/>
        </w:rPr>
      </w:r>
      <w:r/>
    </w:p>
    <w:p>
      <w:pPr>
        <w:pStyle w:val="1503"/>
        <w:ind w:firstLine="5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rPr>
          <w:rFonts w:hint="eastAsia" w:ascii="宋体" w:hAnsi="宋体" w:eastAsia="宋体" w:cs="宋体"/>
          <w:color w:val="000000"/>
          <w:sz w:val="28"/>
          <w:szCs w:val="28"/>
          <w:highlight w:val="none"/>
        </w:rPr>
      </w:r>
      <w:r/>
    </w:p>
    <w:p>
      <w:pPr>
        <w:pStyle w:val="1503"/>
        <w:jc w:val="center"/>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bookmarkStart w:id="249" w:name="_Toc23874"/>
      <w:r/>
      <w:bookmarkStart w:id="250" w:name="_Toc7997"/>
      <w:r>
        <w:rPr>
          <w:rFonts w:hint="eastAsia" w:ascii="宋体" w:hAnsi="宋体" w:eastAsia="宋体" w:cs="宋体"/>
          <w:bCs/>
          <w:color w:val="000000"/>
          <w:sz w:val="36"/>
          <w:szCs w:val="36"/>
          <w:highlight w:val="none"/>
        </w:rPr>
        <w:t xml:space="preserve">第五部分质疑与投诉</w:t>
      </w:r>
      <w:bookmarkEnd w:id="249"/>
      <w:r/>
      <w:bookmarkEnd w:id="250"/>
      <w:r>
        <w:rPr>
          <w:rFonts w:hint="eastAsia" w:ascii="宋体" w:hAnsi="宋体" w:eastAsia="宋体" w:cs="宋体"/>
          <w:bCs/>
          <w:color w:val="000000"/>
          <w:sz w:val="36"/>
          <w:szCs w:val="36"/>
          <w:highlight w:val="none"/>
        </w:rPr>
      </w:r>
      <w:r/>
    </w:p>
    <w:p>
      <w:pPr>
        <w:pStyle w:val="1503"/>
        <w:ind w:firstLine="560"/>
        <w:spacing w:line="460" w:lineRule="exact"/>
        <w:rPr>
          <w:rFonts w:hint="eastAsia" w:ascii="宋体" w:hAnsi="宋体" w:eastAsia="宋体" w:cs="宋体"/>
          <w:color w:val="000000"/>
          <w:sz w:val="28"/>
          <w:szCs w:val="28"/>
          <w:highlight w:val="none"/>
        </w:rPr>
        <w:outlineLvl w:val="1"/>
      </w:pPr>
      <w:r/>
      <w:bookmarkStart w:id="251" w:name="_Toc23571"/>
      <w:r>
        <w:rPr>
          <w:rFonts w:hint="eastAsia" w:ascii="宋体" w:hAnsi="宋体" w:eastAsia="宋体" w:cs="宋体"/>
          <w:color w:val="000000"/>
          <w:sz w:val="28"/>
          <w:szCs w:val="28"/>
          <w:highlight w:val="none"/>
        </w:rPr>
        <w:t xml:space="preserve">一、质疑事项</w:t>
      </w:r>
      <w:bookmarkEnd w:id="251"/>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1.提出质疑的投标人应当是参与所质疑项目采购活动的投标人。潜在投标人依法获取其可质疑的招标文件的，可以对招标文件提出质疑。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2.投标人认为招标文件、采购过程和采购结果使自己的权益受到损害的，可以在知道或应知其权益受到损害之日起七个工作日内，以书面形式向代理机构或采购人提出质疑。上述应知其权益受到损害之日，是指：</w:t>
      </w:r>
      <w:r>
        <w:rPr>
          <w:rFonts w:hint="eastAsia" w:ascii="宋体" w:hAnsi="宋体" w:eastAsia="宋体" w:cs="宋体"/>
          <w:color w:val="000000"/>
          <w:sz w:val="28"/>
          <w:szCs w:val="28"/>
          <w:highlight w:val="none"/>
        </w:rPr>
      </w:r>
      <w:r/>
    </w:p>
    <w:p>
      <w:pPr>
        <w:pStyle w:val="1507"/>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2.1对可以质疑的招标文件提出质疑的，为收到招标文件之日或者招标文件公告期限届满之日；采购项目开标后，不再接受投标人对采购文件（含更正公告等）内容的异议或质询（质疑）。</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outlineLvl w:val="2"/>
      </w:pPr>
      <w:r/>
      <w:bookmarkStart w:id="252" w:name="_Toc32024"/>
      <w:r>
        <w:rPr>
          <w:rFonts w:hint="eastAsia" w:ascii="宋体" w:hAnsi="宋体" w:eastAsia="宋体" w:cs="宋体"/>
          <w:b/>
          <w:bCs/>
          <w:color w:val="000000"/>
          <w:sz w:val="28"/>
          <w:szCs w:val="28"/>
          <w:highlight w:val="none"/>
        </w:rPr>
        <w:t xml:space="preserve">2.2</w:t>
      </w:r>
      <w:r>
        <w:rPr>
          <w:rFonts w:hint="eastAsia" w:ascii="宋体" w:hAnsi="宋体" w:eastAsia="宋体" w:cs="宋体"/>
          <w:b/>
          <w:bCs/>
          <w:color w:val="000000"/>
          <w:sz w:val="28"/>
          <w:szCs w:val="28"/>
          <w:highlight w:val="none"/>
        </w:rPr>
        <w:t xml:space="preserve">对采购过程提出质疑的，为各采购程序环节结束之日；</w:t>
      </w:r>
      <w:bookmarkEnd w:id="252"/>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投标人应当在法定质疑期内一次性提出针对同一采购程序环节的质疑。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3.质疑函必须按照本招标文件中《质疑函范本》要求的格式和内容进行填写。</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4.对招标方式、招标文件中项目需求、投标人资格条件、评审方法和评审标准、资格审查结果等应当由采购人答复的质疑，请向采购人提出，由采购人负责答复。投标人对其他事项的质疑，请向招标代理机构提出，由采购人或招标代理机构负责答复。</w:t>
      </w:r>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投标人提起质疑采取书面形式，可以现场送达，也可以邮寄。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采购人及招标代理机构质疑接收人及联系方式，见招标文件第一部分。</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5.投标人提出质疑应当提交质疑函和必要的证明材料，否则不予受理。质疑函应当包括下列内容：</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投标人的姓名或者名称、地址、邮编、联系人及联系电话；</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质疑项目的名称、编号；</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具体、明确的质疑事项和与质疑事项相关的请求；</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事实依据；</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必要的法律依据；</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提出质疑的日期。</w:t>
      </w:r>
      <w:r>
        <w:rPr>
          <w:rFonts w:hint="eastAsia" w:ascii="宋体" w:hAnsi="宋体" w:eastAsia="宋体" w:cs="宋体"/>
          <w:b/>
          <w:bCs/>
          <w:color w:val="000000"/>
          <w:sz w:val="28"/>
          <w:szCs w:val="28"/>
          <w:highlight w:val="none"/>
        </w:rPr>
      </w:r>
      <w:r/>
    </w:p>
    <w:p>
      <w:pPr>
        <w:pStyle w:val="1503"/>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投标人为自然人的，应当由本人签字；投标人为法人或者其他组织的，应当由法定代表人、主要负责人，或者其授权代表签字或者盖章，并加盖公章。</w:t>
      </w:r>
      <w:r>
        <w:rPr>
          <w:rFonts w:hint="eastAsia" w:ascii="宋体" w:hAnsi="宋体" w:eastAsia="宋体" w:cs="宋体"/>
          <w:b/>
          <w:bCs/>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6.以下情形的质疑不予受理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6.1内容不符合上述规定的质疑。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6.2超出采购法定期限的质疑。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6.3未参加招标活动的投标人或在招标活动中自身权益未受到损害的投标人所提出的质疑。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对不能提供相关佐证材料的、涉及商业秘密的、非书面形式的、非送达的、匿名的《质疑函》将不予受理。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相关佐证材料要具备客观性、关联性、合法性，无法查实的（如宣传册、媒体报道、猜测、推理等）不能作为佐证材料。</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招标单位或代理机构不负责搜集相关佐证材料等工作。</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outlineLvl w:val="1"/>
      </w:pPr>
      <w:r/>
      <w:bookmarkStart w:id="253" w:name="_Toc32547"/>
      <w:r>
        <w:rPr>
          <w:rFonts w:hint="eastAsia" w:ascii="宋体" w:hAnsi="宋体" w:eastAsia="宋体" w:cs="宋体"/>
          <w:color w:val="000000"/>
          <w:sz w:val="28"/>
          <w:szCs w:val="28"/>
          <w:highlight w:val="none"/>
        </w:rPr>
        <w:t xml:space="preserve">二、《质疑函》的受理和回复</w:t>
      </w:r>
      <w:bookmarkEnd w:id="253"/>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1.质疑函》须由质疑人的法定代表人或参加本次投标授权人送达招标单位和代理机构。</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3.对不符合提出质疑要求的，出具《质疑退回通知书》并提出相关补充材料要求，质疑人未在规定的时间内提供补充佐证材料的，视同放弃质疑。</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4.招标单位、代理机构负责将质疑人提出的质疑相关材料提供给相关专家或评标小组审核，并将审核意见回复质疑人。</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5.因质疑情况复杂，组织论证或审查时间较长的，采购人、代理机构以书面形式通知质疑人，可适当延长质疑回复处理时间。</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①质疑成立的处理。采购人或代理机构终止招标，并建议有关部门给相关当事人予以处理。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outlineLvl w:val="2"/>
      </w:pPr>
      <w:r/>
      <w:bookmarkStart w:id="254" w:name="_Toc18082"/>
      <w:r>
        <w:rPr>
          <w:rFonts w:hint="eastAsia" w:ascii="宋体" w:hAnsi="宋体" w:eastAsia="宋体" w:cs="宋体"/>
          <w:color w:val="000000"/>
          <w:sz w:val="28"/>
          <w:szCs w:val="28"/>
          <w:highlight w:val="none"/>
        </w:rPr>
        <w:t xml:space="preserve">②质疑不成立的处理。</w:t>
      </w:r>
      <w:bookmarkEnd w:id="254"/>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1）质疑人书面《申请撤回质疑函》的，不作违约处理。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2）质疑人在规定的时间内不配合进行质疑调查处理的，按自动撤回《质疑函》处理。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3）质疑人不按《质疑函》格式就提出质疑的，作违约处理。同时，视情列入不良投标人名单。</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4）质疑人虽提供了相关佐证材料，但不能证明其质疑成立的，采购人或代理机构请质疑人补充相关佐证材料，仍不能证明其质疑成立的，作违约处理。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5）质疑人不能提供相关佐证材料的，采购人、代理机构已指出，质疑人仍然坚持提出质疑的，作违约处理。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6）对明显有违事实的、经相关专家或评标小组认定无依据的、经其他投标人举证无依据的质疑，作违约处理，视情在采购人官网媒体予以披露。</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outlineLvl w:val="4"/>
      </w:pPr>
      <w:r>
        <w:rPr>
          <w:rFonts w:hint="eastAsia" w:ascii="宋体" w:hAnsi="宋体" w:eastAsia="宋体" w:cs="宋体"/>
          <w:color w:val="000000"/>
          <w:sz w:val="28"/>
          <w:szCs w:val="28"/>
          <w:highlight w:val="none"/>
        </w:rPr>
        <w:t xml:space="preserve">（7）质疑人承担使用虚假材料或恶意方式质疑的法律责任。</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三、无佐证材料的举报作违约处理。投标人不得进行不提供相关佐证材料（含无法查实的如宣传册、媒体报道、猜测、推理等）向有关部门的举报，否则作违约处理。</w:t>
      </w:r>
      <w:r>
        <w:rPr>
          <w:rFonts w:hint="eastAsia" w:ascii="宋体" w:hAnsi="宋体" w:eastAsia="宋体" w:cs="宋体"/>
          <w:color w:val="000000"/>
          <w:sz w:val="28"/>
          <w:szCs w:val="28"/>
          <w:highlight w:val="none"/>
        </w:rPr>
      </w:r>
      <w:r/>
    </w:p>
    <w:p>
      <w:pPr>
        <w:pStyle w:val="1503"/>
        <w:contextualSpacing/>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四、投诉不成立的作违约处理。投标人进行质疑后，采购人回复质疑不成立，投标人仍进行投诉的，并最终投诉不成立的，作违约处理。</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五、《质疑函》《质疑回复函》，质疑、举报、投诉不成立等相关情况，视情在采购人官网等相关媒体予以披露。</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Cs/>
          <w:color w:val="000000"/>
          <w:sz w:val="36"/>
          <w:szCs w:val="36"/>
          <w:highlight w:val="none"/>
        </w:rPr>
      </w:pPr>
      <w:r>
        <w:rPr>
          <w:rFonts w:hint="eastAsia" w:ascii="宋体" w:hAnsi="宋体" w:eastAsia="宋体" w:cs="宋体"/>
          <w:color w:val="000000"/>
          <w:sz w:val="28"/>
          <w:szCs w:val="28"/>
          <w:highlight w:val="none"/>
        </w:rPr>
        <w:t xml:space="preserve">六、质疑人对采购人或代理机构的答复不满意或者采购人、代理机构未在规定的时间内作出答复的，可以在答复期满后15个工作日内向相关监督管理部门投诉。</w:t>
      </w:r>
      <w:r>
        <w:rPr>
          <w:rFonts w:hint="eastAsia" w:ascii="宋体" w:hAnsi="宋体" w:eastAsia="宋体" w:cs="宋体"/>
          <w:bCs/>
          <w:color w:val="000000"/>
          <w:sz w:val="36"/>
          <w:szCs w:val="36"/>
          <w:highlight w:val="none"/>
        </w:rPr>
      </w:r>
      <w:r/>
    </w:p>
    <w:p>
      <w:pPr>
        <w:pStyle w:val="1503"/>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503"/>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503"/>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503"/>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1503"/>
        <w:jc w:val="center"/>
        <w:rPr>
          <w:rFonts w:hint="eastAsia" w:ascii="宋体" w:hAnsi="宋体" w:eastAsia="宋体" w:cs="宋体"/>
          <w:bCs/>
          <w:color w:val="000000"/>
          <w:sz w:val="36"/>
          <w:szCs w:val="36"/>
          <w:highlight w:val="none"/>
        </w:rPr>
        <w:outlineLvl w:val="0"/>
      </w:pPr>
      <w:r/>
      <w:bookmarkStart w:id="255" w:name="_Toc12704"/>
      <w:r/>
      <w:bookmarkStart w:id="256" w:name="_Toc20594"/>
      <w:r>
        <w:rPr>
          <w:rFonts w:hint="eastAsia" w:ascii="宋体" w:hAnsi="宋体" w:eastAsia="宋体" w:cs="宋体"/>
          <w:bCs/>
          <w:color w:val="000000"/>
          <w:sz w:val="36"/>
          <w:szCs w:val="36"/>
          <w:highlight w:val="none"/>
        </w:rPr>
        <w:t xml:space="preserve">第六部分投标文件组成</w:t>
      </w:r>
      <w:bookmarkEnd w:id="255"/>
      <w:r/>
      <w:bookmarkEnd w:id="256"/>
      <w:r>
        <w:rPr>
          <w:rFonts w:hint="eastAsia" w:ascii="宋体" w:hAnsi="宋体" w:eastAsia="宋体" w:cs="宋体"/>
          <w:bCs/>
          <w:color w:val="000000"/>
          <w:sz w:val="36"/>
          <w:szCs w:val="36"/>
          <w:highlight w:val="none"/>
        </w:rPr>
      </w:r>
      <w:r/>
    </w:p>
    <w:p>
      <w:pPr>
        <w:pStyle w:val="1503"/>
        <w:ind w:left="480"/>
        <w:spacing w:line="460" w:lineRule="exact"/>
        <w:rPr>
          <w:rFonts w:hint="eastAsia" w:ascii="宋体" w:hAnsi="宋体" w:eastAsia="宋体" w:cs="宋体"/>
          <w:b/>
          <w:color w:val="000000"/>
          <w:sz w:val="28"/>
          <w:szCs w:val="28"/>
          <w:highlight w:val="none"/>
        </w:rPr>
        <w:outlineLvl w:val="1"/>
      </w:pPr>
      <w:r/>
      <w:bookmarkStart w:id="257" w:name="_Toc30344"/>
      <w:r>
        <w:rPr>
          <w:rFonts w:hint="eastAsia" w:ascii="宋体" w:hAnsi="宋体" w:eastAsia="宋体" w:cs="宋体"/>
          <w:b/>
          <w:color w:val="000000"/>
          <w:sz w:val="28"/>
          <w:szCs w:val="28"/>
          <w:highlight w:val="none"/>
        </w:rPr>
        <w:t xml:space="preserve">一、基本目录</w:t>
      </w:r>
      <w:bookmarkEnd w:id="257"/>
      <w:r>
        <w:rPr>
          <w:rFonts w:hint="eastAsia" w:ascii="宋体" w:hAnsi="宋体" w:eastAsia="宋体" w:cs="宋体"/>
          <w:b/>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zh-CN"/>
        </w:rPr>
        <w:t xml:space="preserve">.开标一览表（</w:t>
      </w:r>
      <w:r>
        <w:rPr>
          <w:rFonts w:hint="eastAsia" w:ascii="宋体" w:hAnsi="宋体" w:eastAsia="宋体" w:cs="宋体"/>
          <w:bCs/>
          <w:color w:val="000000"/>
          <w:sz w:val="28"/>
          <w:szCs w:val="28"/>
          <w:highlight w:val="none"/>
        </w:rPr>
        <w:t xml:space="preserve">苏采云系统固定格式</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2.分项报价表（</w:t>
      </w:r>
      <w:r>
        <w:rPr>
          <w:rFonts w:hint="eastAsia" w:ascii="宋体" w:hAnsi="宋体" w:eastAsia="宋体" w:cs="宋体"/>
          <w:color w:val="000000"/>
          <w:sz w:val="28"/>
          <w:szCs w:val="28"/>
          <w:highlight w:val="none"/>
          <w:lang w:val="zh-CN"/>
        </w:rPr>
        <w:t xml:space="preserve">格式见附件</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3.关于符合本国产品标准的声明函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格式见附件</w:t>
      </w:r>
      <w:r>
        <w:rPr>
          <w:rFonts w:hint="eastAsia" w:ascii="宋体" w:hAnsi="宋体" w:eastAsia="宋体" w:cs="宋体"/>
          <w:color w:val="000000"/>
          <w:sz w:val="28"/>
          <w:szCs w:val="28"/>
          <w:highlight w:val="none"/>
        </w:rPr>
        <w:t xml:space="preserve">2）；</w:t>
      </w:r>
      <w:r>
        <w:rPr>
          <w:rFonts w:hint="eastAsia" w:ascii="宋体" w:hAnsi="宋体" w:eastAsia="宋体" w:cs="宋体"/>
          <w:bCs/>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en-US" w:eastAsia="zh-CN"/>
        </w:rPr>
        <w:t xml:space="preserve">4</w:t>
      </w:r>
      <w:r>
        <w:rPr>
          <w:rFonts w:hint="eastAsia" w:ascii="宋体" w:hAnsi="宋体" w:eastAsia="宋体" w:cs="宋体"/>
          <w:bCs/>
          <w:color w:val="000000"/>
          <w:sz w:val="28"/>
          <w:szCs w:val="28"/>
          <w:highlight w:val="none"/>
          <w:lang w:val="zh-CN"/>
        </w:rPr>
        <w:t xml:space="preserve">.技术要求响应及偏离表（格式见附件</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val="zh-CN"/>
        </w:rPr>
        <w:t xml:space="preserve">商务要求响应及偏离表（格式见附件</w:t>
      </w:r>
      <w:r>
        <w:rPr>
          <w:rFonts w:hint="eastAsia" w:ascii="宋体" w:hAnsi="宋体" w:eastAsia="宋体" w:cs="宋体"/>
          <w:bCs/>
          <w:color w:val="000000"/>
          <w:sz w:val="28"/>
          <w:szCs w:val="28"/>
          <w:highlight w:val="none"/>
          <w:lang w:val="en-US" w:eastAsia="zh-CN"/>
        </w:rPr>
        <w:t xml:space="preserve">4</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color w:val="000000"/>
          <w:sz w:val="28"/>
          <w:szCs w:val="28"/>
          <w:highlight w:val="none"/>
        </w:rPr>
      </w:r>
      <w:r/>
    </w:p>
    <w:p>
      <w:pPr>
        <w:pStyle w:val="1503"/>
        <w:ind w:firstLine="560"/>
        <w:spacing w:line="44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投标人信用承诺书</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格式见附件</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highlight w:val="none"/>
        </w:rPr>
      </w:r>
      <w:r/>
    </w:p>
    <w:p>
      <w:pPr>
        <w:pStyle w:val="1503"/>
        <w:ind w:left="480"/>
        <w:spacing w:line="460" w:lineRule="exact"/>
        <w:rPr>
          <w:rFonts w:hint="eastAsia" w:ascii="宋体" w:hAnsi="宋体" w:eastAsia="宋体" w:cs="宋体"/>
          <w:b/>
          <w:color w:val="000000"/>
          <w:sz w:val="28"/>
          <w:szCs w:val="28"/>
          <w:highlight w:val="none"/>
        </w:rPr>
        <w:outlineLvl w:val="1"/>
      </w:pPr>
      <w:r/>
      <w:bookmarkStart w:id="258" w:name="_Toc19557"/>
      <w:r>
        <w:rPr>
          <w:rFonts w:hint="eastAsia" w:ascii="宋体" w:hAnsi="宋体" w:eastAsia="宋体" w:cs="宋体"/>
          <w:b/>
          <w:color w:val="000000"/>
          <w:sz w:val="28"/>
          <w:szCs w:val="28"/>
          <w:highlight w:val="none"/>
        </w:rPr>
        <w:t xml:space="preserve">二、资格审查内容</w:t>
      </w:r>
      <w:bookmarkEnd w:id="258"/>
      <w:r>
        <w:rPr>
          <w:rFonts w:hint="eastAsia" w:ascii="宋体" w:hAnsi="宋体" w:eastAsia="宋体" w:cs="宋体"/>
          <w:b/>
          <w:color w:val="000000"/>
          <w:sz w:val="28"/>
          <w:szCs w:val="28"/>
          <w:highlight w:val="none"/>
        </w:rPr>
      </w:r>
      <w:r/>
    </w:p>
    <w:p>
      <w:pPr>
        <w:pStyle w:val="1503"/>
        <w:ind w:firstLine="560"/>
        <w:spacing w:line="4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w:t>
      </w:r>
      <w:r>
        <w:rPr>
          <w:rFonts w:hint="eastAsia" w:ascii="宋体" w:hAnsi="宋体" w:eastAsia="宋体" w:cs="宋体"/>
          <w:color w:val="000000"/>
          <w:sz w:val="28"/>
          <w:szCs w:val="28"/>
          <w:highlight w:val="none"/>
        </w:rPr>
        <w:t xml:space="preserve">中华人民共和国政府采购法</w:t>
      </w:r>
      <w:r>
        <w:rPr>
          <w:rFonts w:hint="eastAsia" w:ascii="宋体" w:hAnsi="宋体" w:eastAsia="宋体" w:cs="宋体"/>
          <w:color w:val="000000"/>
          <w:sz w:val="28"/>
          <w:szCs w:val="28"/>
          <w:highlight w:val="none"/>
        </w:rPr>
        <w:t xml:space="preserve">》第二十二条规定条件的承诺函</w:t>
      </w:r>
      <w:r>
        <w:rPr>
          <w:rFonts w:hint="eastAsia" w:ascii="宋体" w:hAnsi="宋体" w:eastAsia="宋体" w:cs="宋体"/>
          <w:color w:val="000000"/>
          <w:sz w:val="28"/>
          <w:szCs w:val="28"/>
          <w:highlight w:val="none"/>
          <w:lang w:val="zh-CN"/>
        </w:rPr>
        <w:t xml:space="preserve">（格式见附件</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1503"/>
        <w:ind w:firstLine="560"/>
        <w:spacing w:line="440" w:lineRule="exact"/>
        <w:rPr>
          <w:rFonts w:hint="eastAsia" w:ascii="宋体" w:hAnsi="宋体" w:eastAsia="宋体" w:cs="宋体"/>
          <w:color w:val="000000"/>
          <w:sz w:val="28"/>
          <w:szCs w:val="28"/>
          <w:highlight w:val="none"/>
          <w:lang w:val="zh-CN"/>
        </w:rPr>
        <w:outlineLvl w:val="2"/>
      </w:pPr>
      <w:r/>
      <w:bookmarkStart w:id="259" w:name="_Toc31323"/>
      <w:r>
        <w:rPr>
          <w:rFonts w:hint="eastAsia" w:ascii="宋体" w:hAnsi="宋体" w:eastAsia="宋体" w:cs="宋体"/>
          <w:color w:val="000000"/>
          <w:sz w:val="28"/>
          <w:szCs w:val="28"/>
          <w:highlight w:val="none"/>
          <w:lang w:val="zh-CN"/>
        </w:rPr>
        <w:t xml:space="preserve">2.法定代表人身份证明书（格式见附件</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zh-CN"/>
        </w:rPr>
        <w:t xml:space="preserve">）；</w:t>
      </w:r>
      <w:bookmarkEnd w:id="259"/>
      <w:r>
        <w:rPr>
          <w:rFonts w:hint="eastAsia" w:ascii="宋体" w:hAnsi="宋体" w:eastAsia="宋体" w:cs="宋体"/>
          <w:color w:val="000000"/>
          <w:sz w:val="28"/>
          <w:szCs w:val="28"/>
          <w:highlight w:val="none"/>
          <w:lang w:val="zh-CN"/>
        </w:rPr>
      </w:r>
      <w:r/>
    </w:p>
    <w:p>
      <w:pPr>
        <w:pStyle w:val="1503"/>
        <w:ind w:firstLine="560"/>
        <w:spacing w:line="4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w:t>
      </w: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zh-CN"/>
        </w:rPr>
        <w:t xml:space="preserve">代表本人身份证复印件（格式见附件</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1503"/>
        <w:ind w:firstLine="562"/>
        <w:spacing w:line="460" w:lineRule="exact"/>
        <w:rPr>
          <w:rFonts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4.提供有效的营业执照复印件；</w:t>
      </w:r>
      <w:r>
        <w:rPr>
          <w:rFonts w:ascii="宋体" w:hAnsi="宋体" w:eastAsia="宋体" w:cs="宋体"/>
          <w:bCs/>
          <w:color w:val="000000"/>
          <w:sz w:val="28"/>
          <w:szCs w:val="28"/>
          <w:highlight w:val="none"/>
          <w:lang w:val="en-US" w:eastAsia="zh-CN"/>
        </w:rPr>
      </w:r>
      <w:r/>
    </w:p>
    <w:p>
      <w:pPr>
        <w:pStyle w:val="1503"/>
        <w:ind w:firstLine="562"/>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val="zh-CN"/>
        </w:rPr>
        <w:t xml:space="preserve">其它需要提交的资格审查文件（以下满足其一即可）：</w:t>
      </w:r>
      <w:r>
        <w:rPr>
          <w:rFonts w:hint="eastAsia" w:ascii="宋体" w:hAnsi="宋体" w:eastAsia="宋体" w:cs="宋体"/>
          <w:bCs/>
          <w:color w:val="000000"/>
          <w:sz w:val="28"/>
          <w:szCs w:val="28"/>
          <w:highlight w:val="none"/>
          <w:lang w:val="zh-CN"/>
        </w:rPr>
      </w:r>
      <w:r/>
    </w:p>
    <w:p>
      <w:pPr>
        <w:pStyle w:val="1503"/>
        <w:contextualSpacing/>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.1小微企业声明函（如是，格式见附件</w:t>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contextualSpacing/>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.2残疾人福利性单位声明函（如是，格式见附件</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contextualSpacing/>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rPr>
        <w:t xml:space="preserve">.3监狱和戒毒企业证明材料（如是，格式见附件</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注：上述“资格审查内容”中1-</w:t>
      </w:r>
      <w:r>
        <w:rPr>
          <w:rFonts w:hint="eastAsia" w:ascii="宋体" w:hAnsi="宋体" w:eastAsia="宋体" w:cs="宋体"/>
          <w:b/>
          <w:color w:val="000000"/>
          <w:sz w:val="28"/>
          <w:szCs w:val="28"/>
          <w:highlight w:val="none"/>
          <w:lang w:val="en-US" w:eastAsia="zh-CN"/>
        </w:rPr>
        <w:t xml:space="preserve">5</w:t>
      </w:r>
      <w:r>
        <w:rPr>
          <w:rFonts w:hint="eastAsia" w:ascii="宋体" w:hAnsi="宋体" w:eastAsia="宋体" w:cs="宋体"/>
          <w:b/>
          <w:color w:val="000000"/>
          <w:sz w:val="28"/>
          <w:szCs w:val="28"/>
          <w:highlight w:val="none"/>
        </w:rPr>
        <w:t xml:space="preserve">条投标人必须逐条响应，否则作无效响应处理。</w:t>
      </w:r>
      <w:r>
        <w:rPr>
          <w:rFonts w:hint="eastAsia" w:ascii="宋体" w:hAnsi="宋体" w:eastAsia="宋体" w:cs="宋体"/>
          <w:b/>
          <w:color w:val="000000"/>
          <w:sz w:val="28"/>
          <w:szCs w:val="28"/>
          <w:highlight w:val="none"/>
        </w:rPr>
      </w:r>
      <w:r/>
    </w:p>
    <w:p>
      <w:pPr>
        <w:pStyle w:val="1503"/>
        <w:ind w:left="480"/>
        <w:spacing w:line="460" w:lineRule="exact"/>
        <w:rPr>
          <w:rFonts w:hint="eastAsia" w:ascii="宋体" w:hAnsi="宋体" w:eastAsia="宋体" w:cs="宋体"/>
          <w:b/>
          <w:color w:val="000000"/>
          <w:sz w:val="28"/>
          <w:szCs w:val="28"/>
          <w:highlight w:val="none"/>
        </w:rPr>
        <w:outlineLvl w:val="1"/>
      </w:pPr>
      <w:r/>
      <w:bookmarkStart w:id="260" w:name="_Toc2566"/>
      <w:r>
        <w:rPr>
          <w:rFonts w:hint="eastAsia" w:ascii="宋体" w:hAnsi="宋体" w:eastAsia="宋体" w:cs="宋体"/>
          <w:b/>
          <w:color w:val="000000"/>
          <w:sz w:val="28"/>
          <w:szCs w:val="28"/>
          <w:highlight w:val="none"/>
        </w:rPr>
        <w:t xml:space="preserve">三、符合性审查内容</w:t>
      </w:r>
      <w:bookmarkEnd w:id="260"/>
      <w:r>
        <w:rPr>
          <w:rFonts w:hint="eastAsia" w:ascii="宋体" w:hAnsi="宋体" w:eastAsia="宋体" w:cs="宋体"/>
          <w:b/>
          <w:color w:val="000000"/>
          <w:sz w:val="28"/>
          <w:szCs w:val="28"/>
          <w:highlight w:val="none"/>
        </w:rPr>
      </w:r>
      <w:r/>
    </w:p>
    <w:p>
      <w:pPr>
        <w:pStyle w:val="1503"/>
        <w:ind w:firstLine="562"/>
        <w:jc w:val="left"/>
        <w:spacing w:line="440" w:lineRule="exact"/>
        <w:rPr>
          <w:rFonts w:hint="eastAsia" w:ascii="宋体" w:hAnsi="宋体" w:eastAsia="宋体" w:cs="宋体"/>
          <w:bCs/>
          <w:color w:val="000000"/>
          <w:sz w:val="28"/>
          <w:szCs w:val="28"/>
          <w:highlight w:val="none"/>
        </w:rPr>
        <w:outlineLvl w:val="1"/>
      </w:pPr>
      <w:r/>
      <w:bookmarkStart w:id="261" w:name="_Toc21971"/>
      <w:r>
        <w:rPr>
          <w:rFonts w:hint="eastAsia" w:ascii="宋体" w:hAnsi="宋体" w:eastAsia="宋体" w:cs="宋体"/>
          <w:bCs/>
          <w:color w:val="000000"/>
          <w:sz w:val="28"/>
          <w:szCs w:val="28"/>
          <w:highlight w:val="none"/>
        </w:rPr>
        <w:t xml:space="preserve">按招标文件第三部分项目需求“六、采购需求中必须满足的实质性要求”提供提供《实质性要求响应及偏离表》（格式见</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eastAsia="zh-CN"/>
        </w:rPr>
        <w:t xml:space="preserve">及按要求提供证明材料，</w:t>
      </w:r>
      <w:r>
        <w:rPr>
          <w:rFonts w:hint="eastAsia" w:ascii="宋体" w:hAnsi="宋体" w:eastAsia="宋体" w:cs="宋体"/>
          <w:bCs/>
          <w:color w:val="000000"/>
          <w:sz w:val="28"/>
          <w:szCs w:val="28"/>
          <w:highlight w:val="none"/>
        </w:rPr>
        <w:t xml:space="preserve">承诺书等。</w:t>
      </w:r>
      <w:r>
        <w:rPr>
          <w:rFonts w:hint="eastAsia" w:ascii="宋体" w:hAnsi="宋体" w:eastAsia="宋体" w:cs="宋体"/>
          <w:bCs/>
          <w:color w:val="000000"/>
          <w:sz w:val="28"/>
          <w:szCs w:val="28"/>
          <w:highlight w:val="none"/>
        </w:rPr>
      </w:r>
      <w:r/>
    </w:p>
    <w:p>
      <w:pPr>
        <w:pStyle w:val="1503"/>
        <w:ind w:firstLine="562"/>
        <w:jc w:val="left"/>
        <w:spacing w:line="44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四、商务技术文件</w:t>
      </w:r>
      <w:bookmarkEnd w:id="261"/>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商务技术评分标准中须提供的相关得分佐证材料；</w:t>
      </w:r>
      <w:r>
        <w:rPr>
          <w:rFonts w:hint="eastAsia" w:ascii="宋体" w:hAnsi="宋体" w:eastAsia="宋体" w:cs="宋体"/>
          <w:bCs/>
          <w:color w:val="000000"/>
          <w:sz w:val="28"/>
          <w:szCs w:val="28"/>
          <w:highlight w:val="none"/>
          <w:lang w:val="zh-CN"/>
        </w:rPr>
      </w:r>
      <w:r/>
    </w:p>
    <w:p>
      <w:pPr>
        <w:pStyle w:val="1503"/>
        <w:contextualSpacing/>
        <w:ind w:firstLine="560"/>
        <w:spacing w:line="4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val="zh-CN"/>
        </w:rPr>
        <w:t xml:space="preserve">投标人认为需要提交的其他商务技术材料。</w:t>
      </w:r>
      <w:r>
        <w:rPr>
          <w:rFonts w:hint="eastAsia" w:ascii="宋体" w:hAnsi="宋体" w:eastAsia="宋体" w:cs="宋体"/>
          <w:bCs/>
          <w:color w:val="000000"/>
          <w:sz w:val="28"/>
          <w:szCs w:val="28"/>
          <w:highlight w:val="none"/>
          <w:lang w:val="zh-CN"/>
        </w:rPr>
      </w:r>
      <w:r/>
    </w:p>
    <w:p>
      <w:pPr>
        <w:pStyle w:val="1503"/>
        <w:contextualSpacing/>
        <w:ind w:firstLine="562"/>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28"/>
          <w:szCs w:val="28"/>
          <w:highlight w:val="none"/>
        </w:rPr>
      </w:r>
      <w:r/>
    </w:p>
    <w:p>
      <w:pPr>
        <w:pStyle w:val="1503"/>
        <w:contextualSpacing/>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附件1</w:t>
      </w:r>
      <w:r>
        <w:rPr>
          <w:rFonts w:hint="eastAsia" w:ascii="宋体" w:hAnsi="宋体" w:eastAsia="宋体" w:cs="宋体"/>
          <w:color w:val="000000"/>
          <w:sz w:val="28"/>
          <w:szCs w:val="28"/>
          <w:highlight w:val="none"/>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投标分项报价表（采购包1）</w:t>
      </w:r>
      <w:r>
        <w:rPr>
          <w:rFonts w:hint="eastAsia" w:ascii="宋体" w:hAnsi="宋体" w:eastAsia="宋体" w:cs="宋体"/>
          <w:b/>
          <w:color w:val="000000"/>
          <w:sz w:val="28"/>
          <w:szCs w:val="28"/>
          <w:highlight w:val="none"/>
        </w:rPr>
      </w:r>
      <w:r/>
    </w:p>
    <w:tbl>
      <w:tblPr>
        <w:tblW w:w="95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866"/>
        <w:gridCol w:w="987"/>
        <w:gridCol w:w="987"/>
        <w:gridCol w:w="987"/>
        <w:gridCol w:w="987"/>
        <w:gridCol w:w="987"/>
        <w:gridCol w:w="987"/>
        <w:gridCol w:w="987"/>
      </w:tblGrid>
      <w:tr>
        <w:trPr>
          <w:trHeight w:val="1218"/>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仪器/设备名称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品牌（如有）</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制造商名称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投标单价（元）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投标合价（元）</w:t>
            </w:r>
            <w:r>
              <w:rPr>
                <w:rFonts w:hint="eastAsia" w:ascii="宋体" w:hAnsi="宋体" w:eastAsia="宋体" w:cs="宋体"/>
                <w:color w:val="000000"/>
                <w:sz w:val="28"/>
                <w:szCs w:val="28"/>
                <w:highlight w:val="none"/>
              </w:rPr>
            </w:r>
            <w:r/>
          </w:p>
        </w:tc>
      </w:tr>
      <w:tr>
        <w:trPr>
          <w:trHeight w:val="815"/>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水蒸气透气量测试仪</w:t>
            </w:r>
            <w:r>
              <w:rPr>
                <w:rFonts w:hint="eastAsia" w:ascii="宋体" w:hAnsi="宋体" w:eastAsia="宋体" w:cs="宋体"/>
                <w:color w:val="000000"/>
                <w:sz w:val="28"/>
                <w:szCs w:val="28"/>
                <w:highlight w:val="none"/>
              </w:rPr>
            </w:r>
            <w:r/>
          </w:p>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12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压差法气体渗透仪</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6"/>
            <w:tcW w:w="6801"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gridSpan w:val="9"/>
            <w:tcW w:w="9576"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bl>
    <w:p>
      <w:pPr>
        <w:pStyle w:val="1660"/>
        <w:ind w:left="0" w:firstLine="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2.“投标分项报价表”中“投标总报价”数额应当与“开标一览表”中“投标总报价”数额一致。</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rPr>
        <w:t xml:space="preserve">3.投标人需认真填写本报价表，尤其注意规格型号的准确填写。</w:t>
      </w:r>
      <w:r>
        <w:rPr>
          <w:rFonts w:hint="eastAsia" w:ascii="宋体" w:hAnsi="宋体" w:eastAsia="宋体" w:cs="宋体"/>
          <w:color w:val="000000"/>
          <w:sz w:val="32"/>
          <w:szCs w:val="32"/>
          <w:highlight w:val="none"/>
          <w:lang w:val="zh-CN"/>
        </w:rPr>
      </w:r>
      <w:r/>
    </w:p>
    <w:p>
      <w:pPr>
        <w:pStyle w:val="1503"/>
        <w:spacing w:line="480" w:lineRule="exact"/>
        <w:rPr>
          <w:rFonts w:hint="eastAsia" w:ascii="宋体" w:hAnsi="宋体" w:eastAsia="宋体" w:cs="宋体"/>
          <w:color w:val="000000"/>
          <w:sz w:val="28"/>
          <w:szCs w:val="28"/>
          <w:highlight w:val="none"/>
        </w:rPr>
        <w:sectPr>
          <w:headerReference w:type="default" r:id="rId9"/>
          <w:footerReference w:type="default" r:id="rId28"/>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8"/>
          <w:szCs w:val="28"/>
          <w:highlight w:val="none"/>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投标分项报价表（采购包2）</w:t>
      </w:r>
      <w:r>
        <w:rPr>
          <w:rFonts w:hint="eastAsia" w:ascii="宋体" w:hAnsi="宋体" w:eastAsia="宋体" w:cs="宋体"/>
          <w:b/>
          <w:color w:val="000000"/>
          <w:sz w:val="28"/>
          <w:szCs w:val="28"/>
          <w:highlight w:val="none"/>
        </w:rPr>
      </w:r>
      <w:r/>
    </w:p>
    <w:tbl>
      <w:tblPr>
        <w:tblW w:w="95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866"/>
        <w:gridCol w:w="987"/>
        <w:gridCol w:w="987"/>
        <w:gridCol w:w="987"/>
        <w:gridCol w:w="987"/>
        <w:gridCol w:w="987"/>
        <w:gridCol w:w="987"/>
        <w:gridCol w:w="987"/>
      </w:tblGrid>
      <w:tr>
        <w:trPr>
          <w:trHeight w:val="1218"/>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仪器/设备名称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品牌（如有）</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制造商名称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投标单价（元）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投标合价（元）</w:t>
            </w:r>
            <w:r>
              <w:rPr>
                <w:rFonts w:hint="eastAsia" w:ascii="宋体" w:hAnsi="宋体" w:eastAsia="宋体" w:cs="宋体"/>
                <w:color w:val="000000"/>
                <w:sz w:val="28"/>
                <w:szCs w:val="28"/>
                <w:highlight w:val="none"/>
              </w:rPr>
            </w:r>
            <w:r/>
          </w:p>
        </w:tc>
      </w:tr>
      <w:tr>
        <w:trPr>
          <w:trHeight w:val="815"/>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24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3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液压式万能材料试验机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电子万能材料试验机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7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高频疲劳试验机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3"/>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微机控制环刚度试验机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0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电液伺服压力试验机</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23"/>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72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rPr>
            </w:r>
            <w:r/>
          </w:p>
        </w:tc>
        <w:tc>
          <w:tcPr>
            <w:tcW w:w="1866" w:type="dxa"/>
            <w:vAlign w:val="top"/>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高低温试验箱</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6"/>
            <w:tcW w:w="6801"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gridSpan w:val="9"/>
            <w:tcW w:w="9576"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bl>
    <w:p>
      <w:pPr>
        <w:pStyle w:val="1660"/>
        <w:ind w:left="0" w:firstLine="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2.“投标分项报价表”中“投标总报价”数额应当与“开标一览表”中“投标总报价”数额一致。</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rPr>
        <w:t xml:space="preserve">3.投标人需认真填写本报价表，尤其注意规格型号的准确填写。</w:t>
      </w:r>
      <w:r>
        <w:rPr>
          <w:rFonts w:hint="eastAsia" w:ascii="宋体" w:hAnsi="宋体" w:eastAsia="宋体" w:cs="宋体"/>
          <w:color w:val="000000"/>
          <w:sz w:val="32"/>
          <w:szCs w:val="32"/>
          <w:highlight w:val="none"/>
          <w:lang w:val="zh-CN"/>
        </w:rPr>
      </w:r>
      <w:r/>
    </w:p>
    <w:p>
      <w:pPr>
        <w:pStyle w:val="1503"/>
        <w:spacing w:line="480" w:lineRule="exact"/>
        <w:rPr>
          <w:rFonts w:hint="eastAsia" w:ascii="宋体" w:hAnsi="宋体" w:eastAsia="宋体" w:cs="宋体"/>
          <w:color w:val="000000"/>
          <w:sz w:val="28"/>
          <w:szCs w:val="28"/>
          <w:highlight w:val="none"/>
        </w:rPr>
        <w:sectPr>
          <w:headerReference w:type="default" r:id="rId10"/>
          <w:footerReference w:type="default" r:id="rId29"/>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8"/>
          <w:szCs w:val="28"/>
          <w:highlight w:val="none"/>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投标分项报价表（采购包3）</w:t>
      </w:r>
      <w:r>
        <w:rPr>
          <w:rFonts w:hint="eastAsia" w:ascii="宋体" w:hAnsi="宋体" w:eastAsia="宋体" w:cs="宋体"/>
          <w:b/>
          <w:color w:val="000000"/>
          <w:sz w:val="28"/>
          <w:szCs w:val="28"/>
          <w:highlight w:val="none"/>
        </w:rPr>
      </w:r>
      <w:r/>
    </w:p>
    <w:tbl>
      <w:tblPr>
        <w:tblW w:w="95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866"/>
        <w:gridCol w:w="987"/>
        <w:gridCol w:w="987"/>
        <w:gridCol w:w="987"/>
        <w:gridCol w:w="987"/>
        <w:gridCol w:w="987"/>
        <w:gridCol w:w="987"/>
        <w:gridCol w:w="987"/>
      </w:tblGrid>
      <w:tr>
        <w:trPr>
          <w:trHeight w:val="1218"/>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仪器/设备名称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品牌（如有）</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制造商名称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投标单价（元）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投标合价（元）</w:t>
            </w:r>
            <w:r>
              <w:rPr>
                <w:rFonts w:hint="eastAsia" w:ascii="宋体" w:hAnsi="宋体" w:eastAsia="宋体" w:cs="宋体"/>
                <w:color w:val="000000"/>
                <w:sz w:val="28"/>
                <w:szCs w:val="28"/>
                <w:highlight w:val="none"/>
              </w:rPr>
            </w:r>
            <w:r/>
          </w:p>
        </w:tc>
      </w:tr>
      <w:tr>
        <w:trPr>
          <w:trHeight w:val="815"/>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交变湿热试验箱</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24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步入式高低温湿热试验箱</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3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盐雾试验箱</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6"/>
            <w:tcW w:w="6801"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gridSpan w:val="9"/>
            <w:tcW w:w="9576"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bl>
    <w:p>
      <w:pPr>
        <w:pStyle w:val="1660"/>
        <w:ind w:left="0" w:firstLine="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2.“投标分项报价表”中“投标总报价”数额应当与“开标一览表”中“投标总报价”数额一致。</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rPr>
        <w:t xml:space="preserve">3.投标人需认真填写本报价表，尤其注意规格型号的准确填写。</w:t>
      </w:r>
      <w:r>
        <w:rPr>
          <w:rFonts w:hint="eastAsia" w:ascii="宋体" w:hAnsi="宋体" w:eastAsia="宋体" w:cs="宋体"/>
          <w:color w:val="000000"/>
          <w:sz w:val="32"/>
          <w:szCs w:val="32"/>
          <w:highlight w:val="none"/>
          <w:lang w:val="zh-CN"/>
        </w:rPr>
      </w:r>
      <w:r/>
    </w:p>
    <w:p>
      <w:pPr>
        <w:pStyle w:val="1503"/>
        <w:spacing w:line="480" w:lineRule="exact"/>
        <w:rPr>
          <w:rFonts w:hint="eastAsia" w:ascii="宋体" w:hAnsi="宋体" w:eastAsia="宋体" w:cs="宋体"/>
          <w:color w:val="000000"/>
          <w:sz w:val="28"/>
          <w:szCs w:val="28"/>
          <w:highlight w:val="none"/>
        </w:rPr>
        <w:sectPr>
          <w:headerReference w:type="default" r:id="rId11"/>
          <w:footerReference w:type="default" r:id="rId30"/>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8"/>
          <w:szCs w:val="28"/>
          <w:highlight w:val="none"/>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投标分项报价表（采购包4）</w:t>
      </w:r>
      <w:r>
        <w:rPr>
          <w:rFonts w:hint="eastAsia" w:ascii="宋体" w:hAnsi="宋体" w:eastAsia="宋体" w:cs="宋体"/>
          <w:b/>
          <w:color w:val="000000"/>
          <w:sz w:val="28"/>
          <w:szCs w:val="28"/>
          <w:highlight w:val="none"/>
        </w:rPr>
      </w:r>
      <w:r/>
    </w:p>
    <w:tbl>
      <w:tblPr>
        <w:tblW w:w="95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866"/>
        <w:gridCol w:w="987"/>
        <w:gridCol w:w="987"/>
        <w:gridCol w:w="987"/>
        <w:gridCol w:w="987"/>
        <w:gridCol w:w="987"/>
        <w:gridCol w:w="987"/>
        <w:gridCol w:w="987"/>
      </w:tblGrid>
      <w:tr>
        <w:trPr>
          <w:trHeight w:val="1218"/>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仪器/设备名称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数量</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品牌（如有）</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规格型号</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制造商名称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产地</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投标单价（元）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投标合价（元）</w:t>
            </w:r>
            <w:r>
              <w:rPr>
                <w:rFonts w:hint="eastAsia" w:ascii="宋体" w:hAnsi="宋体" w:eastAsia="宋体" w:cs="宋体"/>
                <w:color w:val="000000"/>
                <w:sz w:val="28"/>
                <w:szCs w:val="28"/>
                <w:highlight w:val="none"/>
              </w:rPr>
            </w:r>
            <w:r/>
          </w:p>
        </w:tc>
      </w:tr>
      <w:tr>
        <w:trPr>
          <w:trHeight w:val="815"/>
        </w:trPr>
        <w:tc>
          <w:tcPr>
            <w:tcW w:w="801"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24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1866"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全自动影像仪</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contextualSpacing/>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1套</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tcW w:w="801" w:type="dxa"/>
            <w:vAlign w:val="center"/>
            <w:textDirection w:val="lrTb"/>
            <w:noWrap/>
          </w:tcPr>
          <w:p>
            <w:pPr>
              <w:pStyle w:val="1503"/>
              <w:jc w:val="center"/>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6"/>
            <w:tcW w:w="6801"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合计（元）</w:t>
            </w: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987"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8"/>
        </w:trPr>
        <w:tc>
          <w:tcPr>
            <w:gridSpan w:val="9"/>
            <w:tcW w:w="9576" w:type="dxa"/>
            <w:vAlign w:val="center"/>
            <w:textDirection w:val="lrTb"/>
            <w:noWrap/>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r>
    </w:tbl>
    <w:p>
      <w:pPr>
        <w:pStyle w:val="1660"/>
        <w:ind w:left="0" w:firstLine="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2.“投标分项报价表”中“投标总报价”数额应当与“开标一览表”中“投标总报价”数额一致。</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rPr>
        <w:t xml:space="preserve">3.投标人需认真填写本报价表，尤其注意规格型号的准确填写。</w:t>
      </w:r>
      <w:r>
        <w:rPr>
          <w:rFonts w:hint="eastAsia" w:ascii="宋体" w:hAnsi="宋体" w:eastAsia="宋体" w:cs="宋体"/>
          <w:color w:val="000000"/>
          <w:sz w:val="32"/>
          <w:szCs w:val="32"/>
          <w:highlight w:val="none"/>
          <w:lang w:val="zh-CN"/>
        </w:rPr>
      </w:r>
      <w:r/>
    </w:p>
    <w:p>
      <w:pPr>
        <w:pStyle w:val="1503"/>
        <w:spacing w:line="480" w:lineRule="exact"/>
        <w:rPr>
          <w:rFonts w:hint="eastAsia" w:ascii="宋体" w:hAnsi="宋体" w:eastAsia="宋体" w:cs="宋体"/>
          <w:color w:val="000000"/>
          <w:sz w:val="28"/>
          <w:szCs w:val="28"/>
          <w:highlight w:val="none"/>
        </w:rPr>
        <w:sectPr>
          <w:headerReference w:type="default" r:id="rId12"/>
          <w:footerReference w:type="default" r:id="rId31"/>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附件2</w:t>
      </w:r>
      <w:r>
        <w:rPr>
          <w:rFonts w:hint="eastAsia" w:ascii="宋体" w:hAnsi="宋体" w:eastAsia="宋体" w:cs="宋体"/>
          <w:color w:val="000000"/>
          <w:sz w:val="32"/>
          <w:szCs w:val="32"/>
          <w:highlight w:val="none"/>
        </w:rPr>
      </w:r>
      <w:r/>
    </w:p>
    <w:p>
      <w:pPr>
        <w:pStyle w:val="1503"/>
        <w:ind w:left="100"/>
        <w:jc w:val="center"/>
        <w:spacing w:before="50"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关于符合本国产品标准的声明函</w:t>
      </w:r>
      <w:r>
        <w:rPr>
          <w:rFonts w:hint="eastAsia" w:ascii="宋体" w:hAnsi="宋体" w:eastAsia="宋体" w:cs="宋体"/>
          <w:b/>
          <w:bCs/>
          <w:color w:val="000000"/>
          <w:sz w:val="28"/>
          <w:szCs w:val="28"/>
          <w:highlight w:val="none"/>
        </w:rPr>
      </w:r>
      <w:r/>
    </w:p>
    <w:p>
      <w:pPr>
        <w:pStyle w:val="1503"/>
        <w:ind w:firstLine="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8"/>
          <w:szCs w:val="28"/>
          <w:highlight w:val="none"/>
        </w:rPr>
      </w:r>
      <w:r/>
    </w:p>
    <w:p>
      <w:pPr>
        <w:pStyle w:val="1503"/>
        <w:ind w:firstLine="420"/>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1.</w:t>
      </w:r>
      <w:r>
        <w:rPr>
          <w:rFonts w:hint="eastAsia" w:ascii="宋体" w:hAnsi="宋体" w:eastAsia="宋体" w:cs="宋体"/>
          <w:color w:val="000000"/>
          <w:sz w:val="28"/>
          <w:szCs w:val="28"/>
          <w:highlight w:val="none"/>
          <w:u w:val="single"/>
          <w:shd w:val="clear" w:color="auto" w:fill="ffffff"/>
        </w:rPr>
        <w:t xml:space="preserve">（产品名称1）</w:t>
      </w:r>
      <w:r>
        <w:rPr>
          <w:rFonts w:hint="eastAsia" w:ascii="宋体" w:hAnsi="宋体" w:eastAsia="宋体" w:cs="宋体"/>
          <w:color w:val="000000"/>
          <w:sz w:val="28"/>
          <w:szCs w:val="28"/>
          <w:highlight w:val="none"/>
          <w:shd w:val="clear" w:color="auto" w:fill="ffffff"/>
          <w:vertAlign w:val="superscript"/>
        </w:rPr>
        <w:t xml:space="preserve">1</w:t>
      </w:r>
      <w:r>
        <w:rPr>
          <w:rFonts w:hint="eastAsia" w:ascii="宋体" w:hAnsi="宋体" w:eastAsia="宋体" w:cs="宋体"/>
          <w:color w:val="000000"/>
          <w:sz w:val="28"/>
          <w:szCs w:val="28"/>
          <w:highlight w:val="none"/>
          <w:shd w:val="clear" w:color="auto" w:fill="ffffff"/>
        </w:rPr>
        <w:t xml:space="preserve">，生产厂为</w:t>
      </w:r>
      <w:r>
        <w:rPr>
          <w:rFonts w:hint="eastAsia" w:ascii="宋体" w:hAnsi="宋体" w:eastAsia="宋体" w:cs="宋体"/>
          <w:color w:val="000000"/>
          <w:sz w:val="28"/>
          <w:szCs w:val="28"/>
          <w:highlight w:val="none"/>
          <w:u w:val="single"/>
          <w:shd w:val="clear" w:color="auto" w:fill="ffffff"/>
        </w:rPr>
        <w:t xml:space="preserve">（厂名）</w:t>
      </w:r>
      <w:r>
        <w:rPr>
          <w:rFonts w:hint="eastAsia" w:ascii="宋体" w:hAnsi="宋体" w:eastAsia="宋体" w:cs="宋体"/>
          <w:color w:val="000000"/>
          <w:sz w:val="28"/>
          <w:szCs w:val="28"/>
          <w:highlight w:val="none"/>
          <w:shd w:val="clear" w:color="auto" w:fill="ffffff"/>
          <w:vertAlign w:val="superscript"/>
        </w:rPr>
        <w:t xml:space="preserve">2</w:t>
      </w:r>
      <w:r>
        <w:rPr>
          <w:rFonts w:hint="eastAsia" w:ascii="宋体" w:hAnsi="宋体" w:eastAsia="宋体" w:cs="宋体"/>
          <w:color w:val="000000"/>
          <w:sz w:val="28"/>
          <w:szCs w:val="28"/>
          <w:highlight w:val="none"/>
          <w:shd w:val="clear" w:color="auto" w:fill="ffffff"/>
        </w:rPr>
        <w:t xml:space="preserve">，厂址为</w:t>
      </w:r>
      <w:r>
        <w:rPr>
          <w:rFonts w:hint="eastAsia" w:ascii="宋体" w:hAnsi="宋体" w:eastAsia="宋体" w:cs="宋体"/>
          <w:color w:val="000000"/>
          <w:sz w:val="28"/>
          <w:szCs w:val="28"/>
          <w:highlight w:val="none"/>
          <w:u w:val="single"/>
          <w:shd w:val="clear" w:color="auto" w:fill="ffffff"/>
        </w:rPr>
        <w:t xml:space="preserve">（生产厂址）</w:t>
      </w:r>
      <w:r>
        <w:rPr>
          <w:rFonts w:hint="eastAsia" w:ascii="宋体" w:hAnsi="宋体" w:eastAsia="宋体" w:cs="宋体"/>
          <w:color w:val="000000"/>
          <w:sz w:val="28"/>
          <w:szCs w:val="28"/>
          <w:highlight w:val="none"/>
          <w:shd w:val="clear" w:color="auto" w:fill="ffffff"/>
        </w:rPr>
        <w:t xml:space="preserve">。</w:t>
      </w:r>
      <w:r>
        <w:rPr>
          <w:rFonts w:hint="eastAsia" w:ascii="宋体" w:hAnsi="宋体" w:eastAsia="宋体" w:cs="宋体"/>
          <w:color w:val="000000"/>
          <w:sz w:val="28"/>
          <w:szCs w:val="28"/>
          <w:highlight w:val="none"/>
          <w:u w:val="single"/>
          <w:shd w:val="clear" w:color="auto" w:fill="ffffff"/>
        </w:rPr>
        <w:t xml:space="preserve">（产品名称1）</w:t>
      </w:r>
      <w:r>
        <w:rPr>
          <w:rFonts w:hint="eastAsia" w:ascii="宋体" w:hAnsi="宋体" w:eastAsia="宋体" w:cs="宋体"/>
          <w:color w:val="000000"/>
          <w:sz w:val="28"/>
          <w:szCs w:val="28"/>
          <w:highlight w:val="none"/>
          <w:shd w:val="clear" w:color="auto" w:fill="ffffff"/>
        </w:rPr>
        <w:t xml:space="preserve">的中国境内生产的组件成本占比≥</w:t>
      </w:r>
      <w:r>
        <w:rPr>
          <w:rFonts w:hint="eastAsia" w:ascii="宋体" w:hAnsi="宋体" w:eastAsia="宋体" w:cs="宋体"/>
          <w:color w:val="000000"/>
          <w:sz w:val="28"/>
          <w:szCs w:val="28"/>
          <w:highlight w:val="none"/>
          <w:u w:val="single"/>
          <w:shd w:val="clear" w:color="auto" w:fill="ffffff"/>
        </w:rPr>
        <w:t xml:space="preserve">（规定比例）</w:t>
      </w:r>
      <w:r>
        <w:rPr>
          <w:rFonts w:hint="eastAsia" w:ascii="宋体" w:hAnsi="宋体" w:eastAsia="宋体" w:cs="宋体"/>
          <w:color w:val="000000"/>
          <w:sz w:val="28"/>
          <w:szCs w:val="28"/>
          <w:highlight w:val="none"/>
          <w:shd w:val="clear" w:color="auto" w:fill="ffffff"/>
          <w:vertAlign w:val="superscript"/>
        </w:rPr>
        <w:t xml:space="preserve">3</w:t>
      </w:r>
      <w:r>
        <w:rPr>
          <w:rFonts w:hint="eastAsia" w:ascii="宋体" w:hAnsi="宋体" w:eastAsia="宋体" w:cs="宋体"/>
          <w:color w:val="000000"/>
          <w:sz w:val="28"/>
          <w:szCs w:val="28"/>
          <w:highlight w:val="none"/>
          <w:shd w:val="clear" w:color="auto" w:fill="ffffff"/>
        </w:rPr>
        <w:t xml:space="preserve">。</w:t>
      </w:r>
      <w:r>
        <w:rPr>
          <w:rFonts w:hint="eastAsia" w:ascii="宋体" w:hAnsi="宋体" w:eastAsia="宋体" w:cs="宋体"/>
          <w:color w:val="000000"/>
          <w:sz w:val="28"/>
          <w:szCs w:val="28"/>
          <w:highlight w:val="none"/>
          <w:u w:val="single"/>
          <w:shd w:val="clear" w:color="auto" w:fill="ffffff"/>
        </w:rPr>
        <w:t xml:space="preserve">（产品名称1）</w:t>
      </w:r>
      <w:r>
        <w:rPr>
          <w:rFonts w:hint="eastAsia" w:ascii="宋体" w:hAnsi="宋体" w:eastAsia="宋体" w:cs="宋体"/>
          <w:color w:val="000000"/>
          <w:sz w:val="28"/>
          <w:szCs w:val="28"/>
          <w:highlight w:val="none"/>
          <w:shd w:val="clear" w:color="auto" w:fill="ffffff"/>
        </w:rPr>
        <w:t xml:space="preserve">的</w:t>
      </w:r>
      <w:r>
        <w:rPr>
          <w:rFonts w:hint="eastAsia" w:ascii="宋体" w:hAnsi="宋体" w:eastAsia="宋体" w:cs="宋体"/>
          <w:color w:val="000000"/>
          <w:sz w:val="28"/>
          <w:szCs w:val="28"/>
          <w:highlight w:val="none"/>
          <w:u w:val="single"/>
          <w:shd w:val="clear" w:color="auto" w:fill="ffffff"/>
        </w:rPr>
        <w:t xml:space="preserve">（关键组件）</w:t>
      </w:r>
      <w:r>
        <w:rPr>
          <w:rFonts w:hint="eastAsia" w:ascii="宋体" w:hAnsi="宋体" w:eastAsia="宋体" w:cs="宋体"/>
          <w:color w:val="000000"/>
          <w:sz w:val="28"/>
          <w:szCs w:val="28"/>
          <w:highlight w:val="none"/>
          <w:shd w:val="clear" w:color="auto" w:fill="ffffff"/>
          <w:vertAlign w:val="superscript"/>
        </w:rPr>
        <w:t xml:space="preserve">4</w:t>
      </w:r>
      <w:r>
        <w:rPr>
          <w:rFonts w:hint="eastAsia" w:ascii="宋体" w:hAnsi="宋体" w:eastAsia="宋体" w:cs="宋体"/>
          <w:color w:val="000000"/>
          <w:sz w:val="28"/>
          <w:szCs w:val="28"/>
          <w:highlight w:val="none"/>
          <w:shd w:val="clear" w:color="auto" w:fill="ffffff"/>
        </w:rPr>
        <w:t xml:space="preserve">在中国境内生产。</w:t>
      </w:r>
      <w:r>
        <w:rPr>
          <w:rFonts w:hint="eastAsia" w:ascii="宋体" w:hAnsi="宋体" w:eastAsia="宋体" w:cs="宋体"/>
          <w:color w:val="000000"/>
          <w:sz w:val="28"/>
          <w:szCs w:val="28"/>
          <w:highlight w:val="none"/>
          <w:u w:val="single"/>
          <w:shd w:val="clear" w:color="auto" w:fill="ffffff"/>
        </w:rPr>
        <w:t xml:space="preserve">（产品名称1）</w:t>
      </w:r>
      <w:r>
        <w:rPr>
          <w:rFonts w:hint="eastAsia" w:ascii="宋体" w:hAnsi="宋体" w:eastAsia="宋体" w:cs="宋体"/>
          <w:color w:val="000000"/>
          <w:sz w:val="28"/>
          <w:szCs w:val="28"/>
          <w:highlight w:val="none"/>
          <w:shd w:val="clear" w:color="auto" w:fill="ffffff"/>
        </w:rPr>
        <w:t xml:space="preserve">的</w:t>
      </w:r>
      <w:r>
        <w:rPr>
          <w:rFonts w:hint="eastAsia" w:ascii="宋体" w:hAnsi="宋体" w:eastAsia="宋体" w:cs="宋体"/>
          <w:color w:val="000000"/>
          <w:sz w:val="28"/>
          <w:szCs w:val="28"/>
          <w:highlight w:val="none"/>
          <w:u w:val="single"/>
          <w:shd w:val="clear" w:color="auto" w:fill="ffffff"/>
        </w:rPr>
        <w:t xml:space="preserve">（关键工序）</w:t>
      </w:r>
      <w:r>
        <w:rPr>
          <w:rFonts w:hint="eastAsia" w:ascii="宋体" w:hAnsi="宋体" w:eastAsia="宋体" w:cs="宋体"/>
          <w:color w:val="000000"/>
          <w:sz w:val="28"/>
          <w:szCs w:val="28"/>
          <w:highlight w:val="none"/>
          <w:shd w:val="clear" w:color="auto" w:fill="ffffff"/>
          <w:vertAlign w:val="superscript"/>
        </w:rPr>
        <w:t xml:space="preserve">5</w:t>
      </w:r>
      <w:r>
        <w:rPr>
          <w:rFonts w:hint="eastAsia" w:ascii="宋体" w:hAnsi="宋体" w:eastAsia="宋体" w:cs="宋体"/>
          <w:color w:val="000000"/>
          <w:sz w:val="28"/>
          <w:szCs w:val="28"/>
          <w:highlight w:val="none"/>
          <w:shd w:val="clear" w:color="auto" w:fill="ffffff"/>
        </w:rPr>
        <w:t xml:space="preserve">在中国境内完成。</w:t>
      </w:r>
      <w:r>
        <w:rPr>
          <w:rFonts w:hint="eastAsia" w:ascii="宋体" w:hAnsi="宋体" w:eastAsia="宋体" w:cs="宋体"/>
          <w:color w:val="000000"/>
          <w:sz w:val="28"/>
          <w:szCs w:val="28"/>
          <w:highlight w:val="none"/>
        </w:rPr>
      </w:r>
      <w:r/>
    </w:p>
    <w:p>
      <w:pPr>
        <w:pStyle w:val="1503"/>
        <w:ind w:firstLine="420"/>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2.</w:t>
      </w:r>
      <w:r>
        <w:rPr>
          <w:rFonts w:hint="eastAsia" w:ascii="宋体" w:hAnsi="宋体" w:eastAsia="宋体" w:cs="宋体"/>
          <w:color w:val="000000"/>
          <w:sz w:val="28"/>
          <w:szCs w:val="28"/>
          <w:highlight w:val="none"/>
          <w:u w:val="single"/>
          <w:shd w:val="clear" w:color="auto" w:fill="ffffff"/>
        </w:rPr>
        <w:t xml:space="preserve">（产品名称2）</w:t>
      </w:r>
      <w:r>
        <w:rPr>
          <w:rFonts w:hint="eastAsia" w:ascii="宋体" w:hAnsi="宋体" w:eastAsia="宋体" w:cs="宋体"/>
          <w:color w:val="000000"/>
          <w:sz w:val="28"/>
          <w:szCs w:val="28"/>
          <w:highlight w:val="none"/>
          <w:shd w:val="clear" w:color="auto" w:fill="ffffff"/>
        </w:rPr>
        <w:t xml:space="preserve">，生产厂为</w:t>
      </w:r>
      <w:r>
        <w:rPr>
          <w:rFonts w:hint="eastAsia" w:ascii="宋体" w:hAnsi="宋体" w:eastAsia="宋体" w:cs="宋体"/>
          <w:color w:val="000000"/>
          <w:sz w:val="28"/>
          <w:szCs w:val="28"/>
          <w:highlight w:val="none"/>
          <w:u w:val="single"/>
          <w:shd w:val="clear" w:color="auto" w:fill="ffffff"/>
        </w:rPr>
        <w:t xml:space="preserve">（厂名）</w:t>
      </w:r>
      <w:r>
        <w:rPr>
          <w:rFonts w:hint="eastAsia" w:ascii="宋体" w:hAnsi="宋体" w:eastAsia="宋体" w:cs="宋体"/>
          <w:color w:val="000000"/>
          <w:sz w:val="28"/>
          <w:szCs w:val="28"/>
          <w:highlight w:val="none"/>
          <w:shd w:val="clear" w:color="auto" w:fill="ffffff"/>
        </w:rPr>
        <w:t xml:space="preserve">，厂址为</w:t>
      </w:r>
      <w:r>
        <w:rPr>
          <w:rFonts w:hint="eastAsia" w:ascii="宋体" w:hAnsi="宋体" w:eastAsia="宋体" w:cs="宋体"/>
          <w:color w:val="000000"/>
          <w:sz w:val="28"/>
          <w:szCs w:val="28"/>
          <w:highlight w:val="none"/>
          <w:u w:val="single"/>
          <w:shd w:val="clear" w:color="auto" w:fill="ffffff"/>
        </w:rPr>
        <w:t xml:space="preserve">（生产厂址）</w:t>
      </w:r>
      <w:r>
        <w:rPr>
          <w:rFonts w:hint="eastAsia" w:ascii="宋体" w:hAnsi="宋体" w:eastAsia="宋体" w:cs="宋体"/>
          <w:color w:val="000000"/>
          <w:sz w:val="28"/>
          <w:szCs w:val="28"/>
          <w:highlight w:val="none"/>
          <w:shd w:val="clear" w:color="auto" w:fill="ffffff"/>
        </w:rPr>
        <w:t xml:space="preserve">。</w:t>
      </w:r>
      <w:r>
        <w:rPr>
          <w:rFonts w:hint="eastAsia" w:ascii="宋体" w:hAnsi="宋体" w:eastAsia="宋体" w:cs="宋体"/>
          <w:color w:val="000000"/>
          <w:sz w:val="28"/>
          <w:szCs w:val="28"/>
          <w:highlight w:val="none"/>
          <w:u w:val="single"/>
          <w:shd w:val="clear" w:color="auto" w:fill="ffffff"/>
        </w:rPr>
        <w:t xml:space="preserve">（产品名称2）</w:t>
      </w:r>
      <w:r>
        <w:rPr>
          <w:rFonts w:hint="eastAsia" w:ascii="宋体" w:hAnsi="宋体" w:eastAsia="宋体" w:cs="宋体"/>
          <w:color w:val="000000"/>
          <w:sz w:val="28"/>
          <w:szCs w:val="28"/>
          <w:highlight w:val="none"/>
          <w:shd w:val="clear" w:color="auto" w:fill="ffffff"/>
        </w:rPr>
        <w:t xml:space="preserve">的中国境内生产的组件成本占比≥</w:t>
      </w:r>
      <w:r>
        <w:rPr>
          <w:rFonts w:hint="eastAsia" w:ascii="宋体" w:hAnsi="宋体" w:eastAsia="宋体" w:cs="宋体"/>
          <w:color w:val="000000"/>
          <w:sz w:val="28"/>
          <w:szCs w:val="28"/>
          <w:highlight w:val="none"/>
          <w:u w:val="single"/>
          <w:shd w:val="clear" w:color="auto" w:fill="ffffff"/>
        </w:rPr>
        <w:t xml:space="preserve">（规定比例）</w:t>
      </w:r>
      <w:r>
        <w:rPr>
          <w:rFonts w:hint="eastAsia" w:ascii="宋体" w:hAnsi="宋体" w:eastAsia="宋体" w:cs="宋体"/>
          <w:color w:val="000000"/>
          <w:sz w:val="28"/>
          <w:szCs w:val="28"/>
          <w:highlight w:val="none"/>
          <w:shd w:val="clear" w:color="auto" w:fill="ffffff"/>
        </w:rPr>
        <w:t xml:space="preserve">。</w:t>
      </w:r>
      <w:r>
        <w:rPr>
          <w:rFonts w:hint="eastAsia" w:ascii="宋体" w:hAnsi="宋体" w:eastAsia="宋体" w:cs="宋体"/>
          <w:color w:val="000000"/>
          <w:sz w:val="28"/>
          <w:szCs w:val="28"/>
          <w:highlight w:val="none"/>
          <w:u w:val="single"/>
          <w:shd w:val="clear" w:color="auto" w:fill="ffffff"/>
        </w:rPr>
        <w:t xml:space="preserve">（产品名称2）</w:t>
      </w:r>
      <w:r>
        <w:rPr>
          <w:rFonts w:hint="eastAsia" w:ascii="宋体" w:hAnsi="宋体" w:eastAsia="宋体" w:cs="宋体"/>
          <w:color w:val="000000"/>
          <w:sz w:val="28"/>
          <w:szCs w:val="28"/>
          <w:highlight w:val="none"/>
          <w:shd w:val="clear" w:color="auto" w:fill="ffffff"/>
        </w:rPr>
        <w:t xml:space="preserve">的</w:t>
      </w:r>
      <w:r>
        <w:rPr>
          <w:rFonts w:hint="eastAsia" w:ascii="宋体" w:hAnsi="宋体" w:eastAsia="宋体" w:cs="宋体"/>
          <w:color w:val="000000"/>
          <w:sz w:val="28"/>
          <w:szCs w:val="28"/>
          <w:highlight w:val="none"/>
          <w:u w:val="single"/>
          <w:shd w:val="clear" w:color="auto" w:fill="ffffff"/>
        </w:rPr>
        <w:t xml:space="preserve">（关键组件）</w:t>
      </w:r>
      <w:r>
        <w:rPr>
          <w:rFonts w:hint="eastAsia" w:ascii="宋体" w:hAnsi="宋体" w:eastAsia="宋体" w:cs="宋体"/>
          <w:color w:val="000000"/>
          <w:sz w:val="28"/>
          <w:szCs w:val="28"/>
          <w:highlight w:val="none"/>
          <w:shd w:val="clear" w:color="auto" w:fill="ffffff"/>
        </w:rPr>
        <w:t xml:space="preserve">在中国境内生产。</w:t>
      </w:r>
      <w:r>
        <w:rPr>
          <w:rFonts w:hint="eastAsia" w:ascii="宋体" w:hAnsi="宋体" w:eastAsia="宋体" w:cs="宋体"/>
          <w:color w:val="000000"/>
          <w:sz w:val="28"/>
          <w:szCs w:val="28"/>
          <w:highlight w:val="none"/>
          <w:u w:val="single"/>
          <w:shd w:val="clear" w:color="auto" w:fill="ffffff"/>
        </w:rPr>
        <w:t xml:space="preserve">（产品名称</w:t>
      </w:r>
      <w:r>
        <w:rPr>
          <w:rFonts w:hint="eastAsia" w:ascii="宋体" w:hAnsi="宋体" w:eastAsia="宋体" w:cs="宋体"/>
          <w:color w:val="000000"/>
          <w:sz w:val="28"/>
          <w:szCs w:val="28"/>
          <w:highlight w:val="none"/>
          <w:u w:val="single"/>
          <w:shd w:val="clear" w:color="auto" w:fill="ffffff"/>
          <w:lang w:val="en-US" w:eastAsia="zh-CN"/>
        </w:rPr>
        <w:t xml:space="preserve">2</w:t>
      </w:r>
      <w:r>
        <w:rPr>
          <w:rFonts w:hint="eastAsia" w:ascii="宋体" w:hAnsi="宋体" w:eastAsia="宋体" w:cs="宋体"/>
          <w:color w:val="000000"/>
          <w:sz w:val="28"/>
          <w:szCs w:val="28"/>
          <w:highlight w:val="none"/>
          <w:u w:val="single"/>
          <w:shd w:val="clear" w:color="auto" w:fill="ffffff"/>
        </w:rPr>
        <w:t xml:space="preserve">）</w:t>
      </w:r>
      <w:r>
        <w:rPr>
          <w:rFonts w:hint="eastAsia" w:ascii="宋体" w:hAnsi="宋体" w:eastAsia="宋体" w:cs="宋体"/>
          <w:color w:val="000000"/>
          <w:sz w:val="28"/>
          <w:szCs w:val="28"/>
          <w:highlight w:val="none"/>
          <w:shd w:val="clear" w:color="auto" w:fill="ffffff"/>
        </w:rPr>
        <w:t xml:space="preserve">的</w:t>
      </w:r>
      <w:r>
        <w:rPr>
          <w:rFonts w:hint="eastAsia" w:ascii="宋体" w:hAnsi="宋体" w:eastAsia="宋体" w:cs="宋体"/>
          <w:color w:val="000000"/>
          <w:sz w:val="28"/>
          <w:szCs w:val="28"/>
          <w:highlight w:val="none"/>
          <w:u w:val="single"/>
          <w:shd w:val="clear" w:color="auto" w:fill="ffffff"/>
        </w:rPr>
        <w:t xml:space="preserve">（关键工序）</w:t>
      </w:r>
      <w:r>
        <w:rPr>
          <w:rFonts w:hint="eastAsia" w:ascii="宋体" w:hAnsi="宋体" w:eastAsia="宋体" w:cs="宋体"/>
          <w:color w:val="000000"/>
          <w:sz w:val="28"/>
          <w:szCs w:val="28"/>
          <w:highlight w:val="none"/>
          <w:shd w:val="clear" w:color="auto" w:fill="ffffff"/>
        </w:rPr>
        <w:t xml:space="preserve">在中国境内完成。</w:t>
      </w:r>
      <w:r>
        <w:rPr>
          <w:rFonts w:hint="eastAsia" w:ascii="宋体" w:hAnsi="宋体" w:eastAsia="宋体" w:cs="宋体"/>
          <w:color w:val="000000"/>
          <w:sz w:val="28"/>
          <w:szCs w:val="28"/>
          <w:highlight w:val="none"/>
        </w:rPr>
      </w:r>
      <w:r/>
    </w:p>
    <w:p>
      <w:pPr>
        <w:pStyle w:val="1503"/>
        <w:ind w:firstLine="420"/>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w:t>
      </w:r>
      <w:r>
        <w:rPr>
          <w:rFonts w:hint="eastAsia" w:ascii="宋体" w:hAnsi="宋体" w:eastAsia="宋体" w:cs="宋体"/>
          <w:color w:val="000000"/>
          <w:sz w:val="28"/>
          <w:szCs w:val="28"/>
          <w:highlight w:val="none"/>
        </w:rPr>
      </w:r>
      <w:r/>
    </w:p>
    <w:p>
      <w:pPr>
        <w:pStyle w:val="1503"/>
        <w:ind w:firstLine="420"/>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8"/>
          <w:szCs w:val="28"/>
          <w:highlight w:val="none"/>
        </w:rPr>
      </w:r>
      <w:r/>
    </w:p>
    <w:p>
      <w:pPr>
        <w:pStyle w:val="1503"/>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right="1560" w:firstLine="444"/>
        <w:jc w:val="center"/>
        <w:spacing w:line="360" w:lineRule="auto"/>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投标人名称（盖章）：</w:t>
      </w:r>
      <w:r>
        <w:rPr>
          <w:rFonts w:hint="eastAsia" w:ascii="宋体" w:hAnsi="宋体" w:eastAsia="宋体" w:cs="宋体"/>
          <w:color w:val="000000"/>
          <w:sz w:val="28"/>
          <w:szCs w:val="28"/>
          <w:highlight w:val="none"/>
        </w:rPr>
      </w:r>
      <w:r/>
    </w:p>
    <w:p>
      <w:pPr>
        <w:pStyle w:val="1503"/>
        <w:ind w:right="1560" w:firstLine="420"/>
        <w:jc w:val="center"/>
        <w:spacing w:line="360" w:lineRule="auto"/>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shd w:val="clear" w:color="auto" w:fill="ffffff"/>
        </w:rPr>
        <w:t xml:space="preserve">   </w:t>
      </w:r>
      <w:r>
        <w:rPr>
          <w:rFonts w:hint="eastAsia" w:ascii="宋体" w:hAnsi="宋体" w:eastAsia="宋体" w:cs="宋体"/>
          <w:color w:val="000000"/>
          <w:sz w:val="28"/>
          <w:szCs w:val="28"/>
          <w:highlight w:val="none"/>
        </w:rPr>
      </w:r>
      <w:r/>
    </w:p>
    <w:p>
      <w:pPr>
        <w:pStyle w:val="1503"/>
        <w:spacing w:before="30" w:after="3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__________________</w:t>
      </w:r>
      <w:r>
        <w:rPr>
          <w:rFonts w:hint="eastAsia" w:ascii="宋体" w:hAnsi="宋体" w:eastAsia="宋体" w:cs="宋体"/>
          <w:color w:val="000000"/>
          <w:sz w:val="28"/>
          <w:szCs w:val="28"/>
          <w:highlight w:val="none"/>
        </w:rPr>
      </w:r>
      <w:r/>
    </w:p>
    <w:p>
      <w:pPr>
        <w:pStyle w:val="1503"/>
        <w:keepLines w:val="0"/>
        <w:keepNext w:val="0"/>
        <w:pageBreakBefore w:val="0"/>
        <w:spacing w:before="30" w:after="30"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1.产品如有型号，请在“产品名称”栏一并填写。</w:t>
      </w:r>
      <w:r>
        <w:rPr>
          <w:rFonts w:hint="eastAsia" w:ascii="宋体" w:hAnsi="宋体" w:eastAsia="宋体" w:cs="宋体"/>
          <w:color w:val="000000"/>
          <w:sz w:val="28"/>
          <w:szCs w:val="28"/>
          <w:highlight w:val="none"/>
        </w:rPr>
      </w:r>
      <w:r/>
    </w:p>
    <w:p>
      <w:pPr>
        <w:pStyle w:val="1503"/>
        <w:keepLines w:val="0"/>
        <w:keepNext w:val="0"/>
        <w:pageBreakBefore w:val="0"/>
        <w:spacing w:before="30" w:after="30"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8"/>
          <w:szCs w:val="28"/>
          <w:highlight w:val="none"/>
        </w:rPr>
      </w:r>
      <w:r/>
    </w:p>
    <w:p>
      <w:pPr>
        <w:pStyle w:val="1503"/>
        <w:keepLines w:val="0"/>
        <w:keepNext w:val="0"/>
        <w:pageBreakBefore w:val="0"/>
        <w:spacing w:before="30" w:after="30"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8"/>
          <w:szCs w:val="28"/>
          <w:highlight w:val="none"/>
        </w:rPr>
      </w:r>
      <w:r/>
    </w:p>
    <w:p>
      <w:pPr>
        <w:pStyle w:val="1503"/>
        <w:keepLines w:val="0"/>
        <w:keepNext w:val="0"/>
        <w:pageBreakBefore w:val="0"/>
        <w:spacing w:before="30" w:after="30"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4.该产品的关键组件要求实施前，“关键组件”栏可不填，下同。</w:t>
      </w:r>
      <w:r>
        <w:rPr>
          <w:rFonts w:hint="eastAsia" w:ascii="宋体" w:hAnsi="宋体" w:eastAsia="宋体" w:cs="宋体"/>
          <w:color w:val="000000"/>
          <w:sz w:val="28"/>
          <w:szCs w:val="28"/>
          <w:highlight w:val="none"/>
        </w:rPr>
      </w:r>
      <w:r/>
    </w:p>
    <w:p>
      <w:pPr>
        <w:pStyle w:val="1503"/>
        <w:keepLines w:val="0"/>
        <w:keepNext w:val="0"/>
        <w:pageBreakBefore w:val="0"/>
        <w:spacing w:before="30" w:after="30" w:line="320" w:lineRule="exact"/>
        <w:widowControl w:val="off"/>
        <w:rPr>
          <w:rFonts w:hint="eastAsia" w:ascii="宋体" w:hAnsi="宋体" w:eastAsia="宋体" w:cs="宋体"/>
          <w:color w:val="000000"/>
          <w:sz w:val="28"/>
          <w:szCs w:val="28"/>
          <w:highlight w:val="none"/>
          <w:shd w:val="clear" w:color="auto" w:fill="ffffff"/>
        </w:rPr>
      </w:pPr>
      <w:r>
        <w:rPr>
          <w:rFonts w:hint="eastAsia" w:ascii="宋体" w:hAnsi="宋体" w:eastAsia="宋体" w:cs="宋体"/>
          <w:color w:val="000000"/>
          <w:sz w:val="28"/>
          <w:szCs w:val="28"/>
          <w:highlight w:val="none"/>
          <w:shd w:val="clear" w:color="auto" w:fill="ffffff"/>
        </w:rPr>
        <w:t xml:space="preserve">5.该产品的关键工序要求实施前，“关键工序”栏可不填，下同。</w:t>
      </w:r>
      <w:r>
        <w:rPr>
          <w:rFonts w:hint="eastAsia" w:ascii="宋体" w:hAnsi="宋体" w:eastAsia="宋体" w:cs="宋体"/>
          <w:color w:val="000000"/>
          <w:sz w:val="28"/>
          <w:szCs w:val="28"/>
          <w:highlight w:val="none"/>
          <w:shd w:val="clear" w:color="auto" w:fill="ffffff"/>
        </w:rPr>
      </w:r>
      <w:r/>
    </w:p>
    <w:p>
      <w:pPr>
        <w:pStyle w:val="1503"/>
        <w:spacing w:line="300" w:lineRule="auto"/>
        <w:rPr>
          <w:rFonts w:hint="eastAsia" w:ascii="宋体" w:hAnsi="宋体" w:eastAsia="宋体" w:cs="宋体"/>
          <w:color w:val="000000"/>
          <w:sz w:val="28"/>
          <w:szCs w:val="28"/>
          <w:highlight w:val="none"/>
        </w:rPr>
        <w:sectPr>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附件</w:t>
      </w:r>
      <w:r>
        <w:rPr>
          <w:rFonts w:hint="eastAsia" w:ascii="宋体" w:hAnsi="宋体" w:eastAsia="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lang w:eastAsia="zh-CN"/>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技术要求响应及偏离表</w:t>
      </w:r>
      <w:r>
        <w:rPr>
          <w:rFonts w:hint="eastAsia" w:ascii="宋体" w:hAnsi="宋体" w:eastAsia="宋体" w:cs="宋体"/>
          <w:b/>
          <w:color w:val="000000"/>
          <w:sz w:val="28"/>
          <w:szCs w:val="28"/>
          <w:highlight w:val="none"/>
        </w:rPr>
      </w:r>
      <w:r/>
    </w:p>
    <w:tbl>
      <w:tblPr>
        <w:tblW w:w="892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063"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技术要求</w:t>
            </w:r>
            <w:r>
              <w:rPr>
                <w:rFonts w:hint="eastAsia" w:ascii="宋体" w:hAnsi="宋体" w:eastAsia="宋体" w:cs="宋体"/>
                <w:color w:val="000000"/>
                <w:sz w:val="28"/>
                <w:szCs w:val="28"/>
                <w:highlight w:val="none"/>
              </w:rPr>
            </w:r>
            <w:r/>
          </w:p>
        </w:tc>
        <w:tc>
          <w:tcPr>
            <w:tcW w:w="2999"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W w:w="2320"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3063"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999"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320"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63"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2999"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320"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附件4-1证明材料1，证明材料2，……</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t xml:space="preserve">1.投标人需对技术要求逐条做出明确响应。</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2.如果招标文件要求提供证明材料，投标人需将证明材料列于该表之下。</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b/>
          <w:color w:val="000000"/>
          <w:sz w:val="28"/>
          <w:szCs w:val="28"/>
          <w:highlight w:val="none"/>
        </w:rPr>
        <w:sectPr>
          <w:footnotePr/>
          <w:endnotePr/>
          <w:type w:val="nextPage"/>
          <w:pgSz w:w="11907" w:h="16839" w:orient="portrait"/>
          <w:pgMar w:top="1440" w:right="1800" w:bottom="1440" w:left="1800" w:header="720" w:footer="720" w:gutter="0"/>
          <w:pgNumType w:start="1"/>
          <w:cols w:num="1" w:sep="0" w:space="1701" w:equalWidth="1"/>
          <w:docGrid w:linePitch="360"/>
        </w:sectPr>
        <w:outlineLvl w:val="3"/>
      </w:pPr>
      <w:r>
        <w:rPr>
          <w:rFonts w:hint="eastAsia" w:ascii="宋体" w:hAnsi="宋体" w:eastAsia="宋体" w:cs="宋体"/>
          <w:b/>
          <w:color w:val="000000"/>
          <w:sz w:val="28"/>
          <w:szCs w:val="28"/>
          <w:highlight w:val="none"/>
        </w:rPr>
      </w:r>
      <w:r/>
    </w:p>
    <w:p>
      <w:pPr>
        <w:pStyle w:val="1503"/>
        <w:spacing w:line="480" w:lineRule="exact"/>
        <w:rPr>
          <w:rFonts w:hint="eastAsia" w:ascii="宋体" w:hAnsi="宋体" w:eastAsia="宋体" w:cs="宋体"/>
          <w:b/>
          <w:color w:val="000000"/>
          <w:sz w:val="28"/>
          <w:szCs w:val="28"/>
          <w:highlight w:val="none"/>
          <w:lang w:eastAsia="zh-CN"/>
        </w:rPr>
        <w:outlineLvl w:val="3"/>
      </w:pPr>
      <w:r>
        <w:rPr>
          <w:rFonts w:hint="eastAsia" w:ascii="宋体" w:hAnsi="宋体" w:eastAsia="宋体" w:cs="宋体"/>
          <w:b/>
          <w:color w:val="000000"/>
          <w:sz w:val="28"/>
          <w:szCs w:val="28"/>
          <w:highlight w:val="none"/>
        </w:rPr>
        <w:t xml:space="preserve">附件</w:t>
      </w:r>
      <w:r>
        <w:rPr>
          <w:rFonts w:hint="eastAsia" w:ascii="宋体" w:hAnsi="宋体" w:eastAsia="宋体" w:cs="宋体"/>
          <w:b/>
          <w:color w:val="000000"/>
          <w:sz w:val="28"/>
          <w:szCs w:val="28"/>
          <w:highlight w:val="none"/>
          <w:lang w:val="en-US" w:eastAsia="zh-CN"/>
        </w:rPr>
        <w:t xml:space="preserve">4</w:t>
      </w:r>
      <w:r>
        <w:rPr>
          <w:rFonts w:hint="eastAsia" w:ascii="宋体" w:hAnsi="宋体" w:eastAsia="宋体" w:cs="宋体"/>
          <w:b/>
          <w:color w:val="000000"/>
          <w:sz w:val="28"/>
          <w:szCs w:val="28"/>
          <w:highlight w:val="none"/>
          <w:lang w:eastAsia="zh-CN"/>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商务要求响应及偏离表</w:t>
      </w:r>
      <w:r>
        <w:rPr>
          <w:rFonts w:hint="eastAsia" w:ascii="宋体" w:hAnsi="宋体" w:eastAsia="宋体" w:cs="宋体"/>
          <w:b/>
          <w:color w:val="000000"/>
          <w:sz w:val="28"/>
          <w:szCs w:val="28"/>
          <w:highlight w:val="none"/>
        </w:rPr>
      </w:r>
      <w:r/>
    </w:p>
    <w:tbl>
      <w:tblPr>
        <w:tblW w:w="892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063"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商务要求</w:t>
            </w:r>
            <w:r>
              <w:rPr>
                <w:rFonts w:hint="eastAsia" w:ascii="宋体" w:hAnsi="宋体" w:eastAsia="宋体" w:cs="宋体"/>
                <w:color w:val="000000"/>
                <w:sz w:val="28"/>
                <w:szCs w:val="28"/>
                <w:highlight w:val="none"/>
              </w:rPr>
            </w:r>
            <w:r/>
          </w:p>
        </w:tc>
        <w:tc>
          <w:tcPr>
            <w:tcW w:w="2999"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W w:w="2320" w:type="dxa"/>
            <w:vAlign w:val="center"/>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3063"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999"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320"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63"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2999"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320" w:type="dxa"/>
            <w:vAlign w:val="top"/>
            <w:textDirection w:val="lrTb"/>
            <w:noWrap w:val="false"/>
          </w:tcPr>
          <w:p>
            <w:pPr>
              <w:pStyle w:val="1503"/>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附件5-1证明材料1，证明材料2，……</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outlineLvl w:val="2"/>
      </w:pPr>
      <w:r/>
      <w:bookmarkStart w:id="262" w:name="_Toc12886"/>
      <w:r>
        <w:rPr>
          <w:rFonts w:hint="eastAsia" w:ascii="宋体" w:hAnsi="宋体" w:eastAsia="宋体" w:cs="宋体"/>
          <w:color w:val="000000"/>
          <w:sz w:val="28"/>
          <w:szCs w:val="28"/>
          <w:highlight w:val="none"/>
        </w:rPr>
        <w:t xml:space="preserve">1.投标人需对商务要求逐条做出明确响应。</w:t>
      </w:r>
      <w:bookmarkEnd w:id="262"/>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2.如果招标文件要求提供证明材料，投标人需将证明材料列于该表之下。</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3.本项目商务按要求不接受负偏离，有负偏离的按无效标处理。</w:t>
      </w:r>
      <w:r>
        <w:rPr>
          <w:rFonts w:hint="eastAsia" w:ascii="宋体" w:hAnsi="宋体" w:eastAsia="宋体" w:cs="宋体"/>
          <w:color w:val="000000"/>
          <w:sz w:val="28"/>
          <w:szCs w:val="28"/>
          <w:highlight w:val="none"/>
        </w:rPr>
      </w:r>
      <w:r/>
    </w:p>
    <w:p>
      <w:pPr>
        <w:pStyle w:val="1503"/>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63"/>
        <w:ind w:firstLine="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03"/>
        <w:contextualSpacing/>
        <w:ind w:firstLine="560"/>
        <w:spacing w:line="460" w:lineRule="exact"/>
        <w:tabs>
          <w:tab w:val="left" w:pos="1260"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t xml:space="preserve">附件</w:t>
      </w: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eastAsia="zh-CN"/>
        </w:rPr>
      </w:r>
      <w:r/>
    </w:p>
    <w:p>
      <w:pPr>
        <w:pStyle w:val="1503"/>
        <w:jc w:val="center"/>
        <w:spacing w:before="240"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投标人信用承诺书</w:t>
      </w:r>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为营造公开、公平、公正的公共资源交易环境，树立诚信守法的投标人形象，本人代表本单位作出以下承诺：</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二、严格依照国家和省、市、县关于政府采购等方面的法律、法规、规章、规范性文件，参加公共资源交易招标投标活动；积极履行社会责任，促进廉政建设；</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三、严格遵守即时信息公示规定，及时更新公共资源交易中心主体信息库中信息；</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六、自觉接受政府部门、行业组织、社会公众、新闻舆论等监督；</w:t>
      </w:r>
      <w:r>
        <w:rPr>
          <w:rFonts w:hint="eastAsia" w:ascii="宋体" w:hAnsi="宋体" w:eastAsia="宋体" w:cs="宋体"/>
          <w:color w:val="000000"/>
          <w:sz w:val="28"/>
          <w:szCs w:val="28"/>
          <w:highlight w:val="none"/>
          <w:lang w:val="zh-CN"/>
        </w:rPr>
      </w:r>
      <w:r/>
    </w:p>
    <w:p>
      <w:pPr>
        <w:pStyle w:val="1503"/>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七、上述承诺已向本单位员工作了宣传教育；</w:t>
      </w:r>
      <w:r>
        <w:rPr>
          <w:rFonts w:hint="eastAsia" w:ascii="宋体" w:hAnsi="宋体" w:eastAsia="宋体" w:cs="宋体"/>
          <w:color w:val="000000"/>
          <w:sz w:val="28"/>
          <w:szCs w:val="28"/>
          <w:highlight w:val="none"/>
          <w:lang w:val="zh-CN"/>
        </w:rPr>
      </w:r>
      <w:r/>
    </w:p>
    <w:p>
      <w:pPr>
        <w:pStyle w:val="1503"/>
        <w:ind w:right="1560"/>
        <w:jc w:val="left"/>
        <w:spacing w:line="460" w:lineRule="exact"/>
        <w:tabs>
          <w:tab w:val="left" w:pos="4860"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如有违反上述承诺的不良行为，本单位同意将其予以上网公示。</w:t>
      </w:r>
      <w:r>
        <w:rPr>
          <w:rFonts w:hint="eastAsia" w:ascii="宋体" w:hAnsi="宋体" w:eastAsia="宋体" w:cs="宋体"/>
          <w:b/>
          <w:color w:val="000000"/>
          <w:sz w:val="28"/>
          <w:szCs w:val="28"/>
          <w:highlight w:val="none"/>
          <w:lang w:val="zh-CN"/>
        </w:rPr>
      </w:r>
      <w:r/>
    </w:p>
    <w:p>
      <w:pPr>
        <w:pStyle w:val="1503"/>
        <w:ind w:firstLine="308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3080"/>
        <w:spacing w:line="460" w:lineRule="exact"/>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投标</w:t>
      </w:r>
      <w:r>
        <w:rPr>
          <w:rFonts w:hint="eastAsia" w:ascii="宋体" w:hAnsi="宋体" w:eastAsia="宋体" w:cs="宋体"/>
          <w:color w:val="000000"/>
          <w:sz w:val="28"/>
          <w:szCs w:val="28"/>
          <w:highlight w:val="none"/>
        </w:rPr>
        <w:t xml:space="preserve">人</w:t>
      </w:r>
      <w:r>
        <w:rPr>
          <w:rFonts w:hint="eastAsia" w:ascii="宋体" w:hAnsi="宋体" w:eastAsia="宋体" w:cs="宋体"/>
          <w:color w:val="000000"/>
          <w:sz w:val="28"/>
          <w:szCs w:val="28"/>
          <w:highlight w:val="none"/>
          <w:lang w:val="zh-CN"/>
        </w:rPr>
        <w:t xml:space="preserve">全称(</w:t>
      </w:r>
      <w:r>
        <w:rPr>
          <w:rFonts w:hint="eastAsia" w:ascii="宋体" w:hAnsi="宋体" w:eastAsia="宋体" w:cs="宋体"/>
          <w:color w:val="000000"/>
          <w:sz w:val="28"/>
          <w:szCs w:val="28"/>
          <w:highlight w:val="none"/>
        </w:rPr>
        <w:t xml:space="preserve">加盖CA电子签章</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u w:val="single"/>
          <w:lang w:val="zh-CN"/>
        </w:rPr>
      </w:r>
      <w:r/>
    </w:p>
    <w:p>
      <w:pPr>
        <w:pStyle w:val="1503"/>
        <w:ind w:firstLine="3080"/>
        <w:spacing w:line="460" w:lineRule="exact"/>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法定代表人（签字或</w:t>
      </w:r>
      <w:r>
        <w:rPr>
          <w:rFonts w:hint="eastAsia" w:ascii="宋体" w:hAnsi="宋体" w:eastAsia="宋体" w:cs="宋体"/>
          <w:color w:val="000000"/>
          <w:sz w:val="28"/>
          <w:szCs w:val="28"/>
          <w:highlight w:val="none"/>
        </w:rPr>
        <w:t xml:space="preserve">加盖CA电子签章）</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u w:val="single"/>
          <w:lang w:val="zh-CN"/>
        </w:rPr>
      </w:r>
      <w:r/>
    </w:p>
    <w:p>
      <w:pPr>
        <w:pStyle w:val="1503"/>
        <w:ind w:firstLine="308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时间：年月日</w:t>
      </w:r>
      <w:r>
        <w:rPr>
          <w:rFonts w:hint="eastAsia" w:ascii="宋体" w:hAnsi="宋体" w:eastAsia="宋体" w:cs="宋体"/>
          <w:color w:val="000000"/>
          <w:sz w:val="28"/>
          <w:szCs w:val="28"/>
          <w:highlight w:val="none"/>
          <w:lang w:val="zh-CN"/>
        </w:rPr>
      </w:r>
      <w:r/>
    </w:p>
    <w:p>
      <w:pPr>
        <w:pStyle w:val="1503"/>
        <w:spacing w:line="460" w:lineRule="exact"/>
        <w:rPr>
          <w:rFonts w:hint="eastAsia" w:ascii="宋体" w:hAnsi="宋体" w:eastAsia="宋体" w:cs="宋体"/>
          <w:color w:val="000000"/>
          <w:sz w:val="28"/>
          <w:szCs w:val="28"/>
          <w:highlight w:val="none"/>
        </w:rPr>
        <w:sectPr>
          <w:footnotePr/>
          <w:endnotePr/>
          <w:type w:val="nextPage"/>
          <w:pgSz w:w="11907" w:h="16839" w:orient="portrait"/>
          <w:pgMar w:top="1440" w:right="1800" w:bottom="1440" w:left="1800" w:header="720" w:footer="720" w:gutter="0"/>
          <w:pgNumType w:start="1"/>
          <w:cols w:num="1" w:sep="0" w:space="1701" w:equalWidth="1"/>
          <w:docGrid w:linePitch="360"/>
        </w:sectPr>
      </w:pPr>
      <w:r>
        <w:rPr>
          <w:rFonts w:hint="eastAsia" w:ascii="宋体" w:hAnsi="宋体" w:eastAsia="宋体" w:cs="宋体"/>
          <w:color w:val="000000"/>
          <w:sz w:val="28"/>
          <w:szCs w:val="28"/>
          <w:highlight w:val="none"/>
        </w:rPr>
      </w:r>
      <w:r/>
    </w:p>
    <w:p>
      <w:pPr>
        <w:pStyle w:val="1503"/>
        <w:contextualSpacing/>
        <w:ind w:firstLine="640"/>
        <w:spacing w:line="400" w:lineRule="exact"/>
        <w:rPr>
          <w:rFonts w:hint="eastAsia" w:ascii="宋体" w:hAnsi="宋体" w:eastAsia="宋体" w:cs="宋体"/>
          <w:color w:val="000000"/>
          <w:sz w:val="32"/>
          <w:szCs w:val="32"/>
          <w:highlight w:val="none"/>
          <w:lang w:val="en-US" w:eastAsia="zh-CN"/>
        </w:rPr>
        <w:outlineLvl w:val="3"/>
      </w:pPr>
      <w:r>
        <w:rPr>
          <w:rFonts w:hint="eastAsia" w:ascii="宋体" w:hAnsi="宋体" w:eastAsia="宋体" w:cs="宋体"/>
          <w:color w:val="000000"/>
          <w:sz w:val="32"/>
          <w:szCs w:val="32"/>
          <w:highlight w:val="none"/>
          <w:lang w:val="zh-CN"/>
        </w:rPr>
        <w:t xml:space="preserve">附件</w:t>
      </w:r>
      <w:r>
        <w:rPr>
          <w:rFonts w:hint="eastAsia" w:ascii="宋体" w:hAnsi="宋体" w:eastAsia="宋体" w:cs="宋体"/>
          <w:color w:val="000000"/>
          <w:sz w:val="32"/>
          <w:szCs w:val="32"/>
          <w:highlight w:val="none"/>
          <w:lang w:val="en-US" w:eastAsia="zh-CN"/>
        </w:rPr>
        <w:t xml:space="preserve">6</w:t>
      </w:r>
      <w:r>
        <w:rPr>
          <w:rFonts w:hint="eastAsia" w:ascii="宋体" w:hAnsi="宋体" w:eastAsia="宋体" w:cs="宋体"/>
          <w:color w:val="000000"/>
          <w:sz w:val="32"/>
          <w:szCs w:val="32"/>
          <w:highlight w:val="none"/>
          <w:lang w:val="en-US" w:eastAsia="zh-CN"/>
        </w:rPr>
      </w:r>
      <w:r/>
    </w:p>
    <w:p>
      <w:pPr>
        <w:pStyle w:val="150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投标人符合《中华人民共和国政府采购法》第二十二条规定条件的声明函</w:t>
      </w:r>
      <w:r>
        <w:rPr>
          <w:rFonts w:hint="eastAsia" w:ascii="宋体" w:hAnsi="宋体" w:eastAsia="宋体" w:cs="宋体"/>
          <w:b/>
          <w:color w:val="000000"/>
          <w:sz w:val="28"/>
          <w:szCs w:val="28"/>
          <w:highlight w:val="none"/>
        </w:rPr>
      </w:r>
      <w:r/>
    </w:p>
    <w:p>
      <w:pPr>
        <w:pStyle w:val="150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503"/>
        <w:ind w:firstLine="560"/>
        <w:spacing w:line="400" w:lineRule="exact"/>
        <w:rPr>
          <w:rFonts w:hint="eastAsia" w:ascii="宋体" w:hAnsi="宋体" w:eastAsia="宋体" w:cs="宋体"/>
          <w:b/>
          <w:bCs/>
          <w:color w:val="000000"/>
          <w:sz w:val="28"/>
          <w:szCs w:val="28"/>
          <w:highlight w:val="none"/>
        </w:rPr>
      </w:pPr>
      <w:r>
        <w:rPr>
          <w:rFonts w:hint="eastAsia" w:ascii="宋体" w:hAnsi="宋体" w:eastAsia="宋体" w:cs="宋体"/>
          <w:bCs/>
          <w:color w:val="000000"/>
          <w:sz w:val="28"/>
          <w:szCs w:val="28"/>
          <w:highlight w:val="none"/>
        </w:rPr>
        <w:t xml:space="preserve">我单位参加</w:t>
      </w:r>
      <w:r>
        <w:rPr>
          <w:rFonts w:hint="eastAsia" w:ascii="宋体" w:hAnsi="宋体" w:eastAsia="宋体" w:cs="宋体"/>
          <w:bCs/>
          <w:color w:val="000000"/>
          <w:sz w:val="28"/>
          <w:szCs w:val="28"/>
          <w:highlight w:val="none"/>
          <w:u w:val="single"/>
        </w:rPr>
        <w:t xml:space="preserve">_________________</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u w:val="single"/>
        </w:rPr>
        <w:t xml:space="preserve">_________________</w:t>
      </w:r>
      <w:r>
        <w:rPr>
          <w:rFonts w:hint="eastAsia" w:ascii="宋体" w:hAnsi="宋体" w:eastAsia="宋体" w:cs="宋体"/>
          <w:bCs/>
          <w:color w:val="000000"/>
          <w:sz w:val="28"/>
          <w:szCs w:val="28"/>
          <w:highlight w:val="none"/>
        </w:rPr>
        <w:t xml:space="preserve">（项目编号）投标活动。针对《中华人民共和国政府采购法》第二十二条规定做出如下声明：</w:t>
      </w:r>
      <w:r>
        <w:rPr>
          <w:rFonts w:hint="eastAsia" w:ascii="宋体" w:hAnsi="宋体" w:eastAsia="宋体" w:cs="宋体"/>
          <w:b/>
          <w:bCs/>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1.我单位具有独立承担民事责任的能力；</w:t>
      </w: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2.我单位具有良好的商业信誉和健全的财务会计制度；</w:t>
      </w: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3.我单位具有履行合同所必需的设备和专业技术能力；</w:t>
      </w: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4.我单位有依法缴纳税收和社会保障资金的良好记录；</w:t>
      </w: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outlineLvl w:val="2"/>
      </w:pPr>
      <w:r/>
      <w:bookmarkStart w:id="263" w:name="_Toc9266"/>
      <w:r>
        <w:rPr>
          <w:rFonts w:hint="eastAsia" w:ascii="宋体" w:hAnsi="宋体" w:eastAsia="宋体" w:cs="宋体"/>
          <w:color w:val="000000"/>
          <w:sz w:val="28"/>
          <w:szCs w:val="28"/>
          <w:highlight w:val="none"/>
        </w:rPr>
        <w:t xml:space="preserve">6.我单位满足法律、行政法规规定的其他条件。</w:t>
      </w:r>
      <w:bookmarkEnd w:id="263"/>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503"/>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503"/>
        <w:ind w:firstLine="56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503"/>
        <w:ind w:firstLine="560"/>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承诺人名称（</w:t>
      </w:r>
      <w:r>
        <w:rPr>
          <w:rFonts w:hint="eastAsia" w:ascii="宋体" w:hAnsi="宋体" w:eastAsia="宋体" w:cs="宋体"/>
          <w:color w:val="000000"/>
          <w:sz w:val="28"/>
          <w:szCs w:val="28"/>
          <w:highlight w:val="none"/>
        </w:rPr>
        <w:t xml:space="preserve">加盖CA电子签章</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503"/>
        <w:ind w:firstLine="560"/>
        <w:jc w:val="right"/>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503"/>
        <w:ind w:firstLine="560"/>
        <w:jc w:val="right"/>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日期：</w:t>
      </w:r>
      <w:r>
        <w:rPr>
          <w:rFonts w:hint="eastAsia" w:ascii="宋体" w:hAnsi="宋体" w:eastAsia="宋体" w:cs="宋体"/>
          <w:bCs/>
          <w:color w:val="000000"/>
          <w:sz w:val="28"/>
          <w:szCs w:val="28"/>
          <w:highlight w:val="none"/>
          <w:u w:val="single"/>
        </w:rPr>
        <w:t xml:space="preserve">______</w:t>
      </w:r>
      <w:r>
        <w:rPr>
          <w:rFonts w:hint="eastAsia" w:ascii="宋体" w:hAnsi="宋体" w:eastAsia="宋体" w:cs="宋体"/>
          <w:bCs/>
          <w:color w:val="000000"/>
          <w:sz w:val="28"/>
          <w:szCs w:val="28"/>
          <w:highlight w:val="none"/>
        </w:rPr>
        <w:t xml:space="preserve">年月日</w:t>
      </w:r>
      <w:r>
        <w:rPr>
          <w:rFonts w:hint="eastAsia" w:ascii="宋体" w:hAnsi="宋体" w:eastAsia="宋体" w:cs="宋体"/>
          <w:bCs/>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1503"/>
        <w:contextualSpacing/>
        <w:spacing w:line="460" w:lineRule="exact"/>
        <w:rPr>
          <w:rFonts w:hint="eastAsia" w:ascii="宋体" w:hAnsi="宋体" w:eastAsia="宋体" w:cs="宋体"/>
          <w:color w:val="000000"/>
          <w:sz w:val="28"/>
          <w:szCs w:val="28"/>
          <w:highlight w:val="none"/>
          <w:lang w:val="zh-CN"/>
        </w:rPr>
        <w:outlineLvl w:val="3"/>
      </w:pPr>
      <w:r>
        <w:rPr>
          <w:rFonts w:hint="eastAsia" w:ascii="宋体" w:hAnsi="宋体" w:eastAsia="宋体" w:cs="宋体"/>
          <w:color w:val="000000"/>
          <w:sz w:val="28"/>
          <w:szCs w:val="28"/>
          <w:highlight w:val="none"/>
          <w:lang w:val="zh-CN"/>
        </w:rPr>
      </w:r>
      <w:r/>
    </w:p>
    <w:p>
      <w:pPr>
        <w:pStyle w:val="1503"/>
        <w:contextualSpacing/>
        <w:spacing w:line="460" w:lineRule="exact"/>
        <w:rPr>
          <w:rFonts w:hint="eastAsia" w:ascii="宋体" w:hAnsi="宋体" w:eastAsia="宋体" w:cs="宋体"/>
          <w:color w:val="000000"/>
          <w:sz w:val="28"/>
          <w:szCs w:val="28"/>
          <w:highlight w:val="none"/>
          <w:lang w:val="zh-CN"/>
        </w:rPr>
        <w:outlineLvl w:val="3"/>
      </w:pPr>
      <w:r>
        <w:rPr>
          <w:rFonts w:hint="eastAsia" w:ascii="宋体" w:hAnsi="宋体" w:eastAsia="宋体" w:cs="宋体"/>
          <w:color w:val="000000"/>
          <w:sz w:val="28"/>
          <w:szCs w:val="28"/>
          <w:highlight w:val="none"/>
          <w:lang w:val="zh-CN"/>
        </w:rPr>
      </w:r>
      <w:r/>
    </w:p>
    <w:p>
      <w:pPr>
        <w:pStyle w:val="1503"/>
        <w:contextualSpacing/>
        <w:spacing w:line="460" w:lineRule="exact"/>
        <w:rPr>
          <w:rFonts w:hint="eastAsia" w:ascii="宋体" w:hAnsi="宋体" w:eastAsia="宋体" w:cs="宋体"/>
          <w:b/>
          <w:bCs/>
          <w:color w:val="000000"/>
          <w:sz w:val="28"/>
          <w:szCs w:val="28"/>
          <w:highlight w:val="none"/>
          <w:lang w:eastAsia="zh-CN"/>
        </w:rPr>
        <w:outlineLvl w:val="3"/>
      </w:pPr>
      <w:r>
        <w:rPr>
          <w:rFonts w:hint="eastAsia" w:ascii="宋体" w:hAnsi="宋体" w:eastAsia="宋体" w:cs="宋体"/>
          <w:color w:val="000000"/>
          <w:sz w:val="28"/>
          <w:szCs w:val="28"/>
          <w:highlight w:val="none"/>
          <w:lang w:val="zh-CN"/>
        </w:rPr>
        <w:t xml:space="preserve">附件</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b/>
          <w:bCs/>
          <w:color w:val="000000"/>
          <w:sz w:val="28"/>
          <w:szCs w:val="28"/>
          <w:highlight w:val="none"/>
          <w:lang w:eastAsia="zh-CN"/>
        </w:rPr>
      </w:r>
      <w:r/>
    </w:p>
    <w:p>
      <w:pPr>
        <w:pStyle w:val="1503"/>
        <w:jc w:val="center"/>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503"/>
        <w:jc w:val="center"/>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法定代表人身份证明</w:t>
      </w:r>
      <w:r>
        <w:rPr>
          <w:rFonts w:hint="eastAsia" w:ascii="宋体" w:hAnsi="宋体" w:eastAsia="宋体" w:cs="宋体"/>
          <w:b/>
          <w:bCs/>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先生/女士：现任我单位职务</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，为法定代表人，特此证明。</w:t>
      </w:r>
      <w:r>
        <w:rPr>
          <w:rFonts w:hint="eastAsia" w:ascii="宋体" w:hAnsi="宋体" w:eastAsia="宋体" w:cs="宋体"/>
          <w:color w:val="000000"/>
          <w:sz w:val="28"/>
          <w:szCs w:val="28"/>
          <w:highlight w:val="none"/>
        </w:rPr>
      </w:r>
      <w:r/>
    </w:p>
    <w:p>
      <w:pPr>
        <w:pStyle w:val="1503"/>
        <w:ind w:firstLine="480"/>
        <w:spacing w:line="460" w:lineRule="exact"/>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身份证号码：</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none"/>
          <w:lang w:val="en-US" w:eastAsia="zh-CN"/>
        </w:rPr>
        <w:t xml:space="preserve"> </w:t>
      </w:r>
      <w:r>
        <w:rPr>
          <w:rFonts w:hint="eastAsia" w:ascii="宋体" w:hAnsi="宋体" w:eastAsia="宋体" w:cs="宋体"/>
          <w:color w:val="000000"/>
          <w:sz w:val="28"/>
          <w:szCs w:val="28"/>
          <w:highlight w:val="none"/>
          <w:u w:val="none"/>
        </w:rPr>
        <w:t xml:space="preserve">。</w:t>
      </w:r>
      <w:r>
        <w:rPr>
          <w:rFonts w:hint="eastAsia" w:ascii="宋体" w:hAnsi="宋体" w:eastAsia="宋体" w:cs="宋体"/>
          <w:color w:val="000000"/>
          <w:sz w:val="28"/>
          <w:szCs w:val="28"/>
          <w:highlight w:val="none"/>
          <w:u w:val="non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1503"/>
        <w:ind w:firstLine="48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注：提供法定代表人的身份证复印件</w:t>
      </w:r>
      <w:r>
        <w:rPr>
          <w:rFonts w:hint="eastAsia" w:ascii="宋体" w:hAnsi="宋体" w:eastAsia="宋体" w:cs="宋体"/>
          <w:b/>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150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1503"/>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503"/>
        <w:contextualSpacing/>
        <w:spacing w:line="4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zh-CN"/>
        </w:rPr>
        <w:t xml:space="preserve">附件</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eastAsia="zh-CN"/>
        </w:rPr>
      </w:r>
      <w:r/>
    </w:p>
    <w:p>
      <w:pPr>
        <w:pStyle w:val="1503"/>
        <w:jc w:val="cente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center"/>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法定代表人授权委托书</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（姓名）系</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（授权单位名称）的法定代表人，现委托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（姓名）（身份证号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）为我方代理人，以我方名义全权处理与本次采购项目（编号：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）有关的一切事务，其法律后果由我方承担。</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日起生效。代理人无转委托权。</w:t>
      </w:r>
      <w:r>
        <w:rPr>
          <w:rFonts w:hint="eastAsia" w:ascii="宋体" w:hAnsi="宋体" w:eastAsia="宋体" w:cs="宋体"/>
          <w:color w:val="000000"/>
          <w:sz w:val="28"/>
          <w:szCs w:val="28"/>
          <w:highlight w:val="none"/>
        </w:rPr>
      </w:r>
      <w:r/>
    </w:p>
    <w:p>
      <w:pPr>
        <w:pStyle w:val="1503"/>
        <w:ind w:firstLine="560"/>
        <w:spacing w:line="460" w:lineRule="exact"/>
        <w:rPr>
          <w:rFonts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代理人(被授权人姓名):</w:t>
      </w:r>
      <w:r>
        <w:rPr>
          <w:rFonts w:hint="eastAsia" w:ascii="宋体" w:hAnsi="宋体" w:eastAsia="宋体" w:cs="宋体"/>
          <w:color w:val="000000"/>
          <w:sz w:val="28"/>
          <w:szCs w:val="28"/>
          <w:highlight w:val="none"/>
          <w:u w:val="single"/>
          <w:lang w:val="en-US" w:eastAsia="zh-CN"/>
        </w:rPr>
        <w:t xml:space="preserve">           </w:t>
      </w:r>
      <w:r>
        <w:rPr>
          <w:rFonts w:ascii="宋体" w:hAnsi="宋体" w:eastAsia="宋体" w:cs="宋体"/>
          <w:color w:val="000000"/>
          <w:sz w:val="28"/>
          <w:szCs w:val="28"/>
          <w:highlight w:val="none"/>
          <w:u w:val="single"/>
          <w:lang w:val="en-US" w:eastAsia="zh-CN"/>
        </w:rPr>
      </w:r>
      <w:r/>
    </w:p>
    <w:p>
      <w:pPr>
        <w:pStyle w:val="1503"/>
        <w:ind w:firstLine="560"/>
        <w:spacing w:line="460" w:lineRule="exact"/>
        <w:rPr>
          <w:rFonts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代理人联系方式：</w:t>
      </w:r>
      <w:r>
        <w:rPr>
          <w:rFonts w:hint="eastAsia" w:ascii="宋体" w:hAnsi="宋体" w:eastAsia="宋体" w:cs="宋体"/>
          <w:color w:val="000000"/>
          <w:sz w:val="28"/>
          <w:szCs w:val="28"/>
          <w:highlight w:val="none"/>
          <w:u w:val="single"/>
          <w:lang w:val="en-US" w:eastAsia="zh-CN"/>
        </w:rPr>
        <w:t xml:space="preserve">         </w:t>
      </w:r>
      <w:r>
        <w:rPr>
          <w:rFonts w:ascii="宋体" w:hAnsi="宋体" w:eastAsia="宋体" w:cs="宋体"/>
          <w:color w:val="000000"/>
          <w:sz w:val="28"/>
          <w:szCs w:val="28"/>
          <w:highlight w:val="none"/>
          <w:u w:val="single"/>
          <w:lang w:val="en-US" w:eastAsia="zh-CN"/>
        </w:rPr>
      </w:r>
      <w:r/>
    </w:p>
    <w:p>
      <w:pPr>
        <w:pStyle w:val="1503"/>
        <w:ind w:firstLine="560"/>
        <w:spacing w:line="460" w:lineRule="exact"/>
        <w:rPr>
          <w:rFonts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8"/>
          <w:szCs w:val="28"/>
          <w:highlight w:val="none"/>
          <w:u w:val="single"/>
          <w:lang w:val="en-US" w:eastAsia="zh-CN"/>
        </w:rPr>
        <w:t xml:space="preserve">        </w:t>
      </w:r>
      <w:r>
        <w:rPr>
          <w:rFonts w:ascii="宋体" w:hAnsi="宋体" w:eastAsia="宋体" w:cs="宋体"/>
          <w:color w:val="000000"/>
          <w:sz w:val="28"/>
          <w:szCs w:val="28"/>
          <w:highlight w:val="none"/>
          <w:u w:val="single"/>
          <w:lang w:val="en-US" w:eastAsia="zh-CN"/>
        </w:rPr>
      </w:r>
      <w:r/>
    </w:p>
    <w:p>
      <w:pPr>
        <w:pStyle w:val="1503"/>
        <w:ind w:firstLine="560"/>
        <w:spacing w:line="460" w:lineRule="exact"/>
        <w:rPr>
          <w:rFonts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8"/>
          <w:szCs w:val="28"/>
          <w:highlight w:val="none"/>
          <w:u w:val="single"/>
          <w:lang w:val="en-US" w:eastAsia="zh-CN"/>
        </w:rPr>
        <w:t xml:space="preserve">       </w:t>
      </w:r>
      <w:r>
        <w:rPr>
          <w:rFonts w:ascii="宋体" w:hAnsi="宋体" w:eastAsia="宋体" w:cs="宋体"/>
          <w:color w:val="000000"/>
          <w:sz w:val="28"/>
          <w:szCs w:val="28"/>
          <w:highlight w:val="none"/>
          <w:u w:val="single"/>
          <w:lang w:val="en-US" w:eastAsia="zh-CN"/>
        </w:rPr>
      </w:r>
      <w:r/>
    </w:p>
    <w:p>
      <w:pPr>
        <w:pStyle w:val="1503"/>
        <w:ind w:firstLine="56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1503"/>
        <w:contextualSpacing/>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注：提供投标代表本人身份证复印件</w:t>
      </w:r>
      <w:r>
        <w:rPr>
          <w:rFonts w:hint="eastAsia" w:ascii="宋体" w:hAnsi="宋体" w:eastAsia="宋体" w:cs="宋体"/>
          <w:b/>
          <w:color w:val="000000"/>
          <w:sz w:val="28"/>
          <w:szCs w:val="28"/>
          <w:highlight w:val="none"/>
        </w:rPr>
      </w:r>
      <w:r/>
    </w:p>
    <w:p>
      <w:pPr>
        <w:pStyle w:val="1503"/>
        <w:contextualSpacing/>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contextualSpacing/>
        <w:ind w:firstLine="53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contextualSpacing/>
        <w:ind w:firstLine="53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contextualSpacing/>
        <w:spacing w:line="400" w:lineRule="exact"/>
        <w:rPr>
          <w:rFonts w:hint="eastAsia" w:ascii="宋体" w:hAnsi="宋体" w:eastAsia="宋体" w:cs="宋体"/>
          <w:b/>
          <w:color w:val="000000"/>
          <w:sz w:val="28"/>
          <w:szCs w:val="28"/>
          <w:highlight w:val="none"/>
          <w:lang w:eastAsia="zh-CN"/>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b/>
          <w:color w:val="000000"/>
          <w:sz w:val="28"/>
          <w:szCs w:val="28"/>
          <w:highlight w:val="none"/>
          <w:lang w:eastAsia="zh-CN"/>
        </w:rPr>
      </w:r>
      <w:r/>
    </w:p>
    <w:p>
      <w:pPr>
        <w:pStyle w:val="1503"/>
        <w:ind w:firstLine="281"/>
        <w:jc w:val="center"/>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中小微企业声明函（货物类项目）</w:t>
      </w:r>
      <w:r>
        <w:rPr>
          <w:rFonts w:hint="eastAsia" w:ascii="宋体" w:hAnsi="宋体" w:eastAsia="宋体" w:cs="宋体"/>
          <w:b/>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（采购单位名称）</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（项目名称）（分包号：采购包1）</w:t>
      </w:r>
      <w:r>
        <w:rPr>
          <w:rFonts w:hint="eastAsia" w:ascii="宋体" w:hAnsi="宋体" w:eastAsia="宋体" w:cs="宋体"/>
          <w:color w:val="000000"/>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（水蒸气透气量测试仪）</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u w:val="single"/>
        </w:rPr>
        <w:t xml:space="preserve">（压差法气体渗透仪）</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503"/>
        <w:ind w:right="180" w:firstLine="42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企业名称（加盖CA电子公章）：</w:t>
      </w:r>
      <w:r>
        <w:rPr>
          <w:rFonts w:hint="eastAsia" w:ascii="宋体" w:hAnsi="宋体" w:eastAsia="宋体" w:cs="宋体"/>
          <w:color w:val="000000"/>
          <w:sz w:val="28"/>
          <w:szCs w:val="28"/>
          <w:highlight w:val="none"/>
        </w:rPr>
      </w:r>
      <w:r/>
    </w:p>
    <w:p>
      <w:pPr>
        <w:pStyle w:val="1503"/>
        <w:ind w:right="480" w:firstLine="630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2.本项目所属行业为</w:t>
      </w:r>
      <w:r>
        <w:rPr>
          <w:rFonts w:hint="eastAsia" w:ascii="宋体" w:hAnsi="宋体" w:eastAsia="宋体" w:cs="宋体"/>
          <w:b/>
          <w:bCs/>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b/>
          <w:color w:val="000000"/>
          <w:sz w:val="28"/>
          <w:szCs w:val="28"/>
          <w:highlight w:val="none"/>
        </w:rPr>
      </w:r>
      <w:r/>
    </w:p>
    <w:p>
      <w:pPr>
        <w:pStyle w:val="1503"/>
        <w:ind w:left="560" w:hanging="140"/>
        <w:spacing w:line="460" w:lineRule="exact"/>
        <w:rPr>
          <w:rFonts w:hint="eastAsia" w:ascii="宋体" w:hAnsi="宋体" w:eastAsia="宋体" w:cs="宋体"/>
          <w:color w:val="000000"/>
          <w:sz w:val="28"/>
          <w:szCs w:val="28"/>
          <w:highlight w:val="none"/>
        </w:rPr>
        <w:sectPr>
          <w:headerReference w:type="default" r:id="rId13"/>
          <w:headerReference w:type="even" r:id="rId14"/>
          <w:headerReference w:type="first" r:id="rId15"/>
          <w:footerReference w:type="default" r:id="rId32"/>
          <w:footerReference w:type="even" r:id="rId33"/>
          <w:footerReference w:type="first" r:id="rId34"/>
          <w:footnotePr/>
          <w:endnotePr/>
          <w:type w:val="nextPage"/>
          <w:pgSz w:w="11906" w:h="16838" w:orient="portrait"/>
          <w:pgMar w:top="1440" w:right="1797" w:bottom="1440" w:left="1797" w:header="851" w:footer="992" w:gutter="0"/>
          <w:pgNumType w:start="1"/>
          <w:cols w:num="1" w:sep="0" w:space="1701" w:equalWidth="1"/>
          <w:docGrid w:linePitch="360"/>
        </w:sectPr>
        <w:outlineLvl w:val="2"/>
      </w:pPr>
      <w:r/>
      <w:bookmarkStart w:id="264" w:name="_Toc28642"/>
      <w:r>
        <w:rPr>
          <w:rFonts w:hint="eastAsia" w:ascii="宋体" w:hAnsi="宋体" w:eastAsia="宋体" w:cs="宋体"/>
          <w:color w:val="000000"/>
          <w:sz w:val="28"/>
          <w:szCs w:val="28"/>
          <w:highlight w:val="none"/>
        </w:rPr>
        <w:t xml:space="preserve">4.投标人自行勾选制造商的企业规模类型。</w:t>
      </w:r>
      <w:bookmarkEnd w:id="264"/>
      <w:r>
        <w:rPr>
          <w:rFonts w:hint="eastAsia" w:ascii="宋体" w:hAnsi="宋体" w:eastAsia="宋体" w:cs="宋体"/>
          <w:color w:val="000000"/>
          <w:sz w:val="28"/>
          <w:szCs w:val="28"/>
          <w:highlight w:val="none"/>
        </w:rPr>
      </w:r>
      <w:r/>
    </w:p>
    <w:p>
      <w:pPr>
        <w:pStyle w:val="1503"/>
        <w:ind w:firstLine="281"/>
        <w:jc w:val="center"/>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中小微企业声明函（货物类项目）</w:t>
      </w:r>
      <w:r>
        <w:rPr>
          <w:rFonts w:hint="eastAsia" w:ascii="宋体" w:hAnsi="宋体" w:eastAsia="宋体" w:cs="宋体"/>
          <w:b/>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（采购单位名称）</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（项目名称）（分包号：采购包2）</w:t>
      </w:r>
      <w:r>
        <w:rPr>
          <w:rFonts w:hint="eastAsia" w:ascii="宋体" w:hAnsi="宋体" w:eastAsia="宋体" w:cs="宋体"/>
          <w:color w:val="000000"/>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（液压式万能材料试验机）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u w:val="single"/>
        </w:rPr>
        <w:t xml:space="preserve">（液压式万能材料试验机）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u w:val="single"/>
        </w:rPr>
        <w:t xml:space="preserve">（液压式万能材料试验机）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u w:val="single"/>
        </w:rPr>
        <w:t xml:space="preserve">（电子万能材料试验机）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u w:val="single"/>
        </w:rPr>
        <w:t xml:space="preserve">（电子万能材料试验机）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u w:val="single"/>
        </w:rPr>
        <w:t xml:space="preserve">（高频疲劳试验机）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u w:val="single"/>
        </w:rPr>
        <w:t xml:space="preserve">（微机控制环刚度试验机）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u w:val="single"/>
        </w:rPr>
        <w:t xml:space="preserve">（电液伺服压力试验机）</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u w:val="single"/>
        </w:rPr>
        <w:t xml:space="preserve">（高低温试验箱）</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u w:val="single"/>
        </w:rPr>
        <w:t xml:space="preserve">（高低温试验箱）</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503"/>
        <w:ind w:right="180" w:firstLine="42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企业名称（加盖CA电子公章）：</w:t>
      </w:r>
      <w:r>
        <w:rPr>
          <w:rFonts w:hint="eastAsia" w:ascii="宋体" w:hAnsi="宋体" w:eastAsia="宋体" w:cs="宋体"/>
          <w:color w:val="000000"/>
          <w:sz w:val="28"/>
          <w:szCs w:val="28"/>
          <w:highlight w:val="none"/>
        </w:rPr>
      </w:r>
      <w:r/>
    </w:p>
    <w:p>
      <w:pPr>
        <w:pStyle w:val="1503"/>
        <w:ind w:right="480" w:firstLine="630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2.本项目所属行业为</w:t>
      </w:r>
      <w:r>
        <w:rPr>
          <w:rFonts w:hint="eastAsia" w:ascii="宋体" w:hAnsi="宋体" w:eastAsia="宋体" w:cs="宋体"/>
          <w:b/>
          <w:bCs/>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b/>
          <w:color w:val="000000"/>
          <w:sz w:val="28"/>
          <w:szCs w:val="28"/>
          <w:highlight w:val="none"/>
        </w:rPr>
      </w:r>
      <w:r/>
    </w:p>
    <w:p>
      <w:pPr>
        <w:pStyle w:val="1503"/>
        <w:ind w:left="560" w:hanging="140"/>
        <w:spacing w:line="460" w:lineRule="exact"/>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t xml:space="preserve">4.投标人自行勾选制造商的企业规模类型。</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1503"/>
        <w:ind w:firstLine="281"/>
        <w:jc w:val="center"/>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中小微企业声明函（货物类项目）</w:t>
      </w:r>
      <w:r>
        <w:rPr>
          <w:rFonts w:hint="eastAsia" w:ascii="宋体" w:hAnsi="宋体" w:eastAsia="宋体" w:cs="宋体"/>
          <w:b/>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（采购单位名称）</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（项目名称）（分包号：采购包3）</w:t>
      </w:r>
      <w:r>
        <w:rPr>
          <w:rFonts w:hint="eastAsia" w:ascii="宋体" w:hAnsi="宋体" w:eastAsia="宋体" w:cs="宋体"/>
          <w:color w:val="000000"/>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（交变湿热试验箱）</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u w:val="single"/>
        </w:rPr>
        <w:t xml:space="preserve">（步入式高低温湿热试验箱）</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u w:val="single"/>
        </w:rPr>
        <w:t xml:space="preserve">（盐雾试验箱）</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503"/>
        <w:ind w:right="180" w:firstLine="42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企业名称（加盖CA电子公章）：</w:t>
      </w:r>
      <w:r>
        <w:rPr>
          <w:rFonts w:hint="eastAsia" w:ascii="宋体" w:hAnsi="宋体" w:eastAsia="宋体" w:cs="宋体"/>
          <w:color w:val="000000"/>
          <w:sz w:val="28"/>
          <w:szCs w:val="28"/>
          <w:highlight w:val="none"/>
        </w:rPr>
      </w:r>
      <w:r/>
    </w:p>
    <w:p>
      <w:pPr>
        <w:pStyle w:val="1503"/>
        <w:ind w:right="480" w:firstLine="630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2.本项目所属行业为</w:t>
      </w:r>
      <w:r>
        <w:rPr>
          <w:rFonts w:hint="eastAsia" w:ascii="宋体" w:hAnsi="宋体" w:eastAsia="宋体" w:cs="宋体"/>
          <w:b/>
          <w:bCs/>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b/>
          <w:color w:val="000000"/>
          <w:sz w:val="28"/>
          <w:szCs w:val="28"/>
          <w:highlight w:val="none"/>
        </w:rPr>
      </w:r>
      <w:r/>
    </w:p>
    <w:p>
      <w:pPr>
        <w:pStyle w:val="1503"/>
        <w:ind w:left="560" w:hanging="140"/>
        <w:spacing w:line="460" w:lineRule="exact"/>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t xml:space="preserve">4.投标人自行勾选制造商的企业规模类型。</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503"/>
        <w:ind w:firstLine="281"/>
        <w:jc w:val="center"/>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中小微企业声明函（货物类项目）</w:t>
      </w:r>
      <w:r>
        <w:rPr>
          <w:rFonts w:hint="eastAsia" w:ascii="宋体" w:hAnsi="宋体" w:eastAsia="宋体" w:cs="宋体"/>
          <w:b/>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本公司郑重声明，根据《政府采购促进中小企业发展管理办法》(财库〔2020〕46号)的规定，本公司（联合体）参加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（采购单位名称）</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（项目名称）（分包号：采购包4）</w:t>
      </w:r>
      <w:r>
        <w:rPr>
          <w:rFonts w:hint="eastAsia" w:ascii="宋体" w:hAnsi="宋体" w:eastAsia="宋体" w:cs="宋体"/>
          <w:color w:val="000000"/>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u w:val="single"/>
        </w:rPr>
        <w:t xml:space="preserve">（全自动影像仪）</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u w:val="single"/>
        </w:rPr>
        <w:t xml:space="preserve">（全自动影像仪）</w:t>
      </w:r>
      <w:r>
        <w:rPr>
          <w:rFonts w:hint="eastAsia" w:ascii="宋体" w:hAnsi="宋体" w:eastAsia="宋体" w:cs="宋体"/>
          <w:i/>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行业；制造商为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rPr>
        <w:t xml:space="preserve">（□中型企业□小型企业□微型企业）；</w:t>
      </w:r>
      <w:r>
        <w:rPr>
          <w:rFonts w:hint="eastAsia" w:ascii="宋体" w:hAnsi="宋体" w:eastAsia="宋体" w:cs="宋体"/>
          <w:i/>
          <w:color w:val="000000"/>
          <w:sz w:val="28"/>
          <w:szCs w:val="28"/>
          <w:highlight w:val="none"/>
          <w:u w:val="singl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503"/>
        <w:ind w:firstLine="42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503"/>
        <w:ind w:right="180" w:firstLine="420"/>
        <w:jc w:val="right"/>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企业名称（加盖CA电子公章）：</w:t>
      </w:r>
      <w:r>
        <w:rPr>
          <w:rFonts w:hint="eastAsia" w:ascii="宋体" w:hAnsi="宋体" w:eastAsia="宋体" w:cs="宋体"/>
          <w:color w:val="000000"/>
          <w:sz w:val="28"/>
          <w:szCs w:val="28"/>
          <w:highlight w:val="none"/>
        </w:rPr>
      </w:r>
      <w:r/>
    </w:p>
    <w:p>
      <w:pPr>
        <w:pStyle w:val="1503"/>
        <w:ind w:right="480" w:firstLine="630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2.本项目所属行业为</w:t>
      </w:r>
      <w:r>
        <w:rPr>
          <w:rFonts w:hint="eastAsia" w:ascii="宋体" w:hAnsi="宋体" w:eastAsia="宋体" w:cs="宋体"/>
          <w:b/>
          <w:bCs/>
          <w:color w:val="000000"/>
          <w:sz w:val="28"/>
          <w:szCs w:val="28"/>
          <w:highlight w:val="none"/>
          <w:u w:val="single"/>
        </w:rPr>
        <w:t xml:space="preserve">工业</w:t>
      </w:r>
      <w:r>
        <w:rPr>
          <w:rFonts w:hint="eastAsia" w:ascii="宋体" w:hAnsi="宋体" w:eastAsia="宋体" w:cs="宋体"/>
          <w:color w:val="000000"/>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8"/>
          <w:szCs w:val="28"/>
          <w:highlight w:val="none"/>
        </w:rPr>
      </w:r>
      <w:r/>
    </w:p>
    <w:p>
      <w:pPr>
        <w:pStyle w:val="1503"/>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b/>
          <w:color w:val="000000"/>
          <w:sz w:val="28"/>
          <w:szCs w:val="28"/>
          <w:highlight w:val="none"/>
        </w:rPr>
      </w:r>
      <w:r/>
    </w:p>
    <w:p>
      <w:pPr>
        <w:pStyle w:val="1503"/>
        <w:ind w:left="560" w:hanging="140"/>
        <w:spacing w:line="460" w:lineRule="exact"/>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t xml:space="preserve">4.投标人自行勾选制造商的企业规模类型。</w:t>
      </w:r>
      <w:r>
        <w:rPr>
          <w:rFonts w:hint="eastAsia" w:ascii="宋体" w:hAnsi="宋体" w:eastAsia="宋体" w:cs="宋体"/>
          <w:color w:val="000000"/>
          <w:sz w:val="28"/>
          <w:szCs w:val="28"/>
          <w:highlight w:val="none"/>
        </w:rPr>
      </w:r>
      <w:r/>
    </w:p>
    <w:p>
      <w:pPr>
        <w:pStyle w:val="1534"/>
        <w:rPr>
          <w:rFonts w:hint="eastAsia" w:ascii="宋体" w:hAnsi="宋体" w:eastAsia="宋体" w:cs="宋体"/>
          <w:color w:val="000000"/>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1503"/>
        <w:spacing w:line="48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t xml:space="preserve">附件1</w:t>
      </w:r>
      <w:r>
        <w:rPr>
          <w:rFonts w:hint="eastAsia" w:ascii="宋体" w:hAnsi="宋体" w:eastAsia="宋体" w:cs="宋体"/>
          <w:b/>
          <w:color w:val="000000"/>
          <w:sz w:val="28"/>
          <w:szCs w:val="28"/>
          <w:highlight w:val="none"/>
          <w:lang w:val="en-US" w:eastAsia="zh-CN"/>
        </w:rPr>
        <w:t xml:space="preserve">0</w:t>
      </w:r>
      <w:r>
        <w:rPr>
          <w:rFonts w:hint="eastAsia" w:ascii="宋体" w:hAnsi="宋体" w:eastAsia="宋体" w:cs="宋体"/>
          <w:b/>
          <w:color w:val="000000"/>
          <w:sz w:val="28"/>
          <w:szCs w:val="28"/>
          <w:highlight w:val="none"/>
          <w:lang w:val="en-US" w:eastAsia="zh-CN"/>
        </w:rPr>
      </w:r>
      <w:r/>
    </w:p>
    <w:p>
      <w:pPr>
        <w:pStyle w:val="1503"/>
        <w:ind w:left="561" w:hanging="141"/>
        <w:jc w:val="center"/>
        <w:spacing w:line="480" w:lineRule="exact"/>
        <w:rPr>
          <w:rFonts w:hint="eastAsia" w:ascii="宋体" w:hAnsi="宋体" w:eastAsia="宋体" w:cs="宋体"/>
          <w:color w:val="000000"/>
          <w:sz w:val="28"/>
          <w:szCs w:val="28"/>
          <w:highlight w:val="none"/>
        </w:rPr>
        <w:outlineLvl w:val="1"/>
      </w:pPr>
      <w:r/>
      <w:bookmarkStart w:id="265" w:name="_Toc5882"/>
      <w:r>
        <w:rPr>
          <w:rFonts w:hint="eastAsia" w:ascii="宋体" w:hAnsi="宋体" w:eastAsia="宋体" w:cs="宋体"/>
          <w:b/>
          <w:color w:val="000000"/>
          <w:sz w:val="28"/>
          <w:szCs w:val="28"/>
          <w:highlight w:val="none"/>
        </w:rPr>
        <w:t xml:space="preserve">残疾人福利性单位声明函（货物类项目）（分包号：**）</w:t>
      </w:r>
      <w:bookmarkEnd w:id="265"/>
      <w:r>
        <w:rPr>
          <w:rFonts w:hint="eastAsia" w:ascii="宋体" w:hAnsi="宋体" w:eastAsia="宋体" w:cs="宋体"/>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_____单位的招标文件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的项目（分包号：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rPr>
          <w:rFonts w:hint="eastAsia" w:ascii="宋体" w:hAnsi="宋体" w:eastAsia="宋体" w:cs="宋体"/>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ind w:firstLine="562"/>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rPr>
          <w:rFonts w:hint="eastAsia" w:ascii="宋体" w:hAnsi="宋体" w:eastAsia="宋体" w:cs="宋体"/>
          <w:b/>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2.非专门面向中小微型企业采购的项目，投标人如不提供此声明函，价格将不做相应扣除。</w:t>
      </w:r>
      <w:r>
        <w:rPr>
          <w:rFonts w:hint="eastAsia" w:ascii="宋体" w:hAnsi="宋体" w:eastAsia="宋体" w:cs="宋体"/>
          <w:color w:val="000000"/>
          <w:sz w:val="28"/>
          <w:szCs w:val="28"/>
          <w:highlight w:val="none"/>
        </w:rPr>
      </w:r>
      <w:r/>
    </w:p>
    <w:p>
      <w:pPr>
        <w:pStyle w:val="1503"/>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3.中标/中标人为残疾人福利性单位的，此声明函将随中标/成交结果同时公告，接受社会监督。</w:t>
      </w:r>
      <w:r>
        <w:rPr>
          <w:rFonts w:hint="eastAsia" w:ascii="宋体" w:hAnsi="宋体" w:eastAsia="宋体" w:cs="宋体"/>
          <w:color w:val="000000"/>
          <w:sz w:val="28"/>
          <w:szCs w:val="28"/>
          <w:highlight w:val="none"/>
        </w:rPr>
      </w:r>
      <w:r/>
    </w:p>
    <w:p>
      <w:pPr>
        <w:pStyle w:val="1503"/>
        <w:ind w:firstLine="584"/>
        <w:spacing w:line="480"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pStyle w:val="1503"/>
        <w:ind w:right="1559" w:firstLine="584"/>
        <w:jc w:val="right"/>
        <w:spacing w:line="480"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投标人全称（加盖CA电子公章）：</w:t>
      </w:r>
      <w:r>
        <w:rPr>
          <w:rFonts w:hint="eastAsia" w:ascii="宋体" w:hAnsi="宋体" w:eastAsia="宋体" w:cs="宋体"/>
          <w:color w:val="000000"/>
          <w:sz w:val="28"/>
          <w:szCs w:val="28"/>
          <w:highlight w:val="none"/>
        </w:rPr>
      </w:r>
      <w:r/>
    </w:p>
    <w:p>
      <w:pPr>
        <w:pStyle w:val="1503"/>
        <w:ind w:right="1559" w:firstLine="560"/>
        <w:jc w:val="right"/>
        <w:spacing w:line="480"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jc w:val="center"/>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503"/>
        <w:spacing w:line="30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eastAsia="zh-CN"/>
        </w:rPr>
      </w:r>
      <w:r/>
    </w:p>
    <w:p>
      <w:pPr>
        <w:pStyle w:val="1503"/>
        <w:jc w:val="center"/>
        <w:spacing w:line="4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监狱和戒毒企业证明材料</w:t>
      </w:r>
      <w:r>
        <w:rPr>
          <w:rFonts w:hint="eastAsia" w:ascii="宋体" w:hAnsi="宋体" w:eastAsia="宋体" w:cs="宋体"/>
          <w:b/>
          <w:bCs/>
          <w:color w:val="000000"/>
          <w:sz w:val="32"/>
          <w:szCs w:val="32"/>
          <w:highlight w:val="none"/>
        </w:rPr>
      </w:r>
      <w:r/>
    </w:p>
    <w:p>
      <w:pPr>
        <w:pStyle w:val="1503"/>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498"/>
        <w:jc w:val="center"/>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rPr>
          <w:rFonts w:hint="eastAsia" w:ascii="宋体" w:hAnsi="宋体" w:eastAsia="宋体" w:cs="宋体"/>
          <w:b/>
          <w:color w:val="000000"/>
          <w:sz w:val="28"/>
          <w:szCs w:val="28"/>
          <w:highlight w:val="none"/>
        </w:rPr>
      </w:r>
      <w:r/>
    </w:p>
    <w:p>
      <w:pPr>
        <w:pStyle w:val="1503"/>
        <w:contextualSpacing/>
        <w:spacing w:line="300" w:lineRule="auto"/>
        <w:tabs>
          <w:tab w:val="left" w:pos="12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contextualSpacing/>
        <w:spacing w:line="300" w:lineRule="auto"/>
        <w:tabs>
          <w:tab w:val="left" w:pos="12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32"/>
          <w:szCs w:val="32"/>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32"/>
          <w:szCs w:val="32"/>
          <w:highlight w:val="none"/>
        </w:rPr>
      </w:r>
      <w:r/>
    </w:p>
    <w:p>
      <w:pPr>
        <w:pStyle w:val="1503"/>
        <w:spacing w:line="300" w:lineRule="auto"/>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eastAsia="zh-CN"/>
        </w:rPr>
        <w:t xml:space="preserve">附件12</w:t>
      </w:r>
      <w:r>
        <w:rPr>
          <w:rFonts w:hint="eastAsia" w:ascii="宋体" w:hAnsi="宋体" w:eastAsia="宋体" w:cs="宋体"/>
          <w:color w:val="000000"/>
          <w:sz w:val="32"/>
          <w:szCs w:val="32"/>
          <w:highlight w:val="none"/>
          <w:lang w:val="en-US" w:eastAsia="zh-CN"/>
        </w:rPr>
      </w:r>
      <w:r/>
    </w:p>
    <w:p>
      <w:pPr>
        <w:pStyle w:val="150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实质性要求响应及偏离表（采购包1）</w:t>
      </w:r>
      <w:r>
        <w:rPr>
          <w:rFonts w:hint="eastAsia" w:ascii="宋体" w:hAnsi="宋体" w:eastAsia="宋体" w:cs="宋体"/>
          <w:b/>
          <w:color w:val="000000"/>
          <w:sz w:val="28"/>
          <w:szCs w:val="28"/>
          <w:highlight w:val="none"/>
        </w:rPr>
      </w:r>
      <w:r/>
    </w:p>
    <w:tbl>
      <w:tblPr>
        <w:tblW w:w="99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82"/>
        <w:gridCol w:w="2644"/>
        <w:gridCol w:w="2518"/>
      </w:tblGrid>
      <w:tr>
        <w:trPr>
          <w:cantSplit/>
        </w:trPr>
        <w:tc>
          <w:tcPr>
            <w:tcW w:w="545"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4282"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项目需求中的技术实质性要求</w:t>
            </w:r>
            <w:r>
              <w:rPr>
                <w:rFonts w:hint="eastAsia" w:ascii="宋体" w:hAnsi="宋体" w:eastAsia="宋体" w:cs="宋体"/>
                <w:color w:val="000000"/>
                <w:sz w:val="28"/>
                <w:szCs w:val="28"/>
                <w:highlight w:val="none"/>
              </w:rPr>
            </w:r>
            <w:r/>
          </w:p>
        </w:tc>
        <w:tc>
          <w:tcPr>
            <w:tcW w:w="2644"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W w:w="2518"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原理要求：仪器采用规范的间歇式称重方法，严格符合GB1037-2021最新标准要求，自动间歇称重测试，每次测量前称重器自动清零，保证测试精度。在称量后由升降机构将透湿杯与天平分离开，在称量时由升降机构将透湿杯置于天平上进行称量，实验过程中需不断将透湿杯与天平执行分离与放置称量的操作（需提供技设计方案实物图有效证明材料）。</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3.仪器要求至少具有12个测试腔，数据独立。同时具备增重法和减重法测试模式（需提供技设计方案实物图有效证明材料）。</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核心传感器为高分辨率称重传感器。需配备高精度电子天平，最大称量≥200g，进口品牌天平，全时段分度值0.1mg及以上的I级天平含组件，必须有防潮保护功能，不接受分段式分度值天平。（需提供天平配置情况说明资料等证明材料）。</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风速范围：0.3m/s~2.5m/s，具备标准的风速设计要求，同时风速可进行实时测定和自动调节，确保测试腔的湿度均匀恒定。进口风速电机更佳,有效防止透湿杯上方湿度梯度的形成，保证测试准确性。需配备品牌风速传感器。（提供风速电机配置情况说明资料等证明材料）</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标准配置:主机、计算机、透湿杯、气体干燥装置（免维护型）、自动干燥过滤器、校验、砝码、取样器、供气阀门管件、空压机</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2.测试范围0.01～50000cm³/m²・24h・0.1MPa（拓展上限≥200000cm³/m²・24h・0.1MPa）。</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至少具有3个测试腔，支持同一条件下多个试样同时测试，数据相互独立。为提高检测效率和准确度，采用屉式测试腔体，气动自动夹紧试样，无须手动夹紧试样，测试腔手动出仓、返回。腔体自动密封，密封性由设备自动检测，需避免测试过程中因夹持不严密封性差，发生泄漏，导致测试过程失败。提供相关文件如结构照片、说明资料、操作软件的提醒截图等。（需提供技设计方案实物图有效证明材料）</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tc>
        <w:tc>
          <w:tcPr>
            <w:tcW w:w="4282" w:type="dxa"/>
            <w:vAlign w:val="top"/>
            <w:textDirection w:val="lrTb"/>
            <w:noWrap w:val="false"/>
          </w:tcPr>
          <w:p>
            <w:pPr>
              <w:pStyle w:val="1503"/>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4.真空分辨率0.1Pa</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二、配置要求</w:t>
            </w:r>
            <w:r>
              <w:rPr>
                <w:rFonts w:hint="eastAsia" w:ascii="宋体" w:hAnsi="宋体" w:eastAsia="宋体" w:cs="宋体"/>
                <w:b/>
                <w:color w:val="000000"/>
                <w:sz w:val="28"/>
                <w:szCs w:val="28"/>
                <w:highlight w:val="none"/>
              </w:rPr>
            </w:r>
            <w:r/>
          </w:p>
          <w:p>
            <w:pPr>
              <w:pStyle w:val="1503"/>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气体透过率测试仪主机1台、计算机1台、测试软件系统1套、真空泵1台、取样器1套、空压机1台、试样夹3套</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附件12</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证明材料1，证明材料2，……</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p>
      <w:pPr>
        <w:pStyle w:val="1503"/>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1.投标人必须对项目需求中的</w:t>
      </w:r>
      <w:r>
        <w:rPr>
          <w:rFonts w:hint="eastAsia" w:ascii="宋体" w:hAnsi="宋体" w:eastAsia="宋体" w:cs="宋体"/>
          <w:b w:val="0"/>
          <w:bCs w:val="0"/>
          <w:color w:val="000000"/>
          <w:sz w:val="24"/>
          <w:szCs w:val="24"/>
          <w:highlight w:val="none"/>
          <w:lang w:eastAsia="zh-CN"/>
        </w:rPr>
        <w:t xml:space="preserve">标</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项</w:t>
      </w:r>
      <w:r>
        <w:rPr>
          <w:rFonts w:hint="eastAsia" w:ascii="宋体" w:hAnsi="宋体" w:eastAsia="宋体" w:cs="宋体"/>
          <w:b w:val="0"/>
          <w:bCs w:val="0"/>
          <w:color w:val="000000"/>
          <w:sz w:val="24"/>
          <w:szCs w:val="24"/>
          <w:highlight w:val="none"/>
        </w:rPr>
        <w:t xml:space="preserve">技术</w:t>
      </w:r>
      <w:r>
        <w:rPr>
          <w:rFonts w:hint="eastAsia" w:ascii="宋体" w:hAnsi="宋体" w:eastAsia="宋体" w:cs="宋体"/>
          <w:b w:val="0"/>
          <w:bCs w:val="0"/>
          <w:color w:val="000000"/>
          <w:sz w:val="24"/>
          <w:szCs w:val="24"/>
          <w:highlight w:val="none"/>
        </w:rPr>
        <w:t xml:space="preserve">实质性要求逐条做出明确响应，否则作无效投标处理。</w:t>
      </w:r>
      <w:r>
        <w:rPr>
          <w:rFonts w:hint="eastAsia" w:ascii="宋体" w:hAnsi="宋体" w:eastAsia="宋体" w:cs="宋体"/>
          <w:b w:val="0"/>
          <w:bCs w:val="0"/>
          <w:color w:val="000000"/>
          <w:sz w:val="24"/>
          <w:szCs w:val="24"/>
          <w:highlight w:val="none"/>
        </w:rPr>
      </w:r>
      <w:r/>
    </w:p>
    <w:p>
      <w:pPr>
        <w:pStyle w:val="1503"/>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2.如果招标文件要求提供证明材料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2"/>
          <w:szCs w:val="22"/>
          <w:highlight w:val="none"/>
        </w:rPr>
        <w:t xml:space="preserve">项目需求四、主要技术参数标中标注★的参数提供相应技术支持资料(如彩页或者白皮书或者检测报告或者截图证明等，如参数中有要求，则按文件要求提供)</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val="0"/>
          <w:bCs w:val="0"/>
          <w:color w:val="000000"/>
          <w:sz w:val="24"/>
          <w:szCs w:val="24"/>
          <w:highlight w:val="none"/>
        </w:rPr>
        <w:t xml:space="preserve">，投标人必须将证明材料列于该表之下。</w:t>
      </w:r>
      <w:r>
        <w:rPr>
          <w:rFonts w:hint="eastAsia" w:ascii="宋体" w:hAnsi="宋体" w:eastAsia="宋体" w:cs="宋体"/>
          <w:b w:val="0"/>
          <w:bCs w:val="0"/>
          <w:color w:val="000000"/>
          <w:sz w:val="24"/>
          <w:szCs w:val="24"/>
          <w:highlight w:val="none"/>
        </w:rPr>
      </w:r>
      <w:r/>
    </w:p>
    <w:p>
      <w:pPr>
        <w:pStyle w:val="1503"/>
        <w:spacing w:line="400" w:lineRule="exact"/>
        <w:rPr>
          <w:rFonts w:hint="eastAsia" w:ascii="宋体" w:hAnsi="宋体" w:eastAsia="宋体" w:cs="宋体"/>
          <w:b w:val="0"/>
          <w:bCs w:val="0"/>
          <w:color w:val="000000"/>
          <w:sz w:val="24"/>
          <w:szCs w:val="24"/>
          <w:highlight w:val="none"/>
        </w:rPr>
        <w:sectPr>
          <w:headerReference w:type="default" r:id="rId16"/>
          <w:headerReference w:type="even" r:id="rId17"/>
          <w:headerReference w:type="first" r:id="rId18"/>
          <w:footerReference w:type="default" r:id="rId35"/>
          <w:footnotePr/>
          <w:endnotePr/>
          <w:type w:val="nextPage"/>
          <w:pgSz w:w="11906" w:h="16838" w:orient="portrait"/>
          <w:pgMar w:top="1440" w:right="1740" w:bottom="1440" w:left="1740" w:header="851" w:footer="992" w:gutter="0"/>
          <w:pgNumType w:start="1"/>
          <w:cols w:num="1" w:sep="0" w:space="1701" w:equalWidth="1"/>
          <w:docGrid w:linePitch="360"/>
        </w:sectPr>
      </w:pPr>
      <w:r>
        <w:rPr>
          <w:rFonts w:hint="eastAsia" w:ascii="宋体" w:hAnsi="宋体" w:eastAsia="宋体" w:cs="宋体"/>
          <w:b w:val="0"/>
          <w:bCs w:val="0"/>
          <w:color w:val="000000"/>
          <w:sz w:val="24"/>
          <w:szCs w:val="24"/>
          <w:highlight w:val="none"/>
        </w:rPr>
        <w:t xml:space="preserve">3.投标人未对实质性要求逐条作出明确响应的，或未按招标文件要求提供证明材料的，作无效投标处理。</w:t>
      </w:r>
      <w:r>
        <w:rPr>
          <w:rFonts w:hint="eastAsia" w:ascii="宋体" w:hAnsi="宋体" w:eastAsia="宋体" w:cs="宋体"/>
          <w:b w:val="0"/>
          <w:bCs w:val="0"/>
          <w:color w:val="000000"/>
          <w:sz w:val="24"/>
          <w:szCs w:val="24"/>
          <w:highlight w:val="none"/>
        </w:rPr>
      </w:r>
      <w:r/>
    </w:p>
    <w:p>
      <w:pPr>
        <w:pStyle w:val="150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实质性要求响应及偏离表（采购包</w:t>
      </w:r>
      <w:r>
        <w:rPr>
          <w:rFonts w:hint="eastAsia" w:ascii="宋体" w:hAnsi="宋体" w:eastAsia="宋体" w:cs="宋体"/>
          <w:b/>
          <w:color w:val="000000"/>
          <w:sz w:val="28"/>
          <w:szCs w:val="28"/>
          <w:highlight w:val="none"/>
          <w:lang w:val="en-US" w:eastAsia="zh-CN"/>
        </w:rPr>
        <w:t xml:space="preserve">2</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tbl>
      <w:tblPr>
        <w:tblW w:w="99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82"/>
        <w:gridCol w:w="2644"/>
        <w:gridCol w:w="2518"/>
      </w:tblGrid>
      <w:tr>
        <w:trPr>
          <w:cantSplit/>
        </w:trPr>
        <w:tc>
          <w:tcPr>
            <w:tcW w:w="545"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4282"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项目需求中的技术实质性要求</w:t>
            </w:r>
            <w:r>
              <w:rPr>
                <w:rFonts w:hint="eastAsia" w:ascii="宋体" w:hAnsi="宋体" w:eastAsia="宋体" w:cs="宋体"/>
                <w:color w:val="000000"/>
                <w:sz w:val="28"/>
                <w:szCs w:val="28"/>
                <w:highlight w:val="none"/>
              </w:rPr>
            </w:r>
            <w:r/>
          </w:p>
        </w:tc>
        <w:tc>
          <w:tcPr>
            <w:tcW w:w="2644"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W w:w="2518" w:type="dxa"/>
            <w:vAlign w:val="center"/>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三、配置要求</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3.11000KN拉伸试验主机1台。</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3.2平推液压拉伸夹具1套。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3.5机械式全自动电子引伸计1套。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3.6残余变形引伸计1套。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3.7螺栓拉伸及楔负荷夹具1套。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3.8高温拉伸夹具及拉杆1套。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3.9视频引伸计支架1套。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3.10SEB三点弯曲试验夹具1套。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3.11进口COD规1套。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3.12高低温试验箱1套。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三、配置要求</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3.12000KN拉伸试验主机1台。</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3.2液压拉伸夹具1套。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3.5电子引伸计1套。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3.6螺栓拉伸及楔负荷夹具全套1套。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3.7视频引伸计1套。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 高温炉1套。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三、配置要求</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3.1100KN拉伸试验主机1台。</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3.2楔形液压拉伸夹具1套。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3.4机械式全自动引伸计1套。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3.5弯曲夹具1套。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3.6高温拉伸夹具1套。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3.7型材剪切夹具1套。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3.8电脑终端系统1套。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jc w:val="left"/>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3.120KN拉伸试验主机1台。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3.2楔形拉伸强度夹具1套。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r>
            <w:r/>
          </w:p>
          <w:p>
            <w:pPr>
              <w:pStyle w:val="1503"/>
              <w:keepLines w:val="0"/>
              <w:keepNext w:val="0"/>
              <w:pageBreakBefore w:val="0"/>
              <w:spacing w:line="3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3.5电子引伸计1套。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3.120KN拉伸试验主机1台。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3.2楔形拉伸夹具1套。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3.3压缩夹具1套。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3.5大行程引伸计1套。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3.6扇形拉伸夹具1套。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3.7双偏心轮夹具1套。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3.8薄膜拉伸夹具1套。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3.9管材拉伸夹具1套。</w:t>
            </w:r>
            <w:r>
              <w:rPr>
                <w:rFonts w:hint="eastAsia" w:ascii="宋体" w:hAnsi="宋体" w:eastAsia="宋体" w:cs="宋体"/>
                <w:color w:val="000000"/>
                <w:sz w:val="28"/>
                <w:szCs w:val="28"/>
                <w:highlight w:val="none"/>
              </w:rPr>
            </w:r>
            <w:r/>
          </w:p>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3.10机械式全自动引伸计1套。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3.11000KN疲劳试验主机1台。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3.2液压拉伸夹具1套。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3.3轮辐式力传感器1套。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3.4同轴度调节装置1套。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3.5控制器1套。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3.1100KN环刚度试验主机1台。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3.2内径测量装置（φ50mm～φ2000mm）1套。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3.3环刚度压板1套。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3.4电脑终端系统1套。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545"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tc>
        <w:tc>
          <w:tcPr>
            <w:tcW w:w="4282" w:type="dxa"/>
            <w:vAlign w:val="top"/>
            <w:textDirection w:val="lrTb"/>
            <w:noWrap w:val="false"/>
          </w:tcPr>
          <w:p>
            <w:pPr>
              <w:pStyle w:val="1503"/>
              <w:spacing w:line="3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三、配置要求</w:t>
            </w:r>
            <w:r>
              <w:rPr>
                <w:rFonts w:hint="eastAsia" w:ascii="宋体" w:hAnsi="宋体" w:eastAsia="宋体" w:cs="宋体"/>
                <w:b/>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3.13000KN电液伺服压力试验机主机1台。</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3.2液压静音油源1套。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3.3全封闭双球头抗压夹具1套。</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3.4全数字闭环电气系统1套。</w:t>
            </w:r>
            <w:r>
              <w:rPr>
                <w:rFonts w:hint="eastAsia" w:ascii="宋体" w:hAnsi="宋体" w:eastAsia="宋体" w:cs="宋体"/>
                <w:color w:val="000000"/>
                <w:sz w:val="28"/>
                <w:szCs w:val="28"/>
                <w:highlight w:val="none"/>
              </w:rPr>
            </w:r>
            <w:r/>
          </w:p>
          <w:p>
            <w:pPr>
              <w:pStyle w:val="1503"/>
              <w:ind w:left="0" w:firstLine="0"/>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3.5电脑终端1套。</w:t>
            </w:r>
            <w:r>
              <w:rPr>
                <w:rFonts w:hint="eastAsia" w:ascii="宋体" w:hAnsi="宋体" w:eastAsia="宋体" w:cs="宋体"/>
                <w:color w:val="000000"/>
                <w:sz w:val="28"/>
                <w:szCs w:val="28"/>
                <w:highlight w:val="none"/>
              </w:rPr>
            </w:r>
            <w:r/>
          </w:p>
          <w:p>
            <w:pPr>
              <w:pStyle w:val="1503"/>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3.6专用试验软件1套。</w:t>
            </w:r>
            <w:r>
              <w:rPr>
                <w:rFonts w:hint="eastAsia" w:ascii="宋体" w:hAnsi="宋体" w:eastAsia="宋体" w:cs="宋体"/>
                <w:color w:val="000000"/>
                <w:sz w:val="28"/>
                <w:szCs w:val="28"/>
                <w:highlight w:val="none"/>
              </w:rPr>
            </w:r>
            <w:r/>
          </w:p>
        </w:tc>
        <w:tc>
          <w:tcPr>
            <w:tcW w:w="2644"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518" w:type="dxa"/>
            <w:vAlign w:val="top"/>
            <w:textDirection w:val="lrTb"/>
            <w:noWrap w:val="false"/>
          </w:tcPr>
          <w:p>
            <w:pPr>
              <w:pStyle w:val="1503"/>
              <w:jc w:val="center"/>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附件12</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证明材料1，证明材料2，……</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1.投标人必须对项目需求中的</w:t>
      </w:r>
      <w:r>
        <w:rPr>
          <w:rFonts w:hint="eastAsia" w:ascii="宋体" w:hAnsi="宋体" w:eastAsia="宋体" w:cs="宋体"/>
          <w:color w:val="000000"/>
          <w:sz w:val="28"/>
          <w:szCs w:val="28"/>
          <w:highlight w:val="none"/>
          <w:lang w:eastAsia="zh-CN"/>
        </w:rPr>
        <w:t xml:space="preserve">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项</w:t>
      </w:r>
      <w:r>
        <w:rPr>
          <w:rFonts w:hint="eastAsia" w:ascii="宋体" w:hAnsi="宋体" w:eastAsia="宋体" w:cs="宋体"/>
          <w:color w:val="000000"/>
          <w:sz w:val="28"/>
          <w:szCs w:val="28"/>
          <w:highlight w:val="none"/>
        </w:rPr>
        <w:t xml:space="preserve">技术实质性要求逐条做出明确响应，否则作无效投标处理。</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2.如果招标文件要求提供证明材料，投标人必须将证明材料列于该表之下。</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3.投标人未对实质性要求逐条作出明确响应的，或未按招标文件要求提供证明材料的，作无效投标处理。</w:t>
      </w:r>
      <w:r>
        <w:rPr>
          <w:rFonts w:hint="eastAsia" w:ascii="宋体" w:hAnsi="宋体" w:eastAsia="宋体" w:cs="宋体"/>
          <w:color w:val="000000"/>
          <w:sz w:val="28"/>
          <w:szCs w:val="28"/>
          <w:highlight w:val="none"/>
        </w:rPr>
      </w:r>
      <w:r/>
    </w:p>
    <w:p>
      <w:pPr>
        <w:pStyle w:val="1503"/>
        <w:rPr>
          <w:rFonts w:hint="eastAsia" w:ascii="宋体" w:hAnsi="宋体" w:eastAsia="宋体" w:cs="宋体"/>
          <w:b/>
          <w:color w:val="000000"/>
          <w:sz w:val="32"/>
          <w:szCs w:val="32"/>
          <w:highlight w:val="none"/>
        </w:rPr>
        <w:sectPr>
          <w:headerReference w:type="default" r:id="rId19"/>
          <w:headerReference w:type="even" r:id="rId20"/>
          <w:headerReference w:type="first" r:id="rId21"/>
          <w:footerReference w:type="default" r:id="rId36"/>
          <w:footnotePr/>
          <w:endnotePr/>
          <w:type w:val="nextPage"/>
          <w:pgSz w:w="11906" w:h="16838" w:orient="portrait"/>
          <w:pgMar w:top="1440" w:right="1740" w:bottom="1440" w:left="1740"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r>
      <w:r/>
    </w:p>
    <w:p>
      <w:pPr>
        <w:pStyle w:val="1503"/>
        <w:rPr>
          <w:rFonts w:hint="eastAsia"/>
          <w:color w:val="000000"/>
          <w:highlight w:val="none"/>
        </w:rPr>
      </w:pPr>
      <w:r>
        <w:rPr>
          <w:rFonts w:hint="eastAsia"/>
          <w:color w:val="000000"/>
          <w:highlight w:val="none"/>
        </w:rPr>
      </w:r>
      <w:r/>
    </w:p>
    <w:p>
      <w:pPr>
        <w:pStyle w:val="150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实质性要求响应及偏离表（采购包3）</w:t>
      </w:r>
      <w:r>
        <w:rPr>
          <w:rFonts w:hint="eastAsia" w:ascii="宋体" w:hAnsi="宋体" w:eastAsia="宋体" w:cs="宋体"/>
          <w:b/>
          <w:color w:val="000000"/>
          <w:sz w:val="28"/>
          <w:szCs w:val="28"/>
          <w:highlight w:val="none"/>
        </w:rPr>
      </w:r>
      <w:r/>
    </w:p>
    <w:tbl>
      <w:tblPr>
        <w:tblW w:w="9989"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545"/>
        <w:gridCol w:w="4021"/>
        <w:gridCol w:w="2905"/>
        <w:gridCol w:w="2518"/>
      </w:tblGrid>
      <w:tr>
        <w:trPr>
          <w:cantSplit/>
        </w:trPr>
        <w:tc>
          <w:tcPr>
            <w:tcMar>
              <w:left w:w="57" w:type="dxa"/>
              <w:top w:w="57" w:type="dxa"/>
              <w:right w:w="57" w:type="dxa"/>
              <w:bottom w:w="57" w:type="dxa"/>
            </w:tcMar>
            <w:tcW w:w="545"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项目需求中的技术实质性要求</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1.1内部尺寸：不小于W750mm×D670mm×H900mm，工作室有效容积不小于450L。</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429"/>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1.2温度范围：-70℃～+180℃。</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3.6.1模拟输入-分辨率：温度：0.1℃/0.1℉。</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3.6.2可重复性：±0.05%满量程。</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1.1内部尺寸：不小于W3200mm×D4200mm×H3000mm。</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339"/>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1.2温度范围：-60℃～+150℃。</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1.7升降温速率：从-60℃到+150℃,空载平均速率≥3℃/min。</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2.3箱体需要下沉式，箱内底板与地面保持水平，方便装载样品，投标时提供具体方案。</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4.6.1模拟输入-分辨率：温度：0.1℃/0.1℉。</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4.6.2可重复性：±0.05%满量程。</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1.1内部尺寸：不小于W1500mm×D1800mm×H1600mm（不含尖顶部分），工作室有效容积不小于4.3m³。</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1.2温湿度试验温度范围：+10℃～+70℃。</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1.7升降温速率：在带载100kg钢铁试样、无发热负载条件下，+20℃升至+60℃及+60℃降至+20℃的平均升降温速率均≥1.0℃/min（在空气处理单元出风口处测量）。</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1.10复合循环试验能力：单台设备须集成温湿度（交变湿热）、盐雾（中性盐雾）、盐水喷淋、冷凝四种试验模式，并可在同一试验程序中按设定时间与参数自动切换、连续循环运行，模式切换过程中试样无需出箱或人工转移，可实现“盐雾—干燥—湿热—冷凝”等多步循环腐蚀试验，同时满足盐雾条件、干燥条件、湿热条件和标准大气条件等各类交变试验。</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3.3.1溶液储存与配制：设置容积不小于200L的溶液箱1个，带液位计及电磁阀，可自动补充去离子水；配电动搅拌器对盐溶液进行搅拌；随机提供便携式盐浓度计1只，用于测量溶液浓度；配置盐水泵向高位液罐供液。</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4.7可编程控制器（PLC）参数要求：</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4.7.1模拟输入-分辨率：温度：0.1℃/0.1℉。</w:t>
            </w:r>
            <w:r>
              <w:rPr>
                <w:rFonts w:hint="eastAsia" w:ascii="宋体" w:hAnsi="宋体" w:eastAsia="宋体" w:cs="宋体"/>
                <w:color w:val="000000"/>
                <w:sz w:val="28"/>
                <w:szCs w:val="28"/>
                <w:highlight w:val="none"/>
              </w:rPr>
            </w:r>
            <w:r/>
          </w:p>
          <w:p>
            <w:pPr>
              <w:pStyle w:val="1503"/>
              <w:spacing w:line="3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4.7.2可重复性：±0.05%满量程。</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附件12</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证明材料1，证明材料2，……</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1.投标人必须对项目需求中的</w:t>
      </w:r>
      <w:r>
        <w:rPr>
          <w:rFonts w:hint="eastAsia" w:ascii="宋体" w:hAnsi="宋体" w:eastAsia="宋体" w:cs="宋体"/>
          <w:color w:val="000000"/>
          <w:sz w:val="28"/>
          <w:szCs w:val="28"/>
          <w:highlight w:val="none"/>
          <w:lang w:eastAsia="zh-CN"/>
        </w:rPr>
        <w:t xml:space="preserve">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项</w:t>
      </w:r>
      <w:r>
        <w:rPr>
          <w:rFonts w:hint="eastAsia" w:ascii="宋体" w:hAnsi="宋体" w:eastAsia="宋体" w:cs="宋体"/>
          <w:color w:val="000000"/>
          <w:sz w:val="28"/>
          <w:szCs w:val="28"/>
          <w:highlight w:val="none"/>
        </w:rPr>
        <w:t xml:space="preserve">技术实质性要求逐条做出明确响应，否则作无效投标处理。</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2.如果招标文件要求提供证明材料，投标人必须将证明材料列于该表之下。</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3.投标人未对实质性要求逐条作出明确响应的，或未按招标文件要求提供证明材料的，作无效投标处理。</w:t>
      </w:r>
      <w:r>
        <w:rPr>
          <w:rFonts w:hint="eastAsia" w:ascii="宋体" w:hAnsi="宋体" w:eastAsia="宋体" w:cs="宋体"/>
          <w:color w:val="000000"/>
          <w:sz w:val="28"/>
          <w:szCs w:val="28"/>
          <w:highlight w:val="none"/>
        </w:rPr>
      </w:r>
      <w:r/>
    </w:p>
    <w:p>
      <w:pPr>
        <w:pStyle w:val="1503"/>
        <w:rPr>
          <w:rFonts w:hint="eastAsia" w:ascii="宋体" w:hAnsi="宋体" w:eastAsia="宋体" w:cs="宋体"/>
          <w:b/>
          <w:color w:val="000000"/>
          <w:sz w:val="32"/>
          <w:szCs w:val="32"/>
          <w:highlight w:val="none"/>
        </w:rPr>
        <w:sectPr>
          <w:headerReference w:type="default" r:id="rId22"/>
          <w:headerReference w:type="even" r:id="rId23"/>
          <w:headerReference w:type="first" r:id="rId24"/>
          <w:footerReference w:type="default" r:id="rId37"/>
          <w:footnotePr/>
          <w:endnotePr/>
          <w:type w:val="nextPage"/>
          <w:pgSz w:w="11906" w:h="16838" w:orient="portrait"/>
          <w:pgMar w:top="1440" w:right="1740" w:bottom="1440" w:left="1740"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r>
      <w:r/>
    </w:p>
    <w:p>
      <w:pPr>
        <w:pStyle w:val="150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实质性要求响应及偏离表（采购包</w:t>
      </w:r>
      <w:r>
        <w:rPr>
          <w:rFonts w:hint="eastAsia" w:ascii="宋体" w:hAnsi="宋体" w:eastAsia="宋体" w:cs="宋体"/>
          <w:b/>
          <w:color w:val="000000"/>
          <w:sz w:val="28"/>
          <w:szCs w:val="28"/>
          <w:highlight w:val="none"/>
          <w:lang w:val="en-US" w:eastAsia="zh-CN"/>
        </w:rPr>
        <w:t xml:space="preserve">4</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tbl>
      <w:tblPr>
        <w:tblW w:w="9989"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545"/>
        <w:gridCol w:w="4021"/>
        <w:gridCol w:w="2905"/>
        <w:gridCol w:w="2518"/>
      </w:tblGrid>
      <w:tr>
        <w:trPr>
          <w:cantSplit/>
        </w:trPr>
        <w:tc>
          <w:tcPr>
            <w:tcMar>
              <w:left w:w="57" w:type="dxa"/>
              <w:top w:w="57" w:type="dxa"/>
              <w:right w:w="57" w:type="dxa"/>
              <w:bottom w:w="57" w:type="dxa"/>
            </w:tcMar>
            <w:tcW w:w="545"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项目需求中的技术实质性要求</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投标响应情况</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center"/>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rPr>
                <w:rFonts w:hint="eastAsia" w:ascii="宋体" w:hAnsi="宋体" w:eastAsia="宋体" w:cs="宋体"/>
                <w:color w:val="000000"/>
                <w:sz w:val="28"/>
                <w:szCs w:val="28"/>
                <w:highlight w:val="none"/>
              </w:rPr>
            </w:r>
            <w:r/>
          </w:p>
        </w:tc>
      </w:tr>
      <w:tr>
        <w:trPr>
          <w:cantSplit/>
          <w:trHeight w:val="640"/>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二、配置要求</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4.1机身（含彩色工业摄像机）、工作台1套。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4.2CCD1个。</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4.3镜头1个。</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4.4光栅尺3套。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4.5直线电机2套。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4.6丝杆1套。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4.7导轨3套。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4.8限位开关6个。</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4.9软件（加密锁）1套。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4.10运动控制器1套。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4.11光学玻璃1块。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4.12摇杆1套。</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4.13电脑1套。</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429"/>
        </w:trPr>
        <w:tc>
          <w:tcPr>
            <w:tcMar>
              <w:left w:w="57" w:type="dxa"/>
              <w:top w:w="57" w:type="dxa"/>
              <w:right w:w="57" w:type="dxa"/>
              <w:bottom w:w="57" w:type="dxa"/>
            </w:tcMar>
            <w:tcW w:w="54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4021" w:type="dxa"/>
            <w:vAlign w:val="top"/>
            <w:textDirection w:val="lrTb"/>
            <w:noWrap w:val="false"/>
          </w:tcPr>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二、配置要求</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2.1投影仪机身1件。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2.210X光学镜头1件。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2.3光学玻璃1件。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2.4数据采集盒1件。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2.5光栅尺1件。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2.6保险丝2件。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2.7工作桌1件。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2.8反射棱镜1件。</w:t>
            </w:r>
            <w:r>
              <w:rPr>
                <w:rFonts w:hint="eastAsia" w:ascii="宋体" w:hAnsi="宋体" w:eastAsia="宋体" w:cs="宋体"/>
                <w:color w:val="000000"/>
                <w:sz w:val="28"/>
                <w:szCs w:val="28"/>
                <w:highlight w:val="none"/>
              </w:rPr>
            </w:r>
            <w:r/>
          </w:p>
          <w:p>
            <w:pPr>
              <w:pStyle w:val="1503"/>
              <w:jc w:val="left"/>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2.9其它按厂家出厂标准配备。</w:t>
            </w:r>
            <w:r>
              <w:rPr>
                <w:rFonts w:hint="eastAsia" w:ascii="宋体" w:hAnsi="宋体" w:eastAsia="宋体" w:cs="宋体"/>
                <w:color w:val="000000"/>
                <w:sz w:val="28"/>
                <w:szCs w:val="28"/>
                <w:highlight w:val="none"/>
              </w:rPr>
            </w:r>
            <w:r/>
          </w:p>
        </w:tc>
        <w:tc>
          <w:tcPr>
            <w:tcMar>
              <w:left w:w="57" w:type="dxa"/>
              <w:top w:w="57" w:type="dxa"/>
              <w:right w:w="57" w:type="dxa"/>
              <w:bottom w:w="57" w:type="dxa"/>
            </w:tcMar>
            <w:tcW w:w="2905"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Mar>
              <w:left w:w="57" w:type="dxa"/>
              <w:top w:w="57" w:type="dxa"/>
              <w:right w:w="57" w:type="dxa"/>
              <w:bottom w:w="57" w:type="dxa"/>
            </w:tcMar>
            <w:tcW w:w="2518" w:type="dxa"/>
            <w:vAlign w:val="top"/>
            <w:textDirection w:val="lrTb"/>
            <w:noWrap w:val="false"/>
          </w:tcPr>
          <w:p>
            <w:pPr>
              <w:pStyle w:val="1503"/>
              <w:jc w:val="center"/>
              <w:spacing w:line="3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附件12</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证明材料1，证明材料2，……</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1.投标人必须对项目需求中的</w:t>
      </w:r>
      <w:r>
        <w:rPr>
          <w:rFonts w:hint="eastAsia" w:ascii="宋体" w:hAnsi="宋体" w:eastAsia="宋体" w:cs="宋体"/>
          <w:color w:val="000000"/>
          <w:sz w:val="28"/>
          <w:szCs w:val="28"/>
          <w:highlight w:val="none"/>
          <w:lang w:eastAsia="zh-CN"/>
        </w:rPr>
        <w:t xml:space="preserve">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项</w:t>
      </w:r>
      <w:r>
        <w:rPr>
          <w:rFonts w:hint="eastAsia" w:ascii="宋体" w:hAnsi="宋体" w:eastAsia="宋体" w:cs="宋体"/>
          <w:color w:val="000000"/>
          <w:sz w:val="28"/>
          <w:szCs w:val="28"/>
          <w:highlight w:val="none"/>
        </w:rPr>
        <w:t xml:space="preserve">技术实质性要求逐条做出明确响应，否则作无效投标处理。</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2.如果招标文件要求提供证明材料，投标人必须将证明材料列于该表之下。</w:t>
      </w:r>
      <w:r>
        <w:rPr>
          <w:rFonts w:hint="eastAsia" w:ascii="宋体" w:hAnsi="宋体" w:eastAsia="宋体" w:cs="宋体"/>
          <w:color w:val="000000"/>
          <w:sz w:val="28"/>
          <w:szCs w:val="28"/>
          <w:highlight w:val="none"/>
        </w:rPr>
      </w:r>
      <w:r/>
    </w:p>
    <w:p>
      <w:pPr>
        <w:pStyle w:val="150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3.投标人未对实质性要求逐条作出明确响应的，或未按招标文件要求提供证明材料的，作无效投标处理。</w:t>
      </w:r>
      <w:r>
        <w:rPr>
          <w:rFonts w:hint="eastAsia" w:ascii="宋体" w:hAnsi="宋体" w:eastAsia="宋体" w:cs="宋体"/>
          <w:color w:val="000000"/>
          <w:sz w:val="28"/>
          <w:szCs w:val="28"/>
          <w:highlight w:val="none"/>
        </w:rPr>
      </w:r>
      <w:r/>
    </w:p>
    <w:p>
      <w:pPr>
        <w:pStyle w:val="1503"/>
        <w:rPr>
          <w:rFonts w:hint="eastAsia" w:ascii="宋体" w:hAnsi="宋体" w:eastAsia="宋体" w:cs="宋体"/>
          <w:b/>
          <w:color w:val="000000"/>
          <w:sz w:val="32"/>
          <w:szCs w:val="32"/>
          <w:highlight w:val="none"/>
        </w:rPr>
        <w:sectPr>
          <w:headerReference w:type="default" r:id="rId25"/>
          <w:headerReference w:type="even" r:id="rId26"/>
          <w:headerReference w:type="first" r:id="rId27"/>
          <w:footerReference w:type="default" r:id="rId38"/>
          <w:footnotePr/>
          <w:endnotePr/>
          <w:type w:val="nextPage"/>
          <w:pgSz w:w="11906" w:h="16838" w:orient="portrait"/>
          <w:pgMar w:top="1440" w:right="1740" w:bottom="1440" w:left="1740"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r>
      <w:r/>
    </w:p>
    <w:p>
      <w:pPr>
        <w:pStyle w:val="1503"/>
        <w:spacing w:line="30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eastAsia="zh-CN"/>
        </w:rPr>
      </w:r>
      <w:r/>
    </w:p>
    <w:p>
      <w:pPr>
        <w:pStyle w:val="1503"/>
        <w:jc w:val="center"/>
        <w:spacing w:line="460" w:lineRule="exact"/>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t xml:space="preserve">质疑函范本</w:t>
      </w:r>
      <w:r>
        <w:rPr>
          <w:rFonts w:hint="eastAsia" w:ascii="宋体" w:hAnsi="宋体" w:eastAsia="宋体" w:cs="宋体"/>
          <w:bCs/>
          <w:color w:val="000000"/>
          <w:sz w:val="40"/>
          <w:szCs w:val="40"/>
          <w:highlight w:val="none"/>
        </w:rPr>
      </w:r>
      <w:r/>
    </w:p>
    <w:p>
      <w:pPr>
        <w:pStyle w:val="1503"/>
        <w:spacing w:before="312" w:line="460" w:lineRule="exact"/>
        <w:rPr>
          <w:rFonts w:hint="eastAsia" w:ascii="宋体" w:hAnsi="宋体" w:eastAsia="宋体" w:cs="宋体"/>
          <w:bCs/>
          <w:color w:val="000000"/>
          <w:sz w:val="28"/>
          <w:szCs w:val="28"/>
          <w:highlight w:val="none"/>
        </w:rPr>
        <w:outlineLvl w:val="1"/>
      </w:pPr>
      <w:r/>
      <w:bookmarkStart w:id="266" w:name="_Toc31083"/>
      <w:r>
        <w:rPr>
          <w:rFonts w:hint="eastAsia" w:ascii="宋体" w:hAnsi="宋体" w:eastAsia="宋体" w:cs="宋体"/>
          <w:bCs/>
          <w:color w:val="000000"/>
          <w:sz w:val="28"/>
          <w:szCs w:val="28"/>
          <w:highlight w:val="none"/>
        </w:rPr>
        <w:t xml:space="preserve">一、质疑投标人基本信息</w:t>
      </w:r>
      <w:bookmarkEnd w:id="266"/>
      <w:r>
        <w:rPr>
          <w:rFonts w:hint="eastAsia" w:ascii="宋体" w:hAnsi="宋体" w:eastAsia="宋体" w:cs="宋体"/>
          <w:bCs/>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质疑投标人：</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bCs/>
          <w:color w:val="000000"/>
          <w:sz w:val="28"/>
          <w:szCs w:val="28"/>
          <w:highlight w:val="none"/>
        </w:rPr>
        <w:outlineLvl w:val="1"/>
      </w:pPr>
      <w:r/>
      <w:bookmarkStart w:id="267" w:name="_Toc10335"/>
      <w:r>
        <w:rPr>
          <w:rFonts w:hint="eastAsia" w:ascii="宋体" w:hAnsi="宋体" w:eastAsia="宋体" w:cs="宋体"/>
          <w:bCs/>
          <w:color w:val="000000"/>
          <w:sz w:val="28"/>
          <w:szCs w:val="28"/>
          <w:highlight w:val="none"/>
        </w:rPr>
        <w:t xml:space="preserve">二、质疑项目基本情况</w:t>
      </w:r>
      <w:bookmarkEnd w:id="267"/>
      <w:r>
        <w:rPr>
          <w:rFonts w:hint="eastAsia" w:ascii="宋体" w:hAnsi="宋体" w:eastAsia="宋体" w:cs="宋体"/>
          <w:bCs/>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采购人名称：</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招标文件获取日期：</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bCs/>
          <w:color w:val="000000"/>
          <w:sz w:val="28"/>
          <w:szCs w:val="28"/>
          <w:highlight w:val="none"/>
        </w:rPr>
        <w:outlineLvl w:val="1"/>
      </w:pPr>
      <w:r/>
      <w:bookmarkStart w:id="268" w:name="_Toc16480"/>
      <w:r>
        <w:rPr>
          <w:rFonts w:hint="eastAsia" w:ascii="宋体" w:hAnsi="宋体" w:eastAsia="宋体" w:cs="宋体"/>
          <w:bCs/>
          <w:color w:val="000000"/>
          <w:sz w:val="28"/>
          <w:szCs w:val="28"/>
          <w:highlight w:val="none"/>
        </w:rPr>
        <w:t xml:space="preserve">三、质疑事项具体内容</w:t>
      </w:r>
      <w:bookmarkEnd w:id="268"/>
      <w:r>
        <w:rPr>
          <w:rFonts w:hint="eastAsia" w:ascii="宋体" w:hAnsi="宋体" w:eastAsia="宋体" w:cs="宋体"/>
          <w:bCs/>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bCs/>
          <w:color w:val="000000"/>
          <w:sz w:val="28"/>
          <w:szCs w:val="28"/>
          <w:highlight w:val="none"/>
        </w:rPr>
        <w:outlineLvl w:val="1"/>
      </w:pPr>
      <w:r/>
      <w:bookmarkStart w:id="269" w:name="_Toc21173"/>
      <w:r>
        <w:rPr>
          <w:rFonts w:hint="eastAsia" w:ascii="宋体" w:hAnsi="宋体" w:eastAsia="宋体" w:cs="宋体"/>
          <w:bCs/>
          <w:color w:val="000000"/>
          <w:sz w:val="28"/>
          <w:szCs w:val="28"/>
          <w:highlight w:val="none"/>
        </w:rPr>
        <w:t xml:space="preserve">四、与质疑事项相关的质疑请求</w:t>
      </w:r>
      <w:bookmarkEnd w:id="269"/>
      <w:r>
        <w:rPr>
          <w:rFonts w:hint="eastAsia" w:ascii="宋体" w:hAnsi="宋体" w:eastAsia="宋体" w:cs="宋体"/>
          <w:bCs/>
          <w:color w:val="000000"/>
          <w:sz w:val="28"/>
          <w:szCs w:val="28"/>
          <w:highlight w:val="none"/>
        </w:rPr>
      </w:r>
      <w:r/>
    </w:p>
    <w:p>
      <w:pPr>
        <w:pStyle w:val="1503"/>
        <w:spacing w:line="4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rPr>
          <w:rFonts w:hint="eastAsia" w:ascii="宋体" w:hAnsi="宋体" w:eastAsia="宋体" w:cs="宋体"/>
          <w:color w:val="000000"/>
          <w:sz w:val="28"/>
          <w:szCs w:val="28"/>
          <w:highlight w:val="none"/>
          <w:u w:val="singl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签字(签章)：公章：</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503"/>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质疑函制作说明：</w:t>
      </w:r>
      <w:r>
        <w:rPr>
          <w:rFonts w:hint="eastAsia" w:ascii="宋体" w:hAnsi="宋体" w:eastAsia="宋体" w:cs="宋体"/>
          <w:b/>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outlineLvl w:val="2"/>
      </w:pPr>
      <w:r/>
      <w:bookmarkStart w:id="270" w:name="_Toc29150"/>
      <w:r>
        <w:rPr>
          <w:rFonts w:hint="eastAsia" w:ascii="宋体" w:hAnsi="宋体" w:eastAsia="宋体" w:cs="宋体"/>
          <w:color w:val="000000"/>
          <w:sz w:val="28"/>
          <w:szCs w:val="28"/>
          <w:highlight w:val="none"/>
        </w:rPr>
        <w:t xml:space="preserve">1.投标人提出质疑时，应提交质疑函和必要的证明材料。</w:t>
      </w:r>
      <w:bookmarkEnd w:id="270"/>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2.质疑投标人若委托代理人进行质疑的，质疑函应按要求列明“授权代表”的有关内容，并在附件中提交由质疑</w:t>
      </w:r>
      <w:r>
        <w:rPr>
          <w:rFonts w:hint="eastAsia" w:ascii="宋体" w:hAnsi="宋体" w:eastAsia="宋体" w:cs="宋体"/>
          <w:color w:val="000000"/>
          <w:sz w:val="28"/>
          <w:szCs w:val="28"/>
          <w:highlight w:val="none"/>
        </w:rPr>
        <w:t xml:space="preserve">投标人签署的授权委托书。授权委托书应载明代理人的姓名或者名称、代理事项、具体权限、期限和相关事项。</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3.质疑投标人若对项目的某一分包进行质疑，质疑函中应列明具体分包号。</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outlineLvl w:val="2"/>
      </w:pPr>
      <w:r/>
      <w:bookmarkStart w:id="271" w:name="_Toc8790"/>
      <w:r>
        <w:rPr>
          <w:rFonts w:hint="eastAsia" w:ascii="宋体" w:hAnsi="宋体" w:eastAsia="宋体" w:cs="宋体"/>
          <w:color w:val="000000"/>
          <w:sz w:val="28"/>
          <w:szCs w:val="28"/>
          <w:highlight w:val="none"/>
        </w:rPr>
        <w:t xml:space="preserve">5.质疑函的质疑请求应与质疑事项相关。</w:t>
      </w:r>
      <w:bookmarkEnd w:id="271"/>
      <w:r>
        <w:rPr>
          <w:rFonts w:hint="eastAsia" w:ascii="宋体" w:hAnsi="宋体" w:eastAsia="宋体" w:cs="宋体"/>
          <w:color w:val="000000"/>
          <w:sz w:val="28"/>
          <w:szCs w:val="28"/>
          <w:highlight w:val="none"/>
        </w:rPr>
      </w:r>
      <w:r/>
    </w:p>
    <w:p>
      <w:pPr>
        <w:pStyle w:val="1503"/>
        <w:ind w:firstLine="560"/>
        <w:jc w:val="left"/>
        <w:spacing w:line="46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宋体" w:hAnsi="宋体" w:eastAsia="宋体" w:cs="宋体"/>
          <w:color w:val="000000"/>
          <w:sz w:val="28"/>
          <w:szCs w:val="28"/>
          <w:highlight w:val="none"/>
        </w:rPr>
      </w:r>
      <w:r/>
    </w:p>
    <w:p>
      <w:pPr>
        <w:pStyle w:val="1503"/>
        <w:spacing w:line="30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503"/>
        <w:jc w:val="center"/>
        <w:spacing w:line="12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南通苏采招投标咨询服务有限公司</w:t>
      </w:r>
      <w:r>
        <w:rPr>
          <w:rFonts w:hint="eastAsia" w:ascii="宋体" w:hAnsi="宋体" w:eastAsia="宋体" w:cs="宋体"/>
          <w:color w:val="000000"/>
          <w:sz w:val="44"/>
          <w:szCs w:val="44"/>
          <w:highlight w:val="none"/>
        </w:rPr>
      </w:r>
      <w:r/>
    </w:p>
    <w:p>
      <w:pPr>
        <w:pStyle w:val="1503"/>
        <w:jc w:val="center"/>
        <w:spacing w:line="120" w:lineRule="auto"/>
        <w:rPr>
          <w:rFonts w:hint="eastAsia" w:ascii="宋体" w:hAnsi="宋体" w:eastAsia="宋体" w:cs="宋体"/>
          <w:color w:val="000000"/>
          <w:sz w:val="30"/>
          <w:szCs w:val="30"/>
          <w:highlight w:val="none"/>
        </w:rPr>
      </w:pPr>
      <w:r>
        <w:rPr>
          <w:rFonts w:hint="eastAsia" w:ascii="宋体" w:hAnsi="宋体" w:eastAsia="宋体" w:cs="宋体"/>
          <w:color w:val="000000"/>
          <w:sz w:val="44"/>
          <w:szCs w:val="44"/>
          <w:highlight w:val="none"/>
        </w:rPr>
        <w:t xml:space="preserve">政府采购供应商友情提醒</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供应商在参与政府采购项目中的常见问题，现将有关常见问题提醒如下：</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一、如何参与政府采购项目？</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答：（1）潜在供应商如有意向参与本公司政府采购项目，必须按照以下方法进行操作，方可视为参与成功。</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（2）“CA数字证书”的办理材料以及供应商操作手册详见：</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http://www.ccgp-jiangsu.gov.cn/jiangsu/zlxz/ee/ee3a4bc5a3454aa2b0d9312230633ce9.html</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二、如何正确填写《中小企业声明函》？</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答：受中小企业扶持政策的供应商应当满足下列条件：在货物采购项目中，货物应当由中小企业</w:t>
      </w:r>
      <w:r>
        <w:rPr>
          <w:rFonts w:hint="eastAsia" w:ascii="宋体" w:hAnsi="宋体" w:eastAsia="宋体" w:cs="宋体"/>
          <w:b/>
          <w:bCs/>
          <w:color w:val="000000"/>
          <w:sz w:val="30"/>
          <w:szCs w:val="30"/>
          <w:highlight w:val="none"/>
        </w:rPr>
        <w:t xml:space="preserve">制造</w:t>
      </w:r>
      <w:r>
        <w:rPr>
          <w:rFonts w:hint="eastAsia" w:ascii="宋体" w:hAnsi="宋体" w:eastAsia="宋体" w:cs="宋体"/>
          <w:color w:val="000000"/>
          <w:sz w:val="30"/>
          <w:szCs w:val="30"/>
          <w:highlight w:val="none"/>
        </w:rPr>
        <w:t xml:space="preserve">，不对其中涉及的服务的承接商作出要求。货物类项目制造商在填写中小企业声明函时，需按照采购标的中的标的清单</w:t>
      </w:r>
      <w:r>
        <w:rPr>
          <w:rFonts w:hint="eastAsia" w:ascii="宋体" w:hAnsi="宋体" w:eastAsia="宋体" w:cs="宋体"/>
          <w:b/>
          <w:bCs/>
          <w:color w:val="000000"/>
          <w:sz w:val="30"/>
          <w:szCs w:val="30"/>
          <w:highlight w:val="none"/>
        </w:rPr>
        <w:t xml:space="preserve">逐项进行响应</w:t>
      </w:r>
      <w:r>
        <w:rPr>
          <w:rFonts w:hint="eastAsia" w:ascii="宋体" w:hAnsi="宋体" w:eastAsia="宋体" w:cs="宋体"/>
          <w:color w:val="000000"/>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如采购项目允许分包，所有分包供应商也需按照采购项目的属性提供《中小企业声明函》，否则视为不享受中小企业扶持政策。</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三、填写附件的时候有哪些需要注意的？</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四、报价时有哪些注意事项？</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答：各供应商报价时应注意总报价不得高于最高限价。涉及分项报价有最高限价要求的，应当逐项审查；分项报价与总价存在换算关系的，应核对换算是否准确。</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此外，供应商最终报价出现下列情形之一的，评审委员会将启动异常低价投标（响应）审查程序：</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3.投标（响应）报价低于采购项目最高限价45%的，即投标（响应）报价&lt;采购项目最高限价×45%；</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4.评审委员会认定的供应商报价过低、有可能影响产品质量或者不能诚信履约的其他情形。</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对报价异常低且经评审委员会启动相关审查机制后仍中标或成交的供应商，采购人将重点关注其履约能力、履约承诺、实际履约情况等。</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五、开评标过程中供应商的注意事项有哪些？</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hint="eastAsia" w:ascii="宋体" w:hAnsi="宋体" w:eastAsia="宋体" w:cs="宋体"/>
          <w:color w:val="000000"/>
          <w:sz w:val="30"/>
          <w:szCs w:val="30"/>
          <w:highlight w:val="none"/>
        </w:rPr>
      </w:r>
      <w:r/>
    </w:p>
    <w:p>
      <w:pPr>
        <w:pStyle w:val="1503"/>
        <w:ind w:firstLine="602"/>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六、评标结束后什么时候能查询结果？如何查询？</w:t>
      </w:r>
      <w:r>
        <w:rPr>
          <w:rFonts w:hint="eastAsia" w:ascii="宋体" w:hAnsi="宋体" w:eastAsia="宋体" w:cs="宋体"/>
          <w:b/>
          <w:bCs/>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答：对于采用公开招标或封闭式框架协议方式采购的项目，项目中标（入围）公告发布，参与供应商即可在“苏采云”系统中查看评审结果。</w:t>
      </w:r>
      <w:r>
        <w:rPr>
          <w:rFonts w:hint="eastAsia" w:ascii="宋体" w:hAnsi="宋体" w:eastAsia="宋体" w:cs="宋体"/>
          <w:color w:val="000000"/>
          <w:sz w:val="30"/>
          <w:szCs w:val="30"/>
          <w:highlight w:val="none"/>
        </w:rPr>
      </w:r>
      <w:r/>
    </w:p>
    <w:p>
      <w:pPr>
        <w:pStyle w:val="1503"/>
        <w:ind w:firstLine="600"/>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rPr>
          <w:rFonts w:hint="eastAsia" w:ascii="宋体" w:hAnsi="宋体" w:eastAsia="宋体" w:cs="宋体"/>
          <w:color w:val="000000"/>
          <w:sz w:val="30"/>
          <w:szCs w:val="30"/>
          <w:highlight w:val="none"/>
        </w:rPr>
      </w:r>
      <w:r/>
    </w:p>
    <w:p>
      <w:pPr>
        <w:pStyle w:val="1503"/>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77</w:t>
                          </w:r>
                          <w:r>
                            <w:fldChar w:fldCharType="end"/>
                          </w:r>
                          <w:r>
                            <w:t xml:space="preserve">页共</w:t>
                          </w:r>
                          <w:r>
                            <w:fldChar w:fldCharType="begin"/>
                          </w:r>
                          <w:r>
                            <w:instrText xml:space="preserve"> NUMPAGES  \* MERGEFORMAT </w:instrText>
                          </w:r>
                          <w:r>
                            <w:fldChar w:fldCharType="separate"/>
                          </w:r>
                          <w:r>
                            <w:t xml:space="preserve">124</w:t>
                          </w:r>
                          <w:r>
                            <w:fldChar w:fldCharType="end"/>
                          </w:r>
                          <w:r>
                            <w:t xml:space="preserve">页</w:t>
                          </w:r>
                          <w:r/>
                        </w:p>
                        <w:p>
                          <w:pPr>
                            <w:pStyle w:val="1503"/>
                          </w:pPr>
                          <w:r/>
                          <w:r/>
                        </w:p>
                      </w:txbxContent>
                    </wps:txbx>
                    <wps:bodyPr wrap="none" lIns="0" tIns="0" rIns="0" bIns="0" upright="1">
                      <a:spAutoFit/>
                    </wps:bodyPr>
                  </wps:wsp>
                </a:graphicData>
              </a:graphic>
            </wp:anchor>
          </w:drawing>
        </mc:Choice>
        <mc:Fallback>
          <w:pict>
            <v:shape id="shape 12" o:spid="_x0000_s12"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77</w:t>
                    </w:r>
                    <w:r>
                      <w:fldChar w:fldCharType="end"/>
                    </w:r>
                    <w:r>
                      <w:t xml:space="preserve">页共</w:t>
                    </w:r>
                    <w:r>
                      <w:fldChar w:fldCharType="begin"/>
                    </w:r>
                    <w:r>
                      <w:instrText xml:space="preserve"> NUMPAGES  \* MERGEFORMAT </w:instrText>
                    </w:r>
                    <w:r>
                      <w:fldChar w:fldCharType="separate"/>
                    </w:r>
                    <w:r>
                      <w:t xml:space="preserve">124</w:t>
                    </w:r>
                    <w:r>
                      <w:fldChar w:fldCharType="end"/>
                    </w:r>
                    <w:r>
                      <w:t xml:space="preserve">页</w:t>
                    </w:r>
                    <w:r/>
                  </w:p>
                  <w:p>
                    <w:pPr>
                      <w:pStyle w:val="15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72185" cy="14795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93</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93</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972185" cy="14795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94</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wps:txbx>
                    <wps:bodyPr wrap="none" lIns="0" tIns="0" rIns="0" bIns="0" upright="1">
                      <a:spAutoFit/>
                    </wps:bodyPr>
                  </wps:wsp>
                </a:graphicData>
              </a:graphic>
            </wp:anchor>
          </w:drawing>
        </mc:Choice>
        <mc:Fallback>
          <w:pict>
            <v:shape id="shape 14" o:spid="_x0000_s14" o:spt="202" type="#_x0000_t202" style="position:absolute;z-index:25165824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94</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72185" cy="147955"/>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101</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wps:txbx>
                    <wps:bodyPr wrap="none" lIns="0" tIns="0" rIns="0" bIns="0" upright="1">
                      <a:spAutoFit/>
                    </wps:bodyPr>
                  </wps:wsp>
                </a:graphicData>
              </a:graphic>
            </wp:anchor>
          </w:drawing>
        </mc:Choice>
        <mc:Fallback>
          <w:pict>
            <v:shape id="shape 15" o:spid="_x0000_s15" o:spt="202" type="#_x0000_t202" style="position:absolute;z-index:251658243;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101</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72185" cy="14795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114</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549"/>
                      <w:tabs>
                        <w:tab w:val="clear" w:pos="4153" w:leader="none"/>
                        <w:tab w:val="clear" w:pos="8306" w:leader="none"/>
                      </w:tabs>
                    </w:pPr>
                    <w:r>
                      <w:t xml:space="preserve">第</w:t>
                    </w:r>
                    <w:r>
                      <w:fldChar w:fldCharType="begin"/>
                    </w:r>
                    <w:r>
                      <w:instrText xml:space="preserve"> PAGE  \* MERGEFORMAT </w:instrText>
                    </w:r>
                    <w:r>
                      <w:fldChar w:fldCharType="separate"/>
                    </w:r>
                    <w:r>
                      <w:t xml:space="preserve">114</w:t>
                    </w:r>
                    <w:r>
                      <w:fldChar w:fldCharType="end"/>
                    </w:r>
                    <w:r>
                      <w:t xml:space="preserve">页共</w:t>
                    </w:r>
                    <w:r>
                      <w:fldChar w:fldCharType="begin"/>
                    </w:r>
                    <w:r>
                      <w:instrText xml:space="preserve"> NUMPAGES  \* MERGEFORMAT </w:instrText>
                    </w:r>
                    <w:r>
                      <w:fldChar w:fldCharType="separate"/>
                    </w:r>
                    <w:r>
                      <w:t xml:space="preserve">123</w:t>
                    </w:r>
                    <w:r>
                      <w:fldChar w:fldCharType="end"/>
                    </w:r>
                    <w:r>
                      <w:t xml:space="preserve">页</w:t>
                    </w:r>
                    <w:r/>
                  </w:p>
                  <w:p>
                    <w:pPr>
                      <w:pStyle w:val="150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117</w:t>
                          </w:r>
                          <w:r>
                            <w:rPr>
                              <w:lang w:val="zh-CN"/>
                            </w:rPr>
                            <w:fldChar w:fldCharType="end"/>
                          </w:r>
                          <w:r/>
                        </w:p>
                        <w:p>
                          <w:pPr>
                            <w:pStyle w:val="1503"/>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117</w:t>
                    </w:r>
                    <w:r>
                      <w:rPr>
                        <w:lang w:val="zh-CN"/>
                      </w:rPr>
                      <w:fldChar w:fldCharType="end"/>
                    </w:r>
                    <w:r/>
                  </w:p>
                  <w:p>
                    <w:pPr>
                      <w:pStyle w:val="1503"/>
                    </w:pPr>
                    <w:r/>
                    <w:r/>
                  </w:p>
                </w:txbxContent>
              </v:textbox>
            </v:shape>
          </w:pict>
        </mc:Fallback>
      </mc:AlternateContent>
    </w:r>
    <w:r/>
  </w:p>
  <w:p>
    <w:pPr>
      <w:pStyle w:val="1549"/>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117</w:t>
                          </w:r>
                          <w:r>
                            <w:rPr>
                              <w:lang w:val="zh-CN"/>
                            </w:rPr>
                            <w:fldChar w:fldCharType="end"/>
                          </w:r>
                          <w:r/>
                        </w:p>
                        <w:p>
                          <w:pPr>
                            <w:pStyle w:val="1503"/>
                          </w:pPr>
                          <w:r/>
                          <w:r/>
                        </w:p>
                      </w:txbxContent>
                    </wps:txbx>
                    <wps:bodyPr wrap="none" lIns="0" tIns="0" rIns="0" bIns="0" upright="1">
                      <a:spAutoFit/>
                    </wps:bodyPr>
                  </wps:wsp>
                </a:graphicData>
              </a:graphic>
            </wp:anchor>
          </w:drawing>
        </mc:Choice>
        <mc:Fallback>
          <w:pict>
            <v:shape id="shape 18" o:spid="_x0000_s18"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117</w:t>
                    </w:r>
                    <w:r>
                      <w:rPr>
                        <w:lang w:val="zh-CN"/>
                      </w:rPr>
                      <w:fldChar w:fldCharType="end"/>
                    </w:r>
                    <w:r/>
                  </w:p>
                  <w:p>
                    <w:pPr>
                      <w:pStyle w:val="1503"/>
                    </w:pPr>
                    <w:r/>
                    <w:r/>
                  </w:p>
                </w:txbxContent>
              </v:textbox>
            </v:shape>
          </w:pict>
        </mc:Fallback>
      </mc:AlternateContent>
    </w:r>
    <w:r/>
  </w:p>
  <w:p>
    <w:pPr>
      <w:pStyle w:val="1549"/>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124</w:t>
                          </w:r>
                          <w:r>
                            <w:rPr>
                              <w:lang w:val="zh-CN"/>
                            </w:rPr>
                            <w:fldChar w:fldCharType="end"/>
                          </w:r>
                          <w:r/>
                        </w:p>
                        <w:p>
                          <w:pPr>
                            <w:pStyle w:val="1503"/>
                          </w:pPr>
                          <w:r/>
                          <w:r/>
                        </w:p>
                      </w:txbxContent>
                    </wps:txbx>
                    <wps:bodyPr wrap="none" lIns="0" tIns="0" rIns="0" bIns="0" upright="1">
                      <a:spAutoFit/>
                    </wps:bodyPr>
                  </wps:wsp>
                </a:graphicData>
              </a:graphic>
            </wp:anchor>
          </w:drawing>
        </mc:Choice>
        <mc:Fallback>
          <w:pict>
            <v:shape id="shape 19" o:spid="_x0000_s19"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124</w:t>
                    </w:r>
                    <w:r>
                      <w:rPr>
                        <w:lang w:val="zh-CN"/>
                      </w:rPr>
                      <w:fldChar w:fldCharType="end"/>
                    </w:r>
                    <w:r/>
                  </w:p>
                  <w:p>
                    <w:pPr>
                      <w:pStyle w:val="1503"/>
                    </w:pPr>
                    <w:r/>
                    <w:r/>
                  </w:p>
                </w:txbxContent>
              </v:textbox>
            </v:shape>
          </w:pict>
        </mc:Fallback>
      </mc:AlternateContent>
    </w:r>
    <w:r/>
  </w:p>
  <w:p>
    <w:pPr>
      <w:pStyle w:val="1549"/>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124</w:t>
                          </w:r>
                          <w:r>
                            <w:rPr>
                              <w:lang w:val="zh-CN"/>
                            </w:rPr>
                            <w:fldChar w:fldCharType="end"/>
                          </w:r>
                          <w:r/>
                        </w:p>
                        <w:p>
                          <w:pPr>
                            <w:pStyle w:val="1503"/>
                          </w:pPr>
                          <w:r/>
                          <w:r/>
                        </w:p>
                      </w:txbxContent>
                    </wps:txbx>
                    <wps:bodyPr wrap="none" lIns="0" tIns="0" rIns="0" bIns="0" upright="1">
                      <a:spAutoFit/>
                    </wps:bodyPr>
                  </wps:wsp>
                </a:graphicData>
              </a:graphic>
            </wp:anchor>
          </w:drawing>
        </mc:Choice>
        <mc:Fallback>
          <w:pict>
            <v:shape id="shape 20" o:spid="_x0000_s20"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124</w:t>
                    </w:r>
                    <w:r>
                      <w:rPr>
                        <w:lang w:val="zh-CN"/>
                      </w:rPr>
                      <w:fldChar w:fldCharType="end"/>
                    </w:r>
                    <w:r/>
                  </w:p>
                  <w:p>
                    <w:pPr>
                      <w:pStyle w:val="1503"/>
                    </w:pPr>
                    <w:r/>
                    <w:r/>
                  </w:p>
                </w:txbxContent>
              </v:textbox>
            </v:shape>
          </w:pict>
        </mc:Fallback>
      </mc:AlternateContent>
    </w:r>
    <w:r/>
  </w:p>
  <w:p>
    <w:pPr>
      <w:pStyle w:val="15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0" o:spid="_x0000_s0" o:spt="202" type="#_x0000_t202" style="position:absolute;z-index:251658253;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page">
                <wp:align>right</wp:align>
              </wp:positionH>
              <wp:positionV relativeFrom="page">
                <wp:align>top</wp:align>
              </wp:positionV>
              <wp:extent cx="443865" cy="4438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1" o:spid="_x0000_s1" o:spt="202" type="#_x0000_t202" style="position:absolute;z-index:251658249;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page">
                <wp:align>right</wp:align>
              </wp:positionH>
              <wp:positionV relativeFrom="page">
                <wp:align>top</wp:align>
              </wp:positionV>
              <wp:extent cx="443865" cy="4438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2" o:spid="_x0000_s2" o:spt="202" type="#_x0000_t202" style="position:absolute;z-index:251658245;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page">
                <wp:align>right</wp:align>
              </wp:positionH>
              <wp:positionV relativeFrom="page">
                <wp:align>top</wp:align>
              </wp:positionV>
              <wp:extent cx="443865" cy="44386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3" o:spid="_x0000_s3" o:spt="202" type="#_x0000_t202" style="position:absolute;z-index:25165825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page">
                <wp:align>right</wp:align>
              </wp:positionH>
              <wp:positionV relativeFrom="page">
                <wp:align>top</wp:align>
              </wp:positionV>
              <wp:extent cx="443865" cy="44386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4" o:spid="_x0000_s4" o:spt="202" type="#_x0000_t202" style="position:absolute;z-index:251658250;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page">
                <wp:align>right</wp:align>
              </wp:positionH>
              <wp:positionV relativeFrom="page">
                <wp:align>top</wp:align>
              </wp:positionV>
              <wp:extent cx="443865" cy="44386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5" o:spid="_x0000_s5" o:spt="202" type="#_x0000_t202" style="position:absolute;z-index:251658246;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page">
                <wp:align>right</wp:align>
              </wp:positionH>
              <wp:positionV relativeFrom="page">
                <wp:align>top</wp:align>
              </wp:positionV>
              <wp:extent cx="443865" cy="44386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6" o:spid="_x0000_s6" o:spt="202" type="#_x0000_t202" style="position:absolute;z-index:251658255;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page">
                <wp:align>right</wp:align>
              </wp:positionH>
              <wp:positionV relativeFrom="page">
                <wp:align>top</wp:align>
              </wp:positionV>
              <wp:extent cx="443865" cy="44386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7" o:spid="_x0000_s7" o:spt="202" type="#_x0000_t202" style="position:absolute;z-index:251658251;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page">
                <wp:align>right</wp:align>
              </wp:positionH>
              <wp:positionV relativeFrom="page">
                <wp:align>top</wp:align>
              </wp:positionV>
              <wp:extent cx="443865" cy="4438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8" o:spid="_x0000_s8" o:spt="202" type="#_x0000_t202" style="position:absolute;z-index:251658247;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page">
                <wp:align>right</wp:align>
              </wp:positionH>
              <wp:positionV relativeFrom="page">
                <wp:align>top</wp:align>
              </wp:positionV>
              <wp:extent cx="443865" cy="44386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9" o:spid="_x0000_s9" o:spt="202" type="#_x0000_t202" style="position:absolute;z-index:251658256;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r>
                    <w:r/>
                  </w:p>
                  <w:p>
                    <w:pPr>
                      <w:pStyle w:val="1503"/>
                    </w:pPr>
                    <w:r/>
                    <w:r/>
                  </w:p>
                </w:txbxContent>
              </v:textbox>
            </v:shape>
          </w:pict>
        </mc:Fallback>
      </mc:AlternateConten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page">
                <wp:align>right</wp:align>
              </wp:positionH>
              <wp:positionV relativeFrom="page">
                <wp:align>top</wp:align>
              </wp:positionV>
              <wp:extent cx="443865" cy="44386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10" o:spid="_x0000_s10" o:spt="202" type="#_x0000_t202" style="position:absolute;z-index:251658252;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page">
                <wp:align>right</wp:align>
              </wp:positionH>
              <wp:positionV relativeFrom="page">
                <wp:align>top</wp:align>
              </wp:positionV>
              <wp:extent cx="443865" cy="44386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wps:txbx>
                    <wps:bodyPr wrap="none" lIns="0" tIns="190500" rIns="254000" bIns="0" upright="1">
                      <a:spAutoFit/>
                    </wps:bodyPr>
                  </wps:wsp>
                </a:graphicData>
              </a:graphic>
            </wp:anchor>
          </w:drawing>
        </mc:Choice>
        <mc:Fallback>
          <w:pict>
            <v:shape id="shape 11" o:spid="_x0000_s11" o:spt="202" type="#_x0000_t202" style="position:absolute;z-index:25165824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pStyle w:val="1503"/>
                      <w:rPr>
                        <w:rFonts w:ascii="Arial" w:hAnsi="Arial" w:eastAsia="Arial" w:cs="Arial"/>
                        <w:color w:val="000000"/>
                        <w:sz w:val="16"/>
                        <w:szCs w:val="16"/>
                      </w:rPr>
                    </w:pPr>
                    <w:r>
                      <w:rPr>
                        <w:rFonts w:ascii="Arial" w:hAnsi="Arial" w:eastAsia="Arial" w:cs="Arial"/>
                        <w:color w:val="000000"/>
                        <w:sz w:val="16"/>
                        <w:szCs w:val="16"/>
                      </w:rPr>
                      <w:t xml:space="preserve">KONEInternal</w:t>
                    </w:r>
                    <w:r>
                      <w:rPr>
                        <w:rFonts w:ascii="Arial" w:hAnsi="Arial" w:eastAsia="Arial" w:cs="Arial"/>
                        <w:color w:val="000000"/>
                        <w:sz w:val="16"/>
                        <w:szCs w:val="16"/>
                      </w:rPr>
                    </w:r>
                    <w:r/>
                  </w:p>
                  <w:p>
                    <w:pPr>
                      <w:pStyle w:val="1503"/>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22"/>
      <w:isLgl w:val="false"/>
      <w:suff w:val="tab"/>
      <w:lvlText w:val=""/>
      <w:lvlJc w:val="left"/>
      <w:pPr>
        <w:pStyle w:val="150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1503"/>
        <w:ind w:left="960" w:hanging="480"/>
        <w:tabs>
          <w:tab w:val="num" w:pos="960" w:leader="none"/>
        </w:tabs>
      </w:pPr>
    </w:lvl>
    <w:lvl w:ilvl="2">
      <w:start w:val="1"/>
      <w:numFmt w:val="lowerRoman"/>
      <w:isLgl w:val="false"/>
      <w:suff w:val="tab"/>
      <w:lvlText w:val="%3."/>
      <w:lvlJc w:val="right"/>
      <w:pPr>
        <w:pStyle w:val="1503"/>
        <w:ind w:left="1440" w:hanging="480"/>
        <w:tabs>
          <w:tab w:val="num" w:pos="1440" w:leader="none"/>
        </w:tabs>
      </w:pPr>
    </w:lvl>
    <w:lvl w:ilvl="3">
      <w:start w:val="1"/>
      <w:numFmt w:val="decimal"/>
      <w:isLgl w:val="false"/>
      <w:suff w:val="tab"/>
      <w:lvlText w:val="%4."/>
      <w:lvlJc w:val="left"/>
      <w:pPr>
        <w:pStyle w:val="1503"/>
        <w:ind w:left="1920" w:hanging="480"/>
        <w:tabs>
          <w:tab w:val="num" w:pos="1920" w:leader="none"/>
        </w:tabs>
      </w:pPr>
    </w:lvl>
    <w:lvl w:ilvl="4">
      <w:start w:val="1"/>
      <w:numFmt w:val="ideographTraditional"/>
      <w:isLgl w:val="false"/>
      <w:suff w:val="tab"/>
      <w:lvlText w:val="%5、"/>
      <w:lvlJc w:val="left"/>
      <w:pPr>
        <w:pStyle w:val="1503"/>
        <w:ind w:left="2400" w:hanging="480"/>
        <w:tabs>
          <w:tab w:val="num" w:pos="2400" w:leader="none"/>
        </w:tabs>
      </w:pPr>
    </w:lvl>
    <w:lvl w:ilvl="5">
      <w:start w:val="1"/>
      <w:numFmt w:val="lowerRoman"/>
      <w:isLgl w:val="false"/>
      <w:suff w:val="tab"/>
      <w:lvlText w:val="%6."/>
      <w:lvlJc w:val="right"/>
      <w:pPr>
        <w:pStyle w:val="1503"/>
        <w:ind w:left="2880" w:hanging="480"/>
        <w:tabs>
          <w:tab w:val="num" w:pos="2880" w:leader="none"/>
        </w:tabs>
      </w:pPr>
    </w:lvl>
    <w:lvl w:ilvl="6">
      <w:start w:val="1"/>
      <w:numFmt w:val="decimal"/>
      <w:isLgl w:val="false"/>
      <w:suff w:val="tab"/>
      <w:lvlText w:val="%7."/>
      <w:lvlJc w:val="left"/>
      <w:pPr>
        <w:pStyle w:val="1503"/>
        <w:ind w:left="3360" w:hanging="480"/>
        <w:tabs>
          <w:tab w:val="num" w:pos="3360" w:leader="none"/>
        </w:tabs>
      </w:pPr>
    </w:lvl>
    <w:lvl w:ilvl="7">
      <w:start w:val="1"/>
      <w:numFmt w:val="ideographTraditional"/>
      <w:isLgl w:val="false"/>
      <w:suff w:val="tab"/>
      <w:lvlText w:val="%8、"/>
      <w:lvlJc w:val="left"/>
      <w:pPr>
        <w:pStyle w:val="1503"/>
        <w:ind w:left="3840" w:hanging="480"/>
        <w:tabs>
          <w:tab w:val="num" w:pos="3840" w:leader="none"/>
        </w:tabs>
      </w:pPr>
    </w:lvl>
    <w:lvl w:ilvl="8">
      <w:start w:val="1"/>
      <w:numFmt w:val="lowerRoman"/>
      <w:isLgl w:val="false"/>
      <w:suff w:val="tab"/>
      <w:lvlText w:val="%9."/>
      <w:lvlJc w:val="right"/>
      <w:pPr>
        <w:pStyle w:val="1503"/>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503"/>
    <w:next w:val="15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503"/>
    <w:next w:val="15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503"/>
    <w:next w:val="15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503"/>
    <w:next w:val="15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503"/>
    <w:next w:val="15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503"/>
    <w:next w:val="15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503"/>
    <w:next w:val="15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503"/>
    <w:next w:val="15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503"/>
    <w:next w:val="15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5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503"/>
    <w:next w:val="15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503"/>
    <w:next w:val="15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503"/>
    <w:next w:val="1503"/>
    <w:link w:val="38"/>
    <w:uiPriority w:val="29"/>
    <w:qFormat/>
    <w:pPr>
      <w:ind w:left="720" w:right="720"/>
    </w:pPr>
    <w:rPr>
      <w:i/>
    </w:rPr>
  </w:style>
  <w:style w:type="character" w:styleId="38">
    <w:name w:val="Quote Char"/>
    <w:link w:val="37"/>
    <w:uiPriority w:val="29"/>
    <w:rPr>
      <w:i/>
    </w:rPr>
  </w:style>
  <w:style w:type="paragraph" w:styleId="39">
    <w:name w:val="Intense Quote"/>
    <w:basedOn w:val="1503"/>
    <w:next w:val="15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5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5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503"/>
    <w:next w:val="15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5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5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503"/>
    <w:next w:val="1503"/>
    <w:uiPriority w:val="39"/>
    <w:unhideWhenUsed/>
    <w:pPr>
      <w:ind w:left="0" w:right="0" w:firstLine="0"/>
      <w:spacing w:after="57"/>
    </w:pPr>
  </w:style>
  <w:style w:type="paragraph" w:styleId="181">
    <w:name w:val="toc 2"/>
    <w:basedOn w:val="1503"/>
    <w:next w:val="1503"/>
    <w:uiPriority w:val="39"/>
    <w:unhideWhenUsed/>
    <w:pPr>
      <w:ind w:left="283" w:right="0" w:firstLine="0"/>
      <w:spacing w:after="57"/>
    </w:pPr>
  </w:style>
  <w:style w:type="paragraph" w:styleId="182">
    <w:name w:val="toc 3"/>
    <w:basedOn w:val="1503"/>
    <w:next w:val="1503"/>
    <w:uiPriority w:val="39"/>
    <w:unhideWhenUsed/>
    <w:pPr>
      <w:ind w:left="567" w:right="0" w:firstLine="0"/>
      <w:spacing w:after="57"/>
    </w:pPr>
  </w:style>
  <w:style w:type="paragraph" w:styleId="183">
    <w:name w:val="toc 4"/>
    <w:basedOn w:val="1503"/>
    <w:next w:val="1503"/>
    <w:uiPriority w:val="39"/>
    <w:unhideWhenUsed/>
    <w:pPr>
      <w:ind w:left="850" w:right="0" w:firstLine="0"/>
      <w:spacing w:after="57"/>
    </w:pPr>
  </w:style>
  <w:style w:type="paragraph" w:styleId="184">
    <w:name w:val="toc 5"/>
    <w:basedOn w:val="1503"/>
    <w:next w:val="1503"/>
    <w:uiPriority w:val="39"/>
    <w:unhideWhenUsed/>
    <w:pPr>
      <w:ind w:left="1134" w:right="0" w:firstLine="0"/>
      <w:spacing w:after="57"/>
    </w:pPr>
  </w:style>
  <w:style w:type="paragraph" w:styleId="185">
    <w:name w:val="toc 6"/>
    <w:basedOn w:val="1503"/>
    <w:next w:val="1503"/>
    <w:uiPriority w:val="39"/>
    <w:unhideWhenUsed/>
    <w:pPr>
      <w:ind w:left="1417" w:right="0" w:firstLine="0"/>
      <w:spacing w:after="57"/>
    </w:pPr>
  </w:style>
  <w:style w:type="paragraph" w:styleId="186">
    <w:name w:val="toc 7"/>
    <w:basedOn w:val="1503"/>
    <w:next w:val="1503"/>
    <w:uiPriority w:val="39"/>
    <w:unhideWhenUsed/>
    <w:pPr>
      <w:ind w:left="1701" w:right="0" w:firstLine="0"/>
      <w:spacing w:after="57"/>
    </w:pPr>
  </w:style>
  <w:style w:type="paragraph" w:styleId="187">
    <w:name w:val="toc 8"/>
    <w:basedOn w:val="1503"/>
    <w:next w:val="1503"/>
    <w:uiPriority w:val="39"/>
    <w:unhideWhenUsed/>
    <w:pPr>
      <w:ind w:left="1984" w:right="0" w:firstLine="0"/>
      <w:spacing w:after="57"/>
    </w:pPr>
  </w:style>
  <w:style w:type="paragraph" w:styleId="188">
    <w:name w:val="toc 9"/>
    <w:basedOn w:val="1503"/>
    <w:next w:val="15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1503"/>
    <w:next w:val="1503"/>
    <w:uiPriority w:val="99"/>
    <w:unhideWhenUsed/>
    <w:pPr>
      <w:spacing w:after="0" w:afterAutospacing="0"/>
    </w:pPr>
  </w:style>
  <w:style w:type="paragraph" w:styleId="1503" w:default="1">
    <w:name w:val="Normal"/>
    <w:next w:val="1503"/>
    <w:link w:val="1503"/>
    <w:qFormat/>
    <w:pPr>
      <w:jc w:val="both"/>
      <w:widowControl w:val="off"/>
    </w:pPr>
    <w:rPr>
      <w:sz w:val="21"/>
      <w:szCs w:val="24"/>
      <w:lang w:val="en-US" w:eastAsia="zh-CN" w:bidi="ar-SA"/>
    </w:rPr>
  </w:style>
  <w:style w:type="paragraph" w:styleId="1504">
    <w:name w:val="标题 1"/>
    <w:basedOn w:val="1503"/>
    <w:next w:val="1503"/>
    <w:link w:val="1515"/>
    <w:qFormat/>
    <w:pPr>
      <w:keepLines/>
      <w:keepNext/>
      <w:spacing w:before="340" w:after="330" w:line="578" w:lineRule="auto"/>
      <w:outlineLvl w:val="0"/>
    </w:pPr>
    <w:rPr>
      <w:b/>
      <w:bCs/>
      <w:sz w:val="44"/>
      <w:szCs w:val="44"/>
    </w:rPr>
  </w:style>
  <w:style w:type="paragraph" w:styleId="1505">
    <w:name w:val="标题 2"/>
    <w:basedOn w:val="1503"/>
    <w:next w:val="1503"/>
    <w:link w:val="1516"/>
    <w:qFormat/>
    <w:pPr>
      <w:keepLines/>
      <w:keepNext/>
      <w:spacing w:before="260" w:after="260" w:line="416" w:lineRule="auto"/>
      <w:outlineLvl w:val="1"/>
    </w:pPr>
    <w:rPr>
      <w:rFonts w:ascii="Arial" w:hAnsi="Arial" w:eastAsia="黑体"/>
      <w:b/>
      <w:bCs/>
      <w:sz w:val="32"/>
      <w:szCs w:val="32"/>
    </w:rPr>
  </w:style>
  <w:style w:type="paragraph" w:styleId="1506">
    <w:name w:val="标题 3"/>
    <w:basedOn w:val="1503"/>
    <w:next w:val="1503"/>
    <w:link w:val="1517"/>
    <w:qFormat/>
    <w:pPr>
      <w:keepLines/>
      <w:keepNext/>
      <w:spacing w:before="260" w:after="260" w:line="416" w:lineRule="auto"/>
      <w:outlineLvl w:val="2"/>
    </w:pPr>
    <w:rPr>
      <w:b/>
      <w:bCs/>
      <w:sz w:val="32"/>
      <w:szCs w:val="32"/>
    </w:rPr>
  </w:style>
  <w:style w:type="paragraph" w:styleId="1507">
    <w:name w:val="标题 4"/>
    <w:basedOn w:val="1503"/>
    <w:next w:val="1503"/>
    <w:link w:val="1518"/>
    <w:qFormat/>
    <w:pPr>
      <w:jc w:val="center"/>
      <w:keepNext/>
      <w:outlineLvl w:val="3"/>
    </w:pPr>
    <w:rPr>
      <w:rFonts w:eastAsia="新宋体"/>
      <w:sz w:val="30"/>
      <w:szCs w:val="21"/>
    </w:rPr>
  </w:style>
  <w:style w:type="paragraph" w:styleId="1508">
    <w:name w:val="标题 5"/>
    <w:basedOn w:val="1503"/>
    <w:next w:val="1503"/>
    <w:link w:val="1519"/>
    <w:qFormat/>
    <w:pPr>
      <w:keepLines/>
      <w:keepNext/>
      <w:spacing w:before="280" w:after="290" w:line="376" w:lineRule="auto"/>
      <w:outlineLvl w:val="4"/>
    </w:pPr>
    <w:rPr>
      <w:b/>
      <w:bCs/>
      <w:sz w:val="28"/>
      <w:szCs w:val="28"/>
    </w:rPr>
  </w:style>
  <w:style w:type="paragraph" w:styleId="1509">
    <w:name w:val="标题 6"/>
    <w:basedOn w:val="1503"/>
    <w:next w:val="1521"/>
    <w:link w:val="1520"/>
    <w:qFormat/>
    <w:pPr>
      <w:jc w:val="center"/>
      <w:keepNext/>
      <w:outlineLvl w:val="5"/>
    </w:pPr>
    <w:rPr>
      <w:b/>
      <w:sz w:val="44"/>
      <w:szCs w:val="20"/>
    </w:rPr>
  </w:style>
  <w:style w:type="paragraph" w:styleId="1510">
    <w:name w:val="标题 7"/>
    <w:basedOn w:val="1503"/>
    <w:next w:val="1503"/>
    <w:link w:val="1523"/>
    <w:qFormat/>
    <w:pPr>
      <w:keepLines/>
      <w:keepNext/>
      <w:spacing w:before="240" w:after="64" w:line="320" w:lineRule="auto"/>
      <w:outlineLvl w:val="6"/>
    </w:pPr>
    <w:rPr>
      <w:b/>
      <w:bCs/>
      <w:sz w:val="24"/>
    </w:rPr>
  </w:style>
  <w:style w:type="paragraph" w:styleId="1511">
    <w:name w:val="标题 8"/>
    <w:basedOn w:val="1503"/>
    <w:next w:val="1503"/>
    <w:link w:val="1524"/>
    <w:qFormat/>
    <w:pPr>
      <w:keepLines/>
      <w:keepNext/>
      <w:spacing w:before="240" w:after="64" w:line="320" w:lineRule="auto"/>
      <w:outlineLvl w:val="7"/>
    </w:pPr>
    <w:rPr>
      <w:rFonts w:ascii="Arial" w:hAnsi="Arial" w:eastAsia="黑体"/>
      <w:sz w:val="24"/>
    </w:rPr>
  </w:style>
  <w:style w:type="paragraph" w:styleId="1512">
    <w:name w:val="标题 9"/>
    <w:basedOn w:val="1503"/>
    <w:next w:val="1503"/>
    <w:link w:val="1525"/>
    <w:qFormat/>
    <w:pPr>
      <w:keepLines/>
      <w:keepNext/>
      <w:spacing w:before="240" w:after="64" w:line="320" w:lineRule="auto"/>
      <w:outlineLvl w:val="8"/>
    </w:pPr>
    <w:rPr>
      <w:rFonts w:ascii="Arial" w:hAnsi="Arial" w:eastAsia="黑体"/>
      <w:sz w:val="24"/>
      <w:szCs w:val="21"/>
    </w:rPr>
  </w:style>
  <w:style w:type="character" w:styleId="1513">
    <w:name w:val="默认段落字体"/>
    <w:next w:val="1513"/>
    <w:link w:val="1503"/>
    <w:uiPriority w:val="1"/>
    <w:unhideWhenUsed/>
  </w:style>
  <w:style w:type="table" w:styleId="1514">
    <w:name w:val="普通表格"/>
    <w:next w:val="1514"/>
    <w:link w:val="1503"/>
    <w:uiPriority w:val="99"/>
    <w:unhideWhenUsed/>
    <w:qFormat/>
    <w:tblPr/>
  </w:style>
  <w:style w:type="character" w:styleId="1515">
    <w:name w:val="标题 1 Char"/>
    <w:next w:val="1515"/>
    <w:link w:val="1504"/>
    <w:qFormat/>
    <w:rPr>
      <w:rFonts w:ascii="Times New Roman" w:hAnsi="Times New Roman" w:eastAsia="宋体" w:cs="Times New Roman"/>
      <w:b/>
      <w:bCs/>
      <w:sz w:val="44"/>
      <w:szCs w:val="44"/>
    </w:rPr>
  </w:style>
  <w:style w:type="character" w:styleId="1516">
    <w:name w:val="标题 2 Char"/>
    <w:next w:val="1516"/>
    <w:link w:val="1505"/>
    <w:qFormat/>
    <w:rPr>
      <w:rFonts w:ascii="Arial" w:hAnsi="Arial" w:eastAsia="黑体" w:cs="Times New Roman"/>
      <w:b/>
      <w:bCs/>
      <w:sz w:val="32"/>
      <w:szCs w:val="32"/>
    </w:rPr>
  </w:style>
  <w:style w:type="character" w:styleId="1517">
    <w:name w:val="标题 3 Char"/>
    <w:next w:val="1517"/>
    <w:link w:val="1506"/>
    <w:qFormat/>
    <w:rPr>
      <w:rFonts w:ascii="Times New Roman" w:hAnsi="Times New Roman" w:eastAsia="宋体" w:cs="Times New Roman"/>
      <w:b/>
      <w:bCs/>
      <w:sz w:val="32"/>
      <w:szCs w:val="32"/>
    </w:rPr>
  </w:style>
  <w:style w:type="character" w:styleId="1518">
    <w:name w:val="标题 4 Char"/>
    <w:next w:val="1518"/>
    <w:link w:val="1507"/>
    <w:qFormat/>
    <w:rPr>
      <w:rFonts w:ascii="Times New Roman" w:hAnsi="Times New Roman" w:eastAsia="新宋体" w:cs="Times New Roman"/>
      <w:sz w:val="30"/>
      <w:szCs w:val="21"/>
    </w:rPr>
  </w:style>
  <w:style w:type="character" w:styleId="1519">
    <w:name w:val="标题 5 Char"/>
    <w:next w:val="1519"/>
    <w:link w:val="1508"/>
    <w:qFormat/>
    <w:rPr>
      <w:rFonts w:ascii="Times New Roman" w:hAnsi="Times New Roman" w:eastAsia="宋体" w:cs="Times New Roman"/>
      <w:b/>
      <w:bCs/>
      <w:sz w:val="28"/>
      <w:szCs w:val="28"/>
    </w:rPr>
  </w:style>
  <w:style w:type="character" w:styleId="1520">
    <w:name w:val="标题 6 Char"/>
    <w:next w:val="1520"/>
    <w:link w:val="1509"/>
    <w:qFormat/>
    <w:rPr>
      <w:rFonts w:ascii="Times New Roman" w:hAnsi="Times New Roman" w:eastAsia="宋体" w:cs="Times New Roman"/>
      <w:b/>
      <w:sz w:val="44"/>
      <w:szCs w:val="20"/>
    </w:rPr>
  </w:style>
  <w:style w:type="paragraph" w:styleId="1521">
    <w:name w:val="正文缩进"/>
    <w:basedOn w:val="1503"/>
    <w:next w:val="1521"/>
    <w:link w:val="1522"/>
    <w:qFormat/>
    <w:pPr>
      <w:ind w:firstLine="420"/>
    </w:pPr>
    <w:rPr>
      <w:sz w:val="20"/>
      <w:szCs w:val="20"/>
    </w:rPr>
  </w:style>
  <w:style w:type="character" w:styleId="1522">
    <w:name w:val="正文缩进 Char"/>
    <w:next w:val="1522"/>
    <w:link w:val="1521"/>
    <w:qFormat/>
    <w:rPr>
      <w:rFonts w:ascii="Times New Roman" w:hAnsi="Times New Roman" w:eastAsia="宋体" w:cs="Times New Roman"/>
      <w:sz w:val="20"/>
      <w:szCs w:val="20"/>
    </w:rPr>
  </w:style>
  <w:style w:type="character" w:styleId="1523">
    <w:name w:val="标题 7 Char"/>
    <w:next w:val="1523"/>
    <w:link w:val="1510"/>
    <w:qFormat/>
    <w:rPr>
      <w:rFonts w:ascii="Times New Roman" w:hAnsi="Times New Roman" w:eastAsia="宋体" w:cs="Times New Roman"/>
      <w:b/>
      <w:bCs/>
      <w:sz w:val="24"/>
      <w:szCs w:val="24"/>
    </w:rPr>
  </w:style>
  <w:style w:type="character" w:styleId="1524">
    <w:name w:val="标题 8 Char"/>
    <w:next w:val="1524"/>
    <w:link w:val="1511"/>
    <w:qFormat/>
    <w:rPr>
      <w:rFonts w:ascii="Arial" w:hAnsi="Arial" w:eastAsia="黑体" w:cs="Times New Roman"/>
      <w:sz w:val="24"/>
      <w:szCs w:val="24"/>
    </w:rPr>
  </w:style>
  <w:style w:type="character" w:styleId="1525">
    <w:name w:val="标题 9 Char"/>
    <w:next w:val="1525"/>
    <w:link w:val="1512"/>
    <w:qFormat/>
    <w:rPr>
      <w:rFonts w:ascii="Arial" w:hAnsi="Arial" w:eastAsia="黑体" w:cs="Times New Roman"/>
      <w:sz w:val="24"/>
      <w:szCs w:val="21"/>
    </w:rPr>
  </w:style>
  <w:style w:type="paragraph" w:styleId="1526">
    <w:name w:val="注释标题"/>
    <w:basedOn w:val="1503"/>
    <w:next w:val="1503"/>
    <w:link w:val="1503"/>
    <w:qFormat/>
    <w:rPr>
      <w:rFonts w:ascii="Verdana" w:hAnsi="Verdana"/>
      <w:szCs w:val="20"/>
    </w:rPr>
  </w:style>
  <w:style w:type="paragraph" w:styleId="1527">
    <w:name w:val="文档结构图"/>
    <w:basedOn w:val="1503"/>
    <w:next w:val="1527"/>
    <w:link w:val="1528"/>
    <w:semiHidden/>
    <w:qFormat/>
    <w:pPr>
      <w:shd w:val="clear" w:color="auto" w:fill="000080"/>
    </w:pPr>
    <w:rPr>
      <w:sz w:val="20"/>
    </w:rPr>
  </w:style>
  <w:style w:type="character" w:styleId="1528">
    <w:name w:val="文档结构图 Char"/>
    <w:next w:val="1528"/>
    <w:link w:val="1527"/>
    <w:semiHidden/>
    <w:qFormat/>
    <w:rPr>
      <w:szCs w:val="24"/>
      <w:shd w:val="clear" w:color="auto" w:fill="000080"/>
    </w:rPr>
  </w:style>
  <w:style w:type="paragraph" w:styleId="1529">
    <w:name w:val="引文目录标题"/>
    <w:basedOn w:val="1503"/>
    <w:next w:val="1503"/>
    <w:link w:val="1503"/>
    <w:qFormat/>
    <w:pPr>
      <w:jc w:val="center"/>
      <w:spacing w:line="360" w:lineRule="atLeast"/>
    </w:pPr>
    <w:rPr>
      <w:rFonts w:ascii="Arial" w:hAnsi="Arial" w:eastAsia="黑体"/>
      <w:sz w:val="36"/>
      <w:szCs w:val="20"/>
    </w:rPr>
  </w:style>
  <w:style w:type="paragraph" w:styleId="1530">
    <w:name w:val="批注文字"/>
    <w:basedOn w:val="1503"/>
    <w:next w:val="1530"/>
    <w:link w:val="1531"/>
    <w:uiPriority w:val="99"/>
    <w:unhideWhenUsed/>
    <w:qFormat/>
    <w:pPr>
      <w:jc w:val="left"/>
    </w:pPr>
  </w:style>
  <w:style w:type="character" w:styleId="1531">
    <w:name w:val="批注文字 Char"/>
    <w:next w:val="1531"/>
    <w:link w:val="1530"/>
    <w:uiPriority w:val="99"/>
    <w:qFormat/>
    <w:rPr>
      <w:sz w:val="21"/>
      <w:szCs w:val="24"/>
    </w:rPr>
  </w:style>
  <w:style w:type="paragraph" w:styleId="1532">
    <w:name w:val="正文文本 3"/>
    <w:basedOn w:val="1503"/>
    <w:next w:val="1532"/>
    <w:link w:val="1533"/>
    <w:qFormat/>
    <w:pPr>
      <w:spacing w:after="120"/>
    </w:pPr>
    <w:rPr>
      <w:sz w:val="16"/>
      <w:szCs w:val="16"/>
    </w:rPr>
  </w:style>
  <w:style w:type="character" w:styleId="1533">
    <w:name w:val="正文文本 3 Char"/>
    <w:next w:val="1533"/>
    <w:link w:val="1532"/>
    <w:qFormat/>
    <w:rPr>
      <w:rFonts w:ascii="Times New Roman" w:hAnsi="Times New Roman" w:eastAsia="宋体" w:cs="Times New Roman"/>
      <w:sz w:val="16"/>
      <w:szCs w:val="16"/>
    </w:rPr>
  </w:style>
  <w:style w:type="paragraph" w:styleId="1534">
    <w:name w:val="正文文本"/>
    <w:basedOn w:val="1503"/>
    <w:next w:val="1503"/>
    <w:link w:val="1535"/>
    <w:uiPriority w:val="99"/>
    <w:qFormat/>
    <w:rPr>
      <w:rFonts w:ascii="仿宋_GB2312" w:eastAsia="仿宋_GB2312"/>
      <w:sz w:val="24"/>
      <w:szCs w:val="20"/>
    </w:rPr>
  </w:style>
  <w:style w:type="character" w:styleId="1535">
    <w:name w:val="正文文本 Char"/>
    <w:next w:val="1535"/>
    <w:link w:val="1534"/>
    <w:uiPriority w:val="99"/>
    <w:qFormat/>
    <w:rPr>
      <w:rFonts w:ascii="仿宋_GB2312" w:hAnsi="Times New Roman" w:eastAsia="仿宋_GB2312" w:cs="Times New Roman"/>
      <w:sz w:val="24"/>
      <w:szCs w:val="20"/>
    </w:rPr>
  </w:style>
  <w:style w:type="paragraph" w:styleId="1536">
    <w:name w:val="正文文本缩进"/>
    <w:basedOn w:val="1503"/>
    <w:next w:val="1538"/>
    <w:link w:val="1537"/>
    <w:qFormat/>
    <w:pPr>
      <w:ind w:left="765"/>
    </w:pPr>
    <w:rPr>
      <w:rFonts w:ascii="仿宋_GB2312" w:eastAsia="仿宋_GB2312"/>
      <w:sz w:val="28"/>
      <w:szCs w:val="20"/>
    </w:rPr>
  </w:style>
  <w:style w:type="character" w:styleId="1537">
    <w:name w:val="正文文本缩进 Char"/>
    <w:next w:val="1537"/>
    <w:link w:val="1536"/>
    <w:qFormat/>
    <w:rPr>
      <w:rFonts w:ascii="仿宋_GB2312" w:hAnsi="Times New Roman" w:eastAsia="仿宋_GB2312" w:cs="Times New Roman"/>
      <w:sz w:val="28"/>
      <w:szCs w:val="20"/>
    </w:rPr>
  </w:style>
  <w:style w:type="paragraph" w:styleId="1538">
    <w:name w:val="寄信人地址"/>
    <w:basedOn w:val="1503"/>
    <w:next w:val="1538"/>
    <w:link w:val="1503"/>
    <w:uiPriority w:val="99"/>
    <w:unhideWhenUsed/>
    <w:qFormat/>
    <w:rPr>
      <w:rFonts w:ascii="Arial" w:hAnsi="Arial"/>
    </w:rPr>
  </w:style>
  <w:style w:type="paragraph" w:styleId="1539">
    <w:name w:val="文本块"/>
    <w:basedOn w:val="1503"/>
    <w:next w:val="1534"/>
    <w:link w:val="1503"/>
    <w:qFormat/>
    <w:pPr>
      <w:ind w:right="210" w:firstLine="560"/>
      <w:spacing w:line="360" w:lineRule="auto"/>
    </w:pPr>
    <w:rPr>
      <w:rFonts w:ascii="宋体" w:hAnsi="宋体"/>
      <w:color w:val="000000"/>
      <w:spacing w:val="20"/>
      <w:sz w:val="24"/>
      <w:szCs w:val="18"/>
    </w:rPr>
  </w:style>
  <w:style w:type="paragraph" w:styleId="1540">
    <w:name w:val="目录 3"/>
    <w:basedOn w:val="1503"/>
    <w:next w:val="1503"/>
    <w:link w:val="1503"/>
    <w:uiPriority w:val="39"/>
    <w:unhideWhenUsed/>
    <w:qFormat/>
    <w:pPr>
      <w:ind w:left="840"/>
    </w:pPr>
  </w:style>
  <w:style w:type="paragraph" w:styleId="1541">
    <w:name w:val="纯文本"/>
    <w:basedOn w:val="1503"/>
    <w:next w:val="1541"/>
    <w:link w:val="1542"/>
    <w:qFormat/>
    <w:rPr>
      <w:rFonts w:ascii="宋体" w:hAnsi="Courier New"/>
      <w:sz w:val="20"/>
      <w:szCs w:val="21"/>
    </w:rPr>
  </w:style>
  <w:style w:type="character" w:styleId="1542">
    <w:name w:val="纯文本 Char"/>
    <w:next w:val="1542"/>
    <w:link w:val="1541"/>
    <w:qFormat/>
    <w:rPr>
      <w:rFonts w:ascii="宋体" w:hAnsi="Courier New" w:eastAsia="宋体" w:cs="Courier New"/>
      <w:szCs w:val="21"/>
    </w:rPr>
  </w:style>
  <w:style w:type="paragraph" w:styleId="1543">
    <w:name w:val="日期"/>
    <w:basedOn w:val="1503"/>
    <w:next w:val="1503"/>
    <w:link w:val="1544"/>
    <w:qFormat/>
    <w:rPr>
      <w:sz w:val="24"/>
      <w:szCs w:val="20"/>
    </w:rPr>
  </w:style>
  <w:style w:type="character" w:styleId="1544">
    <w:name w:val="日期 Char"/>
    <w:next w:val="1544"/>
    <w:link w:val="1543"/>
    <w:qFormat/>
    <w:rPr>
      <w:rFonts w:ascii="Times New Roman" w:hAnsi="Times New Roman" w:eastAsia="宋体" w:cs="Times New Roman"/>
      <w:sz w:val="24"/>
      <w:szCs w:val="20"/>
    </w:rPr>
  </w:style>
  <w:style w:type="paragraph" w:styleId="1545">
    <w:name w:val="正文文本缩进 2"/>
    <w:basedOn w:val="1503"/>
    <w:next w:val="1545"/>
    <w:link w:val="1546"/>
    <w:qFormat/>
    <w:pPr>
      <w:ind w:firstLine="560"/>
      <w:spacing w:line="500" w:lineRule="exact"/>
    </w:pPr>
    <w:rPr>
      <w:rFonts w:eastAsia="仿宋_GB2312"/>
      <w:sz w:val="28"/>
      <w:szCs w:val="20"/>
    </w:rPr>
  </w:style>
  <w:style w:type="character" w:styleId="1546">
    <w:name w:val="正文文本缩进 2 Char"/>
    <w:next w:val="1546"/>
    <w:link w:val="1545"/>
    <w:qFormat/>
    <w:rPr>
      <w:rFonts w:ascii="Times New Roman" w:hAnsi="Times New Roman" w:eastAsia="仿宋_GB2312" w:cs="Times New Roman"/>
      <w:sz w:val="28"/>
      <w:szCs w:val="20"/>
    </w:rPr>
  </w:style>
  <w:style w:type="paragraph" w:styleId="1547">
    <w:name w:val="批注框文本"/>
    <w:basedOn w:val="1503"/>
    <w:next w:val="1547"/>
    <w:link w:val="1548"/>
    <w:semiHidden/>
    <w:qFormat/>
    <w:rPr>
      <w:sz w:val="18"/>
      <w:szCs w:val="18"/>
    </w:rPr>
  </w:style>
  <w:style w:type="character" w:styleId="1548">
    <w:name w:val="批注框文本 Char"/>
    <w:next w:val="1548"/>
    <w:link w:val="1547"/>
    <w:semiHidden/>
    <w:qFormat/>
    <w:rPr>
      <w:sz w:val="18"/>
      <w:szCs w:val="18"/>
    </w:rPr>
  </w:style>
  <w:style w:type="paragraph" w:styleId="1549">
    <w:name w:val="页脚"/>
    <w:basedOn w:val="1503"/>
    <w:next w:val="1549"/>
    <w:link w:val="1550"/>
    <w:uiPriority w:val="99"/>
    <w:qFormat/>
    <w:pPr>
      <w:jc w:val="left"/>
      <w:tabs>
        <w:tab w:val="center" w:pos="4153" w:leader="none"/>
        <w:tab w:val="right" w:pos="8306" w:leader="none"/>
      </w:tabs>
    </w:pPr>
    <w:rPr>
      <w:sz w:val="18"/>
      <w:szCs w:val="20"/>
    </w:rPr>
  </w:style>
  <w:style w:type="character" w:styleId="1550">
    <w:name w:val="页脚 Char"/>
    <w:next w:val="1550"/>
    <w:link w:val="1549"/>
    <w:uiPriority w:val="99"/>
    <w:qFormat/>
    <w:rPr>
      <w:rFonts w:ascii="Times New Roman" w:hAnsi="Times New Roman" w:eastAsia="宋体" w:cs="Times New Roman"/>
      <w:sz w:val="18"/>
      <w:szCs w:val="20"/>
    </w:rPr>
  </w:style>
  <w:style w:type="paragraph" w:styleId="1551">
    <w:name w:val="页眉"/>
    <w:basedOn w:val="1503"/>
    <w:next w:val="1551"/>
    <w:link w:val="1552"/>
    <w:qFormat/>
    <w:pPr>
      <w:jc w:val="center"/>
      <w:tabs>
        <w:tab w:val="center" w:pos="4153" w:leader="none"/>
        <w:tab w:val="right" w:pos="8306" w:leader="none"/>
      </w:tabs>
      <w:pBdr>
        <w:bottom w:val="single" w:color="000000" w:sz="6" w:space="1"/>
      </w:pBdr>
    </w:pPr>
    <w:rPr>
      <w:sz w:val="18"/>
      <w:szCs w:val="18"/>
    </w:rPr>
  </w:style>
  <w:style w:type="character" w:styleId="1552">
    <w:name w:val="页眉 Char"/>
    <w:next w:val="1552"/>
    <w:link w:val="1551"/>
    <w:qFormat/>
    <w:rPr>
      <w:rFonts w:ascii="Times New Roman" w:hAnsi="Times New Roman" w:eastAsia="宋体" w:cs="Times New Roman"/>
      <w:sz w:val="18"/>
      <w:szCs w:val="18"/>
    </w:rPr>
  </w:style>
  <w:style w:type="paragraph" w:styleId="1553">
    <w:name w:val="目录 1"/>
    <w:basedOn w:val="1503"/>
    <w:next w:val="1503"/>
    <w:link w:val="1503"/>
    <w:semiHidden/>
    <w:qFormat/>
    <w:rPr>
      <w:sz w:val="24"/>
    </w:rPr>
  </w:style>
  <w:style w:type="paragraph" w:styleId="1554">
    <w:name w:val="列表"/>
    <w:basedOn w:val="1503"/>
    <w:next w:val="1554"/>
    <w:link w:val="1503"/>
    <w:qFormat/>
    <w:pPr>
      <w:ind w:left="200" w:hanging="200"/>
    </w:pPr>
  </w:style>
  <w:style w:type="paragraph" w:styleId="1555">
    <w:name w:val="正文文本缩进 3"/>
    <w:basedOn w:val="1503"/>
    <w:next w:val="1529"/>
    <w:link w:val="1556"/>
    <w:qFormat/>
    <w:pPr>
      <w:ind w:left="420"/>
      <w:spacing w:after="120"/>
    </w:pPr>
    <w:rPr>
      <w:sz w:val="16"/>
      <w:szCs w:val="16"/>
    </w:rPr>
  </w:style>
  <w:style w:type="character" w:styleId="1556">
    <w:name w:val="正文文本缩进 3 Char"/>
    <w:next w:val="1556"/>
    <w:link w:val="1555"/>
    <w:qFormat/>
    <w:rPr>
      <w:rFonts w:ascii="Times New Roman" w:hAnsi="Times New Roman" w:eastAsia="宋体" w:cs="Times New Roman"/>
      <w:sz w:val="16"/>
      <w:szCs w:val="16"/>
    </w:rPr>
  </w:style>
  <w:style w:type="paragraph" w:styleId="1557">
    <w:name w:val="目录 2"/>
    <w:basedOn w:val="1503"/>
    <w:next w:val="1503"/>
    <w:link w:val="1503"/>
    <w:uiPriority w:val="39"/>
    <w:unhideWhenUsed/>
    <w:qFormat/>
    <w:pPr>
      <w:ind w:left="420"/>
    </w:pPr>
  </w:style>
  <w:style w:type="paragraph" w:styleId="1558">
    <w:name w:val="正文文本 2"/>
    <w:basedOn w:val="1503"/>
    <w:next w:val="1558"/>
    <w:link w:val="1559"/>
    <w:qFormat/>
    <w:rPr>
      <w:b/>
      <w:bCs/>
      <w:sz w:val="18"/>
    </w:rPr>
  </w:style>
  <w:style w:type="character" w:styleId="1559">
    <w:name w:val="正文文本 2 Char"/>
    <w:next w:val="1559"/>
    <w:link w:val="1558"/>
    <w:qFormat/>
    <w:rPr>
      <w:rFonts w:ascii="Times New Roman" w:hAnsi="Times New Roman" w:eastAsia="宋体" w:cs="Times New Roman"/>
      <w:b/>
      <w:bCs/>
      <w:sz w:val="18"/>
      <w:szCs w:val="24"/>
    </w:rPr>
  </w:style>
  <w:style w:type="paragraph" w:styleId="1560">
    <w:name w:val="普通(网站)"/>
    <w:basedOn w:val="1503"/>
    <w:next w:val="1560"/>
    <w:link w:val="1503"/>
    <w:uiPriority w:val="99"/>
    <w:qFormat/>
    <w:pPr>
      <w:jc w:val="left"/>
      <w:spacing w:before="100" w:beforeAutospacing="1" w:after="100" w:afterAutospacing="1"/>
      <w:widowControl/>
    </w:pPr>
    <w:rPr>
      <w:rFonts w:ascii="宋体" w:hAnsi="宋体"/>
      <w:color w:val="000000"/>
      <w:sz w:val="24"/>
    </w:rPr>
  </w:style>
  <w:style w:type="paragraph" w:styleId="1561">
    <w:name w:val="批注主题"/>
    <w:basedOn w:val="1530"/>
    <w:next w:val="1530"/>
    <w:link w:val="1562"/>
    <w:uiPriority w:val="99"/>
    <w:unhideWhenUsed/>
    <w:qFormat/>
    <w:rPr>
      <w:b/>
      <w:bCs/>
    </w:rPr>
  </w:style>
  <w:style w:type="character" w:styleId="1562">
    <w:name w:val="批注主题 Char"/>
    <w:next w:val="1562"/>
    <w:link w:val="1561"/>
    <w:uiPriority w:val="99"/>
    <w:semiHidden/>
    <w:qFormat/>
    <w:rPr>
      <w:b/>
      <w:bCs/>
      <w:sz w:val="21"/>
      <w:szCs w:val="24"/>
    </w:rPr>
  </w:style>
  <w:style w:type="paragraph" w:styleId="1563">
    <w:name w:val="正文首行缩进"/>
    <w:basedOn w:val="1534"/>
    <w:next w:val="1563"/>
    <w:link w:val="1564"/>
    <w:qFormat/>
    <w:pPr>
      <w:ind w:firstLine="420"/>
      <w:spacing w:after="120"/>
    </w:pPr>
    <w:rPr>
      <w:rFonts w:ascii="Times New Roman" w:eastAsia="宋体"/>
      <w:szCs w:val="24"/>
    </w:rPr>
  </w:style>
  <w:style w:type="character" w:styleId="1564">
    <w:name w:val="正文首行缩进 Char"/>
    <w:next w:val="1564"/>
    <w:link w:val="1563"/>
    <w:qFormat/>
    <w:rPr>
      <w:rFonts w:ascii="Times New Roman" w:hAnsi="Times New Roman" w:eastAsia="宋体" w:cs="Times New Roman"/>
      <w:sz w:val="24"/>
      <w:szCs w:val="24"/>
    </w:rPr>
  </w:style>
  <w:style w:type="paragraph" w:styleId="1565">
    <w:name w:val="正文首行缩进 2"/>
    <w:basedOn w:val="1536"/>
    <w:next w:val="1565"/>
    <w:link w:val="1503"/>
    <w:uiPriority w:val="99"/>
    <w:unhideWhenUsed/>
    <w:qFormat/>
    <w:pPr>
      <w:ind w:firstLine="200"/>
    </w:pPr>
  </w:style>
  <w:style w:type="table" w:styleId="1566">
    <w:name w:val="网格型"/>
    <w:basedOn w:val="1514"/>
    <w:next w:val="1566"/>
    <w:link w:val="1503"/>
    <w:uiPriority w:val="59"/>
    <w:qFormat/>
    <w:tblPr/>
  </w:style>
  <w:style w:type="character" w:styleId="1567">
    <w:name w:val="要点"/>
    <w:next w:val="1567"/>
    <w:link w:val="1503"/>
    <w:qFormat/>
    <w:rPr>
      <w:b/>
      <w:bCs/>
    </w:rPr>
  </w:style>
  <w:style w:type="character" w:styleId="1568">
    <w:name w:val="页码"/>
    <w:next w:val="1568"/>
    <w:link w:val="1503"/>
    <w:qFormat/>
  </w:style>
  <w:style w:type="character" w:styleId="1569">
    <w:name w:val="已访问的超链接"/>
    <w:next w:val="1569"/>
    <w:link w:val="1503"/>
    <w:qFormat/>
    <w:rPr>
      <w:color w:val="800080"/>
      <w:u w:val="single"/>
    </w:rPr>
  </w:style>
  <w:style w:type="character" w:styleId="1570">
    <w:name w:val="超链接"/>
    <w:next w:val="1570"/>
    <w:link w:val="1503"/>
    <w:qFormat/>
    <w:rPr>
      <w:color w:val="0000ff"/>
      <w:u w:val="single"/>
    </w:rPr>
  </w:style>
  <w:style w:type="character" w:styleId="1571">
    <w:name w:val="批注引用"/>
    <w:next w:val="1571"/>
    <w:link w:val="1503"/>
    <w:uiPriority w:val="99"/>
    <w:unhideWhenUsed/>
    <w:qFormat/>
    <w:rPr>
      <w:sz w:val="21"/>
      <w:szCs w:val="21"/>
    </w:rPr>
  </w:style>
  <w:style w:type="paragraph" w:styleId="1572">
    <w:name w:val="列出段落"/>
    <w:basedOn w:val="1503"/>
    <w:next w:val="1572"/>
    <w:link w:val="1573"/>
    <w:uiPriority w:val="99"/>
    <w:qFormat/>
    <w:pPr>
      <w:ind w:firstLine="420"/>
    </w:pPr>
    <w:rPr>
      <w:sz w:val="20"/>
      <w:szCs w:val="20"/>
    </w:rPr>
  </w:style>
  <w:style w:type="character" w:styleId="1573">
    <w:name w:val="列出段落 Char"/>
    <w:next w:val="1573"/>
    <w:link w:val="1572"/>
    <w:uiPriority w:val="99"/>
    <w:qFormat/>
  </w:style>
  <w:style w:type="paragraph" w:styleId="1574">
    <w:name w:val="style4"/>
    <w:basedOn w:val="1503"/>
    <w:next w:val="1575"/>
    <w:link w:val="1503"/>
    <w:qFormat/>
    <w:pPr>
      <w:spacing w:before="280" w:after="280"/>
      <w:widowControl/>
    </w:pPr>
    <w:rPr>
      <w:rFonts w:ascii="宋体"/>
      <w:sz w:val="18"/>
    </w:rPr>
  </w:style>
  <w:style w:type="paragraph" w:styleId="1575">
    <w:name w:val="2"/>
    <w:next w:val="1503"/>
    <w:link w:val="1503"/>
    <w:qFormat/>
    <w:pPr>
      <w:jc w:val="both"/>
      <w:widowControl w:val="off"/>
    </w:pPr>
    <w:rPr>
      <w:sz w:val="21"/>
      <w:szCs w:val="22"/>
      <w:lang w:val="en-US" w:eastAsia="zh-CN" w:bidi="ar-SA"/>
    </w:rPr>
  </w:style>
  <w:style w:type="paragraph" w:styleId="1576">
    <w:name w:val="Default"/>
    <w:basedOn w:val="1503"/>
    <w:next w:val="1576"/>
    <w:link w:val="1503"/>
    <w:qFormat/>
    <w:pPr>
      <w:jc w:val="left"/>
    </w:pPr>
    <w:rPr>
      <w:rFonts w:ascii="Arial" w:hAnsi="Arial" w:eastAsia="PMingLiU"/>
      <w:sz w:val="20"/>
      <w:szCs w:val="20"/>
    </w:rPr>
  </w:style>
  <w:style w:type="paragraph" w:styleId="1577">
    <w:name w:val="无间隔1"/>
    <w:next w:val="1577"/>
    <w:link w:val="1503"/>
    <w:qFormat/>
    <w:rPr>
      <w:rFonts w:cs="Calibri"/>
      <w:sz w:val="22"/>
      <w:lang w:val="en-US" w:eastAsia="zh-CN" w:bidi="ar-SA"/>
    </w:rPr>
  </w:style>
  <w:style w:type="paragraph" w:styleId="1578">
    <w:name w:val="正文缩进1"/>
    <w:basedOn w:val="1503"/>
    <w:next w:val="1578"/>
    <w:link w:val="1503"/>
    <w:qFormat/>
    <w:pPr>
      <w:ind w:firstLine="420"/>
      <w:jc w:val="left"/>
      <w:widowControl/>
    </w:pPr>
  </w:style>
  <w:style w:type="character" w:styleId="1579">
    <w:name w:val="文档结构图 Char1"/>
    <w:next w:val="1579"/>
    <w:link w:val="1503"/>
    <w:uiPriority w:val="99"/>
    <w:semiHidden/>
    <w:qFormat/>
    <w:rPr>
      <w:rFonts w:ascii="宋体" w:hAnsi="Times New Roman" w:eastAsia="宋体" w:cs="Times New Roman"/>
      <w:sz w:val="18"/>
      <w:szCs w:val="18"/>
    </w:rPr>
  </w:style>
  <w:style w:type="character" w:styleId="1580">
    <w:name w:val="普通正文 Char"/>
    <w:next w:val="1580"/>
    <w:link w:val="1581"/>
    <w:qFormat/>
    <w:rPr>
      <w:rFonts w:ascii="Arial" w:hAnsi="Arial"/>
      <w:sz w:val="24"/>
      <w:szCs w:val="24"/>
    </w:rPr>
  </w:style>
  <w:style w:type="paragraph" w:styleId="1581">
    <w:name w:val="普通正文"/>
    <w:basedOn w:val="1503"/>
    <w:next w:val="1581"/>
    <w:link w:val="1580"/>
    <w:qFormat/>
    <w:pPr>
      <w:ind w:left="-2" w:right="120" w:firstLine="480"/>
      <w:jc w:val="center"/>
      <w:spacing w:before="120" w:after="120" w:line="360" w:lineRule="auto"/>
    </w:pPr>
    <w:rPr>
      <w:rFonts w:ascii="Arial" w:hAnsi="Arial"/>
      <w:sz w:val="24"/>
    </w:rPr>
  </w:style>
  <w:style w:type="character" w:styleId="1582">
    <w:name w:val="FA正文 Char"/>
    <w:next w:val="1582"/>
    <w:link w:val="1583"/>
    <w:qFormat/>
    <w:rPr>
      <w:rFonts w:ascii="宋体" w:hAnsi="宋体" w:eastAsia="宋体" w:cs="Times New Roman"/>
      <w:sz w:val="28"/>
      <w:szCs w:val="28"/>
    </w:rPr>
  </w:style>
  <w:style w:type="paragraph" w:styleId="1583">
    <w:name w:val="FA正文"/>
    <w:basedOn w:val="1503"/>
    <w:next w:val="1583"/>
    <w:link w:val="1582"/>
    <w:qFormat/>
    <w:pPr>
      <w:ind w:firstLine="538"/>
      <w:spacing w:line="440" w:lineRule="atLeast"/>
      <w:tabs>
        <w:tab w:val="left" w:pos="3375" w:leader="none"/>
      </w:tabs>
    </w:pPr>
    <w:rPr>
      <w:rFonts w:ascii="宋体" w:hAnsi="宋体"/>
      <w:sz w:val="28"/>
      <w:szCs w:val="28"/>
    </w:rPr>
  </w:style>
  <w:style w:type="character" w:styleId="1584">
    <w:name w:val="正文缩进2格 Char"/>
    <w:next w:val="1584"/>
    <w:link w:val="1585"/>
    <w:qFormat/>
    <w:rPr>
      <w:rFonts w:ascii="仿宋_GB2312" w:hAnsi="宋体" w:eastAsia="仿宋_GB2312" w:cs="Times New Roman"/>
      <w:sz w:val="31"/>
      <w:szCs w:val="28"/>
    </w:rPr>
  </w:style>
  <w:style w:type="paragraph" w:styleId="1585">
    <w:name w:val="正文缩进2格"/>
    <w:basedOn w:val="1503"/>
    <w:next w:val="1585"/>
    <w:link w:val="1584"/>
    <w:qFormat/>
    <w:pPr>
      <w:ind w:firstLine="639"/>
      <w:spacing w:line="600" w:lineRule="exact"/>
    </w:pPr>
    <w:rPr>
      <w:rFonts w:ascii="仿宋_GB2312" w:hAnsi="宋体" w:eastAsia="仿宋_GB2312"/>
      <w:sz w:val="31"/>
      <w:szCs w:val="28"/>
    </w:rPr>
  </w:style>
  <w:style w:type="character" w:styleId="1586">
    <w:name w:val="cn_text1"/>
    <w:next w:val="1586"/>
    <w:link w:val="1503"/>
    <w:qFormat/>
    <w:rPr>
      <w:rFonts w:ascii="ˎ̥" w:hAnsi="ˎ̥"/>
      <w:color w:val="003399"/>
      <w:spacing w:val="15"/>
      <w:sz w:val="18"/>
      <w:szCs w:val="18"/>
    </w:rPr>
  </w:style>
  <w:style w:type="character" w:styleId="1587">
    <w:name w:val="ssss Char"/>
    <w:next w:val="1587"/>
    <w:link w:val="1503"/>
    <w:qFormat/>
    <w:rPr>
      <w:rFonts w:eastAsia="宋体"/>
      <w:sz w:val="24"/>
      <w:szCs w:val="24"/>
      <w:lang w:val="en-US" w:eastAsia="zh-CN" w:bidi="ar-SA"/>
    </w:rPr>
  </w:style>
  <w:style w:type="character" w:styleId="1588">
    <w:name w:val="ssss Char1"/>
    <w:next w:val="1588"/>
    <w:link w:val="1589"/>
    <w:qFormat/>
    <w:rPr>
      <w:rFonts w:ascii="Times New Roman" w:hAnsi="Times New Roman" w:eastAsia="宋体" w:cs="Times New Roman"/>
      <w:sz w:val="24"/>
      <w:szCs w:val="24"/>
    </w:rPr>
  </w:style>
  <w:style w:type="paragraph" w:styleId="1589">
    <w:name w:val="ssss"/>
    <w:basedOn w:val="1503"/>
    <w:next w:val="1589"/>
    <w:link w:val="1588"/>
    <w:qFormat/>
    <w:pPr>
      <w:ind w:firstLine="480"/>
      <w:spacing w:line="360" w:lineRule="auto"/>
    </w:pPr>
    <w:rPr>
      <w:sz w:val="24"/>
    </w:rPr>
  </w:style>
  <w:style w:type="character" w:styleId="1590">
    <w:name w:val="标题 4 Char1"/>
    <w:next w:val="1590"/>
    <w:link w:val="1503"/>
    <w:qFormat/>
    <w:rPr>
      <w:rFonts w:ascii="Arial" w:hAnsi="Arial" w:eastAsia="黑体"/>
      <w:b/>
      <w:bCs/>
      <w:sz w:val="28"/>
      <w:szCs w:val="28"/>
      <w:lang w:val="en-US" w:eastAsia="zh-CN" w:bidi="ar-SA"/>
    </w:rPr>
  </w:style>
  <w:style w:type="character" w:styleId="1591">
    <w:name w:val="列表段落 字符"/>
    <w:next w:val="1591"/>
    <w:link w:val="1503"/>
    <w:uiPriority w:val="34"/>
    <w:qFormat/>
    <w:rPr>
      <w:rFonts w:ascii="Calibri" w:hAnsi="Calibri"/>
      <w:sz w:val="21"/>
      <w:szCs w:val="22"/>
    </w:rPr>
  </w:style>
  <w:style w:type="character" w:styleId="1592">
    <w:name w:val="批注框文本 Char1"/>
    <w:next w:val="1592"/>
    <w:link w:val="1503"/>
    <w:uiPriority w:val="99"/>
    <w:semiHidden/>
    <w:qFormat/>
    <w:rPr>
      <w:rFonts w:ascii="Times New Roman" w:hAnsi="Times New Roman" w:eastAsia="宋体" w:cs="Times New Roman"/>
      <w:sz w:val="18"/>
      <w:szCs w:val="18"/>
    </w:rPr>
  </w:style>
  <w:style w:type="character" w:styleId="1593">
    <w:name w:val="样式 ssss + 宋体 五号1 Char"/>
    <w:next w:val="1593"/>
    <w:link w:val="1594"/>
    <w:qFormat/>
    <w:rPr>
      <w:rFonts w:ascii="宋体" w:hAnsi="宋体" w:eastAsia="宋体" w:cs="Times New Roman"/>
      <w:sz w:val="24"/>
      <w:szCs w:val="24"/>
    </w:rPr>
  </w:style>
  <w:style w:type="paragraph" w:styleId="1594">
    <w:name w:val="样式 ssss + 宋体 五号1"/>
    <w:basedOn w:val="1589"/>
    <w:next w:val="1594"/>
    <w:link w:val="1593"/>
    <w:qFormat/>
    <w:rPr>
      <w:rFonts w:ascii="宋体" w:hAnsi="宋体"/>
    </w:rPr>
  </w:style>
  <w:style w:type="character" w:styleId="1595">
    <w:name w:val="point_normal1"/>
    <w:next w:val="1595"/>
    <w:link w:val="1503"/>
    <w:qFormat/>
    <w:rPr>
      <w:rFonts w:ascii="Arial" w:hAnsi="Arial" w:cs="Arial"/>
      <w:sz w:val="16"/>
      <w:szCs w:val="16"/>
    </w:rPr>
  </w:style>
  <w:style w:type="paragraph" w:styleId="1596">
    <w:name w:val="样式 正文文本缩进 3 + 四号"/>
    <w:basedOn w:val="1555"/>
    <w:next w:val="1596"/>
    <w:link w:val="1503"/>
    <w:qFormat/>
    <w:pPr>
      <w:ind w:left="0" w:firstLine="437"/>
      <w:spacing w:after="0" w:line="360" w:lineRule="auto"/>
    </w:pPr>
    <w:rPr>
      <w:sz w:val="24"/>
      <w:szCs w:val="21"/>
    </w:rPr>
  </w:style>
  <w:style w:type="paragraph" w:styleId="1597">
    <w:name w:val="2cxsplast"/>
    <w:basedOn w:val="1503"/>
    <w:next w:val="1597"/>
    <w:link w:val="1503"/>
    <w:qFormat/>
    <w:pPr>
      <w:jc w:val="left"/>
      <w:spacing w:before="100" w:beforeAutospacing="1" w:after="100" w:afterAutospacing="1"/>
      <w:widowControl/>
    </w:pPr>
    <w:rPr>
      <w:rFonts w:ascii="宋体" w:hAnsi="宋体" w:cs="宋体"/>
      <w:sz w:val="24"/>
    </w:rPr>
  </w:style>
  <w:style w:type="paragraph" w:styleId="1598">
    <w:name w:val="ec_msonormal"/>
    <w:basedOn w:val="1503"/>
    <w:next w:val="1598"/>
    <w:link w:val="1503"/>
    <w:qFormat/>
    <w:pPr>
      <w:jc w:val="left"/>
      <w:spacing w:before="100" w:beforeAutospacing="1" w:after="100" w:afterAutospacing="1"/>
      <w:widowControl/>
    </w:pPr>
    <w:rPr>
      <w:rFonts w:ascii="宋体" w:hAnsi="宋体"/>
      <w:sz w:val="24"/>
    </w:rPr>
  </w:style>
  <w:style w:type="paragraph" w:styleId="1599">
    <w:name w:val="Char Char Char Char"/>
    <w:basedOn w:val="1503"/>
    <w:next w:val="1599"/>
    <w:link w:val="1503"/>
    <w:qFormat/>
    <w:rPr>
      <w:rFonts w:ascii="Tahoma" w:hAnsi="Tahoma"/>
      <w:sz w:val="24"/>
      <w:szCs w:val="20"/>
    </w:rPr>
  </w:style>
  <w:style w:type="paragraph" w:styleId="1600">
    <w:name w:val="Char Char Char Char Char Char Char Char Char Char Char Char Char"/>
    <w:basedOn w:val="1503"/>
    <w:next w:val="1600"/>
    <w:link w:val="1503"/>
    <w:qFormat/>
  </w:style>
  <w:style w:type="paragraph" w:styleId="1601">
    <w:name w:val="表格正文"/>
    <w:basedOn w:val="1503"/>
    <w:next w:val="1601"/>
    <w:link w:val="1503"/>
    <w:qFormat/>
    <w:pPr>
      <w:jc w:val="left"/>
      <w:spacing w:line="360" w:lineRule="auto"/>
    </w:pPr>
    <w:rPr>
      <w:rFonts w:ascii="Calibri" w:hAnsi="Calibri"/>
      <w:color w:val="000000"/>
      <w:szCs w:val="28"/>
    </w:rPr>
  </w:style>
  <w:style w:type="paragraph" w:styleId="1602">
    <w:name w:val="正文1"/>
    <w:next w:val="1602"/>
    <w:link w:val="1503"/>
    <w:qFormat/>
    <w:pPr>
      <w:jc w:val="both"/>
      <w:spacing w:line="315" w:lineRule="atLeast"/>
      <w:widowControl w:val="off"/>
    </w:pPr>
    <w:rPr>
      <w:rFonts w:ascii="宋体"/>
      <w:sz w:val="24"/>
      <w:lang w:val="en-US" w:eastAsia="zh-CN" w:bidi="ar-SA"/>
    </w:rPr>
  </w:style>
  <w:style w:type="paragraph" w:styleId="1603">
    <w:name w:val="Char Char Char Char1"/>
    <w:basedOn w:val="1503"/>
    <w:next w:val="1603"/>
    <w:link w:val="1503"/>
    <w:qFormat/>
    <w:rPr>
      <w:rFonts w:ascii="Tahoma" w:hAnsi="Tahoma"/>
      <w:sz w:val="24"/>
      <w:szCs w:val="20"/>
    </w:rPr>
  </w:style>
  <w:style w:type="paragraph" w:styleId="1604">
    <w:name w:val="Char Char Char"/>
    <w:basedOn w:val="1503"/>
    <w:next w:val="1604"/>
    <w:link w:val="1503"/>
    <w:qFormat/>
    <w:rPr>
      <w:rFonts w:ascii="Tahoma" w:hAnsi="Tahoma"/>
      <w:sz w:val="24"/>
      <w:szCs w:val="20"/>
    </w:rPr>
  </w:style>
  <w:style w:type="paragraph" w:styleId="1605">
    <w:name w:val="标题-----3"/>
    <w:basedOn w:val="1506"/>
    <w:next w:val="1605"/>
    <w:link w:val="1503"/>
    <w:qFormat/>
    <w:pPr>
      <w:spacing w:before="0" w:after="0" w:line="240" w:lineRule="auto"/>
      <w:outlineLvl w:val="0"/>
    </w:pPr>
    <w:rPr>
      <w:rFonts w:ascii="宋体" w:hAnsi="宋体"/>
      <w:b w:val="0"/>
      <w:bCs w:val="0"/>
      <w:sz w:val="28"/>
      <w:szCs w:val="28"/>
    </w:rPr>
  </w:style>
  <w:style w:type="paragraph" w:styleId="1606">
    <w:name w:val="样式 ssss + 居中"/>
    <w:basedOn w:val="1589"/>
    <w:next w:val="1606"/>
    <w:link w:val="1503"/>
    <w:qFormat/>
    <w:pPr>
      <w:jc w:val="center"/>
    </w:pPr>
    <w:rPr>
      <w:rFonts w:cs="宋体"/>
      <w:szCs w:val="20"/>
    </w:rPr>
  </w:style>
  <w:style w:type="paragraph" w:styleId="1607">
    <w:name w:val="样式 宋体 四号 黑色 左侧:  0.74 厘米 首行缩进:  0.74 厘米 行距: 1.5 倍行距"/>
    <w:basedOn w:val="1503"/>
    <w:next w:val="1607"/>
    <w:link w:val="1503"/>
    <w:qFormat/>
    <w:pPr>
      <w:ind w:firstLine="420"/>
      <w:spacing w:line="360" w:lineRule="auto"/>
    </w:pPr>
    <w:rPr>
      <w:rFonts w:ascii="宋体"/>
      <w:color w:val="000000"/>
      <w:sz w:val="24"/>
      <w:szCs w:val="21"/>
    </w:rPr>
  </w:style>
  <w:style w:type="paragraph" w:styleId="1608">
    <w:name w:val="样式 样式 ssss + 宋体 五号 + 首行缩进:  2 字符"/>
    <w:basedOn w:val="1609"/>
    <w:next w:val="1608"/>
    <w:link w:val="1503"/>
    <w:qFormat/>
    <w:pPr>
      <w:ind w:firstLine="480"/>
    </w:pPr>
  </w:style>
  <w:style w:type="paragraph" w:styleId="1609">
    <w:name w:val="样式 ssss + 宋体 五号"/>
    <w:basedOn w:val="1589"/>
    <w:next w:val="1609"/>
    <w:link w:val="1503"/>
    <w:qFormat/>
    <w:pPr>
      <w:ind w:firstLine="420"/>
    </w:pPr>
    <w:rPr>
      <w:rFonts w:ascii="宋体" w:hAnsi="宋体" w:cs="宋体"/>
      <w:szCs w:val="20"/>
    </w:rPr>
  </w:style>
  <w:style w:type="paragraph" w:styleId="1610">
    <w:name w:val="msonormalcxsplast"/>
    <w:basedOn w:val="1503"/>
    <w:next w:val="1610"/>
    <w:link w:val="1503"/>
    <w:qFormat/>
    <w:pPr>
      <w:jc w:val="left"/>
      <w:spacing w:before="100" w:beforeAutospacing="1" w:after="100" w:afterAutospacing="1"/>
      <w:widowControl/>
    </w:pPr>
    <w:rPr>
      <w:rFonts w:ascii="宋体" w:hAnsi="宋体" w:cs="宋体"/>
      <w:sz w:val="24"/>
    </w:rPr>
  </w:style>
  <w:style w:type="paragraph" w:styleId="1611">
    <w:name w:val="Char"/>
    <w:basedOn w:val="1503"/>
    <w:next w:val="1611"/>
    <w:link w:val="1503"/>
    <w:qFormat/>
    <w:rPr>
      <w:rFonts w:ascii="Tahoma" w:hAnsi="Tahoma"/>
      <w:sz w:val="24"/>
      <w:szCs w:val="20"/>
    </w:rPr>
  </w:style>
  <w:style w:type="paragraph" w:styleId="1612">
    <w:name w:val="xl25"/>
    <w:basedOn w:val="1503"/>
    <w:next w:val="1612"/>
    <w:link w:val="1503"/>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613">
    <w:name w:val="标题------4"/>
    <w:basedOn w:val="1507"/>
    <w:next w:val="1613"/>
    <w:link w:val="1503"/>
    <w:qFormat/>
    <w:pPr>
      <w:ind w:left="960" w:hanging="420"/>
      <w:jc w:val="both"/>
      <w:keepLines/>
      <w:spacing w:line="360" w:lineRule="auto"/>
    </w:pPr>
    <w:rPr>
      <w:rFonts w:ascii="仿宋_GB2312" w:hAnsi="宋体" w:eastAsia="仿宋_GB2312" w:cs="仿宋_GB2312"/>
      <w:b/>
      <w:sz w:val="28"/>
      <w:szCs w:val="28"/>
      <w:lang w:val="zh-CN"/>
    </w:rPr>
  </w:style>
  <w:style w:type="paragraph" w:styleId="1614">
    <w:name w:val="msonormalcxspmiddle"/>
    <w:basedOn w:val="1503"/>
    <w:next w:val="1614"/>
    <w:link w:val="1503"/>
    <w:qFormat/>
    <w:pPr>
      <w:jc w:val="left"/>
      <w:spacing w:before="100" w:beforeAutospacing="1" w:after="100" w:afterAutospacing="1"/>
      <w:widowControl/>
    </w:pPr>
    <w:rPr>
      <w:rFonts w:ascii="宋体" w:hAnsi="宋体" w:cs="宋体"/>
      <w:sz w:val="24"/>
    </w:rPr>
  </w:style>
  <w:style w:type="paragraph" w:styleId="1615">
    <w:name w:val="Char Char Char Char Char Char Char Char Char Char Char Char Char1"/>
    <w:basedOn w:val="1503"/>
    <w:next w:val="1615"/>
    <w:link w:val="1503"/>
    <w:qFormat/>
    <w:rPr>
      <w:sz w:val="24"/>
    </w:rPr>
  </w:style>
  <w:style w:type="paragraph" w:styleId="1616">
    <w:name w:val="表格"/>
    <w:basedOn w:val="1503"/>
    <w:next w:val="1616"/>
    <w:link w:val="1503"/>
    <w:qFormat/>
    <w:rPr>
      <w:rFonts w:ascii="Arial" w:hAnsi="Arial"/>
      <w:sz w:val="24"/>
    </w:rPr>
  </w:style>
  <w:style w:type="paragraph" w:styleId="1617">
    <w:name w:val="正文样式1"/>
    <w:basedOn w:val="1503"/>
    <w:next w:val="1617"/>
    <w:link w:val="1503"/>
    <w:qFormat/>
    <w:pPr>
      <w:ind w:firstLine="480"/>
      <w:spacing w:before="120" w:after="120" w:line="360" w:lineRule="auto"/>
    </w:pPr>
    <w:rPr>
      <w:sz w:val="24"/>
      <w:szCs w:val="20"/>
    </w:rPr>
  </w:style>
  <w:style w:type="paragraph" w:styleId="1618">
    <w:name w:val="Char Char1 Char Char Char Char Char Char"/>
    <w:basedOn w:val="1503"/>
    <w:next w:val="1618"/>
    <w:link w:val="1503"/>
    <w:qFormat/>
    <w:pPr>
      <w:jc w:val="left"/>
      <w:spacing w:after="160" w:line="240" w:lineRule="exact"/>
      <w:widowControl/>
    </w:pPr>
    <w:rPr>
      <w:rFonts w:ascii="Verdana" w:hAnsi="Verdana" w:eastAsia="仿宋_GB2312"/>
      <w:sz w:val="24"/>
      <w:szCs w:val="20"/>
      <w:lang w:eastAsia="en-US"/>
    </w:rPr>
  </w:style>
  <w:style w:type="paragraph" w:styleId="1619">
    <w:name w:val="Char Char Char Char Char Char Char Char Char Char"/>
    <w:basedOn w:val="1503"/>
    <w:next w:val="1619"/>
    <w:link w:val="1503"/>
    <w:qFormat/>
    <w:rPr>
      <w:rFonts w:ascii="Tahoma" w:hAnsi="Tahoma"/>
      <w:sz w:val="24"/>
      <w:szCs w:val="20"/>
    </w:rPr>
  </w:style>
  <w:style w:type="paragraph" w:styleId="1620">
    <w:name w:val="Char1"/>
    <w:basedOn w:val="1503"/>
    <w:next w:val="1620"/>
    <w:link w:val="1503"/>
    <w:qFormat/>
    <w:pPr>
      <w:tabs>
        <w:tab w:val="left" w:pos="360" w:leader="none"/>
      </w:tabs>
    </w:pPr>
    <w:rPr>
      <w:sz w:val="24"/>
    </w:rPr>
  </w:style>
  <w:style w:type="paragraph" w:styleId="1621">
    <w:name w:val="标题1"/>
    <w:basedOn w:val="1503"/>
    <w:next w:val="1503"/>
    <w:link w:val="150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622">
    <w:name w:val="Header2"/>
    <w:basedOn w:val="1503"/>
    <w:next w:val="1622"/>
    <w:link w:val="1503"/>
    <w:qFormat/>
    <w:pPr>
      <w:numPr>
        <w:ilvl w:val="0"/>
        <w:numId w:val="1"/>
      </w:numPr>
      <w:tabs>
        <w:tab w:val="left" w:pos="480" w:leader="none"/>
      </w:tabs>
    </w:pPr>
  </w:style>
  <w:style w:type="paragraph" w:styleId="1623">
    <w:name w:val="Char Char 字元 字元 字元 Char Char Char Char"/>
    <w:basedOn w:val="1503"/>
    <w:next w:val="1623"/>
    <w:link w:val="1503"/>
    <w:qFormat/>
    <w:pPr>
      <w:spacing w:line="360" w:lineRule="auto"/>
    </w:pPr>
    <w:rPr>
      <w:sz w:val="24"/>
      <w:szCs w:val="20"/>
    </w:rPr>
  </w:style>
  <w:style w:type="paragraph" w:styleId="1624">
    <w:name w:val="2cxspmiddle"/>
    <w:basedOn w:val="1503"/>
    <w:next w:val="1624"/>
    <w:link w:val="1503"/>
    <w:qFormat/>
    <w:pPr>
      <w:jc w:val="left"/>
      <w:spacing w:before="100" w:beforeAutospacing="1" w:after="100" w:afterAutospacing="1"/>
      <w:widowControl/>
    </w:pPr>
    <w:rPr>
      <w:rFonts w:ascii="宋体" w:hAnsi="宋体" w:cs="宋体"/>
      <w:sz w:val="24"/>
    </w:rPr>
  </w:style>
  <w:style w:type="paragraph" w:styleId="1625">
    <w:name w:val="正文_0_0"/>
    <w:next w:val="1625"/>
    <w:link w:val="1503"/>
    <w:qFormat/>
    <w:pPr>
      <w:jc w:val="both"/>
      <w:widowControl w:val="off"/>
    </w:pPr>
    <w:rPr>
      <w:sz w:val="21"/>
      <w:szCs w:val="24"/>
      <w:lang w:val="en-US" w:eastAsia="zh-CN" w:bidi="ar-SA"/>
    </w:rPr>
  </w:style>
  <w:style w:type="paragraph" w:styleId="1626">
    <w:name w:val="正文_1_0"/>
    <w:next w:val="1626"/>
    <w:link w:val="1503"/>
    <w:qFormat/>
    <w:pPr>
      <w:jc w:val="both"/>
      <w:widowControl w:val="off"/>
    </w:pPr>
    <w:rPr>
      <w:sz w:val="21"/>
      <w:szCs w:val="24"/>
      <w:lang w:val="en-US" w:eastAsia="zh-CN" w:bidi="ar-SA"/>
    </w:rPr>
  </w:style>
  <w:style w:type="table" w:styleId="1627">
    <w:name w:val="网格型1"/>
    <w:basedOn w:val="1514"/>
    <w:next w:val="1627"/>
    <w:link w:val="1503"/>
    <w:uiPriority w:val="39"/>
    <w:qFormat/>
    <w:rPr>
      <w:rFonts w:ascii="等线" w:hAnsi="等线" w:eastAsia="等线"/>
      <w:sz w:val="21"/>
      <w:szCs w:val="22"/>
    </w:rPr>
    <w:tblPr/>
  </w:style>
  <w:style w:type="paragraph" w:styleId="1628">
    <w:name w:val="列出段落1"/>
    <w:basedOn w:val="1503"/>
    <w:next w:val="1628"/>
    <w:link w:val="1503"/>
    <w:uiPriority w:val="34"/>
    <w:qFormat/>
    <w:pPr>
      <w:contextualSpacing/>
      <w:ind w:left="720"/>
      <w:jc w:val="left"/>
      <w:widowControl/>
    </w:pPr>
    <w:rPr>
      <w:sz w:val="24"/>
      <w:lang w:eastAsia="en-US" w:bidi="en-US"/>
    </w:rPr>
  </w:style>
  <w:style w:type="paragraph" w:styleId="1629">
    <w:name w:val="DAS正文"/>
    <w:basedOn w:val="1503"/>
    <w:next w:val="1629"/>
    <w:link w:val="1503"/>
    <w:qFormat/>
    <w:pPr>
      <w:ind w:right="181" w:firstLine="480"/>
      <w:spacing w:line="360" w:lineRule="auto"/>
    </w:pPr>
    <w:rPr>
      <w:rFonts w:ascii="Verdana" w:hAnsi="Verdana"/>
      <w:sz w:val="24"/>
      <w:szCs w:val="20"/>
    </w:rPr>
  </w:style>
  <w:style w:type="paragraph" w:styleId="1630">
    <w:name w:val="普通(网站) Char"/>
    <w:basedOn w:val="1503"/>
    <w:next w:val="1630"/>
    <w:link w:val="1503"/>
    <w:uiPriority w:val="99"/>
    <w:qFormat/>
    <w:pPr>
      <w:jc w:val="left"/>
      <w:spacing w:before="100" w:beforeAutospacing="1" w:after="100" w:afterAutospacing="1"/>
      <w:widowControl/>
    </w:pPr>
    <w:rPr>
      <w:rFonts w:ascii="宋体" w:hAnsi="宋体" w:cs="宋体"/>
      <w:sz w:val="24"/>
    </w:rPr>
  </w:style>
  <w:style w:type="paragraph" w:styleId="1631">
    <w:name w:val="无间隔"/>
    <w:next w:val="1631"/>
    <w:link w:val="1503"/>
    <w:uiPriority w:val="1"/>
    <w:qFormat/>
    <w:pPr>
      <w:ind w:firstLine="200"/>
      <w:jc w:val="both"/>
      <w:spacing w:line="360" w:lineRule="auto"/>
      <w:widowControl w:val="off"/>
    </w:pPr>
    <w:rPr>
      <w:rFonts w:ascii="Arial" w:hAnsi="Arial"/>
      <w:sz w:val="24"/>
      <w:szCs w:val="24"/>
      <w:lang w:val="en-US" w:eastAsia="zh-CN" w:bidi="ar-SA"/>
    </w:rPr>
  </w:style>
  <w:style w:type="paragraph" w:styleId="1632">
    <w:name w:val="首行缩进"/>
    <w:basedOn w:val="1503"/>
    <w:next w:val="1632"/>
    <w:link w:val="1503"/>
    <w:uiPriority w:val="99"/>
    <w:qFormat/>
    <w:pPr>
      <w:ind w:firstLine="480"/>
    </w:pPr>
    <w:rPr>
      <w:rFonts w:ascii="等线" w:hAnsi="等线" w:eastAsia="等线"/>
      <w:szCs w:val="22"/>
      <w:lang w:val="zh-CN"/>
    </w:rPr>
  </w:style>
  <w:style w:type="paragraph" w:styleId="1633">
    <w:name w:val="p0"/>
    <w:basedOn w:val="1503"/>
    <w:next w:val="1633"/>
    <w:link w:val="1503"/>
    <w:qFormat/>
    <w:pPr>
      <w:widowControl/>
    </w:pPr>
    <w:rPr>
      <w:sz w:val="20"/>
      <w:szCs w:val="21"/>
      <w:lang w:val="zh-CN"/>
    </w:rPr>
  </w:style>
  <w:style w:type="paragraph" w:styleId="1634">
    <w:name w:val="Table Text"/>
    <w:basedOn w:val="1503"/>
    <w:next w:val="1634"/>
    <w:link w:val="1503"/>
    <w:semiHidden/>
    <w:qFormat/>
    <w:rPr>
      <w:rFonts w:ascii="仿宋" w:hAnsi="仿宋" w:eastAsia="仿宋" w:cs="仿宋"/>
      <w:sz w:val="24"/>
      <w:lang w:eastAsia="en-US"/>
    </w:rPr>
  </w:style>
  <w:style w:type="table" w:styleId="1635">
    <w:name w:val="Table Normal"/>
    <w:next w:val="1635"/>
    <w:link w:val="1503"/>
    <w:unhideWhenUsed/>
    <w:qFormat/>
    <w:rPr>
      <w:lang w:val="en-US" w:eastAsia="zh-CN" w:bidi="ar-SA"/>
    </w:rPr>
    <w:tblPr/>
  </w:style>
  <w:style w:type="character" w:styleId="1636">
    <w:name w:val="NormalCharacter1"/>
    <w:next w:val="1636"/>
    <w:link w:val="1503"/>
    <w:uiPriority w:val="99"/>
    <w:qFormat/>
  </w:style>
  <w:style w:type="character" w:styleId="1637">
    <w:name w:val="font31"/>
    <w:next w:val="1637"/>
    <w:link w:val="1503"/>
    <w:qFormat/>
    <w:rPr>
      <w:rFonts w:ascii="Times New Roman Regular" w:hAnsi="Times New Roman Regular" w:eastAsia="Times New Roman Regular" w:cs="Times New Roman Regular"/>
      <w:color w:val="000000"/>
      <w:sz w:val="24"/>
      <w:szCs w:val="24"/>
      <w:u w:val="none"/>
    </w:rPr>
  </w:style>
  <w:style w:type="character" w:styleId="1638">
    <w:name w:val="font91"/>
    <w:next w:val="1638"/>
    <w:link w:val="1503"/>
    <w:qFormat/>
    <w:rPr>
      <w:rFonts w:ascii="Times New Roman" w:hAnsi="Times New Roman" w:cs="Times New Roman"/>
      <w:color w:val="000000"/>
      <w:sz w:val="20"/>
      <w:szCs w:val="20"/>
      <w:u w:val="none"/>
    </w:rPr>
  </w:style>
  <w:style w:type="character" w:styleId="1639">
    <w:name w:val="font11"/>
    <w:next w:val="1639"/>
    <w:link w:val="1503"/>
    <w:qFormat/>
    <w:rPr>
      <w:rFonts w:hint="eastAsia" w:ascii="宋体" w:hAnsi="宋体" w:eastAsia="宋体" w:cs="宋体"/>
      <w:color w:val="000000"/>
      <w:sz w:val="20"/>
      <w:szCs w:val="20"/>
      <w:u w:val="none"/>
    </w:rPr>
  </w:style>
  <w:style w:type="character" w:styleId="1640">
    <w:name w:val="font101"/>
    <w:next w:val="1640"/>
    <w:link w:val="1503"/>
    <w:qFormat/>
    <w:rPr>
      <w:rFonts w:ascii="Arial" w:hAnsi="Arial" w:cs="Arial"/>
      <w:color w:val="000000"/>
      <w:sz w:val="20"/>
      <w:szCs w:val="20"/>
      <w:u w:val="none"/>
    </w:rPr>
  </w:style>
  <w:style w:type="character" w:styleId="1641">
    <w:name w:val="font291"/>
    <w:next w:val="1641"/>
    <w:link w:val="1503"/>
    <w:qFormat/>
    <w:rPr>
      <w:rFonts w:hint="eastAsia" w:ascii="宋体" w:hAnsi="宋体" w:eastAsia="宋体" w:cs="宋体"/>
      <w:color w:val="000000"/>
      <w:sz w:val="20"/>
      <w:szCs w:val="20"/>
      <w:u w:val="none"/>
    </w:rPr>
  </w:style>
  <w:style w:type="character" w:styleId="1642">
    <w:name w:val="font61"/>
    <w:next w:val="1642"/>
    <w:link w:val="1503"/>
    <w:qFormat/>
    <w:rPr>
      <w:rFonts w:hint="eastAsia" w:ascii="等线" w:hAnsi="等线" w:eastAsia="等线" w:cs="等线"/>
      <w:color w:val="000000"/>
      <w:sz w:val="20"/>
      <w:szCs w:val="20"/>
      <w:u w:val="none"/>
    </w:rPr>
  </w:style>
  <w:style w:type="character" w:styleId="1643">
    <w:name w:val="font71"/>
    <w:next w:val="1643"/>
    <w:link w:val="1503"/>
    <w:qFormat/>
    <w:rPr>
      <w:rFonts w:hint="eastAsia" w:ascii="宋体" w:hAnsi="宋体" w:eastAsia="宋体" w:cs="宋体"/>
      <w:color w:val="000000"/>
      <w:sz w:val="20"/>
      <w:szCs w:val="20"/>
      <w:u w:val="none"/>
    </w:rPr>
  </w:style>
  <w:style w:type="character" w:styleId="1644">
    <w:name w:val="font41"/>
    <w:next w:val="1644"/>
    <w:link w:val="1503"/>
    <w:qFormat/>
    <w:rPr>
      <w:rFonts w:ascii="Times New Roman Regular" w:hAnsi="Times New Roman Regular" w:eastAsia="Times New Roman Regular" w:cs="Times New Roman Regular"/>
      <w:color w:val="000000"/>
      <w:sz w:val="20"/>
      <w:szCs w:val="20"/>
      <w:u w:val="none"/>
    </w:rPr>
  </w:style>
  <w:style w:type="character" w:styleId="1645">
    <w:name w:val="font301"/>
    <w:next w:val="1645"/>
    <w:link w:val="1503"/>
    <w:qFormat/>
    <w:rPr>
      <w:rFonts w:ascii="Times New Roman Regular" w:hAnsi="Times New Roman Regular" w:eastAsia="Times New Roman Regular" w:cs="Times New Roman Regular"/>
      <w:color w:val="000000"/>
      <w:sz w:val="20"/>
      <w:szCs w:val="20"/>
      <w:u w:val="none"/>
    </w:rPr>
  </w:style>
  <w:style w:type="character" w:styleId="1646">
    <w:name w:val="font81"/>
    <w:next w:val="1646"/>
    <w:link w:val="1503"/>
    <w:qFormat/>
    <w:rPr>
      <w:rFonts w:hint="eastAsia" w:ascii="宋体" w:hAnsi="宋体" w:eastAsia="宋体" w:cs="宋体"/>
      <w:color w:val="000000"/>
      <w:sz w:val="20"/>
      <w:szCs w:val="20"/>
      <w:u w:val="none"/>
    </w:rPr>
  </w:style>
  <w:style w:type="character" w:styleId="1647">
    <w:name w:val="font112"/>
    <w:next w:val="1647"/>
    <w:link w:val="1503"/>
    <w:qFormat/>
    <w:rPr>
      <w:rFonts w:hint="eastAsia" w:ascii="等线" w:hAnsi="等线" w:eastAsia="等线" w:cs="等线"/>
      <w:color w:val="000000"/>
      <w:sz w:val="20"/>
      <w:szCs w:val="20"/>
      <w:u w:val="none"/>
    </w:rPr>
  </w:style>
  <w:style w:type="character" w:styleId="1648">
    <w:name w:val="font312"/>
    <w:next w:val="1648"/>
    <w:link w:val="1503"/>
    <w:qFormat/>
    <w:rPr>
      <w:rFonts w:ascii="Arial" w:hAnsi="Arial" w:cs="Arial"/>
      <w:color w:val="000000"/>
      <w:sz w:val="20"/>
      <w:szCs w:val="20"/>
      <w:u w:val="none"/>
    </w:rPr>
  </w:style>
  <w:style w:type="character" w:styleId="1649">
    <w:name w:val="font321"/>
    <w:next w:val="1649"/>
    <w:link w:val="1503"/>
    <w:qFormat/>
    <w:rPr>
      <w:rFonts w:ascii="微软雅黑" w:hAnsi="微软雅黑" w:eastAsia="微软雅黑" w:cs="微软雅黑"/>
      <w:color w:val="000000"/>
      <w:sz w:val="20"/>
      <w:szCs w:val="20"/>
      <w:u w:val="none"/>
    </w:rPr>
  </w:style>
  <w:style w:type="character" w:styleId="1650">
    <w:name w:val="font151"/>
    <w:next w:val="1650"/>
    <w:link w:val="1503"/>
    <w:qFormat/>
    <w:rPr>
      <w:rFonts w:hint="eastAsia" w:ascii="宋体" w:hAnsi="宋体" w:eastAsia="宋体" w:cs="宋体"/>
      <w:color w:val="000000"/>
      <w:sz w:val="22"/>
      <w:szCs w:val="22"/>
      <w:u w:val="none"/>
    </w:rPr>
  </w:style>
  <w:style w:type="character" w:styleId="1651">
    <w:name w:val="font121"/>
    <w:next w:val="1651"/>
    <w:link w:val="1503"/>
    <w:qFormat/>
    <w:rPr>
      <w:rFonts w:hint="eastAsia" w:ascii="宋体" w:hAnsi="宋体" w:eastAsia="宋体" w:cs="宋体"/>
      <w:b/>
      <w:bCs/>
      <w:color w:val="000000"/>
      <w:sz w:val="20"/>
      <w:szCs w:val="20"/>
      <w:u w:val="none"/>
    </w:rPr>
  </w:style>
  <w:style w:type="character" w:styleId="1652">
    <w:name w:val="font21"/>
    <w:next w:val="1652"/>
    <w:link w:val="1503"/>
    <w:qFormat/>
    <w:rPr>
      <w:rFonts w:hint="eastAsia" w:ascii="宋体" w:hAnsi="宋体" w:eastAsia="宋体" w:cs="宋体"/>
      <w:b/>
      <w:bCs/>
      <w:color w:val="000000"/>
      <w:sz w:val="24"/>
      <w:szCs w:val="24"/>
      <w:u w:val="none"/>
    </w:rPr>
  </w:style>
  <w:style w:type="character" w:styleId="1653">
    <w:name w:val="font131"/>
    <w:next w:val="1653"/>
    <w:link w:val="1503"/>
    <w:qFormat/>
    <w:rPr>
      <w:rFonts w:ascii="宋体" w:hAnsi="宋体" w:eastAsia="宋体" w:cs="宋体"/>
      <w:b/>
      <w:bCs/>
      <w:color w:val="000000"/>
      <w:sz w:val="24"/>
      <w:szCs w:val="24"/>
      <w:u w:val="none"/>
    </w:rPr>
  </w:style>
  <w:style w:type="character" w:styleId="1654">
    <w:name w:val="font141"/>
    <w:next w:val="1654"/>
    <w:link w:val="1503"/>
    <w:qFormat/>
    <w:rPr>
      <w:rFonts w:ascii="微软雅黑" w:hAnsi="微软雅黑" w:eastAsia="微软雅黑" w:cs="微软雅黑"/>
      <w:color w:val="000000"/>
      <w:sz w:val="24"/>
      <w:szCs w:val="24"/>
      <w:u w:val="none"/>
    </w:rPr>
  </w:style>
  <w:style w:type="paragraph" w:styleId="1655">
    <w:name w:val="标题 41"/>
    <w:basedOn w:val="1503"/>
    <w:next w:val="1503"/>
    <w:link w:val="1503"/>
    <w:qFormat/>
    <w:pPr>
      <w:jc w:val="center"/>
      <w:keepNext/>
      <w:outlineLvl w:val="3"/>
    </w:pPr>
    <w:rPr>
      <w:rFonts w:eastAsia="新宋体"/>
      <w:sz w:val="30"/>
      <w:szCs w:val="21"/>
    </w:rPr>
  </w:style>
  <w:style w:type="paragraph" w:styleId="1656">
    <w:name w:val="样式1"/>
    <w:basedOn w:val="1503"/>
    <w:next w:val="1656"/>
    <w:link w:val="1503"/>
    <w:qFormat/>
    <w:pPr>
      <w:jc w:val="center"/>
    </w:pPr>
    <w:rPr>
      <w:szCs w:val="21"/>
    </w:rPr>
  </w:style>
  <w:style w:type="paragraph" w:styleId="1657">
    <w:name w:val="正文首行缩进1"/>
    <w:basedOn w:val="1658"/>
    <w:next w:val="1657"/>
    <w:link w:val="1503"/>
    <w:qFormat/>
    <w:pPr>
      <w:ind w:firstLine="200"/>
      <w:spacing w:line="360" w:lineRule="auto"/>
    </w:pPr>
    <w:rPr>
      <w:rFonts w:ascii="仿宋_GB2312" w:hAnsi="Times New Roman" w:eastAsia="仿宋_GB2312"/>
      <w:sz w:val="30"/>
      <w:szCs w:val="30"/>
    </w:rPr>
  </w:style>
  <w:style w:type="paragraph" w:styleId="1658">
    <w:name w:val="正文文本1"/>
    <w:basedOn w:val="1503"/>
    <w:next w:val="1503"/>
    <w:link w:val="1503"/>
    <w:qFormat/>
    <w:rPr>
      <w:rFonts w:ascii="楷体_GB2312" w:hAnsi="Arial" w:eastAsia="楷体_GB2312"/>
      <w:sz w:val="28"/>
      <w:szCs w:val="28"/>
    </w:rPr>
  </w:style>
  <w:style w:type="paragraph" w:styleId="1659">
    <w:name w:val="正文+首行缩进2字符"/>
    <w:basedOn w:val="1503"/>
    <w:next w:val="1659"/>
    <w:link w:val="1503"/>
    <w:qFormat/>
    <w:pPr>
      <w:ind w:firstLine="480"/>
    </w:pPr>
  </w:style>
  <w:style w:type="paragraph" w:styleId="1660">
    <w:name w:val="正文首行缩进 21"/>
    <w:basedOn w:val="1536"/>
    <w:next w:val="1660"/>
    <w:link w:val="1503"/>
    <w:uiPriority w:val="99"/>
    <w:unhideWhenUsed/>
    <w:qFormat/>
    <w:pPr>
      <w:ind w:firstLine="200"/>
    </w:pPr>
  </w:style>
  <w:style w:type="paragraph" w:styleId="1661">
    <w:name w:val="正文首行缩进11"/>
    <w:basedOn w:val="1658"/>
    <w:next w:val="1661"/>
    <w:link w:val="1503"/>
    <w:qFormat/>
    <w:pPr>
      <w:ind w:firstLine="200"/>
      <w:spacing w:line="360" w:lineRule="auto"/>
    </w:pPr>
    <w:rPr>
      <w:rFonts w:ascii="仿宋_GB2312" w:eastAsia="仿宋_GB2312"/>
      <w:sz w:val="30"/>
      <w:szCs w:val="30"/>
    </w:rPr>
  </w:style>
  <w:style w:type="paragraph" w:styleId="1662">
    <w:name w:val="普通(网站)1"/>
    <w:basedOn w:val="1503"/>
    <w:next w:val="1662"/>
    <w:link w:val="1503"/>
    <w:qFormat/>
    <w:pPr>
      <w:jc w:val="left"/>
      <w:spacing w:before="100" w:beforeAutospacing="1" w:after="100" w:afterAutospacing="1"/>
      <w:widowControl/>
    </w:pPr>
    <w:rPr>
      <w:rFonts w:ascii="宋体" w:hAnsi="宋体"/>
      <w:color w:val="000000"/>
      <w:sz w:val="24"/>
    </w:rPr>
  </w:style>
  <w:style w:type="paragraph" w:styleId="1663">
    <w:name w:val="纯文本2"/>
    <w:basedOn w:val="1503"/>
    <w:next w:val="1663"/>
    <w:link w:val="1503"/>
    <w:qFormat/>
    <w:pPr>
      <w:jc w:val="left"/>
    </w:pPr>
    <w:rPr>
      <w:rFonts w:ascii="宋体" w:hAnsi="宋体" w:eastAsia="楷体_GB2312"/>
      <w:sz w:val="26"/>
      <w:szCs w:val="20"/>
      <w:lang w:bidi="zh-CN"/>
    </w:rPr>
  </w:style>
  <w:style w:type="paragraph" w:styleId="1664">
    <w:name w:val="*正文"/>
    <w:basedOn w:val="1503"/>
    <w:next w:val="1664"/>
    <w:link w:val="1503"/>
    <w:uiPriority w:val="99"/>
    <w:qFormat/>
    <w:pPr>
      <w:ind w:firstLine="482"/>
      <w:spacing w:line="360" w:lineRule="auto"/>
    </w:pPr>
    <w:rPr>
      <w:rFonts w:eastAsia="仿宋_GB2312"/>
      <w:sz w:val="28"/>
    </w:rPr>
  </w:style>
  <w:style w:type="paragraph" w:styleId="1665">
    <w:name w:val="标题 11"/>
    <w:basedOn w:val="1503"/>
    <w:next w:val="1503"/>
    <w:link w:val="1503"/>
    <w:uiPriority w:val="9"/>
    <w:qFormat/>
    <w:pPr>
      <w:keepLines/>
      <w:keepNext/>
      <w:spacing w:before="480"/>
      <w:outlineLvl w:val="0"/>
    </w:pPr>
    <w:rPr>
      <w:rFonts w:ascii="Arial" w:hAnsi="Arial" w:eastAsia="Arial" w:cs="Arial"/>
      <w:sz w:val="40"/>
      <w:szCs w:val="40"/>
    </w:rPr>
  </w:style>
  <w:style w:type="paragraph" w:styleId="1666">
    <w:name w:val="Plain Text1"/>
    <w:basedOn w:val="1503"/>
    <w:next w:val="1666"/>
    <w:link w:val="1503"/>
    <w:uiPriority w:val="99"/>
    <w:qFormat/>
    <w:pPr>
      <w:jc w:val="left"/>
    </w:pPr>
    <w:rPr>
      <w:rFonts w:ascii="宋体" w:hAnsi="宋体" w:eastAsia="楷体_GB2312"/>
      <w:sz w:val="26"/>
      <w:szCs w:val="20"/>
    </w:rPr>
  </w:style>
  <w:style w:type="character" w:styleId="21323" w:default="1">
    <w:name w:val="Default Paragraph Font"/>
    <w:uiPriority w:val="1"/>
    <w:semiHidden/>
    <w:unhideWhenUsed/>
  </w:style>
  <w:style w:type="numbering" w:styleId="21324" w:default="1">
    <w:name w:val="No List"/>
    <w:uiPriority w:val="99"/>
    <w:semiHidden/>
    <w:unhideWhenUsed/>
  </w:style>
  <w:style w:type="table" w:styleId="213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footer" Target="footer1.xml" /><Relationship Id="rId29" Type="http://schemas.openxmlformats.org/officeDocument/2006/relationships/footer" Target="footer2.xml" /><Relationship Id="rId30" Type="http://schemas.openxmlformats.org/officeDocument/2006/relationships/footer" Target="footer3.xml" /><Relationship Id="rId31" Type="http://schemas.openxmlformats.org/officeDocument/2006/relationships/footer" Target="footer4.xml" /><Relationship Id="rId32" Type="http://schemas.openxmlformats.org/officeDocument/2006/relationships/footer" Target="footer5.xml" /><Relationship Id="rId33" Type="http://schemas.openxmlformats.org/officeDocument/2006/relationships/footer" Target="footer6.xml" /><Relationship Id="rId34" Type="http://schemas.openxmlformats.org/officeDocument/2006/relationships/footer" Target="footer7.xml" /><Relationship Id="rId35" Type="http://schemas.openxmlformats.org/officeDocument/2006/relationships/footer" Target="footer8.xml" /><Relationship Id="rId36" Type="http://schemas.openxmlformats.org/officeDocument/2006/relationships/footer" Target="footer9.xml" /><Relationship Id="rId37" Type="http://schemas.openxmlformats.org/officeDocument/2006/relationships/footer" Target="footer10.xml" /><Relationship Id="rId38"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苏采</cp:lastModifiedBy>
  <cp:revision>2</cp:revision>
  <dcterms:created xsi:type="dcterms:W3CDTF">2026-10-29T02:33:00Z</dcterms:created>
  <dcterms:modified xsi:type="dcterms:W3CDTF">2026-10-30T06:45:39Z</dcterms:modified>
</cp:coreProperties>
</file>