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84"/>
          <w:szCs w:val="84"/>
          <w:highlight w:val="none"/>
        </w:rPr>
        <w:t xml:space="preserve">招　标　文　件</w:t>
      </w:r>
      <w:r/>
    </w:p>
    <w:p>
      <w:pPr>
        <w:ind w:firstLine="2249"/>
        <w:jc w:val="left"/>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ind w:firstLine="2249"/>
        <w:jc w:val="left"/>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ind w:firstLine="2249"/>
        <w:jc w:val="left"/>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ind w:firstLine="2249"/>
        <w:jc w:val="left"/>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ind w:firstLine="2249"/>
        <w:jc w:val="left"/>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jc w:val="center"/>
        <w:spacing w:line="360" w:lineRule="auto"/>
        <w:rPr>
          <w:rFonts w:hint="eastAsia" w:ascii="宋体" w:hAnsi="宋体" w:eastAsia="宋体" w:cs="宋体"/>
          <w:b/>
          <w:bCs/>
          <w:color w:val="auto"/>
          <w:sz w:val="32"/>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t xml:space="preserve">项目名称：</w:t>
      </w:r>
      <w:r>
        <w:rPr>
          <w:rFonts w:hint="eastAsia" w:ascii="宋体" w:hAnsi="宋体" w:eastAsia="宋体" w:cs="宋体"/>
          <w:b/>
          <w:bCs/>
          <w:color w:val="auto"/>
          <w:sz w:val="32"/>
          <w:szCs w:val="24"/>
          <w:highlight w:val="none"/>
          <w:lang w:eastAsia="zh-CN"/>
        </w:rPr>
        <w:t xml:space="preserve">2026年计量检验检测设备更新-第一批</w:t>
      </w:r>
      <w:r/>
    </w:p>
    <w:p>
      <w:pPr>
        <w:ind w:firstLine="643"/>
        <w:spacing w:line="360" w:lineRule="auto"/>
        <w:rPr>
          <w:rFonts w:hint="eastAsia" w:ascii="宋体" w:hAnsi="宋体" w:eastAsia="宋体" w:cs="宋体"/>
          <w:b/>
          <w:color w:val="auto"/>
          <w:sz w:val="44"/>
          <w:szCs w:val="21"/>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t xml:space="preserve">项目编号：</w:t>
      </w:r>
      <w:r>
        <w:rPr>
          <w:rFonts w:hint="eastAsia" w:ascii="宋体" w:hAnsi="宋体" w:cs="宋体"/>
          <w:b/>
          <w:bCs/>
          <w:color w:val="auto"/>
          <w:sz w:val="32"/>
          <w:szCs w:val="24"/>
          <w:highlight w:val="none"/>
          <w:lang w:eastAsia="zh-CN"/>
        </w:rPr>
        <w:t xml:space="preserve">JSZC-320700-ZHDH-G2026-0012</w:t>
      </w:r>
      <w:r/>
    </w:p>
    <w:p>
      <w:pPr>
        <w:spacing w:line="360" w:lineRule="auto"/>
        <w:rPr>
          <w:rFonts w:hint="eastAsia" w:ascii="宋体" w:hAnsi="宋体" w:eastAsia="宋体" w:cs="宋体"/>
          <w:b/>
          <w:color w:val="auto"/>
          <w:sz w:val="4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44"/>
          <w:szCs w:val="21"/>
          <w:highlight w:val="none"/>
        </w:rPr>
      </w:r>
      <w:r/>
    </w:p>
    <w:p>
      <w:pPr>
        <w:spacing w:line="360" w:lineRule="auto"/>
        <w:rPr>
          <w:rFonts w:hint="eastAsia" w:ascii="宋体" w:hAnsi="宋体" w:eastAsia="宋体" w:cs="宋体"/>
          <w:b/>
          <w:color w:val="auto"/>
          <w:sz w:val="4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44"/>
          <w:szCs w:val="21"/>
          <w:highlight w:val="none"/>
        </w:rPr>
      </w:r>
      <w:r/>
    </w:p>
    <w:p>
      <w:pPr>
        <w:pStyle w:val="686"/>
        <w:jc w:val="center"/>
        <w:spacing w:line="360" w:lineRule="auto"/>
        <w:rPr>
          <w:rFonts w:hint="eastAsia" w:ascii="宋体" w:hAnsi="宋体" w:eastAsia="宋体" w:cs="宋体"/>
          <w:b/>
          <w:color w:val="auto"/>
          <w:sz w:val="32"/>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highlight w:val="none"/>
        </w:rPr>
        <w:t xml:space="preserve">采  购  人：</w:t>
      </w:r>
      <w:r>
        <w:rPr>
          <w:rFonts w:hint="eastAsia" w:ascii="宋体" w:hAnsi="宋体" w:cs="宋体"/>
          <w:b/>
          <w:color w:val="auto"/>
          <w:sz w:val="32"/>
          <w:highlight w:val="none"/>
          <w:lang w:eastAsia="zh-CN"/>
        </w:rPr>
        <w:t xml:space="preserve">连云港市计量检定测试中心</w:t>
      </w:r>
      <w:r/>
    </w:p>
    <w:p>
      <w:pPr>
        <w:jc w:val="center"/>
        <w:spacing w:before="120" w:after="120" w:line="360" w:lineRule="auto"/>
        <w:rPr>
          <w:rFonts w:hint="eastAsia" w:ascii="宋体" w:hAnsi="宋体" w:eastAsia="宋体" w:cs="宋体"/>
          <w:b/>
          <w:bCs/>
          <w:color w:val="auto"/>
          <w:sz w:val="32"/>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highlight w:val="none"/>
        </w:rPr>
        <w:t xml:space="preserve">采购代理机构：</w:t>
      </w:r>
      <w:r>
        <w:rPr>
          <w:rFonts w:hint="eastAsia" w:ascii="宋体" w:hAnsi="宋体" w:cs="宋体"/>
          <w:b/>
          <w:bCs/>
          <w:color w:val="auto"/>
          <w:sz w:val="32"/>
          <w:highlight w:val="none"/>
          <w:lang w:eastAsia="zh-CN"/>
        </w:rPr>
        <w:t xml:space="preserve">中和德汇工程技术有限公司</w:t>
      </w:r>
      <w:r/>
    </w:p>
    <w:p>
      <w:pPr>
        <w:jc w:val="center"/>
        <w:spacing w:before="120" w:after="120"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t xml:space="preserve">2026年</w:t>
      </w:r>
      <w:r>
        <w:rPr>
          <w:rFonts w:hint="eastAsia" w:ascii="宋体" w:hAnsi="宋体" w:cs="宋体"/>
          <w:b/>
          <w:bCs/>
          <w:color w:val="auto"/>
          <w:sz w:val="32"/>
          <w:szCs w:val="24"/>
          <w:highlight w:val="none"/>
          <w:lang w:val="en-US" w:eastAsia="zh-CN"/>
        </w:rPr>
        <w:t xml:space="preserve">9</w:t>
      </w:r>
      <w:r>
        <w:rPr>
          <w:rFonts w:hint="eastAsia" w:ascii="宋体" w:hAnsi="宋体" w:eastAsia="宋体" w:cs="宋体"/>
          <w:b/>
          <w:bCs/>
          <w:color w:val="auto"/>
          <w:sz w:val="32"/>
          <w:szCs w:val="24"/>
          <w:highlight w:val="none"/>
        </w:rPr>
        <w:t xml:space="preserve">月</w:t>
      </w:r>
      <w:r/>
    </w:p>
    <w:p>
      <w:pPr>
        <w:jc w:val="center"/>
        <w:spacing w:before="120" w:after="120"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r/>
    </w:p>
    <w:p>
      <w:pPr>
        <w:pStyle w:val="922"/>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pStyle w:val="922"/>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pStyle w:val="922"/>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目  录</w:t>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第一章投标邀请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3</w:t>
      </w:r>
      <w:r>
        <w:rPr>
          <w:rFonts w:hint="eastAsia" w:ascii="宋体" w:hAnsi="宋体" w:eastAsia="宋体" w:cs="宋体"/>
          <w:color w:val="auto"/>
          <w:sz w:val="36"/>
          <w:szCs w:val="36"/>
          <w:highlight w:val="none"/>
        </w:rPr>
        <w:fldChar w:fldCharType="end"/>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第二章供应商须知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7</w:t>
      </w:r>
      <w:r>
        <w:rPr>
          <w:rFonts w:hint="eastAsia" w:ascii="宋体" w:hAnsi="宋体" w:eastAsia="宋体" w:cs="宋体"/>
          <w:color w:val="auto"/>
          <w:sz w:val="36"/>
          <w:szCs w:val="36"/>
          <w:highlight w:val="none"/>
        </w:rPr>
        <w:fldChar w:fldCharType="end"/>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第三章合同文本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_Toc165205796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23</w:t>
      </w:r>
      <w:r>
        <w:rPr>
          <w:rFonts w:hint="eastAsia" w:ascii="宋体" w:hAnsi="宋体" w:eastAsia="宋体" w:cs="宋体"/>
          <w:color w:val="auto"/>
          <w:sz w:val="36"/>
          <w:szCs w:val="36"/>
          <w:highlight w:val="none"/>
        </w:rPr>
        <w:fldChar w:fldCharType="end"/>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第四章采购需求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_Toc165205797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38</w:t>
      </w:r>
      <w:r>
        <w:rPr>
          <w:rFonts w:hint="eastAsia" w:ascii="宋体" w:hAnsi="宋体" w:eastAsia="宋体" w:cs="宋体"/>
          <w:color w:val="auto"/>
          <w:sz w:val="36"/>
          <w:szCs w:val="36"/>
          <w:highlight w:val="none"/>
        </w:rPr>
        <w:fldChar w:fldCharType="end"/>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第五章评标方法与评标标准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_Toc165205798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85</w:t>
      </w:r>
      <w:r>
        <w:rPr>
          <w:rFonts w:hint="eastAsia" w:ascii="宋体" w:hAnsi="宋体" w:eastAsia="宋体" w:cs="宋体"/>
          <w:color w:val="auto"/>
          <w:sz w:val="36"/>
          <w:szCs w:val="36"/>
          <w:highlight w:val="none"/>
        </w:rPr>
        <w:fldChar w:fldCharType="end"/>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第六章投标文件格式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_Toc165205799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98</w:t>
      </w:r>
      <w:r>
        <w:rPr>
          <w:rFonts w:hint="eastAsia" w:ascii="宋体" w:hAnsi="宋体" w:eastAsia="宋体" w:cs="宋体"/>
          <w:color w:val="auto"/>
          <w:sz w:val="36"/>
          <w:szCs w:val="36"/>
          <w:highlight w:val="none"/>
        </w:rPr>
        <w:fldChar w:fldCharType="end"/>
      </w:r>
      <w:r/>
    </w:p>
    <w:p>
      <w:pPr>
        <w:jc w:val="left"/>
        <w:spacing w:line="360" w:lineRule="auto"/>
        <w:widowControl/>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fldChar w:fldCharType="end"/>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color w:val="auto"/>
          <w:highlight w:val="none"/>
        </w:rPr>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0" w:name="_Toc165205794"/>
      <w:r>
        <w:rPr>
          <w:rFonts w:hint="eastAsia" w:ascii="宋体" w:hAnsi="宋体" w:eastAsia="宋体" w:cs="宋体"/>
          <w:b w:val="0"/>
          <w:color w:val="auto"/>
          <w:highlight w:val="none"/>
        </w:rPr>
        <w:t xml:space="preserve">第一章  投标邀请</w:t>
      </w:r>
      <w:bookmarkEnd w:id="0"/>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连云港市计量检定测试中心</w:t>
      </w:r>
      <w:r>
        <w:rPr>
          <w:rFonts w:hint="eastAsia" w:ascii="宋体" w:hAnsi="宋体" w:eastAsia="宋体" w:cs="宋体"/>
          <w:color w:val="auto"/>
          <w:sz w:val="24"/>
          <w:szCs w:val="24"/>
          <w:highlight w:val="none"/>
        </w:rPr>
        <w:t xml:space="preserve">的委托，</w:t>
      </w:r>
      <w:r>
        <w:rPr>
          <w:rFonts w:hint="eastAsia" w:ascii="宋体" w:hAnsi="宋体" w:cs="宋体"/>
          <w:color w:val="auto"/>
          <w:sz w:val="24"/>
          <w:szCs w:val="24"/>
          <w:highlight w:val="none"/>
          <w:u w:val="single"/>
          <w:lang w:eastAsia="zh-CN"/>
        </w:rPr>
        <w:t xml:space="preserve">中和德汇工程技术有限公司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2026年计量检验检测设备更新-第一批</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JSZC-320700-ZHDH-G2026-0012</w:t>
      </w:r>
      <w:r>
        <w:rPr>
          <w:rFonts w:hint="eastAsia" w:ascii="宋体" w:hAnsi="宋体" w:eastAsia="宋体" w:cs="宋体"/>
          <w:color w:val="auto"/>
          <w:sz w:val="24"/>
          <w:szCs w:val="24"/>
          <w:highlight w:val="none"/>
        </w:rPr>
        <w:t xml:space="preserve">）进行公开招标采购，欢迎符合条件的供应商投标。</w:t>
      </w:r>
      <w:r/>
    </w:p>
    <w:tbl>
      <w:tblPr>
        <w:tblStyle w:val="676"/>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项目概况</w:t>
            </w:r>
            <w:r/>
          </w:p>
          <w:p>
            <w:pPr>
              <w:ind w:firstLine="482"/>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u w:val="single"/>
                <w:lang w:eastAsia="zh-CN"/>
              </w:rPr>
              <w:t xml:space="preserve">2026年计量检验检测设备更新-第一批</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日9:00:00</w:t>
            </w:r>
            <w:r>
              <w:rPr>
                <w:rFonts w:hint="eastAsia" w:ascii="宋体" w:hAnsi="宋体" w:eastAsia="宋体" w:cs="宋体"/>
                <w:color w:val="auto"/>
                <w:sz w:val="24"/>
                <w:szCs w:val="24"/>
                <w:highlight w:val="none"/>
              </w:rPr>
              <w:t xml:space="preserve">（北京时间）前递交（上传）投标文件。</w:t>
            </w:r>
            <w:r/>
          </w:p>
        </w:tc>
      </w:tr>
    </w:tbl>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一、项目基本情况</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JSZC-320700-ZHDH-G2026-0012</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2026年计量检验检测设备更新-第一批</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预算金额：</w:t>
      </w:r>
      <w:r>
        <w:rPr>
          <w:rFonts w:hint="eastAsia" w:ascii="宋体" w:hAnsi="宋体" w:eastAsia="宋体" w:cs="宋体"/>
          <w:sz w:val="24"/>
          <w:szCs w:val="24"/>
          <w:highlight w:val="none"/>
        </w:rPr>
        <w:t xml:space="preserve">总预算</w:t>
      </w:r>
      <w:r>
        <w:rPr>
          <w:rFonts w:hint="eastAsia" w:ascii="宋体" w:hAnsi="宋体" w:cs="宋体"/>
          <w:color w:val="auto"/>
          <w:sz w:val="24"/>
          <w:szCs w:val="24"/>
          <w:highlight w:val="none"/>
          <w:lang w:val="en-US" w:eastAsia="zh-CN"/>
        </w:rPr>
        <w:t xml:space="preserve">672.5</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采购包1</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118</w:t>
      </w:r>
      <w:r>
        <w:rPr>
          <w:rFonts w:hint="eastAsia" w:ascii="宋体" w:hAnsi="宋体" w:eastAsia="宋体" w:cs="宋体"/>
          <w:color w:val="auto"/>
          <w:sz w:val="24"/>
          <w:highlight w:val="none"/>
        </w:rPr>
        <w:t xml:space="preserve">万元；采购包2</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113</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3</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128</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4</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154</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5</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26.5</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6</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133</w:t>
      </w:r>
      <w:r>
        <w:rPr>
          <w:rFonts w:hint="eastAsia" w:ascii="宋体" w:hAnsi="宋体" w:eastAsia="宋体" w:cs="宋体"/>
          <w:color w:val="auto"/>
          <w:sz w:val="24"/>
          <w:highlight w:val="none"/>
        </w:rPr>
        <w:t xml:space="preserve">万元，报价超过预算价的按无效响应处理；</w:t>
      </w:r>
      <w:r/>
    </w:p>
    <w:p>
      <w:pPr>
        <w:ind w:firstLine="480"/>
        <w:jc w:val="left"/>
        <w:spacing w:line="36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最高限价：采购包1：</w:t>
      </w:r>
      <w:r>
        <w:rPr>
          <w:rFonts w:hint="eastAsia" w:ascii="宋体" w:hAnsi="宋体" w:cs="宋体"/>
          <w:color w:val="auto"/>
          <w:sz w:val="24"/>
          <w:highlight w:val="none"/>
          <w:lang w:val="en-US" w:eastAsia="zh-CN"/>
        </w:rPr>
        <w:t xml:space="preserve">118</w:t>
      </w:r>
      <w:r>
        <w:rPr>
          <w:rFonts w:hint="eastAsia" w:ascii="宋体" w:hAnsi="宋体" w:eastAsia="宋体" w:cs="宋体"/>
          <w:color w:val="auto"/>
          <w:sz w:val="24"/>
          <w:highlight w:val="none"/>
        </w:rPr>
        <w:t xml:space="preserve">万元；采购包2：</w:t>
      </w:r>
      <w:r>
        <w:rPr>
          <w:rFonts w:hint="eastAsia" w:ascii="宋体" w:hAnsi="宋体" w:cs="宋体"/>
          <w:color w:val="auto"/>
          <w:sz w:val="24"/>
          <w:highlight w:val="none"/>
          <w:lang w:val="en-US" w:eastAsia="zh-CN"/>
        </w:rPr>
        <w:t xml:space="preserve">113</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128</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154</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26.5</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133</w:t>
      </w:r>
      <w:r>
        <w:rPr>
          <w:rFonts w:hint="eastAsia" w:ascii="宋体" w:hAnsi="宋体" w:eastAsia="宋体" w:cs="宋体"/>
          <w:color w:val="auto"/>
          <w:sz w:val="24"/>
          <w:highlight w:val="none"/>
        </w:rPr>
        <w:t xml:space="preserve">万元，投标报价超过以上最高限价的投标无效。</w:t>
      </w:r>
      <w:r/>
    </w:p>
    <w:p>
      <w:pPr>
        <w:ind w:firstLine="480"/>
        <w:jc w:val="left"/>
        <w:spacing w:line="36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采购方式：公开招标</w:t>
      </w:r>
      <w:r/>
    </w:p>
    <w:p>
      <w:pPr>
        <w:ind w:firstLine="480"/>
        <w:jc w:val="left"/>
        <w:spacing w:line="36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采购需</w:t>
      </w:r>
      <w:r>
        <w:rPr>
          <w:rFonts w:hint="eastAsia" w:ascii="宋体" w:hAnsi="宋体" w:eastAsia="宋体" w:cs="宋体"/>
          <w:color w:val="auto"/>
          <w:sz w:val="24"/>
          <w:highlight w:val="none"/>
        </w:rPr>
        <w:t xml:space="preserve">求：采购34台(套)计量标准设备，其中质量比较仪、便携式气体粉尘烟尘采样仪校验装置、精密露点仪、酸度计检定仪、出租汽车计</w:t>
      </w:r>
      <w:r>
        <w:rPr>
          <w:rFonts w:hint="eastAsia" w:ascii="宋体" w:hAnsi="宋体" w:eastAsia="宋体" w:cs="宋体"/>
          <w:color w:val="auto"/>
          <w:sz w:val="24"/>
          <w:highlight w:val="none"/>
        </w:rPr>
        <w:t xml:space="preserve">价器检定装置、小角度检定仪、扭矩扳子检定仪、电脑量块比较仪、标准铂铐10-铂热电偶、热电偶校准炉、冰点恒温器、无创血压模拟仪、超声功率计、心、脑电图机检定仪(含智能化心脑电图机检定仪)医用注射泵和输液泵检测仪、测长机(精密测长机、万能测长机)、标准测力仪、智能数字压力校验仪、活塞式压力计(含全自动)、数字压力计、过程校验仪、验光仪顶焦度标准器客观式标准器、燃气表检定装置(含膜式)、多功能标准源(多功能校准源)、数字多用表、交流测试系统全站仪各1套，标准砝码组、温湿度试验设备自动检定系统各2套，黑体辐射源3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具体</w:t>
      </w:r>
      <w:r>
        <w:rPr>
          <w:rFonts w:hint="eastAsia" w:ascii="宋体" w:hAnsi="宋体" w:cs="宋体"/>
          <w:color w:val="auto"/>
          <w:sz w:val="24"/>
          <w:szCs w:val="28"/>
          <w:highlight w:val="none"/>
          <w:lang w:val="en-US" w:eastAsia="zh-CN"/>
        </w:rPr>
        <w:t xml:space="preserve">内容</w:t>
      </w:r>
      <w:r>
        <w:rPr>
          <w:rFonts w:hint="eastAsia" w:ascii="宋体" w:hAnsi="宋体" w:eastAsia="宋体" w:cs="宋体"/>
          <w:color w:val="auto"/>
          <w:sz w:val="24"/>
          <w:szCs w:val="28"/>
          <w:highlight w:val="none"/>
        </w:rPr>
        <w:t xml:space="preserve">详见招标文件第四章</w:t>
      </w:r>
      <w:r>
        <w:rPr>
          <w:rFonts w:hint="eastAsia" w:ascii="宋体" w:hAnsi="宋体" w:cs="宋体"/>
          <w:color w:val="auto"/>
          <w:sz w:val="24"/>
          <w:szCs w:val="28"/>
          <w:highlight w:val="none"/>
          <w:lang w:val="en-US" w:eastAsia="zh-CN"/>
        </w:rPr>
        <w:t xml:space="preserve">采购</w:t>
      </w:r>
      <w:r>
        <w:rPr>
          <w:rFonts w:hint="eastAsia" w:ascii="宋体" w:hAnsi="宋体" w:eastAsia="宋体" w:cs="宋体"/>
          <w:color w:val="auto"/>
          <w:sz w:val="24"/>
          <w:szCs w:val="28"/>
          <w:highlight w:val="none"/>
        </w:rPr>
        <w:t xml:space="preserve">需求</w:t>
      </w:r>
      <w:r>
        <w:rPr>
          <w:rFonts w:hint="eastAsia" w:ascii="宋体" w:hAnsi="宋体" w:eastAsia="宋体" w:cs="宋体"/>
          <w:color w:val="auto"/>
          <w:sz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szCs w:val="24"/>
          <w:highlight w:val="none"/>
        </w:rPr>
        <w:t xml:space="preserve">对本项目资格要求、采购需求、评标方法与评标标准等部分的询问、质疑请与采购人联系，由采购人负责答复。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合同履行期限（交货期）：</w:t>
      </w:r>
      <w:r>
        <w:rPr>
          <w:rFonts w:hint="eastAsia" w:ascii="宋体" w:hAnsi="宋体" w:eastAsia="宋体" w:cs="宋体"/>
          <w:b w:val="0"/>
          <w:bCs w:val="0"/>
          <w:color w:val="auto"/>
          <w:sz w:val="24"/>
          <w:szCs w:val="24"/>
          <w:highlight w:val="none"/>
          <w:lang w:val="en-US" w:eastAsia="zh-CN"/>
        </w:rPr>
        <w:t xml:space="preserve">合同签订生效后</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个月。</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本项目（是/否）接受联合体投标：不接受联合体。</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二、申请人的资格要求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2.上一年度的财务状况报告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(成立不满一年无需提供)</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36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6.法律、行政法规规定的其他条件；（如有，请按要求提供）</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8.本项目不接受进口产品（进口产品是指通过中国海关报关验放进入中国境内且产自关境外的产品）。</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（二）落实政府采购政策需满足的资格要求：无。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（三）本项目的特定资格要求：无。</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三、获取招标文件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highlight w:val="none"/>
        </w:rPr>
        <w:t xml:space="preserve">23:59止（北京时间）</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地点：江苏政府采购网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售价：0.00元</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四、提交投标文件截止时间、开标时间和地点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提交投标文件截止时间：2026年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日9:00:00（北京时间）</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开标时间：提交投标文件截止时间</w:t>
      </w:r>
      <w:r/>
    </w:p>
    <w:p>
      <w:pPr>
        <w:ind w:firstLine="48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开标地点：“苏采云”政府采购交易系统网上开标大厅</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五、公告期限</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自本公告发布之日起5个工作日。</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六、其他补充事宜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1.本次招标不收取投标保证金。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2.本招标文件中标注★的款项为实质性响应要求和条件，必须</w:t>
      </w:r>
      <w:r>
        <w:rPr>
          <w:rFonts w:hint="eastAsia" w:ascii="宋体" w:hAnsi="宋体" w:eastAsia="宋体" w:cs="宋体"/>
          <w:b/>
          <w:color w:val="auto"/>
          <w:sz w:val="24"/>
          <w:szCs w:val="24"/>
          <w:highlight w:val="none"/>
        </w:rPr>
        <w:t xml:space="preserve">逐条</w:t>
      </w:r>
      <w:r>
        <w:rPr>
          <w:rFonts w:hint="eastAsia" w:ascii="宋体" w:hAnsi="宋体" w:eastAsia="宋体" w:cs="宋体"/>
          <w:color w:val="auto"/>
          <w:sz w:val="24"/>
          <w:szCs w:val="24"/>
          <w:highlight w:val="none"/>
        </w:rPr>
        <w:t xml:space="preserve">做出满足要求和条件的响应，否则将按无效响应处理。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4.根据江苏省</w:t>
      </w:r>
      <w:r>
        <w:rPr>
          <w:rFonts w:hint="eastAsia" w:ascii="宋体" w:hAnsi="宋体" w:eastAsia="宋体" w:cs="宋体"/>
          <w:color w:val="auto"/>
          <w:sz w:val="24"/>
          <w:szCs w:val="24"/>
          <w:highlight w:val="none"/>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七、对本次招标提出询问，请按以下方式联系</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连云港市计量检定测试中心</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8"/>
          <w:highlight w:val="none"/>
        </w:rPr>
        <w:t xml:space="preserve">连云港市海州区振华东路18号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highlight w:val="none"/>
        </w:rPr>
        <w:t xml:space="preserve">田部长</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rPr>
        <w:t xml:space="preserve">0518-85805305</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中和德汇工程技术有限公司</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8"/>
          <w:highlight w:val="none"/>
          <w:lang w:eastAsia="zh-CN"/>
        </w:rPr>
        <w:t xml:space="preserve">连云港市朝阳东路南瀛洲路东盛世嘉缘1幢3层5号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 系 人：陈工</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15805130180</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项目联系人：陈工</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eastAsia="zh-CN"/>
        </w:rPr>
        <w:t xml:space="preserve">15805130180</w:t>
      </w:r>
      <w:r/>
    </w:p>
    <w:p>
      <w:pPr>
        <w:jc w:val="left"/>
        <w:spacing w:line="360" w:lineRule="auto"/>
        <w:widowControl/>
        <w:rPr>
          <w:rFonts w:hint="eastAsia" w:ascii="宋体" w:hAnsi="宋体" w:eastAsia="宋体" w:cs="宋体"/>
          <w:bCs/>
          <w:color w:val="auto"/>
          <w:sz w:val="44"/>
          <w:szCs w:val="4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highlight w:val="none"/>
        </w:rPr>
        <w:br w:type="page" w:clear="all"/>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1" w:name="_Toc165205795"/>
      <w:r>
        <w:rPr>
          <w:rFonts w:hint="eastAsia" w:ascii="宋体" w:hAnsi="宋体" w:eastAsia="宋体" w:cs="宋体"/>
          <w:b w:val="0"/>
          <w:color w:val="auto"/>
          <w:highlight w:val="none"/>
        </w:rPr>
        <w:t xml:space="preserve">第二章  供应商须知</w:t>
      </w:r>
      <w:bookmarkEnd w:id="1"/>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一、总则</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1、采购方式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2、合格的供应商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2.1 满足招标公告中申请人的资格要求的规定。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2.4 符合上述条件的供应商应承担投标及履约过程应承担的全部责任与义务。</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3、适用法律</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4、投标费用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4.1 供应商应自行承担所有与参与投标有关的费用，无论投标过程中的做法和结果如何，采购人和</w:t>
      </w:r>
      <w:r>
        <w:rPr>
          <w:rFonts w:hint="eastAsia" w:ascii="宋体" w:hAnsi="宋体" w:cs="宋体"/>
          <w:color w:val="auto"/>
          <w:sz w:val="24"/>
          <w:szCs w:val="24"/>
          <w:highlight w:val="none"/>
          <w:lang w:eastAsia="zh-CN"/>
        </w:rPr>
        <w:t xml:space="preserve">中和德汇工程技术有限公司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4.2 供应商投标时报价须当包含代理费（供应商在投标报价时可综合考虑此费用，不单列）。依据本项目委托代理协议约定，本项目招标代理服务费按《江苏省招标代理服务收费的指导意见》苏招协（2022）002号标准收取，共收取29500元，由中标人支付。</w:t>
      </w:r>
      <w:r>
        <w:rPr>
          <w:rFonts w:hint="eastAsia" w:ascii="宋体" w:hAnsi="宋体" w:cs="宋体"/>
          <w:color w:val="auto"/>
          <w:sz w:val="24"/>
          <w:szCs w:val="24"/>
          <w:highlight w:val="none"/>
          <w:lang w:val="en-US" w:eastAsia="zh-CN"/>
        </w:rPr>
        <w:t xml:space="preserve">其中采购包1、2、3、4、6各5000元，采购包5为4500元。</w:t>
      </w:r>
      <w:r>
        <w:rPr>
          <w:rFonts w:hint="eastAsia" w:ascii="宋体" w:hAnsi="宋体" w:eastAsia="宋体" w:cs="宋体"/>
          <w:color w:val="auto"/>
          <w:sz w:val="24"/>
          <w:szCs w:val="24"/>
          <w:highlight w:val="none"/>
        </w:rPr>
        <w:t xml:space="preserve">支付方式：电汇、网银、现金。</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5、招标文件的约束力</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5.1 供应商一旦参与本项目采购活动，即被认为接受了本招标文件的规定和约束。</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二、招标文件</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6、招标文件的构成</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6.1 招标文件由以下部分构成：</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（1）投标邀请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（2）供应商须知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（3）合同文本</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（4）采购需求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（5）评标方法与评标标准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（6）投标文件格式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7、招标文件的澄清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7.1 任何要求对招标文件进行澄清的供应商，应在投标截止时间十日前按招标公告中的通讯地址，以书面形式通知采购人或者采购代理机构。</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8、招标文件的修改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8.1 在投标截止时间前，采购人和采购代理机构可以对招标文件进行修改。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8.2 采购人和采购代理机构有权按照法定的要求推迟投标截止时间和开标时间。</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招标文件的修改将在江苏政府采购网公布，补充文件将作为招标文件的组成部分，并对供应商具有约束力。</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三、投标文件编制</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9、投标文件编写注意事项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10、投标文件的语言及度量衡单位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11、投标文件的构成</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11.3 特别提醒供应商，混乱的编排导致投标文件被误读或评标委员会（以下简称评委会）查找不到有效文件是供应商的风险。</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12、证明供应商及投标标的符合招标文件规定的文件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12.1 供应商应按照招标文件要求提交证明文件，证明其及投标标的符合招标文件规定。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12.3 供应商委托代理时应当提交授权委托书，请按招标文件第六章给定格式及要求填写并附法定代表人（单位负责人）与委托代理人身份证明。</w:t>
      </w:r>
      <w:r/>
    </w:p>
    <w:p>
      <w:pPr>
        <w:pStyle w:val="897"/>
        <w:ind w:firstLine="562"/>
        <w:jc w:val="left"/>
        <w:spacing w:before="0" w:after="0"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13、投标分项报价表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（1）投标的货物总价；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（2）货物的标准附件、备品备件、专用工具、运输、装卸等各种费用；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（3）必要的保险费用和各项税金；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（4）投标总价要求包含安装维保费用。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13.2 供应商应根据投标报价要求在投标分项报价表中列明各项投标单价、总价等，未全部列示的作无效响应处理。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13.3 投标文件中的单价和总价无特殊规定的采用人民币报价，以元为单位标注。招标文件中另有规定的按规定执行。</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14、技术要求响应及偏离表、商务要求响应及偏离表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14.2 供应商可在投标文件中提供认为需要的其他技术文件或说明。</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15、服务承诺、培训计划、人员安排及其他</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15.2 供应商应根据招标文件要求提供培训计划、人员安排等。</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15.3 供应商应根据招标文件要求提供所投标的的主要组成部分、功能设计、实现思路及关键技术等。</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16、投标函和开标一览表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16.1 供应商应按照招标文件提供的格式完整、正确填写投标函、开标一览表。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17、投标有效期</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17.1 投标有效期为招标文件规定的开标之日后一百二十（120）天。投标有效期比规定短的将被视为未实质性响应招标文件而予以拒绝。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四、投标文件递交</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18、电子投标文件的递交</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18.1 供应商应当按照《操作手册》规定，在投标截止时间前制作并递交（上传）电子投标文件。</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19、投标截止时间</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19.1 供应商递交（上传）电子投标文件的时间不得迟于招标公告中规定的投标截止时间。</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20、投标文件的拒收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20.1 采购代理机构拒绝接收在招标文件规定的投标截止时间后递交（上传）的任何投标文件。</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21、投标文件的撤回和修改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21.3 在投标截止时间至招标文件规定的投标有效期满之间的这段时间内，供应商不得撤回其投标。</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五、开标与评标</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22、开标</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22.2 开标仪式由采购代理机构组织。“苏采云”系统将自动对项目进行开标，并宣布各供应商名称和投标价格。</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22.3 供应商在开标过程中涉及到的投标文件解密、开标结果确认等工作，应当按照《操作手册》规定执行。</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22.5 供应商未参加开标的，视同认可开标结果。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22.6 供应商在开标、评标全过程中应保持通讯畅通，及时登录“苏采云”系统查阅、答复相关信息，并安排专人与采购代理机构及评委会联系。</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23、评标委员会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23.1 开标后，采购代理机构将组织评委会进行评标。</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24、评标过程的保密与公正</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24.2 在评标过程中，供应商不得以任何行为影响评标过程，否则其投标文件将被作为无效投标文件。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24.3 采购代理机构和评委会不向未中标的供应商解释未中标原因，也不公布评标过程中的相关细节。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24.4 采用综合评分法的项目，未中标的供应商可于中标结果公告期限届满之日起通过“苏采云”系统查看自己的评审得分及排序情况。</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25、投标文件的澄清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评委会并非对每个供应商都提出澄清、说明或者补正要求。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25.3 接到评委会澄清、说明或者补正要求的供应商如未按要求响应，其风险由供应商自行承担。</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26、对投标文件的审查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26.1 投标文件审查分为资格审查和符合性审查。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26.2 所谓重大偏离</w:t>
      </w:r>
      <w:r>
        <w:rPr>
          <w:rFonts w:hint="eastAsia" w:ascii="宋体" w:hAnsi="宋体" w:eastAsia="宋体" w:cs="宋体"/>
          <w:color w:val="auto"/>
          <w:sz w:val="24"/>
          <w:highlight w:val="none"/>
        </w:rPr>
        <w:t xml:space="preserve">是指</w:t>
      </w:r>
      <w:r>
        <w:rPr>
          <w:rFonts w:hint="eastAsia" w:ascii="宋体" w:hAnsi="宋体" w:eastAsia="宋体" w:cs="宋体"/>
          <w:color w:val="auto"/>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26.3如果投标文件实质上没有响应招标文件的要求，评委会将予以拒绝，供应商不得通过修改或撤销不符合要求的偏离而使其投标成为实质性响应的投标。</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非单一产品采购项目，招标文件中将载明核心产品。多家供应商提供的核心产品品牌相同的，按前两款规定处理。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26.7政府采购异常低价审查：</w:t>
      </w:r>
      <w:r/>
    </w:p>
    <w:p>
      <w:pPr>
        <w:pStyle w:val="6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（1）评审过程中出现下列情形之一的，评标委员会小组应当启动异常低价投标（响应）审查程序：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（2）评审委员会启动异常低价投标（响应）审查后，属于前述第</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highlight w:val="none"/>
        </w:rPr>
        <w:t xml:space="preserve">项至第</w:t>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27、无效投标条款和废标条款</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27.1 无效投标条款：</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（1）供应商未按照招标文件要求递交（上传）电子投标文件的。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（2）供应商在“苏采云”系统规定的时间内未成功解密电子投标文件的。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（3）供应商不具备招标文件中规定的资格要求的。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（5）供应商提交两个（含两个）以上不同的投标报价的。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（6）供应商的报价超过了采购预算或者最高限价的。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（8）不符合招标文件规定的实质性要求和条件的。（本招标文件中★的款项为实质性要求和条件）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（10）供应商未通过符合性审查的。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（11）投标文件含有采购人不能接受的附加条件的。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27.2 有下列情形之一的，视为供应商串通投标，投标无效：</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（1）不同供应商的投标文件由同一单位或者个人编制。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（2）不同供应商委托同一单位或者个人办理投标事宜。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（3）不同供应商的投标文件载明的项目管理成员或者联系人员为同一人。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（4）不同供应商的投标文件异常一致或者投标报价呈规律性差异。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（5）不同供应商的投标文件相互混装。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27.3 废标条款：</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（1）因“苏采云”系统故障原因造成开标不成功的。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（4）出现影响采购公正的违法、违规行为的。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（5）因重大变故，采购任务取消的。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六、定标</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28、确定中标单位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28.3 采购代理机构将在江苏政府采购网发布中标公告，公告期限为1个工作日。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（1）提供虚假材料谋取中标、成交的。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（2）采取不正当手段诋毁、排挤其他供应商的。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（4）向采购人、采购代理机构行贿或者提供其他不正当利益的。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（5）在招标采购过程中与采购人进行协商谈判的。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（6）属于本招标文件规定的无效情形，但在评标过程中又未被评委会发现的。</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29、中标通知书</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29.3 中标人应在中标后七个工作日内，向采购代理机构提供四份与电子投标文件一致的纸质打印胶装投标文件，封面、骑缝需加盖公章。</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七、授予合同</w:t>
      </w:r>
      <w:r/>
    </w:p>
    <w:p>
      <w:pPr>
        <w:pStyle w:val="897"/>
        <w:ind w:firstLine="562"/>
        <w:jc w:val="left"/>
        <w:spacing w:before="0" w:after="0" w:line="360" w:lineRule="auto"/>
        <w:rPr>
          <w:rFonts w:hint="eastAsia" w:ascii="宋体" w:hAnsi="宋体" w:eastAsia="宋体" w:cs="宋体"/>
          <w:color w:val="auto"/>
          <w:sz w:val="28"/>
          <w:szCs w:val="28"/>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30、履约保证金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36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30.5 本项目</w:t>
      </w:r>
      <w:r>
        <w:rPr>
          <w:rFonts w:hint="eastAsia" w:ascii="宋体" w:hAnsi="宋体" w:cs="宋体"/>
          <w:b/>
          <w:bCs/>
          <w:color w:val="auto"/>
          <w:sz w:val="24"/>
          <w:szCs w:val="24"/>
          <w:highlight w:val="none"/>
          <w:lang w:val="en-US" w:eastAsia="zh-CN"/>
        </w:rPr>
        <w:t xml:space="preserve">不收取</w:t>
      </w:r>
      <w:r>
        <w:rPr>
          <w:rFonts w:hint="eastAsia" w:ascii="宋体" w:hAnsi="宋体" w:eastAsia="宋体" w:cs="宋体"/>
          <w:b/>
          <w:bCs/>
          <w:color w:val="auto"/>
          <w:sz w:val="24"/>
          <w:szCs w:val="24"/>
          <w:highlight w:val="none"/>
        </w:rPr>
        <w:t xml:space="preserve">履约保证金。</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31、签订合同</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32、合同标的的追加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33、政府采购履约资金扶持政策</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八、询问与质疑</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34、询问</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35、质疑提出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（2）质疑项目的名称、编号；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（4）事实依据；</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（5）必要的法律依据；</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（6）提出质疑的日期；</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（7）必要的证明材料；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97"/>
        <w:ind w:firstLine="562"/>
        <w:jc w:val="left"/>
        <w:spacing w:before="0" w:after="0"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36、质疑函的受理和答复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36.4 以下情形的质疑依法不予受理：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（2）超出政府采购法定期限的质疑。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36.5 采购人、采购代理机构依法受理的质疑，将按照政府采购有关规定，在法定期限内作出答复。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36.6 因质疑供应商所留联系方式无效，或者无故不接收，导致质疑答复结果无法送达的，视为质疑供应商主动放弃知晓质疑答复结果的权利。</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37、质疑处理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37.1 质疑供应商未按照法定程序进行质疑投诉的，视为一般失信行为。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37.2 质疑供应商不配合或者采取不正当手段干扰政府采购质疑、投诉处理工作的，视为一般失信行为。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37.7 未尽事宜，依照有关法律、法规执行。</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九、政府采购政策功能</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38、促进中小企业发展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本项目价格扣除计算方法如下：参与报价得分计算的价格＝供应商的最后报价-小型企业、微型企业、监狱企业、残疾人福利性单位的最后报价×10%。</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38.3 参加本项目政府采购活动的供应商享受价格评审优惠的应当提供的材料： </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（1）供应商提供的货物全部由中型企业、小型企业、微型企业制造的，提供《中小企业声明函》（第六章 投标文件格式）。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38.4 享受扶持政策获得政府采购合同的，小微型企业不得将合同分包给大中型企业，中型企业不得将合同分包给大型企业。</w:t>
      </w:r>
      <w:r/>
    </w:p>
    <w:p>
      <w:pPr>
        <w:pStyle w:val="897"/>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39、政府采购中实施本国产品标准及相关政策</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sz w:val="24"/>
          <w:szCs w:val="24"/>
          <w:highlight w:val="non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40、支持绿色发展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41、政府采购需求标准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41.1 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br w:type="page" w:clear="all"/>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2" w:name="_Toc165205796"/>
      <w:r>
        <w:rPr>
          <w:rFonts w:hint="eastAsia" w:ascii="宋体" w:hAnsi="宋体" w:eastAsia="宋体" w:cs="宋体"/>
          <w:b w:val="0"/>
          <w:color w:val="auto"/>
          <w:highlight w:val="none"/>
        </w:rPr>
        <w:t xml:space="preserve">第三章  合同文本</w:t>
      </w:r>
      <w:bookmarkEnd w:id="2"/>
      <w:r/>
      <w:r/>
    </w:p>
    <w:p>
      <w:pPr>
        <w:pStyle w:val="908"/>
        <w:jc w:val="both"/>
        <w:spacing w:after="0" w:line="360" w:lineRule="auto"/>
        <w:rPr>
          <w:rFonts w:hint="eastAsia" w:ascii="宋体" w:hAnsi="宋体" w:eastAsia="宋体" w:cs="宋体"/>
          <w:b/>
          <w:bCs/>
          <w:color w:val="auto"/>
          <w:spacing w:val="-20"/>
          <w:sz w:val="48"/>
          <w:szCs w:val="48"/>
          <w:highlight w:val="none"/>
        </w:rPr>
        <w:pBdr>
          <w:top w:val="none" w:color="auto" w:sz="0" w:space="1"/>
          <w:left w:val="none" w:color="auto" w:sz="0" w:space="4"/>
          <w:bottom w:val="none" w:color="auto" w:sz="0" w:space="1"/>
          <w:right w:val="none" w:color="auto" w:sz="0" w:space="4"/>
        </w:pBdr>
      </w:pPr>
      <w:r/>
      <w:bookmarkStart w:id="3" w:name="_Toc3995"/>
      <w:r/>
      <w:r/>
    </w:p>
    <w:p>
      <w:pPr>
        <w:pStyle w:val="908"/>
        <w:jc w:val="center"/>
        <w:spacing w:after="0" w:line="360" w:lineRule="auto"/>
        <w:rPr>
          <w:rFonts w:hint="eastAsia" w:ascii="宋体" w:hAnsi="宋体" w:eastAsia="宋体" w:cs="宋体"/>
          <w:b/>
          <w:bCs/>
          <w:color w:val="auto"/>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pacing w:val="-20"/>
          <w:sz w:val="48"/>
          <w:szCs w:val="48"/>
          <w:highlight w:val="none"/>
        </w:rPr>
      </w:r>
      <w:r/>
    </w:p>
    <w:p>
      <w:pPr>
        <w:pStyle w:val="908"/>
        <w:jc w:val="center"/>
        <w:spacing w:after="0" w:line="360" w:lineRule="auto"/>
        <w:rPr>
          <w:rFonts w:hint="eastAsia" w:ascii="宋体" w:hAnsi="宋体" w:eastAsia="宋体" w:cs="宋体"/>
          <w:b/>
          <w:bCs/>
          <w:color w:val="auto"/>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pacing w:val="-20"/>
          <w:sz w:val="48"/>
          <w:szCs w:val="48"/>
          <w:highlight w:val="none"/>
        </w:rPr>
        <w:t xml:space="preserve">连云港市政府采购货物买卖合同</w:t>
      </w:r>
      <w:r/>
    </w:p>
    <w:p>
      <w:pPr>
        <w:spacing w:line="360" w:lineRule="auto"/>
        <w:rPr>
          <w:rFonts w:hint="eastAsia" w:ascii="宋体" w:hAnsi="宋体" w:eastAsia="宋体" w:cs="宋体"/>
          <w:b/>
          <w:bCs/>
          <w:color w:val="auto"/>
          <w:spacing w:val="-20"/>
          <w:sz w:val="40"/>
          <w:szCs w:val="4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pacing w:val="-20"/>
          <w:sz w:val="40"/>
          <w:szCs w:val="40"/>
          <w:highlight w:val="none"/>
        </w:rPr>
      </w:r>
      <w:r/>
    </w:p>
    <w:p>
      <w:pPr>
        <w:spacing w:line="360" w:lineRule="auto"/>
        <w:rPr>
          <w:rFonts w:hint="eastAsia" w:ascii="宋体" w:hAnsi="宋体" w:eastAsia="宋体" w:cs="宋体"/>
          <w:b/>
          <w:bCs/>
          <w:color w:val="auto"/>
          <w:spacing w:val="-20"/>
          <w:sz w:val="40"/>
          <w:szCs w:val="4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pacing w:val="-20"/>
          <w:sz w:val="40"/>
          <w:szCs w:val="40"/>
          <w:highlight w:val="none"/>
        </w:rPr>
      </w:r>
      <w:r/>
    </w:p>
    <w:p>
      <w:pPr>
        <w:spacing w:line="360" w:lineRule="auto"/>
        <w:rPr>
          <w:rFonts w:hint="eastAsia" w:ascii="宋体" w:hAnsi="宋体" w:eastAsia="宋体" w:cs="宋体"/>
          <w:b/>
          <w:bCs/>
          <w:color w:val="auto"/>
          <w:spacing w:val="-20"/>
          <w:sz w:val="40"/>
          <w:szCs w:val="4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pacing w:val="-20"/>
          <w:sz w:val="40"/>
          <w:szCs w:val="40"/>
          <w:highlight w:val="none"/>
        </w:rPr>
      </w:r>
      <w:r/>
    </w:p>
    <w:p>
      <w:pPr>
        <w:ind w:left="42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项目名称：</w:t>
      </w:r>
      <w:r/>
    </w:p>
    <w:p>
      <w:pPr>
        <w:ind w:left="420"/>
        <w:spacing w:line="360" w:lineRule="auto"/>
        <w:rPr>
          <w:rFonts w:hint="eastAsia" w:ascii="宋体" w:hAnsi="宋体" w:eastAsia="宋体" w:cs="宋体"/>
          <w:color w:val="auto"/>
          <w:sz w:val="32"/>
          <w:szCs w:val="32"/>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合同编号：</w:t>
      </w:r>
      <w:r/>
    </w:p>
    <w:p>
      <w:pPr>
        <w:ind w:left="42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甲    方：</w:t>
      </w:r>
      <w:r/>
    </w:p>
    <w:p>
      <w:pPr>
        <w:ind w:left="420"/>
        <w:spacing w:line="360" w:lineRule="auto"/>
        <w:rPr>
          <w:rFonts w:hint="eastAsia" w:ascii="宋体" w:hAnsi="宋体" w:eastAsia="宋体" w:cs="宋体"/>
          <w:color w:val="auto"/>
          <w:sz w:val="32"/>
          <w:szCs w:val="32"/>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乙    方：</w:t>
      </w:r>
      <w:r/>
    </w:p>
    <w:p>
      <w:pPr>
        <w:ind w:left="42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签订时间：</w:t>
      </w:r>
      <w:r/>
    </w:p>
    <w:p>
      <w:pPr>
        <w:jc w:val="left"/>
        <w:spacing w:line="360" w:lineRule="auto"/>
        <w:widowControl/>
        <w:rPr>
          <w:rFonts w:hint="eastAsia" w:ascii="宋体" w:hAnsi="宋体" w:eastAsia="宋体" w:cs="宋体"/>
          <w:color w:val="auto"/>
          <w:sz w:val="44"/>
          <w:szCs w:val="4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44"/>
          <w:szCs w:val="44"/>
          <w:highlight w:val="none"/>
        </w:rPr>
        <w:br w:type="page" w:clear="all"/>
      </w:r>
      <w:r/>
    </w:p>
    <w:p>
      <w:pPr>
        <w:jc w:val="center"/>
        <w:spacing w:line="360" w:lineRule="auto"/>
        <w:rPr>
          <w:rFonts w:hint="eastAsia" w:ascii="宋体" w:hAnsi="宋体" w:eastAsia="宋体" w:cs="宋体"/>
          <w:color w:val="auto"/>
          <w:sz w:val="44"/>
          <w:szCs w:val="4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44"/>
          <w:szCs w:val="44"/>
          <w:highlight w:val="none"/>
        </w:rPr>
        <w:t xml:space="preserve">使用说明</w:t>
      </w:r>
      <w:r/>
    </w:p>
    <w:p>
      <w:pPr>
        <w:ind w:firstLine="64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1.本合同标准文本适用于购买现成货物的采购项目，不包括需要供应商定制开发、创新研发的货物采购项目。</w:t>
      </w:r>
      <w:r/>
    </w:p>
    <w:p>
      <w:pPr>
        <w:ind w:firstLine="64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2.本合同标准文本为政府采购货物买卖合同编制提供参考，可以结合采购项目具体情况，对文本作必要的调整修订后使用。</w:t>
      </w:r>
      <w:r/>
    </w:p>
    <w:p>
      <w:pPr>
        <w:ind w:firstLine="64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3.本合同标准文本各条款中，如涉及填写多家供应商、制造商，多种采购标的、分包主要内容等信息的，可根据采购项目具体情况添加信息项。</w:t>
      </w:r>
      <w:bookmarkEnd w:id="3"/>
      <w:r/>
      <w:r/>
    </w:p>
    <w:p>
      <w:pPr>
        <w:jc w:val="left"/>
        <w:spacing w:line="360" w:lineRule="auto"/>
        <w:widowControl/>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bookmarkStart w:id="4" w:name="_Toc22209"/>
      <w:r>
        <w:rPr>
          <w:rFonts w:hint="eastAsia" w:ascii="宋体" w:hAnsi="宋体" w:eastAsia="宋体" w:cs="宋体"/>
          <w:b/>
          <w:bCs/>
          <w:color w:val="auto"/>
          <w:sz w:val="28"/>
          <w:szCs w:val="28"/>
          <w:highlight w:val="none"/>
        </w:rPr>
        <w:br w:type="page" w:clear="all"/>
      </w:r>
      <w:r/>
    </w:p>
    <w:p>
      <w:pPr>
        <w:pStyle w:val="896"/>
        <w:jc w:val="center"/>
        <w:spacing w:line="360" w:lineRule="auto"/>
        <w:rPr>
          <w:rFonts w:hint="eastAsia" w:ascii="宋体" w:hAnsi="宋体" w:eastAsia="宋体" w:cs="宋体"/>
          <w:b w:val="0"/>
          <w:bCs w:val="0"/>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bCs w:val="0"/>
          <w:color w:val="auto"/>
          <w:sz w:val="28"/>
          <w:szCs w:val="28"/>
          <w:highlight w:val="none"/>
        </w:rPr>
        <w:t xml:space="preserve">第一节 政府采购合同协议书</w:t>
      </w:r>
      <w:bookmarkEnd w:id="4"/>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甲方（全称）：（采购人、受采购人委托签订合同的单位或采购文件约定的合同甲方）</w:t>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乙方（全称）：（供应商）</w:t>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pStyle w:val="682"/>
        <w:ind w:left="0" w:firstLine="420"/>
        <w:spacing w:after="0"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项目信息</w:t>
      </w:r>
      <w:r/>
    </w:p>
    <w:p>
      <w:pPr>
        <w:pStyle w:val="682"/>
        <w:numPr>
          <w:ilvl w:val="0"/>
          <w:numId w:val="2"/>
        </w:numPr>
        <w:ind w:left="0" w:firstLine="420"/>
        <w:spacing w:after="0"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采购项目名称：</w:t>
      </w:r>
      <w:r>
        <w:rPr>
          <w:rFonts w:hint="eastAsia" w:ascii="宋体" w:hAnsi="宋体" w:eastAsia="宋体" w:cs="宋体"/>
          <w:color w:val="auto"/>
          <w:szCs w:val="21"/>
          <w:highlight w:val="none"/>
          <w:u w:val="single"/>
        </w:rPr>
        <w:t xml:space="preserve">                                          </w:t>
      </w:r>
      <w:r/>
    </w:p>
    <w:p>
      <w:pPr>
        <w:pStyle w:val="682"/>
        <w:numPr>
          <w:ilvl w:val="255"/>
          <w:numId w:val="0"/>
        </w:numPr>
        <w:spacing w:after="0" w:line="360" w:lineRule="auto"/>
        <w:tabs>
          <w:tab w:val="left" w:pos="999"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采购项目编号：</w:t>
      </w:r>
      <w:r>
        <w:rPr>
          <w:rFonts w:hint="eastAsia" w:ascii="宋体" w:hAnsi="宋体" w:eastAsia="宋体" w:cs="宋体"/>
          <w:color w:val="auto"/>
          <w:szCs w:val="21"/>
          <w:highlight w:val="none"/>
          <w:u w:val="single"/>
        </w:rPr>
        <w:t xml:space="preserve">                                          </w:t>
      </w:r>
      <w:r/>
    </w:p>
    <w:p>
      <w:pPr>
        <w:pStyle w:val="682"/>
        <w:ind w:left="0" w:firstLine="420"/>
        <w:spacing w:after="0"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（2）采购计划编号：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（3）项目内容：</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采购标的及数量（台/套</w:t>
      </w:r>
      <w:r>
        <w:rPr>
          <w:rFonts w:hint="eastAsia" w:ascii="宋体" w:hAnsi="宋体" w:eastAsia="宋体" w:cs="宋体"/>
          <w:color w:val="auto"/>
          <w:szCs w:val="21"/>
          <w:highlight w:val="none"/>
          <w:lang w:val="en"/>
        </w:rPr>
        <w:t xml:space="preserve">/个/架/组等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numPr>
          <w:ilvl w:val="255"/>
          <w:numId w:val="0"/>
        </w:num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en"/>
        </w:rPr>
        <w:t xml:space="preserve">     </w:t>
      </w:r>
      <w:r>
        <w:rPr>
          <w:rFonts w:hint="eastAsia" w:ascii="宋体" w:hAnsi="宋体" w:eastAsia="宋体" w:cs="宋体"/>
          <w:color w:val="auto"/>
          <w:szCs w:val="21"/>
          <w:highlight w:val="none"/>
        </w:rPr>
        <w:t xml:space="preserve">规格型号：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p>
    <w:p>
      <w:pPr>
        <w:ind w:firstLine="945"/>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采购标的的技术要求、商务要求具体见附件。</w:t>
      </w:r>
      <w:r/>
    </w:p>
    <w:p>
      <w:pPr>
        <w:numPr>
          <w:ilvl w:val="255"/>
          <w:numId w:val="0"/>
        </w:numPr>
        <w:ind w:firstLine="945"/>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①涉及信息类产品，请填写该产品关键部件的品牌、型号：</w:t>
      </w:r>
      <w:r/>
    </w:p>
    <w:p>
      <w:pPr>
        <w:numPr>
          <w:ilvl w:val="255"/>
          <w:numId w:val="0"/>
        </w:numPr>
        <w:ind w:firstLine="42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标的名称：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p>
    <w:p>
      <w:pPr>
        <w:numPr>
          <w:ilvl w:val="255"/>
          <w:numId w:val="0"/>
        </w:num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关键部件：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型号：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②涉及车辆采购，请填写是否属于新能源汽车：</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否</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）政府采购组织形式：政府集中采购  部门集中采购  分散采购</w:t>
      </w:r>
      <w:r/>
    </w:p>
    <w:p>
      <w:pPr>
        <w:pStyle w:val="927"/>
        <w:numPr>
          <w:ilvl w:val="255"/>
          <w:numId w:val="0"/>
        </w:numPr>
        <w:ind w:firstLine="4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）政府采购方式：公开招标 邀请招标 竞争性谈判 竞争性磋商</w:t>
      </w:r>
      <w:r/>
    </w:p>
    <w:p>
      <w:pPr>
        <w:pStyle w:val="927"/>
        <w:numPr>
          <w:ilvl w:val="255"/>
          <w:numId w:val="0"/>
        </w:numPr>
        <w:ind w:firstLine="420"/>
        <w:spacing w:line="360" w:lineRule="auto"/>
        <w:rPr>
          <w:rFonts w:hint="eastAsia" w:ascii="宋体" w:hAnsi="宋体" w:eastAsia="宋体" w:cs="宋体"/>
          <w:color w:val="auto"/>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                  </w:t>
      </w:r>
      <w:r>
        <w:rPr>
          <w:rFonts w:hint="eastAsia" w:ascii="宋体" w:hAnsi="宋体" w:eastAsia="宋体" w:cs="宋体"/>
          <w:color w:val="auto"/>
          <w:sz w:val="21"/>
          <w:highlight w:val="none"/>
        </w:rPr>
        <w:t xml:space="preserve">询价 单一来源 框架协议 其他：</w:t>
      </w:r>
      <w:r>
        <w:rPr>
          <w:rFonts w:hint="eastAsia" w:ascii="宋体" w:hAnsi="宋体" w:eastAsia="宋体" w:cs="宋体"/>
          <w:color w:val="auto"/>
          <w:sz w:val="21"/>
          <w:highlight w:val="none"/>
          <w:u w:val="single"/>
        </w:rPr>
        <w:t xml:space="preserve">          </w:t>
      </w:r>
      <w:r/>
    </w:p>
    <w:p>
      <w:pPr>
        <w:pStyle w:val="927"/>
        <w:numPr>
          <w:ilvl w:val="255"/>
          <w:numId w:val="0"/>
        </w:numPr>
        <w:ind w:firstLine="4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（注：在框架协议采购的第二阶段，可选择使用该合同文本）</w:t>
      </w:r>
      <w:r/>
    </w:p>
    <w:p>
      <w:pPr>
        <w:pStyle w:val="927"/>
        <w:numPr>
          <w:ilvl w:val="255"/>
          <w:numId w:val="0"/>
        </w:numPr>
        <w:ind w:firstLine="2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
        </w:rPr>
        <w:t xml:space="preserve">6</w:t>
      </w:r>
      <w:r>
        <w:rPr>
          <w:rFonts w:hint="eastAsia" w:ascii="宋体" w:hAnsi="宋体" w:eastAsia="宋体" w:cs="宋体"/>
          <w:color w:val="auto"/>
          <w:highlight w:val="none"/>
        </w:rPr>
        <w:t xml:space="preserve">）</w:t>
      </w:r>
      <w:r>
        <w:rPr>
          <w:rFonts w:hint="eastAsia" w:ascii="宋体" w:hAnsi="宋体" w:eastAsia="宋体" w:cs="宋体"/>
          <w:color w:val="auto"/>
          <w:sz w:val="21"/>
          <w:highlight w:val="none"/>
        </w:rPr>
        <w:t xml:space="preserve">中标（成交）采购标的制造商是否为中小企业：是      否</w:t>
      </w:r>
      <w:r/>
    </w:p>
    <w:p>
      <w:pPr>
        <w:numPr>
          <w:ilvl w:val="255"/>
          <w:numId w:val="0"/>
        </w:numPr>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本合同是否为专门面向中小企业的采购合同（中小企业预留合同）：</w:t>
      </w:r>
      <w:r>
        <w:rPr>
          <w:rFonts w:hint="eastAsia" w:ascii="宋体" w:hAnsi="宋体" w:eastAsia="宋体" w:cs="宋体"/>
          <w:iCs/>
          <w:color w:val="auto"/>
          <w:szCs w:val="21"/>
          <w:highlight w:val="none"/>
        </w:rPr>
        <w:t xml:space="preserve">是    否</w:t>
      </w:r>
      <w:r/>
    </w:p>
    <w:p>
      <w:pPr>
        <w:numPr>
          <w:ilvl w:val="255"/>
          <w:numId w:val="0"/>
        </w:numPr>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         若本项目不专门面向中小企业采购，是否给予小微企业评审优惠：</w:t>
      </w:r>
      <w:r>
        <w:rPr>
          <w:rFonts w:hint="eastAsia" w:ascii="宋体" w:hAnsi="宋体" w:eastAsia="宋体" w:cs="宋体"/>
          <w:iCs/>
          <w:color w:val="auto"/>
          <w:szCs w:val="21"/>
          <w:highlight w:val="none"/>
        </w:rPr>
        <w:t xml:space="preserve">是   否</w:t>
      </w:r>
      <w:r/>
    </w:p>
    <w:p>
      <w:pPr>
        <w:numPr>
          <w:ilvl w:val="255"/>
          <w:numId w:val="0"/>
        </w:numPr>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         中标（成交）采购标的制造商是否为残疾人福利性单位：</w:t>
      </w:r>
      <w:r>
        <w:rPr>
          <w:rFonts w:hint="eastAsia" w:ascii="宋体" w:hAnsi="宋体" w:eastAsia="宋体" w:cs="宋体"/>
          <w:iCs/>
          <w:color w:val="auto"/>
          <w:szCs w:val="21"/>
          <w:highlight w:val="none"/>
        </w:rPr>
        <w:t xml:space="preserve">是   否</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         中标（成交）采购标的制造商是否为监狱企业：</w:t>
      </w:r>
      <w:r>
        <w:rPr>
          <w:rFonts w:hint="eastAsia" w:ascii="宋体" w:hAnsi="宋体" w:eastAsia="宋体" w:cs="宋体"/>
          <w:iCs/>
          <w:color w:val="auto"/>
          <w:szCs w:val="21"/>
          <w:highlight w:val="none"/>
        </w:rPr>
        <w:t xml:space="preserve">是       否</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
        </w:rPr>
        <w:t xml:space="preserve">7</w:t>
      </w:r>
      <w:r>
        <w:rPr>
          <w:rFonts w:hint="eastAsia" w:ascii="宋体" w:hAnsi="宋体" w:eastAsia="宋体" w:cs="宋体"/>
          <w:color w:val="auto"/>
          <w:szCs w:val="21"/>
          <w:highlight w:val="none"/>
        </w:rPr>
        <w:t xml:space="preserve">）合同是否分包：</w:t>
      </w:r>
      <w:r>
        <w:rPr>
          <w:rFonts w:hint="eastAsia" w:ascii="宋体" w:hAnsi="宋体" w:eastAsia="宋体" w:cs="宋体"/>
          <w:iCs/>
          <w:color w:val="auto"/>
          <w:szCs w:val="21"/>
          <w:highlight w:val="none"/>
        </w:rPr>
        <w:t xml:space="preserve">是       否</w:t>
      </w:r>
      <w:r/>
    </w:p>
    <w:p>
      <w:pPr>
        <w:ind w:firstLine="84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分包主要内容：</w:t>
      </w:r>
      <w:r>
        <w:rPr>
          <w:rFonts w:hint="eastAsia" w:ascii="宋体" w:hAnsi="宋体" w:eastAsia="宋体" w:cs="宋体"/>
          <w:color w:val="auto"/>
          <w:szCs w:val="21"/>
          <w:highlight w:val="none"/>
          <w:u w:val="single"/>
        </w:rPr>
        <w:t xml:space="preserve">                                            </w:t>
      </w:r>
      <w:r/>
    </w:p>
    <w:p>
      <w:pPr>
        <w:ind w:firstLine="84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分包供应商/制造商名称（如供应商和制造商不同，请分别填写）：</w:t>
      </w:r>
      <w:r/>
    </w:p>
    <w:p>
      <w:pPr>
        <w:ind w:firstLine="84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p>
    <w:p>
      <w:pPr>
        <w:ind w:firstLine="84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分包供应商/制造商类型（如果供应商和制造商不同，只填写制造商类型）：</w:t>
      </w:r>
      <w:r/>
    </w:p>
    <w:p>
      <w:pPr>
        <w:ind w:firstLine="840"/>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大型企业  中型企业  小微型企业  </w:t>
      </w:r>
      <w:r/>
    </w:p>
    <w:p>
      <w:pPr>
        <w:ind w:firstLine="84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残疾人福利性单位 监狱企业 其他</w:t>
      </w:r>
      <w:r/>
    </w:p>
    <w:p>
      <w:pPr>
        <w:numPr>
          <w:ilvl w:val="255"/>
          <w:numId w:val="0"/>
        </w:numPr>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
        </w:rPr>
        <w:t xml:space="preserve">8</w:t>
      </w:r>
      <w:r>
        <w:rPr>
          <w:rFonts w:hint="eastAsia" w:ascii="宋体" w:hAnsi="宋体" w:eastAsia="宋体" w:cs="宋体"/>
          <w:color w:val="auto"/>
          <w:szCs w:val="21"/>
          <w:highlight w:val="none"/>
        </w:rPr>
        <w:t xml:space="preserve">）中标（成交）供应商是否为外商投资企业：</w:t>
      </w:r>
      <w:r>
        <w:rPr>
          <w:rFonts w:hint="eastAsia" w:ascii="宋体" w:hAnsi="宋体" w:eastAsia="宋体" w:cs="宋体"/>
          <w:iCs/>
          <w:color w:val="auto"/>
          <w:szCs w:val="21"/>
          <w:highlight w:val="none"/>
        </w:rPr>
        <w:t xml:space="preserve">是       否</w:t>
      </w:r>
      <w:r/>
    </w:p>
    <w:p>
      <w:pPr>
        <w:pStyle w:val="927"/>
        <w:spacing w:line="360" w:lineRule="auto"/>
        <w:tabs>
          <w:tab w:val="left" w:pos="1340" w:leader="none"/>
        </w:tabs>
        <w:rPr>
          <w:rFonts w:hint="eastAsia" w:ascii="宋体" w:hAnsi="宋体" w:eastAsia="宋体" w:cs="宋体"/>
          <w:color w:val="auto"/>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外商投资企业类型：</w:t>
      </w:r>
      <w:r>
        <w:rPr>
          <w:rFonts w:hint="eastAsia" w:ascii="宋体" w:hAnsi="宋体" w:eastAsia="宋体" w:cs="宋体"/>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hint="eastAsia" w:ascii="宋体" w:hAnsi="宋体" w:eastAsia="宋体" w:cs="宋体"/>
          <w:iCs/>
          <w:color w:val="auto"/>
          <w:sz w:val="21"/>
          <w:highlight w:val="none"/>
        </w:rPr>
        <w:t xml:space="preserve">部分由外国投资者投资</w:t>
      </w:r>
      <w:r/>
    </w:p>
    <w:p>
      <w:pPr>
        <w:numPr>
          <w:ilvl w:val="255"/>
          <w:numId w:val="0"/>
        </w:num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
        </w:rPr>
        <w:t xml:space="preserve">9</w:t>
      </w:r>
      <w:r>
        <w:rPr>
          <w:rFonts w:hint="eastAsia" w:ascii="宋体" w:hAnsi="宋体" w:eastAsia="宋体" w:cs="宋体"/>
          <w:color w:val="auto"/>
          <w:szCs w:val="21"/>
          <w:highlight w:val="none"/>
        </w:rPr>
        <w:t xml:space="preserve">）是否涉及进口产品：</w:t>
      </w:r>
      <w:r/>
    </w:p>
    <w:p>
      <w:pPr>
        <w:numPr>
          <w:ilvl w:val="255"/>
          <w:numId w:val="0"/>
        </w:numPr>
        <w:ind w:firstLine="84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是，《政府采购品目分类目录》底级品目名称：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金额：</w:t>
      </w:r>
      <w:r>
        <w:rPr>
          <w:rFonts w:hint="eastAsia" w:ascii="宋体" w:hAnsi="宋体" w:eastAsia="宋体" w:cs="宋体"/>
          <w:color w:val="auto"/>
          <w:szCs w:val="21"/>
          <w:highlight w:val="none"/>
          <w:u w:val="single"/>
        </w:rPr>
        <w:t xml:space="preserve">        </w:t>
      </w:r>
      <w:r/>
    </w:p>
    <w:p>
      <w:pPr>
        <w:numPr>
          <w:ilvl w:val="255"/>
          <w:numId w:val="0"/>
        </w:numPr>
        <w:ind w:firstLine="84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国别：</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规格型号：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84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否</w:t>
      </w:r>
      <w:r/>
    </w:p>
    <w:p>
      <w:pPr>
        <w:numPr>
          <w:ilvl w:val="255"/>
          <w:numId w:val="0"/>
        </w:numPr>
        <w:spacing w:line="360" w:lineRule="auto"/>
        <w:tabs>
          <w:tab w:val="left" w:pos="740"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（1</w:t>
      </w:r>
      <w:r>
        <w:rPr>
          <w:rFonts w:hint="eastAsia" w:ascii="宋体" w:hAnsi="宋体" w:eastAsia="宋体" w:cs="宋体"/>
          <w:color w:val="auto"/>
          <w:szCs w:val="21"/>
          <w:highlight w:val="none"/>
          <w:lang w:val="en"/>
        </w:rPr>
        <w:t xml:space="preserve">0</w:t>
      </w:r>
      <w:r>
        <w:rPr>
          <w:rFonts w:hint="eastAsia" w:ascii="宋体" w:hAnsi="宋体" w:eastAsia="宋体" w:cs="宋体"/>
          <w:color w:val="auto"/>
          <w:szCs w:val="21"/>
          <w:highlight w:val="none"/>
        </w:rPr>
        <w:t xml:space="preserve">）是否涉及节能产品：</w:t>
      </w:r>
      <w:r/>
    </w:p>
    <w:p>
      <w:pPr>
        <w:numPr>
          <w:ilvl w:val="255"/>
          <w:numId w:val="0"/>
        </w:numPr>
        <w:spacing w:line="360" w:lineRule="auto"/>
        <w:tabs>
          <w:tab w:val="left" w:pos="740" w:leader="none"/>
        </w:tabs>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是，《节能产品政府采购品目清单》的底级品目名称：</w:t>
      </w:r>
      <w:r>
        <w:rPr>
          <w:rFonts w:hint="eastAsia" w:ascii="宋体" w:hAnsi="宋体" w:eastAsia="宋体" w:cs="宋体"/>
          <w:color w:val="auto"/>
          <w:szCs w:val="21"/>
          <w:highlight w:val="none"/>
          <w:u w:val="single"/>
        </w:rPr>
        <w:t xml:space="preserve">         </w:t>
      </w:r>
      <w:r>
        <w:rPr>
          <w:rFonts w:hint="eastAsia" w:ascii="宋体" w:hAnsi="宋体" w:eastAsia="宋体" w:cs="宋体"/>
          <w:iCs/>
          <w:color w:val="auto"/>
          <w:szCs w:val="21"/>
          <w:highlight w:val="none"/>
        </w:rPr>
        <w:t xml:space="preserve">     </w:t>
      </w:r>
      <w:r/>
    </w:p>
    <w:p>
      <w:pPr>
        <w:numPr>
          <w:ilvl w:val="255"/>
          <w:numId w:val="0"/>
        </w:numPr>
        <w:spacing w:line="360" w:lineRule="auto"/>
        <w:tabs>
          <w:tab w:val="left" w:pos="740" w:leader="none"/>
        </w:tabs>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强制采购       优先采购    </w:t>
      </w:r>
      <w:r/>
    </w:p>
    <w:p>
      <w:pPr>
        <w:numPr>
          <w:ilvl w:val="255"/>
          <w:numId w:val="0"/>
        </w:numPr>
        <w:spacing w:line="360" w:lineRule="auto"/>
        <w:tabs>
          <w:tab w:val="left" w:pos="740"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w:t>
      </w:r>
      <w:r>
        <w:rPr>
          <w:rFonts w:hint="eastAsia" w:ascii="宋体" w:hAnsi="宋体" w:eastAsia="宋体" w:cs="宋体"/>
          <w:color w:val="auto"/>
          <w:szCs w:val="21"/>
          <w:highlight w:val="none"/>
        </w:rPr>
        <w:t xml:space="preserve">否</w:t>
      </w:r>
      <w:r/>
    </w:p>
    <w:p>
      <w:pPr>
        <w:numPr>
          <w:ilvl w:val="255"/>
          <w:numId w:val="0"/>
        </w:numPr>
        <w:spacing w:line="360" w:lineRule="auto"/>
        <w:tabs>
          <w:tab w:val="left" w:pos="740"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是否涉及环境标志产品：</w:t>
      </w:r>
      <w:r/>
    </w:p>
    <w:p>
      <w:pPr>
        <w:numPr>
          <w:ilvl w:val="255"/>
          <w:numId w:val="0"/>
        </w:numPr>
        <w:spacing w:line="360" w:lineRule="auto"/>
        <w:tabs>
          <w:tab w:val="left" w:pos="740"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是，《环境标志产品政府采购品目清单》的底级品目名称：</w:t>
      </w:r>
      <w:r>
        <w:rPr>
          <w:rFonts w:hint="eastAsia" w:ascii="宋体" w:hAnsi="宋体" w:eastAsia="宋体" w:cs="宋体"/>
          <w:color w:val="auto"/>
          <w:szCs w:val="21"/>
          <w:highlight w:val="none"/>
          <w:u w:val="single"/>
        </w:rPr>
        <w:t xml:space="preserve">         </w:t>
      </w:r>
      <w:r>
        <w:rPr>
          <w:rFonts w:hint="eastAsia" w:ascii="宋体" w:hAnsi="宋体" w:eastAsia="宋体" w:cs="宋体"/>
          <w:iCs/>
          <w:color w:val="auto"/>
          <w:szCs w:val="21"/>
          <w:highlight w:val="none"/>
        </w:rPr>
        <w:t xml:space="preserve"> </w:t>
      </w:r>
      <w:r/>
    </w:p>
    <w:p>
      <w:pPr>
        <w:numPr>
          <w:ilvl w:val="255"/>
          <w:numId w:val="0"/>
        </w:numPr>
        <w:spacing w:line="360" w:lineRule="auto"/>
        <w:tabs>
          <w:tab w:val="left" w:pos="740" w:leader="none"/>
        </w:tabs>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强制采购       优先采购    </w:t>
      </w:r>
      <w:r/>
    </w:p>
    <w:p>
      <w:pPr>
        <w:numPr>
          <w:ilvl w:val="255"/>
          <w:numId w:val="0"/>
        </w:numPr>
        <w:spacing w:line="360" w:lineRule="auto"/>
        <w:tabs>
          <w:tab w:val="left" w:pos="740"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w:t>
      </w:r>
      <w:r>
        <w:rPr>
          <w:rFonts w:hint="eastAsia" w:ascii="宋体" w:hAnsi="宋体" w:eastAsia="宋体" w:cs="宋体"/>
          <w:color w:val="auto"/>
          <w:szCs w:val="21"/>
          <w:highlight w:val="none"/>
        </w:rPr>
        <w:t xml:space="preserve">否</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是否涉及绿色产品： </w:t>
      </w:r>
      <w:r/>
    </w:p>
    <w:p>
      <w:pPr>
        <w:pStyle w:val="927"/>
        <w:ind w:firstLine="420"/>
        <w:spacing w:line="360" w:lineRule="auto"/>
        <w:rPr>
          <w:rFonts w:hint="eastAsia" w:ascii="宋体" w:hAnsi="宋体" w:eastAsia="宋体" w:cs="宋体"/>
          <w:color w:val="auto"/>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是，绿色产品政府采购相关政策确定的底级品目名称：</w:t>
      </w:r>
      <w:r>
        <w:rPr>
          <w:rFonts w:hint="eastAsia" w:ascii="宋体" w:hAnsi="宋体" w:eastAsia="宋体" w:cs="宋体"/>
          <w:color w:val="auto"/>
          <w:highlight w:val="none"/>
          <w:u w:val="single"/>
        </w:rPr>
        <w:t xml:space="preserve">         </w:t>
      </w:r>
      <w:r/>
    </w:p>
    <w:p>
      <w:pPr>
        <w:numPr>
          <w:ilvl w:val="255"/>
          <w:numId w:val="0"/>
        </w:numPr>
        <w:spacing w:line="360" w:lineRule="auto"/>
        <w:tabs>
          <w:tab w:val="left" w:pos="740" w:leader="none"/>
        </w:tabs>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强制采购       优先采购    </w:t>
      </w:r>
      <w:r/>
    </w:p>
    <w:p>
      <w:pPr>
        <w:pStyle w:val="927"/>
        <w:ind w:firstLine="4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否</w:t>
      </w:r>
      <w:r/>
    </w:p>
    <w:p>
      <w:pPr>
        <w:numPr>
          <w:ilvl w:val="255"/>
          <w:numId w:val="0"/>
        </w:num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（1</w:t>
      </w:r>
      <w:r>
        <w:rPr>
          <w:rFonts w:hint="eastAsia" w:ascii="宋体" w:hAnsi="宋体" w:eastAsia="宋体" w:cs="宋体"/>
          <w:color w:val="auto"/>
          <w:szCs w:val="21"/>
          <w:highlight w:val="none"/>
          <w:lang w:val="en"/>
        </w:rPr>
        <w:t xml:space="preserve">1</w:t>
      </w:r>
      <w:r>
        <w:rPr>
          <w:rFonts w:hint="eastAsia" w:ascii="宋体" w:hAnsi="宋体" w:eastAsia="宋体" w:cs="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是       否      不涉及</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合同金额</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大写：</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分包金额（如有）小写：</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大写：</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（注：固定单价合同应填写单价和最高限价）</w:t>
      </w:r>
      <w:r/>
    </w:p>
    <w:p>
      <w:pPr>
        <w:numPr>
          <w:ilvl w:val="255"/>
          <w:numId w:val="0"/>
        </w:num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（2）合同定价方式（采用组合定价方式的，可以勾选多项）：</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固定总价 固定单价 固定费率 成本补偿 绩效激励 其他</w:t>
      </w:r>
      <w:r>
        <w:rPr>
          <w:rFonts w:hint="eastAsia" w:ascii="宋体" w:hAnsi="宋体" w:eastAsia="宋体" w:cs="宋体"/>
          <w:color w:val="auto"/>
          <w:szCs w:val="21"/>
          <w:highlight w:val="none"/>
          <w:u w:val="single"/>
        </w:rPr>
        <w:t xml:space="preserve">       </w:t>
      </w:r>
      <w:r/>
    </w:p>
    <w:p>
      <w:pPr>
        <w:pStyle w:val="928"/>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（3）付款方式（按项目实际勾选填写）：</w:t>
      </w:r>
      <w:r/>
    </w:p>
    <w:p>
      <w:pPr>
        <w:ind w:firstLine="63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（应明确一次性支付合同款项的条件）                    </w:t>
      </w:r>
      <w:r/>
    </w:p>
    <w:p>
      <w:pPr>
        <w:ind w:firstLine="63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（应明确分期支付合同款项的各期比例和支付条件，各期支付条件应与分期履约验收情况挂钩） </w:t>
      </w:r>
      <w:r>
        <w:rPr>
          <w:rFonts w:hint="eastAsia" w:ascii="宋体" w:hAnsi="宋体" w:eastAsia="宋体" w:cs="宋体"/>
          <w:color w:val="auto"/>
          <w:szCs w:val="21"/>
          <w:highlight w:val="none"/>
        </w:rPr>
        <w:t xml:space="preserve">，其中涉及预付款的：</w:t>
      </w:r>
      <w:r>
        <w:rPr>
          <w:rFonts w:hint="eastAsia" w:ascii="宋体" w:hAnsi="宋体" w:eastAsia="宋体" w:cs="宋体"/>
          <w:color w:val="auto"/>
          <w:szCs w:val="21"/>
          <w:highlight w:val="none"/>
          <w:u w:val="single"/>
        </w:rPr>
        <w:t xml:space="preserve"> （应明确预付款的支付比例和支付条件） </w:t>
      </w:r>
      <w:r/>
    </w:p>
    <w:p>
      <w:pPr>
        <w:ind w:firstLine="63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1"/>
        </w:numPr>
        <w:ind w:firstLine="422"/>
        <w:spacing w:line="360" w:lineRule="auto"/>
        <w:rPr>
          <w:rFonts w:hint="eastAsia" w:ascii="宋体" w:hAnsi="宋体" w:eastAsia="宋体" w:cs="宋体"/>
          <w:b/>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合同履行</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（2）履约地点</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highlight w:val="none"/>
        </w:rPr>
        <w:t xml:space="preserve">是否收取履约保证金：</w:t>
      </w:r>
      <w:r>
        <w:rPr>
          <w:rFonts w:hint="eastAsia" w:ascii="宋体" w:hAnsi="宋体" w:eastAsia="宋体" w:cs="宋体"/>
          <w:color w:val="auto"/>
          <w:szCs w:val="21"/>
          <w:highlight w:val="none"/>
        </w:rPr>
        <w:t xml:space="preserve">是    否</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                            </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w:t>
      </w:r>
      <w:r/>
    </w:p>
    <w:p>
      <w:pPr>
        <w:ind w:firstLine="42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履约担保期限：</w:t>
      </w:r>
      <w:r>
        <w:rPr>
          <w:rFonts w:hint="eastAsia" w:ascii="宋体" w:hAnsi="宋体" w:eastAsia="宋体" w:cs="宋体"/>
          <w:bCs/>
          <w:color w:val="auto"/>
          <w:szCs w:val="21"/>
          <w:highlight w:val="none"/>
          <w:u w:val="single"/>
        </w:rPr>
        <w:t xml:space="preserve">                                  </w:t>
      </w:r>
      <w:r/>
    </w:p>
    <w:p>
      <w:pPr>
        <w:ind w:firstLine="42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（5）风险处置措施和替代方案：</w:t>
      </w:r>
      <w:r>
        <w:rPr>
          <w:rFonts w:hint="eastAsia" w:ascii="宋体" w:hAnsi="宋体" w:eastAsia="宋体" w:cs="宋体"/>
          <w:color w:val="auto"/>
          <w:szCs w:val="21"/>
          <w:highlight w:val="none"/>
          <w:u w:val="single"/>
        </w:rPr>
        <w:t xml:space="preserve">                                                               </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合同验收</w:t>
      </w:r>
      <w:r/>
    </w:p>
    <w:p>
      <w:pPr>
        <w:numPr>
          <w:ilvl w:val="0"/>
          <w:numId w:val="3"/>
        </w:numPr>
        <w:ind w:firstLine="42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验收组织方式：</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自行组织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委托第三方组织</w:t>
      </w:r>
      <w:r/>
    </w:p>
    <w:p>
      <w:pPr>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验收主体：</w:t>
      </w:r>
      <w:r>
        <w:rPr>
          <w:rFonts w:hint="eastAsia" w:ascii="宋体" w:hAnsi="宋体" w:eastAsia="宋体" w:cs="宋体"/>
          <w:bCs/>
          <w:color w:val="auto"/>
          <w:szCs w:val="21"/>
          <w:highlight w:val="none"/>
          <w:u w:val="single"/>
        </w:rPr>
        <w:t xml:space="preserve">                  </w:t>
      </w:r>
      <w:r/>
    </w:p>
    <w:p>
      <w:pPr>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是否邀请本项目的其他供应商参加验收：</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是否邀请专家参加验收：</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是否邀请服务对象参加验收：</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是否邀请第三方检测机构参加验收：</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是否进行抽查检测：</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是否存在破坏性检测：</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u w:val="single"/>
        </w:rPr>
        <w:t xml:space="preserve">（应明确对被破坏的检测产品的处理方式）</w:t>
      </w:r>
      <w:r/>
    </w:p>
    <w:p>
      <w:pPr>
        <w:ind w:firstLine="84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（计划于何时验收/供应商提出验收申请之日起   日内组织验收） </w:t>
      </w:r>
      <w:r/>
    </w:p>
    <w:p>
      <w:pPr>
        <w:ind w:firstLine="42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（3）履约验收方式：</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一次性验收         </w:t>
      </w:r>
      <w:r/>
    </w:p>
    <w:p>
      <w:pPr>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u w:val="single"/>
        </w:rPr>
        <w:t xml:space="preserve"> （应明确分期</w:t>
      </w:r>
      <w:r>
        <w:rPr>
          <w:rFonts w:hint="eastAsia" w:ascii="宋体" w:hAnsi="宋体" w:eastAsia="宋体" w:cs="宋体"/>
          <w:bCs/>
          <w:color w:val="auto"/>
          <w:szCs w:val="21"/>
          <w:highlight w:val="none"/>
          <w:u w:val="single"/>
          <w:lang w:val="en"/>
        </w:rPr>
        <w:t xml:space="preserve">/分项验收的工作安排</w:t>
      </w:r>
      <w:r>
        <w:rPr>
          <w:rFonts w:hint="eastAsia" w:ascii="宋体" w:hAnsi="宋体" w:eastAsia="宋体" w:cs="宋体"/>
          <w:bCs/>
          <w:color w:val="auto"/>
          <w:szCs w:val="21"/>
          <w:highlight w:val="none"/>
          <w:u w:val="single"/>
        </w:rPr>
        <w:t xml:space="preserve">）  </w:t>
      </w:r>
      <w:r/>
    </w:p>
    <w:p>
      <w:pPr>
        <w:ind w:firstLine="42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1"/>
          <w:highlight w:val="none"/>
        </w:rPr>
        <w:t xml:space="preserve">（7）是否以采购活动中供应商提供的样品作为参考：</w:t>
      </w:r>
      <w:r>
        <w:rPr>
          <w:rFonts w:hint="eastAsia" w:ascii="宋体" w:hAnsi="宋体" w:eastAsia="宋体" w:cs="宋体"/>
          <w:color w:val="auto"/>
          <w:sz w:val="21"/>
          <w:highlight w:val="none"/>
        </w:rPr>
        <w:t xml:space="preserve"></w:t>
      </w:r>
      <w:r>
        <w:rPr>
          <w:rFonts w:hint="eastAsia" w:ascii="宋体" w:hAnsi="宋体" w:eastAsia="宋体" w:cs="宋体"/>
          <w:bCs/>
          <w:color w:val="auto"/>
          <w:sz w:val="21"/>
          <w:highlight w:val="none"/>
        </w:rPr>
        <w:t xml:space="preserve">是  </w:t>
      </w:r>
      <w:r>
        <w:rPr>
          <w:rFonts w:hint="eastAsia" w:ascii="宋体" w:hAnsi="宋体" w:eastAsia="宋体" w:cs="宋体"/>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（产权过户登记等）          </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组成合同的文件</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（1）政府采购合同协议书及其变更、补充协议</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（2）政府采购合同专用条款</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（3）政府采购合同通用条款</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（4）中标（成交）通知书</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（5）投标（响应）文件</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（6）采购文件</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（7）有关技术文件，图纸</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合同生效</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合同份数</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份，甲方执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份，乙方执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附件：具体标的及其技术要求和商务要求、联合协议、分包意向协议等。</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br w:type="page" w:clear="all"/>
      </w:r>
      <w:r/>
    </w:p>
    <w:p>
      <w:pPr>
        <w:pStyle w:val="928"/>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tbl>
      <w:tblPr>
        <w:tblStyle w:val="67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6"/>
        <w:gridCol w:w="2725"/>
        <w:gridCol w:w="2236"/>
        <w:gridCol w:w="2390"/>
      </w:tblGrid>
      <w:tr>
        <w:trPr>
          <w:jc w:val="center"/>
          <w:trHeight w:val="490"/>
        </w:trPr>
        <w:tc>
          <w:tcPr>
            <w:gridSpan w:val="2"/>
            <w:tcW w:w="4303" w:type="dxa"/>
            <w:vAlign w:val="center"/>
            <w:textDirection w:val="lrTb"/>
            <w:noWrap w:val="false"/>
          </w:tcPr>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乙方（供应商）</w:t>
            </w:r>
            <w:r/>
          </w:p>
        </w:tc>
      </w:tr>
      <w:tr>
        <w:trPr>
          <w:jc w:val="center"/>
          <w:trHeight w:val="917"/>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单位名称（公章或合同章）</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单位名称（公章或合同章）</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1171"/>
        </w:trPr>
        <w:tc>
          <w:tcPr>
            <w:tcW w:w="189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法定代表人</w:t>
            </w:r>
            <w:r/>
          </w:p>
          <w:p>
            <w:pPr>
              <w:ind w:firstLine="100"/>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或其委托代理人（签章）</w:t>
            </w:r>
            <w:r/>
          </w:p>
        </w:tc>
        <w:tc>
          <w:tcPr>
            <w:tcW w:w="2412"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法定代表人</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或其委托代理人（签章）</w:t>
            </w:r>
            <w:r/>
          </w:p>
        </w:tc>
        <w:tc>
          <w:tcPr>
            <w:tcW w:w="2116"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r>
      <w:tr>
        <w:trPr>
          <w:jc w:val="center"/>
          <w:trHeight w:val="483"/>
        </w:trPr>
        <w:tc>
          <w:tcPr>
            <w:tcW w:w="189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2412"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拥有者性别</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住所</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住所</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联 系 人</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联 系 人</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联系电话</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联系电话</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通信地址</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通信地址</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邮政编码</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邮政编码</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电子邮箱</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电子邮箱</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统一社会信用代码</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统一社会信用代码</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gridSpan w:val="2"/>
            <w:tcW w:w="4303"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开户名称</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开户银行</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银行账号</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586"/>
        </w:trPr>
        <w:tc>
          <w:tcPr>
            <w:gridSpan w:val="4"/>
            <w:tcW w:w="8398" w:type="dxa"/>
            <w:vAlign w:val="center"/>
            <w:textDirection w:val="lrTb"/>
            <w:noWrap w:val="false"/>
          </w:tcPr>
          <w:p>
            <w:pPr>
              <w:pStyle w:val="910"/>
              <w:ind w:left="0"/>
              <w:jc w:val="left"/>
              <w:spacing w:after="0"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注：涉及联合体或其他合同主体的信息应按上表格式加列。</w:t>
            </w:r>
            <w:r/>
          </w:p>
        </w:tc>
      </w:tr>
    </w:tbl>
    <w:p>
      <w:pPr>
        <w:pStyle w:val="896"/>
        <w:jc w:val="center"/>
        <w:spacing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u w:val="single"/>
        </w:rPr>
        <w:br w:type="page" w:clear="all"/>
      </w:r>
      <w:bookmarkStart w:id="5" w:name="_Toc27624"/>
      <w:r>
        <w:rPr>
          <w:rFonts w:hint="eastAsia" w:ascii="宋体" w:hAnsi="宋体" w:eastAsia="宋体" w:cs="宋体"/>
          <w:b w:val="0"/>
          <w:bCs w:val="0"/>
          <w:color w:val="auto"/>
          <w:sz w:val="28"/>
          <w:szCs w:val="28"/>
          <w:highlight w:val="none"/>
        </w:rPr>
        <w:t xml:space="preserve">第二节 政府采购合同通用条款</w:t>
      </w:r>
      <w:bookmarkEnd w:id="5"/>
      <w:r/>
      <w:r/>
    </w:p>
    <w:p>
      <w:pPr>
        <w:jc w:val="left"/>
        <w:spacing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1.</w:t>
      </w:r>
      <w:r>
        <w:rPr>
          <w:rFonts w:hint="eastAsia" w:ascii="宋体" w:hAnsi="宋体" w:eastAsia="宋体" w:cs="宋体"/>
          <w:b/>
          <w:bCs/>
          <w:color w:val="auto"/>
          <w:sz w:val="24"/>
          <w:highlight w:val="none"/>
        </w:rPr>
        <w:t xml:space="preserve">定义</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1.1 合同当事人</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line="360" w:lineRule="auto"/>
        <w:tabs>
          <w:tab w:val="left" w:pos="570" w:leader="none"/>
          <w:tab w:val="left" w:pos="9240" w:leader="none"/>
          <w:tab w:val="left" w:pos="9555"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1.2 本合同下列术语应解释为：</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360" w:lineRule="auto"/>
        <w:tabs>
          <w:tab w:val="left" w:pos="570" w:leader="none"/>
          <w:tab w:val="left" w:pos="9240" w:leader="none"/>
          <w:tab w:val="left" w:pos="9555"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tabs>
          <w:tab w:val="left" w:pos="570" w:leader="none"/>
          <w:tab w:val="left" w:pos="9240" w:leader="none"/>
          <w:tab w:val="left" w:pos="9555"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spacing w:line="360" w:lineRule="auto"/>
        <w:tabs>
          <w:tab w:val="left" w:pos="570" w:leader="none"/>
          <w:tab w:val="left" w:pos="9240" w:leader="none"/>
          <w:tab w:val="left" w:pos="9555"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4"/>
        </w:num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合同标的及金额</w:t>
      </w:r>
      <w:r/>
    </w:p>
    <w:p>
      <w:pPr>
        <w:ind w:firstLine="420"/>
        <w:jc w:val="left"/>
        <w:spacing w:line="360" w:lineRule="auto"/>
        <w:rPr>
          <w:rFonts w:hint="eastAsia" w:ascii="宋体" w:hAnsi="宋体" w:eastAsia="宋体" w:cs="宋体"/>
          <w:b/>
          <w:bCs/>
          <w:i/>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2.1 合同标的及金额应与中标（成交）结果一致。乙方为履行本合同而发生的所有费用均应包含在合同价款中，甲方不再另行支付其他任何费用。</w:t>
      </w:r>
      <w:r/>
    </w:p>
    <w:p>
      <w:p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3. 履行合同的时间、地点和方式</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3.1 乙方应当在约定的时间、地点，按照约定方式履行合同。</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4. 甲方的权利和义务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4.3甲方有权要求乙方对缺陷部分予以修复，并按合同约定享有货物保修及其他合同约定的权利。</w:t>
      </w:r>
      <w:r/>
    </w:p>
    <w:p>
      <w:pPr>
        <w:ind w:firstLine="42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4.4甲方应当按照合同约定及时对交付的货物进行验收，未在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约定的期限内对乙方履约提出任何异议或者向乙方作出任何说明的，视为验收通过。</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4.6 国家法律法规规定及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约定应由甲方承担的其他义务和责任。</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5. 乙方的权利和义务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5.1 签署合同后，乙方应确定项目负责人（或项目联系人），负责与本合同有关的事务。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08"/>
        <w:ind w:firstLine="369"/>
        <w:spacing w:after="0"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5.3 乙方有权根据合同约定向甲方收取合同价款。</w:t>
      </w:r>
      <w:r/>
    </w:p>
    <w:p>
      <w:pPr>
        <w:pStyle w:val="908"/>
        <w:ind w:firstLine="369"/>
        <w:spacing w:after="0"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5.4国家法律法规规定及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约定应由乙方承担的其他义务和责任。</w:t>
      </w:r>
      <w:r/>
    </w:p>
    <w:p>
      <w:pPr>
        <w:numPr>
          <w:ilvl w:val="0"/>
          <w:numId w:val="5"/>
        </w:num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合同履行</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6.1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7. 货物包装、运输、保险和交付要求</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7.1 本合同</w:t>
      </w:r>
      <w:r>
        <w:rPr>
          <w:rFonts w:hint="eastAsia" w:ascii="宋体" w:hAnsi="宋体" w:eastAsia="宋体" w:cs="宋体"/>
          <w:bCs/>
          <w:color w:val="auto"/>
          <w:szCs w:val="21"/>
          <w:highlight w:val="none"/>
        </w:rPr>
        <w:t xml:space="preserve">涉及商品包装、快递包装的，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另有约定外，</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约定的</w:t>
      </w:r>
      <w:r>
        <w:rPr>
          <w:rFonts w:hint="eastAsia" w:ascii="宋体" w:hAnsi="宋体" w:eastAsia="宋体" w:cs="宋体"/>
          <w:color w:val="auto"/>
          <w:szCs w:val="21"/>
          <w:highlight w:val="none"/>
        </w:rPr>
        <w:t xml:space="preserve">指定现场。</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另有约定外，</w:t>
      </w:r>
      <w:r>
        <w:rPr>
          <w:rFonts w:hint="eastAsia" w:ascii="宋体" w:hAnsi="宋体" w:eastAsia="宋体" w:cs="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7.5 乙方在运输到达之前应提前通知甲方，并提示货物运输装卸的注意事项，甲方配合乙方做好货物的接收工作。</w:t>
      </w:r>
      <w:r/>
    </w:p>
    <w:p>
      <w:pPr>
        <w:pStyle w:val="927"/>
        <w:ind w:firstLine="4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8. 质量标准和保证</w:t>
      </w:r>
      <w:r/>
    </w:p>
    <w:p>
      <w:pPr>
        <w:pStyle w:val="912"/>
        <w:ind w:firstLine="420"/>
        <w:jc w:val="left"/>
        <w:spacing w:line="360" w:lineRule="auto"/>
        <w:rPr>
          <w:rFonts w:hint="eastAsia" w:ascii="宋体" w:hAnsi="宋体" w:eastAsia="宋体" w:cs="宋体"/>
          <w:b/>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8.1 质量标准</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2"/>
        <w:ind w:firstLine="42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（2）采用中华人民共和国法定计量单位。</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（3）乙方所提供的货物应符合国家有关安全、环保、卫生的规定。</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8.2 保证</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规定或乙方书面承诺（两者以较长的为准）的质量保证期内，本保证保持有效。</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（3）乙方收到通知后，应在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9.权利瑕疵担保</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9.1 乙方保证对其出售的货物享有合法的权利。</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9.2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9.3 如甲方使用上述货物构成对第三人侵权的，则由乙方承担全部责任。</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10.知识产权保护</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10.1 乙方对其所销售的货物应当享有知识产权或经权利人合法授权，保证没有侵犯任何第三人的知识产权等权利。</w:t>
      </w:r>
      <w:bookmarkStart w:id="6"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eastAsia="宋体" w:cs="宋体"/>
          <w:color w:val="auto"/>
          <w:szCs w:val="21"/>
          <w:highlight w:val="none"/>
        </w:rPr>
        <w:t xml:space="preserve">。</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11.保密义务</w:t>
      </w:r>
      <w:r/>
    </w:p>
    <w:p>
      <w:pPr>
        <w:ind w:firstLine="420"/>
        <w:jc w:val="left"/>
        <w:spacing w:line="360" w:lineRule="auto"/>
        <w:rPr>
          <w:rFonts w:hint="eastAsia" w:ascii="宋体" w:hAnsi="宋体" w:eastAsia="宋体" w:cs="宋体"/>
          <w:color w:val="auto"/>
          <w:szCs w:val="15"/>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12.合同价款支付</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12.1 合同价款支付按照国库集中支付制度及财政管理相关规定执行。</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8"/>
        <w:spacing w:after="0" w:line="36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13.履约保证金</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13.1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13.2 如果乙方出现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13.3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14.</w:t>
      </w:r>
      <w:r>
        <w:rPr>
          <w:rFonts w:hint="eastAsia" w:ascii="宋体" w:hAnsi="宋体" w:eastAsia="宋体" w:cs="宋体"/>
          <w:b/>
          <w:color w:val="auto"/>
          <w:sz w:val="24"/>
          <w:highlight w:val="none"/>
        </w:rPr>
        <w:t xml:space="preserve">售后服务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14.1 除项目不涉及或采购活动中明确约定无须承担外，乙方还应提供下列服务：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（4）在制造商所在地或指定现场就货物的安装、启动、运营、维护、废弃处置等对甲方操作人员进行培训</w:t>
      </w:r>
      <w:r>
        <w:rPr>
          <w:rFonts w:hint="eastAsia" w:ascii="宋体" w:hAnsi="宋体" w:eastAsia="宋体" w:cs="宋体"/>
          <w:color w:val="auto"/>
          <w:szCs w:val="15"/>
          <w:highlight w:val="none"/>
        </w:rPr>
        <w:t xml:space="preserve">；</w:t>
      </w:r>
      <w:r/>
    </w:p>
    <w:p>
      <w:pPr>
        <w:pStyle w:val="927"/>
        <w:ind w:firstLine="4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（6）</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14.2 乙方提供的售后服务的费用已包含在合同价款中，甲方不再另行支付。</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15.违约责任</w:t>
      </w:r>
      <w:r/>
    </w:p>
    <w:p>
      <w:pPr>
        <w:ind w:firstLine="420"/>
        <w:jc w:val="left"/>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15.1 质量瑕疵的违约责任</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乙方提供的产品不符合合同约定的质量标准或存在产品质量缺陷，甲方有权要求乙方根据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要求</w:t>
      </w:r>
      <w:r>
        <w:rPr>
          <w:rFonts w:hint="eastAsia" w:ascii="宋体" w:hAnsi="宋体" w:eastAsia="宋体" w:cs="宋体"/>
          <w:color w:val="auto"/>
          <w:szCs w:val="21"/>
          <w:highlight w:val="none"/>
        </w:rPr>
        <w:t xml:space="preserve">及时修理、重作、更换，并承担由此给甲方造成的损失。</w:t>
      </w:r>
      <w:r/>
    </w:p>
    <w:p>
      <w:pPr>
        <w:ind w:firstLine="420"/>
        <w:jc w:val="left"/>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15.2 迟延交货的违约责任</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15.3 迟延支付的违约责任</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15.4 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6"/>
        </w:num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合同变更、中止与终止</w:t>
      </w:r>
      <w:r/>
    </w:p>
    <w:p>
      <w:pPr>
        <w:ind w:firstLine="420"/>
        <w:jc w:val="left"/>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16.1 合同的变更</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16.2 合同的中止</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（4）甲方不得以行政区划调整、政府换届、机构或者职能调整以及相关责任人更替为由中止合同。</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16.3 合同的终止</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（1）合同因有效期限届满而终止；</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（2）乙方未按合同约定履行，构成根本性违约的，甲方有权终止合同，并追究乙方的违约责任。</w:t>
      </w:r>
      <w:r/>
    </w:p>
    <w:p>
      <w:pPr>
        <w:pStyle w:val="927"/>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 xml:space="preserve">涉及国家利益、社会公共利益的情形</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17.合同分包</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18.不可抗力</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18.1 不可抗力是指合同双方不能预见、不能避免且不能克服的客观情况。</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19.解决争议的方法</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36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20.政府采购政策</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20.2 本合同依法执行政府采购政策的方式和内容，属于合同履约验收的范围。</w:t>
      </w:r>
      <w:r>
        <w:rPr>
          <w:rFonts w:hint="eastAsia" w:ascii="宋体" w:hAnsi="宋体" w:eastAsia="宋体" w:cs="宋体"/>
          <w:color w:val="auto"/>
          <w:highlight w:val="none"/>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908"/>
        <w:ind w:firstLine="420"/>
        <w:spacing w:after="0"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21.法律适用</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22. 通知</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22.3 本合同一方给另一方的通知均应采用书面形式，传真或快递送到本合同中规定的对方的地址和办理签收手续。</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22.4 通知以送达之日或通知书中规定的生效之日起生效，两者中以较迟之日为准。</w:t>
      </w:r>
      <w:r/>
    </w:p>
    <w:p>
      <w:pPr>
        <w:numPr>
          <w:ilvl w:val="0"/>
          <w:numId w:val="7"/>
        </w:num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合同未尽事项</w:t>
      </w:r>
      <w:r/>
    </w:p>
    <w:p>
      <w:pPr>
        <w:ind w:firstLine="420"/>
        <w:jc w:val="left"/>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23.1 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jc w:val="left"/>
        <w:spacing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23.2 合同附件与合同正文具有同等的法律效力。</w:t>
      </w:r>
      <w:bookmarkStart w:id="7" w:name="_Toc20313"/>
      <w:r/>
      <w:r/>
    </w:p>
    <w:p>
      <w:pPr>
        <w:jc w:val="center"/>
        <w:spacing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br w:type="page" w:clear="all"/>
      </w:r>
      <w:r/>
    </w:p>
    <w:p>
      <w:pPr>
        <w:pStyle w:val="896"/>
        <w:jc w:val="center"/>
        <w:spacing w:line="360" w:lineRule="auto"/>
        <w:rPr>
          <w:rFonts w:hint="eastAsia" w:ascii="宋体" w:hAnsi="宋体" w:eastAsia="宋体" w:cs="宋体"/>
          <w:b w:val="0"/>
          <w:bCs w:val="0"/>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bCs w:val="0"/>
          <w:color w:val="auto"/>
          <w:sz w:val="28"/>
          <w:szCs w:val="28"/>
          <w:highlight w:val="none"/>
        </w:rPr>
        <w:t xml:space="preserve">第三节 政府采购合同专用条款</w:t>
      </w:r>
      <w:bookmarkEnd w:id="7"/>
      <w:r/>
      <w:r/>
    </w:p>
    <w:tbl>
      <w:tblPr>
        <w:tblStyle w:val="676"/>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第1.2（6）项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联合体具体要求</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604"/>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第1.2（7）项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其他术语解释</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第4.4款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履约验收中甲方提出异议或作出说明的期限</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第4.6款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约定甲方承担的其他义务和责任</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第5.4款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约定乙方承担的其他义务和责任</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第6.1款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履行合同义务的顺序</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667"/>
        </w:trPr>
        <w:tc>
          <w:tcPr>
            <w:tcW w:w="1607"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第7.1款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包装特殊要求</w:t>
            </w:r>
            <w:r/>
          </w:p>
        </w:tc>
        <w:tc>
          <w:tcPr>
            <w:tcW w:w="5170" w:type="dxa"/>
            <w:vAlign w:val="center"/>
            <w:textDirection w:val="lrTb"/>
            <w:noWrap w:val="false"/>
          </w:tcPr>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无</w:t>
            </w:r>
            <w:r/>
          </w:p>
        </w:tc>
      </w:tr>
      <w:tr>
        <w:trPr>
          <w:jc w:val="center"/>
          <w:trHeight w:val="667"/>
        </w:trPr>
        <w:tc>
          <w:tcPr>
            <w:tcW w:w="1607"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指定现场</w:t>
            </w:r>
            <w:r/>
          </w:p>
        </w:tc>
        <w:tc>
          <w:tcPr>
            <w:tcW w:w="5170" w:type="dxa"/>
            <w:vAlign w:val="center"/>
            <w:textDirection w:val="lrTb"/>
            <w:noWrap w:val="false"/>
          </w:tcPr>
          <w:p>
            <w:pPr>
              <w:jc w:val="center"/>
              <w:spacing w:line="360" w:lineRule="auto"/>
              <w:rPr>
                <w:rFonts w:hint="eastAsia" w:ascii="宋体" w:hAnsi="宋体" w:eastAsia="宋体" w:cs="宋体"/>
                <w:color w:val="auto"/>
                <w:highlight w:val="none"/>
                <w:lang w:eastAsia="zh-CN"/>
              </w:rPr>
              <w:pBdr>
                <w:top w:val="none" w:color="auto" w:sz="0" w:space="1"/>
                <w:left w:val="none" w:color="auto" w:sz="0" w:space="4"/>
                <w:bottom w:val="none" w:color="auto" w:sz="0" w:space="1"/>
                <w:right w:val="none" w:color="auto" w:sz="0" w:space="4"/>
              </w:pBdr>
            </w:pPr>
            <w:r>
              <w:rPr>
                <w:rFonts w:hint="eastAsia" w:ascii="宋体" w:hAnsi="宋体" w:cs="宋体"/>
                <w:color w:val="auto"/>
                <w:highlight w:val="none"/>
                <w:lang w:eastAsia="zh-CN"/>
              </w:rPr>
              <w:t xml:space="preserve">连云港市计量检定测试中心</w:t>
            </w:r>
            <w:r/>
          </w:p>
        </w:tc>
      </w:tr>
      <w:tr>
        <w:trPr>
          <w:jc w:val="center"/>
          <w:trHeight w:val="772"/>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第7.2款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运输特殊要求</w:t>
            </w:r>
            <w:r/>
          </w:p>
        </w:tc>
        <w:tc>
          <w:tcPr>
            <w:tcW w:w="5170" w:type="dxa"/>
            <w:vAlign w:val="center"/>
            <w:textDirection w:val="lrTb"/>
            <w:noWrap w:val="false"/>
          </w:tcPr>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无</w:t>
            </w:r>
            <w:r/>
          </w:p>
        </w:tc>
      </w:tr>
      <w:tr>
        <w:trPr>
          <w:jc w:val="center"/>
          <w:trHeight w:val="667"/>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第7.3款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保险要求</w:t>
            </w:r>
            <w:r/>
          </w:p>
        </w:tc>
        <w:tc>
          <w:tcPr>
            <w:tcW w:w="5170" w:type="dxa"/>
            <w:vAlign w:val="center"/>
            <w:textDirection w:val="lrTb"/>
            <w:noWrap w:val="false"/>
          </w:tcPr>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第8.2（1）项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质量保证期</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第8.2（3）项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货物质量缺陷</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响应时间</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乙方在接到甲方通知后在24小时内到达甲方现场。</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pStyle w:val="927"/>
              <w:ind w:firstLine="0"/>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其他应当保密的信息</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697"/>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第12.2款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合同价款支付时间</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合同签订后支付 50% 预付款，全部设备验收合格付清剩余 50%。</w:t>
            </w:r>
            <w:r/>
          </w:p>
        </w:tc>
      </w:tr>
      <w:tr>
        <w:trPr>
          <w:jc w:val="center"/>
          <w:trHeight w:val="697"/>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第13.2款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履约保证金不予退还的情形</w:t>
            </w:r>
            <w:r/>
          </w:p>
        </w:tc>
        <w:tc>
          <w:tcPr>
            <w:tcW w:w="5170" w:type="dxa"/>
            <w:vAlign w:val="center"/>
            <w:textDirection w:val="lrTb"/>
            <w:noWrap w:val="false"/>
          </w:tcPr>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1、乙方违约的，甲方将根据违约责任条款扣除其全部或部分履约保证金。如乙方违约给甲方造成的损失超过履约保证金的，应当依法赔偿超过部分的损失。</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2、逾期退还履约保证金的甲方承担违约责任，按照中国人民银行同期贷款基准利率支付超期资金占用费。</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第13.3款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1、乙方违约的，甲方将根据违约责任条款扣除其全部或部分履约保证金。如乙方违约给甲方造成的损失超过履约保证金的，应当依法赔偿超过部分的损失。</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第14.1（3）项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运行监督、维修期限</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详见第四章采购需求</w:t>
            </w:r>
            <w:r/>
          </w:p>
        </w:tc>
      </w:tr>
      <w:tr>
        <w:trPr>
          <w:jc w:val="center"/>
          <w:trHeight w:val="784"/>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第14.1（5）项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货物回收的约定</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第14.1（6）项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乙方提供的其他服务</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第15.1款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修理、重作、更换相关具体规定</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《中华人民共和国产品质量法》第四十条</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第15.2（2）项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迟延交货赔偿费</w:t>
            </w:r>
            <w:r/>
          </w:p>
        </w:tc>
        <w:tc>
          <w:tcPr>
            <w:tcW w:w="5170" w:type="dxa"/>
            <w:vAlign w:val="center"/>
            <w:textDirection w:val="lrTb"/>
            <w:noWrap w:val="false"/>
          </w:tcPr>
          <w:p>
            <w:pPr>
              <w:jc w:val="left"/>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第15.3款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逾期付款利息</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在逾期时段按月息2%计息</w:t>
            </w:r>
            <w:r/>
          </w:p>
        </w:tc>
      </w:tr>
      <w:tr>
        <w:trPr>
          <w:jc w:val="center"/>
          <w:trHeight w:val="87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第15.4款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其他违约责任</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如乙方无法提供制造商质保承诺或协议的，甲方有权单方面解除合同、扣除履约保证金、将乙方清退出场，同时报政府采购监督管理部门</w:t>
            </w:r>
            <w:r/>
          </w:p>
        </w:tc>
      </w:tr>
      <w:tr>
        <w:trPr>
          <w:jc w:val="center"/>
          <w:trHeight w:val="90"/>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第19.2款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解决争议的方法</w:t>
            </w:r>
            <w:r/>
          </w:p>
        </w:tc>
        <w:tc>
          <w:tcPr>
            <w:tcW w:w="5170" w:type="dxa"/>
            <w:vAlign w:val="center"/>
            <w:textDirection w:val="lrTb"/>
            <w:noWrap w:val="false"/>
          </w:tcPr>
          <w:p>
            <w:pPr>
              <w:jc w:val="left"/>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因本合同及合同有关事项发生的争议，按下列第（2）种方式解决：</w:t>
            </w:r>
            <w:r/>
          </w:p>
          <w:p>
            <w:pPr>
              <w:jc w:val="left"/>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（1）向仲裁委员会申请仲裁，仲裁地点为        ；</w:t>
            </w:r>
            <w:r/>
          </w:p>
          <w:p>
            <w:pPr>
              <w:jc w:val="left"/>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第23.1款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其他专用条款</w:t>
            </w:r>
            <w:r/>
          </w:p>
        </w:tc>
        <w:tc>
          <w:tcPr>
            <w:tcW w:w="5170" w:type="dxa"/>
            <w:vAlign w:val="center"/>
            <w:textDirection w:val="lrTb"/>
            <w:noWrap w:val="false"/>
          </w:tcPr>
          <w:p>
            <w:pPr>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r>
    </w:tbl>
    <w:p>
      <w:pPr>
        <w:jc w:val="left"/>
        <w:spacing w:line="360" w:lineRule="auto"/>
        <w:widowControl/>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br w:type="page" w:clear="all"/>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8" w:name="_Toc165205797"/>
      <w:r>
        <w:rPr>
          <w:rFonts w:hint="eastAsia" w:ascii="宋体" w:hAnsi="宋体" w:eastAsia="宋体" w:cs="宋体"/>
          <w:b w:val="0"/>
          <w:color w:val="auto"/>
          <w:highlight w:val="none"/>
        </w:rPr>
        <w:t xml:space="preserve">第四章  采购需求</w:t>
      </w:r>
      <w:bookmarkEnd w:id="8"/>
      <w:r/>
      <w:r/>
    </w:p>
    <w:p>
      <w:pPr>
        <w:ind w:firstLine="482"/>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b/>
          <w:bCs/>
          <w:color w:val="auto"/>
          <w:sz w:val="24"/>
          <w:szCs w:val="24"/>
          <w:highlight w:val="none"/>
        </w:rPr>
        <w:t xml:space="preserve">说明：本项目属性为货物，</w:t>
      </w:r>
      <w:r>
        <w:rPr>
          <w:rFonts w:hint="eastAsia" w:cs="Times New Roman" w:asciiTheme="minorEastAsia" w:hAnsiTheme="minorEastAsia"/>
          <w:b/>
          <w:color w:val="auto"/>
          <w:sz w:val="24"/>
          <w:szCs w:val="21"/>
          <w:highlight w:val="none"/>
        </w:rPr>
        <w:t xml:space="preserve">采购标的对应的中小企业划分标准所属行业为</w:t>
      </w:r>
      <w:r>
        <w:rPr>
          <w:rFonts w:hint="eastAsia" w:asciiTheme="minorEastAsia" w:hAnsiTheme="minorEastAsia"/>
          <w:b/>
          <w:color w:val="auto"/>
          <w:sz w:val="24"/>
          <w:szCs w:val="21"/>
          <w:highlight w:val="none"/>
          <w:u w:val="single"/>
        </w:rPr>
        <w:t xml:space="preserve">工业</w:t>
      </w:r>
      <w:r>
        <w:rPr>
          <w:rFonts w:hint="eastAsia" w:cs="Times New Roman" w:asciiTheme="minorEastAsia" w:hAnsiTheme="minorEastAsia"/>
          <w:b/>
          <w:color w:val="auto"/>
          <w:sz w:val="24"/>
          <w:szCs w:val="21"/>
          <w:highlight w:val="none"/>
        </w:rPr>
        <w:t xml:space="preserve">。</w:t>
      </w:r>
      <w:r/>
    </w:p>
    <w:p>
      <w:pPr>
        <w:numPr>
          <w:ilvl w:val="0"/>
          <w:numId w:val="8"/>
        </w:numPr>
        <w:ind w:firstLine="48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根</w:t>
      </w:r>
      <w:r>
        <w:rPr>
          <w:rFonts w:hint="eastAsia" w:cs="Times New Roman" w:asciiTheme="minorEastAsia" w:hAnsiTheme="minorEastAsia"/>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numPr>
          <w:ilvl w:val="0"/>
          <w:numId w:val="8"/>
        </w:numPr>
        <w:ind w:left="0" w:firstLine="482"/>
        <w:jc w:val="left"/>
        <w:spacing w:line="360" w:lineRule="auto"/>
        <w:rPr>
          <w:rFonts w:hint="eastAsia" w:cs="Times New Roman" w:asciiTheme="minorEastAsia" w:hAnsiTheme="minorEastAsia"/>
          <w:b/>
          <w:bCs/>
          <w:color w:val="auto"/>
          <w:sz w:val="24"/>
          <w:szCs w:val="24"/>
          <w:highlight w:val="none"/>
        </w:rPr>
      </w:pPr>
      <w:r>
        <w:rPr>
          <w:rFonts w:hint="eastAsia" w:cs="Times New Roman" w:asciiTheme="minorEastAsia" w:hAnsiTheme="minorEastAsia"/>
          <w:b/>
          <w:bCs/>
          <w:color w:val="auto"/>
          <w:sz w:val="24"/>
          <w:szCs w:val="24"/>
          <w:highlight w:val="none"/>
        </w:rPr>
        <w:t xml:space="preserve">本项目需求中标注★号的部分为实质性要求和条件（由采购人根据实际情况设置），投标人必须作出满足或者优于原要求和条件的响应，否则投标无效。</w:t>
      </w:r>
      <w:r/>
    </w:p>
    <w:p>
      <w:pPr>
        <w:pStyle w:val="669"/>
        <w:jc w:val="center"/>
        <w:rPr>
          <w:rFonts w:hint="eastAsia" w:eastAsia="宋体"/>
          <w:highlight w:val="none"/>
          <w:lang w:eastAsia="zh-CN"/>
        </w:rPr>
      </w:pPr>
      <w:r>
        <w:rPr>
          <w:rFonts w:hint="eastAsia" w:ascii="宋体" w:hAnsi="宋体" w:eastAsia="宋体" w:cs="宋体"/>
          <w:b/>
          <w:bCs/>
          <w:color w:val="auto"/>
          <w:sz w:val="32"/>
          <w:szCs w:val="32"/>
          <w:highlight w:val="none"/>
        </w:rPr>
        <w:t xml:space="preserve">采购包1</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2</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6：</w:t>
      </w:r>
      <w:r/>
    </w:p>
    <w:tbl>
      <w:tblPr>
        <w:tblStyle w:val="702"/>
        <w:tblW w:w="9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753"/>
      </w:tblGrid>
      <w:tr>
        <w:trPr>
          <w:jc w:val="center"/>
          <w:trHeight w:val="515"/>
        </w:trPr>
        <w:tc>
          <w:tcPr>
            <w:gridSpan w:val="2"/>
            <w:tcBorders>
              <w:top w:val="none" w:color="000000" w:sz="4" w:space="0"/>
              <w:left w:val="none" w:color="000000" w:sz="4" w:space="0"/>
              <w:bottom w:val="single" w:color="auto" w:sz="4" w:space="0"/>
              <w:right w:val="none" w:color="000000" w:sz="4" w:space="0"/>
            </w:tcBorders>
            <w:tcW w:w="95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olor w:val="auto"/>
                <w:sz w:val="24"/>
                <w:szCs w:val="24"/>
                <w:highlight w:val="none"/>
              </w:rPr>
              <w:suppressLineNumbers w:val="0"/>
            </w:pPr>
            <w:r>
              <w:rPr>
                <w:rFonts w:hint="default" w:ascii="宋体" w:hAnsi="宋体" w:eastAsia="宋体"/>
                <w:color w:val="auto"/>
                <w:sz w:val="24"/>
                <w:szCs w:val="24"/>
                <w:highlight w:val="none"/>
              </w:rPr>
              <w:t xml:space="preserve">采购需求中须满足的实质性要求和条件</w:t>
            </w:r>
            <w:r/>
          </w:p>
        </w:tc>
      </w:tr>
      <w:tr>
        <w:trPr>
          <w:jc w:val="center"/>
          <w:trHeight w:val="526"/>
        </w:trPr>
        <w:tc>
          <w:tcPr>
            <w:tcBorders>
              <w:top w:val="single" w:color="auto" w:sz="4" w:space="0"/>
            </w:tcBorders>
            <w:tcW w:w="747"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
                <w:color w:val="auto"/>
                <w:sz w:val="24"/>
                <w:szCs w:val="24"/>
                <w:highlight w:val="none"/>
              </w:rPr>
              <w:suppressLineNumbers w:val="0"/>
            </w:pPr>
            <w:r>
              <w:rPr>
                <w:rFonts w:hint="default" w:ascii="宋体" w:hAnsi="宋体" w:eastAsia="宋体"/>
                <w:b/>
                <w:color w:val="auto"/>
                <w:sz w:val="24"/>
                <w:szCs w:val="24"/>
                <w:highlight w:val="none"/>
              </w:rPr>
              <w:t xml:space="preserve">序号</w:t>
            </w:r>
            <w:r/>
          </w:p>
        </w:tc>
        <w:tc>
          <w:tcPr>
            <w:tcBorders>
              <w:top w:val="single" w:color="auto" w:sz="4" w:space="0"/>
            </w:tcBorders>
            <w:tcW w:w="8753" w:type="dxa"/>
            <w:textDirection w:val="lrTb"/>
            <w:noWrap w:val="false"/>
          </w:tcPr>
          <w:p>
            <w:pPr>
              <w:ind w:left="0" w:right="0" w:firstLine="482"/>
              <w:jc w:val="center"/>
              <w:keepLines w:val="0"/>
              <w:keepNext w:val="0"/>
              <w:spacing w:before="0" w:beforeAutospacing="0" w:after="0" w:afterAutospacing="0" w:line="360" w:lineRule="auto"/>
              <w:rPr>
                <w:rFonts w:hint="default" w:ascii="宋体" w:hAnsi="宋体" w:eastAsia="宋体"/>
                <w:b/>
                <w:color w:val="auto"/>
                <w:sz w:val="24"/>
                <w:szCs w:val="24"/>
                <w:highlight w:val="none"/>
              </w:rPr>
              <w:suppressLineNumbers w:val="0"/>
            </w:pPr>
            <w:r>
              <w:rPr>
                <w:rFonts w:hint="default" w:ascii="宋体" w:hAnsi="宋体" w:eastAsia="宋体"/>
                <w:b/>
                <w:color w:val="auto"/>
                <w:sz w:val="24"/>
                <w:szCs w:val="24"/>
                <w:highlight w:val="none"/>
              </w:rPr>
              <w:t xml:space="preserve">实质性要求和条件</w:t>
            </w:r>
            <w:r/>
          </w:p>
        </w:tc>
      </w:tr>
      <w:tr>
        <w:trPr>
          <w:jc w:val="center"/>
          <w:trHeight w:val="90"/>
        </w:trPr>
        <w:tc>
          <w:tcPr>
            <w:tcW w:w="7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val="0"/>
                <w:bCs w:val="0"/>
                <w:color w:val="auto"/>
                <w:sz w:val="24"/>
                <w:szCs w:val="24"/>
                <w:highlight w:val="none"/>
                <w:lang w:eastAsia="zh-CN"/>
              </w:rPr>
              <w:suppressLineNumbers w:val="0"/>
            </w:pPr>
            <w:r>
              <w:rPr>
                <w:rFonts w:hint="eastAsia" w:ascii="宋体" w:hAnsi="宋体" w:eastAsia="宋体"/>
                <w:b w:val="0"/>
                <w:bCs w:val="0"/>
                <w:color w:val="auto"/>
                <w:sz w:val="24"/>
                <w:szCs w:val="24"/>
                <w:highlight w:val="none"/>
                <w:lang w:val="en-US" w:eastAsia="zh-CN"/>
              </w:rPr>
              <w:t xml:space="preserve">1</w:t>
            </w:r>
            <w:r/>
          </w:p>
        </w:tc>
        <w:tc>
          <w:tcPr>
            <w:tcW w:w="8753"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b w:val="0"/>
                <w:bCs w:val="0"/>
                <w:color w:val="auto"/>
                <w:sz w:val="24"/>
                <w:szCs w:val="24"/>
                <w:highlight w:val="none"/>
              </w:rPr>
              <w:suppressLineNumbers w:val="0"/>
            </w:pPr>
            <w:r>
              <w:rPr>
                <w:rFonts w:hint="eastAsia" w:ascii="宋体" w:hAnsi="宋体" w:eastAsia="宋体"/>
                <w:b w:val="0"/>
                <w:bCs w:val="0"/>
                <w:color w:val="auto"/>
                <w:sz w:val="24"/>
                <w:szCs w:val="24"/>
                <w:highlight w:val="none"/>
              </w:rPr>
              <w:t xml:space="preserve">★付款方式：合同签订后，采购人向供应商支付合同价款的 50% 作为预付款；全部设备验收合格后，由中标单位开具合规</w:t>
            </w:r>
            <w:r>
              <w:rPr>
                <w:rFonts w:hint="eastAsia" w:ascii="宋体" w:hAnsi="宋体" w:eastAsia="宋体"/>
                <w:b w:val="0"/>
                <w:bCs w:val="0"/>
                <w:color w:val="auto"/>
                <w:sz w:val="24"/>
                <w:szCs w:val="24"/>
                <w:highlight w:val="none"/>
                <w:lang w:val="en-US" w:eastAsia="zh-CN"/>
              </w:rPr>
              <w:t xml:space="preserve">增值税专用</w:t>
            </w:r>
            <w:r>
              <w:rPr>
                <w:rFonts w:hint="eastAsia" w:ascii="宋体" w:hAnsi="宋体" w:eastAsia="宋体"/>
                <w:b w:val="0"/>
                <w:bCs w:val="0"/>
                <w:color w:val="auto"/>
                <w:sz w:val="24"/>
                <w:szCs w:val="24"/>
                <w:highlight w:val="none"/>
              </w:rPr>
              <w:t xml:space="preserve">发票，中标单位凭采购人出具的验收报告，申请支付剩余款项，付清至合同价款的 100%。</w:t>
            </w:r>
            <w:r/>
          </w:p>
        </w:tc>
      </w:tr>
      <w:tr>
        <w:trPr>
          <w:jc w:val="center"/>
          <w:trHeight w:val="537"/>
        </w:trPr>
        <w:tc>
          <w:tcPr>
            <w:tcW w:w="7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 w:val="0"/>
                <w:bCs w:val="0"/>
                <w:color w:val="auto"/>
                <w:sz w:val="24"/>
                <w:szCs w:val="24"/>
                <w:highlight w:val="none"/>
                <w:lang w:val="en-US" w:eastAsia="zh-CN"/>
              </w:rPr>
              <w:suppressLineNumbers w:val="0"/>
            </w:pPr>
            <w:r>
              <w:rPr>
                <w:rFonts w:hint="eastAsia" w:ascii="宋体" w:hAnsi="宋体" w:eastAsia="宋体"/>
                <w:b w:val="0"/>
                <w:bCs w:val="0"/>
                <w:color w:val="auto"/>
                <w:sz w:val="24"/>
                <w:szCs w:val="24"/>
                <w:highlight w:val="none"/>
                <w:lang w:val="en-US" w:eastAsia="zh-CN"/>
              </w:rPr>
              <w:t xml:space="preserve">2</w:t>
            </w:r>
            <w:r/>
          </w:p>
        </w:tc>
        <w:tc>
          <w:tcPr>
            <w:tcW w:w="875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b w:val="0"/>
                <w:bCs w:val="0"/>
                <w:color w:val="auto"/>
                <w:sz w:val="24"/>
                <w:szCs w:val="24"/>
                <w:highlight w:val="none"/>
              </w:rPr>
              <w:suppressLineNumbers w:val="0"/>
            </w:pPr>
            <w:r>
              <w:rPr>
                <w:rFonts w:hint="eastAsia" w:ascii="宋体" w:hAnsi="宋体" w:eastAsia="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交货期</w:t>
            </w:r>
            <w:r>
              <w:rPr>
                <w:rFonts w:hint="eastAsia" w:ascii="宋体" w:hAnsi="宋体" w:eastAsia="宋体" w:cs="Times New Roman"/>
                <w:b w:val="0"/>
                <w:bCs w:val="0"/>
                <w:color w:val="auto"/>
                <w:sz w:val="24"/>
                <w:szCs w:val="24"/>
                <w:highlight w:val="none"/>
                <w:lang w:val="en-US" w:eastAsia="zh-CN"/>
              </w:rPr>
              <w:t xml:space="preserve">：合同签订生效后2个月。</w:t>
            </w:r>
            <w:r/>
          </w:p>
        </w:tc>
      </w:tr>
    </w:tbl>
    <w:p>
      <w:pPr>
        <w:pStyle w:val="929"/>
        <w:numPr>
          <w:ilvl w:val="0"/>
          <w:numId w:val="0"/>
        </w:numPr>
        <w:rPr>
          <w:rFonts w:hint="eastAsia"/>
          <w:color w:val="auto"/>
          <w:highlight w:val="none"/>
        </w:rPr>
      </w:pPr>
      <w:r>
        <w:rPr>
          <w:rFonts w:hint="eastAsia"/>
          <w:color w:val="auto"/>
          <w:highlight w:val="none"/>
        </w:rPr>
      </w:r>
      <w:r/>
    </w:p>
    <w:p>
      <w:pPr>
        <w:pStyle w:val="929"/>
        <w:numPr>
          <w:ilvl w:val="0"/>
          <w:numId w:val="0"/>
        </w:numPr>
        <w:rPr>
          <w:rFonts w:hint="eastAsia"/>
          <w:color w:val="auto"/>
          <w:highlight w:val="none"/>
        </w:rPr>
      </w:pPr>
      <w:r>
        <w:rPr>
          <w:rFonts w:hint="eastAsia"/>
          <w:color w:val="auto"/>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采购包1：</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2026年计量检验检测设备更新，拟采购出租车计价器检定装置、</w:t>
      </w:r>
      <w:r>
        <w:rPr>
          <w:rFonts w:hint="eastAsia" w:ascii="宋体" w:hAnsi="宋体" w:eastAsia="宋体" w:cs="宋体"/>
          <w:color w:val="auto"/>
          <w:sz w:val="24"/>
          <w:szCs w:val="24"/>
          <w:highlight w:val="none"/>
          <w:lang w:val="en-US" w:eastAsia="zh-CN"/>
        </w:rPr>
        <w:t xml:space="preserve">质量比较仪</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标准砝码组-1t、标准砝码组-20kg</w:t>
      </w:r>
      <w:r>
        <w:rPr>
          <w:rFonts w:hint="eastAsia" w:ascii="宋体" w:hAnsi="宋体" w:eastAsia="宋体" w:cs="宋体"/>
          <w:color w:val="auto"/>
          <w:sz w:val="24"/>
          <w:szCs w:val="24"/>
          <w:highlight w:val="none"/>
        </w:rPr>
        <w:t xml:space="preserve">，项目总预算118万元。</w:t>
      </w:r>
      <w:r/>
    </w:p>
    <w:p>
      <w:pPr>
        <w:numPr>
          <w:ilvl w:val="0"/>
          <w:numId w:val="9"/>
        </w:numPr>
        <w:ind w:firstLine="562"/>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0"/>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出租车计价器检定装置</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40</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质量比较仪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40</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标准砝码组-1t</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套（18块）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18</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标准砝码组-20kg</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套（100块）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w:t>
            </w:r>
            <w:r/>
          </w:p>
        </w:tc>
      </w:tr>
    </w:tbl>
    <w:p>
      <w:pPr>
        <w:numPr>
          <w:ilvl w:val="0"/>
          <w:numId w:val="0"/>
        </w:numPr>
        <w:ind w:firstLine="482"/>
        <w:jc w:val="left"/>
        <w:spacing w:line="360" w:lineRule="auto"/>
        <w:widowControl w:val="off"/>
        <w:rPr>
          <w:rFonts w:hint="eastAsia" w:ascii="宋体" w:hAnsi="宋体" w:eastAsia="宋体" w:cs="宋体"/>
          <w:b/>
          <w:bCs/>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bookmarkStart w:id="9" w:name="_Toc139967216"/>
      <w:r/>
      <w:bookmarkStart w:id="10" w:name="_Toc139966432"/>
      <w:r>
        <w:rPr>
          <w:rFonts w:hint="eastAsia" w:ascii="宋体" w:hAnsi="宋体" w:eastAsia="宋体"/>
          <w:b w:val="0"/>
          <w:bCs w:val="0"/>
          <w:color w:val="auto"/>
          <w:sz w:val="24"/>
          <w:szCs w:val="24"/>
          <w:highlight w:val="none"/>
        </w:rPr>
        <w:t xml:space="preserve">本项目核心产品为：</w:t>
      </w:r>
      <w:r>
        <w:rPr>
          <w:rFonts w:hint="eastAsia" w:ascii="宋体" w:hAnsi="宋体" w:cs="宋体"/>
          <w:bCs/>
          <w:color w:val="auto"/>
          <w:sz w:val="24"/>
          <w:szCs w:val="24"/>
          <w:highlight w:val="none"/>
          <w:u w:val="single"/>
          <w:lang w:val="en-US" w:eastAsia="zh-CN"/>
        </w:rPr>
        <w:t xml:space="preserve">质量比较仪</w:t>
      </w:r>
      <w:r>
        <w:rPr>
          <w:rFonts w:hint="eastAsia" w:ascii="宋体" w:hAnsi="宋体" w:eastAsia="宋体"/>
          <w:b w:val="0"/>
          <w:bCs w:val="0"/>
          <w:color w:val="auto"/>
          <w:sz w:val="24"/>
          <w:szCs w:val="24"/>
          <w:highlight w:val="none"/>
        </w:rPr>
        <w:t xml:space="preserve">。</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（一）</w:t>
      </w:r>
      <w:r>
        <w:rPr>
          <w:rFonts w:hint="default" w:ascii="宋体" w:hAnsi="宋体" w:eastAsia="宋体" w:cs="宋体"/>
          <w:b/>
          <w:color w:val="auto"/>
          <w:sz w:val="28"/>
          <w:szCs w:val="28"/>
          <w:highlight w:val="none"/>
          <w:lang w:val="en-US" w:eastAsia="zh-CN"/>
        </w:rPr>
        <w:t xml:space="preserve">出租车计价器检定装置</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★1.1.满足规</w:t>
      </w:r>
      <w:r>
        <w:rPr>
          <w:rFonts w:hint="eastAsia" w:ascii="宋体" w:hAnsi="宋体" w:eastAsia="宋体" w:cs="宋体"/>
          <w:b w:val="0"/>
          <w:bCs w:val="0"/>
          <w:color w:val="auto"/>
          <w:sz w:val="24"/>
          <w:szCs w:val="24"/>
          <w:highlight w:val="none"/>
        </w:rPr>
        <w:t xml:space="preserve">程及溯源要求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bookmarkStart w:id="11" w:name="OLE_LINK5"/>
      <w:r>
        <w:rPr>
          <w:rFonts w:hint="eastAsia" w:ascii="宋体" w:hAnsi="宋体" w:eastAsia="宋体" w:cs="宋体"/>
          <w:b w:val="0"/>
          <w:bCs w:val="0"/>
          <w:color w:val="auto"/>
          <w:sz w:val="24"/>
          <w:szCs w:val="24"/>
          <w:highlight w:val="none"/>
        </w:rPr>
        <w:t xml:space="preserve">滚轮测距法出租车计价器检定装置的技术指标必须满足JJG517-2016《出租汽车计价器》、</w:t>
      </w:r>
      <w:r>
        <w:rPr>
          <w:rFonts w:hint="eastAsia" w:ascii="宋体" w:hAnsi="宋体" w:eastAsia="宋体" w:cs="宋体"/>
          <w:color w:val="auto"/>
          <w:sz w:val="24"/>
          <w:szCs w:val="24"/>
          <w:highlight w:val="none"/>
          <w:lang w:val="en-US" w:eastAsia="zh-CN"/>
        </w:rPr>
        <w:t xml:space="preserve">JJG 738-2024《出租汽车计价器检定装置检定规程》</w:t>
      </w:r>
      <w:r>
        <w:rPr>
          <w:rFonts w:hint="eastAsia" w:ascii="宋体" w:hAnsi="宋体" w:eastAsia="宋体" w:cs="宋体"/>
          <w:b w:val="0"/>
          <w:bCs w:val="0"/>
          <w:color w:val="auto"/>
          <w:sz w:val="24"/>
          <w:szCs w:val="24"/>
          <w:highlight w:val="none"/>
        </w:rPr>
        <w:t xml:space="preserve">的要求。该装置须具备针对诸如救护车、新能源车等重型出租汽车的检定能力</w:t>
      </w:r>
      <w:bookmarkEnd w:id="11"/>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有</w:t>
      </w:r>
      <w:bookmarkStart w:id="12" w:name="OLE_LINK38"/>
      <w:r>
        <w:rPr>
          <w:rFonts w:hint="eastAsia" w:ascii="宋体" w:hAnsi="宋体" w:eastAsia="宋体" w:cs="宋体"/>
          <w:color w:val="auto"/>
          <w:sz w:val="24"/>
          <w:szCs w:val="24"/>
          <w:highlight w:val="none"/>
          <w:lang w:val="en-US" w:eastAsia="zh-CN"/>
        </w:rPr>
        <w:t xml:space="preserve">具有法定资质的省级及以上法定计量检定机构（或依法授权的计量技术机构）</w:t>
      </w:r>
      <w:bookmarkEnd w:id="12"/>
      <w:r>
        <w:rPr>
          <w:rFonts w:hint="eastAsia" w:ascii="宋体" w:hAnsi="宋体" w:eastAsia="宋体" w:cs="宋体"/>
          <w:color w:val="auto"/>
          <w:sz w:val="24"/>
          <w:szCs w:val="24"/>
          <w:highlight w:val="none"/>
          <w:lang w:val="en-US" w:eastAsia="zh-CN"/>
        </w:rPr>
        <w:t xml:space="preserve">出具的计量检定证书，满足国家计量检定系统量值传递要求，满足社会公用计量标准的建标要求（依据JJF 1033-2023《计量标准考核规范》）。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bookmarkStart w:id="13" w:name="OLE_LINK20"/>
      <w:r/>
      <w:bookmarkStart w:id="14" w:name="OLE_LINK21"/>
      <w:r>
        <w:rPr>
          <w:rFonts w:hint="eastAsia" w:ascii="宋体" w:hAnsi="宋体" w:eastAsia="宋体" w:cs="宋体"/>
          <w:b w:val="0"/>
          <w:bCs w:val="0"/>
          <w:color w:val="auto"/>
          <w:sz w:val="24"/>
          <w:szCs w:val="24"/>
          <w:highlight w:val="none"/>
        </w:rPr>
        <w:t xml:space="preserve">★</w:t>
      </w:r>
      <w:bookmarkEnd w:id="13"/>
      <w:r/>
      <w:bookmarkEnd w:id="14"/>
      <w:r>
        <w:rPr>
          <w:rFonts w:hint="eastAsia" w:ascii="宋体" w:hAnsi="宋体" w:eastAsia="宋体" w:cs="宋体"/>
          <w:b w:val="0"/>
          <w:bCs w:val="0"/>
          <w:color w:val="auto"/>
          <w:sz w:val="24"/>
          <w:szCs w:val="24"/>
          <w:highlight w:val="none"/>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装置基本参数要求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1.2.1.</w:t>
      </w:r>
      <w:r>
        <w:rPr>
          <w:rFonts w:hint="eastAsia" w:ascii="宋体" w:hAnsi="宋体" w:eastAsia="宋体" w:cs="宋体"/>
          <w:b w:val="0"/>
          <w:bCs w:val="0"/>
          <w:color w:val="auto"/>
          <w:sz w:val="24"/>
          <w:szCs w:val="24"/>
          <w:highlight w:val="none"/>
        </w:rPr>
        <w:t xml:space="preserve">主滚轮周长：1000mm，MPE：±0.2%；</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1.2.2.</w:t>
      </w:r>
      <w:r>
        <w:rPr>
          <w:rFonts w:hint="eastAsia" w:ascii="宋体" w:hAnsi="宋体" w:eastAsia="宋体" w:cs="宋体"/>
          <w:b w:val="0"/>
          <w:bCs w:val="0"/>
          <w:color w:val="auto"/>
          <w:sz w:val="24"/>
          <w:szCs w:val="24"/>
          <w:highlight w:val="none"/>
        </w:rPr>
        <w:t xml:space="preserve">计数器计数范围：（0～9999）r，MPE：±（读数*0.1%）±1r；</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1.2.3.</w:t>
      </w:r>
      <w:r>
        <w:rPr>
          <w:rFonts w:hint="eastAsia" w:ascii="宋体" w:hAnsi="宋体" w:eastAsia="宋体" w:cs="宋体"/>
          <w:b w:val="0"/>
          <w:bCs w:val="0"/>
          <w:color w:val="auto"/>
          <w:sz w:val="24"/>
          <w:szCs w:val="24"/>
          <w:highlight w:val="none"/>
        </w:rPr>
        <w:t xml:space="preserve">正常检定时速度：40或60km/h。MPE：±3km/h（在60km/h时）；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1.2.4.</w:t>
      </w:r>
      <w:r>
        <w:rPr>
          <w:rFonts w:hint="eastAsia" w:ascii="宋体" w:hAnsi="宋体" w:eastAsia="宋体" w:cs="宋体"/>
          <w:b w:val="0"/>
          <w:bCs w:val="0"/>
          <w:color w:val="auto"/>
          <w:sz w:val="24"/>
          <w:szCs w:val="24"/>
          <w:highlight w:val="none"/>
        </w:rPr>
        <w:t xml:space="preserve">噪音：空转≤75dB、重载≤85dB。</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1.2.5.</w:t>
      </w:r>
      <w:r>
        <w:rPr>
          <w:rFonts w:hint="eastAsia" w:ascii="宋体" w:hAnsi="宋体" w:eastAsia="宋体" w:cs="宋体"/>
          <w:b w:val="0"/>
          <w:bCs w:val="0"/>
          <w:color w:val="auto"/>
          <w:sz w:val="24"/>
          <w:szCs w:val="24"/>
          <w:highlight w:val="none"/>
        </w:rPr>
        <w:t xml:space="preserve">主滚轮带动出租汽车驱动轮转动。</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装置总宽度不得小于3000mm，有效检测轮距宽度为950</w:t>
      </w:r>
      <w:bookmarkStart w:id="15" w:name="OLE_LINK7"/>
      <w:r/>
      <w:bookmarkStart w:id="16" w:name="OLE_LINK8"/>
      <w:r>
        <w:rPr>
          <w:rFonts w:hint="eastAsia" w:ascii="宋体" w:hAnsi="宋体" w:eastAsia="宋体" w:cs="宋体"/>
          <w:b w:val="0"/>
          <w:bCs w:val="0"/>
          <w:color w:val="auto"/>
          <w:sz w:val="24"/>
          <w:szCs w:val="24"/>
          <w:highlight w:val="none"/>
        </w:rPr>
        <w:t xml:space="preserve">～2500mm</w:t>
      </w:r>
      <w:bookmarkEnd w:id="15"/>
      <w:r/>
      <w:bookmarkEnd w:id="16"/>
      <w:r>
        <w:rPr>
          <w:rFonts w:hint="eastAsia" w:ascii="宋体" w:hAnsi="宋体" w:eastAsia="宋体" w:cs="宋体"/>
          <w:b w:val="0"/>
          <w:bCs w:val="0"/>
          <w:color w:val="auto"/>
          <w:sz w:val="24"/>
          <w:szCs w:val="24"/>
          <w:highlight w:val="none"/>
        </w:rPr>
        <w:t xml:space="preserve">，轴距范围2500～3800mm。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highlight w:val="none"/>
        </w:rPr>
        <w:t xml:space="preserve">装置框架须采用整体式钢板结构；</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装置须采用内置电机驱动主滚轮，电机和变频器的功率不得低于15kW，可无级调速；须采用高速轴承，保证驱动平稳、可靠、低噪声。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2.4.</w:t>
      </w:r>
      <w:r>
        <w:rPr>
          <w:rFonts w:hint="eastAsia" w:ascii="宋体" w:hAnsi="宋体" w:eastAsia="宋体" w:cs="宋体"/>
          <w:b w:val="0"/>
          <w:bCs w:val="0"/>
          <w:color w:val="auto"/>
          <w:sz w:val="24"/>
          <w:szCs w:val="24"/>
          <w:highlight w:val="none"/>
        </w:rPr>
        <w:t xml:space="preserve">所有滚轮应采用耐磨、耐腐蚀材质制作，表面经硬化或防腐处理，满足动平衡校正要求，确保运行平稳及使用寿命。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★2.5.装置须具备可靠、灵敏的自动刹车功能，在检定异常或紧急状态下能快速、安全制动，保障被检车辆及人员安全。</w:t>
      </w:r>
      <w:bookmarkStart w:id="17" w:name="OLE_LINK27"/>
      <w:r/>
      <w:bookmarkStart w:id="18" w:name="OLE_LINK28"/>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2.6.检定装置须装备具有防侧滑限位保护及升降功能的整体式平台，适应不同轴距、轮距的被检车辆；检定结束后防侧滑装置自动张开、起落装置自动顶起，方便车辆驶出；防侧滑装置夹紧距离和起落装置起落高度可自行设定。</w:t>
      </w:r>
      <w:bookmarkEnd w:id="17"/>
      <w:r/>
      <w:bookmarkEnd w:id="18"/>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2.7.</w:t>
      </w:r>
      <w:r>
        <w:rPr>
          <w:rFonts w:hint="eastAsia" w:ascii="宋体" w:hAnsi="宋体" w:eastAsia="宋体" w:cs="宋体"/>
          <w:b w:val="0"/>
          <w:bCs w:val="0"/>
          <w:color w:val="auto"/>
          <w:sz w:val="24"/>
          <w:szCs w:val="24"/>
          <w:highlight w:val="none"/>
        </w:rPr>
        <w:t xml:space="preserve">装置具有自动注油系统，定时定量给运动部位注润滑油。</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2.8.</w:t>
      </w:r>
      <w:r>
        <w:rPr>
          <w:rFonts w:hint="eastAsia" w:ascii="宋体" w:hAnsi="宋体" w:eastAsia="宋体" w:cs="宋体"/>
          <w:b w:val="0"/>
          <w:bCs w:val="0"/>
          <w:color w:val="auto"/>
          <w:sz w:val="24"/>
          <w:szCs w:val="24"/>
          <w:highlight w:val="none"/>
        </w:rPr>
        <w:t xml:space="preserve">装置驱动及制动系统可采用电动、气动或液压等成熟可靠技术，并满足相应的性能与安全指标要求。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bookmarkStart w:id="19" w:name="OLE_LINK23"/>
      <w:r/>
      <w:bookmarkStart w:id="20" w:name="OLE_LINK22"/>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2.9.</w:t>
      </w:r>
      <w:r>
        <w:rPr>
          <w:rFonts w:hint="eastAsia" w:ascii="宋体" w:hAnsi="宋体" w:eastAsia="宋体" w:cs="宋体"/>
          <w:b w:val="0"/>
          <w:bCs w:val="0"/>
          <w:color w:val="auto"/>
          <w:sz w:val="24"/>
          <w:szCs w:val="24"/>
          <w:highlight w:val="none"/>
        </w:rPr>
        <w:t xml:space="preserve">装置须配备一台具有测量、采集、显示、传输、计算、调速功能的多功能测控系统。</w:t>
      </w:r>
      <w:bookmarkEnd w:id="19"/>
      <w:bookmarkEnd w:id="20"/>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2.10.</w:t>
      </w:r>
      <w:r>
        <w:rPr>
          <w:rFonts w:hint="eastAsia" w:ascii="宋体" w:hAnsi="宋体" w:eastAsia="宋体" w:cs="宋体"/>
          <w:b w:val="0"/>
          <w:bCs w:val="0"/>
          <w:color w:val="auto"/>
          <w:sz w:val="24"/>
          <w:szCs w:val="24"/>
          <w:highlight w:val="none"/>
        </w:rPr>
        <w:t xml:space="preserve">须有车号自动摄入识别系统，可自动识别新能源和燃油车的绿牌/蓝牌等车牌号并将信息显示在LED屏幕上。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eastAsia="宋体" w:cs="宋体"/>
          <w:b w:val="0"/>
          <w:bCs w:val="0"/>
          <w:color w:val="auto"/>
          <w:sz w:val="24"/>
          <w:szCs w:val="24"/>
          <w:highlight w:val="none"/>
        </w:rPr>
        <w:t xml:space="preserve">装置须配一块LED点阵显示屏，用来实时显示相关提示和指令，被检车辆信息、检定状态、检定结果，增强检定透明度。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2.12.</w:t>
      </w:r>
      <w:r>
        <w:rPr>
          <w:rFonts w:hint="eastAsia" w:ascii="宋体" w:hAnsi="宋体" w:eastAsia="宋体" w:cs="宋体"/>
          <w:b w:val="0"/>
          <w:bCs w:val="0"/>
          <w:color w:val="auto"/>
          <w:sz w:val="24"/>
          <w:szCs w:val="24"/>
          <w:highlight w:val="none"/>
        </w:rPr>
        <w:t xml:space="preserve">检定装置须配备手持智能检测终端，可无线操控整个检定流程，液晶显示，双向通讯，有二维码识别功能，用于录入车辆信息及铅封号。</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电脑及显示器1套：CPU主频不低于3.0GHz、双核及以上（CPU及操作系统须符合安全可靠测评要求），内存不低于8G，固态硬盘不低于512G，27寸显示器；激光打印机一台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3.软件部分技术要求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设置、修改、注销人员（如检定员、管理员）的工号、姓名、权限、数字签名、密码；</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rPr>
        <w:t xml:space="preserve">基本数据设置，包括：出租车公司及个体户信息、车型信息、计价器信息等各项参数；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系统参数设置，如设置通信端口、变频器的频率、加速度以及基本检定信息（检定依据、标准器型号、标准器器号、有效期间隔）；</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3.4.</w:t>
      </w:r>
      <w:r>
        <w:rPr>
          <w:rFonts w:hint="eastAsia" w:ascii="宋体" w:hAnsi="宋体" w:eastAsia="宋体" w:cs="宋体"/>
          <w:b w:val="0"/>
          <w:bCs w:val="0"/>
          <w:color w:val="auto"/>
          <w:sz w:val="24"/>
          <w:szCs w:val="24"/>
          <w:highlight w:val="none"/>
        </w:rPr>
        <w:t xml:space="preserve">数据库维护，如数据库整理、数据库备份和还原；</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rPr>
        <w:t xml:space="preserve">检定数据的统计、周检计划、车辆信息统计及计价器信息统计等；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3.6.</w:t>
      </w:r>
      <w:r>
        <w:rPr>
          <w:rFonts w:hint="eastAsia" w:ascii="宋体" w:hAnsi="宋体" w:eastAsia="宋体" w:cs="宋体"/>
          <w:b w:val="0"/>
          <w:bCs w:val="0"/>
          <w:color w:val="auto"/>
          <w:sz w:val="24"/>
          <w:szCs w:val="24"/>
          <w:highlight w:val="none"/>
        </w:rPr>
        <w:t xml:space="preserve">能自动数据处理、判断检测结果、交换数据、打印检定证书。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3.7.</w:t>
      </w:r>
      <w:r>
        <w:rPr>
          <w:rFonts w:hint="eastAsia" w:ascii="宋体" w:hAnsi="宋体" w:eastAsia="宋体" w:cs="宋体"/>
          <w:b w:val="0"/>
          <w:bCs w:val="0"/>
          <w:color w:val="auto"/>
          <w:sz w:val="24"/>
          <w:szCs w:val="24"/>
          <w:highlight w:val="none"/>
        </w:rPr>
        <w:t xml:space="preserve">检定软件可自动计算结果、生成并打印原始记录和检定证书，能与管理系统联网。</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bookmarkStart w:id="21" w:name="OLE_LINK16"/>
      <w:r/>
      <w:bookmarkStart w:id="22" w:name="OLE_LINK15"/>
      <w:r>
        <w:rPr>
          <w:rFonts w:hint="eastAsia" w:ascii="宋体" w:hAnsi="宋体" w:eastAsia="宋体" w:cs="宋体"/>
          <w:b w:val="0"/>
          <w:bCs w:val="0"/>
          <w:color w:val="auto"/>
          <w:sz w:val="24"/>
          <w:szCs w:val="24"/>
          <w:highlight w:val="none"/>
        </w:rPr>
        <w:t xml:space="preserve">▲</w:t>
      </w:r>
      <w:bookmarkEnd w:id="21"/>
      <w:r/>
      <w:bookmarkEnd w:id="22"/>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整车检测系统软件应与采购人现有业务管理系统实现数据对接，实现检定数据联网共享功能；投标人须在投标文件中提供对接技术方案（包括数据库类型、通信协议、接口方式、数据字段等），并承诺配合采购人完成系统联调。</w:t>
      </w:r>
      <w:r/>
    </w:p>
    <w:p>
      <w:pPr>
        <w:ind w:firstLine="562"/>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（二）质量比较仪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功能要求：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标配⽓候模块，记录监测温度、湿度、压⼒、空⽓密度等环境参数，并能实时显⽰在⽐较仪的屏幕上；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⽓候模块的温度传感器可读性：0.01°C，湿度传感器可读性：0.1%RH，⽓压传感器可读性：0.01hPa；</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⽐较仪对称重传感器采取了磁屏蔽，避免低等级砝码⾃⾝所带磁性对称重传感器的影响，提⾼结果准确性。</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称重范围：≥300kg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可读性：≤0.02g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重复性：≤0.20g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典型重复性：≤0.08g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线性：4g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稳定时间：10S</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应用范围：F2等级：100-200kg，M1等级：50-200kg，M2等级：10-200kg，M3等级：5-200kg</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（三）标准砝码组-1t</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数量：1套（18块）</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1.规格1000kg，等级：M1；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2.材质：碳钢；</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3.形状：方形；可叉可吊；尺寸：≤长560mm宽600mm高470mm；尺寸的最大允许误差为±10mm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生产工艺：外壳、调整腔体使用≥8mm，碳钢无缝焊接；内部使用全新料整块碳钢板（不得使用零碎料）填充；所有钢板采用等离子切割保证所有板材的平整度及砝码拼接精度；采用机器人焊接保证密封性、耐撞击；</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5.砝码端面表面镌刻凹字铭牌信息；</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▲6.砝码调整腔为304不锈钢螺丝及调整套，调整腔密封盖板具有密封圈，确保砝码不进水，且终身可调节质量值；砝码质量误差：5g±1g，且所有砝码无负值，首次调整物不超过3kg；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.砝码质量稳定性：在12个月内砝码的质量应满足JJG99-2022《砝码》规程对M1等级的砝码要求</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（四）标准砝码组-20kg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数量：1套（100块）</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1.型号：20kg，等级:M1等级，</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2.材质：整块304不锈钢材质，不允许焊接</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3.密度≥7.9g/cm³</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4.形状：六面体（锁型）；外形尺寸≤226mm×118mm×128mm；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5.表面处理：拉丝，表面粗糙度Ra不大于1μm、Rz不大于5μm，刻有等级、规格及唯一的编号（打印单位名称、等级、规格、唯一的器号、厂商LOGO）；</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▲6.修正值：符合计量检定规程JJG99-2022《砝码》最大允许误差，无负值。</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7.砝码质量稳定性：在12个月内砝码的质量应满足JJG99-2022《砝码》规程对M1等级的砝码要求</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（五）实施及维修要求：</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要求：供应商负责本项目全部设备的供货、运输就位、安装调试、系统对接、检定校准、现场培训、质保售后等全部工作，设备及软件须符合国家相关计量规程规范，满足社会公用计量标准建标使用要求。</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安装调试要求：完成设备现场安装、整机调试及软件部署；完成与采购人现有业务管理系统数据对接，实现检定数据联网共享，相关费用由供应商承担，直至对接调试正常。</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质保及维修要求：质保期自项目验收合格之日起计算：质量比较仪质保 2 年；1t、20kg 标准砝码组质保 3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w:t>
      </w:r>
      <w:r>
        <w:rPr>
          <w:rFonts w:ascii="宋体" w:hAnsi="宋体" w:eastAsia="宋体" w:cs="宋体"/>
          <w:color w:val="auto"/>
          <w:sz w:val="24"/>
          <w:szCs w:val="24"/>
          <w:highlight w:val="none"/>
        </w:rPr>
        <w:t xml:space="preserve">安装调试完成后开展现场培训</w:t>
      </w:r>
      <w:r>
        <w:rPr>
          <w:rFonts w:hint="eastAsia" w:ascii="宋体" w:hAnsi="宋体" w:eastAsia="宋体" w:cs="宋体"/>
          <w:color w:val="auto"/>
          <w:sz w:val="24"/>
          <w:szCs w:val="24"/>
          <w:highlight w:val="none"/>
          <w:lang w:val="en-US" w:eastAsia="zh-CN"/>
        </w:rPr>
        <w:t xml:space="preserve">，培训讲师需具有工程师及以上职称，保证参训人员熟练掌握设备使用方法，且具有一定故障和紧急情况处理能力。</w:t>
      </w:r>
      <w:bookmarkEnd w:id="9"/>
      <w:r/>
      <w:bookmarkEnd w:id="10"/>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验收要求：全部工作完成后由供应商申请验收，采购人对照采购需求逐项核查，证书、功能、指标全部合格后方可通过验收。</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（六）其他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b/>
          <w:bCs/>
          <w:color w:val="auto"/>
          <w:sz w:val="32"/>
          <w:szCs w:val="32"/>
          <w:highlight w:val="none"/>
        </w:rPr>
        <w:br w:type="page" w:clear="all"/>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2</w:t>
      </w:r>
      <w:r>
        <w:rPr>
          <w:rFonts w:hint="eastAsia" w:ascii="宋体" w:hAnsi="宋体" w:eastAsia="宋体" w:cs="宋体"/>
          <w:b/>
          <w:bCs/>
          <w:color w:val="auto"/>
          <w:sz w:val="32"/>
          <w:szCs w:val="32"/>
          <w:highlight w:val="none"/>
        </w:rPr>
        <w:t xml:space="preserve">：</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numPr>
          <w:ilvl w:val="0"/>
          <w:numId w:val="0"/>
        </w:numPr>
        <w:ind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w:t>
      </w:r>
      <w:r>
        <w:rPr>
          <w:rFonts w:ascii="宋体" w:hAnsi="宋体" w:eastAsia="宋体" w:cs="宋体"/>
          <w:color w:val="auto"/>
          <w:sz w:val="24"/>
          <w:szCs w:val="24"/>
          <w:highlight w:val="none"/>
        </w:rPr>
        <w:t xml:space="preserve">，拟采</w:t>
      </w:r>
      <w:r>
        <w:rPr>
          <w:rFonts w:hint="eastAsia" w:ascii="宋体" w:hAnsi="宋体" w:eastAsia="宋体" w:cs="宋体"/>
          <w:color w:val="auto"/>
          <w:sz w:val="24"/>
          <w:szCs w:val="24"/>
          <w:highlight w:val="none"/>
        </w:rPr>
        <w:t xml:space="preserve">购便携式气体、粉尘、烟尘采样仪校验装置、</w:t>
      </w:r>
      <w:r>
        <w:rPr>
          <w:rFonts w:hint="default" w:ascii="宋体" w:hAnsi="宋体" w:eastAsia="宋体" w:cs="宋体"/>
          <w:color w:val="auto"/>
          <w:sz w:val="24"/>
          <w:szCs w:val="24"/>
          <w:highlight w:val="none"/>
        </w:rPr>
        <w:t xml:space="preserve">酸度计检定仪</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智能数字压力校验仪</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活塞式压力计（含全自动）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数字压力计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过程校验仪，项</w:t>
      </w:r>
      <w:r>
        <w:rPr>
          <w:rFonts w:ascii="宋体" w:hAnsi="宋体" w:eastAsia="宋体" w:cs="宋体"/>
          <w:color w:val="auto"/>
          <w:sz w:val="24"/>
          <w:szCs w:val="24"/>
          <w:highlight w:val="none"/>
        </w:rPr>
        <w:t xml:space="preserve">目总预算11</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二、货物（标的）采购清单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0"/>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便携式气体、粉尘、烟尘采样仪校验装置</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酸度计检定仪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智能数字压力校验仪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30</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活塞式压力计（含全自动）</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30</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3188" w:type="dxa"/>
            <w:vAlign w:val="center"/>
            <w:textDirection w:val="lrTb"/>
            <w:noWrap w:val="false"/>
          </w:tcPr>
          <w:p>
            <w:pPr>
              <w:ind w:left="0" w:right="0" w:firstLine="0"/>
              <w:jc w:val="lef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数字压力计</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34</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过程校验仪</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r>
    </w:tbl>
    <w:p>
      <w:pPr>
        <w:numPr>
          <w:ilvl w:val="0"/>
          <w:numId w:val="0"/>
        </w:numPr>
        <w:ind w:firstLine="482"/>
        <w:jc w:val="left"/>
        <w:spacing w:line="360" w:lineRule="auto"/>
        <w:widowControl w:val="off"/>
        <w:rPr>
          <w:rFonts w:hint="eastAsia" w:ascii="宋体" w:hAnsi="宋体" w:eastAsia="宋体" w:cs="宋体"/>
          <w:b/>
          <w:bCs/>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b w:val="0"/>
          <w:bCs w:val="0"/>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t xml:space="preserve">本项目核心产品为：</w:t>
      </w:r>
      <w:r>
        <w:rPr>
          <w:rFonts w:hint="eastAsia" w:ascii="宋体" w:hAnsi="宋体" w:cs="宋体"/>
          <w:bCs/>
          <w:color w:val="auto"/>
          <w:sz w:val="24"/>
          <w:szCs w:val="24"/>
          <w:highlight w:val="none"/>
          <w:u w:val="single"/>
          <w:lang w:val="en-US" w:eastAsia="zh-CN"/>
        </w:rPr>
        <w:t xml:space="preserve">活塞式压力计（含全自动）</w:t>
      </w:r>
      <w:r>
        <w:rPr>
          <w:rFonts w:hint="eastAsia" w:ascii="宋体" w:hAnsi="宋体" w:eastAsia="宋体"/>
          <w:b w:val="0"/>
          <w:bCs w:val="0"/>
          <w:color w:val="auto"/>
          <w:sz w:val="24"/>
          <w:szCs w:val="24"/>
          <w:highlight w:val="none"/>
        </w:rPr>
        <w:t xml:space="preserve">。</w:t>
      </w:r>
      <w:r/>
    </w:p>
    <w:p>
      <w:pPr>
        <w:numPr>
          <w:ilvl w:val="0"/>
          <w:numId w:val="0"/>
        </w:numPr>
        <w:ind w:firstLine="562"/>
        <w:jc w:val="left"/>
        <w:keepLines w:val="0"/>
        <w:keepNext w:val="0"/>
        <w:pageBreakBefore w:val="0"/>
        <w:spacing w:line="560" w:lineRule="exact"/>
        <w:rPr>
          <w:rFonts w:hint="eastAsia" w:ascii="黑体" w:hAnsi="黑体" w:eastAsia="黑体" w:cs="黑体"/>
          <w:color w:val="auto"/>
          <w:sz w:val="32"/>
          <w:szCs w:val="32"/>
          <w:highlight w:val="none"/>
        </w:rPr>
      </w:pPr>
      <w:r>
        <w:rPr>
          <w:rFonts w:hint="eastAsia" w:ascii="宋体" w:hAnsi="宋体" w:eastAsia="宋体" w:cs="宋体"/>
          <w:b/>
          <w:color w:val="auto"/>
          <w:sz w:val="28"/>
          <w:szCs w:val="28"/>
          <w:highlight w:val="none"/>
          <w:lang w:val="en-US" w:eastAsia="zh-CN"/>
        </w:rPr>
        <w:t xml:space="preserve">（一）便携式气体、粉尘、烟尘采样仪校验装置</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1.流量范围</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流路段1：(10-2000)mL/min，分辨率0.1mL/min，最大允许偏差：准确度不超过±1%，重复性：≤0.5%，至少4路，各路独立使用。</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流路段2：(2-230)L/min，分辨率0.01L/min，最大允许偏差：准确度不超过±1%，重复性：≤0.5%</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流路段3：(200-1500)L/min(外置)，分辨率0.1L/min，最大允许偏差：准确度不超过±1%，重复性：≤0.5%</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皂膜流量计(50-6000)mL/min(外置)，分辨率0.1L/min，最大允许偏差：准确度不超过±1%，重复性：≤0.5%</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▲2.设备内置≥7寸高清触摸屏，界面简洁直观，操作流程简化，上手门槛低；</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▲3.内置动态烟温标定功能，支持PT100传感器，支持0℃-500℃任意温度点设定，灵活输出、准确便捷；</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▲4.设备内置压力发生器，支持压力自动发生，无需手摇；</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▲5.支持皂膜流量计外设扩展，可根据监测要求灵活升级测量配置；</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6.支持OTA远程升级，降低维护成本；</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7.支持交直流两用供电，配备Type-C通用充电接口，大幅提高充电便捷性；</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★满足JJG956-2013《大气采样器》检定规程、JJG943-2011《总悬浮颗粒物采样器》检定规程和JJG520-2005《粉尘采样器》检定规程要求。</w:t>
      </w:r>
      <w:r/>
    </w:p>
    <w:p>
      <w:pPr>
        <w:ind w:firstLine="562"/>
        <w:jc w:val="left"/>
        <w:keepLines w:val="0"/>
        <w:keepNext w:val="0"/>
        <w:pageBreakBefore w:val="0"/>
        <w:spacing w:after="0" w:line="56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（二）</w:t>
      </w:r>
      <w:r>
        <w:rPr>
          <w:rFonts w:hint="default" w:ascii="宋体" w:hAnsi="宋体" w:eastAsia="宋体" w:cs="宋体"/>
          <w:b/>
          <w:color w:val="auto"/>
          <w:sz w:val="28"/>
          <w:szCs w:val="28"/>
          <w:highlight w:val="none"/>
          <w:lang w:val="en-US" w:eastAsia="zh-CN"/>
        </w:rPr>
        <w:t xml:space="preserve">酸度计检定仪</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▲1.pH测量范围：0.000~14.000pH</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▲2.mV输出范围：-2000.00mV~+2000.00mV</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▲3.pH年稳定性:等电位、量程不超过±0.0006</w:t>
      </w:r>
      <w:r>
        <w:rPr>
          <w:rFonts w:hint="default" w:ascii="宋体" w:hAnsi="宋体" w:eastAsia="宋体" w:cs="宋体"/>
          <w:color w:val="auto"/>
          <w:sz w:val="24"/>
          <w:szCs w:val="24"/>
          <w:highlight w:val="none"/>
          <w:lang w:val="en-US" w:eastAsia="zh-CN"/>
        </w:rPr>
        <w:tab/>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▲4.电位零点偏移(mV):不超过±0.03</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▲5.电位示值误差(%FS):不超过±0.01</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▲6.pH示值误差:不超过±0.0006</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▲7.温度补偿器误差(pH):不超过±0.0006</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▲8.pH示值稳定性:等电位、量程不大于0.0002</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▲9.高阻器阻值误差/(GΩ):1GΩ高阻不超过±0.1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3GΩ高阻不超过±0.3</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▲10.高分辨率彩色触摸屏显示（≥7寸）</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★满足JJG119-2018《实验室pH(酸度)计》检定规程要求。</w:t>
      </w:r>
      <w:r/>
    </w:p>
    <w:p>
      <w:pPr>
        <w:ind w:firstLine="56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8"/>
          <w:szCs w:val="28"/>
          <w:highlight w:val="none"/>
          <w:lang w:val="en-US" w:eastAsia="zh-CN"/>
        </w:rPr>
        <w:t xml:space="preserve">（三）</w:t>
      </w:r>
      <w:r>
        <w:rPr>
          <w:rFonts w:hint="default" w:ascii="宋体" w:hAnsi="宋体" w:eastAsia="宋体" w:cs="宋体"/>
          <w:b/>
          <w:color w:val="auto"/>
          <w:sz w:val="28"/>
          <w:szCs w:val="28"/>
          <w:highlight w:val="none"/>
          <w:lang w:val="en-US" w:eastAsia="zh-CN"/>
        </w:rPr>
        <w:t xml:space="preserve">智能数字压力校验仪</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功能要求：</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智能数字压力校验仪用于校准精密压力表、一般压力表、双点电接点压力表、压力控制器、压力（差压）变送器、压力传感器等压力仪器仪表，测压范围（-0.1~70）MPa。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参考标准：</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JJG882-2019《压力变送器检定规程》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JJG875—2019《数字压力计检定规程》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JJG52-2013《弹性元件式一般压力表、压力真空表和真空表检定规程》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JJG49-2013《弹性元件式精密压力表和真空表检定规程》；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支持检定HART仪表功能，具备HART校验功能</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技术指标要求：</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智能数字压力校验仪测压范围（-0.1~70）MPa</w:t>
      </w:r>
      <w:r/>
    </w:p>
    <w:p>
      <w:pPr>
        <w:ind w:firstLine="48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准确度等级0.02级，量程：（0～60）MPa、（0～25）MPa、（0～10）MPa、（0～6）MPa、（0～2.5）MPa、（0～1）MPa、(0～600)kPa、（0～250）kPa、(-100～0)kPa</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准确度等级0.0</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lang w:val="en-US" w:eastAsia="zh-CN"/>
        </w:rPr>
        <w:t xml:space="preserve">，量程：</w:t>
      </w:r>
      <w:r>
        <w:rPr>
          <w:rFonts w:hint="default" w:ascii="宋体" w:hAnsi="宋体" w:eastAsia="宋体" w:cs="宋体"/>
          <w:color w:val="auto"/>
          <w:sz w:val="24"/>
          <w:szCs w:val="24"/>
          <w:highlight w:val="none"/>
          <w:lang w:val="en-US" w:eastAsia="zh-CN"/>
        </w:rPr>
        <w:t xml:space="preserve">（-500～500)Pa</w:t>
      </w:r>
      <w:r/>
    </w:p>
    <w:p>
      <w:pPr>
        <w:ind w:firstLine="48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智能数字压力校验仪显示与传感器一体化</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具备清晰的多参数显示功能，可显示压力、电测值及温度补偿等信息，支持背光、电量显示及多种压力单位切换，显示位数满足测量精度要求</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电流测量：(-30～30)mA准确度</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(0.01%RD+0.005%F.S)，电压测量：(-30～30)V准确度</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(0.01%RD+0.005%F.S)，电压输出：DC24V</w:t>
      </w:r>
      <w:r/>
    </w:p>
    <w:p>
      <w:pPr>
        <w:ind w:firstLine="48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2.6.支持HART通信协议、Profibus通信协议，具有过压报警功能</w:t>
      </w:r>
      <w:r/>
    </w:p>
    <w:p>
      <w:pPr>
        <w:ind w:firstLine="48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开关量双通道测量功能，带蜂鸣音提示。可校验双点电接点压力表，在测量开关量时显示开关动作值时可保持动作值</w:t>
      </w:r>
      <w:r/>
    </w:p>
    <w:p>
      <w:pPr>
        <w:ind w:firstLine="48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具备存储功能</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配备防护外壳</w:t>
      </w:r>
      <w:r/>
    </w:p>
    <w:p>
      <w:pPr>
        <w:ind w:firstLine="562"/>
        <w:jc w:val="left"/>
        <w:keepLines w:val="0"/>
        <w:keepNext w:val="0"/>
        <w:pageBreakBefore w:val="0"/>
        <w:spacing w:after="0" w:line="56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（四）</w:t>
      </w:r>
      <w:r>
        <w:rPr>
          <w:rFonts w:hint="default" w:ascii="宋体" w:hAnsi="宋体" w:eastAsia="宋体" w:cs="宋体"/>
          <w:b/>
          <w:color w:val="auto"/>
          <w:sz w:val="28"/>
          <w:szCs w:val="28"/>
          <w:highlight w:val="none"/>
          <w:lang w:val="en-US" w:eastAsia="zh-CN"/>
        </w:rPr>
        <w:t xml:space="preserve">活塞式压力计（含全自动）</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）气体活塞式压力计</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1.符合JJG1086－2013《气体活塞式压力计》检定规程。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2.测量范围：(-0.1～0.6)MPa；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3.准确度等级：0.02级；</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工作介质：纯净空气/高纯氮气；</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测压方式：表压；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6.活塞杆：碳化钨，活塞筒：碳化钨；</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7.砝码材料：无磁不锈钢；</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8.活塞杆应满足对应量程有效面积设计及相关检定规程要求；</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9.活塞有效面积：5cm²；</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单排2组M20*1.5快速接口；</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具有双组保护换向阀，保护正负压切换，防止泄露；</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配备多级过滤系统，过滤精度满足工作介质纯净度要求，材质为不锈钢；</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正负压一体式设计；</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★14.铝合金板面；</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）液体活塞式压力计（量程0.1～6MPa）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★1.符合JJG59－2022《液体活塞式压力计》检定规程，JJG99-2022《砝码》检定规程；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★2.详细参数：</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准确度等级：0.02级；</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测量范围：（0.1~6）MPa；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活塞有效面积：0.5cm2；</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砝码材料：无磁不锈钢砝码；</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3.活塞材料：活塞缸、活塞筒为碳化钨材料；工作介质：变压器油与煤油混合油；</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4.活塞系统配置有活塞位置指示位移传感器，分辨力优于0.1mm；</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▲5.液晶显示：不小于5寸中文彩色触摸显示屏；</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可显示活塞浮动位置</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可显示活塞转速，直观展示活塞是否达到工作转速（约30r/min）；</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可显示环境温、湿度，在适宜的环境温湿度（温度：20±2℃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湿度：&lt;80%）下工作活塞性能指标最优；</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内置操作说明书；</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6.活塞台体内置有单向阀式预压泵；</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7.设备设有排污系统设计；</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活塞调压器应具备防逆转或防后退安全设计，确保调压过程稳定可靠，并带有清晰的刻度或指针指示；</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9.活塞系统应便于安装、拆卸、保存和送检，各量程活塞系统拆卸后即可独立送检；</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）液体活塞式压力计（量程1～60MPa）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★1.符合JJG59－2022《液体活塞式压力计》检定规程，JJG99-2022《砝码》检定规程；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2.详细参数：</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准确度等级：0.02级；</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测量范围：（1~60）MPa；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活塞有效面积：0.05cm2；</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砝码材料：无磁不锈钢砝码；</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3.活塞材料：活塞缸、活塞筒为碳化钨材料；工作介质：癸二酸二异辛酯；</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4.活塞系统配置有活塞位置指示位移传感器，分辨力优于0.1mm，观察活塞平衡更加准确；</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▲5.液晶显示：不小于5寸中文彩色触摸显示屏；</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可显示活塞浮动位置；</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5.2.可显示活塞转速，直观展示活塞是否达到工作转速（约30r/min）；</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5.3.可显示环境温、湿度，在适宜的环境温湿度（温度：20±2℃，湿度：&lt;80%）下工作活塞性能指标最优；</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5.4.内置操作说明书；</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6.活塞台体内置有单向阀式预压泵；</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7.设有排污系统设计；</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▲8.活塞调压器应在台体内部（有前进后退指针、刻度显示）旋转时不会往后退；</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9.活塞系统应便于安装、拆卸、保存和送检，各量程活塞系统拆卸后即可独立送检；</w:t>
      </w:r>
      <w:r/>
    </w:p>
    <w:p>
      <w:pPr>
        <w:ind w:firstLine="562"/>
        <w:jc w:val="left"/>
        <w:keepLines w:val="0"/>
        <w:keepNext w:val="0"/>
        <w:pageBreakBefore w:val="0"/>
        <w:spacing w:after="0" w:line="56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（五）数字压力计</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▲1.1.智能数字压力模块用于校准精密压力表、一般压力表、双点电接点压力表、压力控制器、压力（差压）变送器、压力传感器等压力仪器仪表，测压范围（-0.1~250）MPa。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★1.2.参考标准：</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JJG882-2019《压力变送器检定规程》</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JJG875—2019《数字压力计检定规程》</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JJG52-2013《弹性元件式一般压力表、压力真空表和真空表检定规程》</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JJG49-2013《弹性元件式精密压力表和真空表检定规程》；</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▲1.3.应支持HART功能;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2.1.智能数字压力模块测压范围（-0.1~250）MPa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2.2.准确度等级0.02级，量程：（0～250)MPa、（0～100）MPa、（0～40）MPa、（0～16）MPa、（0～6）MPa、（0～4）MPa、(0～1.6)MPa、（0～400）kPa、（0～250）kPa、（-100～100）kPa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2.3.压力模块显示与传感器一体化</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★2.4.显示精度：6位/5位/4位显示可调，三排显示：压力显示、电测显示、温度补偿功能显示，带背光、电池电量显示，9种压力单位可选；</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▲2.5.电流测量：(-30～30)mA准确度：±(0.01%RD+0.005%F.S)，电压测量：(-30～30)V准确度：±(0.01%RD+0.005%F.S)，电压输出：DC24V；</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2.6.支持HART通信协议、Profibus通信协议，具有过压报警功能；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2.7.开关量双通道测量功能，带蜂鸣音提示。可校验双点电接点压力表，在测量开关量时显示开关动作值时可保持动作值；</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2.8.具备存储功能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2.9.配备防护外壳</w:t>
      </w:r>
      <w:r/>
    </w:p>
    <w:p>
      <w:pPr>
        <w:ind w:firstLine="562"/>
        <w:jc w:val="left"/>
        <w:keepLines w:val="0"/>
        <w:keepNext w:val="0"/>
        <w:pageBreakBefore w:val="0"/>
        <w:spacing w:after="0" w:line="56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（六）过程校验仪</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热电偶测量和输出提供自动和手动两种冷端温度补偿功能，可自定义输出量程，方便不同应用的0%～100%值的调用，具备压力测量及高精度直流电压、电流测量等功能，既可作为过程校验，也可用于压力表、压力变送器、压力开关检定的测量仪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★2.参考标准：JJF1472-2014《过程仪表校验仪校准规范》、JJG882-2019《压力变送器检定规程》、JJG875—2019《数字压力计检定规程》；</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3.技术指标要求：</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▲3.1.电压测量：（0～50）V,电流（0～20）mA，频率（0～100）kHZ，电阻（0～5000）Ω，电压输出：DC24V，具备HART校验功能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▲3.2.MPE:±0.01%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数字压力模块0.02级等级，量程（-2.5～2.5)kPa、(0～160)kPa，显示精度：6位/5位/4位显示可调，三排显示：压力显示、电测显示、温度补偿功能显示，带背光、压力进度百分比显示，电池电量显示，9种压力单位可选；</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▲3.4.具备HART校验功能，可作为HART手操器校验HART仪表，支持Profibus通信协议；</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▲3.5.开关量双通道测量功能，带蜂鸣音提示。</w:t>
      </w:r>
      <w:r/>
    </w:p>
    <w:p>
      <w:pPr>
        <w:ind w:firstLine="56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8"/>
          <w:szCs w:val="28"/>
          <w:highlight w:val="none"/>
          <w:lang w:val="en-US" w:eastAsia="zh-CN"/>
        </w:rPr>
        <w:t xml:space="preserve">（七）实施及维修要求</w:t>
      </w:r>
      <w:r>
        <w:rPr>
          <w:rFonts w:hint="default" w:ascii="宋体" w:hAnsi="宋体" w:eastAsia="宋体" w:cs="宋体"/>
          <w:b/>
          <w:color w:val="auto"/>
          <w:sz w:val="28"/>
          <w:szCs w:val="28"/>
          <w:highlight w:val="none"/>
          <w:lang w:val="en-US" w:eastAsia="zh-CN"/>
        </w:rPr>
        <w:t xml:space="preserve">：</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包全部设备（便携式气体、粉尘、烟尘采样仪校验装置、酸度计检定仪、智能数字压力校验仪、活塞式压力计（含全自动）、数字压力计、过程校验仪）的供货、运输就位、安装调试、检定校准、现场培训、质保售后等全部工作，设备及软件须满足采购需求技术指标及对应国家计量规程、规范要求，确保设备可正常开展计量检定工作。</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安装调试要求：完成设备现场安装、整机调试、软件配置；具备通信、数据导出、OTA 远程升级、WiFi、HART/Profibus 通讯等功能的设备须调试至功能正常，各项性能指标达到采购需求及计量规程要求。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质保及维修要求：质保期自项目验收合格之日起计算：便携式气体、粉尘、烟尘采样仪校验装置、酸度计检定仪质保 2 年；智能数字压力校验仪、数字压力计、过程校验仪整机质保 2 年，准确度质保 3 年；活塞式压力计（含全自动）质保 3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w:t>
      </w:r>
      <w:r>
        <w:rPr>
          <w:rFonts w:ascii="宋体" w:hAnsi="宋体" w:eastAsia="宋体" w:cs="宋体"/>
          <w:color w:val="auto"/>
          <w:sz w:val="24"/>
          <w:szCs w:val="24"/>
          <w:highlight w:val="none"/>
        </w:rPr>
        <w:t xml:space="preserve">安装调试完成后开展现场培训</w:t>
      </w:r>
      <w:r>
        <w:rPr>
          <w:rFonts w:hint="eastAsia" w:ascii="宋体" w:hAnsi="宋体" w:eastAsia="宋体" w:cs="宋体"/>
          <w:color w:val="auto"/>
          <w:sz w:val="24"/>
          <w:szCs w:val="24"/>
          <w:highlight w:val="none"/>
          <w:lang w:val="en-US" w:eastAsia="zh-CN"/>
        </w:rPr>
        <w:t xml:space="preserve">，培训讲师需具有工程师及以上职称，保证参训人员熟练掌握设备使用方法，且具有一定故障和紧急情况处理能力。</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验收要求：全部工作完成后由供应商申请验收，采购人对照采购需求逐项核查，证书、功能、指标全部合格后方可通过验收。</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w:t>
      </w: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rPr>
        <w:t xml:space="preserve">：</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w:t>
      </w:r>
      <w:r>
        <w:rPr>
          <w:rFonts w:ascii="宋体" w:hAnsi="宋体" w:eastAsia="宋体" w:cs="宋体"/>
          <w:color w:val="auto"/>
          <w:sz w:val="24"/>
          <w:szCs w:val="24"/>
          <w:highlight w:val="none"/>
        </w:rPr>
        <w:t xml:space="preserve">，拟采购</w:t>
      </w:r>
      <w:r>
        <w:rPr>
          <w:rFonts w:hint="eastAsia" w:ascii="宋体" w:hAnsi="宋体" w:eastAsia="宋体" w:cs="宋体"/>
          <w:color w:val="auto"/>
          <w:sz w:val="24"/>
          <w:szCs w:val="24"/>
          <w:highlight w:val="none"/>
          <w:lang w:val="en-US" w:eastAsia="zh-CN"/>
        </w:rPr>
        <w:t xml:space="preserve">精密露点仪</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标准铂铑10-铂热电偶</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热电偶校准炉、冰点恒温器、温湿度实验设备自动检定系统一、温湿度实验设备自动检定系统二、黑体辐射源（低温）、黑体辐射源（中温）、黑体辐射源（高温）、全站仪</w:t>
      </w:r>
      <w:r>
        <w:rPr>
          <w:rFonts w:ascii="宋体" w:hAnsi="宋体" w:eastAsia="宋体" w:cs="宋体"/>
          <w:color w:val="auto"/>
          <w:sz w:val="24"/>
          <w:szCs w:val="24"/>
          <w:highlight w:val="none"/>
        </w:rPr>
        <w:t xml:space="preserve">，项目总预算1</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8万元</w:t>
      </w:r>
      <w:r>
        <w:rPr>
          <w:rFonts w:hint="eastAsia" w:ascii="宋体" w:hAnsi="宋体" w:eastAsia="宋体" w:cs="宋体"/>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二、货物（标的）采购清单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403"/>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精密露点仪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标准铂铑10-铂热电偶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热电偶校准炉</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18</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冰点恒温器</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温湿度实验设备自动检定系统一</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温湿度实验设备自动检定系统二</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黑体辐射源（低温）</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19</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黑体辐射源（中温）</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黑体辐射源（高温）</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18</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全站仪</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38</w:t>
            </w:r>
            <w:r/>
          </w:p>
        </w:tc>
      </w:tr>
    </w:tbl>
    <w:p>
      <w:pPr>
        <w:numPr>
          <w:ilvl w:val="0"/>
          <w:numId w:val="0"/>
        </w:numPr>
        <w:ind w:firstLine="482"/>
        <w:jc w:val="left"/>
        <w:spacing w:line="360" w:lineRule="auto"/>
        <w:widowControl w:val="off"/>
        <w:rPr>
          <w:rFonts w:hint="eastAsia" w:ascii="宋体" w:hAnsi="宋体" w:eastAsia="宋体" w:cs="宋体"/>
          <w:b/>
          <w:bCs/>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t xml:space="preserve">本项目核心产品为：</w:t>
      </w:r>
      <w:r>
        <w:rPr>
          <w:rFonts w:hint="eastAsia" w:ascii="宋体" w:hAnsi="宋体" w:cs="宋体"/>
          <w:bCs/>
          <w:color w:val="auto"/>
          <w:sz w:val="24"/>
          <w:szCs w:val="24"/>
          <w:highlight w:val="none"/>
          <w:u w:val="single"/>
          <w:lang w:val="en-US" w:eastAsia="zh-CN"/>
        </w:rPr>
        <w:t xml:space="preserve">热电偶校准炉</w:t>
      </w:r>
      <w:r>
        <w:rPr>
          <w:rFonts w:hint="eastAsia" w:ascii="宋体" w:hAnsi="宋体" w:eastAsia="宋体"/>
          <w:b w:val="0"/>
          <w:bCs w:val="0"/>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lang w:val="en-US" w:eastAsia="zh-CN"/>
        </w:rPr>
        <w:t xml:space="preserve">精密露点仪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技术指标：</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1</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露点范围：（-25～+90）℃</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lang w:eastAsia="zh-CN"/>
        </w:rPr>
        <w:t xml:space="preserve">2.露点测量精度：±0.15℃</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3</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温度范围：（-40～+90）℃</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lang w:eastAsia="zh-CN"/>
        </w:rPr>
        <w:t xml:space="preserve">4.温度测量精度：±0.1℃</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5</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重复性：±0.05℃</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6</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灵敏性：±0.01℃</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lang w:eastAsia="zh-CN"/>
        </w:rPr>
        <w:t xml:space="preserve">7.准确度等级：二级</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8</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响应时间：1分钟+10℃dp稳定测量</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9</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传感器要求：Pt1000温度传感器，1/10DIN，A级</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标准铂铑10-铂热电偶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1.温度范围：0~1084.62℃</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2.分度号：S</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电极尺寸：φ0.5mm，长度不小于1000mm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4.等级：一等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保护管材质：石英</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保护管尺寸：φ7mmX550mm</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eastAsia="zh-CN"/>
        </w:rPr>
        <w:t xml:space="preserve">符合JJG75-2022《标准铂铑10-铂热电偶》</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en-US" w:eastAsia="zh-CN"/>
        </w:rPr>
        <w:t xml:space="preserve">热电偶校准炉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热电偶校准炉</w:t>
      </w:r>
      <w:r>
        <w:rPr>
          <w:rFonts w:hint="eastAsia" w:ascii="宋体" w:hAnsi="宋体" w:eastAsia="宋体" w:cs="宋体"/>
          <w:b w:val="0"/>
          <w:bCs w:val="0"/>
          <w:color w:val="auto"/>
          <w:sz w:val="24"/>
          <w:szCs w:val="24"/>
          <w:highlight w:val="none"/>
          <w:lang w:eastAsia="zh-CN"/>
        </w:rPr>
        <w:t xml:space="preserve">技术要求：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1.测量范围：800~</w:t>
      </w:r>
      <w:r>
        <w:rPr>
          <w:rFonts w:hint="eastAsia" w:ascii="宋体" w:hAnsi="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00℃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2.均匀温场：最高温度点偏离炉几何中心&lt;20mm，±20mm温度梯度&lt;0.4℃；</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外形尺寸：600X280X520mm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炉膛尺寸：φ20X600mm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额定功率：4500W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额定电压：单相220V</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整机重量：小于70KG（含电源）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结构形式：电源、炉体一体设计</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满足：《JJF1184-2024热电偶检定炉温度场测试技术规范》检定规程</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en-US" w:eastAsia="zh-CN"/>
        </w:rPr>
        <w:t xml:space="preserve">冰点恒温器</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技术指标：</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1.显示分辨力：0.001℃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2.准确度：0℃±0.03℃</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最大孔间差：0.01℃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室温降至0℃：约12min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插入深度：200mm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开孔尺寸：φ8mm×5个</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val="en-US" w:eastAsia="zh-CN"/>
        </w:rPr>
        <w:t xml:space="preserve">温湿度实验设备自动检定系统一</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技术参数：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无线温度采集主机</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温度通道数：10个通道；</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温度测量范围：（-80~300）℃；分辨力：0.01℃；最大允许误差：±（0.15℃+0.002|t|）；</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传感器：A级，Pt100，4线制，引线长5米，引线长度可定制。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通讯接口：Zigbee，蓝牙；</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数据存储：记录数据容量不小于200万组；</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2.无线温湿度采集主机</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湿度通道：5个湿度通道；</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2.2.湿度测量范围：0%～100%RH（无冷凝），分辨率0.1%RH，精度±2%RH；</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2.3.传感器：高精度温湿度探头（品牌不限，须满足本文件精度要求），引线长5米，引线长度可定制。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数据传输：支持手机远程进行数据采集控制和数据读取；</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数据显示：支持液晶屏显示实时测量数据；</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3.温度、湿度采集主机均支持屏幕实时显示温湿度数据；</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采用不低于1500mAh锂电池供电，满电连续运行时间不低于500小时，充电接口为Type-C接口；</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温湿度采集主机便携设计，便于现场携带使用；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采集主机支持无线数据传输，可组网采集，组网接入数量不少于 32 台；</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探头支持无线通讯，可现场设置参数、实时查看测量数据；可导出 Excel 格式历史数据；可输出符合 JJF1101-2019《环境试验设备温度、湿度参数校准规范》要求的原始数据及校准报告；</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配置便携式无线数据处理终端，触控显示，可将测量数据实时上传云端服务器；支持电脑、手机远程访问查看实时数据与历史数据。</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符合JJF1101-2019《环境试验设备温度、湿度参数校准规范》、JJF2119-2024《低气压试验箱校准规范》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配置清单：</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无线温度采集主机*2台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2.无线温湿度采集主机*1台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3.高精度温湿度探头*5个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4.3米PT100温度探头20支</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5.无线接收器*2个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6.用测试分析软件×1套</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lang w:val="en-US" w:eastAsia="zh-CN"/>
        </w:rPr>
        <w:t xml:space="preserve">温湿度实验设备自动检定系统二</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技术参数：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湿度测量范围：5%～95%RH（无冷凝），分辨率0.1%RH，精度±2%RH</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2.温度测量范围：-40℃～100℃，分辨率0.01℃，精度±0.1℃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采集频率：1次/秒～1次/24小时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4.存储数据：≥5万组</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传输方式：无线实时传输，支持无线组网；</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6.内置耐高温锂电池，可自行更换，电池寿命≥2年；</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7.探头温湿度一体，主体尺寸直径不大于35mm，高度不大于30mm，便于放置于空间狭小的被检设备内；</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8.探头具备通用传感器接口，便于插拔更换；</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9.软件功能：支持输出JJF1564-2016《温湿度标准箱校准规范》报告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10.同时支持通过蓝牙和Zigbee无线数据实时传输；支持通过手机APP和微信小程序控制启停和数据实时查看；</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lang w:eastAsia="zh-CN"/>
        </w:rPr>
        <w:t xml:space="preserve">软件支持无线实时数据采集；支持数据实时显示、数据分析、报告输出，支持远程升级和维护，支持云端数据管理；</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符合JJF1101-2019《环境试验设备温度、湿度参数校准规范》、JJF2119-2024《低气压试验箱校准规范》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配置清单：</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1.无线实时温湿度探头（含高精度温湿度探头）9个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2.无线接收器1个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3.专用数据分析软件1套</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4.手机APP软件1套</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5.数据处理装置：处理器主频不低于3.0GHz、四核及以上（CPU及操作系统须符合安全可靠测评要求），内存不低于16G，固态硬盘不小于1000G</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en-US" w:eastAsia="zh-CN"/>
        </w:rPr>
        <w:t xml:space="preserve">黑体辐射源（低温）</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技术指标：</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本设备符合《JJG856-2015工作用辐射温度计检定规程》辐射源的要求；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温度范围：（-30～100）℃；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腔体结构为圆球型腔；</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腔口直径：Φ50mm；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发射率:优于0.998；</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温度分辨率:0.01℃全量程；</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稳定性:不大于（0.1%t℃或0.1℃的大者）/10min；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均匀性:不大于±（0.15℃或0.15%t的大者）；</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设备具备有效的防结霜功能，满足低温环境连续稳定运行要求；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温场均匀性好，黑体辐射源中心区域不小于φ35mm范围温度分布；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设备配备高效制冷加热系统，温场可完全包裹黑体腔体，有效工作区域的温度均匀度、温度波动度满足招标文件规定技术指标；</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12.具备校准波长调整功能（0.66～14）μm，可调整当前辐射源亮度温度；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13.具备校准发射率调整功能（0.8～1.0），可调整当前辐射源亮度温度；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14.黑体腔体采用一体式定制材料球型结构，涂层在0℃低温条件下应不易破损、无剥落、附着力好；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▲15.温度控制器应采用控温精度高、温度漂移小的高精度温控仪表（品牌不限）；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16.升温/降温操作应简便快捷，具备防误操作设计；</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整体设计有高低温超温保护、介质溢出口，保护制冷机在正常范围内工作；</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配有标准铂电阻5个位置插孔盖板，测试温场均匀性、波动度；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带通讯接口，可二次开发，实现计量装置的自动测试；</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工作介质：防冻液；</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供电电源：(220±22)V，50Hz；</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功率约4kW；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环境温度：18℃-25℃；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相对湿度：20%～85%；</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额定工作条件：环境温度（5～40）℃，湿度85%RH以下；</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黑体辐射源（中温）</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技术指标：</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本设备符合《JJG856-2015工作用辐射温度计检定规程》的对黑体辐射源要求。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2.该设备应能作为工作用辐射温度计的参考辐射源使用，满足本项目计量性能要求；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温度范围（50～700）℃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腔体结构为圆球型；</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腔口直径</w:t>
      </w:r>
      <w:r>
        <w:rPr>
          <w:rFonts w:hint="eastAsia" w:ascii="宋体" w:hAnsi="宋体" w:eastAsia="宋体" w:cs="宋体"/>
          <w:b w:val="0"/>
          <w:bCs w:val="0"/>
          <w:color w:val="auto"/>
          <w:sz w:val="24"/>
          <w:szCs w:val="24"/>
          <w:highlight w:val="none"/>
          <w:lang w:eastAsia="zh-CN"/>
        </w:rPr>
        <w:tab/>
      </w:r>
      <w:r>
        <w:rPr>
          <w:rFonts w:hint="eastAsia" w:ascii="宋体" w:hAnsi="宋体" w:eastAsia="宋体" w:cs="宋体"/>
          <w:b w:val="0"/>
          <w:bCs w:val="0"/>
          <w:color w:val="auto"/>
          <w:sz w:val="24"/>
          <w:szCs w:val="24"/>
          <w:highlight w:val="none"/>
          <w:lang w:eastAsia="zh-CN"/>
        </w:rPr>
        <w:t xml:space="preserve">Φ65mm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发射率高：优于0.998；</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稳定性：不大于（0.1℃与0.1%t℃的大者）/10min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均匀性：不大于±（0.15℃与0.15%t）的大者</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温度分辨率：0.1℃与0.01℃可切换</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10.具备校准波长调整功能（0.66～14）μm，可调整当前辐射源亮度温度；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11.具备校准发射率调整功能（0.8～1.0），可调整当前辐射源亮度温度；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▲12.温度控制器应采用控温精度高、温度漂移小的高精度温控仪表（品牌不限）；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温度恒定时间长，在到达检定/校准设定温度值后，传递用辐射温度计的测量值可长时间恒定，实测在60min以上；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在控温稳定期间，温控表稳定，反馈值到达设定值后靶心亮温不出现单方向温漂，温度漂移近似为水平曲线，温度值可长时间恒定60min温度变化&lt;0.6℃；</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具有降温自动断电功能；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升温及稳定时间：常温段整百度温度点升温稳定时间不大于70min；高温段整百度温度点升温稳定时间不超过20min；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支持众多智能通讯协议：兼容ModbusRTU、ProfibusDP等主流工业协议，实现设备间无缝集成；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可二次开发，带通讯接口，实现计量装置的自动测试；</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参考黑体辐射源电阻丝等加热元件与外壳之间的绝缘电阻不小于20MΩ。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供电电源：(220±22)V，50Hz；</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功 率</w:t>
      </w:r>
      <w:r>
        <w:rPr>
          <w:rFonts w:hint="eastAsia" w:ascii="宋体" w:hAnsi="宋体" w:eastAsia="宋体" w:cs="宋体"/>
          <w:b w:val="0"/>
          <w:bCs w:val="0"/>
          <w:color w:val="auto"/>
          <w:sz w:val="24"/>
          <w:szCs w:val="24"/>
          <w:highlight w:val="none"/>
          <w:lang w:eastAsia="zh-CN"/>
        </w:rPr>
        <w:tab/>
      </w:r>
      <w:r>
        <w:rPr>
          <w:rFonts w:hint="eastAsia" w:ascii="宋体" w:hAnsi="宋体" w:eastAsia="宋体" w:cs="宋体"/>
          <w:b w:val="0"/>
          <w:bCs w:val="0"/>
          <w:color w:val="auto"/>
          <w:sz w:val="24"/>
          <w:szCs w:val="24"/>
          <w:highlight w:val="none"/>
          <w:lang w:eastAsia="zh-CN"/>
        </w:rPr>
        <w:t xml:space="preserve">约4kW；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环境温度：18℃-25℃；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相对湿度：20%～85%；</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其他：实验环境无明显机械振动、强机械冲击和强电磁干扰；实验过程中应避免阳光和强辐射源对实验造成干扰；应避免空调气流、开门窗引起的对流对黑体辐射源的影响。</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lang w:val="en-US" w:eastAsia="zh-CN"/>
        </w:rPr>
        <w:t xml:space="preserve">黑体辐射源（高温）</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技术指标：</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本设备符合《JJG856-2015工作用辐射温度计检定规程》的对黑体辐射源要求。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2.该设备应能作为工作用辐射温度计的参考辐射源使用，满足本项目计量性能要求；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温度范围（700～</w:t>
      </w:r>
      <w:r>
        <w:rPr>
          <w:rFonts w:hint="eastAsia" w:ascii="宋体" w:hAnsi="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00）℃；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腔体结构为圆球型；</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腔口直径</w:t>
      </w:r>
      <w:r>
        <w:rPr>
          <w:rFonts w:hint="eastAsia" w:ascii="宋体" w:hAnsi="宋体" w:eastAsia="宋体" w:cs="宋体"/>
          <w:b w:val="0"/>
          <w:bCs w:val="0"/>
          <w:color w:val="auto"/>
          <w:sz w:val="24"/>
          <w:szCs w:val="24"/>
          <w:highlight w:val="none"/>
          <w:lang w:eastAsia="zh-CN"/>
        </w:rPr>
        <w:tab/>
      </w:r>
      <w:r>
        <w:rPr>
          <w:rFonts w:hint="eastAsia" w:ascii="宋体" w:hAnsi="宋体" w:eastAsia="宋体" w:cs="宋体"/>
          <w:b w:val="0"/>
          <w:bCs w:val="0"/>
          <w:color w:val="auto"/>
          <w:sz w:val="24"/>
          <w:szCs w:val="24"/>
          <w:highlight w:val="none"/>
          <w:lang w:eastAsia="zh-CN"/>
        </w:rPr>
        <w:t xml:space="preserve">Φ50mm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发射率高：优于0.998；</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稳定性：不大于（0.1℃与0.1%t℃的大者）/10min；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均匀性：不大于±（0.15℃与0.15%t）的大者；</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温度分辨率：0.1℃；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10.具备校准波长调整功能（0.66～14）μm，可调整当前辐射源亮度温度；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11.具备校准发射率调整功能（0.8～1.0），可调整当前辐射源亮度温度；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可用有效温场区域大，黑体辐射源中心区域不小于φ35mm范围内布；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温度恒定时间长，在到达检定/校准设定温度值后，传递用辐射温度计的测量值可长时间恒定，实测在60min以上。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14.升温及稳定：常温升到1000℃≤80min；由1000℃升至</w:t>
      </w:r>
      <w:r>
        <w:rPr>
          <w:rFonts w:hint="eastAsia" w:ascii="宋体" w:hAnsi="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00℃≤80min；整百点升温稳定所需要的时间≤35分钟。稳定后，亮度温度不单一方向变化。设定温度稳定35分钟后，靶心亮度温度不应单一方向变化且温度变化&lt;0.6℃；</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设备具备灵活的安装与操作结构，支持位置调节与屏幕角度调整，便于计量人员站立操作，节约实验室校准空间；</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触摸屏智能操控，智能人机交互界面，直观，操控简便；</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支持众多智能通讯协议：兼容ModbusRTU、ProfibusDP等主流工业协议，实现设备间无缝集成。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可二次开发，带通讯接口，实现计量装置的自动测试。</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安规检测黑体辐射源电阻丝等加热元件与外壳之间的绝缘电阻不小于20MΩ；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具有降温自动断电功能；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▲21.量值应可溯源至国家计量基准，量传标准器要求：温度（300～1000）℃、波长（8～14）μm 的精密辐射温度计；温度（800～1200）℃、波长（0.66/0.9）μm 的标准光电高温计。投标时须提供量传标准器有效期内的检定/校准证书，作为实质性响应依据。</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供电电源：(220±22)V，50Hz；</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功 率</w:t>
      </w:r>
      <w:r>
        <w:rPr>
          <w:rFonts w:hint="eastAsia" w:ascii="宋体" w:hAnsi="宋体" w:eastAsia="宋体" w:cs="宋体"/>
          <w:b w:val="0"/>
          <w:bCs w:val="0"/>
          <w:color w:val="auto"/>
          <w:sz w:val="24"/>
          <w:szCs w:val="24"/>
          <w:highlight w:val="none"/>
          <w:lang w:eastAsia="zh-CN"/>
        </w:rPr>
        <w:tab/>
      </w:r>
      <w:r>
        <w:rPr>
          <w:rFonts w:hint="eastAsia" w:ascii="宋体" w:hAnsi="宋体" w:eastAsia="宋体" w:cs="宋体"/>
          <w:b w:val="0"/>
          <w:bCs w:val="0"/>
          <w:color w:val="auto"/>
          <w:sz w:val="24"/>
          <w:szCs w:val="24"/>
          <w:highlight w:val="none"/>
          <w:lang w:eastAsia="zh-CN"/>
        </w:rPr>
        <w:t xml:space="preserve">约7kW；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环境温度：18℃-25℃；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相对湿度：20%～85%；</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其他：实验环境无明显机械振动、强机械冲击和强电磁干扰；实验过程中应避免阳光和强辐射源对实验造成干扰；应避免空调气流、开门窗引起的对流对黑体辐射源的影响。</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lang w:val="en-US" w:eastAsia="zh-CN"/>
        </w:rPr>
        <w:t xml:space="preserve">全站仪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具体要求：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测量范围：无棱镜测距模式下测程大于500m，有棱镜测量模式大于3500m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测距误差：标准模式：1mm+1.5ppm；无棱镜模式：2mm+2ppm；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测角误差：2〞，绝对编码，连续，对径测量，四重轴补偿</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有无棱镜测距、马达驱动、自动照准功能，马达转速：45°/s</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测量原理：相位测量原理（要求有同轴、可见红色光斑）</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激光点大小：50m处：≤8mm×20mm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显示分辨率：0.1mm,最短测距：0.9m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8.操作系统：工业级嵌入式测量操作系统及配套软件（品牌不限，须支持自动照准、马达驱动及数据采集功能）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望远镜放大倍数：30X</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电池类型：可更换锂电池，使用时间5-8小时，</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工作温度：-20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50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，存储温度：-40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70</w:t>
      </w:r>
      <w:r>
        <w:rPr>
          <w:rFonts w:hint="eastAsia" w:ascii="宋体" w:hAnsi="宋体" w:eastAsia="宋体" w:cs="宋体"/>
          <w:b w:val="0"/>
          <w:bCs w:val="0"/>
          <w:color w:val="auto"/>
          <w:sz w:val="24"/>
          <w:szCs w:val="24"/>
          <w:highlight w:val="none"/>
          <w:lang w:val="en-US" w:eastAsia="zh-CN"/>
        </w:rPr>
        <w:t xml:space="preserve">℃</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防尘防水等级：不低于IP55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导向光工作范围：5-150m，定位精度：在100m处，5cm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仪器接口类型：RS232/蓝牙/微型USB端口</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仪器圆水准器灵敏度：6″/2mm，激光对中精度：在1.5m处，高1.5m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配置立式金属罐容量标定系统集成自动化全站仪，在专业软件的控制下，自动化全站仪按一定规律获取待测点的角度、距离或坐标，然后按数学几何模型由计算机自动计算有关参数，并最终输出容量标定成果等信息。</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17.系统功能必须满足：JJG100-2003《全站型电子速测仪》计量检定规程、JJG168-2018《立式金属罐容量》计量检定规程、JJG642-2007《球形金属罐容量》计量检定规程等要求。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同时具备立式罐容积内测和外测、立式罐底量容积测量、球罐容积测量等功能。可满足立式金属罐容量测量范围：(20～100000)m³、不确定度：(20～100)m³:Urel=0.3%(k=2);(100～700)m³:Urel=0.2%(k=2);≥700m³:Urel=0.1%(k=2)。</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系统软件应包含不少于全站仪版立式罐内测和外测软件、立式罐罐底容量测量软件、立式罐数据后处理软件、球罐容积测量软件、球罐数据后处理软件。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具备自动编制罐容积表，能出具excel格式电子版容积表，罐容积检定证书和excel格式电子版容积表的格式须满足要求。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21.数据处理装置：处理器主频不低于3.0GHz、四核及以上（CPU及操作系统须符合安全可靠测评要求），内存不低于16G，固态硬盘不小于1000G</w:t>
      </w:r>
      <w:r>
        <w:rPr>
          <w:rFonts w:hint="eastAsia" w:ascii="宋体" w:hAnsi="宋体" w:cs="宋体"/>
          <w:b w:val="0"/>
          <w:bCs w:val="0"/>
          <w:color w:val="auto"/>
          <w:sz w:val="24"/>
          <w:szCs w:val="24"/>
          <w:highlight w:val="none"/>
          <w:lang w:eastAsia="zh-CN"/>
        </w:rPr>
        <w:t xml:space="preserve">。</w:t>
      </w:r>
      <w:r/>
    </w:p>
    <w:p>
      <w:pPr>
        <w:ind w:firstLine="562"/>
        <w:jc w:val="left"/>
        <w:keepLines w:val="0"/>
        <w:keepNext w:val="0"/>
        <w:pageBreakBefore w:val="0"/>
        <w:spacing w:after="0" w:line="56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（十一）实施及维修要求</w:t>
      </w:r>
      <w:r>
        <w:rPr>
          <w:rFonts w:hint="default" w:ascii="宋体" w:hAnsi="宋体" w:eastAsia="宋体" w:cs="宋体"/>
          <w:b/>
          <w:color w:val="auto"/>
          <w:sz w:val="28"/>
          <w:szCs w:val="28"/>
          <w:highlight w:val="none"/>
          <w:lang w:val="en-US" w:eastAsia="zh-CN"/>
        </w:rPr>
        <w:t xml:space="preserve">：</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要求：供应商负责本包全部设备（精密露点仪、标准铂铑 10</w:t>
      </w:r>
      <w:r>
        <w:rPr>
          <w:rFonts w:ascii="宋体" w:hAnsi="宋体" w:eastAsia="宋体" w:cs="宋体"/>
          <w:color w:val="auto"/>
          <w:sz w:val="24"/>
          <w:szCs w:val="24"/>
          <w:highlight w:val="none"/>
        </w:rPr>
        <w:noBreakHyphen/>
      </w:r>
      <w:r>
        <w:rPr>
          <w:rFonts w:ascii="宋体" w:hAnsi="宋体" w:eastAsia="宋体" w:cs="宋体"/>
          <w:color w:val="auto"/>
          <w:sz w:val="24"/>
          <w:szCs w:val="24"/>
          <w:highlight w:val="none"/>
        </w:rPr>
        <w:t xml:space="preserve">铂热电偶、热电偶校准炉、冰点恒温器、温湿度实验设备自动检定系统一、温湿度实验设备自动检定系统二、低温 / 中温 / 高温黑体辐射源、全站仪）的供货、运输就位、安装调试、检定校准、现场培训、质保售后等全部工作，设备及配套软件须满足采购需求技术指标及对应国家计量规程、规范要求，保障设备可正常开展计量检定工作，做好项目相关电子数据、敏感资料保密工作。</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安装调试要求：完成设备现场安装、整机调试、软件部署配置；无线采集、小程序 / APP、云端数据管理、通讯接口、二次开发接口、罐容量标定软件等功能调试至正常可用，各项性能指标满足采购需求及计量规程要求。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after="0" w:line="560" w:lineRule="exact"/>
        <w:rPr>
          <w:rFonts w:hint="eastAsia"/>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质保及维修要求：质保期自项目验收合格之日起计算，本包所有设备质保 2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5.培训要求：安装调试完成后开展现场培训，培训讲师需具有工程师及以上职称，保证参训人员熟练掌握设备使用方法，且具有一定故障和紧急情况处理能力。</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6.验收要求：全部工作完成后由供应商申请验收，采购人对照采购需求逐项核查，证书、功能、指标全部合格后方可通过验收。</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（十</w:t>
      </w:r>
      <w:r>
        <w:rPr>
          <w:rFonts w:hint="eastAsia" w:ascii="宋体" w:hAnsi="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w:t>
      </w:r>
      <w:r>
        <w:rPr>
          <w:rFonts w:ascii="宋体" w:hAnsi="宋体" w:eastAsia="宋体" w:cs="宋体"/>
          <w:color w:val="auto"/>
          <w:sz w:val="24"/>
          <w:szCs w:val="24"/>
          <w:highlight w:val="none"/>
        </w:rPr>
        <w:t xml:space="preserve">，拟采购</w:t>
      </w:r>
      <w:r>
        <w:rPr>
          <w:rFonts w:hint="eastAsia" w:ascii="宋体" w:hAnsi="宋体" w:eastAsia="宋体" w:cs="宋体"/>
          <w:color w:val="auto"/>
          <w:sz w:val="24"/>
          <w:szCs w:val="24"/>
          <w:highlight w:val="none"/>
          <w:lang w:val="en-US" w:eastAsia="zh-CN"/>
        </w:rPr>
        <w:t xml:space="preserve">小角度检定仪</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扭矩板子检定仪</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电脑量块比较仪、高精度全自动光栅式测长机、标准测力仪</w:t>
      </w:r>
      <w:r>
        <w:rPr>
          <w:rFonts w:ascii="宋体" w:hAnsi="宋体" w:eastAsia="宋体" w:cs="宋体"/>
          <w:color w:val="auto"/>
          <w:sz w:val="24"/>
          <w:szCs w:val="24"/>
          <w:highlight w:val="none"/>
        </w:rPr>
        <w:t xml:space="preserve">，项目总预算</w:t>
      </w:r>
      <w:r>
        <w:rPr>
          <w:rFonts w:hint="eastAsia" w:ascii="宋体" w:hAnsi="宋体" w:eastAsia="宋体" w:cs="宋体"/>
          <w:color w:val="auto"/>
          <w:sz w:val="24"/>
          <w:szCs w:val="24"/>
          <w:highlight w:val="none"/>
          <w:lang w:val="en-US" w:eastAsia="zh-CN"/>
        </w:rPr>
        <w:t xml:space="preserve">154</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二、货物（标的）采购清单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0"/>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小角度检定仪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16</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扭矩板子检定仪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26</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电脑量块比较仪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27</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高精度全自动光栅式测长机</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65</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3188" w:type="dxa"/>
            <w:vAlign w:val="center"/>
            <w:textDirection w:val="lrTb"/>
            <w:noWrap w:val="false"/>
          </w:tcPr>
          <w:p>
            <w:pPr>
              <w:ind w:left="0" w:right="0" w:firstLine="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标准测力仪</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w:t>
            </w:r>
            <w:r/>
          </w:p>
        </w:tc>
      </w:tr>
    </w:tbl>
    <w:p>
      <w:pPr>
        <w:numPr>
          <w:ilvl w:val="0"/>
          <w:numId w:val="0"/>
        </w:numPr>
        <w:ind w:firstLine="482"/>
        <w:jc w:val="left"/>
        <w:spacing w:line="360" w:lineRule="auto"/>
        <w:widowControl w:val="off"/>
        <w:rPr>
          <w:rFonts w:hint="eastAsia" w:ascii="宋体" w:hAnsi="宋体" w:eastAsia="宋体" w:cs="宋体"/>
          <w:b/>
          <w:bCs/>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t xml:space="preserve">本项目核心产品为：</w:t>
      </w:r>
      <w:r>
        <w:rPr>
          <w:rFonts w:hint="eastAsia" w:ascii="宋体" w:hAnsi="宋体" w:cs="宋体"/>
          <w:bCs/>
          <w:color w:val="auto"/>
          <w:sz w:val="24"/>
          <w:szCs w:val="24"/>
          <w:highlight w:val="none"/>
          <w:u w:val="single"/>
          <w:lang w:val="en-US" w:eastAsia="zh-CN"/>
        </w:rPr>
        <w:t xml:space="preserve">高精度全自动光栅式测长机</w:t>
      </w:r>
      <w:r>
        <w:rPr>
          <w:rFonts w:hint="eastAsia" w:ascii="宋体" w:hAnsi="宋体" w:eastAsia="宋体"/>
          <w:b w:val="0"/>
          <w:bCs w:val="0"/>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lang w:val="en-US" w:eastAsia="zh-CN"/>
        </w:rPr>
        <w:t xml:space="preserve">小角度检定仪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rPr>
        <w:t xml:space="preserve">功能要求：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rPr>
        <w:t xml:space="preserve">满足规程及溯源要求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小角度检查仪必须满足JJG300-2002《小角度检查仪检定规程》和JJG103-2005《电子水平仪和合像水平仪检定规程》要求，满足社会公用计量标准的建标要求。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bookmarkStart w:id="23" w:name="OLE_LINK9"/>
      <w:r>
        <w:rPr>
          <w:rFonts w:hint="default" w:ascii="宋体" w:hAnsi="宋体" w:eastAsia="宋体" w:cs="宋体"/>
          <w:b w:val="0"/>
          <w:bCs w:val="0"/>
          <w:color w:val="auto"/>
          <w:sz w:val="24"/>
          <w:szCs w:val="24"/>
          <w:highlight w:val="none"/>
        </w:rPr>
        <w:t xml:space="preserve">★</w:t>
      </w:r>
      <w:bookmarkEnd w:id="23"/>
      <w:r>
        <w:rPr>
          <w:rFonts w:hint="default" w:ascii="宋体" w:hAnsi="宋体" w:eastAsia="宋体" w:cs="宋体"/>
          <w:b w:val="0"/>
          <w:bCs w:val="0"/>
          <w:color w:val="auto"/>
          <w:sz w:val="24"/>
          <w:szCs w:val="24"/>
          <w:highlight w:val="none"/>
        </w:rPr>
        <w:t xml:space="preserve">2.1</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小角度检查仪</w:t>
      </w:r>
      <w:r>
        <w:rPr>
          <w:rFonts w:hint="default" w:ascii="宋体" w:hAnsi="宋体" w:eastAsia="宋体" w:cs="宋体"/>
          <w:b w:val="0"/>
          <w:bCs w:val="0"/>
          <w:color w:val="auto"/>
          <w:sz w:val="24"/>
          <w:szCs w:val="24"/>
          <w:highlight w:val="none"/>
        </w:rPr>
        <w:t xml:space="preserve">满足JJG</w:t>
      </w:r>
      <w:r>
        <w:rPr>
          <w:rFonts w:hint="default" w:ascii="宋体" w:hAnsi="宋体" w:eastAsia="宋体" w:cs="宋体"/>
          <w:b w:val="0"/>
          <w:bCs w:val="0"/>
          <w:color w:val="auto"/>
          <w:sz w:val="24"/>
          <w:szCs w:val="24"/>
          <w:highlight w:val="none"/>
          <w:lang w:val="en-US" w:eastAsia="zh-CN"/>
        </w:rPr>
        <w:t xml:space="preserve">300</w:t>
      </w:r>
      <w:r>
        <w:rPr>
          <w:rFonts w:hint="default" w:ascii="宋体" w:hAnsi="宋体" w:eastAsia="宋体" w:cs="宋体"/>
          <w:b w:val="0"/>
          <w:bCs w:val="0"/>
          <w:color w:val="auto"/>
          <w:sz w:val="24"/>
          <w:szCs w:val="24"/>
          <w:highlight w:val="none"/>
        </w:rPr>
        <w:t xml:space="preserve">-200</w:t>
      </w:r>
      <w:r>
        <w:rPr>
          <w:rFonts w:hint="default"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rPr>
        <w:t xml:space="preserve">《</w:t>
      </w:r>
      <w:r>
        <w:rPr>
          <w:rFonts w:hint="default" w:ascii="宋体" w:hAnsi="宋体" w:eastAsia="宋体" w:cs="宋体"/>
          <w:b w:val="0"/>
          <w:bCs w:val="0"/>
          <w:color w:val="auto"/>
          <w:sz w:val="24"/>
          <w:szCs w:val="24"/>
          <w:highlight w:val="none"/>
          <w:lang w:val="en-US" w:eastAsia="zh-CN"/>
        </w:rPr>
        <w:t xml:space="preserve">小角度检查仪</w:t>
      </w:r>
      <w:r>
        <w:rPr>
          <w:rFonts w:hint="default" w:ascii="宋体" w:hAnsi="宋体" w:eastAsia="宋体" w:cs="宋体"/>
          <w:b w:val="0"/>
          <w:bCs w:val="0"/>
          <w:color w:val="auto"/>
          <w:sz w:val="24"/>
          <w:szCs w:val="24"/>
          <w:highlight w:val="none"/>
        </w:rPr>
        <w:t xml:space="preserve">》第4条所规定的</w:t>
      </w:r>
      <w:r>
        <w:rPr>
          <w:rFonts w:hint="default" w:ascii="宋体" w:hAnsi="宋体" w:eastAsia="宋体" w:cs="宋体"/>
          <w:b w:val="0"/>
          <w:bCs w:val="0"/>
          <w:color w:val="auto"/>
          <w:sz w:val="24"/>
          <w:szCs w:val="24"/>
          <w:highlight w:val="none"/>
          <w:lang w:val="en-US" w:eastAsia="zh-CN"/>
        </w:rPr>
        <w:t xml:space="preserve">计量性能</w:t>
      </w:r>
      <w:r>
        <w:rPr>
          <w:rFonts w:hint="default" w:ascii="宋体" w:hAnsi="宋体" w:eastAsia="宋体" w:cs="宋体"/>
          <w:b w:val="0"/>
          <w:bCs w:val="0"/>
          <w:color w:val="auto"/>
          <w:sz w:val="24"/>
          <w:szCs w:val="24"/>
          <w:highlight w:val="none"/>
        </w:rPr>
        <w:t xml:space="preserve">要求</w:t>
      </w:r>
      <w:r>
        <w:rPr>
          <w:rFonts w:hint="default" w:ascii="宋体" w:hAnsi="宋体" w:eastAsia="宋体" w:cs="宋体"/>
          <w:b w:val="0"/>
          <w:bCs w:val="0"/>
          <w:color w:val="auto"/>
          <w:sz w:val="24"/>
          <w:szCs w:val="24"/>
          <w:highlight w:val="none"/>
          <w:lang w:val="en-US" w:eastAsia="zh-CN"/>
        </w:rPr>
        <w:t xml:space="preserve">。</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rPr>
        <w:t xml:space="preserve">▲2.</w:t>
      </w: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由</w:t>
      </w:r>
      <w:r>
        <w:rPr>
          <w:rFonts w:hint="default" w:ascii="宋体" w:hAnsi="宋体" w:eastAsia="宋体" w:cs="宋体"/>
          <w:b w:val="0"/>
          <w:bCs w:val="0"/>
          <w:color w:val="auto"/>
          <w:sz w:val="24"/>
          <w:szCs w:val="24"/>
          <w:highlight w:val="none"/>
        </w:rPr>
        <w:t xml:space="preserve">电机自动</w:t>
      </w:r>
      <w:r>
        <w:rPr>
          <w:rFonts w:hint="default" w:ascii="宋体" w:hAnsi="宋体" w:eastAsia="宋体" w:cs="宋体"/>
          <w:b w:val="0"/>
          <w:bCs w:val="0"/>
          <w:color w:val="auto"/>
          <w:sz w:val="24"/>
          <w:szCs w:val="24"/>
          <w:highlight w:val="none"/>
          <w:lang w:val="en-US" w:eastAsia="zh-CN"/>
        </w:rPr>
        <w:t xml:space="preserve">精确</w:t>
      </w:r>
      <w:r>
        <w:rPr>
          <w:rFonts w:hint="default" w:ascii="宋体" w:hAnsi="宋体" w:eastAsia="宋体" w:cs="宋体"/>
          <w:b w:val="0"/>
          <w:bCs w:val="0"/>
          <w:color w:val="auto"/>
          <w:sz w:val="24"/>
          <w:szCs w:val="24"/>
          <w:highlight w:val="none"/>
        </w:rPr>
        <w:t xml:space="preserve">控制</w:t>
      </w:r>
      <w:r>
        <w:rPr>
          <w:rFonts w:hint="default" w:ascii="宋体" w:hAnsi="宋体" w:eastAsia="宋体" w:cs="宋体"/>
          <w:b w:val="0"/>
          <w:bCs w:val="0"/>
          <w:color w:val="auto"/>
          <w:sz w:val="24"/>
          <w:szCs w:val="24"/>
          <w:highlight w:val="none"/>
          <w:lang w:val="en-US" w:eastAsia="zh-CN"/>
        </w:rPr>
        <w:t xml:space="preserve">升降</w:t>
      </w:r>
      <w:r>
        <w:rPr>
          <w:rFonts w:hint="default" w:ascii="宋体" w:hAnsi="宋体" w:eastAsia="宋体" w:cs="宋体"/>
          <w:b w:val="0"/>
          <w:bCs w:val="0"/>
          <w:color w:val="auto"/>
          <w:sz w:val="24"/>
          <w:szCs w:val="24"/>
          <w:highlight w:val="none"/>
        </w:rPr>
        <w:t xml:space="preserve">，自动产生标准角度</w:t>
      </w:r>
      <w:r>
        <w:rPr>
          <w:rFonts w:hint="default" w:ascii="宋体" w:hAnsi="宋体" w:eastAsia="宋体" w:cs="宋体"/>
          <w:b w:val="0"/>
          <w:bCs w:val="0"/>
          <w:color w:val="auto"/>
          <w:sz w:val="24"/>
          <w:szCs w:val="24"/>
          <w:highlight w:val="none"/>
          <w:lang w:eastAsia="zh-CN"/>
        </w:rPr>
        <w:t xml:space="preserve">。</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rPr>
        <w:t xml:space="preserve">▲2.</w:t>
      </w:r>
      <w:r>
        <w:rPr>
          <w:rFonts w:hint="default"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配备检定软件，</w:t>
      </w:r>
      <w:r>
        <w:rPr>
          <w:rFonts w:hint="default" w:ascii="宋体" w:hAnsi="宋体" w:eastAsia="宋体" w:cs="宋体"/>
          <w:b w:val="0"/>
          <w:bCs w:val="0"/>
          <w:color w:val="auto"/>
          <w:sz w:val="24"/>
          <w:szCs w:val="24"/>
          <w:highlight w:val="none"/>
        </w:rPr>
        <w:t xml:space="preserve">可自动保存数据、自动计算检定结果并根据规程判定检定结论，可查看、导出历史检定记录。</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rPr>
        <w:t xml:space="preserve">▲2.</w:t>
      </w:r>
      <w:r>
        <w:rPr>
          <w:rFonts w:hint="default"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rPr>
        <w:t xml:space="preserve">鉴于使用、送检需要，要求仪器箱装，便于携带。</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扭矩板子检定仪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功能要求：</w:t>
      </w:r>
      <w:r/>
    </w:p>
    <w:p>
      <w:pPr>
        <w:ind w:firstLine="42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color w:val="auto"/>
          <w:highlight w:val="none"/>
        </w:rPr>
        <w:t xml:space="preserve">★</w:t>
      </w:r>
      <w:r>
        <w:rPr>
          <w:rFonts w:hint="eastAsia"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满足规程及溯源要求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标准器必须满足JJG797-2013《扭矩扳子检定仪检定规程》和JJG707-2014《扭矩扳子检定规程》要求，满足社会公用计量标准的建标要求。</w:t>
      </w:r>
      <w:r/>
    </w:p>
    <w:p>
      <w:pPr>
        <w:ind w:firstLine="482"/>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Style w:val="703"/>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标准器组成：</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（1）包含以下规格的0.3级扭矩传感器：1Nm，10Nm，100Nm，1000Nm，5000Nm，所有传感器均为顺时针、逆时针双向；</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（2）整套装置配有工装，用于检定方榫、管钳、开口钳、扭矩螺丝刀、六角扳手等各组转接头的扭矩扳子；</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（3）传感器和仪表配有箱子，便于送检、运输。</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扭矩扳子检定仪满足JJG797-2013《扭矩扳子检定仪检定规程》第4条表1所规定的0.3级扭矩仪计量特性要求。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鉴于使用、送检需要，要求仪器箱装，便于携带。重的箱子带有轮子和拉杆。</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en-US" w:eastAsia="zh-CN"/>
        </w:rPr>
        <w:t xml:space="preserve">电脑量块比较仪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功能要求：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满足规程及溯源要求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标准器必须满足JJG146-2011《量块检定规程》和JJF1304-2011《量块比较仪校准规范》要求，满足社会公用计量标准的建标要求。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设备组成：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传感器、必备的配件和附件（包括：测量支架、隔热板、专用计算机、专用测量软件等）。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量块比较仪示值误差满足：±（0.030+0.005A）μm，可充分满足JJG146-2011对3等传4等及以下量块检定的要求。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鉴于使用、送检需要，要求仪器箱装，便于携带。重的箱子带有轮子和拉杆。</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配备隔热板等相关配件，减小装置的系统误差。或配备其他有助于减小系统误差的设施。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软件应能根据规程自动完成中心长度和长度变动量的测量、计算、数据处理及最终判定</w:t>
      </w:r>
      <w:r>
        <w:rPr>
          <w:rFonts w:hint="eastAsia" w:ascii="宋体" w:hAnsi="宋体" w:eastAsia="宋体" w:cs="宋体"/>
          <w:b w:val="0"/>
          <w:bCs w:val="0"/>
          <w:color w:val="auto"/>
          <w:sz w:val="24"/>
          <w:szCs w:val="24"/>
          <w:highlight w:val="none"/>
          <w:lang w:eastAsia="zh-CN"/>
        </w:rPr>
        <w:t xml:space="preserve">。</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en-US" w:eastAsia="zh-CN"/>
        </w:rPr>
        <w:t xml:space="preserve">高精度全自动光栅式测长机</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★1.1满足规程及溯源要求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标准器必须满足JJF 1066-2000 《测长机》要求，有省级以上计量院出具的校准证书，满足国家计量检定系统量值传递要求，满足社会公用计量标准的建标要求。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应符合JJG146-2011《量块检定规程》、JJG894-1995《标准环规检定规程》、JJG 343-2012《光滑极限量规检定规程》、JJG 21-2008《千分尺检定规程》、JJG 22-2014《内径千分尺检定规程》、JJG62-2017《塞尺检定规程》、JJF1207-2008《针规、量针校准规范》、JJF 1345-2012《圆柱螺纹量规校准规》范等几何量计量检定规程、规范的检定、校准方法要求。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▲1.2测量方式</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采用高精度光栅尺作为长度方向定位，可进行高精度全行程直接测量。</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★1.3配件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应具备检定、校准量块、块规、光滑环塞规、螺纹环塞规、光滑卡规、千分尺校对杆、两点内径千分尺、光滑锥度环塞规、螺纹锥度环塞规等量具量规所使用的夹具配件。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▲1.4软件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软件应内置量块、螺纹、光滑极限量规、针规、量针、塞尺、内径千分尺等规程规范标准；</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软件配备快速找拐点指示功能，可方便快速便携地找到被测件的拐点。</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★2.1、测长机满足JJF 1066-2000 《测长机》所规定的计量特性要求。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★2.2示值误差：≤（0.4＋L/1000）μm，其中L为被测长度，单位mm。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★2.3测量范围：</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外尺寸测量范围：覆盖（0～3000）mm。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内尺寸测量范围：覆盖（5～2900）mm。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检测量块&amp;块规：（0.1~1000mm）；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光滑环规：φ5~φ200mm（壁厚≤50 mm，高度≤50mm）、光滑塞规：φ1~φ220mm；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螺纹环规：M5~M200（螺距0.8~4mm）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螺纹塞规：M1~M220（螺距0.25~5.5mm）；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光滑卡规：内卡5~200mm，外卡1~300mm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千分尺校对杆：25~3000mm；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塞尺：0.02~1mm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针规：φ0.1~φ10mm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三针：0.118~6.585mm；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两点内径千分尺：25~3000mm；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三爪内径千分尺手动校准：φ6~φ200mm；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★分辨力：≤0.01μm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▲外尺寸重复性≤0.2μm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▲内尺寸重复性≤0.4μm</w:t>
      </w:r>
      <w:r/>
    </w:p>
    <w:p>
      <w:pPr>
        <w:ind w:firstLine="562"/>
        <w:jc w:val="left"/>
        <w:keepLines w:val="0"/>
        <w:keepNext w:val="0"/>
        <w:pageBreakBefore w:val="0"/>
        <w:spacing w:after="0" w:line="56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val="en-US" w:eastAsia="zh-CN"/>
        </w:rPr>
        <w:t xml:space="preserve">标准测力仪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功能要求：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满足规程及溯源要求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标准器必须满足JJG144-2007《标准测力仪检定规程》</w:t>
      </w:r>
      <w:bookmarkStart w:id="42" w:name="_GoBack"/>
      <w:r/>
      <w:bookmarkEnd w:id="42"/>
      <w:r>
        <w:rPr>
          <w:rFonts w:hint="eastAsia" w:ascii="宋体" w:hAnsi="宋体" w:eastAsia="宋体" w:cs="宋体"/>
          <w:b w:val="0"/>
          <w:bCs w:val="0"/>
          <w:color w:val="auto"/>
          <w:sz w:val="24"/>
          <w:szCs w:val="24"/>
          <w:highlight w:val="none"/>
        </w:rPr>
        <w:t xml:space="preserve">和JJG139-2014《拉力、压力和万能试验机检定规程》要求，满足社会公用计量标准的建标要求。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标准器组成：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（1）包含以下规格的0.3级标准测力仪：100N，600N，1000N，3000N，6000N，10kN，60kN，100kN，300kN，600kN，1000kN，2000kN，3000kN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（2）以上测力仪中，600kN以下（含600kN）均为拉压双向，且配备对应吊环。</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根据实际检测工作频次的需求，本标准装置需配备5套指示装置（仪表）。指示装置应能满足上述所有标准测力仪的量程覆盖要求及0.3级准确度等级要求。供应商可根据实际工作需求，提供满足上述计量性能要求且经济合理的等效配置方案（包含仪表与传感器的匹配组合）。</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（4）测力仪配有箱子，箱子可安全稳定地装下该传感器、仪表及配件。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标准测力仪满足JJG144-2007《标准测力仪检定规程》第4条表1所规定的0.3级标准测力仪计量特性要求。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鉴于现场使用需要，要求仪器箱装，便于携带。2000kN以上测力仪箱子带有轮子和拉杆。</w:t>
      </w:r>
      <w:r/>
    </w:p>
    <w:p>
      <w:pPr>
        <w:ind w:firstLine="562"/>
        <w:jc w:val="left"/>
        <w:keepLines w:val="0"/>
        <w:keepNext w:val="0"/>
        <w:pageBreakBefore w:val="0"/>
        <w:spacing w:after="0" w:line="56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（六）实施及维修要求</w:t>
      </w:r>
      <w:r>
        <w:rPr>
          <w:rFonts w:hint="default" w:ascii="宋体" w:hAnsi="宋体" w:eastAsia="宋体" w:cs="宋体"/>
          <w:b/>
          <w:color w:val="auto"/>
          <w:sz w:val="28"/>
          <w:szCs w:val="28"/>
          <w:highlight w:val="none"/>
          <w:lang w:val="en-US" w:eastAsia="zh-CN"/>
        </w:rPr>
        <w:t xml:space="preserve">：</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要求：供应商负责本包全部设备（小角度检定仪、扭矩扳子检定仪、电脑量块比较仪、</w:t>
      </w:r>
      <w:r>
        <w:rPr>
          <w:rFonts w:hint="eastAsia" w:ascii="宋体" w:hAnsi="宋体" w:eastAsia="宋体" w:cs="宋体"/>
          <w:color w:val="auto"/>
          <w:sz w:val="24"/>
          <w:szCs w:val="24"/>
          <w:highlight w:val="none"/>
        </w:rPr>
        <w:t xml:space="preserve">高精度全自动光栅式测长机</w:t>
      </w:r>
      <w:r>
        <w:rPr>
          <w:rFonts w:ascii="宋体" w:hAnsi="宋体" w:eastAsia="宋体" w:cs="宋体"/>
          <w:color w:val="auto"/>
          <w:sz w:val="24"/>
          <w:szCs w:val="24"/>
          <w:highlight w:val="none"/>
        </w:rPr>
        <w:t xml:space="preserve">、标准测力仪）的供货、运输就位、安装调试、检定校准、现场培训、质保售后等全部工作。设备及配套软件须满足采购需求技术指标及对应国家计量规程、规范，满足社会公用计量标准建标条件，保障设备可正常开展计量检定业务；对项目敏感资料、电子数据做好保密，严禁外泄。</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及软件配置；实现设备自动检测、数据采集计算、结果自动判定、记录导出保存等全部软件功能，各类夹具、转接工装、传感器、仪表配套完整，整机各项性能指标满足采购需求及计量规程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质保及维修要求：质保期自项目验收合格之日起计算，本包所有设备质保 2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w:t>
      </w:r>
      <w:r>
        <w:rPr>
          <w:rFonts w:ascii="宋体" w:hAnsi="宋体" w:eastAsia="宋体" w:cs="宋体"/>
          <w:color w:val="auto"/>
          <w:sz w:val="24"/>
          <w:szCs w:val="24"/>
          <w:highlight w:val="none"/>
        </w:rPr>
        <w:t xml:space="preserve">安装调试完成后开展现场培训</w:t>
      </w:r>
      <w:r>
        <w:rPr>
          <w:rFonts w:hint="eastAsia" w:ascii="宋体" w:hAnsi="宋体" w:eastAsia="宋体" w:cs="宋体"/>
          <w:color w:val="auto"/>
          <w:sz w:val="24"/>
          <w:szCs w:val="24"/>
          <w:highlight w:val="none"/>
          <w:lang w:val="en-US" w:eastAsia="zh-CN"/>
        </w:rPr>
        <w:t xml:space="preserve">，培训讲师需具有工程师及以上职称，保证参训人员熟练掌握设备使用方法，且具有一定故障和紧急情况处理能力。</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验收要求：全部工作完成后由供应商申请验收，采购人对照采购需求逐项核查，证书、功能、指标全部合格后方可通过验收。</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w:t>
      </w: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en-US" w:eastAsia="zh-CN"/>
        </w:rPr>
        <w:t xml:space="preserve">）其他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w:t>
      </w:r>
      <w:r>
        <w:rPr>
          <w:rFonts w:ascii="宋体" w:hAnsi="宋体" w:eastAsia="宋体" w:cs="宋体"/>
          <w:color w:val="auto"/>
          <w:sz w:val="24"/>
          <w:szCs w:val="24"/>
          <w:highlight w:val="none"/>
        </w:rPr>
        <w:t xml:space="preserve">，拟采购</w:t>
      </w:r>
      <w:r>
        <w:rPr>
          <w:rFonts w:hint="eastAsia" w:ascii="宋体" w:hAnsi="宋体" w:eastAsia="宋体" w:cs="宋体"/>
          <w:color w:val="auto"/>
          <w:sz w:val="24"/>
          <w:szCs w:val="24"/>
          <w:highlight w:val="none"/>
          <w:lang w:val="en-US" w:eastAsia="zh-CN"/>
        </w:rPr>
        <w:t xml:space="preserve">无创血压模拟仪</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超声功率计</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心、脑电图机检定仪、医用注射泵和输液泵检测仪</w:t>
      </w:r>
      <w:r>
        <w:rPr>
          <w:rFonts w:ascii="宋体" w:hAnsi="宋体" w:eastAsia="宋体" w:cs="宋体"/>
          <w:color w:val="auto"/>
          <w:sz w:val="24"/>
          <w:szCs w:val="24"/>
          <w:highlight w:val="none"/>
        </w:rPr>
        <w:t xml:space="preserve">，项目总预算</w:t>
      </w:r>
      <w:r>
        <w:rPr>
          <w:rFonts w:hint="eastAsia" w:ascii="宋体" w:hAnsi="宋体" w:eastAsia="宋体" w:cs="宋体"/>
          <w:color w:val="auto"/>
          <w:sz w:val="24"/>
          <w:szCs w:val="24"/>
          <w:highlight w:val="none"/>
          <w:lang w:val="en-US" w:eastAsia="zh-CN"/>
        </w:rPr>
        <w:t xml:space="preserve">26.5</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二、货物（标的）采购清单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201"/>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无创血压模拟仪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4.5</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超声功率计</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心、脑电图机检定仪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医用注射泵和输液泵检测仪</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r>
    </w:tbl>
    <w:p>
      <w:pPr>
        <w:numPr>
          <w:ilvl w:val="0"/>
          <w:numId w:val="0"/>
        </w:numPr>
        <w:ind w:firstLine="482"/>
        <w:jc w:val="left"/>
        <w:spacing w:line="360" w:lineRule="auto"/>
        <w:widowControl w:val="off"/>
        <w:rPr>
          <w:rFonts w:hint="eastAsia" w:ascii="宋体" w:hAnsi="宋体" w:eastAsia="宋体" w:cs="宋体"/>
          <w:b/>
          <w:bCs/>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t xml:space="preserve">本项目核心产品为：</w:t>
      </w:r>
      <w:r>
        <w:rPr>
          <w:rFonts w:hint="eastAsia" w:ascii="宋体" w:hAnsi="宋体"/>
          <w:b w:val="0"/>
          <w:bCs w:val="0"/>
          <w:color w:val="auto"/>
          <w:sz w:val="24"/>
          <w:szCs w:val="24"/>
          <w:highlight w:val="none"/>
          <w:u w:val="single"/>
          <w:lang w:val="en-US" w:eastAsia="zh-CN"/>
        </w:rPr>
        <w:t xml:space="preserve">心、脑电图机检定仪</w:t>
      </w:r>
      <w:r>
        <w:rPr>
          <w:rFonts w:hint="eastAsia" w:ascii="宋体" w:hAnsi="宋体" w:eastAsia="宋体"/>
          <w:b w:val="0"/>
          <w:bCs w:val="0"/>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lang w:val="en-US" w:eastAsia="zh-CN"/>
        </w:rPr>
        <w:t xml:space="preserve">无创血压模拟仪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★功能要求：本设备应作为无创自动测量血压计检定的工作标准器使用，满足JJG692-2010《无创自动测量血压计检定规程》要求及社会公用计量标准的建标要求。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静态压力测量：压力范围：(0～60)kPa[(0～450)mmHg]；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准确度等级：0.05%FS；</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分辨率：0.01kPa(0.1mmHg)；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动态血压模拟：</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成人模式：满足收缩压（6.7～34.0）kPa[(50～255)mmHg]，舒张压（4.0～26.0）kPa[(30～195)mmHg]；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新生儿模式：满足收缩压（4.0～16.0）kPa[(30～120)mmHg]，舒张压（1.3～13.3）kPa[(10～100)mmHg]。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血压示值重复性：不大于0.3kPa(2mmHg)，通过模拟脉搏波幅值变动性来检测，不超过10%；</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心率：测量范围(30～230)次/min，心率准确度：±(1%R.D+1)；</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脉搏量：(0.1～2.4)mL，增量：0.1mL；</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功能特点：</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计量单位切换：支持kPa、mmHg、cmH₂O三种计量单位自由切换；</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内置标准气腔，无需额外配置袖带即可完成无创血压监护仪检测</w:t>
      </w:r>
      <w:r>
        <w:rPr>
          <w:rFonts w:hint="eastAsia" w:ascii="宋体" w:hAnsi="宋体" w:eastAsia="宋体" w:cs="宋体"/>
          <w:b w:val="0"/>
          <w:bCs w:val="0"/>
          <w:color w:val="auto"/>
          <w:sz w:val="24"/>
          <w:szCs w:val="24"/>
          <w:highlight w:val="none"/>
          <w:lang w:val="en-US" w:eastAsia="zh-CN"/>
        </w:rPr>
        <w:t xml:space="preserve">。</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供电模式：支持交直流双供电，内置锂电池，单次充满电后连续工作续航时长≥8小时；支持更换电池（标配一块，可选配）</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检测仪便携易操作，主机重量≤2.5kg；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配备≥7寸彩色触摸屏，带有智能操作导向菜单，支持参数自定义设置，可速选择检测点和检测项目，一次设置即可永久保存。</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高低压全域适配：集成成人、新生儿双动态模拟检测模式，兼顾高压常规血压区间与低压微弱血压区间的精准模拟。</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主要配置：</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（1）主机1台</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（2）血压计气路接头（细型）1个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（3）血压计气路接头（中型）1个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（4）血压计气路接头（粗型）1个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）金属气腔（100ml）1个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6</w:t>
      </w:r>
      <w:r>
        <w:rPr>
          <w:rFonts w:hint="default" w:ascii="宋体" w:hAnsi="宋体" w:eastAsia="宋体" w:cs="宋体"/>
          <w:b w:val="0"/>
          <w:bCs w:val="0"/>
          <w:color w:val="auto"/>
          <w:sz w:val="24"/>
          <w:szCs w:val="24"/>
          <w:highlight w:val="none"/>
          <w:lang w:val="en-US" w:eastAsia="zh-CN"/>
        </w:rPr>
        <w:t xml:space="preserve">）金属气腔（500ml）1个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7</w:t>
      </w:r>
      <w:r>
        <w:rPr>
          <w:rFonts w:hint="default" w:ascii="宋体" w:hAnsi="宋体" w:eastAsia="宋体" w:cs="宋体"/>
          <w:b w:val="0"/>
          <w:bCs w:val="0"/>
          <w:color w:val="auto"/>
          <w:sz w:val="24"/>
          <w:szCs w:val="24"/>
          <w:highlight w:val="none"/>
          <w:lang w:val="en-US" w:eastAsia="zh-CN"/>
        </w:rPr>
        <w:t xml:space="preserve">）三通Y型管1根</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8</w:t>
      </w:r>
      <w:r>
        <w:rPr>
          <w:rFonts w:hint="default" w:ascii="宋体" w:hAnsi="宋体" w:eastAsia="宋体" w:cs="宋体"/>
          <w:b w:val="0"/>
          <w:bCs w:val="0"/>
          <w:color w:val="auto"/>
          <w:sz w:val="24"/>
          <w:szCs w:val="24"/>
          <w:highlight w:val="none"/>
          <w:lang w:val="en-US" w:eastAsia="zh-CN"/>
        </w:rPr>
        <w:t xml:space="preserve">）电源适配器1件</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9</w:t>
      </w:r>
      <w:r>
        <w:rPr>
          <w:rFonts w:hint="default" w:ascii="宋体" w:hAnsi="宋体" w:eastAsia="宋体" w:cs="宋体"/>
          <w:b w:val="0"/>
          <w:bCs w:val="0"/>
          <w:color w:val="auto"/>
          <w:sz w:val="24"/>
          <w:szCs w:val="24"/>
          <w:highlight w:val="none"/>
          <w:lang w:val="en-US" w:eastAsia="zh-CN"/>
        </w:rPr>
        <w:t xml:space="preserve">）铝外箱1件</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0</w:t>
      </w:r>
      <w:r>
        <w:rPr>
          <w:rFonts w:hint="default" w:ascii="宋体" w:hAnsi="宋体" w:eastAsia="宋体" w:cs="宋体"/>
          <w:b w:val="0"/>
          <w:bCs w:val="0"/>
          <w:color w:val="auto"/>
          <w:sz w:val="24"/>
          <w:szCs w:val="24"/>
          <w:highlight w:val="none"/>
          <w:lang w:val="en-US" w:eastAsia="zh-CN"/>
        </w:rPr>
        <w:t xml:space="preserve">）包装箱（雪花布）【选配】1件</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）保修卡1份</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）合格证1份</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）说明书1份</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超声功率计</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本设备应满足JJG639-1998《医用超声诊断仪超声源检定规程》和JJG665-2004《毫瓦级超声功率计检定规程》要求，可满足GB/T7966-2022《声学 超声功率测量 辐射力天平法及性能要求》、YY/T1084-2015《医用超声诊断设备声输出功率的测量方法》要求。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技术指标</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1.功率范围：0-30W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2.分辨率：±1mW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3.最小可测量功率：1mW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4.显示灵敏度：0.001W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5.精度:±3%±一个读数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6.清零方法:自动</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7.最大探头尺寸:8cm直径</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8.探头操作频率：0.5-10MHz</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9.反射靶材质：高分子复合材料</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10.挂靶方式：单杆挂靶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11.锁定方式：双侧运输锁</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12.测试介质：脱气水</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13.电源：设备供电满足整机工作需求，供电规格性能不低于 12Vac，0.5A</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14.具有扩展无线控制程序功能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15.提供产品合格证明及安全性能检测报告（由具备资质的检验检测机构出具）</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16.可扩展匹配超声聚焦平面测量靶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17.可扩展连接便携式脱气装置</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18.便携箱</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en-US" w:eastAsia="zh-CN"/>
        </w:rPr>
        <w:t xml:space="preserve">心、脑电图机检定仪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★功能要求：本设备应满足JJG749-2007《心、脑电图机检定仪检定规程》、JJG543-2008《心电图机检定规程》和JJG1041-2008《数字心电图机检定规程》要求，满足社会公用计量标准的建标要求。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1.方波信号</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▲1.1.周期：0.01Hz~200Hz,精度：±1%；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▲1.2.电压(峰峰值)：0.05mV~10V,精度：±0.5%；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2.正弦波信号</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▲2.1.频率：0.01Hz~200Hz,精度：±1%；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2.2.电压(峰峰值)：0.05mV~10V,精度：±0.5%；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3.微分信号：时间常数：50ms,周期：1s</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4.极化电压：±300mV,精度：±3%</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5.标准心率信号</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▲5.1.心率范围20次/分~300次/分，精度：±1%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5.2.电压(峰峰值)：0.05mV~10V,精度：±0.5%；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6.ECG仿真信号</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6.1.周期：1333.3ms，精度：±1%；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6.2.电压(峰峰值)：0.03mV~10V,精度：±0.5%；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7.衰减器：1000：1，精度：±0.3%；</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▲8.模拟皮肤-电极阻抗Zi：51kΩ电阻与47nF电容并联，电阻精度±5%,电容精度±10%；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9.输入阻抗检定取样阻抗Zq：620kΩ电阻与4700pF电容并联，电阻精度±5%,电容精度±10%；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▲10.共模抑制比检定装置：电压量程：（9-11）V（有效值）；电压最大允许误差：±10%，输入阻抗〉300MΩ，输出等效电容：200pF。</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功能特点：</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1.内部供电：可充电锂电池，电量监控，工作时间可满足日常8小时工作续航；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2.外部供电：在电源不足情况下可使用TYPE-C口手机充电器或充电宝进行供电；</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3.接口：标准12导联，10个心电导联线接口；</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4.采用中文显示，根据规程的检定项目顺序编制检定程序，带有智能操作导向菜单，能直接显示要检定的各种项目及被检设备的预定参数，采用快捷键，可快速切换检测项目；</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5.彩色触摸屏≤3.5寸；</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6.尺寸：设备为便携式结构，外形小巧，便于现场携带与使用；</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7.主机重量不大于500g，方便携带；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8.主机背面配置专用防滑条若干；</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9.配套抗干扰布，可降低现场环境干扰影响，抗干扰性能满足现场校准使用要求，允许提供性能等效的通用产品；</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主要配置：</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1.主机1台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2.屏蔽布1个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3.分线盒1个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4.衰减器1个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5.光学放大镜1个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6.钢直尺1把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7.操作说明书1份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8.充电适配器1套</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9.便携箱1套</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10.共模抑制比检定装置1台</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en-US" w:eastAsia="zh-CN"/>
        </w:rPr>
        <w:t xml:space="preserve">医用注射泵和输液泵检测仪</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1.符合JJF1259-2018《医用注射泵和输液泵校准规范》、JJG1098-2014《医用注射泵和输液泵检测仪检定规程》、可扩展满足JJF2263-2025《医用液体微流量泵校准规范》。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▲2.主机显示屏≥7寸宽视角彩色触摸屏，软件测量界面为中英文（可切换），可同时测量双通道。</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3.测量模式至少包括：注射泵测量模式、输液泵测量模式、PCA泵测量模式、阻塞压力测量模式，包含喇叭曲线、周期分析。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▲4.可自定义检测流程、自动调用本地存储的设备信息及测量数据（需包含扫描二维码获得数据功能），加载预设参数，测试完成后自动保存测量数据，且可输入中文信息。</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5.流量范围：(0～3000)mL/h；最大允许误差：(0～10)mL/h±(1％+0.005mL/h)，(10～3000)mL/h±1％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6.容量范围：(0～100000)mL；最大允许误差：±1％或0.003mL(两者取大者）</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7.压力范围：(-40～380)kPa；最大允许误差：(-40～140)kPa±(1%+0.6kPa)，[140～380)kPa±2kPa</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8.背压范围：（-27～85）kPa；最大允许误差：±(1%+0.6kPa)</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9.时间间隔：1s</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10.时间：0～1000h；最大允许误差：±（0.2%+0.2秒）</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11.推注容量范围：0.01～100000mL；最大允许误差：±(2%+0.01mL)</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12.供电时长：8h</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13.触发阈值：4μL</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14.外部接口：TYPE-C,USB,HDMI,LAN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15.通信：蓝牙、WiFi、4G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16.数据管理：自动保存检测结果，支持word、excel、PDF格式导出</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17.系统更新：USB、4G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18.主要配置：主机1台、连接管路1套、充电器1套、溯源证书1套</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（五）实施及维修要求</w:t>
      </w:r>
      <w:r>
        <w:rPr>
          <w:rFonts w:hint="default" w:ascii="宋体" w:hAnsi="宋体" w:eastAsia="宋体" w:cs="宋体"/>
          <w:b/>
          <w:color w:val="auto"/>
          <w:sz w:val="28"/>
          <w:szCs w:val="28"/>
          <w:highlight w:val="none"/>
          <w:lang w:val="en-US" w:eastAsia="zh-CN"/>
        </w:rPr>
        <w:t xml:space="preserve">：</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包全部设备（无创血压模拟仪、超声功率计、心、脑电图机检定仪、医用注射泵和输液泵检测仪）的供货、运输就位、安装调试、检定校准、现场培训、质保售后等全部工作。设备及配套软件须满足采购需求技术指标及对应国家计量规程、规范，满足社会公用计量标准建标条件，保障设备可正常开展计量检定业务；做好项目敏感资料、电子数据保密工作，不得向外泄露。</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安装调试要求：完成设备现场安装、整机调试及软件配置；实现设备各项模拟信号输出、多模式测量、数据存储、导出、二维码识别、通信传输等全部软件功能，整机各项性能指标满足采购需求及计量规程要求。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质保及维修要求：质保期自项目验收合格之日起计算：无创血压模拟仪、超声功率计、心、脑电图机检定仪、医用注射泵和输液泵检测仪质保 2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w:t>
      </w:r>
      <w:r>
        <w:rPr>
          <w:rFonts w:ascii="宋体" w:hAnsi="宋体" w:eastAsia="宋体" w:cs="宋体"/>
          <w:color w:val="auto"/>
          <w:sz w:val="24"/>
          <w:szCs w:val="24"/>
          <w:highlight w:val="none"/>
        </w:rPr>
        <w:t xml:space="preserve">安装调试完成后开展现场培训</w:t>
      </w:r>
      <w:r>
        <w:rPr>
          <w:rFonts w:hint="eastAsia" w:ascii="宋体" w:hAnsi="宋体" w:eastAsia="宋体" w:cs="宋体"/>
          <w:color w:val="auto"/>
          <w:sz w:val="24"/>
          <w:szCs w:val="24"/>
          <w:highlight w:val="none"/>
          <w:lang w:val="en-US" w:eastAsia="zh-CN"/>
        </w:rPr>
        <w:t xml:space="preserve">，培训讲师需具有工程师及以上职称，保证参训人员熟练掌握设备使用方法，且具有一定故障和紧急情况处理能力。</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验收要求：全部工作完成后由供应商申请验收，采购人对照采购需求逐项核查，证书、功能、指标全部合格后方可通过验收。</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（六）其他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br w:type="column"/>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w:t>
      </w:r>
      <w:r>
        <w:rPr>
          <w:rFonts w:ascii="宋体" w:hAnsi="宋体" w:eastAsia="宋体" w:cs="宋体"/>
          <w:color w:val="auto"/>
          <w:sz w:val="24"/>
          <w:szCs w:val="24"/>
          <w:highlight w:val="none"/>
        </w:rPr>
        <w:t xml:space="preserve">，拟采购</w:t>
      </w:r>
      <w:r>
        <w:rPr>
          <w:rFonts w:hint="eastAsia" w:ascii="宋体" w:hAnsi="宋体" w:eastAsia="宋体" w:cs="宋体"/>
          <w:color w:val="auto"/>
          <w:sz w:val="24"/>
          <w:szCs w:val="24"/>
          <w:highlight w:val="none"/>
          <w:lang w:val="en-US" w:eastAsia="zh-CN"/>
        </w:rPr>
        <w:t xml:space="preserve">验光仪顶焦度标准器、客观式标准器</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燃气表检定装置（含膜式）</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多功能标准源、数字多用表、交流测试系统</w:t>
      </w:r>
      <w:r>
        <w:rPr>
          <w:rFonts w:ascii="宋体" w:hAnsi="宋体" w:eastAsia="宋体" w:cs="宋体"/>
          <w:color w:val="auto"/>
          <w:sz w:val="24"/>
          <w:szCs w:val="24"/>
          <w:highlight w:val="none"/>
        </w:rPr>
        <w:t xml:space="preserve">，项目总预算1</w:t>
      </w:r>
      <w:r>
        <w:rPr>
          <w:rFonts w:hint="eastAsia" w:ascii="宋体" w:hAnsi="宋体" w:eastAsia="宋体" w:cs="宋体"/>
          <w:color w:val="auto"/>
          <w:sz w:val="24"/>
          <w:szCs w:val="24"/>
          <w:highlight w:val="none"/>
          <w:lang w:val="en-US" w:eastAsia="zh-CN"/>
        </w:rPr>
        <w:t xml:space="preserve">33</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二、货物（标的）采购清单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0"/>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验光仪顶焦度标准器、客观式标准器</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19</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燃气表检定装置（含膜式）</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35</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多功能标准源</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38</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数字多用表</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28</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交流测试系统</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13</w:t>
            </w:r>
            <w:r/>
          </w:p>
        </w:tc>
      </w:tr>
    </w:tbl>
    <w:p>
      <w:pPr>
        <w:numPr>
          <w:ilvl w:val="0"/>
          <w:numId w:val="0"/>
        </w:numPr>
        <w:ind w:firstLine="482"/>
        <w:jc w:val="left"/>
        <w:spacing w:line="360" w:lineRule="auto"/>
        <w:widowControl w:val="off"/>
        <w:rPr>
          <w:rFonts w:hint="eastAsia" w:ascii="宋体" w:hAnsi="宋体" w:eastAsia="宋体" w:cs="宋体"/>
          <w:b/>
          <w:bCs/>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t xml:space="preserve">本项目核心产品为：</w:t>
      </w:r>
      <w:r>
        <w:rPr>
          <w:rFonts w:hint="eastAsia" w:ascii="宋体" w:hAnsi="宋体" w:cs="宋体"/>
          <w:bCs/>
          <w:color w:val="auto"/>
          <w:sz w:val="24"/>
          <w:szCs w:val="24"/>
          <w:highlight w:val="none"/>
          <w:u w:val="single"/>
          <w:lang w:val="en-US" w:eastAsia="zh-CN"/>
        </w:rPr>
        <w:t xml:space="preserve">多功能标准源</w:t>
      </w:r>
      <w:r>
        <w:rPr>
          <w:rFonts w:hint="eastAsia" w:ascii="宋体" w:hAnsi="宋体" w:eastAsia="宋体"/>
          <w:b w:val="0"/>
          <w:bCs w:val="0"/>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lang w:val="en-US" w:eastAsia="zh-CN"/>
        </w:rPr>
        <w:t xml:space="preserve">验光仪顶焦度标准器、客观式标准器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★1.1.满足规程及溯源要求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客观或标准器必须满足JJG922-2008《验光仪顶焦度标准器》和JJG892-2022《验光仪》检定规程要求，满足社会公用计量标准的建标要求。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1.2.标准器组成：</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（1）客观式模拟眼：由0m-1、2.5m-1、±5m-1、±10m-1、±15m-1、±20m-1一套共11个客观式模拟眼和一个客观式模拟眼支架组成，只用于检定客观式验光仪的球镜度。</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（2）柱镜标准器：由柱镜模拟眼和轴位控制器两部分组成。柱镜度标称值为-3m-1的两个柱镜模拟眼，安装在提供0º和90º两个固定角度的轴位控制器上，用于检定客观式验光仪的柱镜度和轴位。</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（3）瞳距标准器：由三个标称值为55mm，65mm，75mm的标准套筒组成，标准套筒内可安装0m-1客观模拟眼，用于检定客观式验光仪的瞳距示值误差。</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★2.1.球镜度量值的扩展不确定度：U=（0.07～0.10）m-1（k=3）；具体为：低量程（0～±10m-1）一般U=0.07 m-1（k=3），高量程（绝对值大于10m-1）一般U=0.10 m-1（k=3）；</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★2.2.球镜度实际值与标称值之差不超过±0.12m-1；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（1）（0～±10）m-1范围的客观式模拟眼的球镜度量值的年变化量不超过±0.06m-1。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（2）绝对值大于10m-1范围的客观式模拟眼的球镜度量值的年变化量不超过±0.10m-1。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★2.3.柱镜度量值的扩展不确定度：U≤0.08m-1（k=3）。</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（1）柱镜度实际值与标称值之差不超出±0.12m-1。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（2）柱镜度量值的年变化量不超过±0.06m-1。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★2.4.轴位控制器0°和90°轴位方位允许误差为±1°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★2.5.55mm、65mm、75mm三个标准瞳距的允差为±0.5mm。</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2.6.鉴于现场使用需要，要求配置专用仪器箱，便于携带。</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燃气表检定装置（含膜式）</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★1.1.满足规程及溯源要求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自动燃气表检定装置必须满足JJF1240-2010《临界流文丘里喷嘴法气体流量标准装置校准规范》、JJG620-2008《临界流文丘里喷嘴检定规程》、JJG577-2012《膜式燃气表检定规程》、JJG1190-2022《超声波燃气表检定规程》中对装置的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1.2.装置各部分材质及配件参数要求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1.2.1.材质：标准器、夹表操作台材质应耐腐蚀、不易锈蚀，满足长期稳定使用要求；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1.2.2.音速喷嘴：11只（64m3/h、32 m3/h、16 m3/h、8 m3/h、4 m3/h、2 m3/h、1 m3/h、0.4 m3/h、0.25 m3/h、0.1 m3/h、0.06 m3/h、）。</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1.2.3.温度变送器：范围：0℃～50℃；误差：±0.2℃；</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1.2.4.绝压变送器：（60～110）kPa误差：±0.1%；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1.2.5.压力变送器：（0～100）kPa误差：±0.5%；</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1.2.6.差压变送器：（-1000～1000）Pa误差：±0.5%；</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1.2.7.湿度传感器：范围：0%RH～100%RH；扩展不确定度：≤3%；</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1.2.8.计时器晶振频率：12MHz，相对频率偏差≤10-6，频率复现性≤10-7；</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bookmarkStart w:id="24" w:name="OLE_LINK17"/>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2.1.检定装置表位：3工位（G6～G25）+1工位（G40～G65），流量范围：0.06 m3/h、～100 m3/h、，可完成G6、G10、G16、G25、G40、G65规格工商业燃气表的燃气表密封性（正压）、示值误差（负压）以及总压力损失测试；</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bookmarkEnd w:id="24"/>
      <w:r>
        <w:rPr>
          <w:rFonts w:hint="eastAsia" w:ascii="宋体" w:hAnsi="宋体" w:eastAsia="宋体" w:cs="宋体"/>
          <w:color w:val="auto"/>
          <w:sz w:val="24"/>
          <w:szCs w:val="24"/>
          <w:highlight w:val="none"/>
          <w:lang w:val="en-US" w:eastAsia="zh-CN"/>
        </w:rPr>
        <w:t xml:space="preserve">2.2.装置扩展不确定度：U≤0.5%(k=2)，音速喷嘴扩展不确定度：U≤0.2%(k=2)，流量点偏差≤5%；</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bookmarkStart w:id="25" w:name="OLE_LINK33"/>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w:t>
      </w:r>
      <w:bookmarkEnd w:id="25"/>
      <w:r>
        <w:rPr>
          <w:rFonts w:hint="eastAsia" w:ascii="宋体" w:hAnsi="宋体" w:eastAsia="宋体" w:cs="宋体"/>
          <w:color w:val="auto"/>
          <w:sz w:val="24"/>
          <w:szCs w:val="24"/>
          <w:highlight w:val="none"/>
          <w:lang w:val="en-US" w:eastAsia="zh-CN"/>
        </w:rPr>
        <w:t xml:space="preserve">.检定流量点：Qmax、0.2Qmax、Qmin；</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2.4.工作方式：负压法</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2.5.夹表方式：气动夹紧；</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bookmarkStart w:id="26" w:name="OLE_LINK32"/>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w:t>
      </w:r>
      <w:bookmarkEnd w:id="26"/>
      <w:r>
        <w:rPr>
          <w:rFonts w:hint="eastAsia" w:ascii="宋体" w:hAnsi="宋体" w:eastAsia="宋体" w:cs="宋体"/>
          <w:color w:val="auto"/>
          <w:sz w:val="24"/>
          <w:szCs w:val="24"/>
          <w:highlight w:val="none"/>
          <w:lang w:val="en-US" w:eastAsia="zh-CN"/>
        </w:rPr>
        <w:t xml:space="preserve">.需配置智能图像采集终端，集成以下核心功能：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2.6.1.具备图像采集与字轮识别功能，支持实时显示燃气表字轮运转状态，可提供数据导出接口；</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2.6.2.配备标准USB数据传输接口与超声波瞬时流量信号采集接口；</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支持双模检测机制，既可兼容超声波燃气表的LED数字识别方案，也可适配通讯信号检测方式，实现多类型燃气表的智能计量需求。图像升降方式：自动或手动一键控制所有摄像系统自动升降及所有燃气表自动气动夹紧。</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▲2.7.燃气表的燃气表密封性（正压）、示值误差（负压）以及总压力损失测试3个项目可在同一检测台上完成检定和测试。</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en-US" w:eastAsia="zh-CN"/>
        </w:rPr>
        <w:t xml:space="preserve">多功能标准源</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1.1.应内置超精密的交直流电压源和电流源，可输出性能优异的直流电压、直流电流、直流功率及交流电压、交流电流、交流功率、相位、频率，亦可模拟电阻输出、脉冲频率输出；</w:t>
      </w:r>
      <w:r/>
    </w:p>
    <w:p>
      <w:pPr>
        <w:ind w:firstLine="482"/>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1.2.应满足JJG124-2005《电流表、电压表、功率表及电阻表检定规程》、JJF1587-2016《数字多用表校准规范》、JJF1638-2017《多功能标准源校准规范》的相关要求；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1.3.可校准六位半及以下数字多用表及其它精密电测仪器；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1.4.应支持交直流功率输出、U-I相位调节；还支持电流在满量程下连续长时间输出；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▲1.5.应兼具模拟电容输出（连续可调）、8种热电偶输出与测量、6种热电阻输出等功能；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▲1.6.应具备AUX辅助电压输出，在输出交直流电压时可输出辅助电压信号；</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1.7.可以通过多台相同设备级联，扩大电流输出范围或组成三相输出系统；</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2.1.直流电压输出范围：±（0~1000V）；最佳年测量不确定度(k=2)≤8ppm*输出+2μV@3V；</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2.2.直流电流输出范围：±（0~20A）；最佳年测量不确定度(k=2)≤78ppm*输出+2uA@300mA；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2.3.交流电压输出范围：1mV~1000V，频率范围：10Hz~500kHz；最佳年测量不确定度(k=2)≤100ppm*输出+50μV(@3V，45Hz~10kHz)；</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2.4.交流电流输出范围：30μA~20A，频率范围：10Hz~30kHz；最佳年测量不确定度(k=2)≤150ppm*输出+30μA(@300mA，45Hz~1kHz)；</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2.5.直流电阻模拟输出范围：0~1000MΩ，连续可调；最佳年测量不确定度(k=2)≤22ppm*输出+1Ω(@100kΩ)；</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2.6.正弦波频率：10Hz~500kHz，测量不确定度(k=2)：0.005%；最小分辨力：10μHz；</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2.7.脉冲频率输出范围：1Hz~2MHz；测量不确定度(k=2)：20ppm*RD+20μHz；</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2.8.鉴于下现场使用需要，要求仪器体积小重量轻；尺寸应不大于：450mm(宽)×400mm(深)×200mm(高)，重量应不大于22kg;</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2.9.支持宽频宽幅供电：AC90V~265V，47Hz~63Hz；适应多种场景；</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en-US" w:eastAsia="zh-CN"/>
        </w:rPr>
        <w:t xml:space="preserve">数字多用表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1.1.其测量功能应包括交直流电压、交直流电流、电阻、频率、温度、电容；</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1.2.8位半数字显示，大尺寸液晶触摸屏，显示直观，操作便捷；</w:t>
      </w:r>
      <w:r/>
    </w:p>
    <w:p>
      <w:pPr>
        <w:ind w:firstLine="482"/>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1.3.应满足GB/T13978-2008《数字多用表》、JJF1587-2016《数字多用表校准规范》的相关要求。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▲2.1.直流电压测量量程：0~1000V，年测量不确定度 (k=2) 满足国家计量检定规程 / 校准规范要求，投标方须提供同等或更高性能的技术证明材料；</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▲2.2.直流电流测量量程：0~30A，年测量不确定度 (k=2) 满足国家计量检定规程 / 校准规范要求，投标方须提供同等或更高性能的技术证明材料；</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▲2.3.交流电压测量量程：10mV~1000V，频率范围：1Hz~1MHz，年测量不确定度 (k=2) 满足国家计量检定规程 / 校准规范要求，投标方须提供同等或更高性能的技术证明材料；</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▲2.4.交流电流测量量程：10μA~30A，频率范围：1Hz~100kHz，年测量不确定度 (k=2) 满足国家计量检定规程 / 校准规范要求，投标方须提供同等或更高性能的技术证明材料；</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▲2.5.电阻测量量程：1Ω~10GΩ，年测量不确定度 (k=2) 满足国家计量检定规程 / 校准规范要求，投标方须提供同等或更高性能的技术证明材料；</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2.6.支持宽频宽幅供电：AC90V~265V，47Hz~63Hz；适应多种场景；</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val="en-US" w:eastAsia="zh-CN"/>
        </w:rPr>
        <w:t xml:space="preserve">交流测试系统</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1.1.准确度等级0.05级，可校准0.2级及以下的单/三相电压表、电流表、有功功率表，0.5级及以下的无功功率表、视在功率表、功率因数表。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1.2.可校准0.2级及以下的直流电压表、电流表，0.5级及以下的直流功率表。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1.3.应配备大尺寸液晶屏，操作便捷，满足现场使用需求。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1.4.可外接带数字按键和旋转编码器的便携式操作台，便于用户设定量值输出。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1.5.设置三相电量时，可三相统调或各分相调节。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1.6.便携式设计，重量须不超过36kg；通讯接口：RS232。</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1.7.应满足JJF1491-2014《数字式交流电参数测量仪校准规范》、JJF1923-2021《电测量仪表校验装置校准规范》、JJF1638-2017《多功能标准源校准规范》的相关要求。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2.1.交流电压输出：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2.1.1.范围：1V~825V，量程：15V、57.7V、100V、220V、380V、600V、750V;</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2.1.2.测量不确定度(k=2)：0.03%*RD+0.02%*RG；</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2.1.3.短期稳定度：0.01%/min，最大负载电流：500mA；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2.2.交流电流输出：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2.2.1.范围：2mA~110A，量程：20mA、50mA、100mA、200mA、500mA、1A、2A、5A、10A、20A、50A、100A;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2.2.2.测量不确定度(k=2)：0.03%*RD+0.02%*RG；</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2.2.3.短期稳定度：0.01%/min，最大负载电压：60V；</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2.3.频率/相位指标：</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2.3.1.频率调节范围：45Hz～70Hz，调节细度：0.001Hz，测量不确定度：0.02Hz；</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2.3.2.相位调节范围：0.0000°～359.9999°，调节细度：0.005°，测量不确定度：0.02°；</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2.4.三相功率输出：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2.4.1.有功功率(|cosφ|≥0.5)：测量不确定度(k=2)：0.05%*FS，短期稳定度：0.01%/min；</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2.4.2.无功功率（|sinφ|≥0.5）、视在功率、功率因数：测量不确定度(k=2)：0.1%*FS，短期稳定度：0.02%/min；</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2.5.直流电压输出：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2.5.1.范围：5mV~1100V，量程：75mV、100mV、300mV、1V、3V、10V、30V、60V、100V、300V、600V、1000V;</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2.5.2.测量不确定度(k=2)：0.03%*RD+0.02%*RG；</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2.5.3.短期稳定度：0.01%/min，最大负载电流：500mA；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2.6.直流电流输出：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2.6.1.范围：1μA~33A，量程：10μA、30μA、100μA、300μA、1mA、3mA、10mA、30mA、100mA、300mA、1A、3A、10A、30A;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2.6.2.测量不确定度(k=2)：0.03%*RD+0.02%*RG；</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2.6.3.短期稳定度：0.01%/min，最大负载电压：10V；</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（六）实施及维修要求</w:t>
      </w:r>
      <w:r>
        <w:rPr>
          <w:rFonts w:hint="eastAsia" w:ascii="宋体" w:hAnsi="宋体" w:eastAsia="宋体" w:cs="宋体"/>
          <w:b/>
          <w:color w:val="auto"/>
          <w:sz w:val="28"/>
          <w:szCs w:val="28"/>
          <w:highlight w:val="none"/>
          <w:lang w:val="en-US" w:eastAsia="zh-CN"/>
        </w:rPr>
        <w:t xml:space="preserve">：</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包全部设备（验光仪顶焦度标准器、客观式标准器、燃气表检定装置（含膜式）、多功能标准源、数字多用表、交流测试系统）的供货、运输就位、安装调试、检定校准、现场培训、质保售后等全部工作。设备及配套软件须满足采购需求技术指标及对应国家计量规程、规范，满足社会公用计量标准建标条件，保障设备可正常开展计量检定业务；做好项目敏感资料、电子数据保密工作，不得向外泄露。</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及软件配置；完成燃气表检定装置图像采集识别、气动夹紧、多项目测试功能调试，完成电测类设备输出、测量、通讯、级联等功能调试，各项性能指标、软件判定功能达到采购需求及计量规程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质保及维修要求：质保期自项目验收合格之日起计算，本包所有设备质保 2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w:t>
      </w:r>
      <w:r>
        <w:rPr>
          <w:rFonts w:ascii="宋体" w:hAnsi="宋体" w:eastAsia="宋体" w:cs="宋体"/>
          <w:color w:val="auto"/>
          <w:sz w:val="24"/>
          <w:szCs w:val="24"/>
          <w:highlight w:val="none"/>
        </w:rPr>
        <w:t xml:space="preserve">安装调试完成后开展现场培训</w:t>
      </w:r>
      <w:r>
        <w:rPr>
          <w:rFonts w:hint="eastAsia" w:ascii="宋体" w:hAnsi="宋体" w:eastAsia="宋体" w:cs="宋体"/>
          <w:color w:val="auto"/>
          <w:sz w:val="24"/>
          <w:szCs w:val="24"/>
          <w:highlight w:val="none"/>
          <w:lang w:val="en-US" w:eastAsia="zh-CN"/>
        </w:rPr>
        <w:t xml:space="preserve">，培训讲师需具有工程师及以上职称，保证参训人员熟练掌握设备使用方法，且具有一定故障和紧急情况处理能力。</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验收要求：全部工作完成后由供应商申请验收，采购人对照采购需求逐项核查，证书、功能、指标全部合格后方可通过验收。</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（七）其他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left"/>
        <w:spacing w:line="360" w:lineRule="auto"/>
        <w:rPr>
          <w:rFonts w:hint="eastAsia" w:ascii="宋体" w:hAnsi="宋体" w:eastAsia="宋体"/>
          <w:b w:val="0"/>
          <w:bCs w:val="0"/>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br w:type="page" w:clear="all"/>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27" w:name="_Toc165205798"/>
      <w:r>
        <w:rPr>
          <w:rFonts w:hint="eastAsia" w:ascii="宋体" w:hAnsi="宋体" w:eastAsia="宋体" w:cs="宋体"/>
          <w:b w:val="0"/>
          <w:color w:val="auto"/>
          <w:highlight w:val="none"/>
        </w:rPr>
        <w:t xml:space="preserve">第五章  评标方法与评标标准</w:t>
      </w:r>
      <w:bookmarkEnd w:id="27"/>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一、评标方法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每个采购包选取1名中标候选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二、评标标准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（3）总得分=价格分+技术分+商务分。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采购包1：</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keepNext/>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keepNex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keepNex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6"/>
        <w:gridCol w:w="7098"/>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center"/>
              <w:keepNex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分；其他非重要参数负偏离的，每项扣</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5分，扣完为止。缺项漏项视为负偏离。</w:t>
            </w:r>
            <w:r/>
          </w:p>
          <w:p>
            <w:pPr>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采购包2：</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6"/>
        <w:gridCol w:w="7098"/>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left"/>
              <w:keepLines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0.5分；其他非重要参数负偏离的，每项扣0.2</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分，扣完为止。缺项漏项视为负偏离。</w:t>
            </w:r>
            <w:r/>
          </w:p>
          <w:p>
            <w:pPr>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ind w:firstLine="480"/>
        <w:jc w:val="left"/>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rPr>
        <w:t xml:space="preserve">：</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tbl>
      <w:tblPr>
        <w:tblStyle w:val="676"/>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4"/>
        <w:gridCol w:w="6994"/>
      </w:tblGrid>
      <w:tr>
        <w:trPr>
          <w:jc w:val="center"/>
          <w:trHeight w:val="0"/>
          <w:tblHeader/>
        </w:trPr>
        <w:tc>
          <w:tcPr>
            <w:tcBorders>
              <w:top w:val="single" w:color="auto" w:sz="4" w:space="0"/>
              <w:left w:val="single" w:color="auto" w:sz="4" w:space="0"/>
              <w:bottom w:val="single" w:color="auto" w:sz="4" w:space="0"/>
              <w:right w:val="single" w:color="auto" w:sz="4" w:space="0"/>
            </w:tcBorders>
            <w:tcW w:w="2804"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6994"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2804" w:type="dxa"/>
            <w:vAlign w:val="center"/>
            <w:textDirection w:val="lrTb"/>
            <w:noWrap w:val="false"/>
          </w:tcPr>
          <w:p>
            <w:pPr>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94" w:type="dxa"/>
            <w:vAlign w:val="center"/>
            <w:textDirection w:val="lrTb"/>
            <w:noWrap w:val="false"/>
          </w:tcPr>
          <w:p>
            <w:pPr>
              <w:ind w:left="0" w:right="0" w:firstLine="0"/>
              <w:jc w:val="left"/>
              <w:keepLines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0.6分；其他非重要参数负偏离的，每项扣0.</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分，扣完为止。缺项漏项视为负偏离。</w:t>
            </w:r>
            <w:r/>
          </w:p>
          <w:p>
            <w:pPr>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80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94"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ind w:firstLine="480"/>
        <w:jc w:val="left"/>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6"/>
        <w:gridCol w:w="7098"/>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left"/>
              <w:keepLines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2分；其他非重要参数负偏离的，每项扣</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分，扣完为止。缺项漏项视为负偏离。</w:t>
            </w:r>
            <w:r/>
          </w:p>
          <w:p>
            <w:pPr>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ind w:firstLine="480"/>
        <w:jc w:val="left"/>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6"/>
        <w:gridCol w:w="7098"/>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left"/>
              <w:keepLines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1.5分；其他非重要参数负偏离的，每项扣0.</w:t>
            </w:r>
            <w:r>
              <w:rPr>
                <w:rFonts w:hint="eastAsia" w:ascii="宋体" w:hAnsi="宋体" w:cs="宋体"/>
                <w:color w:val="auto"/>
                <w:sz w:val="24"/>
                <w:szCs w:val="24"/>
                <w:highlight w:val="none"/>
                <w:lang w:val="en-US" w:eastAsia="zh-CN" w:bidi="ar-SA"/>
              </w:rPr>
              <w:t xml:space="preserve">75</w:t>
            </w:r>
            <w:r>
              <w:rPr>
                <w:rFonts w:hint="eastAsia" w:ascii="宋体" w:hAnsi="宋体" w:eastAsia="宋体" w:cs="宋体"/>
                <w:color w:val="auto"/>
                <w:sz w:val="24"/>
                <w:szCs w:val="24"/>
                <w:highlight w:val="none"/>
                <w:lang w:val="en-US" w:eastAsia="zh-CN" w:bidi="ar-SA"/>
              </w:rPr>
              <w:t xml:space="preserve">分，扣完为止。缺项漏项视为负偏离。</w:t>
            </w:r>
            <w:r/>
          </w:p>
          <w:p>
            <w:pPr>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6"/>
        <w:gridCol w:w="7098"/>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left"/>
              <w:keepLines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1.5分；其他非重要参数负偏离的，每项扣0.</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5分，扣完为止。缺项漏项视为负偏离。</w:t>
            </w:r>
            <w:r/>
          </w:p>
          <w:p>
            <w:pPr>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28" w:name="_Toc165205799"/>
      <w:r>
        <w:rPr>
          <w:rFonts w:hint="eastAsia" w:ascii="宋体" w:hAnsi="宋体" w:eastAsia="宋体" w:cs="宋体"/>
          <w:b w:val="0"/>
          <w:color w:val="auto"/>
          <w:highlight w:val="none"/>
        </w:rPr>
        <w:t xml:space="preserve">第六章  投标文件格式</w:t>
      </w:r>
      <w:bookmarkEnd w:id="28"/>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72"/>
          <w:szCs w:val="21"/>
          <w:highlight w:val="none"/>
        </w:rPr>
        <w:t xml:space="preserve">投  标  文  件</w:t>
      </w:r>
      <w:r/>
    </w:p>
    <w:p>
      <w:pPr>
        <w:jc w:val="center"/>
        <w:spacing w:line="360" w:lineRule="auto"/>
        <w:rPr>
          <w:rFonts w:hint="eastAsia" w:ascii="宋体" w:hAnsi="宋体" w:eastAsia="宋体" w:cs="宋体"/>
          <w:b/>
          <w:color w:val="auto"/>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t xml:space="preserve">项 目 名 称：</w:t>
      </w:r>
      <w:r/>
    </w:p>
    <w:p>
      <w:pPr>
        <w:ind w:firstLine="1084"/>
        <w:spacing w:line="360" w:lineRule="auto"/>
        <w:rPr>
          <w:rFonts w:hint="eastAsia" w:ascii="宋体" w:hAnsi="宋体" w:eastAsia="宋体" w:cs="宋体"/>
          <w:b/>
          <w:color w:val="auto"/>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t xml:space="preserve">项 目 编 号：</w:t>
      </w:r>
      <w:r/>
    </w:p>
    <w:p>
      <w:pPr>
        <w:spacing w:line="360" w:lineRule="auto"/>
        <w:rPr>
          <w:rFonts w:hint="eastAsia" w:ascii="宋体" w:hAnsi="宋体" w:eastAsia="宋体" w:cs="宋体"/>
          <w:b/>
          <w:color w:val="auto"/>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（加盖CA电子公章）</w:t>
      </w:r>
      <w:r/>
    </w:p>
    <w:p>
      <w:pPr>
        <w:spacing w:line="360" w:lineRule="auto"/>
        <w:rPr>
          <w:rFonts w:hint="eastAsia" w:ascii="宋体" w:hAnsi="宋体" w:eastAsia="宋体" w:cs="宋体"/>
          <w:b/>
          <w:color w:val="auto"/>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t xml:space="preserve">      日      期 ：</w:t>
      </w:r>
      <w:r/>
    </w:p>
    <w:p>
      <w:pPr>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i/>
          <w:color w:val="auto"/>
          <w:sz w:val="36"/>
          <w:szCs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color w:val="auto"/>
          <w:sz w:val="36"/>
          <w:highlight w:val="none"/>
          <w:u w:val="single"/>
        </w:rPr>
        <w:t xml:space="preserve">二、2024或2025年度的财务状况报告</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（成立不满一年无需提供）</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三、依法缴纳税收和社会保障资金的相关材料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br w:type="page" w:clear="all"/>
      </w:r>
      <w:r/>
    </w:p>
    <w:p>
      <w:pPr>
        <w:jc w:val="center"/>
        <w:spacing w:line="360" w:lineRule="auto"/>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财务状况报告及税收、社会保障资金缴纳情况承诺函</w:t>
      </w:r>
      <w:r/>
    </w:p>
    <w:p>
      <w:pPr>
        <w:jc w:val="left"/>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rPr>
        <w:t xml:space="preserve">采购人名称</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特此承诺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供应商（公章）：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四、具备履行合同所必需的设备和专业技术能力的声明及证明材料</w:t>
      </w:r>
      <w:r/>
    </w:p>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五、参加政府采购活动前3年内在经营活动中没有重大违法记录的书面声明</w:t>
      </w:r>
      <w:r/>
    </w:p>
    <w:p>
      <w:pPr>
        <w:jc w:val="center"/>
        <w:spacing w:line="360" w:lineRule="auto"/>
        <w:rPr>
          <w:rFonts w:hint="eastAsia" w:ascii="宋体" w:hAnsi="宋体" w:eastAsia="宋体" w:cs="宋体"/>
          <w:b/>
          <w:bCs/>
          <w:color w:val="auto"/>
          <w:sz w:val="44"/>
          <w:szCs w:val="4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声  明</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六、法律、行政法规规定的其他条件的证明文件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七、落实政府采购政策需满足的资格要求的证明文件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八、特定资格要求的证明文件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九、授权委托书与法定代表人（单位负责人）身份证明</w:t>
      </w:r>
      <w:r/>
    </w:p>
    <w:p>
      <w:pPr>
        <w:jc w:val="center"/>
        <w:spacing w:line="360" w:lineRule="auto"/>
        <w:rPr>
          <w:rFonts w:hint="eastAsia" w:ascii="宋体" w:hAnsi="宋体" w:eastAsia="宋体" w:cs="宋体"/>
          <w:b/>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代理人无转委托权。</w:t>
      </w:r>
      <w:r/>
    </w:p>
    <w:p>
      <w:pPr>
        <w:ind w:firstLine="42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供应商名称（加盖公章）：</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法定代表人（单位负责人）（签字、签章或印鉴）：</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委托代理人（签字/签章）：</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3、供应商为自然人的情形，可不提供本《授权委托书》。</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36"/>
          <w:highlight w:val="none"/>
        </w:rPr>
        <w:t xml:space="preserve">法定代表人（单位负责人）身份证明</w:t>
      </w:r>
      <w:r/>
    </w:p>
    <w:p>
      <w:pPr>
        <w:spacing w:line="360" w:lineRule="auto"/>
        <w:rPr>
          <w:rFonts w:hint="eastAsia" w:ascii="宋体" w:hAnsi="宋体" w:eastAsia="宋体" w:cs="宋体"/>
          <w:color w:val="auto"/>
          <w:sz w:val="20"/>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兹证明，</w:t>
      </w:r>
      <w:r/>
    </w:p>
    <w:p>
      <w:pPr>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姓名：性别：年龄：职务：</w:t>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right="-46"/>
        <w:spacing w:before="120" w:line="360" w:lineRule="auto"/>
        <w:tabs>
          <w:tab w:val="left" w:pos="567" w:leader="none"/>
        </w:tabs>
        <w:rPr>
          <w:rFonts w:hint="eastAsia" w:ascii="宋体" w:hAnsi="宋体" w:eastAsia="宋体" w:cs="宋体"/>
          <w:color w:val="auto"/>
          <w:spacing w:val="-3"/>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r>
    </w:tbl>
    <w:p>
      <w:pPr>
        <w:ind w:right="4305"/>
        <w:spacing w:before="120" w:line="360" w:lineRule="auto"/>
        <w:tabs>
          <w:tab w:val="left" w:pos="567" w:leader="none"/>
        </w:tabs>
        <w:rPr>
          <w:rFonts w:hint="eastAsia" w:ascii="宋体" w:hAnsi="宋体" w:eastAsia="宋体" w:cs="宋体"/>
          <w:color w:val="auto"/>
          <w:spacing w:val="-3"/>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3"/>
          <w:sz w:val="24"/>
          <w:szCs w:val="24"/>
          <w:highlight w:val="none"/>
        </w:rPr>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260" w:after="260" w:line="360" w:lineRule="auto"/>
        <w:rPr>
          <w:rFonts w:hint="eastAsia" w:ascii="宋体" w:hAnsi="宋体" w:eastAsia="宋体" w:cs="宋体"/>
          <w:b/>
          <w:i/>
          <w:color w:val="auto"/>
          <w:sz w:val="32"/>
          <w:szCs w:val="32"/>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投标函</w:t>
      </w:r>
      <w:r/>
    </w:p>
    <w:p>
      <w:pPr>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致：采购人</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1.按招标文件规定的各项要求，向买方提供所需货物（包含与货物相关的工程、服务）。</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地        址：</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邮        编：</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电        话：</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传        真：</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供应商开户行：</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账        号： </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color w:val="auto"/>
          <w:sz w:val="36"/>
          <w:highlight w:val="non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color w:val="auto"/>
          <w:sz w:val="36"/>
          <w:highlight w:val="none"/>
        </w:rPr>
        <w:t xml:space="preserve">十一、中小企业声明函（货物）（分包号：**）</w:t>
      </w:r>
      <w:r/>
    </w:p>
    <w:p>
      <w:pPr>
        <w:jc w:val="center"/>
        <w:spacing w:line="360" w:lineRule="auto"/>
        <w:tabs>
          <w:tab w:val="left" w:pos="36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中小企业声明函</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360" w:lineRule="auto"/>
        <w:rPr>
          <w:rFonts w:hint="eastAsia" w:ascii="宋体" w:hAnsi="宋体" w:eastAsia="宋体" w:cs="宋体"/>
          <w:i/>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i/>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right="1620" w:firstLine="28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企业名称（盖章）：</w:t>
      </w:r>
      <w:r/>
    </w:p>
    <w:p>
      <w:pPr>
        <w:ind w:right="1140" w:firstLine="28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3、中标人的《中小企业声明函》随中标结果公开，接受社会监督。</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color w:val="auto"/>
          <w:sz w:val="36"/>
          <w:highlight w:val="non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残疾人福利性单位声明函</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 </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r>
      <w:r/>
    </w:p>
    <w:p>
      <w:pPr>
        <w:ind w:right="1620" w:firstLine="28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单位名称（盖章）：</w:t>
      </w:r>
      <w:r/>
    </w:p>
    <w:p>
      <w:pPr>
        <w:ind w:right="1140" w:firstLine="28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jc w:val="left"/>
        <w:keepLines/>
        <w:keepNext/>
        <w:spacing w:before="360" w:after="200" w:line="360" w:lineRule="auto"/>
        <w:rPr>
          <w:rFonts w:hint="eastAsia" w:ascii="宋体" w:hAnsi="宋体" w:eastAsia="宋体" w:cs="宋体"/>
          <w:color w:val="auto"/>
          <w:sz w:val="36"/>
          <w:highlight w:val="non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color w:val="auto"/>
          <w:sz w:val="36"/>
          <w:highlight w:val="none"/>
        </w:rPr>
        <w:t xml:space="preserve">十三、联合体协议（参考格式）（分包号：**）</w:t>
      </w:r>
      <w:r/>
    </w:p>
    <w:p>
      <w:pPr>
        <w:jc w:val="center"/>
        <w:spacing w:line="360" w:lineRule="auto"/>
        <w:tabs>
          <w:tab w:val="left" w:pos="360" w:leader="none"/>
        </w:tabs>
        <w:rPr>
          <w:rFonts w:hint="eastAsia" w:ascii="宋体" w:hAnsi="宋体" w:eastAsia="宋体" w:cs="宋体"/>
          <w:color w:val="auto"/>
          <w:sz w:val="24"/>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联合体协议</w:t>
      </w:r>
      <w:r/>
    </w:p>
    <w:p>
      <w:pPr>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u w:val="single"/>
        </w:rPr>
        <w:t xml:space="preserve">（联合体中各供应商全称）</w:t>
      </w:r>
      <w:r>
        <w:rPr>
          <w:rFonts w:hint="eastAsia" w:ascii="宋体" w:hAnsi="宋体" w:eastAsia="宋体" w:cs="宋体"/>
          <w:color w:val="auto"/>
          <w:sz w:val="24"/>
          <w:szCs w:val="21"/>
          <w:highlight w:val="none"/>
        </w:rPr>
        <w:t xml:space="preserve">在此达成以下协议：</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1、我们</w:t>
      </w:r>
      <w:r>
        <w:rPr>
          <w:rFonts w:hint="eastAsia" w:ascii="宋体" w:hAnsi="宋体" w:eastAsia="宋体" w:cs="宋体"/>
          <w:color w:val="auto"/>
          <w:sz w:val="24"/>
          <w:szCs w:val="21"/>
          <w:highlight w:val="none"/>
          <w:u w:val="single"/>
        </w:rPr>
        <w:t xml:space="preserve"> （供应商1），（供应商2） ，……</w:t>
      </w:r>
      <w:r>
        <w:rPr>
          <w:rFonts w:hint="eastAsia" w:ascii="宋体" w:hAnsi="宋体" w:eastAsia="宋体" w:cs="宋体"/>
          <w:color w:val="auto"/>
          <w:sz w:val="24"/>
          <w:szCs w:val="21"/>
          <w:highlight w:val="none"/>
        </w:rPr>
        <w:t xml:space="preserve">自愿组成联合体，参加</w:t>
      </w:r>
      <w:r>
        <w:rPr>
          <w:rFonts w:hint="eastAsia" w:ascii="宋体" w:hAnsi="宋体" w:cs="宋体"/>
          <w:color w:val="auto"/>
          <w:sz w:val="24"/>
          <w:szCs w:val="21"/>
          <w:highlight w:val="none"/>
          <w:lang w:eastAsia="zh-CN"/>
        </w:rPr>
        <w:t xml:space="preserve">连云港市计量检定测试中心</w:t>
      </w:r>
      <w:r>
        <w:rPr>
          <w:rFonts w:hint="eastAsia" w:ascii="宋体" w:hAnsi="宋体" w:eastAsia="宋体" w:cs="宋体"/>
          <w:color w:val="auto"/>
          <w:sz w:val="24"/>
          <w:szCs w:val="21"/>
          <w:highlight w:val="none"/>
        </w:rPr>
        <w:t xml:space="preserve">组织的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的政府采购活动，我联合体指定</w:t>
      </w:r>
      <w:r>
        <w:rPr>
          <w:rFonts w:hint="eastAsia" w:ascii="宋体" w:hAnsi="宋体" w:eastAsia="宋体" w:cs="宋体"/>
          <w:color w:val="auto"/>
          <w:sz w:val="24"/>
          <w:szCs w:val="21"/>
          <w:highlight w:val="none"/>
          <w:u w:val="single"/>
        </w:rPr>
        <w:t xml:space="preserve">（供应商*）</w:t>
      </w:r>
      <w:r>
        <w:rPr>
          <w:rFonts w:hint="eastAsia" w:ascii="宋体" w:hAnsi="宋体" w:eastAsia="宋体" w:cs="宋体"/>
          <w:color w:val="auto"/>
          <w:sz w:val="24"/>
          <w:szCs w:val="21"/>
          <w:highlight w:val="none"/>
        </w:rPr>
        <w:t xml:space="preserve">为牵头单位（牵头单位必须为联合体成员）。</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2、若我们联合中标、成交，</w:t>
      </w:r>
      <w:r>
        <w:rPr>
          <w:rFonts w:hint="eastAsia" w:ascii="宋体" w:hAnsi="宋体" w:eastAsia="宋体" w:cs="宋体"/>
          <w:color w:val="auto"/>
          <w:sz w:val="24"/>
          <w:szCs w:val="21"/>
          <w:highlight w:val="none"/>
          <w:u w:val="single"/>
        </w:rPr>
        <w:t xml:space="preserve">（供应商单位1全称）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w:t>
      </w:r>
      <w:r>
        <w:rPr>
          <w:rFonts w:hint="eastAsia" w:ascii="宋体" w:hAnsi="宋体" w:eastAsia="宋体" w:cs="宋体"/>
          <w:color w:val="auto"/>
          <w:sz w:val="24"/>
          <w:szCs w:val="21"/>
          <w:highlight w:val="none"/>
          <w:u w:val="single"/>
        </w:rPr>
        <w:t xml:space="preserve">（供应商单位2全称）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部分工作，并承担相应的责任……。（注：联合体中各供应商都应明示所承担的工作和相应的责任）。</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3、其中（小型、微型企业/残疾人福利性单位/监狱企业全称）为（小型、微型企业/残疾人福利性单位/监狱企业）企业，且我们约定该公司/单位所承担的合同金额将占本项目合同总金额的%。（可选）</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供应商1全称（公章）：</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供应商2全称（公章）：</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备注：本招标文件中要求加盖公章的内容，仅需加盖牵头单位的公章。</w:t>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十四、投标分项报价表（分包号：**）</w:t>
      </w:r>
      <w:r/>
    </w:p>
    <w:p>
      <w:pPr>
        <w:jc w:val="center"/>
        <w:spacing w:line="360" w:lineRule="auto"/>
        <w:tabs>
          <w:tab w:val="left" w:pos="360" w:leader="none"/>
        </w:tabs>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单位：元</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序号</w:t>
            </w:r>
            <w:r/>
          </w:p>
        </w:tc>
        <w:tc>
          <w:tcPr>
            <w:tcW w:w="1204"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品牌</w:t>
            </w:r>
            <w:r/>
          </w:p>
        </w:tc>
        <w:tc>
          <w:tcPr>
            <w:tcW w:w="794"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规格型号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1</w:t>
            </w:r>
            <w:r/>
          </w:p>
        </w:tc>
        <w:tc>
          <w:tcPr>
            <w:tcW w:w="120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9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gridSpan w:val="2"/>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2</w:t>
            </w:r>
            <w:r/>
          </w:p>
        </w:tc>
        <w:tc>
          <w:tcPr>
            <w:tcW w:w="120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9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gridSpan w:val="2"/>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3</w:t>
            </w:r>
            <w:r/>
          </w:p>
        </w:tc>
        <w:tc>
          <w:tcPr>
            <w:tcW w:w="120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9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gridSpan w:val="2"/>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w:t>
            </w:r>
            <w:r/>
          </w:p>
        </w:tc>
        <w:tc>
          <w:tcPr>
            <w:tcW w:w="120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9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gridSpan w:val="2"/>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总计（元）</w:t>
            </w:r>
            <w:r/>
          </w:p>
        </w:tc>
        <w:tc>
          <w:tcPr>
            <w:gridSpan w:val="5"/>
            <w:tcW w:w="4015" w:type="dxa"/>
            <w:vAlign w:val="center"/>
            <w:textDirection w:val="lrTb"/>
            <w:noWrap w:val="false"/>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r>
      <w:tr>
        <w:trPr>
          <w:jc w:val="center"/>
          <w:trHeight w:val="567"/>
        </w:trPr>
        <w:tc>
          <w:tcPr>
            <w:gridSpan w:val="11"/>
            <w:tcW w:w="8505" w:type="dxa"/>
            <w:vAlign w:val="center"/>
            <w:textDirection w:val="lrTb"/>
            <w:noWrap/>
          </w:tcPr>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tc>
      </w:tr>
    </w:tbl>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供应商（盖章）：</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填报说明：</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4、行数或事项不够，可自行增加。</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十五、技术要求响应及偏离表（分包号：**）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      项目编号：      分包号：</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29" w:name="_Hlt26955054"/>
      <w:r/>
      <w:bookmarkEnd w:id="29"/>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十六、商务要求响应及偏离表（分包号：**）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      项目编号：      分包号：</w:t>
      </w:r>
      <w:r/>
    </w:p>
    <w:tbl>
      <w:tblPr>
        <w:tblStyle w:val="67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bookmarkStart w:id="30" w:name="_Hlt26671343"/>
            <w:r/>
            <w:bookmarkEnd w:id="30"/>
            <w:r/>
            <w:bookmarkStart w:id="31" w:name="_Hlt26609391"/>
            <w:r/>
            <w:bookmarkEnd w:id="31"/>
            <w:r/>
            <w:bookmarkStart w:id="32" w:name="_Hlt26580838"/>
            <w:r/>
            <w:bookmarkEnd w:id="32"/>
            <w:r/>
            <w:bookmarkStart w:id="33" w:name="_Hlt26671372"/>
            <w:r/>
            <w:bookmarkEnd w:id="33"/>
            <w:r/>
            <w:bookmarkStart w:id="34" w:name="_Hlt26955064"/>
            <w:r/>
            <w:bookmarkEnd w:id="34"/>
            <w:r/>
            <w:bookmarkStart w:id="35" w:name="_Hlt24879081"/>
            <w:r/>
            <w:bookmarkEnd w:id="35"/>
            <w:r/>
            <w:bookmarkStart w:id="36" w:name="_Hlt26955056"/>
            <w:r/>
            <w:bookmarkEnd w:id="36"/>
            <w:r/>
            <w:bookmarkStart w:id="37" w:name="_Hlt26782999"/>
            <w:r/>
            <w:bookmarkEnd w:id="37"/>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bookmarkStart w:id="38" w:name="_Hlt26609389"/>
      <w:r/>
      <w:bookmarkEnd w:id="38"/>
      <w:r/>
      <w:bookmarkStart w:id="39" w:name="_格式2__法定代表人授权书"/>
      <w:r/>
      <w:bookmarkEnd w:id="39"/>
      <w:r/>
      <w:bookmarkStart w:id="40" w:name="_Hlt26671374"/>
      <w:r/>
      <w:bookmarkEnd w:id="40"/>
      <w:r/>
      <w:bookmarkStart w:id="41" w:name="_Hlt26955066"/>
      <w:r/>
      <w:bookmarkEnd w:id="41"/>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jc w:val="left"/>
        <w:keepLines/>
        <w:keepNext/>
        <w:spacing w:before="360" w:after="200" w:line="360" w:lineRule="auto"/>
        <w:rPr>
          <w:rFonts w:hint="eastAsia" w:ascii="宋体" w:hAnsi="宋体" w:eastAsia="宋体" w:cs="宋体"/>
          <w:iCs/>
          <w:color w:val="auto"/>
          <w:sz w:val="36"/>
          <w:highlight w:val="non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Cs/>
          <w:color w:val="auto"/>
          <w:sz w:val="36"/>
          <w:highlight w:val="none"/>
        </w:rPr>
        <w:t xml:space="preserve">十七、类似项目业绩一览表（分包号：**）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类似项目业绩一览表</w:t>
      </w:r>
      <w:r/>
    </w:p>
    <w:p>
      <w:pPr>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      项目编号：      分包号：</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850"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850"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850"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850"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jc w:val="left"/>
        <w:keepLines/>
        <w:keepNext/>
        <w:spacing w:before="360" w:after="200" w:line="360" w:lineRule="auto"/>
        <w:rPr>
          <w:rFonts w:hint="eastAsia" w:ascii="宋体" w:hAnsi="宋体" w:eastAsia="宋体" w:cs="宋体"/>
          <w:iCs/>
          <w:color w:val="auto"/>
          <w:sz w:val="36"/>
          <w:highlight w:val="non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Cs/>
          <w:color w:val="auto"/>
          <w:sz w:val="36"/>
          <w:highlight w:val="none"/>
        </w:rPr>
        <w:t xml:space="preserve">十八、项目团队人员一览表（分包号：**）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项目团队人员一览表</w:t>
      </w:r>
      <w:r/>
    </w:p>
    <w:p>
      <w:pPr>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      项目编号：      分包号：</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姓名</w:t>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本项目拟担任职务</w:t>
            </w:r>
            <w:r/>
          </w:p>
        </w:tc>
        <w:tc>
          <w:tcPr>
            <w:tcW w:w="223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技术职称、专业资质</w:t>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学历</w:t>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2239"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2239"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2239"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2239"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bCs/>
          <w:iCs/>
          <w:color w:val="auto"/>
          <w:sz w:val="36"/>
          <w:szCs w:val="36"/>
          <w:highlight w:val="none"/>
        </w:rPr>
      </w:pPr>
      <w:r>
        <w:rPr>
          <w:rFonts w:hint="eastAsia" w:ascii="宋体" w:hAnsi="宋体" w:eastAsia="宋体" w:cs="宋体"/>
          <w:bCs/>
          <w:iCs/>
          <w:color w:val="auto"/>
          <w:sz w:val="36"/>
          <w:szCs w:val="36"/>
          <w:highlight w:val="none"/>
        </w:rPr>
        <w:br w:type="page" w:clear="all"/>
      </w:r>
      <w:r/>
    </w:p>
    <w:p>
      <w:pPr>
        <w:jc w:val="left"/>
        <w:spacing w:line="360" w:lineRule="auto"/>
        <w:rPr>
          <w:rFonts w:hint="eastAsia" w:ascii="宋体" w:hAnsi="宋体" w:eastAsia="宋体" w:cs="宋体"/>
          <w:iCs/>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iCs/>
          <w:color w:val="auto"/>
          <w:sz w:val="36"/>
          <w:szCs w:val="36"/>
          <w:highlight w:val="none"/>
        </w:rPr>
        <w:t xml:space="preserve">十九、开标一览表</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供应商全称（CA公章）：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项目编号：                                   分包号：</w:t>
      </w:r>
      <w:r/>
    </w:p>
    <w:tbl>
      <w:tblPr>
        <w:tblStyle w:val="67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投标货物名称</w:t>
            </w:r>
            <w:r/>
          </w:p>
        </w:tc>
        <w:tc>
          <w:tcPr>
            <w:tcW w:w="570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总价（小写）</w:t>
            </w:r>
            <w:r/>
          </w:p>
        </w:tc>
      </w:tr>
      <w:tr>
        <w:trPr/>
        <w:tc>
          <w:tcPr>
            <w:tcW w:w="2802"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570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元</w:t>
            </w:r>
            <w:r/>
          </w:p>
        </w:tc>
      </w:tr>
      <w:tr>
        <w:trPr/>
        <w:tc>
          <w:tcPr>
            <w:tcW w:w="2802"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核心产品</w:t>
            </w:r>
            <w:r/>
          </w:p>
        </w:tc>
        <w:tc>
          <w:tcPr>
            <w:tcW w:w="570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bl>
    <w:p>
      <w:pPr>
        <w:ind w:firstLine="480"/>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sz w:val="24"/>
          <w:szCs w:val="24"/>
          <w:highlight w:val="none"/>
        </w:rPr>
        <w:t xml:space="preserve">          年     月     日</w:t>
      </w:r>
      <w:r/>
    </w:p>
    <w:p>
      <w:pPr>
        <w:jc w:val="left"/>
        <w:spacing w:line="360" w:lineRule="auto"/>
        <w:rPr>
          <w:rFonts w:hint="eastAsia" w:ascii="宋体" w:hAnsi="宋体" w:eastAsia="宋体" w:cs="宋体"/>
          <w:bCs/>
          <w:iCs/>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iCs/>
          <w:color w:val="auto"/>
          <w:sz w:val="36"/>
          <w:szCs w:val="36"/>
          <w:highlight w:val="none"/>
        </w:rPr>
        <w:t xml:space="preserve">二十、关于符合本国产品标准的声明函</w:t>
      </w:r>
      <w:r>
        <w:rPr>
          <w:rFonts w:hint="eastAsia" w:ascii="宋体" w:hAnsi="宋体" w:eastAsia="宋体" w:cs="宋体"/>
          <w:bCs/>
          <w:iCs/>
          <w:color w:val="auto"/>
          <w:sz w:val="36"/>
          <w:szCs w:val="36"/>
          <w:highlight w:val="none"/>
        </w:rPr>
        <w:tab/>
      </w:r>
      <w:r/>
    </w:p>
    <w:p>
      <w:pPr>
        <w:jc w:val="left"/>
        <w:spacing w:line="360" w:lineRule="auto"/>
        <w:rPr>
          <w:rFonts w:hint="eastAsia" w:ascii="宋体" w:hAnsi="宋体" w:eastAsia="宋体" w:cs="宋体"/>
          <w:bCs/>
          <w:i/>
          <w:color w:val="auto"/>
          <w:sz w:val="36"/>
          <w:szCs w:val="36"/>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i/>
          <w:color w:val="auto"/>
          <w:sz w:val="36"/>
          <w:szCs w:val="36"/>
          <w:highlight w:val="none"/>
          <w:u w:val="single"/>
        </w:rPr>
      </w:r>
      <w:r/>
    </w:p>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关于符合本国产品标准的声明函</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1，生产厂为</w:t>
      </w:r>
      <w:r>
        <w:rPr>
          <w:rFonts w:hint="eastAsia" w:ascii="宋体" w:hAnsi="宋体" w:eastAsia="宋体" w:cs="宋体"/>
          <w:color w:val="auto"/>
          <w:sz w:val="24"/>
          <w:szCs w:val="24"/>
          <w:highlight w:val="none"/>
          <w:u w:val="single"/>
        </w:rPr>
        <w:t xml:space="preserve">（厂名）</w:t>
      </w:r>
      <w:r>
        <w:rPr>
          <w:rFonts w:hint="eastAsia" w:ascii="宋体" w:hAnsi="宋体" w:eastAsia="宋体" w:cs="宋体"/>
          <w:color w:val="auto"/>
          <w:sz w:val="24"/>
          <w:szCs w:val="24"/>
          <w:highlight w:val="none"/>
        </w:rPr>
        <w:t xml:space="preserve">2，厂址为</w:t>
      </w:r>
      <w:r>
        <w:rPr>
          <w:rFonts w:hint="eastAsia" w:ascii="宋体" w:hAnsi="宋体" w:eastAsia="宋体" w:cs="宋体"/>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Fonts w:hint="eastAsia" w:ascii="宋体" w:hAnsi="宋体" w:eastAsia="宋体" w:cs="宋体"/>
          <w:strike/>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strike/>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3。</w:t>
      </w:r>
      <w:r>
        <w:rPr>
          <w:rFonts w:hint="eastAsia" w:ascii="宋体" w:hAnsi="宋体" w:eastAsia="宋体" w:cs="宋体"/>
          <w:strike/>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w:t>
      </w:r>
      <w:r>
        <w:rPr>
          <w:rFonts w:hint="eastAsia" w:ascii="宋体" w:hAnsi="宋体" w:eastAsia="宋体" w:cs="宋体"/>
          <w:strike/>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4在中国境内生产。</w:t>
      </w:r>
      <w:r>
        <w:rPr>
          <w:rFonts w:hint="eastAsia" w:ascii="宋体" w:hAnsi="宋体" w:eastAsia="宋体" w:cs="宋体"/>
          <w:strike/>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w:t>
      </w:r>
      <w:r>
        <w:rPr>
          <w:rFonts w:hint="eastAsia" w:ascii="宋体" w:hAnsi="宋体" w:eastAsia="宋体" w:cs="宋体"/>
          <w:strike/>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5在中国境内完成。</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Fonts w:hint="eastAsia" w:ascii="宋体" w:hAnsi="宋体" w:eastAsia="宋体" w:cs="宋体"/>
          <w:strike/>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strike/>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strike/>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Fonts w:hint="eastAsia" w:ascii="宋体" w:hAnsi="宋体" w:eastAsia="宋体" w:cs="宋体"/>
          <w:strike/>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strike/>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Fonts w:hint="eastAsia" w:ascii="宋体" w:hAnsi="宋体" w:eastAsia="宋体" w:cs="宋体"/>
          <w:strike/>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504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公司（单位）名称（盖章）：　        </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504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1、产品如有型号，请在“产品名称”栏一并填写。</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2、生产厂名与厂址应与生产厂营业执照载明的相关信息保持一致。</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4、该产品的关键组件要求实施前，“关键组件”栏可不填。</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5、该产品的关键工序要求实施前，“关键工序”栏可不填。</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6、划除栏无需填写。</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spacing w:line="360" w:lineRule="auto"/>
        <w:tabs>
          <w:tab w:val="left" w:pos="1562" w:leader="none"/>
        </w:tabs>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highlight w:val="none"/>
        </w:rPr>
        <w:tab/>
      </w:r>
      <w:r/>
    </w:p>
    <w:p>
      <w:pPr>
        <w:jc w:val="left"/>
        <w:spacing w:line="360" w:lineRule="auto"/>
        <w:widowControl/>
        <w:rPr>
          <w:rFonts w:hint="eastAsia" w:ascii="宋体" w:hAnsi="宋体" w:eastAsia="宋体" w:cs="宋体"/>
          <w:bCs/>
          <w:color w:val="auto"/>
          <w:sz w:val="40"/>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40"/>
          <w:szCs w:val="32"/>
          <w:highlight w:val="none"/>
        </w:rPr>
      </w:r>
      <w:r/>
    </w:p>
    <w:p>
      <w:pPr>
        <w:jc w:val="center"/>
        <w:spacing w:line="360" w:lineRule="auto"/>
        <w:rPr>
          <w:rFonts w:hint="eastAsia" w:ascii="宋体" w:hAnsi="宋体" w:eastAsia="宋体" w:cs="宋体"/>
          <w:bCs/>
          <w:color w:val="auto"/>
          <w:sz w:val="40"/>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40"/>
          <w:szCs w:val="32"/>
          <w:highlight w:val="none"/>
        </w:rPr>
        <w:t xml:space="preserve">质疑函范本</w:t>
      </w:r>
      <w:r/>
    </w:p>
    <w:p>
      <w:pPr>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质疑供应商：</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地址：邮编：</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联系人：联系电话：</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授权代表：</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地址：邮编：</w:t>
      </w:r>
      <w:r/>
    </w:p>
    <w:p>
      <w:pPr>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质疑项目的名称：</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质疑项目的编号：包号：</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采购文件获取日期：</w:t>
      </w:r>
      <w:r/>
    </w:p>
    <w:p>
      <w:pPr>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请求：</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签字（签章）：                   公章：                      </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w:t>
      </w:r>
      <w:r/>
    </w:p>
    <w:p>
      <w:pPr>
        <w:spacing w:line="36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szCs w:val="24"/>
          <w:highlight w:val="none"/>
        </w:rPr>
        <w:t xml:space="preserve">质疑函制作说明：</w:t>
      </w:r>
      <w:r/>
    </w:p>
    <w:p>
      <w:pPr>
        <w:ind w:firstLine="480"/>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4170" cy="2438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44170"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1pt;height:19.2pt;mso-wrap-distance-left:9.0pt;mso-wrap-distance-top:0.0pt;mso-wrap-distance-right:9.0pt;mso-wrap-distance-bottom:0.0pt;v-text-anchor:top;visibility:visible;" filled="f" stroked="f" strokeweight="0.50pt">
              <v:textbox inset="0,0,0,0">
                <w:txbxContent>
                  <w:p>
                    <w:pPr>
                      <w:pStyle w:val="689"/>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default="1">
    <w:name w:val="Normal"/>
    <w:next w:val="669"/>
    <w:uiPriority w:val="0"/>
    <w:qFormat/>
    <w:pPr>
      <w:jc w:val="both"/>
      <w:widowControl w:val="off"/>
    </w:pPr>
    <w:rPr>
      <w:rFonts w:hint="default" w:ascii="Calibri" w:hAnsi="Calibri" w:eastAsia="宋体" w:cs="Times New Roman"/>
      <w:sz w:val="21"/>
      <w:szCs w:val="22"/>
      <w:lang w:val="en-US" w:eastAsia="zh-CN" w:bidi="ar-SA"/>
    </w:rPr>
  </w:style>
  <w:style w:type="paragraph" w:styleId="666">
    <w:name w:val="Heading 1"/>
    <w:basedOn w:val="665"/>
    <w:next w:val="665"/>
    <w:link w:val="766"/>
    <w:uiPriority w:val="9"/>
    <w:qFormat/>
    <w:pPr>
      <w:keepLines/>
      <w:keepNext/>
      <w:spacing w:before="480" w:after="200"/>
      <w:outlineLvl w:val="0"/>
    </w:pPr>
    <w:rPr>
      <w:rFonts w:ascii="Arial" w:hAnsi="Arial" w:eastAsia="Arial" w:cs="Arial"/>
      <w:sz w:val="40"/>
      <w:szCs w:val="40"/>
    </w:rPr>
  </w:style>
  <w:style w:type="paragraph" w:styleId="667">
    <w:name w:val="Heading 2"/>
    <w:basedOn w:val="665"/>
    <w:next w:val="665"/>
    <w:link w:val="767"/>
    <w:uiPriority w:val="9"/>
    <w:unhideWhenUsed/>
    <w:qFormat/>
    <w:pPr>
      <w:keepLines/>
      <w:keepNext/>
      <w:spacing w:before="360" w:after="200"/>
      <w:outlineLvl w:val="1"/>
    </w:pPr>
    <w:rPr>
      <w:rFonts w:ascii="Arial" w:hAnsi="Arial" w:eastAsia="Arial" w:cs="Arial"/>
      <w:sz w:val="34"/>
    </w:rPr>
  </w:style>
  <w:style w:type="paragraph" w:styleId="668">
    <w:name w:val="Heading 3"/>
    <w:basedOn w:val="665"/>
    <w:next w:val="677"/>
    <w:link w:val="768"/>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65"/>
    <w:next w:val="665"/>
    <w:link w:val="769"/>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65"/>
    <w:next w:val="665"/>
    <w:link w:val="770"/>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65"/>
    <w:next w:val="665"/>
    <w:link w:val="771"/>
    <w:uiPriority w:val="9"/>
    <w:unhideWhenUsed/>
    <w:qFormat/>
    <w:pPr>
      <w:keepLines/>
      <w:keepNext/>
      <w:spacing w:before="320" w:after="200"/>
      <w:outlineLvl w:val="5"/>
    </w:pPr>
    <w:rPr>
      <w:rFonts w:ascii="Arial" w:hAnsi="Arial" w:eastAsia="Arial" w:cs="Arial"/>
      <w:b/>
      <w:bCs/>
      <w:sz w:val="22"/>
    </w:rPr>
  </w:style>
  <w:style w:type="paragraph" w:styleId="672">
    <w:name w:val="Heading 7"/>
    <w:basedOn w:val="665"/>
    <w:next w:val="665"/>
    <w:link w:val="772"/>
    <w:uiPriority w:val="9"/>
    <w:unhideWhenUsed/>
    <w:qFormat/>
    <w:pPr>
      <w:keepLines/>
      <w:keepNext/>
      <w:spacing w:before="320" w:after="200"/>
      <w:outlineLvl w:val="6"/>
    </w:pPr>
    <w:rPr>
      <w:rFonts w:ascii="Arial" w:hAnsi="Arial" w:eastAsia="Arial" w:cs="Arial"/>
      <w:b/>
      <w:bCs/>
      <w:i/>
      <w:iCs/>
      <w:sz w:val="22"/>
    </w:rPr>
  </w:style>
  <w:style w:type="paragraph" w:styleId="673">
    <w:name w:val="Heading 8"/>
    <w:basedOn w:val="665"/>
    <w:next w:val="665"/>
    <w:link w:val="773"/>
    <w:uiPriority w:val="9"/>
    <w:unhideWhenUsed/>
    <w:qFormat/>
    <w:pPr>
      <w:keepLines/>
      <w:keepNext/>
      <w:spacing w:before="320" w:after="200"/>
      <w:outlineLvl w:val="7"/>
    </w:pPr>
    <w:rPr>
      <w:rFonts w:ascii="Arial" w:hAnsi="Arial" w:eastAsia="Arial" w:cs="Arial"/>
      <w:i/>
      <w:iCs/>
      <w:sz w:val="22"/>
    </w:rPr>
  </w:style>
  <w:style w:type="paragraph" w:styleId="674">
    <w:name w:val="Heading 9"/>
    <w:basedOn w:val="665"/>
    <w:next w:val="665"/>
    <w:link w:val="774"/>
    <w:uiPriority w:val="9"/>
    <w:unhideWhenUsed/>
    <w:qFormat/>
    <w:pPr>
      <w:keepLines/>
      <w:keepNext/>
      <w:spacing w:before="320" w:after="200"/>
      <w:outlineLvl w:val="8"/>
    </w:pPr>
    <w:rPr>
      <w:rFonts w:ascii="Arial" w:hAnsi="Arial" w:eastAsia="Arial" w:cs="Arial"/>
      <w:i/>
      <w:iCs/>
      <w:szCs w:val="21"/>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Normal Indent"/>
    <w:basedOn w:val="665"/>
    <w:uiPriority w:val="99"/>
    <w:unhideWhenUsed/>
    <w:qFormat/>
    <w:pPr>
      <w:ind w:firstLine="420"/>
    </w:pPr>
  </w:style>
  <w:style w:type="paragraph" w:styleId="678">
    <w:name w:val="toc 7"/>
    <w:basedOn w:val="665"/>
    <w:next w:val="665"/>
    <w:uiPriority w:val="39"/>
    <w:unhideWhenUsed/>
    <w:qFormat/>
    <w:pPr>
      <w:ind w:left="1701"/>
      <w:spacing w:after="57"/>
    </w:pPr>
  </w:style>
  <w:style w:type="paragraph" w:styleId="679">
    <w:name w:val="Caption"/>
    <w:basedOn w:val="665"/>
    <w:next w:val="6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annotation text"/>
    <w:basedOn w:val="665"/>
    <w:link w:val="933"/>
    <w:uiPriority w:val="99"/>
    <w:semiHidden/>
    <w:unhideWhenUsed/>
    <w:qFormat/>
    <w:pPr>
      <w:jc w:val="left"/>
    </w:pPr>
  </w:style>
  <w:style w:type="paragraph" w:styleId="681">
    <w:name w:val="Body Text"/>
    <w:basedOn w:val="665"/>
    <w:next w:val="665"/>
    <w:uiPriority w:val="0"/>
    <w:qFormat/>
    <w:rPr>
      <w:rFonts w:ascii="金山简黑体" w:hAnsi="Courier New" w:eastAsia="金山简黑体"/>
      <w:b/>
      <w:spacing w:val="-8"/>
      <w:sz w:val="44"/>
      <w:szCs w:val="20"/>
    </w:rPr>
  </w:style>
  <w:style w:type="paragraph" w:styleId="682">
    <w:name w:val="Body Text Indent"/>
    <w:basedOn w:val="665"/>
    <w:uiPriority w:val="0"/>
    <w:qFormat/>
    <w:pPr>
      <w:ind w:left="420"/>
      <w:spacing w:after="120"/>
    </w:pPr>
  </w:style>
  <w:style w:type="paragraph" w:styleId="683">
    <w:name w:val="toc 5"/>
    <w:basedOn w:val="665"/>
    <w:next w:val="665"/>
    <w:uiPriority w:val="39"/>
    <w:unhideWhenUsed/>
    <w:qFormat/>
    <w:pPr>
      <w:ind w:left="1134"/>
      <w:spacing w:after="57"/>
    </w:pPr>
  </w:style>
  <w:style w:type="paragraph" w:styleId="684">
    <w:name w:val="toc 3"/>
    <w:basedOn w:val="665"/>
    <w:next w:val="665"/>
    <w:uiPriority w:val="39"/>
    <w:unhideWhenUsed/>
    <w:qFormat/>
    <w:pPr>
      <w:ind w:left="567"/>
      <w:spacing w:after="57"/>
    </w:pPr>
  </w:style>
  <w:style w:type="paragraph" w:styleId="685">
    <w:name w:val="toc 8"/>
    <w:basedOn w:val="665"/>
    <w:next w:val="665"/>
    <w:uiPriority w:val="39"/>
    <w:unhideWhenUsed/>
    <w:qFormat/>
    <w:pPr>
      <w:ind w:left="1984"/>
      <w:spacing w:after="57"/>
    </w:pPr>
  </w:style>
  <w:style w:type="paragraph" w:styleId="686">
    <w:name w:val="Date"/>
    <w:basedOn w:val="665"/>
    <w:next w:val="665"/>
    <w:uiPriority w:val="0"/>
    <w:qFormat/>
    <w:rPr>
      <w:sz w:val="24"/>
      <w:szCs w:val="20"/>
    </w:rPr>
  </w:style>
  <w:style w:type="paragraph" w:styleId="687">
    <w:name w:val="endnote text"/>
    <w:basedOn w:val="665"/>
    <w:link w:val="893"/>
    <w:uiPriority w:val="99"/>
    <w:semiHidden/>
    <w:unhideWhenUsed/>
    <w:qFormat/>
    <w:rPr>
      <w:sz w:val="20"/>
    </w:rPr>
  </w:style>
  <w:style w:type="paragraph" w:styleId="688">
    <w:name w:val="Balloon Text"/>
    <w:basedOn w:val="665"/>
    <w:link w:val="932"/>
    <w:uiPriority w:val="99"/>
    <w:semiHidden/>
    <w:unhideWhenUsed/>
    <w:qFormat/>
    <w:rPr>
      <w:sz w:val="18"/>
      <w:szCs w:val="18"/>
    </w:rPr>
  </w:style>
  <w:style w:type="paragraph" w:styleId="689">
    <w:name w:val="Footer"/>
    <w:basedOn w:val="665"/>
    <w:link w:val="785"/>
    <w:uiPriority w:val="99"/>
    <w:unhideWhenUsed/>
    <w:qFormat/>
    <w:pPr>
      <w:tabs>
        <w:tab w:val="center" w:pos="7143" w:leader="none"/>
        <w:tab w:val="right" w:pos="14287" w:leader="none"/>
      </w:tabs>
    </w:pPr>
  </w:style>
  <w:style w:type="paragraph" w:styleId="690">
    <w:name w:val="Header"/>
    <w:basedOn w:val="665"/>
    <w:link w:val="783"/>
    <w:uiPriority w:val="99"/>
    <w:unhideWhenUsed/>
    <w:qFormat/>
    <w:pPr>
      <w:tabs>
        <w:tab w:val="center" w:pos="7143" w:leader="none"/>
        <w:tab w:val="right" w:pos="14287" w:leader="none"/>
      </w:tabs>
    </w:pPr>
  </w:style>
  <w:style w:type="paragraph" w:styleId="691">
    <w:name w:val="toc 1"/>
    <w:basedOn w:val="665"/>
    <w:next w:val="665"/>
    <w:uiPriority w:val="39"/>
    <w:unhideWhenUsed/>
    <w:qFormat/>
    <w:pPr>
      <w:spacing w:after="57"/>
    </w:pPr>
  </w:style>
  <w:style w:type="paragraph" w:styleId="692">
    <w:name w:val="toc 4"/>
    <w:basedOn w:val="665"/>
    <w:next w:val="665"/>
    <w:uiPriority w:val="39"/>
    <w:unhideWhenUsed/>
    <w:qFormat/>
    <w:pPr>
      <w:ind w:left="850"/>
      <w:spacing w:after="57"/>
    </w:pPr>
  </w:style>
  <w:style w:type="paragraph" w:styleId="693">
    <w:name w:val="Subtitle"/>
    <w:basedOn w:val="665"/>
    <w:next w:val="665"/>
    <w:link w:val="778"/>
    <w:uiPriority w:val="11"/>
    <w:qFormat/>
    <w:pPr>
      <w:spacing w:before="200" w:after="200"/>
    </w:pPr>
    <w:rPr>
      <w:sz w:val="24"/>
      <w:szCs w:val="24"/>
    </w:rPr>
  </w:style>
  <w:style w:type="paragraph" w:styleId="694">
    <w:name w:val="footnote text"/>
    <w:basedOn w:val="665"/>
    <w:link w:val="892"/>
    <w:uiPriority w:val="99"/>
    <w:semiHidden/>
    <w:unhideWhenUsed/>
    <w:qFormat/>
    <w:pPr>
      <w:spacing w:after="40"/>
    </w:pPr>
    <w:rPr>
      <w:sz w:val="18"/>
    </w:rPr>
  </w:style>
  <w:style w:type="paragraph" w:styleId="695">
    <w:name w:val="toc 6"/>
    <w:basedOn w:val="665"/>
    <w:next w:val="665"/>
    <w:uiPriority w:val="39"/>
    <w:unhideWhenUsed/>
    <w:qFormat/>
    <w:pPr>
      <w:ind w:left="1417"/>
      <w:spacing w:after="57"/>
    </w:pPr>
  </w:style>
  <w:style w:type="paragraph" w:styleId="696">
    <w:name w:val="table of figures"/>
    <w:basedOn w:val="665"/>
    <w:next w:val="665"/>
    <w:uiPriority w:val="99"/>
    <w:unhideWhenUsed/>
    <w:qFormat/>
  </w:style>
  <w:style w:type="paragraph" w:styleId="697">
    <w:name w:val="toc 2"/>
    <w:basedOn w:val="665"/>
    <w:next w:val="665"/>
    <w:uiPriority w:val="39"/>
    <w:unhideWhenUsed/>
    <w:qFormat/>
    <w:pPr>
      <w:ind w:left="283"/>
      <w:spacing w:after="57"/>
    </w:pPr>
  </w:style>
  <w:style w:type="paragraph" w:styleId="698">
    <w:name w:val="toc 9"/>
    <w:basedOn w:val="665"/>
    <w:next w:val="665"/>
    <w:uiPriority w:val="39"/>
    <w:unhideWhenUsed/>
    <w:qFormat/>
    <w:pPr>
      <w:ind w:left="2268"/>
      <w:spacing w:after="57"/>
    </w:pPr>
  </w:style>
  <w:style w:type="paragraph" w:styleId="699">
    <w:name w:val="Normal (Web)"/>
    <w:basedOn w:val="665"/>
    <w:uiPriority w:val="99"/>
    <w:semiHidden/>
    <w:unhideWhenUsed/>
    <w:qFormat/>
    <w:pPr>
      <w:ind w:left="0" w:right="0"/>
      <w:jc w:val="left"/>
      <w:spacing w:before="0" w:beforeAutospacing="1" w:after="0" w:afterAutospacing="1"/>
    </w:pPr>
    <w:rPr>
      <w:sz w:val="24"/>
      <w:lang w:val="en-US" w:eastAsia="zh-CN" w:bidi="ar"/>
    </w:rPr>
  </w:style>
  <w:style w:type="paragraph" w:styleId="700">
    <w:name w:val="Title"/>
    <w:basedOn w:val="665"/>
    <w:next w:val="665"/>
    <w:link w:val="777"/>
    <w:uiPriority w:val="10"/>
    <w:qFormat/>
    <w:pPr>
      <w:contextualSpacing/>
      <w:spacing w:before="300" w:after="200"/>
    </w:pPr>
    <w:rPr>
      <w:sz w:val="48"/>
      <w:szCs w:val="48"/>
    </w:rPr>
  </w:style>
  <w:style w:type="paragraph" w:styleId="701">
    <w:name w:val="annotation subject"/>
    <w:basedOn w:val="680"/>
    <w:next w:val="680"/>
    <w:link w:val="934"/>
    <w:uiPriority w:val="99"/>
    <w:semiHidden/>
    <w:unhideWhenUsed/>
    <w:qFormat/>
    <w:rPr>
      <w:b/>
      <w:bCs/>
    </w:rPr>
  </w:style>
  <w:style w:type="table" w:styleId="7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Strong"/>
    <w:basedOn w:val="675"/>
    <w:uiPriority w:val="22"/>
    <w:qFormat/>
    <w:rPr>
      <w:b/>
    </w:rPr>
  </w:style>
  <w:style w:type="character" w:styleId="704">
    <w:name w:val="endnote reference"/>
    <w:uiPriority w:val="99"/>
    <w:semiHidden/>
    <w:unhideWhenUsed/>
    <w:qFormat/>
    <w:rPr>
      <w:vertAlign w:val="superscript"/>
    </w:rPr>
  </w:style>
  <w:style w:type="character" w:styleId="705">
    <w:name w:val="Emphasis"/>
    <w:basedOn w:val="675"/>
    <w:uiPriority w:val="20"/>
    <w:qFormat/>
    <w:rPr>
      <w:i/>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annotation reference"/>
    <w:basedOn w:val="675"/>
    <w:uiPriority w:val="99"/>
    <w:semiHidden/>
    <w:unhideWhenUsed/>
    <w:qFormat/>
    <w:rPr>
      <w:sz w:val="21"/>
      <w:szCs w:val="21"/>
    </w:rPr>
  </w:style>
  <w:style w:type="character" w:styleId="708">
    <w:name w:val="footnote reference"/>
    <w:uiPriority w:val="99"/>
    <w:unhideWhenUsed/>
    <w:qFormat/>
    <w:rPr>
      <w:vertAlign w:val="superscript"/>
    </w:rPr>
  </w:style>
  <w:style w:type="table" w:styleId="709" w:customStyle="1">
    <w:name w:val="Plain Table 1"/>
    <w:basedOn w:val="6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2"/>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3"/>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basedOn w:val="6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5 Dark"/>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9" w:customStyle="1">
    <w:name w:val="Grid Table 6 Colorful"/>
    <w:basedOn w:val="6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0" w:customStyle="1">
    <w:name w:val="Grid Table 7 Colorful"/>
    <w:basedOn w:val="6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1" w:customStyle="1">
    <w:name w:val="List Table 1 Light"/>
    <w:basedOn w:val="67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customStyle="1">
    <w:name w:val="List Table 2"/>
    <w:basedOn w:val="6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3" w:customStyle="1">
    <w:name w:val="List Table 3"/>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4" w:customStyle="1">
    <w:name w:val="List Table 4"/>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5 Dark"/>
    <w:basedOn w:val="6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6" w:customStyle="1">
    <w:name w:val="List Table 6 Colorful"/>
    <w:basedOn w:val="67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7" w:customStyle="1">
    <w:name w:val="List Table 7 Colorful"/>
    <w:basedOn w:val="67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8" w:customStyle="1">
    <w:name w:val="TOC Heading"/>
    <w:uiPriority w:val="39"/>
    <w:unhideWhenUsed/>
    <w:qFormat/>
    <w:rPr>
      <w:rFonts w:hint="default" w:ascii="Times New Roman" w:hAnsi="Times New Roman" w:eastAsia="宋体" w:cs="Times New Roman"/>
      <w:lang w:val="en-US" w:eastAsia="zh-CN" w:bidi="ar-SA"/>
    </w:rPr>
  </w:style>
  <w:style w:type="character" w:styleId="729" w:customStyle="1">
    <w:name w:val="Heading 1 Char"/>
    <w:basedOn w:val="675"/>
    <w:uiPriority w:val="9"/>
    <w:qFormat/>
    <w:rPr>
      <w:rFonts w:ascii="Arial" w:hAnsi="Arial" w:eastAsia="Arial" w:cs="Arial"/>
      <w:sz w:val="40"/>
      <w:szCs w:val="40"/>
    </w:rPr>
  </w:style>
  <w:style w:type="character" w:styleId="730" w:customStyle="1">
    <w:name w:val="Heading 2 Char"/>
    <w:basedOn w:val="675"/>
    <w:uiPriority w:val="9"/>
    <w:qFormat/>
    <w:rPr>
      <w:rFonts w:ascii="Arial" w:hAnsi="Arial" w:eastAsia="Arial" w:cs="Arial"/>
      <w:sz w:val="34"/>
    </w:rPr>
  </w:style>
  <w:style w:type="character" w:styleId="731" w:customStyle="1">
    <w:name w:val="Heading 3 Char"/>
    <w:basedOn w:val="675"/>
    <w:uiPriority w:val="9"/>
    <w:qFormat/>
    <w:rPr>
      <w:rFonts w:ascii="Arial" w:hAnsi="Arial" w:eastAsia="Arial" w:cs="Arial"/>
      <w:sz w:val="30"/>
      <w:szCs w:val="30"/>
    </w:rPr>
  </w:style>
  <w:style w:type="character" w:styleId="732" w:customStyle="1">
    <w:name w:val="Heading 4 Char"/>
    <w:basedOn w:val="675"/>
    <w:uiPriority w:val="9"/>
    <w:qFormat/>
    <w:rPr>
      <w:rFonts w:ascii="Arial" w:hAnsi="Arial" w:eastAsia="Arial" w:cs="Arial"/>
      <w:b/>
      <w:bCs/>
      <w:sz w:val="26"/>
      <w:szCs w:val="26"/>
    </w:rPr>
  </w:style>
  <w:style w:type="character" w:styleId="733" w:customStyle="1">
    <w:name w:val="Heading 5 Char"/>
    <w:basedOn w:val="675"/>
    <w:uiPriority w:val="9"/>
    <w:qFormat/>
    <w:rPr>
      <w:rFonts w:ascii="Arial" w:hAnsi="Arial" w:eastAsia="Arial" w:cs="Arial"/>
      <w:b/>
      <w:bCs/>
      <w:sz w:val="24"/>
      <w:szCs w:val="24"/>
    </w:rPr>
  </w:style>
  <w:style w:type="character" w:styleId="734" w:customStyle="1">
    <w:name w:val="Heading 6 Char"/>
    <w:basedOn w:val="675"/>
    <w:uiPriority w:val="9"/>
    <w:qFormat/>
    <w:rPr>
      <w:rFonts w:ascii="Arial" w:hAnsi="Arial" w:eastAsia="Arial" w:cs="Arial"/>
      <w:b/>
      <w:bCs/>
      <w:sz w:val="22"/>
      <w:szCs w:val="22"/>
    </w:rPr>
  </w:style>
  <w:style w:type="character" w:styleId="735" w:customStyle="1">
    <w:name w:val="Heading 7 Char"/>
    <w:basedOn w:val="675"/>
    <w:uiPriority w:val="9"/>
    <w:qFormat/>
    <w:rPr>
      <w:rFonts w:ascii="Arial" w:hAnsi="Arial" w:eastAsia="Arial" w:cs="Arial"/>
      <w:b/>
      <w:bCs/>
      <w:i/>
      <w:iCs/>
      <w:sz w:val="22"/>
      <w:szCs w:val="22"/>
    </w:rPr>
  </w:style>
  <w:style w:type="character" w:styleId="736" w:customStyle="1">
    <w:name w:val="Heading 8 Char"/>
    <w:basedOn w:val="675"/>
    <w:uiPriority w:val="9"/>
    <w:qFormat/>
    <w:rPr>
      <w:rFonts w:ascii="Arial" w:hAnsi="Arial" w:eastAsia="Arial" w:cs="Arial"/>
      <w:i/>
      <w:iCs/>
      <w:sz w:val="22"/>
      <w:szCs w:val="22"/>
    </w:rPr>
  </w:style>
  <w:style w:type="character" w:styleId="737" w:customStyle="1">
    <w:name w:val="Heading 9 Char"/>
    <w:basedOn w:val="675"/>
    <w:uiPriority w:val="9"/>
    <w:qFormat/>
    <w:rPr>
      <w:rFonts w:ascii="Arial" w:hAnsi="Arial" w:eastAsia="Arial" w:cs="Arial"/>
      <w:i/>
      <w:iCs/>
      <w:sz w:val="21"/>
      <w:szCs w:val="21"/>
    </w:rPr>
  </w:style>
  <w:style w:type="character" w:styleId="738" w:customStyle="1">
    <w:name w:val="Title Char"/>
    <w:basedOn w:val="675"/>
    <w:uiPriority w:val="10"/>
    <w:qFormat/>
    <w:rPr>
      <w:sz w:val="48"/>
      <w:szCs w:val="48"/>
    </w:rPr>
  </w:style>
  <w:style w:type="character" w:styleId="739" w:customStyle="1">
    <w:name w:val="Subtitle Char"/>
    <w:basedOn w:val="675"/>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Header Char"/>
    <w:basedOn w:val="675"/>
    <w:uiPriority w:val="99"/>
    <w:qFormat/>
  </w:style>
  <w:style w:type="character" w:styleId="743" w:customStyle="1">
    <w:name w:val="Caption Char"/>
    <w:uiPriority w:val="99"/>
    <w:qFormat/>
  </w:style>
  <w:style w:type="table" w:styleId="744" w:customStyle="1">
    <w:name w:val="无格式表格 11"/>
    <w:basedOn w:val="6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basedOn w:val="6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basedOn w:val="6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basedOn w:val="6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basedOn w:val="6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basedOn w:val="6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网格表 31"/>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网格表 41"/>
    <w:basedOn w:val="6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网格表 5 深色1"/>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网格表 6 彩色1"/>
    <w:basedOn w:val="6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网格表 7 彩色1"/>
    <w:basedOn w:val="6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清单表 1 浅色1"/>
    <w:basedOn w:val="67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清单表 21"/>
    <w:basedOn w:val="6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清单表 31"/>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41"/>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清单表 5 深色1"/>
    <w:basedOn w:val="6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清单表 6 彩色1"/>
    <w:basedOn w:val="67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清单表 7 彩色1"/>
    <w:basedOn w:val="67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标题1"/>
    <w:uiPriority w:val="39"/>
    <w:unhideWhenUsed/>
    <w:qFormat/>
    <w:rPr>
      <w:rFonts w:hint="default" w:ascii="Times New Roman" w:hAnsi="Times New Roman" w:eastAsia="宋体" w:cs="Times New Roman"/>
      <w:lang w:val="en-US" w:eastAsia="zh-CN" w:bidi="ar-SA"/>
    </w:rPr>
  </w:style>
  <w:style w:type="character" w:styleId="766" w:customStyle="1">
    <w:name w:val="标题 1 字符"/>
    <w:link w:val="666"/>
    <w:uiPriority w:val="9"/>
    <w:qFormat/>
    <w:rPr>
      <w:rFonts w:ascii="Arial" w:hAnsi="Arial" w:eastAsia="Arial" w:cs="Arial"/>
      <w:sz w:val="40"/>
      <w:szCs w:val="40"/>
    </w:rPr>
  </w:style>
  <w:style w:type="character" w:styleId="767" w:customStyle="1">
    <w:name w:val="标题 2 字符"/>
    <w:link w:val="667"/>
    <w:uiPriority w:val="9"/>
    <w:qFormat/>
    <w:rPr>
      <w:rFonts w:ascii="Arial" w:hAnsi="Arial" w:eastAsia="Arial" w:cs="Arial"/>
      <w:sz w:val="34"/>
    </w:rPr>
  </w:style>
  <w:style w:type="character" w:styleId="768" w:customStyle="1">
    <w:name w:val="标题 3 字符"/>
    <w:link w:val="668"/>
    <w:uiPriority w:val="9"/>
    <w:qFormat/>
    <w:rPr>
      <w:rFonts w:ascii="Arial" w:hAnsi="Arial" w:eastAsia="Arial" w:cs="Arial"/>
      <w:sz w:val="30"/>
      <w:szCs w:val="30"/>
    </w:rPr>
  </w:style>
  <w:style w:type="character" w:styleId="769" w:customStyle="1">
    <w:name w:val="标题 4 字符"/>
    <w:link w:val="669"/>
    <w:uiPriority w:val="9"/>
    <w:qFormat/>
    <w:rPr>
      <w:rFonts w:ascii="Arial" w:hAnsi="Arial" w:eastAsia="Arial" w:cs="Arial"/>
      <w:b/>
      <w:bCs/>
      <w:sz w:val="26"/>
      <w:szCs w:val="26"/>
    </w:rPr>
  </w:style>
  <w:style w:type="character" w:styleId="770" w:customStyle="1">
    <w:name w:val="标题 5 字符"/>
    <w:link w:val="670"/>
    <w:uiPriority w:val="9"/>
    <w:qFormat/>
    <w:rPr>
      <w:rFonts w:ascii="Arial" w:hAnsi="Arial" w:eastAsia="Arial" w:cs="Arial"/>
      <w:b/>
      <w:bCs/>
      <w:sz w:val="24"/>
      <w:szCs w:val="24"/>
    </w:rPr>
  </w:style>
  <w:style w:type="character" w:styleId="771" w:customStyle="1">
    <w:name w:val="标题 6 字符"/>
    <w:link w:val="671"/>
    <w:uiPriority w:val="9"/>
    <w:qFormat/>
    <w:rPr>
      <w:rFonts w:ascii="Arial" w:hAnsi="Arial" w:eastAsia="Arial" w:cs="Arial"/>
      <w:b/>
      <w:bCs/>
      <w:sz w:val="22"/>
      <w:szCs w:val="22"/>
    </w:rPr>
  </w:style>
  <w:style w:type="character" w:styleId="772" w:customStyle="1">
    <w:name w:val="标题 7 字符"/>
    <w:link w:val="672"/>
    <w:uiPriority w:val="9"/>
    <w:qFormat/>
    <w:rPr>
      <w:rFonts w:ascii="Arial" w:hAnsi="Arial" w:eastAsia="Arial" w:cs="Arial"/>
      <w:b/>
      <w:bCs/>
      <w:i/>
      <w:iCs/>
      <w:sz w:val="22"/>
      <w:szCs w:val="22"/>
    </w:rPr>
  </w:style>
  <w:style w:type="character" w:styleId="773" w:customStyle="1">
    <w:name w:val="标题 8 字符"/>
    <w:link w:val="673"/>
    <w:uiPriority w:val="9"/>
    <w:qFormat/>
    <w:rPr>
      <w:rFonts w:ascii="Arial" w:hAnsi="Arial" w:eastAsia="Arial" w:cs="Arial"/>
      <w:i/>
      <w:iCs/>
      <w:sz w:val="22"/>
      <w:szCs w:val="22"/>
    </w:rPr>
  </w:style>
  <w:style w:type="character" w:styleId="774" w:customStyle="1">
    <w:name w:val="标题 9 字符"/>
    <w:link w:val="674"/>
    <w:uiPriority w:val="9"/>
    <w:qFormat/>
    <w:rPr>
      <w:rFonts w:ascii="Arial" w:hAnsi="Arial" w:eastAsia="Arial" w:cs="Arial"/>
      <w:i/>
      <w:iCs/>
      <w:sz w:val="21"/>
      <w:szCs w:val="21"/>
    </w:rPr>
  </w:style>
  <w:style w:type="paragraph" w:styleId="775">
    <w:name w:val="List Paragraph"/>
    <w:basedOn w:val="665"/>
    <w:uiPriority w:val="34"/>
    <w:qFormat/>
    <w:pPr>
      <w:contextualSpacing/>
      <w:ind w:left="720"/>
    </w:pPr>
  </w:style>
  <w:style w:type="paragraph" w:styleId="776">
    <w:name w:val="No Spacing"/>
    <w:uiPriority w:val="1"/>
    <w:qFormat/>
    <w:rPr>
      <w:rFonts w:hint="default" w:ascii="Times New Roman" w:hAnsi="Times New Roman" w:eastAsia="宋体" w:cs="Times New Roman"/>
      <w:lang w:val="en-US" w:eastAsia="zh-CN" w:bidi="ar-SA"/>
    </w:rPr>
  </w:style>
  <w:style w:type="character" w:styleId="777" w:customStyle="1">
    <w:name w:val="标题 字符"/>
    <w:link w:val="700"/>
    <w:uiPriority w:val="10"/>
    <w:qFormat/>
    <w:rPr>
      <w:sz w:val="48"/>
      <w:szCs w:val="48"/>
    </w:rPr>
  </w:style>
  <w:style w:type="character" w:styleId="778" w:customStyle="1">
    <w:name w:val="副标题 字符"/>
    <w:link w:val="693"/>
    <w:uiPriority w:val="11"/>
    <w:qFormat/>
    <w:rPr>
      <w:sz w:val="24"/>
      <w:szCs w:val="24"/>
    </w:rPr>
  </w:style>
  <w:style w:type="paragraph" w:styleId="779">
    <w:name w:val="Quote"/>
    <w:basedOn w:val="665"/>
    <w:next w:val="665"/>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665"/>
    <w:next w:val="665"/>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link w:val="690"/>
    <w:uiPriority w:val="99"/>
    <w:qFormat/>
  </w:style>
  <w:style w:type="character" w:styleId="784" w:customStyle="1">
    <w:name w:val="Footer Char"/>
    <w:uiPriority w:val="99"/>
    <w:qFormat/>
  </w:style>
  <w:style w:type="character" w:styleId="785" w:customStyle="1">
    <w:name w:val="页脚 字符"/>
    <w:link w:val="689"/>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字符"/>
    <w:link w:val="694"/>
    <w:uiPriority w:val="99"/>
    <w:qFormat/>
    <w:rPr>
      <w:sz w:val="18"/>
    </w:rPr>
  </w:style>
  <w:style w:type="character" w:styleId="893" w:customStyle="1">
    <w:name w:val="尾注文本 字符"/>
    <w:link w:val="687"/>
    <w:uiPriority w:val="99"/>
    <w:qFormat/>
    <w:rPr>
      <w:sz w:val="20"/>
    </w:rPr>
  </w:style>
  <w:style w:type="paragraph" w:styleId="894" w:customStyle="1">
    <w:name w:val="TOC 标题11"/>
    <w:uiPriority w:val="39"/>
    <w:unhideWhenUsed/>
    <w:qFormat/>
    <w:rPr>
      <w:rFonts w:hint="default" w:ascii="Times New Roman" w:hAnsi="Times New Roman" w:eastAsia="宋体" w:cs="Times New Roman"/>
      <w:lang w:val="en-US" w:eastAsia="zh-CN" w:bidi="ar-SA"/>
    </w:rPr>
  </w:style>
  <w:style w:type="paragraph" w:styleId="895" w:customStyle="1">
    <w:name w:val="标题 11"/>
    <w:basedOn w:val="665"/>
    <w:next w:val="665"/>
    <w:link w:val="901"/>
    <w:uiPriority w:val="0"/>
    <w:qFormat/>
    <w:pPr>
      <w:keepLines/>
      <w:keepNext/>
      <w:spacing w:before="340" w:after="330" w:line="578" w:lineRule="auto"/>
      <w:outlineLvl w:val="0"/>
    </w:pPr>
    <w:rPr>
      <w:rFonts w:ascii="Times New Roman" w:hAnsi="Times New Roman"/>
      <w:b/>
      <w:bCs/>
      <w:sz w:val="44"/>
      <w:szCs w:val="44"/>
    </w:rPr>
  </w:style>
  <w:style w:type="paragraph" w:styleId="896" w:customStyle="1">
    <w:name w:val="标题 21"/>
    <w:basedOn w:val="665"/>
    <w:next w:val="665"/>
    <w:link w:val="902"/>
    <w:uiPriority w:val="0"/>
    <w:qFormat/>
    <w:pPr>
      <w:keepLines/>
      <w:keepNext/>
      <w:spacing w:before="260" w:after="260" w:line="416" w:lineRule="auto"/>
      <w:outlineLvl w:val="1"/>
    </w:pPr>
    <w:rPr>
      <w:rFonts w:ascii="Cambria" w:hAnsi="Cambria"/>
      <w:b/>
      <w:bCs/>
      <w:sz w:val="32"/>
      <w:szCs w:val="32"/>
    </w:rPr>
  </w:style>
  <w:style w:type="paragraph" w:styleId="897" w:customStyle="1">
    <w:name w:val="标题 31"/>
    <w:basedOn w:val="665"/>
    <w:next w:val="665"/>
    <w:link w:val="903"/>
    <w:uiPriority w:val="0"/>
    <w:qFormat/>
    <w:pPr>
      <w:keepLines/>
      <w:keepNext/>
      <w:spacing w:before="260" w:after="260" w:line="416" w:lineRule="auto"/>
      <w:outlineLvl w:val="2"/>
    </w:pPr>
    <w:rPr>
      <w:rFonts w:ascii="Times New Roman" w:hAnsi="Times New Roman"/>
      <w:b/>
      <w:bCs/>
      <w:sz w:val="32"/>
      <w:szCs w:val="32"/>
    </w:rPr>
  </w:style>
  <w:style w:type="character" w:styleId="898" w:customStyle="1">
    <w:name w:val="默认段落字体1"/>
    <w:uiPriority w:val="0"/>
    <w:qFormat/>
    <w:rPr>
      <w:rFonts w:ascii="Times New Roman" w:hAnsi="Times New Roman" w:eastAsia="宋体" w:cs="Times New Roman"/>
    </w:rPr>
  </w:style>
  <w:style w:type="table" w:styleId="899" w:customStyle="1">
    <w:name w:val="普通表格1"/>
    <w:uiPriority w:val="0"/>
    <w:qFormat/>
    <w:tblPr>
      <w:tblCellMar>
        <w:left w:w="0" w:type="dxa"/>
        <w:top w:w="0" w:type="dxa"/>
        <w:right w:w="0" w:type="dxa"/>
        <w:bottom w:w="0" w:type="dxa"/>
      </w:tblCellMar>
    </w:tblPr>
  </w:style>
  <w:style w:type="paragraph" w:styleId="900"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01" w:customStyle="1">
    <w:name w:val="标题 1 Char"/>
    <w:basedOn w:val="898"/>
    <w:link w:val="895"/>
    <w:uiPriority w:val="0"/>
    <w:qFormat/>
    <w:rPr>
      <w:rFonts w:ascii="Times New Roman" w:hAnsi="Times New Roman" w:eastAsia="宋体" w:cs="Times New Roman"/>
      <w:b/>
      <w:bCs/>
      <w:sz w:val="44"/>
      <w:szCs w:val="44"/>
    </w:rPr>
  </w:style>
  <w:style w:type="character" w:styleId="902" w:customStyle="1">
    <w:name w:val="标题 2 Char"/>
    <w:basedOn w:val="898"/>
    <w:link w:val="896"/>
    <w:uiPriority w:val="0"/>
    <w:qFormat/>
    <w:rPr>
      <w:rFonts w:ascii="Cambria" w:hAnsi="Cambria" w:eastAsia="宋体" w:cs="Times New Roman"/>
      <w:b/>
      <w:bCs/>
      <w:sz w:val="32"/>
      <w:szCs w:val="32"/>
    </w:rPr>
  </w:style>
  <w:style w:type="character" w:styleId="903" w:customStyle="1">
    <w:name w:val="标题 3 Char"/>
    <w:basedOn w:val="898"/>
    <w:link w:val="897"/>
    <w:uiPriority w:val="0"/>
    <w:qFormat/>
    <w:rPr>
      <w:rFonts w:ascii="Times New Roman" w:hAnsi="Times New Roman" w:eastAsia="宋体" w:cs="Times New Roman"/>
      <w:b/>
      <w:bCs/>
      <w:sz w:val="32"/>
      <w:szCs w:val="32"/>
    </w:rPr>
  </w:style>
  <w:style w:type="paragraph" w:styleId="904" w:customStyle="1">
    <w:name w:val="文档结构图1"/>
    <w:basedOn w:val="665"/>
    <w:link w:val="905"/>
    <w:uiPriority w:val="0"/>
    <w:qFormat/>
    <w:rPr>
      <w:rFonts w:ascii="宋体" w:hAnsi="Times New Roman"/>
      <w:sz w:val="18"/>
      <w:szCs w:val="18"/>
    </w:rPr>
  </w:style>
  <w:style w:type="character" w:styleId="905" w:customStyle="1">
    <w:name w:val="文档结构图 Char"/>
    <w:basedOn w:val="898"/>
    <w:link w:val="904"/>
    <w:uiPriority w:val="0"/>
    <w:qFormat/>
    <w:rPr>
      <w:rFonts w:ascii="宋体" w:hAnsi="Times New Roman" w:eastAsia="宋体" w:cs="Times New Roman"/>
      <w:sz w:val="18"/>
      <w:szCs w:val="18"/>
    </w:rPr>
  </w:style>
  <w:style w:type="paragraph" w:styleId="906" w:customStyle="1">
    <w:name w:val="批注文字1"/>
    <w:basedOn w:val="665"/>
    <w:link w:val="907"/>
    <w:uiPriority w:val="0"/>
    <w:qFormat/>
    <w:pPr>
      <w:ind w:firstLine="922"/>
      <w:jc w:val="left"/>
      <w:spacing w:line="360" w:lineRule="auto"/>
    </w:pPr>
    <w:rPr>
      <w:rFonts w:ascii="Times New Roman" w:hAnsi="Times New Roman"/>
      <w:szCs w:val="24"/>
    </w:rPr>
  </w:style>
  <w:style w:type="character" w:styleId="907" w:customStyle="1">
    <w:name w:val="批注文字 Char"/>
    <w:basedOn w:val="898"/>
    <w:link w:val="906"/>
    <w:uiPriority w:val="0"/>
    <w:qFormat/>
    <w:rPr>
      <w:rFonts w:ascii="Times New Roman" w:hAnsi="Times New Roman" w:eastAsia="宋体" w:cs="Times New Roman"/>
      <w:szCs w:val="24"/>
    </w:rPr>
  </w:style>
  <w:style w:type="paragraph" w:styleId="908" w:customStyle="1">
    <w:name w:val="正文文本1"/>
    <w:basedOn w:val="665"/>
    <w:next w:val="665"/>
    <w:link w:val="909"/>
    <w:uiPriority w:val="0"/>
    <w:qFormat/>
    <w:pPr>
      <w:spacing w:after="120"/>
    </w:pPr>
  </w:style>
  <w:style w:type="character" w:styleId="909" w:customStyle="1">
    <w:name w:val="正文文本 Char"/>
    <w:basedOn w:val="898"/>
    <w:link w:val="908"/>
    <w:uiPriority w:val="0"/>
    <w:qFormat/>
    <w:rPr>
      <w:rFonts w:ascii="Calibri" w:hAnsi="Calibri" w:eastAsia="宋体" w:cs="Times New Roman"/>
    </w:rPr>
  </w:style>
  <w:style w:type="paragraph" w:styleId="910" w:customStyle="1">
    <w:name w:val="正文文本缩进1"/>
    <w:basedOn w:val="665"/>
    <w:link w:val="911"/>
    <w:uiPriority w:val="0"/>
    <w:qFormat/>
    <w:pPr>
      <w:ind w:left="420"/>
      <w:spacing w:after="120"/>
    </w:pPr>
    <w:rPr>
      <w:rFonts w:ascii="Times New Roman" w:hAnsi="Times New Roman"/>
      <w:szCs w:val="24"/>
    </w:rPr>
  </w:style>
  <w:style w:type="character" w:styleId="911" w:customStyle="1">
    <w:name w:val="正文文本缩进 Char"/>
    <w:basedOn w:val="898"/>
    <w:link w:val="910"/>
    <w:uiPriority w:val="0"/>
    <w:qFormat/>
    <w:rPr>
      <w:rFonts w:ascii="Times New Roman" w:hAnsi="Times New Roman" w:eastAsia="宋体" w:cs="Times New Roman"/>
      <w:szCs w:val="24"/>
    </w:rPr>
  </w:style>
  <w:style w:type="paragraph" w:styleId="912" w:customStyle="1">
    <w:name w:val="纯文本1"/>
    <w:basedOn w:val="665"/>
    <w:link w:val="913"/>
    <w:uiPriority w:val="0"/>
    <w:qFormat/>
    <w:rPr>
      <w:rFonts w:ascii="宋体" w:hAnsi="Courier New" w:cs="Courier New"/>
      <w:szCs w:val="21"/>
    </w:rPr>
  </w:style>
  <w:style w:type="character" w:styleId="913" w:customStyle="1">
    <w:name w:val="纯文本 Char"/>
    <w:basedOn w:val="898"/>
    <w:link w:val="912"/>
    <w:uiPriority w:val="0"/>
    <w:qFormat/>
    <w:rPr>
      <w:rFonts w:ascii="宋体" w:hAnsi="Courier New" w:eastAsia="宋体" w:cs="Courier New"/>
      <w:szCs w:val="21"/>
    </w:rPr>
  </w:style>
  <w:style w:type="paragraph" w:styleId="914" w:customStyle="1">
    <w:name w:val="日期1"/>
    <w:basedOn w:val="665"/>
    <w:next w:val="665"/>
    <w:link w:val="915"/>
    <w:uiPriority w:val="0"/>
    <w:qFormat/>
    <w:pPr>
      <w:ind w:left="100"/>
    </w:pPr>
    <w:rPr>
      <w:rFonts w:ascii="Times New Roman" w:hAnsi="Times New Roman"/>
    </w:rPr>
  </w:style>
  <w:style w:type="character" w:styleId="915" w:customStyle="1">
    <w:name w:val="日期 Char"/>
    <w:basedOn w:val="898"/>
    <w:link w:val="914"/>
    <w:uiPriority w:val="0"/>
    <w:qFormat/>
    <w:rPr>
      <w:rFonts w:ascii="Times New Roman" w:hAnsi="Times New Roman" w:eastAsia="宋体" w:cs="Times New Roman"/>
    </w:rPr>
  </w:style>
  <w:style w:type="paragraph" w:styleId="916" w:customStyle="1">
    <w:name w:val="批注框文本1"/>
    <w:basedOn w:val="665"/>
    <w:link w:val="917"/>
    <w:uiPriority w:val="0"/>
    <w:qFormat/>
    <w:rPr>
      <w:rFonts w:ascii="Times New Roman" w:hAnsi="Times New Roman"/>
      <w:sz w:val="18"/>
      <w:szCs w:val="18"/>
    </w:rPr>
  </w:style>
  <w:style w:type="character" w:styleId="917" w:customStyle="1">
    <w:name w:val="批注框文本 Char"/>
    <w:basedOn w:val="898"/>
    <w:link w:val="916"/>
    <w:uiPriority w:val="0"/>
    <w:qFormat/>
    <w:rPr>
      <w:rFonts w:ascii="Times New Roman" w:hAnsi="Times New Roman" w:eastAsia="宋体" w:cs="Times New Roman"/>
      <w:sz w:val="18"/>
      <w:szCs w:val="18"/>
    </w:rPr>
  </w:style>
  <w:style w:type="paragraph" w:styleId="918" w:customStyle="1">
    <w:name w:val="页脚1"/>
    <w:basedOn w:val="665"/>
    <w:link w:val="919"/>
    <w:uiPriority w:val="0"/>
    <w:qFormat/>
    <w:pPr>
      <w:jc w:val="left"/>
      <w:tabs>
        <w:tab w:val="center" w:pos="4153" w:leader="none"/>
        <w:tab w:val="right" w:pos="8306" w:leader="none"/>
      </w:tabs>
    </w:pPr>
    <w:rPr>
      <w:rFonts w:ascii="Times New Roman" w:hAnsi="Times New Roman"/>
      <w:sz w:val="18"/>
      <w:szCs w:val="18"/>
    </w:rPr>
  </w:style>
  <w:style w:type="character" w:styleId="919" w:customStyle="1">
    <w:name w:val="页脚 Char"/>
    <w:basedOn w:val="898"/>
    <w:link w:val="918"/>
    <w:uiPriority w:val="0"/>
    <w:qFormat/>
    <w:rPr>
      <w:rFonts w:ascii="Times New Roman" w:hAnsi="Times New Roman" w:eastAsia="宋体" w:cs="Times New Roman"/>
      <w:sz w:val="18"/>
      <w:szCs w:val="18"/>
    </w:rPr>
  </w:style>
  <w:style w:type="paragraph" w:styleId="920" w:customStyle="1">
    <w:name w:val="页眉1"/>
    <w:basedOn w:val="665"/>
    <w:link w:val="92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1" w:customStyle="1">
    <w:name w:val="页眉 Char"/>
    <w:basedOn w:val="898"/>
    <w:link w:val="920"/>
    <w:uiPriority w:val="0"/>
    <w:qFormat/>
    <w:rPr>
      <w:rFonts w:ascii="Times New Roman" w:hAnsi="Times New Roman" w:eastAsia="宋体" w:cs="Times New Roman"/>
      <w:sz w:val="18"/>
      <w:szCs w:val="18"/>
    </w:rPr>
  </w:style>
  <w:style w:type="paragraph" w:styleId="922" w:customStyle="1">
    <w:name w:val="目录 11"/>
    <w:basedOn w:val="665"/>
    <w:next w:val="665"/>
    <w:uiPriority w:val="0"/>
    <w:qFormat/>
    <w:pPr>
      <w:jc w:val="center"/>
      <w:tabs>
        <w:tab w:val="right" w:pos="8296" w:leader="dot"/>
      </w:tabs>
    </w:pPr>
    <w:rPr>
      <w:rFonts w:ascii="黑体" w:hAnsi="黑体" w:eastAsia="黑体"/>
      <w:sz w:val="44"/>
      <w:szCs w:val="44"/>
    </w:rPr>
  </w:style>
  <w:style w:type="paragraph" w:styleId="923" w:customStyle="1">
    <w:name w:val="普通(网站)1"/>
    <w:basedOn w:val="665"/>
    <w:uiPriority w:val="0"/>
    <w:qFormat/>
    <w:rPr>
      <w:rFonts w:ascii="Times New Roman" w:hAnsi="Times New Roman"/>
      <w:sz w:val="24"/>
    </w:rPr>
  </w:style>
  <w:style w:type="table" w:styleId="924" w:customStyle="1">
    <w:name w:val="网格型1"/>
    <w:basedOn w:val="899"/>
    <w:uiPriority w:val="0"/>
    <w:qFormat/>
    <w:tblPr/>
  </w:style>
  <w:style w:type="character" w:styleId="925" w:customStyle="1">
    <w:name w:val="超链接1"/>
    <w:uiPriority w:val="0"/>
    <w:qFormat/>
    <w:rPr>
      <w:rFonts w:ascii="Times New Roman" w:hAnsi="Times New Roman" w:eastAsia="宋体" w:cs="Times New Roman"/>
      <w:color w:val="0000ff"/>
      <w:u w:val="none"/>
    </w:rPr>
  </w:style>
  <w:style w:type="character" w:styleId="926" w:customStyle="1">
    <w:name w:val="批注引用1"/>
    <w:uiPriority w:val="0"/>
    <w:qFormat/>
    <w:rPr>
      <w:rFonts w:ascii="Times New Roman" w:hAnsi="Times New Roman" w:eastAsia="宋体" w:cs="Times New Roman"/>
      <w:sz w:val="21"/>
      <w:szCs w:val="21"/>
    </w:rPr>
  </w:style>
  <w:style w:type="paragraph" w:styleId="92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8" w:customStyle="1">
    <w:name w:val="列出段落1"/>
    <w:basedOn w:val="665"/>
    <w:uiPriority w:val="0"/>
    <w:qFormat/>
    <w:pPr>
      <w:ind w:firstLine="420"/>
    </w:pPr>
    <w:rPr>
      <w:rFonts w:ascii="Times New Roman" w:hAnsi="Times New Roman"/>
      <w:szCs w:val="21"/>
    </w:rPr>
  </w:style>
  <w:style w:type="paragraph" w:styleId="929" w:customStyle="1">
    <w:name w:val="无间隔1"/>
    <w:basedOn w:val="665"/>
    <w:uiPriority w:val="0"/>
    <w:qFormat/>
    <w:rPr>
      <w:rFonts w:ascii="Times New Roman" w:hAnsi="Times New Roman"/>
    </w:rPr>
  </w:style>
  <w:style w:type="paragraph" w:styleId="930" w:customStyle="1">
    <w:name w:val="正文文本11"/>
    <w:basedOn w:val="665"/>
    <w:next w:val="665"/>
    <w:uiPriority w:val="0"/>
    <w:qFormat/>
    <w:rPr>
      <w:rFonts w:ascii="楷体_GB2312" w:hAnsi="Arial" w:eastAsia="楷体_GB2312"/>
      <w:sz w:val="28"/>
      <w:szCs w:val="28"/>
      <w:lang w:eastAsia="en-US"/>
    </w:rPr>
  </w:style>
  <w:style w:type="paragraph" w:styleId="931" w:customStyle="1">
    <w:name w:val="正文首行缩进11"/>
    <w:basedOn w:val="930"/>
    <w:uiPriority w:val="0"/>
    <w:qFormat/>
    <w:pPr>
      <w:ind w:firstLine="200"/>
      <w:spacing w:line="360" w:lineRule="auto"/>
    </w:pPr>
    <w:rPr>
      <w:rFonts w:ascii="仿宋_GB2312" w:hAnsi="Times New Roman" w:eastAsia="仿宋_GB2312"/>
      <w:sz w:val="30"/>
      <w:szCs w:val="30"/>
    </w:rPr>
  </w:style>
  <w:style w:type="character" w:styleId="932" w:customStyle="1">
    <w:name w:val="批注框文本 字符"/>
    <w:basedOn w:val="675"/>
    <w:link w:val="688"/>
    <w:uiPriority w:val="99"/>
    <w:semiHidden/>
    <w:qFormat/>
    <w:rPr>
      <w:rFonts w:ascii="Calibri" w:hAnsi="Calibri"/>
      <w:sz w:val="18"/>
      <w:szCs w:val="18"/>
    </w:rPr>
  </w:style>
  <w:style w:type="character" w:styleId="933" w:customStyle="1">
    <w:name w:val="批注文字 字符"/>
    <w:basedOn w:val="675"/>
    <w:link w:val="680"/>
    <w:uiPriority w:val="99"/>
    <w:semiHidden/>
    <w:qFormat/>
    <w:rPr>
      <w:rFonts w:ascii="Calibri" w:hAnsi="Calibri"/>
      <w:sz w:val="21"/>
      <w:szCs w:val="22"/>
    </w:rPr>
  </w:style>
  <w:style w:type="character" w:styleId="934" w:customStyle="1">
    <w:name w:val="批注主题 字符"/>
    <w:basedOn w:val="933"/>
    <w:link w:val="701"/>
    <w:uiPriority w:val="99"/>
    <w:semiHidden/>
    <w:qFormat/>
    <w:rPr>
      <w:rFonts w:ascii="Calibri" w:hAnsi="Calibri"/>
      <w:b/>
      <w:bCs/>
      <w:sz w:val="21"/>
      <w:szCs w:val="22"/>
    </w:rPr>
  </w:style>
  <w:style w:type="numbering" w:styleId="17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陈健</cp:lastModifiedBy>
  <cp:revision>14</cp:revision>
  <dcterms:created xsi:type="dcterms:W3CDTF">2026-06-27T07:06:00Z</dcterms:created>
  <dcterms:modified xsi:type="dcterms:W3CDTF">2026-10-08T03:19:00Z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eyJoZGlkIjoiYWIzMGRjZmE3OWJjOTY2YTIzOGRkM2JlNDk2Yzc0OTAiLCJ1c2VySWQiOiI2NTMwMDAzNDQifQ==</vt:lpwstr>
  </property>
  <property fmtid="{D5CDD505-2E9C-101B-9397-08002B2CF9AE}" pid="3" name="KSOProductBuildVer">
    <vt:lpwstr>2052-12.1.0.29161</vt:lpwstr>
  </property>
  <property fmtid="{D5CDD505-2E9C-101B-9397-08002B2CF9AE}" pid="4" name="ICV">
    <vt:lpwstr>AD06D681900D46F5A8990FC2CE0733AC_13</vt:lpwstr>
  </property>
</Properties>
</file>